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46EE" w14:paraId="2761BD13" w14:textId="77777777" w:rsidTr="0010095E">
        <w:trPr>
          <w:trHeight w:hRule="exact" w:val="1418"/>
        </w:trPr>
        <w:tc>
          <w:tcPr>
            <w:tcW w:w="6804" w:type="dxa"/>
            <w:shd w:val="clear" w:color="auto" w:fill="auto"/>
            <w:vAlign w:val="center"/>
          </w:tcPr>
          <w:p w14:paraId="3C7726A6" w14:textId="77777777" w:rsidR="00751A4A" w:rsidRPr="007446EE" w:rsidRDefault="006815F5" w:rsidP="0010095E">
            <w:pPr>
              <w:pStyle w:val="EPName"/>
            </w:pPr>
            <w:r w:rsidRPr="007446EE">
              <w:t>Evropský parlament</w:t>
            </w:r>
          </w:p>
          <w:p w14:paraId="42129302" w14:textId="77777777" w:rsidR="00751A4A" w:rsidRPr="007446EE" w:rsidRDefault="005F1B17" w:rsidP="005F1B17">
            <w:pPr>
              <w:pStyle w:val="EPTerm"/>
              <w:rPr>
                <w:rStyle w:val="HideTWBExt"/>
                <w:noProof w:val="0"/>
                <w:vanish w:val="0"/>
                <w:color w:val="auto"/>
              </w:rPr>
            </w:pPr>
            <w:r w:rsidRPr="007446EE">
              <w:t>2024</w:t>
            </w:r>
            <w:r w:rsidR="00817416" w:rsidRPr="007446EE">
              <w:t>-202</w:t>
            </w:r>
            <w:r w:rsidRPr="007446EE">
              <w:t>9</w:t>
            </w:r>
          </w:p>
        </w:tc>
        <w:tc>
          <w:tcPr>
            <w:tcW w:w="2268" w:type="dxa"/>
            <w:shd w:val="clear" w:color="auto" w:fill="auto"/>
          </w:tcPr>
          <w:p w14:paraId="5D9E925C" w14:textId="77777777" w:rsidR="00751A4A" w:rsidRPr="007446EE" w:rsidRDefault="00187494" w:rsidP="0010095E">
            <w:pPr>
              <w:pStyle w:val="EPLogo"/>
            </w:pPr>
            <w:r w:rsidRPr="007446EE">
              <w:rPr>
                <w:noProof/>
                <w:lang w:val="en-GB"/>
              </w:rPr>
              <w:drawing>
                <wp:inline distT="0" distB="0" distL="0" distR="0" wp14:anchorId="055A4B4C" wp14:editId="74075C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9F39B9" w14:textId="77777777" w:rsidR="00D058B8" w:rsidRPr="007446EE" w:rsidRDefault="00D058B8" w:rsidP="004C5D52">
      <w:pPr>
        <w:pStyle w:val="LineTop"/>
      </w:pPr>
    </w:p>
    <w:p w14:paraId="56765468" w14:textId="77777777" w:rsidR="00680577" w:rsidRPr="007446EE" w:rsidRDefault="006815F5" w:rsidP="00680577">
      <w:pPr>
        <w:pStyle w:val="EPBodyTA1"/>
      </w:pPr>
      <w:r w:rsidRPr="007446EE">
        <w:t>PŘIJATÉ TEXTY</w:t>
      </w:r>
    </w:p>
    <w:p w14:paraId="149110B2" w14:textId="77777777" w:rsidR="00D058B8" w:rsidRPr="007446EE" w:rsidRDefault="00D058B8" w:rsidP="00D058B8">
      <w:pPr>
        <w:pStyle w:val="LineBottom"/>
      </w:pPr>
    </w:p>
    <w:p w14:paraId="1C3A3A42" w14:textId="77777777" w:rsidR="006815F5" w:rsidRPr="007446EE" w:rsidRDefault="006815F5" w:rsidP="006815F5">
      <w:pPr>
        <w:pStyle w:val="ATHeading1"/>
      </w:pPr>
      <w:bookmarkStart w:id="0" w:name="TANumber"/>
      <w:r w:rsidRPr="007446EE">
        <w:t>P10_TA(2025)00</w:t>
      </w:r>
      <w:r w:rsidR="00D9134B">
        <w:t>85</w:t>
      </w:r>
      <w:bookmarkEnd w:id="0"/>
    </w:p>
    <w:p w14:paraId="00D9B54C" w14:textId="77777777" w:rsidR="006815F5" w:rsidRPr="007446EE" w:rsidRDefault="006815F5" w:rsidP="006815F5">
      <w:pPr>
        <w:pStyle w:val="ATHeading2"/>
      </w:pPr>
      <w:bookmarkStart w:id="1" w:name="title"/>
      <w:r w:rsidRPr="007446EE">
        <w:t>Udělení absolutoria za rok 2023: souhrnný rozpočet EU - evropský inspektor ochrany údajů</w:t>
      </w:r>
      <w:bookmarkEnd w:id="1"/>
    </w:p>
    <w:p w14:paraId="3B0CC461" w14:textId="77777777" w:rsidR="006815F5" w:rsidRPr="007446EE" w:rsidRDefault="006815F5" w:rsidP="006815F5">
      <w:pPr>
        <w:rPr>
          <w:i/>
          <w:vanish/>
        </w:rPr>
      </w:pPr>
      <w:r w:rsidRPr="007446EE">
        <w:rPr>
          <w:i/>
        </w:rPr>
        <w:fldChar w:fldCharType="begin"/>
      </w:r>
      <w:r w:rsidRPr="007446EE">
        <w:rPr>
          <w:i/>
        </w:rPr>
        <w:instrText xml:space="preserve"> TC"(</w:instrText>
      </w:r>
      <w:bookmarkStart w:id="2" w:name="DocNumber"/>
      <w:r w:rsidRPr="007446EE">
        <w:rPr>
          <w:i/>
        </w:rPr>
        <w:instrText>A10-0053/2025</w:instrText>
      </w:r>
      <w:bookmarkEnd w:id="2"/>
      <w:r w:rsidRPr="007446EE">
        <w:rPr>
          <w:i/>
        </w:rPr>
        <w:instrText xml:space="preserve"> - Zpravodaj: Joachim Stanisław </w:instrText>
      </w:r>
      <w:proofErr w:type="spellStart"/>
      <w:r w:rsidRPr="007446EE">
        <w:rPr>
          <w:i/>
        </w:rPr>
        <w:instrText>Brudziński</w:instrText>
      </w:r>
      <w:proofErr w:type="spellEnd"/>
      <w:r w:rsidRPr="007446EE">
        <w:rPr>
          <w:i/>
        </w:rPr>
        <w:instrText xml:space="preserve">)"\l3 \n&gt; \* MERGEFORMAT </w:instrText>
      </w:r>
      <w:r w:rsidRPr="007446EE">
        <w:rPr>
          <w:i/>
        </w:rPr>
        <w:fldChar w:fldCharType="end"/>
      </w:r>
    </w:p>
    <w:p w14:paraId="73D697AD" w14:textId="77777777" w:rsidR="006815F5" w:rsidRPr="007446EE" w:rsidRDefault="006815F5" w:rsidP="006815F5">
      <w:pPr>
        <w:rPr>
          <w:vanish/>
        </w:rPr>
      </w:pPr>
      <w:bookmarkStart w:id="3" w:name="Commission"/>
      <w:r w:rsidRPr="007446EE">
        <w:rPr>
          <w:vanish/>
        </w:rPr>
        <w:t>Výbor pro rozpočtovou kontrolu</w:t>
      </w:r>
      <w:bookmarkEnd w:id="3"/>
    </w:p>
    <w:p w14:paraId="0A85B65F" w14:textId="77777777" w:rsidR="006815F5" w:rsidRPr="007446EE" w:rsidRDefault="006815F5" w:rsidP="006815F5">
      <w:pPr>
        <w:rPr>
          <w:vanish/>
        </w:rPr>
      </w:pPr>
      <w:bookmarkStart w:id="4" w:name="PE"/>
      <w:r w:rsidRPr="007446EE">
        <w:rPr>
          <w:vanish/>
        </w:rPr>
        <w:t>PE764.990</w:t>
      </w:r>
      <w:bookmarkEnd w:id="4"/>
    </w:p>
    <w:p w14:paraId="51FD02EC" w14:textId="77777777" w:rsidR="00624195" w:rsidRPr="00FB5339" w:rsidRDefault="00624195" w:rsidP="00624195">
      <w:pPr>
        <w:pStyle w:val="ATHeading3"/>
      </w:pPr>
      <w:r w:rsidRPr="00FB5339">
        <w:t xml:space="preserve">1. Rozhodnutí Evropského parlamentu ze dne 7. května 2025 o udělení absolutoria za plnění souhrnného rozpočtu Evropské unie na rozpočtový rok 2023, oddíl IX – Evropský inspektor ochrany </w:t>
      </w:r>
      <w:proofErr w:type="gramStart"/>
      <w:r w:rsidRPr="00FB5339">
        <w:t>údajů  (</w:t>
      </w:r>
      <w:proofErr w:type="gramEnd"/>
      <w:r w:rsidRPr="00FB5339">
        <w:t>2024/2028(DEC))</w:t>
      </w:r>
    </w:p>
    <w:p w14:paraId="7265FEAF" w14:textId="77777777" w:rsidR="00624195" w:rsidRPr="00FB5339" w:rsidRDefault="00624195" w:rsidP="00624195">
      <w:pPr>
        <w:spacing w:before="480" w:after="240"/>
      </w:pPr>
      <w:r w:rsidRPr="00FB5339">
        <w:rPr>
          <w:i/>
        </w:rPr>
        <w:t>Evropský parlament</w:t>
      </w:r>
      <w:r w:rsidRPr="00FB5339">
        <w:t>,</w:t>
      </w:r>
    </w:p>
    <w:p w14:paraId="4DE86F71" w14:textId="77777777" w:rsidR="00624195" w:rsidRPr="00FB5339" w:rsidRDefault="00624195" w:rsidP="00624195">
      <w:pPr>
        <w:spacing w:after="240"/>
        <w:ind w:left="567" w:hanging="567"/>
      </w:pPr>
      <w:r w:rsidRPr="00FB5339">
        <w:t>–</w:t>
      </w:r>
      <w:r w:rsidRPr="00FB5339">
        <w:tab/>
        <w:t>s ohledem na souhrnný rozpočet Evropské unie na rozpočtový rok 2023</w:t>
      </w:r>
      <w:r w:rsidRPr="00FB5339">
        <w:rPr>
          <w:vertAlign w:val="superscript"/>
        </w:rPr>
        <w:footnoteReference w:id="1"/>
      </w:r>
      <w:r w:rsidRPr="00FB5339">
        <w:t>,</w:t>
      </w:r>
    </w:p>
    <w:p w14:paraId="6908233B" w14:textId="77777777" w:rsidR="00624195" w:rsidRPr="00FB5339" w:rsidRDefault="00624195" w:rsidP="00624195">
      <w:pPr>
        <w:spacing w:after="240"/>
        <w:ind w:left="567" w:hanging="567"/>
      </w:pPr>
      <w:r w:rsidRPr="00FB5339">
        <w:t>–</w:t>
      </w:r>
      <w:r w:rsidRPr="00FB5339">
        <w:tab/>
        <w:t>s ohledem na konsolidovanou roční účetní závěrku Evropské unie za rozpočtový rok 2023 (</w:t>
      </w:r>
      <w:proofErr w:type="gramStart"/>
      <w:r w:rsidRPr="00FB5339">
        <w:t>COM(</w:t>
      </w:r>
      <w:proofErr w:type="gramEnd"/>
      <w:r w:rsidRPr="00FB5339">
        <w:t>2024)0272 – C10</w:t>
      </w:r>
      <w:r w:rsidRPr="00FB5339">
        <w:noBreakHyphen/>
        <w:t>0076/2024)</w:t>
      </w:r>
      <w:r w:rsidRPr="00FB5339">
        <w:rPr>
          <w:vertAlign w:val="superscript"/>
        </w:rPr>
        <w:footnoteReference w:id="2"/>
      </w:r>
      <w:r w:rsidRPr="00FB5339">
        <w:t>,</w:t>
      </w:r>
    </w:p>
    <w:p w14:paraId="783C7ED3" w14:textId="77777777" w:rsidR="00624195" w:rsidRPr="00FB5339" w:rsidRDefault="00624195" w:rsidP="00624195">
      <w:pPr>
        <w:spacing w:after="240"/>
        <w:ind w:left="567" w:hanging="567"/>
      </w:pPr>
      <w:r w:rsidRPr="00FB5339">
        <w:t>–</w:t>
      </w:r>
      <w:r w:rsidRPr="00FB5339">
        <w:tab/>
        <w:t>s ohledem na výroční zprávu evropského inspektora ochrany údajů za rozpočtový rok 2023,</w:t>
      </w:r>
    </w:p>
    <w:p w14:paraId="43DA502D" w14:textId="77777777" w:rsidR="00624195" w:rsidRPr="00FB5339" w:rsidRDefault="00624195" w:rsidP="00624195">
      <w:pPr>
        <w:spacing w:after="240"/>
        <w:ind w:left="567" w:hanging="567"/>
      </w:pPr>
      <w:r w:rsidRPr="00FB5339">
        <w:t>–</w:t>
      </w:r>
      <w:r w:rsidRPr="00FB5339">
        <w:tab/>
        <w:t>s ohledem na výroční zprávu Účetního dvora o plnění rozpočtu na rozpočtový rok 2023 spolu s odpověďmi orgánů</w:t>
      </w:r>
      <w:r w:rsidRPr="00FB5339">
        <w:rPr>
          <w:vertAlign w:val="superscript"/>
        </w:rPr>
        <w:footnoteReference w:id="3"/>
      </w:r>
      <w:r w:rsidRPr="00FB5339">
        <w:t>,</w:t>
      </w:r>
    </w:p>
    <w:p w14:paraId="29429B00" w14:textId="77777777" w:rsidR="00624195" w:rsidRPr="00FB5339" w:rsidRDefault="00624195" w:rsidP="00624195">
      <w:pPr>
        <w:spacing w:after="240"/>
        <w:ind w:left="567" w:hanging="567"/>
      </w:pPr>
      <w:r w:rsidRPr="00FB5339">
        <w:t>–</w:t>
      </w:r>
      <w:r w:rsidRPr="00FB5339">
        <w:tab/>
        <w:t>s ohledem na prohlášení o věrohodnosti</w:t>
      </w:r>
      <w:r w:rsidRPr="00FB5339">
        <w:rPr>
          <w:vertAlign w:val="superscript"/>
        </w:rPr>
        <w:footnoteReference w:id="4"/>
      </w:r>
      <w:r w:rsidRPr="00FB5339">
        <w:t xml:space="preserve"> účetnictví a o legalitě a správnosti uskutečněných operací, které předložil Účetní dvůr za rozpočtový rok 2023 podle článku 287 Smlouvy o fungování Evropské unie,</w:t>
      </w:r>
    </w:p>
    <w:p w14:paraId="7B4121DE" w14:textId="77777777" w:rsidR="00624195" w:rsidRPr="00FB5339" w:rsidRDefault="00624195" w:rsidP="00624195">
      <w:pPr>
        <w:spacing w:after="240"/>
        <w:ind w:left="567" w:hanging="567"/>
      </w:pPr>
      <w:r w:rsidRPr="00FB5339">
        <w:t>–</w:t>
      </w:r>
      <w:r w:rsidRPr="00FB5339">
        <w:tab/>
        <w:t>s ohledem na čl. 314 odst. 10 a články 317, 318 a 319 Smlouvy o fungování Evropské unie,</w:t>
      </w:r>
    </w:p>
    <w:p w14:paraId="0CBD3DCF" w14:textId="77777777" w:rsidR="00624195" w:rsidRPr="00FB5339" w:rsidRDefault="00624195" w:rsidP="00624195">
      <w:pPr>
        <w:tabs>
          <w:tab w:val="left" w:pos="567"/>
        </w:tabs>
        <w:snapToGrid w:val="0"/>
        <w:spacing w:after="60"/>
        <w:ind w:left="567" w:hanging="567"/>
      </w:pPr>
      <w:r w:rsidRPr="00FB5339">
        <w:t>–</w:t>
      </w:r>
      <w:r w:rsidRPr="00FB5339">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FB5339">
        <w:rPr>
          <w:vertAlign w:val="superscript"/>
        </w:rPr>
        <w:footnoteReference w:id="5"/>
      </w:r>
      <w:r w:rsidRPr="00FB5339">
        <w:t>, a zejména na články 59, 118, 260, 261 a 262 tohoto nařízení,</w:t>
      </w:r>
    </w:p>
    <w:p w14:paraId="52F8E0ED" w14:textId="77777777" w:rsidR="00624195" w:rsidRPr="00FB5339" w:rsidRDefault="00624195" w:rsidP="00624195">
      <w:pPr>
        <w:spacing w:after="240"/>
        <w:ind w:left="567" w:hanging="567"/>
      </w:pPr>
      <w:r w:rsidRPr="00FB5339">
        <w:t>–</w:t>
      </w:r>
      <w:r w:rsidRPr="00FB5339">
        <w:tab/>
        <w:t xml:space="preserve">s ohledem na nařízení </w:t>
      </w:r>
      <w:r w:rsidRPr="00FB5339">
        <w:rPr>
          <w:shd w:val="clear" w:color="auto" w:fill="FFFFFF"/>
        </w:rPr>
        <w:t>Evropského parlamentu a Rady (EU, Euratom) 2024/2509 ze dne 23. září 2024, kterým se stanoví finanční pravidla pro souhrnný rozpočet Unie</w:t>
      </w:r>
      <w:r w:rsidRPr="00FB5339">
        <w:rPr>
          <w:bCs/>
          <w:shd w:val="clear" w:color="auto" w:fill="FFFFFF"/>
          <w:vertAlign w:val="superscript"/>
        </w:rPr>
        <w:footnoteReference w:id="6"/>
      </w:r>
      <w:r w:rsidRPr="00FB5339">
        <w:rPr>
          <w:shd w:val="clear" w:color="auto" w:fill="FFFFFF"/>
        </w:rPr>
        <w:t>, a zejména na články 59, 118, 266, 267 a 268 tohoto nařízení</w:t>
      </w:r>
      <w:r w:rsidRPr="00FB5339">
        <w:t>,</w:t>
      </w:r>
    </w:p>
    <w:p w14:paraId="30D9BCD0" w14:textId="77777777" w:rsidR="00624195" w:rsidRPr="00FB5339" w:rsidRDefault="00624195" w:rsidP="00624195">
      <w:pPr>
        <w:spacing w:after="240"/>
        <w:ind w:left="567" w:hanging="567"/>
      </w:pPr>
      <w:r w:rsidRPr="00FB5339">
        <w:t>–</w:t>
      </w:r>
      <w:r w:rsidRPr="00FB5339">
        <w:tab/>
        <w:t>s ohledem na 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w:t>
      </w:r>
      <w:r w:rsidRPr="00FB5339">
        <w:rPr>
          <w:vertAlign w:val="superscript"/>
        </w:rPr>
        <w:footnoteReference w:id="7"/>
      </w:r>
      <w:r w:rsidRPr="00FB5339">
        <w:t>, a zejména na článek 55 tohoto nařízení,</w:t>
      </w:r>
    </w:p>
    <w:p w14:paraId="2C2D53CD" w14:textId="77777777" w:rsidR="00624195" w:rsidRPr="00FB5339" w:rsidRDefault="00624195" w:rsidP="00624195">
      <w:pPr>
        <w:spacing w:after="240"/>
        <w:ind w:left="567" w:hanging="567"/>
      </w:pPr>
      <w:r w:rsidRPr="00FB5339">
        <w:t>–</w:t>
      </w:r>
      <w:r w:rsidRPr="00FB5339">
        <w:tab/>
        <w:t>s ohledem na článek 102 a přílohu V jednacího řádu,</w:t>
      </w:r>
    </w:p>
    <w:p w14:paraId="61F4A9F3" w14:textId="77777777" w:rsidR="00624195" w:rsidRPr="00FB5339" w:rsidRDefault="00624195" w:rsidP="00624195">
      <w:pPr>
        <w:spacing w:after="240"/>
        <w:ind w:left="567" w:hanging="567"/>
      </w:pPr>
      <w:r w:rsidRPr="00FB5339">
        <w:t>–</w:t>
      </w:r>
      <w:r w:rsidRPr="00FB5339">
        <w:tab/>
        <w:t>s ohledem na stanovisko Výboru pro občanské svobody, spravedlnost a vnitřní věci,</w:t>
      </w:r>
    </w:p>
    <w:p w14:paraId="0228BE40" w14:textId="77777777" w:rsidR="00624195" w:rsidRPr="00FB5339" w:rsidRDefault="00624195" w:rsidP="00624195">
      <w:pPr>
        <w:spacing w:after="240"/>
        <w:ind w:left="567" w:hanging="567"/>
      </w:pPr>
      <w:r w:rsidRPr="00FB5339">
        <w:t>–</w:t>
      </w:r>
      <w:r w:rsidRPr="00FB5339">
        <w:tab/>
        <w:t>s ohledem na zprávu Výboru pro rozpočtovou kontrolu (A10</w:t>
      </w:r>
      <w:r w:rsidRPr="00FB5339">
        <w:noBreakHyphen/>
        <w:t>0053/2025),</w:t>
      </w:r>
    </w:p>
    <w:p w14:paraId="70175119" w14:textId="77777777" w:rsidR="00624195" w:rsidRPr="00FB5339" w:rsidRDefault="00624195" w:rsidP="00624195">
      <w:pPr>
        <w:spacing w:after="240"/>
        <w:ind w:left="567" w:hanging="567"/>
      </w:pPr>
      <w:r w:rsidRPr="00FB5339">
        <w:t>1.</w:t>
      </w:r>
      <w:r w:rsidRPr="00FB5339">
        <w:tab/>
        <w:t>uděluje evropskému inspektorovi ochrany údajů absolutorium za plnění rozpočtu evropského inspektora ochrany údajů na rozpočtový rok 2023;</w:t>
      </w:r>
    </w:p>
    <w:p w14:paraId="498F2099" w14:textId="77777777" w:rsidR="00624195" w:rsidRPr="00FB5339" w:rsidRDefault="00624195" w:rsidP="00624195">
      <w:pPr>
        <w:spacing w:after="240"/>
        <w:ind w:left="567" w:hanging="567"/>
      </w:pPr>
      <w:r w:rsidRPr="00FB5339">
        <w:t>2.</w:t>
      </w:r>
      <w:r w:rsidRPr="00FB5339">
        <w:tab/>
        <w:t>předkládá své připomínky v níže uvedeném usnesení;</w:t>
      </w:r>
    </w:p>
    <w:p w14:paraId="12E2695F" w14:textId="77777777" w:rsidR="00624195" w:rsidRPr="00FB5339" w:rsidRDefault="00624195" w:rsidP="00624195">
      <w:pPr>
        <w:spacing w:after="240"/>
        <w:ind w:left="567" w:hanging="567"/>
      </w:pPr>
      <w:r w:rsidRPr="00FB5339">
        <w:t>3.</w:t>
      </w:r>
      <w:r w:rsidRPr="00FB5339">
        <w:tab/>
        <w:t>pověřuje svou předsedkyni, aby předala toto rozhodnutí a usnesení, které je jeho nedílnou součástí, evropskému inspektorovi ochrany údajů, Evropské radě, Radě, Komisi a Účetnímu dvoru, jakož i Soudnímu dvoru Evropské unie, evropskému veřejnému ochránci práv a Evropské službě pro vnější činnost a aby zajistila jejich zveřejnění v </w:t>
      </w:r>
      <w:r w:rsidRPr="00FB5339">
        <w:rPr>
          <w:i/>
        </w:rPr>
        <w:t>Úředním věstníku Evropské unie</w:t>
      </w:r>
      <w:r w:rsidRPr="00FB5339">
        <w:t xml:space="preserve"> (řada L).</w:t>
      </w:r>
    </w:p>
    <w:p w14:paraId="12F1288C" w14:textId="77777777" w:rsidR="00624195" w:rsidRPr="003E7F01" w:rsidRDefault="00624195" w:rsidP="00624195">
      <w:pPr>
        <w:sectPr w:rsidR="00624195" w:rsidRPr="003E7F01" w:rsidSect="00624195">
          <w:footnotePr>
            <w:numRestart w:val="eachSect"/>
          </w:footnotePr>
          <w:endnotePr>
            <w:numFmt w:val="decimal"/>
          </w:endnotePr>
          <w:pgSz w:w="11906" w:h="16838"/>
          <w:pgMar w:top="1440" w:right="1440" w:bottom="1440" w:left="1440" w:header="708" w:footer="708" w:gutter="0"/>
          <w:cols w:space="708"/>
          <w:docGrid w:linePitch="360"/>
        </w:sectPr>
      </w:pPr>
    </w:p>
    <w:p w14:paraId="48AD3DD4" w14:textId="77777777" w:rsidR="00624195" w:rsidRPr="00FB5339" w:rsidRDefault="00624195" w:rsidP="00624195">
      <w:pPr>
        <w:pStyle w:val="ATHeading3"/>
      </w:pPr>
      <w:r w:rsidRPr="00FB5339">
        <w:t>2. Usnesení Evropského parlamentu ze dne 7. května 2025 obsahující připomínky, které jsou nedílnou součástí rozhodnutí o udělení absolutoria za plnění souhrnného rozpočtu Evropské unie na rozpočtový rok 2023, oddíl IX – Evropský inspektor ochrany údajů (2024/2028(DEC))</w:t>
      </w:r>
    </w:p>
    <w:p w14:paraId="3929C5FB" w14:textId="77777777" w:rsidR="00624195" w:rsidRPr="00FB5339" w:rsidRDefault="00624195" w:rsidP="00624195">
      <w:pPr>
        <w:spacing w:before="480" w:after="240"/>
      </w:pPr>
      <w:r w:rsidRPr="00FB5339">
        <w:rPr>
          <w:i/>
        </w:rPr>
        <w:t>Evropský parlament</w:t>
      </w:r>
      <w:r w:rsidRPr="00FB5339">
        <w:t>,</w:t>
      </w:r>
    </w:p>
    <w:p w14:paraId="129D1177" w14:textId="62234F8D" w:rsidR="00624195" w:rsidRPr="00FB5339" w:rsidRDefault="00624195" w:rsidP="00624195">
      <w:pPr>
        <w:spacing w:after="240"/>
        <w:ind w:left="567" w:hanging="567"/>
      </w:pPr>
      <w:r w:rsidRPr="00FB5339">
        <w:t>–</w:t>
      </w:r>
      <w:r w:rsidRPr="00FB5339">
        <w:tab/>
        <w:t>s ohledem na své rozhodnutí o udělení absolutoria za plnění souhrnného rozpočtu Evropské unie na rozpočtový rok 2023, oddíl IX – Evropský inspektor ochrany údajů,</w:t>
      </w:r>
    </w:p>
    <w:p w14:paraId="2EB3CF8F" w14:textId="12A122E2" w:rsidR="00624195" w:rsidRPr="00FB5339" w:rsidRDefault="00624195" w:rsidP="00624195">
      <w:pPr>
        <w:spacing w:after="240"/>
        <w:ind w:left="567" w:hanging="567"/>
      </w:pPr>
      <w:r w:rsidRPr="00FB5339">
        <w:t>–</w:t>
      </w:r>
      <w:r w:rsidRPr="00FB5339">
        <w:tab/>
        <w:t>s ohledem na článek 102 a přílohu V jednacího řádu,</w:t>
      </w:r>
    </w:p>
    <w:p w14:paraId="432E65CF" w14:textId="5A39D28A" w:rsidR="00624195" w:rsidRPr="00FB5339" w:rsidRDefault="00624195" w:rsidP="00624195">
      <w:pPr>
        <w:spacing w:after="240"/>
        <w:ind w:left="567" w:hanging="567"/>
      </w:pPr>
      <w:r w:rsidRPr="00FB5339">
        <w:t>–</w:t>
      </w:r>
      <w:r w:rsidRPr="00FB5339">
        <w:tab/>
        <w:t>s ohledem na stanovisko Výboru pro občanské svobody, spravedlnost a vnitřní věci,</w:t>
      </w:r>
    </w:p>
    <w:p w14:paraId="66048D44" w14:textId="26754826" w:rsidR="00624195" w:rsidRPr="00FB5339" w:rsidRDefault="00624195" w:rsidP="00624195">
      <w:pPr>
        <w:spacing w:after="240"/>
        <w:ind w:left="567" w:hanging="567"/>
      </w:pPr>
      <w:r w:rsidRPr="00FB5339">
        <w:t>–</w:t>
      </w:r>
      <w:r w:rsidRPr="00FB5339">
        <w:tab/>
        <w:t>s ohledem na zprávu Výboru pro rozpočtovou kontrolu (A10-0053/2025),</w:t>
      </w:r>
    </w:p>
    <w:p w14:paraId="57AC4617" w14:textId="77777777" w:rsidR="00624195" w:rsidRPr="00FB5339" w:rsidRDefault="00624195" w:rsidP="00624195">
      <w:pPr>
        <w:spacing w:after="240"/>
        <w:ind w:left="567" w:hanging="567"/>
      </w:pPr>
      <w:r w:rsidRPr="00FB5339">
        <w:t>A.</w:t>
      </w:r>
      <w:r w:rsidRPr="00FB5339">
        <w:tab/>
        <w:t>vzhledem k tomu, že v rámci postupu udělování absolutoria hodlá orgán příslušný k udělení absolutoria klást zvláštní důraz na další posilování demokratické legitimity orgánů a institucí Unie zvyšováním transparentnosti a zodpovědnosti, uplatňováním konceptu sestavování rozpočtu podle výkonnosti a řádným řízením lidských zdrojů;</w:t>
      </w:r>
    </w:p>
    <w:p w14:paraId="0709B8C6" w14:textId="77777777" w:rsidR="00624195" w:rsidRPr="00FB5339" w:rsidRDefault="00624195" w:rsidP="00624195">
      <w:pPr>
        <w:spacing w:after="240"/>
        <w:ind w:left="567" w:hanging="567"/>
      </w:pPr>
      <w:r w:rsidRPr="00FB5339">
        <w:t>B.</w:t>
      </w:r>
      <w:r w:rsidRPr="00FB5339">
        <w:tab/>
        <w:t>vzhledem k tomu, že ochrana údajů je základním právem chráněným evropskými právními předpisy a zakotveným v článku 8 Listiny základních práv Evropské unie;</w:t>
      </w:r>
    </w:p>
    <w:p w14:paraId="1B02444C" w14:textId="77777777" w:rsidR="00624195" w:rsidRPr="00FB5339" w:rsidRDefault="00624195" w:rsidP="00624195">
      <w:pPr>
        <w:spacing w:after="240"/>
        <w:ind w:left="567" w:hanging="567"/>
      </w:pPr>
      <w:r w:rsidRPr="00FB5339">
        <w:t>C.</w:t>
      </w:r>
      <w:r w:rsidRPr="00FB5339">
        <w:tab/>
        <w:t>vzhledem k tomu, že článek 16 Smlouvy o fungování Evropské unie stanoví, že dodržování pravidel týkajících se ochrany fyzických osob v souvislosti se zpracováním jejich osobních údajů podléhá kontrole nezávislým orgánem;</w:t>
      </w:r>
    </w:p>
    <w:p w14:paraId="4102CC36" w14:textId="77777777" w:rsidR="00624195" w:rsidRPr="00FB5339" w:rsidRDefault="00624195" w:rsidP="00624195">
      <w:pPr>
        <w:spacing w:after="240"/>
        <w:ind w:left="567" w:hanging="567"/>
      </w:pPr>
      <w:r w:rsidRPr="00FB5339">
        <w:t>D.</w:t>
      </w:r>
      <w:r w:rsidRPr="00FB5339">
        <w:tab/>
        <w:t>vzhledem k tomu, že nařízení Evropského parlamentu a Rady (EU) 2018/1725</w:t>
      </w:r>
      <w:r w:rsidRPr="00FB5339">
        <w:rPr>
          <w:rStyle w:val="FootnoteReference"/>
        </w:rPr>
        <w:footnoteReference w:id="8"/>
      </w:r>
      <w:r w:rsidRPr="00FB5339">
        <w:t xml:space="preserve"> stanoví zřízení nezávislého orgánu, tj. evropského inspektora ochrany údajů (dále jen „EIOÚ“), který odpovídá za ochranu a zaručení práva na ochranu údajů a soukromí a jehož úkolem je zajištění toho, aby orgány, instituce nebo jiné subjekty Unie uplatňovaly silnou kulturu ochrany údajů;</w:t>
      </w:r>
    </w:p>
    <w:p w14:paraId="2360FABA" w14:textId="77777777" w:rsidR="00624195" w:rsidRPr="00FB5339" w:rsidRDefault="00624195" w:rsidP="00624195">
      <w:pPr>
        <w:spacing w:after="240"/>
        <w:ind w:left="567" w:hanging="567"/>
      </w:pPr>
      <w:r w:rsidRPr="00FB5339">
        <w:t>E.</w:t>
      </w:r>
      <w:r w:rsidRPr="00FB5339">
        <w:tab/>
        <w:t>vzhledem k tomu, že EIOÚ vykonává své funkce v úzké spolupráci s dalšími úřady pro ochranu osobních údajů v rámci Evropského sboru pro ochranu osobních údajů (EDPB) a </w:t>
      </w:r>
      <w:proofErr w:type="gramStart"/>
      <w:r w:rsidRPr="00FB5339">
        <w:t>slouží</w:t>
      </w:r>
      <w:proofErr w:type="gramEnd"/>
      <w:r w:rsidRPr="00FB5339">
        <w:t xml:space="preserve"> veřejnému zájmu, přičemž se řídí zásadami nestrannosti, integrity, transparentnosti, pragmatismu, a dodržuje právní předpisy Unie;</w:t>
      </w:r>
    </w:p>
    <w:p w14:paraId="5A7F7382" w14:textId="77777777" w:rsidR="00624195" w:rsidRPr="00FB5339" w:rsidRDefault="00624195" w:rsidP="00624195">
      <w:pPr>
        <w:spacing w:after="240"/>
        <w:ind w:left="567" w:hanging="567"/>
      </w:pPr>
      <w:r w:rsidRPr="00FB5339">
        <w:t>1.</w:t>
      </w:r>
      <w:r w:rsidRPr="00FB5339">
        <w:tab/>
        <w:t>konstatuje, že rozpočet EIOÚ spadá do okruhu 7 VFR „Evropská veřejná správa“, který v roce 2023 činil celkem 12,3 miliardy EUR, tj. 6,4 % rozpočtových výdajů Unie; konstatuje, že rozpočet EIOÚ představoval 0,18 % prostředků okruhu 7 VFR;</w:t>
      </w:r>
    </w:p>
    <w:p w14:paraId="667F1612" w14:textId="77777777" w:rsidR="00624195" w:rsidRPr="00FB5339" w:rsidRDefault="00624195" w:rsidP="00624195">
      <w:pPr>
        <w:spacing w:after="240"/>
        <w:ind w:left="567" w:hanging="567"/>
      </w:pPr>
      <w:r w:rsidRPr="00FB5339">
        <w:t>2.</w:t>
      </w:r>
      <w:r w:rsidRPr="00FB5339">
        <w:tab/>
        <w:t>konstatuje, že Účetní dvůr ve své výroční zprávě (dále jen „zpráva Účetního dvora“) za rozpočtový rok 2023 přezkoumal vzorek 70 transakcí spadajících do okruhu 7 VFR, ze kterých 21 (30 %) obsahovalo chyby; dále konstatuje, že u pěti z těchto chyb, které Účetní dvůr vyčíslil, Účetní dvůr odhadl výši chyb pod prahem významnosti;</w:t>
      </w:r>
    </w:p>
    <w:p w14:paraId="347E9432" w14:textId="77777777" w:rsidR="00624195" w:rsidRPr="00FB5339" w:rsidRDefault="00624195" w:rsidP="00624195">
      <w:pPr>
        <w:spacing w:after="240"/>
        <w:ind w:left="567" w:hanging="567"/>
      </w:pPr>
      <w:r w:rsidRPr="00FB5339">
        <w:t>3.</w:t>
      </w:r>
      <w:r w:rsidRPr="00FB5339">
        <w:tab/>
        <w:t>na základě zprávy Účetního dvora bere na vědomí připomínku, že správní výdaje zahrnují výdaje na lidské zdroje, včetně důchodů, které v roce 2023 představovaly přibližně 70 % celkových správních výdajů, a výdaje na budovy, zařízení, energie, komunikaci a informační technologie; vítá zopakované stanovisko Účetního dvora, že celkově jsou správní výdaje málo rizikové;</w:t>
      </w:r>
    </w:p>
    <w:p w14:paraId="77080BF7" w14:textId="77777777" w:rsidR="00624195" w:rsidRPr="00FB5339" w:rsidRDefault="00624195" w:rsidP="00624195">
      <w:pPr>
        <w:spacing w:after="240"/>
        <w:ind w:left="567" w:hanging="567"/>
      </w:pPr>
      <w:r w:rsidRPr="00FB5339">
        <w:t>4.</w:t>
      </w:r>
      <w:r w:rsidRPr="00FB5339">
        <w:tab/>
        <w:t>na základě zprávy Účetního dvora konstatuje, že v roce 2023 Účetní dvůr provedl audit platu jednoho úředníka, který naposledy učinil prohlášení o nároku na rodinné a dětské přídavky v roce 2020; připojuje se k obavám Účetního dvora, že zpoždění při přijímání a ověřování takových prohlášení zvyšuje riziko vzniku nezpůsobilých plateb;</w:t>
      </w:r>
    </w:p>
    <w:p w14:paraId="0ABFFFB7" w14:textId="77777777" w:rsidR="00624195" w:rsidRPr="00FB5339" w:rsidRDefault="00624195" w:rsidP="00624195">
      <w:pPr>
        <w:spacing w:after="240"/>
        <w:ind w:left="567" w:hanging="567"/>
        <w:rPr>
          <w:b/>
          <w:i/>
        </w:rPr>
      </w:pPr>
      <w:r w:rsidRPr="00FB5339">
        <w:rPr>
          <w:b/>
          <w:i/>
        </w:rPr>
        <w:t>Rozpočtové a finanční řízení</w:t>
      </w:r>
    </w:p>
    <w:p w14:paraId="02C1C210" w14:textId="77777777" w:rsidR="00624195" w:rsidRPr="00FB5339" w:rsidRDefault="00624195" w:rsidP="00624195">
      <w:pPr>
        <w:spacing w:after="240"/>
        <w:ind w:left="567" w:hanging="567"/>
      </w:pPr>
      <w:r w:rsidRPr="00FB5339">
        <w:t>5.</w:t>
      </w:r>
      <w:r w:rsidRPr="00FB5339">
        <w:tab/>
        <w:t>konstatuje, že v roce 2023 činil konečný schválený rozpočet EIOÚ 22 711 559 EUR, což oproti roku 2022 představuje nárůst o 12,06 %; bere na vědomí, že rozpočet EIOÚ pokrývá rovněž činnost nezávislého sekretariátu EDPB; na základě výroční zprávy EIOÚ za rok 2023 (dále jen „výroční zpráva“) konstatuje, že schválený rozpočet pro EDPB na rok 2023 činil 7,67 milionu EUR, včetně 300 000 EUR udělených ve formě opravného rozpočtu, kterého bylo zapotřebí kvůli většímu počtu soudních sporů v roce 2023;</w:t>
      </w:r>
    </w:p>
    <w:p w14:paraId="5E3E843A" w14:textId="77777777" w:rsidR="00624195" w:rsidRPr="00FB5339" w:rsidRDefault="00624195" w:rsidP="00624195">
      <w:pPr>
        <w:spacing w:after="240"/>
        <w:ind w:left="567" w:hanging="567"/>
      </w:pPr>
      <w:r w:rsidRPr="00FB5339">
        <w:t>6.</w:t>
      </w:r>
      <w:r w:rsidRPr="00FB5339">
        <w:tab/>
        <w:t>uznává, že úsilí EIOÚ v oblasti monitorování a plánování rozpočtu v rozpočtovém roce 2023 vedlo v roce 2023 k míře plnění rozpočtu u prostředků na závazky v běžném roce 96 % (o něco méně než v roce 2022, kdy tato míra činila 98 %); na základě zprávy o roční účetní závěrce EIOÚ dále konstatuje, že za rok 2023 činila míra čerpání prostředků na platby v běžném roce 84 % (méně než v roce 2022, kdy tato míra činila 88 %); na základě odpovědí EIOÚ na dotazník předložený Výborem pro rozpočtovou kontrolu k udělení absolutoria za rozpočtový rok 2023 (dále jen „dotazník“) dále poznamenává, že celková míra plnění prostředků na platby činila v roce 2023 91,33 %, což je méně než 94,09 % v roce 2022;</w:t>
      </w:r>
    </w:p>
    <w:p w14:paraId="1F63898E" w14:textId="77777777" w:rsidR="00624195" w:rsidRPr="00FB5339" w:rsidRDefault="00624195" w:rsidP="00624195">
      <w:pPr>
        <w:spacing w:after="240"/>
        <w:ind w:left="567" w:hanging="567"/>
      </w:pPr>
      <w:r w:rsidRPr="00FB5339">
        <w:t>7.</w:t>
      </w:r>
      <w:r w:rsidRPr="00FB5339">
        <w:tab/>
        <w:t>dále konstatuje, že výše přenesených prostředků (C8) z roku 2023 do roku 2024 činila 2 517 942,67 EUR, tj. 11,08 % celkového rozpočtu na rok 2023, ve srovnání s 1 827 354,23 EUR, tj. 9,01 % celkového rozpočtu z roku 2022; konstatuje, že míra plnění rozpočtu C8 v roce 2023 byla 76,65 % (více než v roce 2022, kdy tato míra činila 73,77 %);</w:t>
      </w:r>
    </w:p>
    <w:p w14:paraId="48A0C6F4" w14:textId="77777777" w:rsidR="00624195" w:rsidRPr="00FB5339" w:rsidRDefault="00624195" w:rsidP="00624195">
      <w:pPr>
        <w:spacing w:after="240"/>
        <w:ind w:left="567" w:hanging="567"/>
      </w:pPr>
      <w:r w:rsidRPr="00FB5339">
        <w:t>8.</w:t>
      </w:r>
      <w:r w:rsidRPr="00FB5339">
        <w:tab/>
        <w:t>vítá zlepšení průměrné doby splatnosti z 25 dnů v roce 2022 na 19 dnů v roce 2023, přičemž 97,50 % plateb bylo zpracováno včas; konstatuje, že toto zlepšení je také způsobeno tím, že EIOÚ vyřešil starou chybu v elektronickém platebním systému pro faktury spojené s náklady na služební cesty; dále poukazuje na významný nárůst počtu plateb ze 799 v roce 2022 na 1335 v roce 2023; v této souvislosti připomíná, že počet transakcí je stále nižší než v období před pandemií, a to v důsledku změn pracovních postupů (jako jsou hybridní schůze nebo virtuální akce pro odborníky);</w:t>
      </w:r>
    </w:p>
    <w:p w14:paraId="5AFD6B96" w14:textId="77777777" w:rsidR="00624195" w:rsidRPr="00FB5339" w:rsidRDefault="00624195" w:rsidP="00624195">
      <w:pPr>
        <w:spacing w:after="240"/>
        <w:ind w:left="567" w:hanging="567"/>
      </w:pPr>
      <w:r w:rsidRPr="00FB5339">
        <w:t>9.</w:t>
      </w:r>
      <w:r w:rsidRPr="00FB5339">
        <w:tab/>
        <w:t>konstatuje, že důsledky nezákonné ruské útočné války proti Ukrajině v roce 2023 nadále vytvářely rozpočtový tlak na EIOÚ, mimo jiné prostřednictvím rostoucí inflace a následného zvýšení nákladů na energie, přičemž nejvíce postiženými rozpočtovými položkami byly platy zaměstnanců, zabezpečení a ostraha budov, nájemné, náklady na služební cesty a služby poskytované externími zaměstnanci; chválí v této souvislosti EIOÚ za to, že upravil své priority a provedl vnitřní přerozdělení prostředků v rámci rozpočtových kapitol; chápe, že tato rozpočtová optimalizace byla nezbytná k úspěšnému zvládnutí indexace platů zaměstnanců a nájemného, jakož i zvýšení nákladů na služby externí právní pomoci v důsledku zvýšeného počtu závazných rozhodnutí EIOÚ, což vedlo k většímu počtu případů, které bylo třeba obhajovat před Soudním dvorem Evropské unie (SDEU) s využitím externí právní pomoci; v této souvislosti lituje, že EIOÚ musel odložit některé ze svých činností, jako je studie o proveditelnosti umělé inteligence; vyzývá EIOÚ, aby dodržoval pravomoci svého mandátu ve spolupráci s evropskými orgány a agenturami a aby se vyvaroval zahájení jakýchkoli právních kroků, zejména těch, které jsou zjevně nepřípustné, s cílem zabránit negativním dopadům na řízení zdrojů, a které úřadu EIOÚ neumožňují vykonávat jeho činnost jakožto orgánu;</w:t>
      </w:r>
    </w:p>
    <w:p w14:paraId="47153761" w14:textId="77777777" w:rsidR="00624195" w:rsidRPr="00FB5339" w:rsidRDefault="00624195" w:rsidP="00624195">
      <w:pPr>
        <w:spacing w:after="240"/>
        <w:ind w:left="567" w:hanging="567"/>
      </w:pPr>
      <w:r w:rsidRPr="00FB5339">
        <w:t>10.</w:t>
      </w:r>
      <w:r w:rsidRPr="00FB5339">
        <w:tab/>
        <w:t>vyjadřuje znepokojení nad výrazným nárůstem nákladů na služební cesty zaměstnanců EIOÚ, a to z 28 789 EUR v roce 2021 a 176 903 EUR v roce 2022 na 284 580 EUR v roce 2023; vyzývá EIOÚ, aby posoudil, zda jsou zdroje vynaložené na služební cesty využívány vhodně a efektivně; konstatuje, že EIOÚ přestal zveřejňovat počet služebních cest financovaných pořadateli, i informace o tom, která oddělení či odbory se konkrétních služebních cest zúčastnily, čímž se snížila transparentnost výdajů na služební cesty; vyzývá EIOÚ, aby tuto praxi obnovil;</w:t>
      </w:r>
      <w:r w:rsidRPr="00FB5339">
        <w:rPr>
          <w:color w:val="FF0000"/>
        </w:rPr>
        <w:t xml:space="preserve"> </w:t>
      </w:r>
      <w:r w:rsidRPr="00FB5339">
        <w:t>vybízí EIOÚ, aby podporoval používání videokonferenčních nástrojů tam, kde je to vhodné, neboť by to mohlo přispět ke snížení počtu služebních cest a nákladů; vyzývá EIOÚ, aby posoudil, zda jsou zdroje vynaložené na služební cesty využívány vhodně a efektivně;</w:t>
      </w:r>
    </w:p>
    <w:p w14:paraId="13FA4E92" w14:textId="77777777" w:rsidR="00624195" w:rsidRPr="00FB5339" w:rsidRDefault="00624195" w:rsidP="00624195">
      <w:pPr>
        <w:spacing w:after="240"/>
        <w:ind w:left="567" w:hanging="567"/>
        <w:rPr>
          <w:b/>
          <w:i/>
        </w:rPr>
      </w:pPr>
      <w:r w:rsidRPr="00FB5339">
        <w:rPr>
          <w:b/>
          <w:i/>
        </w:rPr>
        <w:t>Vnitřní řízení, výkonnost a interní kontrola</w:t>
      </w:r>
    </w:p>
    <w:p w14:paraId="04A4F1B6" w14:textId="77777777" w:rsidR="00624195" w:rsidRPr="00FB5339" w:rsidRDefault="00624195" w:rsidP="00624195">
      <w:pPr>
        <w:spacing w:after="240"/>
        <w:ind w:left="567" w:hanging="567"/>
      </w:pPr>
      <w:r w:rsidRPr="00FB5339">
        <w:t>11.</w:t>
      </w:r>
      <w:r w:rsidRPr="00FB5339">
        <w:tab/>
        <w:t xml:space="preserve">konstatuje, že EIOÚ používal devět klíčových ukazatelů výkonnosti (KPI) ke sledování své výkonnosti v roce 2023 v souladu s hlavními cíli strategie EIOÚ na období 2020–2024, která se provádí prostřednictvím ročního plánu řízení; na základě výroční zprávy konstatuje, že EIOÚ překročil očekávání téměř ve všech oblastech, jak naznačují výsledky KPI za rok 2023, s výjimkou jednoho KPI (počet sledujících účtu EIOÚ na některých účtech na sociálních sítích); se znepokojením konstatuje, že EIOÚ se potýkal se značnými problémy v důsledku rostoucí pracovní zátěže a složitých problémů s ochranou údajů vyplývajících z rychle se vyvíjejícího digitálního prostředí, jakož i z důvodu rozšíření mandátu EIOÚ na dozorové činnosti (jako jsou audity a vyšetřování) a odpovědi na konzultace a předchozí konzultace, a to vše v rámci omezeného rozpočtu; na základě zprávy EIOÚ navazující na usnesení Parlamentu o provádění rozpočtu EIOÚ za rok 2022 (dále jen „návazná zpráva“) konstatuje, že na činnosti a zdroje EIOÚ v uplynulých dvou letech mělo vliv několik změn právních předpisů kvůli rozšíření mandátu </w:t>
      </w:r>
      <w:proofErr w:type="spellStart"/>
      <w:r w:rsidRPr="00FB5339">
        <w:t>Eurojustu</w:t>
      </w:r>
      <w:proofErr w:type="spellEnd"/>
      <w:r w:rsidRPr="00FB5339">
        <w:t>, novým informacím, které má přijímat Europol podle nařízení o digitálních službách, zavedení nových rozsáhlých databází Unie a rámce interoperability v oblasti spravedlnosti a vnitřních věcí a kvůli vstupu v platnost aktu o umělé inteligenci (dále jen „akt o AI“); vyzývá Komisi a rozpočtový orgán, aby tyto záležitosti vzaly v úvahu během ročního rozpočtového procesu;</w:t>
      </w:r>
    </w:p>
    <w:p w14:paraId="46D98F36" w14:textId="77777777" w:rsidR="00624195" w:rsidRPr="00FB5339" w:rsidRDefault="00624195" w:rsidP="00624195">
      <w:pPr>
        <w:spacing w:after="240"/>
        <w:ind w:left="567" w:hanging="567"/>
      </w:pPr>
      <w:r w:rsidRPr="00FB5339">
        <w:t>12.</w:t>
      </w:r>
      <w:r w:rsidRPr="00FB5339">
        <w:tab/>
        <w:t xml:space="preserve">vítá skutečnost, že v roce 2023 EIOÚ posílil svou schopnost posuzovat nové technologické trendy a jejich potenciální dopad na soukromí a ochranu údajů a připravovat se na ně; konstatuje, že toho bylo dosaženo přístupem založeným na prognózách, který klade důraz na sledování vývoje v oblastech, jako jsou velké jazykové modely, peněženky digitální identity, internet chování, prodloužená realita a odhalování </w:t>
      </w:r>
      <w:proofErr w:type="spellStart"/>
      <w:r w:rsidRPr="00FB5339">
        <w:t>deep</w:t>
      </w:r>
      <w:proofErr w:type="spellEnd"/>
      <w:r w:rsidRPr="00FB5339">
        <w:t xml:space="preserve"> </w:t>
      </w:r>
      <w:proofErr w:type="spellStart"/>
      <w:r w:rsidRPr="00FB5339">
        <w:t>fake</w:t>
      </w:r>
      <w:proofErr w:type="spellEnd"/>
      <w:r w:rsidRPr="00FB5339">
        <w:t xml:space="preserve">; vítá v této souvislosti, že EIOÚ zveřejnil třetí iniciativu </w:t>
      </w:r>
      <w:proofErr w:type="spellStart"/>
      <w:r w:rsidRPr="00FB5339">
        <w:t>TechSonar</w:t>
      </w:r>
      <w:proofErr w:type="spellEnd"/>
      <w:r w:rsidRPr="00FB5339">
        <w:t xml:space="preserve"> o nových technologiích; navíc blahopřeje EIOÚ k získání ceny GPA </w:t>
      </w:r>
      <w:proofErr w:type="spellStart"/>
      <w:r w:rsidRPr="00FB5339">
        <w:t>Global</w:t>
      </w:r>
      <w:proofErr w:type="spellEnd"/>
      <w:r w:rsidRPr="00FB5339">
        <w:t xml:space="preserve"> </w:t>
      </w:r>
      <w:proofErr w:type="spellStart"/>
      <w:r w:rsidRPr="00FB5339">
        <w:t>Privacy</w:t>
      </w:r>
      <w:proofErr w:type="spellEnd"/>
      <w:r w:rsidRPr="00FB5339">
        <w:t xml:space="preserve"> and Data </w:t>
      </w:r>
      <w:proofErr w:type="spellStart"/>
      <w:r w:rsidRPr="00FB5339">
        <w:t>Protection</w:t>
      </w:r>
      <w:proofErr w:type="spellEnd"/>
      <w:r w:rsidRPr="00FB5339">
        <w:t xml:space="preserve"> </w:t>
      </w:r>
      <w:proofErr w:type="spellStart"/>
      <w:r w:rsidRPr="00FB5339">
        <w:t>Awards</w:t>
      </w:r>
      <w:proofErr w:type="spellEnd"/>
      <w:r w:rsidRPr="00FB5339">
        <w:t xml:space="preserve"> 2023 v kategorii inovací;</w:t>
      </w:r>
    </w:p>
    <w:p w14:paraId="2357D805" w14:textId="77777777" w:rsidR="00624195" w:rsidRPr="00FB5339" w:rsidRDefault="00624195" w:rsidP="00624195">
      <w:pPr>
        <w:spacing w:after="240"/>
        <w:ind w:left="567" w:hanging="567"/>
      </w:pPr>
      <w:r w:rsidRPr="00FB5339">
        <w:t>13.</w:t>
      </w:r>
      <w:r w:rsidRPr="00FB5339">
        <w:tab/>
        <w:t>konstatuje, že v roce 2023 došlo k několika organizačním změnám nebo aktualizacím, které byly zapotřebí, aby bylo možné reagovat a přizpůsobit se měnícím se výzvám v oblasti ochrany údajů; vítá v této souvislosti jmenování generálního tajemníka od 1. července 2023; kromě toho bere na vědomí transformaci dvou odborů na oddělení, např. jde o „Informace a komunikace“ a „Správu a vnitřní kontrolu“, a vytvoření tří nových specializovaných odborů v rámci oddělení „Technologie a soukromí“ (T&amp;P): „Dohled nad systémy a audit“, „Monitorování a předvídání technologií“ a „Digitální transformace“;</w:t>
      </w:r>
    </w:p>
    <w:p w14:paraId="7C0703A4" w14:textId="77777777" w:rsidR="00624195" w:rsidRPr="00FB5339" w:rsidRDefault="00624195" w:rsidP="00624195">
      <w:pPr>
        <w:spacing w:after="240"/>
        <w:ind w:left="567" w:hanging="567"/>
      </w:pPr>
      <w:r w:rsidRPr="00FB5339">
        <w:t>14.</w:t>
      </w:r>
      <w:r w:rsidRPr="00FB5339">
        <w:tab/>
        <w:t xml:space="preserve">vyzdvihuje úlohu EIOÚ při dohledu nad zpracováním osobních údajů orgány, institucemi a jinými subjekty Unie; se znepokojením poukazuje na délku řízení EIOÚ, protože EIOÚ v roce 2023 neuzavřel ani jedno šetření, avšak konstatuje, že v roce 2023 se ve srovnání s předchozím rokem výrazně snížil počet oznámení podaných po vypršení </w:t>
      </w:r>
      <w:proofErr w:type="gramStart"/>
      <w:r w:rsidRPr="00FB5339">
        <w:t>72 hodinové</w:t>
      </w:r>
      <w:proofErr w:type="gramEnd"/>
      <w:r w:rsidRPr="00FB5339">
        <w:t xml:space="preserve"> lhůty;</w:t>
      </w:r>
    </w:p>
    <w:p w14:paraId="3423A3E3" w14:textId="77777777" w:rsidR="00624195" w:rsidRPr="00FB5339" w:rsidRDefault="00624195" w:rsidP="00624195">
      <w:pPr>
        <w:spacing w:after="240"/>
        <w:ind w:left="567" w:hanging="567"/>
      </w:pPr>
      <w:r w:rsidRPr="00FB5339">
        <w:t>15.</w:t>
      </w:r>
      <w:r w:rsidRPr="00FB5339">
        <w:tab/>
        <w:t>konstatuje, že EIOÚ obdržel 420 stížností, tj. o 53 více než v roce 2022, z tohoto počtu pak 73 bylo v roce 2023 přípustných a 347 nepřípustných; konstatuje, že EIOÚ vydal konečné rozhodnutí, stanovisko nebo odpověď ve 31 ze 73 případů stížností obdržených v roce 2023 v průměru do 44 dnů a odpověděl na všech 347 obdržených nepřípustných stížností; konstatuje, že ze všech přípustných stížností (probíhajících a přijatých v roce 2023) bylo v roce 2023 uzavřeno 55 případů, což představuje nárůst o 17 % ve srovnání s rokem 2022; oceňuje úsilí EIOÚ o snížení vysokého počtu stížností vytvořením dynamického nástroje na internetových stránkách EIOÚ, ačkoli objem stížností představoval v roce 2023 i nadále kvůli omezeným zdrojům výzvu; s uspokojením konstatuje, že EIOÚ v roce 2023 vyvinul různé procesní nástroje a politiky na zlepšení svých vyšetřovacích procesů; v této souvislosti chválí EIOÚ za to, že změnil svůj jednací řád, v němž je „přezkumné řízení“ nahrazeno „předběžným posouzením“, aby bylo zaručeno právo všech zúčastněných stran být vyslechnut, což přispívá ke spravedlivému a včasnému vyřizování stížností a vyšetřování;</w:t>
      </w:r>
    </w:p>
    <w:p w14:paraId="5653184D" w14:textId="77777777" w:rsidR="00624195" w:rsidRPr="00FB5339" w:rsidRDefault="00624195" w:rsidP="00624195">
      <w:pPr>
        <w:spacing w:after="240"/>
        <w:ind w:left="567" w:hanging="567"/>
      </w:pPr>
      <w:r w:rsidRPr="00FB5339">
        <w:t>16.</w:t>
      </w:r>
      <w:r w:rsidRPr="00FB5339">
        <w:tab/>
        <w:t>zdůrazňuje důležitou úlohu konzultací a poradenství EIOÚ v legislativním procesu; konstatuje, že EIOÚ odpověděl na 80 formálních legislativních konzultací podle čl. 42 odst. 1 nařízení (EU) 2018/1725 a jeho doporučení mělo v 2023 podobu 54 stanovisek (27 v roce 2022), 26 formálních připomínek (49 v roce 2022) a 34 neformálních připomínek (30 v roce 2022) Komisi a </w:t>
      </w:r>
      <w:proofErr w:type="spellStart"/>
      <w:r w:rsidRPr="00FB5339">
        <w:t>spolunormotvůrcům</w:t>
      </w:r>
      <w:proofErr w:type="spellEnd"/>
      <w:r w:rsidRPr="00FB5339">
        <w:t xml:space="preserve"> v reakci na žádosti o legislativní konzultace; chválí EIOÚ za jeho příspěvek, pokud jde o akt o AI, zejména jeho stanovisko z vlastního podnětu k aktu o AI a doporučení týkající se pravidel odpovědnosti za umělou inteligenci, jakož i za příspěvek k usnesení GPA o generativních systémech umělé inteligence; bere na vědomí významný nárůst (+93 %) žádostí o konzultace za posledních pět let;</w:t>
      </w:r>
    </w:p>
    <w:p w14:paraId="4CD81DD6" w14:textId="77777777" w:rsidR="00624195" w:rsidRPr="00FB5339" w:rsidRDefault="00624195" w:rsidP="00624195">
      <w:pPr>
        <w:spacing w:after="240"/>
        <w:ind w:left="567" w:hanging="567"/>
      </w:pPr>
      <w:r w:rsidRPr="00FB5339">
        <w:t>17.</w:t>
      </w:r>
      <w:r w:rsidRPr="00FB5339">
        <w:tab/>
        <w:t>konstatuje, že v roce 2023 provedl EIOÚ osm vyšetřování a pět předběžných šetření, což představuje významný nárůst ve srovnání s předchozími roky; konstatuje, že v roce 2023 se EIOÚ aktivně podílel na celkem 13 vyšetřováních a sedmi předběžných šetřeních, která buď byla zahájena v roce 2023, nebo byla přenesena z předchozích let; konstatuje, že EIOÚ pokračoval ve dvou složitých formálních vyšetřování vyžadujících značné zdroje z roku 2021, která se týkala se používání cloudových služeb orgány, institucemi nebo jinými subjekty Unie od subjektů mimo EU/EHP, včetně zaměření na používání Microsoft 365 ze strany Komise; naléhavě vyzývá, aby tato vyšetřování byla dokončena včas, a to s ohledem na jeho značný dopad na fungování orgánů a institucí; dále konstatuje, že EIOÚ rovněž zahájil pět vyšetřování na základě stížností na internetové stránky orgánů, institucí nebo jiných subjektů Unie, které jsou široce zaměřené na otázky týkající se soukromí a ochrany údajů, přičemž předběžné posouzení se očekává v roce 2024;</w:t>
      </w:r>
    </w:p>
    <w:p w14:paraId="19FD68BF" w14:textId="77777777" w:rsidR="00624195" w:rsidRPr="00FB5339" w:rsidRDefault="00624195" w:rsidP="00624195">
      <w:pPr>
        <w:spacing w:after="240"/>
        <w:ind w:left="567" w:hanging="567"/>
      </w:pPr>
      <w:r w:rsidRPr="00FB5339">
        <w:t>18.</w:t>
      </w:r>
      <w:r w:rsidRPr="00FB5339">
        <w:tab/>
        <w:t>naléhavě vyzývá EIOÚ, aby upřednostnil a zlepšil postupy pro nakládání s osobními údaji nezletilých osob mladších 15 let, zejména v souvislosti se systémy Europolu, kde mohou být tyto osoby označeny za podezřelé; uznává zvýšenou zranitelnost této skupiny a potřebu spolehlivých záruk;</w:t>
      </w:r>
    </w:p>
    <w:p w14:paraId="29A81E3C" w14:textId="77777777" w:rsidR="00624195" w:rsidRPr="00FB5339" w:rsidRDefault="00624195" w:rsidP="00624195">
      <w:pPr>
        <w:spacing w:after="240"/>
        <w:ind w:left="567" w:hanging="567"/>
      </w:pPr>
      <w:r w:rsidRPr="00FB5339">
        <w:t>19.</w:t>
      </w:r>
      <w:r w:rsidRPr="00FB5339">
        <w:tab/>
        <w:t xml:space="preserve">bere na vědomí, že EIOÚ prošetřil údajné používání </w:t>
      </w:r>
      <w:proofErr w:type="spellStart"/>
      <w:r w:rsidRPr="00FB5339">
        <w:t>mikrocílení</w:t>
      </w:r>
      <w:proofErr w:type="spellEnd"/>
      <w:r w:rsidRPr="00FB5339">
        <w:t xml:space="preserve"> ze strany Komise na platformě X a pokračoval ve dvou předběžných šetřeních: jeden případ týkající se používání cloudové služby </w:t>
      </w:r>
      <w:proofErr w:type="spellStart"/>
      <w:r w:rsidRPr="00FB5339">
        <w:t>Trello</w:t>
      </w:r>
      <w:proofErr w:type="spellEnd"/>
      <w:r w:rsidRPr="00FB5339">
        <w:t xml:space="preserve"> ze strany orgánů, institucí nebo jiných subjektů Unie, který byl uzavřen v roce 2023, a další případ používání profilování ze strany orgánů, institucí nebo jiných subjektů Unie, který byl proveden v roce 2024; konstatuje, že v prostoru svobody, bezpečnosti a práva bylo zahájeno celkem šest vyšetřování a čtyři předběžná šetření (jedno předběžné šetření v roce 2022), což od roku 2022 představuje významný nárůst; bere na vědomí obavy EIOÚ, pokud jde o problémy, které mohou nastat v případě vyšetřování, ve kterých je zapotřebí společný postup mezi vnitrostátními orgány a orgány, institucemi nebo jinými subjekty Unie; dále bere na vědomí, že v rámci svého plánu auditu na rok 2023 provedl EIOÚ audit těchto subjektů: Evropský úřad pro výběr personálu, Evropská investiční banka, Evropská centrální banka, Evropské centrum pro prevenci a kontrolu nemocí a Evropská agentura pro léčivé přípravky;</w:t>
      </w:r>
    </w:p>
    <w:p w14:paraId="319CBC23" w14:textId="77777777" w:rsidR="00624195" w:rsidRPr="00FB5339" w:rsidRDefault="00624195" w:rsidP="00624195">
      <w:pPr>
        <w:spacing w:after="240"/>
        <w:ind w:left="567" w:hanging="567"/>
      </w:pPr>
      <w:r w:rsidRPr="00FB5339">
        <w:t>20.</w:t>
      </w:r>
      <w:r w:rsidRPr="00FB5339">
        <w:tab/>
        <w:t>připomíná, že v roce 2022 podal EIOÚ u Tribunálu žalobu na zrušení dvou ustanovení pozměněného nařízení o Europolu, která byla později zamítnuta; konstatuje, že se EIOÚ rozhodl odvolat proti usnesení Tribunálu ve věci T-578/22 </w:t>
      </w:r>
      <w:r w:rsidRPr="00FB5339">
        <w:rPr>
          <w:vertAlign w:val="superscript"/>
        </w:rPr>
        <w:footnoteReference w:id="9"/>
      </w:r>
      <w:r w:rsidRPr="00FB5339">
        <w:t>, a je přesvědčen, že vznesené otázky by měly být řešeny na nejvyšší úrovni; vyjadřuje politování nad tím, že EIOÚ si neuvědomil zjevnou nepřípustnost svého odvolání, i když tento orgán neměl v úmyslu napadnout jednání ze strany Europolu, ale zpětnou změnu právního rámce, jejímž cílem je neutralizovat účinky donucovacích opatření EIOÚ; vyzývá tento orgán, aby před zahájením soudního řízení, které brání plnění jeho mandátu a využívání jeho zdrojů k účelům nebo k zamýšleným účelům, spolupracoval s evropskými orgány a agenturami; dále konstatuje, že EIOÚ rovněž provedl kroky navazující na provádění svého usnesení ze dne 3. ledna 2022, včetně kontrol podávání zpráv ze strany Europolu; vyjadřuje politování nad tím, že závěrečnou zprávu o této záležitosti předložil EIOÚ až 22. července 2024;</w:t>
      </w:r>
    </w:p>
    <w:p w14:paraId="64EA6A79" w14:textId="77777777" w:rsidR="00624195" w:rsidRPr="00FB5339" w:rsidRDefault="00624195" w:rsidP="00624195">
      <w:pPr>
        <w:spacing w:after="240"/>
        <w:ind w:left="567" w:hanging="567"/>
      </w:pPr>
      <w:r w:rsidRPr="00FB5339">
        <w:t>21.</w:t>
      </w:r>
      <w:r w:rsidRPr="00FB5339">
        <w:tab/>
        <w:t>konstatuje, že po pilotním zavedení nového rámce pro řízení rizik v úřadu EIOÚ na konci roku 2022 byl v květnu 2023 proveden anonymní průzkum spokojenosti s cílem posoudit jeho účinnost a shromáždit další návrhy; dále konstatuje, že výsledky průzkumu byly pozitivní, což vedlo k formálnímu přijetí rámce dne 26. června 2023;</w:t>
      </w:r>
    </w:p>
    <w:p w14:paraId="1003830B" w14:textId="77777777" w:rsidR="00624195" w:rsidRPr="00FB5339" w:rsidRDefault="00624195" w:rsidP="00624195">
      <w:pPr>
        <w:spacing w:after="240"/>
        <w:ind w:left="567" w:hanging="567"/>
      </w:pPr>
      <w:r w:rsidRPr="00FB5339">
        <w:t>22.</w:t>
      </w:r>
      <w:r w:rsidRPr="00FB5339">
        <w:tab/>
        <w:t>konstatuje, že Útvar interního auditu (IAS) provedl v roce 2023 audit metodiky pro plánování auditů EIOÚ; konstatuje, že audit byl završen dvěma doporučeními, pro něž EIOÚ předložil IAS akční plán; vyzývá EIOÚ, aby pravidelně informoval orgán příslušný k udělení absolutoria o pokroku dosaženém v této věci;</w:t>
      </w:r>
    </w:p>
    <w:p w14:paraId="71C703BA" w14:textId="77777777" w:rsidR="00624195" w:rsidRPr="00FB5339" w:rsidRDefault="00624195" w:rsidP="00624195">
      <w:pPr>
        <w:spacing w:after="240"/>
        <w:ind w:left="567" w:hanging="567"/>
      </w:pPr>
      <w:r w:rsidRPr="00FB5339">
        <w:t>23.</w:t>
      </w:r>
      <w:r w:rsidRPr="00FB5339">
        <w:tab/>
        <w:t>připomíná, že Smlouva o Evropské unii stanoví, že EU a její orgány podporují solidaritu a rovnost žen a mužů;</w:t>
      </w:r>
    </w:p>
    <w:p w14:paraId="7AE6E264" w14:textId="77777777" w:rsidR="00624195" w:rsidRPr="00FB5339" w:rsidRDefault="00624195" w:rsidP="00624195">
      <w:pPr>
        <w:spacing w:after="240"/>
        <w:ind w:left="567" w:hanging="567"/>
        <w:rPr>
          <w:b/>
          <w:i/>
        </w:rPr>
      </w:pPr>
      <w:r w:rsidRPr="00FB5339">
        <w:rPr>
          <w:b/>
          <w:i/>
        </w:rPr>
        <w:t>Lidské zdroje, rovnost a dobré pracovní podmínky zaměstnanců</w:t>
      </w:r>
    </w:p>
    <w:p w14:paraId="0687FEDB" w14:textId="77777777" w:rsidR="00624195" w:rsidRPr="00FB5339" w:rsidRDefault="00624195" w:rsidP="00624195">
      <w:pPr>
        <w:spacing w:after="240"/>
        <w:ind w:left="567" w:hanging="567"/>
      </w:pPr>
      <w:r w:rsidRPr="00FB5339">
        <w:t>24.</w:t>
      </w:r>
      <w:r w:rsidRPr="00FB5339">
        <w:tab/>
        <w:t>konstatuje, že koncem roku 2023 měl EIOÚ celkem 129 zaměstnanců oproti 127 v roce 2022; bere na vědomí, že EIOÚ zaměstnával 50 smluvních zaměstnanců (CA) podle čl. 3 písm. b) služebního řádu úředníků a pracovního řádu ostatních zaměstnanců (52 CA v roce 2022), 7 dočasných zaměstnanců (TA) podle čl. 2 písm. b) a čl. 2 písm. c) (6 TA v roce 2022) a v roce 2023 využíval služeb 12 externích poskytovatelů služeb (EXT) pracujících „</w:t>
      </w:r>
      <w:r w:rsidRPr="00FB5339">
        <w:rPr>
          <w:i/>
          <w:iCs/>
        </w:rPr>
        <w:t>intra-</w:t>
      </w:r>
      <w:proofErr w:type="spellStart"/>
      <w:r w:rsidRPr="00FB5339">
        <w:rPr>
          <w:i/>
          <w:iCs/>
        </w:rPr>
        <w:t>muros</w:t>
      </w:r>
      <w:proofErr w:type="spellEnd"/>
      <w:r w:rsidRPr="00FB5339">
        <w:t>“ (8 EXT v roce 2022); vybízí EIOÚ, aby pokračoval ve svém úsilí o vyváženější zeměpisné zastoupení mezi všemi členskými státy, zejména na manažerské úrovni; vítá zvýšenou rozmanitost zastoupených národností, avšak s politováním konstatuje, že ženy jsou stále nedostatečně zastoupeny na vyšších vedoucích pozicích; vyzývá k přijetí plánu pro rovné zastoupení žen a mužů, včetně proaktivních náborových opatření a programů odborné přípravy v oblasti vedení pro ženy;</w:t>
      </w:r>
    </w:p>
    <w:p w14:paraId="2A48DA06" w14:textId="77777777" w:rsidR="00624195" w:rsidRPr="00FB5339" w:rsidRDefault="00624195" w:rsidP="00624195">
      <w:pPr>
        <w:spacing w:after="240"/>
        <w:ind w:left="567" w:hanging="567"/>
      </w:pPr>
      <w:r w:rsidRPr="00FB5339">
        <w:t>25.</w:t>
      </w:r>
      <w:r w:rsidRPr="00FB5339">
        <w:tab/>
        <w:t>konstatuje, že EIOÚ měl v roce 2023 mezi svými zaměstnanci 23 státních příslušností (z členských států), což je ve srovnání s 22 státními příslušnostmi v roce 2022 zlepšení; vyjadřuje nespokojenost nadměrným zastoupením pěti státních příslušností a nedostatečným zastoupením ostatních státních příslušností; žádá EOIÚ, aby ve svém personálním obsazení i nadále usiloval o dosažení rovnováhy mezi státními příslušníky všech členských států, a to zlepšením komunikace, podporou viditelnosti a zlepšením pracovních podmínek s cílem přilákat nedostatečně zastoupené národnosti;</w:t>
      </w:r>
    </w:p>
    <w:p w14:paraId="47E0D013" w14:textId="77777777" w:rsidR="00624195" w:rsidRPr="00FB5339" w:rsidRDefault="00624195" w:rsidP="00624195">
      <w:pPr>
        <w:spacing w:after="240"/>
        <w:ind w:left="567" w:hanging="567"/>
        <w:rPr>
          <w:b/>
          <w:i/>
        </w:rPr>
      </w:pPr>
      <w:r w:rsidRPr="00FB5339">
        <w:t>26.</w:t>
      </w:r>
      <w:r w:rsidRPr="00FB5339">
        <w:tab/>
        <w:t>konstatuje, že v roce 2023 pracovní síly EIOÚ zahrnovaly 65 % žen a 35 % mužů, což je v souladu s trendy z předchozích let; vyjadřuje politování nad absencí žen ve vyšších řídících funkcích, a to navzdory dosažení rovného zastoupení žen a mužů na šesti postech středního managementu; naléhavě vyzývá EIOÚ, aby zintenzívnil své úsilí o zajištění vyváženého zastoupení žen a mužů na všech úrovních zaměstnanců, a vyzývá EIOÚ, aby podporoval ženy jako uchazečky, a to i s ohledem na příští volbu inspektora Parlamentem;</w:t>
      </w:r>
    </w:p>
    <w:p w14:paraId="169B5613" w14:textId="77777777" w:rsidR="00624195" w:rsidRPr="00FB5339" w:rsidRDefault="00624195" w:rsidP="00624195">
      <w:pPr>
        <w:spacing w:after="240"/>
        <w:ind w:left="567" w:hanging="567"/>
      </w:pPr>
      <w:r w:rsidRPr="00FB5339">
        <w:t>27.</w:t>
      </w:r>
      <w:r w:rsidRPr="00FB5339">
        <w:tab/>
        <w:t>bere na vědomí vysokou obsazenost plánu pracovních míst ve výši 95,65 %, ale také vysokou míru fluktuace zaměstnanců ve výši 13 % v roce 2023; konstatuje, že většina neobsazených pozic byla dána nevhodností uchazečů vzhledem k tomu, že EIOÚ potřebuje vysoce specializované profily a existuje pouze malý okruh způsobilých uchazečů; vítá řešení těchto problémů opětovným zveřejněním oznámení o volném pracovním místě s širším nebo cílenějším šířením nebo přepracováním požadavků; vítá kroky, které přijal EIOÚ v souvislosti s náborovým řízením; vyzývá EIOÚ, aby nadále řešil problémy při hledání vhodných uchazečů a průběžně informoval orgán příslušný k udělení absolutoria o zlepšeních v oblasti náboru zaměstnanců a fluktuace;</w:t>
      </w:r>
    </w:p>
    <w:p w14:paraId="6041E354" w14:textId="77777777" w:rsidR="00624195" w:rsidRPr="00FB5339" w:rsidRDefault="00624195" w:rsidP="00624195">
      <w:pPr>
        <w:spacing w:after="240"/>
        <w:ind w:left="567" w:hanging="567"/>
      </w:pPr>
      <w:r w:rsidRPr="00FB5339">
        <w:t>28.</w:t>
      </w:r>
      <w:r w:rsidRPr="00FB5339">
        <w:tab/>
        <w:t>konstatuje, že v druhé polovině roku 2023 zahájil tým lidských zdrojů (HR) EIOÚ pilotní projekt pro nový proces přijímání nových pracovníků, jehož součástí jsou bloky, které se mimo jiné věnují prezentaci práce hlavních oddělení, etiky, postupů zadávání zakázek a bezpečnosti informací, přičemž v roce 2023 byly zorganizovány tři zaškolovací bloky; vyzývá EIOÚ, aby i nadále nabízel nově příchozím a všem zaměstnancům nabízel povinná školení, která připomínají význam zásad, jako je etika, střet zájmů, transparentnost, vnitřní kontrola a boj proti podvodům, neboť takovéto zásady se v evropských orgánech staly normou; dále poznamenává, že v roce 2023 bylo nabídnuto 12 individuálních bloků pro zaměstnance EIOÚ a EDPB, šest bloků skupinového koučování, na nichž se účastníci (na úrovni vedoucích pracovníků) učili jeden od druhého, a také jednoroční týmové koučování s návrhářem rozvoje vůdcovských dovedností v Evropské správní škole;</w:t>
      </w:r>
    </w:p>
    <w:p w14:paraId="5ABAF1D8" w14:textId="77777777" w:rsidR="00624195" w:rsidRPr="00FB5339" w:rsidRDefault="00624195" w:rsidP="00624195">
      <w:pPr>
        <w:spacing w:after="240"/>
        <w:ind w:left="567" w:hanging="567"/>
      </w:pPr>
      <w:r w:rsidRPr="00FB5339">
        <w:t>29.</w:t>
      </w:r>
      <w:r w:rsidRPr="00FB5339">
        <w:tab/>
        <w:t>na základě obsahu dotazníku konstatuje, že EIOÚ nabízí flexibilní a hybridní uspořádání pracovní doby, která vítají zaměstnanci, kteří mohou mimo jiné využívat rodičovskou dovolenou, časové kredity, práci na částečný úvazek nebo práci ze zahraničí na omezený počet dní v roce; konstatuje, že v roce 2023 tyto pracovní podmínky využila většina zaměstnanců, zatímco v roce 2023 využilo možnosti na dálku 86,30 % zaměstnanců; domnívá se, že infrastruktura budov by měla být optimalizována tak, aby odrážela tuto vysokou míru práce z domova, která by mohla přispět ke snížení provozních nákladů a k zajištění účinnějšího využívání kancelářských prostor; vítá dlouhodobou snahu EIOÚ o aktivní zlepšování fyzické a duševní pohody svých zaměstnanců;</w:t>
      </w:r>
    </w:p>
    <w:p w14:paraId="50DCCDA0" w14:textId="77777777" w:rsidR="00624195" w:rsidRPr="00FB5339" w:rsidRDefault="00624195" w:rsidP="00624195">
      <w:pPr>
        <w:spacing w:after="240"/>
        <w:ind w:left="567" w:hanging="567"/>
      </w:pPr>
      <w:r w:rsidRPr="00FB5339">
        <w:t>30.</w:t>
      </w:r>
      <w:r w:rsidRPr="00FB5339">
        <w:tab/>
        <w:t>chválí EIOÚ za to, že během roku 2023 provedl několik osvětových akcí, jejichž součástí bylo sdílení informací o vymýcení rasové diskriminace, mezinárodním dni žen, unijním měsíci rozmanitosti a seznámení se s </w:t>
      </w:r>
      <w:proofErr w:type="spellStart"/>
      <w:r w:rsidRPr="00FB5339">
        <w:t>neurodiverzitou</w:t>
      </w:r>
      <w:proofErr w:type="spellEnd"/>
      <w:r w:rsidRPr="00FB5339">
        <w:t>; konstatuje, že v současné době EIOÚ nezaměstnává pracovníky se zdravotním postižením, ale ve všech oznámeních o volných pracovních místech EIOÚ je zahrnuta doložka o rovných příležitostech a EIOÚ aktivně podporuje podávání žádostí uchazečů se zdravotním postižením;</w:t>
      </w:r>
    </w:p>
    <w:p w14:paraId="41C94B04" w14:textId="77777777" w:rsidR="00624195" w:rsidRPr="00FB5339" w:rsidRDefault="00624195" w:rsidP="00624195">
      <w:pPr>
        <w:spacing w:after="240"/>
        <w:ind w:left="567" w:hanging="567"/>
      </w:pPr>
      <w:r w:rsidRPr="00FB5339">
        <w:t>31.</w:t>
      </w:r>
      <w:r w:rsidRPr="00FB5339">
        <w:tab/>
        <w:t>na základě dotazníku konstatuje, že EIOÚ považuje veškeré informace o případech syndromu vyhoření, včetně jejich počtu, za důvěrné; nesouhlasí s tímto stanoviskem a vyzývá EIOÚ, aby orgánu příslušnému k udělení absolutoria poskytl každoročně počet případů syndromu vyhoření; s uspokojením konstatuje, že v roce 2023 nebyly u EIOÚ hlášeny žádné případy obtěžování; vítá skutečnost, že v roce 2023 EIOÚ nadále nabízel prezentaci proti obtěžování, kterou provedl jeden z důvěrných poradců EIOÚ, jako součást úvodního školení nazvaného „Uvítací den v EIOÚ“; chválí zveřejnění rozhodnutí o boji proti obtěžování a úlohu důvěrných poradců na intranetu EIOÚ;</w:t>
      </w:r>
    </w:p>
    <w:p w14:paraId="624FB4C3" w14:textId="77777777" w:rsidR="00624195" w:rsidRPr="00FB5339" w:rsidRDefault="00624195" w:rsidP="00624195">
      <w:pPr>
        <w:spacing w:after="240"/>
        <w:ind w:left="567" w:hanging="567"/>
        <w:rPr>
          <w:b/>
          <w:i/>
        </w:rPr>
      </w:pPr>
      <w:r w:rsidRPr="00FB5339">
        <w:rPr>
          <w:b/>
          <w:i/>
        </w:rPr>
        <w:t>Etický rámec a transparentnost</w:t>
      </w:r>
    </w:p>
    <w:p w14:paraId="26D694A7" w14:textId="77777777" w:rsidR="00624195" w:rsidRPr="00FB5339" w:rsidRDefault="00624195" w:rsidP="00624195">
      <w:pPr>
        <w:spacing w:after="240"/>
        <w:ind w:left="567" w:hanging="567"/>
      </w:pPr>
      <w:r w:rsidRPr="00FB5339">
        <w:t>32.</w:t>
      </w:r>
      <w:r w:rsidRPr="00FB5339">
        <w:tab/>
        <w:t>bere na vědomí, že v roce 2023 EIOÚ zaměřil své úsilí na zvýšení informovanosti zaměstnanců o etickém rámci EIOÚ/EDPB uspořádáním povinných školení na toto téma pro všechny zaměstnance a úvodních školení pro nováčky v EIOÚ/EDPB, jmenováním nového úředníka pro záležitosti profesní etiky a účastí na pracovní skupině pro etiku „</w:t>
      </w:r>
      <w:proofErr w:type="spellStart"/>
      <w:r w:rsidRPr="00FB5339">
        <w:t>Comité</w:t>
      </w:r>
      <w:proofErr w:type="spellEnd"/>
      <w:r w:rsidRPr="00FB5339">
        <w:t xml:space="preserve"> </w:t>
      </w:r>
      <w:proofErr w:type="spellStart"/>
      <w:r w:rsidRPr="00FB5339">
        <w:t>Paritaire</w:t>
      </w:r>
      <w:proofErr w:type="spellEnd"/>
      <w:r w:rsidRPr="00FB5339">
        <w:t xml:space="preserve"> des </w:t>
      </w:r>
      <w:proofErr w:type="spellStart"/>
      <w:r w:rsidRPr="00FB5339">
        <w:t>Questions</w:t>
      </w:r>
      <w:proofErr w:type="spellEnd"/>
      <w:r w:rsidRPr="00FB5339">
        <w:t xml:space="preserve"> </w:t>
      </w:r>
      <w:proofErr w:type="spellStart"/>
      <w:r w:rsidRPr="00FB5339">
        <w:t>Statuaries</w:t>
      </w:r>
      <w:proofErr w:type="spellEnd"/>
      <w:r w:rsidRPr="00FB5339">
        <w:t>“; vítá, že EIOÚ zřídil e-mailovou schránku, kam mohou zaměstnanci zasílat své žádosti týkající se jakýchkoli dotazů souvisejících s etikou, a také využití etického modulu Komise v systému SYSPER; vybízí EIOÚ, aby pokračoval ve zvyšování povědomí a organizoval průzkumy s cílem posoudit úroveň povědomí zaměstnanců o etickém rámci EIOÚ a EDPB;</w:t>
      </w:r>
    </w:p>
    <w:p w14:paraId="11118F28" w14:textId="77777777" w:rsidR="00624195" w:rsidRPr="00FB5339" w:rsidRDefault="00624195" w:rsidP="00624195">
      <w:pPr>
        <w:spacing w:after="240"/>
        <w:ind w:left="567" w:hanging="567"/>
      </w:pPr>
      <w:r w:rsidRPr="00FB5339">
        <w:t>33.</w:t>
      </w:r>
      <w:r w:rsidRPr="00FB5339">
        <w:tab/>
        <w:t>vítá celkově vysokou úroveň transparentnosti, které EIOÚ dosáhl, pokud jde o jeho činnosti, zejména pokud jde o zveřejňování pořadu jednání a prohlášení o zájmech inspektora a vedoucího administrativy EIOÚ v souladu s kodexem chování EIOÚ z roku 2019; s ohledem na návaznou zprávu konstatuje, že EIOÚ přijal dva kodexy chování, přičemž jeden z nich se vztahuje na inspektora a druhý na zaměstnance EIOÚ; má za to, že v případech, kdy je generální tajemník povolán, aby nahradil inspektora, se jeho kodex chování vztahuje i na generálního tajemníka;</w:t>
      </w:r>
    </w:p>
    <w:p w14:paraId="69ADA5C1" w14:textId="77777777" w:rsidR="00624195" w:rsidRPr="00FB5339" w:rsidRDefault="00624195" w:rsidP="00624195">
      <w:pPr>
        <w:spacing w:after="240"/>
        <w:ind w:left="567" w:hanging="567"/>
      </w:pPr>
      <w:r w:rsidRPr="00FB5339">
        <w:t>34.</w:t>
      </w:r>
      <w:r w:rsidRPr="00FB5339">
        <w:tab/>
        <w:t>s uspokojením konstatuje, že EIOÚ nebyl od svého zřízení nikdy předmětem žádného šetření Evropského úřadu pro boj proti podvodům (OLAF);</w:t>
      </w:r>
    </w:p>
    <w:p w14:paraId="45BCCE1B" w14:textId="77777777" w:rsidR="00624195" w:rsidRPr="00FB5339" w:rsidRDefault="00624195" w:rsidP="00624195">
      <w:pPr>
        <w:spacing w:after="240"/>
        <w:ind w:left="567" w:hanging="567"/>
      </w:pPr>
      <w:r w:rsidRPr="00FB5339">
        <w:t>35.</w:t>
      </w:r>
      <w:r w:rsidRPr="00FB5339">
        <w:tab/>
        <w:t>konstatuje, že z pěti šetření zahájených veřejným ochráncem práv v roce 2023 týkajících se EIOÚ byla čtyři uzavřena bez dalšího vyšetřování; poznamenává, že u jednoho šetření stále nepadlo rozhodnutí a očekává se ve 4. čtvrtletí 2024; vyzývá EIOÚ, aby orgán příslušný k udělení absolutoria pravidelně informoval o výsledcích těchto šetření;</w:t>
      </w:r>
    </w:p>
    <w:p w14:paraId="773BB859" w14:textId="77777777" w:rsidR="00624195" w:rsidRPr="00FB5339" w:rsidRDefault="00624195" w:rsidP="00624195">
      <w:pPr>
        <w:spacing w:after="240"/>
        <w:ind w:left="567" w:hanging="567"/>
      </w:pPr>
      <w:r w:rsidRPr="00FB5339">
        <w:t>36.</w:t>
      </w:r>
      <w:r w:rsidRPr="00FB5339">
        <w:tab/>
        <w:t>lituje, že se EIOÚ stále formálně nepřipojil k rejstříku transparentnosti Unie; s ohledem na návaznou zprávu nicméně konstatuje, že EIOÚ zahájil interní hodnocení opatření v oblasti transparentnosti s cílem formálně se připojit k rejstříku transparentnosti Unie (TR), přičemž v roce 2023 se uskutečnily průzkumné schůzky a výměny informací EIOÚ se sekretariátem TR; vyzývá EIOÚ, aby orgánu příslušnému k udělení absolutoria podával zprávy o výsledku tohoto hodnocení; znovu vyzývá EIOÚ, aby se připojil k rejstříku transparentnosti a využíval jej, včetně proaktivního zveřejňování schůzek se třetími stranami, s cílem zajistit transparentnost regulačních a poradních funkcí EIOÚ;</w:t>
      </w:r>
    </w:p>
    <w:p w14:paraId="491C26AB" w14:textId="77777777" w:rsidR="00624195" w:rsidRPr="00FB5339" w:rsidRDefault="00624195" w:rsidP="00624195">
      <w:pPr>
        <w:spacing w:after="240"/>
        <w:ind w:left="567" w:hanging="567"/>
      </w:pPr>
      <w:r w:rsidRPr="00FB5339">
        <w:t>37.</w:t>
      </w:r>
      <w:r w:rsidRPr="00FB5339">
        <w:tab/>
        <w:t>s uspokojením konstatuje, že v roce 2023 zavedl EIOÚ vnitřní pravidla použitelná pro slyšení osob, které by mohly být dotčeny konečným rozhodnutím EIOÚ přijatým v rámci šetření a vyšetřování z vlastního podnětu, aby bylo v takovýchto řízeních zajištěno řádné uplatňování jejich základního práva být vyslechnut; chválí EIOÚ za zveřejnění nového přehledu o vyšetřování EIOÚ a nové politiky EIOÚ týkající se vyšetřování a za to, že zajistil, aby všechny finanční zprávy, včetně ročních rozpočtů, účetních a auditorských zpráv, byly veřejně přístupné prostřednictvím internetových stránek orgánu Unie a dalších oficiálních kanálů, protože EIOÚ přebírá vedoucí úlohu při zlepšování připravenosti orgánů Unie v oblasti kybernetické bezpečnosti;</w:t>
      </w:r>
    </w:p>
    <w:p w14:paraId="58043D2B" w14:textId="77777777" w:rsidR="00624195" w:rsidRPr="00FB5339" w:rsidRDefault="00624195" w:rsidP="00624195">
      <w:pPr>
        <w:spacing w:after="240"/>
        <w:ind w:left="567" w:hanging="567"/>
      </w:pPr>
      <w:r w:rsidRPr="00FB5339">
        <w:t>38.</w:t>
      </w:r>
      <w:r w:rsidRPr="00FB5339">
        <w:tab/>
        <w:t xml:space="preserve">na základě dotazníku s uspokojením konstatuje, že v roce 2023 nebyly v EIOÚ hlášeny žádné případy střetu zájmů, </w:t>
      </w:r>
      <w:proofErr w:type="spellStart"/>
      <w:r w:rsidRPr="00FB5339">
        <w:t>whistleblowingu</w:t>
      </w:r>
      <w:proofErr w:type="spellEnd"/>
      <w:r w:rsidRPr="00FB5339">
        <w:t xml:space="preserve"> nebo podvodů; konstatuje, že EIOÚ vytvořil rámec pro předcházení střetům zájmů na úrovni vyššího vedení a zaměstnanců prostřednictvím kodexů chování, osvěty a prohlášení o neexistenci střetu zájmů a zachovávání důvěrnosti; konstatuje, že kromě povinného uvedení do etického rámce EIOÚ pro všechny nové zaměstnance jsou noví zaměstnanci rovněž seznámeni se strategií EIOÚ pro boj proti podvodům;</w:t>
      </w:r>
    </w:p>
    <w:p w14:paraId="35AB8CAA" w14:textId="77777777" w:rsidR="00624195" w:rsidRPr="00FB5339" w:rsidRDefault="00624195" w:rsidP="00624195">
      <w:pPr>
        <w:spacing w:after="240"/>
        <w:ind w:left="567" w:hanging="567"/>
      </w:pPr>
      <w:r w:rsidRPr="00FB5339">
        <w:t>39.</w:t>
      </w:r>
      <w:r w:rsidRPr="00FB5339">
        <w:tab/>
        <w:t xml:space="preserve">na základě dotazníku konstatuje, že EIOÚ má vnitřní pravidla pro </w:t>
      </w:r>
      <w:proofErr w:type="spellStart"/>
      <w:r w:rsidRPr="00FB5339">
        <w:t>whistleblowing</w:t>
      </w:r>
      <w:proofErr w:type="spellEnd"/>
      <w:r w:rsidRPr="00FB5339">
        <w:t xml:space="preserve">, která vymezují bezpečné cesty a kanály, jimiž mohou zaměstnanci oznamovat obavy z podvodů, korupce nebo jiných závažných pochybení, aniž by byla dotčena důvěrnost totožnosti oznamovatele a oznamovaných informací; poznamenává, že dosud nikdy nebyl EIOÚ oznámen žádný případ </w:t>
      </w:r>
      <w:proofErr w:type="spellStart"/>
      <w:r w:rsidRPr="00FB5339">
        <w:t>whistleblowingu</w:t>
      </w:r>
      <w:proofErr w:type="spellEnd"/>
      <w:r w:rsidRPr="00FB5339">
        <w:t>;</w:t>
      </w:r>
    </w:p>
    <w:p w14:paraId="11401AC5" w14:textId="77777777" w:rsidR="00624195" w:rsidRPr="00FB5339" w:rsidRDefault="00624195" w:rsidP="00624195">
      <w:pPr>
        <w:spacing w:after="240"/>
        <w:ind w:left="567" w:hanging="567"/>
      </w:pPr>
      <w:r w:rsidRPr="00FB5339">
        <w:t>40.</w:t>
      </w:r>
      <w:r w:rsidRPr="00FB5339">
        <w:tab/>
        <w:t>naléhavě vyzývá EIOÚ, aby zveřejnil veškerá vyloučení z důvodu střetu zájmů ve svých rozhodnutích o prosazování a zajistil plnou transparentnost regulačního dohledu a rozhodování;</w:t>
      </w:r>
    </w:p>
    <w:p w14:paraId="634FB634" w14:textId="77777777" w:rsidR="00624195" w:rsidRPr="00FB5339" w:rsidRDefault="00624195" w:rsidP="00624195">
      <w:pPr>
        <w:spacing w:after="240"/>
        <w:ind w:left="567" w:hanging="567"/>
        <w:rPr>
          <w:b/>
          <w:i/>
        </w:rPr>
      </w:pPr>
      <w:r w:rsidRPr="00FB5339">
        <w:rPr>
          <w:b/>
          <w:i/>
        </w:rPr>
        <w:t>Digitalizace, kybernetická bezpečnost a ochrana údajů</w:t>
      </w:r>
    </w:p>
    <w:p w14:paraId="040DE367" w14:textId="77777777" w:rsidR="00624195" w:rsidRPr="00FB5339" w:rsidRDefault="00624195" w:rsidP="00624195">
      <w:pPr>
        <w:spacing w:after="240"/>
        <w:ind w:left="567" w:hanging="567"/>
      </w:pPr>
      <w:r w:rsidRPr="00FB5339">
        <w:t>41.</w:t>
      </w:r>
      <w:r w:rsidRPr="00FB5339">
        <w:tab/>
        <w:t>na základě dotazníku konstatuje, že rozpočet na IT vybavení a projekty na rok 2023 byl o 9,5 % nižší než v roce 2022; konstatuje, že toto snížení bylo způsobeno především tím, že v roce 2023 nebyly zadány žádné nové studie proveditelnosti IT, na rozdíl od roku 2022, kdy takové studie představovaly podstatnou část rozpočtu na IT; dále konstatuje, že ostatní nákladové položky zůstávají mezi uvedenými dvěma roky relativně stabilní, včetně obecných IT služeb a údržby;</w:t>
      </w:r>
    </w:p>
    <w:p w14:paraId="23D99939" w14:textId="77777777" w:rsidR="00624195" w:rsidRPr="00FB5339" w:rsidRDefault="00624195" w:rsidP="00624195">
      <w:pPr>
        <w:spacing w:after="240"/>
        <w:ind w:left="567" w:hanging="567"/>
      </w:pPr>
      <w:r w:rsidRPr="00FB5339">
        <w:t>42.</w:t>
      </w:r>
      <w:r w:rsidRPr="00FB5339">
        <w:tab/>
        <w:t>na základě návazné zprávy a dotazníku bere na vědomí závěry studie proveditelnosti IT provedené v roce 2022, podle nichž existují rozdíly mezi tím, co mohou nabídnout nástroje a služby IT poskytované Komisí a Parlamentem, a zvláštními potřebami EIOÚ; poznamenává, že tyto rozdíly by měly být vyřešeny rozvojem interních schopností a aplikací, pro což by bylo zapotřebí minimálně pět pracovníků IT a částečné externí zajištění služeb; lituje, že kvůli rozpočtovým omezením zůstalo provádění doporučení studie pozastaveno; vyzývá EIOÚ, aby zvážil přístup krok za krokem a začal s těmi doporučeními a projekty, které vyžadují méně zdrojů;</w:t>
      </w:r>
    </w:p>
    <w:p w14:paraId="6DD7D906" w14:textId="77777777" w:rsidR="00624195" w:rsidRPr="00FB5339" w:rsidRDefault="00624195" w:rsidP="00624195">
      <w:pPr>
        <w:spacing w:after="240"/>
        <w:ind w:left="567" w:hanging="567"/>
      </w:pPr>
      <w:r w:rsidRPr="00FB5339">
        <w:t>43.</w:t>
      </w:r>
      <w:r w:rsidRPr="00FB5339">
        <w:tab/>
        <w:t>oceňuje pokrok, kterého EIOÚ dosáhl v roce 2023 při digitalizaci svých pracovních postupů a procesů, a to zavedením systému ARES, kvalifikovaného digitálního podpisu (e-IDAS) a platformy pro spolupráci (</w:t>
      </w:r>
      <w:proofErr w:type="spellStart"/>
      <w:r w:rsidRPr="00FB5339">
        <w:t>Nextcloud</w:t>
      </w:r>
      <w:proofErr w:type="spellEnd"/>
      <w:r w:rsidRPr="00FB5339">
        <w:t>) pro navrhování dokumentů a videokonference, jakož i aktualizace nástroje (</w:t>
      </w:r>
      <w:proofErr w:type="spellStart"/>
      <w:r w:rsidRPr="00FB5339">
        <w:t>Website</w:t>
      </w:r>
      <w:proofErr w:type="spellEnd"/>
      <w:r w:rsidRPr="00FB5339">
        <w:t xml:space="preserve"> Evidence </w:t>
      </w:r>
      <w:proofErr w:type="spellStart"/>
      <w:r w:rsidRPr="00FB5339">
        <w:t>Collector</w:t>
      </w:r>
      <w:proofErr w:type="spellEnd"/>
      <w:r w:rsidRPr="00FB5339">
        <w:t xml:space="preserve">), který automatizuje zpracování osobních údajů shromažďovaných na internetových stránkách správců a zpracovatelů údajů, přijetí akceptačního prostředí EU </w:t>
      </w:r>
      <w:proofErr w:type="spellStart"/>
      <w:r w:rsidRPr="00FB5339">
        <w:t>Send</w:t>
      </w:r>
      <w:proofErr w:type="spellEnd"/>
      <w:r w:rsidRPr="00FB5339">
        <w:t xml:space="preserve"> Web, služby/kanálu pro výměnu citlivých neutajovaných informací s jinými orgány, institucemi nebo jinými subjekty Unie a další pokrok při zavádění služeb, které nelze zadat externě, jako je formulář a elektronický pracovní postup pro správu oznámení o porušení ochrany údajů; poukazuje nicméně na problémy týkající se používání a údržby systému elektronického zadávání veřejných zakázek;</w:t>
      </w:r>
    </w:p>
    <w:p w14:paraId="0CADB9A9" w14:textId="77777777" w:rsidR="00624195" w:rsidRPr="00FB5339" w:rsidRDefault="00624195" w:rsidP="00624195">
      <w:pPr>
        <w:spacing w:after="240"/>
        <w:ind w:left="567" w:hanging="567"/>
      </w:pPr>
      <w:r w:rsidRPr="00FB5339">
        <w:t>44.</w:t>
      </w:r>
      <w:r w:rsidRPr="00FB5339">
        <w:tab/>
        <w:t xml:space="preserve">vítá, že EIOÚ dbá na to, aby externí dodavatelé splňovali nezbytné morální a etické normy, které se očekávají od všech orgánů, institucí a jiných subjektů Unie, zejména s ohledem na to, že EIOÚ již dříve spolupracoval s externími firmami, které podle hodnocení </w:t>
      </w:r>
      <w:proofErr w:type="spellStart"/>
      <w:r w:rsidRPr="00FB5339">
        <w:t>Yaleovy</w:t>
      </w:r>
      <w:proofErr w:type="spellEnd"/>
      <w:r w:rsidRPr="00FB5339">
        <w:t xml:space="preserve"> univerzity nadále působí v Rusku;</w:t>
      </w:r>
    </w:p>
    <w:p w14:paraId="7FB8533F" w14:textId="77777777" w:rsidR="00624195" w:rsidRPr="00FB5339" w:rsidRDefault="00624195" w:rsidP="00624195">
      <w:pPr>
        <w:spacing w:after="240"/>
        <w:ind w:left="567" w:hanging="567"/>
      </w:pPr>
      <w:r w:rsidRPr="00FB5339">
        <w:t>45.</w:t>
      </w:r>
      <w:r w:rsidRPr="00FB5339">
        <w:tab/>
        <w:t>uznává, že EIOÚ se úspěšně opírá o mnoho administrativních systémů používaných Komisí, zejména v oblasti lidských zdrojů a procesů provozní administrativy, a také o některé služby Parlamentu, včetně poskytování notebooků, síťové infrastruktury a zařízení pro pořádání videokonferencí; chválí skutečnost, že byl ve spolupráci s Parlamentem dokončen projekt na zlepšení kvality a výkonu počítačů poskytovaných zaměstnancům EIOÚ s cílem rozšířit hybridní formu práce;</w:t>
      </w:r>
    </w:p>
    <w:p w14:paraId="5D5E8355" w14:textId="77777777" w:rsidR="00624195" w:rsidRPr="00FB5339" w:rsidRDefault="00624195" w:rsidP="00624195">
      <w:pPr>
        <w:spacing w:after="240"/>
        <w:ind w:left="567" w:hanging="567"/>
      </w:pPr>
      <w:r w:rsidRPr="00FB5339">
        <w:t>46.</w:t>
      </w:r>
      <w:r w:rsidRPr="00FB5339">
        <w:tab/>
        <w:t xml:space="preserve">uznává vedoucí úlohu EIOÚ při zvyšování připravenosti orgánů Unie v oblasti kybernetické bezpečnosti, a to v úzké spolupráci s orgány, jako je Agentura Evropské unie pro kybernetickou bezpečnost (ENISA) a s centry pro kybernetickou bezpečnost, jako je služba CERT-EU; naléhavě ho vyzývá, aby vypracoval strukturovaný auditní rámec pro rizika v oblast kybernetické </w:t>
      </w:r>
      <w:proofErr w:type="spellStart"/>
      <w:r w:rsidRPr="00FB5339">
        <w:t>ezpečnosti</w:t>
      </w:r>
      <w:proofErr w:type="spellEnd"/>
      <w:r w:rsidRPr="00FB5339">
        <w:t xml:space="preserve"> v rámci orgánů Unie; konstatuje, že v roce 2023 EIOÚ pokračoval ve zlepšování své připravenosti chránit osobní údaje a citlivé informace před kybernetickými útoky s ohledem na rychle se měnící prostředí kybernetických bezpečnostních hrozeb; v této souvislosti chválí EIOÚ za revizi svých bezpečnostních politik a metodik v rámci přípravy na dopad nařízení o kybernetické bezpečnosti (nařízení Evropského parlamentu a Rady (EU, Euratom) 2023/2841 </w:t>
      </w:r>
      <w:r w:rsidRPr="00FB5339">
        <w:rPr>
          <w:vertAlign w:val="superscript"/>
        </w:rPr>
        <w:footnoteReference w:id="10"/>
      </w:r>
      <w:r w:rsidRPr="00FB5339">
        <w:t>); na základě dotazníku konstatuje, že EIOÚ předložil žádost o dva další ekvivalenty plného úvazku, které by se zabývaly infrastrukturou v oblasti kybernetické bezpečnosti v souvislosti s povinnostmi EIOÚ podle uvedeného nařízení a také s úlohou EIOÚ jako člena Interinstitucionálního výboru pro kybernetickou bezpečnost (IICB); dále s uznáním konstatuje, že EIOÚ aktualizoval svou politiku bezpečnosti informací a politiku přijatelného používání EIOÚ za účelem řešení konkrétních hrozeb v oblasti kybernetické bezpečnosti ve vztahu k práci na dálku, používání osobních mobilních zařízení a zákazu nebezpečných aplikací (</w:t>
      </w:r>
      <w:proofErr w:type="spellStart"/>
      <w:r w:rsidRPr="00FB5339">
        <w:t>TikTok</w:t>
      </w:r>
      <w:proofErr w:type="spellEnd"/>
      <w:r w:rsidRPr="00FB5339">
        <w:t>); konstatuje, že v roce 2023 se EIOÚ nesetkal s žádným kybernetickým útokem; vyzývá k tomu, aby byly každoročně zveřejňovány zprávy o zjištěných hrozbách, opatřeních pro jejich řešení a o institucionální kybernetické odolnosti;</w:t>
      </w:r>
    </w:p>
    <w:p w14:paraId="0DE14001" w14:textId="77777777" w:rsidR="00624195" w:rsidRPr="00FB5339" w:rsidRDefault="00624195" w:rsidP="00624195">
      <w:pPr>
        <w:spacing w:after="240"/>
        <w:ind w:left="567" w:hanging="567"/>
      </w:pPr>
      <w:r w:rsidRPr="00FB5339">
        <w:t>47.</w:t>
      </w:r>
      <w:r w:rsidRPr="00FB5339">
        <w:tab/>
        <w:t>chválí EIOÚ za aktualizaci odborné přípravy v oblasti kybernetické bezpečnosti pro všechny zaměstnance a za přepracování modelu odborné přípravy v oblasti bezpečnosti pro nováčky; oceňuje, že EIOÚ iniciativně zvyšoval povědomí o rizicích v oblasti kybernetické bezpečnosti, například přípravou informačních přehledů, prováděním průzkumů s orgány, institucemi nebo jinými subjekty Unie a pořádáním osvětových kampaní; vybízí EIOÚ, aby zajistil povinné školení zaměstnanců o bezpečném a etickém používání nástrojů umělé inteligence s cílem zlepšit jejich poznatky a zmírnit potenciální rizika;</w:t>
      </w:r>
    </w:p>
    <w:p w14:paraId="15611DF7" w14:textId="77777777" w:rsidR="00624195" w:rsidRPr="00FB5339" w:rsidRDefault="00624195" w:rsidP="00624195">
      <w:pPr>
        <w:spacing w:after="240"/>
        <w:rPr>
          <w:b/>
          <w:i/>
        </w:rPr>
      </w:pPr>
      <w:r w:rsidRPr="00FB5339">
        <w:rPr>
          <w:b/>
          <w:i/>
        </w:rPr>
        <w:t>Budovy</w:t>
      </w:r>
    </w:p>
    <w:p w14:paraId="49C737AA" w14:textId="77777777" w:rsidR="00624195" w:rsidRPr="00FB5339" w:rsidRDefault="00624195" w:rsidP="00624195">
      <w:pPr>
        <w:spacing w:after="240"/>
        <w:ind w:left="567" w:hanging="567"/>
      </w:pPr>
      <w:r w:rsidRPr="00FB5339">
        <w:t>48.</w:t>
      </w:r>
      <w:r w:rsidRPr="00FB5339">
        <w:tab/>
        <w:t>konstatuje, že v roce 2023 stejně jako v roce 2022 byli EIOÚ a EDPB poté, co se úřad veřejného ochránce práv na konci roku 2021 přestěhoval, jedinými nájemci budovy Parlamentu, a že pronájmem prostor od Parlamentu namísto pronájmu prostor na soukromém trhu EIOÚ usiluje o to, aby náklady na pronájem a údržbu zůstaly na rozumné úrovni; konstatuje, že EIOÚ musel požádat o dalších 81 856,84 EUR na zaplacení nájemného Parlamentu vzhledem k tomu, že míra indexace činila 8,82 %, a byla tedy vyšší než 2 % strop pro správní výdaje;</w:t>
      </w:r>
    </w:p>
    <w:p w14:paraId="7AAF51AA" w14:textId="77777777" w:rsidR="00624195" w:rsidRPr="00FB5339" w:rsidRDefault="00624195" w:rsidP="00624195">
      <w:pPr>
        <w:spacing w:after="240"/>
        <w:ind w:left="567" w:hanging="567"/>
      </w:pPr>
      <w:r w:rsidRPr="00FB5339">
        <w:t>49.</w:t>
      </w:r>
      <w:r w:rsidRPr="00FB5339">
        <w:tab/>
        <w:t>konstatuje, že pokud jde o přístupnost jeho budovy, je EIOÚ závislý na rozhodnutích přijatých a prováděných Parlamentem v rámci jeho politiky v oblasti budov; na základě návazné zprávy konstatuje, že EIOÚ zaměstnává zaměstnance s tělesným postižením v důsledku vážné nemoci; vítá závazek EIOÚ prozkoumat možnosti najímání stážistů s omezenou schopností pohybu a orientace nebo zdravotním postižením;</w:t>
      </w:r>
    </w:p>
    <w:p w14:paraId="32DCEFF4" w14:textId="77777777" w:rsidR="00624195" w:rsidRPr="00FB5339" w:rsidRDefault="00624195" w:rsidP="00624195">
      <w:pPr>
        <w:spacing w:after="240"/>
        <w:rPr>
          <w:b/>
          <w:i/>
        </w:rPr>
      </w:pPr>
      <w:r w:rsidRPr="00FB5339">
        <w:rPr>
          <w:b/>
          <w:i/>
        </w:rPr>
        <w:t>Životní prostředí a udržitelnost</w:t>
      </w:r>
    </w:p>
    <w:p w14:paraId="60EE2D98" w14:textId="77777777" w:rsidR="00624195" w:rsidRPr="00FB5339" w:rsidRDefault="00624195" w:rsidP="00624195">
      <w:pPr>
        <w:spacing w:after="240"/>
        <w:ind w:left="567" w:hanging="567"/>
      </w:pPr>
      <w:r w:rsidRPr="00FB5339">
        <w:t>50.</w:t>
      </w:r>
      <w:r w:rsidRPr="00FB5339">
        <w:tab/>
        <w:t>konstatuje, že EIOÚ se nepřipojil k systému pro environmentální řízení podniků a audit (EMAS), ale zavedl několik opatření ke snížení svojí ekologické stopy, jako je automatická a centrální regulace teploty, automatické vypínání světel v případě absence pohybu v místnosti, nákup ekologických produktů a služeb a automatizace pracovních postupů zavedením systému ARES; na základě návazné zprávy konstatuje, že podle informací, které obdrželo generální ředitelství Parlamentu pro infrastrukturu a logistiku, odpovědné za správu budovy pronajaté EIOÚ, jsou na této budově instalovány solární panely; žádá EIOÚ, aby informoval orgán příslušný k udělení absolutoria, aby podal zprávu o podílu (%) elektřiny vyrobené solárními panely na celkové roční spotřebě energie EIOÚ; dále vyzývá EIOÚ, aby informoval orgán příslušný k udělení absolutoria o jakýchkoli změnách týkajících se certifikačního procesu EMAS;</w:t>
      </w:r>
    </w:p>
    <w:p w14:paraId="2C5804C6" w14:textId="77777777" w:rsidR="00624195" w:rsidRPr="00FB5339" w:rsidRDefault="00624195" w:rsidP="00624195">
      <w:pPr>
        <w:spacing w:after="240"/>
        <w:ind w:left="567" w:hanging="567"/>
      </w:pPr>
      <w:r w:rsidRPr="00FB5339">
        <w:t>51.</w:t>
      </w:r>
      <w:r w:rsidRPr="00FB5339">
        <w:tab/>
        <w:t>konstatuje, že EIOÚ v roce 2023 nezhodnotil svou uhlíkovou stopu; vítá však, že EIOÚ nadále uplatňuje opatření, která snižují uhlíkovou stopu tím, že omezují cesty do kanceláře prostřednictvím možností práce na dálku, proplácí 50 % měsíčních/ročních poplatků zaměstnanců za používání veřejné dopravy a vybízí zaměstnance, aby upřednostňovali videokonference a cestování vlakem na krátké vzdálenosti, elektronické řízení cyklu pro faktury a dosažení toho, aby výběrové řízení a hodnocení v oblasti lidských zdrojů bylo zcela bezpapírové;</w:t>
      </w:r>
    </w:p>
    <w:p w14:paraId="47BBF0A1" w14:textId="77777777" w:rsidR="00624195" w:rsidRPr="00FB5339" w:rsidRDefault="00624195" w:rsidP="00624195">
      <w:pPr>
        <w:spacing w:after="240"/>
        <w:ind w:left="567" w:hanging="567"/>
      </w:pPr>
      <w:r w:rsidRPr="00FB5339">
        <w:t>52.</w:t>
      </w:r>
      <w:r w:rsidRPr="00FB5339">
        <w:tab/>
        <w:t>naléhavě vyzývá EIOÚ, aby přijal systém pro environmentální řízení podniků a audit (EMAS) s cílem systematicky sledovat a zlepšovat svou environmentální stopu, zejména pokud jde o spotřebu energie, snižování množství odpadu a udržitelné kancelářské politiky;</w:t>
      </w:r>
    </w:p>
    <w:p w14:paraId="100B1C05" w14:textId="77777777" w:rsidR="00624195" w:rsidRPr="00FB5339" w:rsidRDefault="00624195" w:rsidP="00624195">
      <w:pPr>
        <w:spacing w:after="240"/>
        <w:ind w:left="567" w:hanging="567"/>
      </w:pPr>
      <w:r w:rsidRPr="00FB5339">
        <w:t>53.</w:t>
      </w:r>
      <w:r w:rsidRPr="00FB5339">
        <w:tab/>
        <w:t>konstatuje, že EIOÚ se zabývá riziky souvisejícími s udržitelností (jako jsou environmentální, sociální a správní rizika) komplexním způsobem prostřednictvím každoročního hodnocení rizik; v této souvislosti vítá, že EIOÚ v roce 2023 zavedl nový proces řízení rizik, který by měl EIOÚ pomoci zaměřit se na tato rizika a lépe je analyzovat a následně lépe nastavit zmírňující opatření;</w:t>
      </w:r>
    </w:p>
    <w:p w14:paraId="153EA2E4" w14:textId="77777777" w:rsidR="00624195" w:rsidRPr="00FB5339" w:rsidRDefault="00624195" w:rsidP="00624195">
      <w:pPr>
        <w:spacing w:after="240"/>
        <w:ind w:left="567" w:hanging="567"/>
        <w:rPr>
          <w:b/>
          <w:i/>
        </w:rPr>
      </w:pPr>
      <w:r w:rsidRPr="00FB5339">
        <w:rPr>
          <w:b/>
          <w:i/>
        </w:rPr>
        <w:t>Interinstitucionální spolupráce</w:t>
      </w:r>
    </w:p>
    <w:p w14:paraId="1EFBCBB6" w14:textId="77777777" w:rsidR="00624195" w:rsidRPr="00FB5339" w:rsidRDefault="00624195" w:rsidP="00624195">
      <w:pPr>
        <w:spacing w:after="240"/>
        <w:ind w:left="567" w:hanging="567"/>
      </w:pPr>
      <w:r w:rsidRPr="00FB5339">
        <w:t>54.</w:t>
      </w:r>
      <w:r w:rsidRPr="00FB5339">
        <w:tab/>
        <w:t>vítá rozpočtové a administrativní úspory, kterých EIOÚ dosáhl prostřednictvím interinstitucionální spolupráce, zejména uzavřením dohod o úrovni služeb s Parlamentem o pronájmu jeho prostor a používání aplikací IT systémů, dodávkách hardwaru a jeho údržbě a uzavřením dohod o úrovni služeb s Komisí v oblasti procesů týkajících se lidských zdrojů a provozní administrativy, jakož i prostřednictvím účasti na velkých interinstitucionálních rámcových smlouvách v oblastech, jako je IT poradenství, dočasné služby a kancelářské potřeby; navíc chválí EIOÚ za to, že prostřednictvím memorand o porozumění udržuje strukturovanou spolupráci s úřadem veřejného ochránce práv, Agenturou pro základní práva a službou CERT-EU;</w:t>
      </w:r>
    </w:p>
    <w:p w14:paraId="3CC2D883" w14:textId="77777777" w:rsidR="00624195" w:rsidRPr="00FB5339" w:rsidRDefault="00624195" w:rsidP="00624195">
      <w:pPr>
        <w:spacing w:after="240"/>
        <w:ind w:left="567" w:hanging="567"/>
      </w:pPr>
      <w:r w:rsidRPr="00FB5339">
        <w:t>55.</w:t>
      </w:r>
      <w:r w:rsidRPr="00FB5339">
        <w:tab/>
        <w:t>konstatuje, že EIOÚ se účastní schůzí různých interinstitucionálních subjektů; vítá v této souvislosti účast EIOÚ na schůzích vedoucích administrativy a interinstitucionálního výboru pro online komunikaci vedeného generálním ředitelstvím Parlamentu pro komunikaci; uznává, že interinstitucionální spolupráce s EIOÚ v jeho úloze dohledového orgánu má klíčový význam pro ostatní orgány Unie pro zvýšení úrovně jejich úrovně souladu s právním rámcem v oblasti ochrany údajů;</w:t>
      </w:r>
    </w:p>
    <w:p w14:paraId="19F8F9CD" w14:textId="77777777" w:rsidR="00624195" w:rsidRPr="00FB5339" w:rsidRDefault="00624195" w:rsidP="00624195">
      <w:pPr>
        <w:spacing w:after="240"/>
        <w:ind w:left="567" w:hanging="567"/>
      </w:pPr>
      <w:r w:rsidRPr="00FB5339">
        <w:t>56.</w:t>
      </w:r>
      <w:r w:rsidRPr="00FB5339">
        <w:tab/>
        <w:t>vyzývá k užší spolupráci mezi EIOÚ, Evropským účetním dvorem, úřadem OLAF a Úřadem evropského veřejného žalobce (EPPO) s cílem vypracovat společné protokoly pro odhalování podvodů v oblasti digitálních údajů a finančních transakcí v rámci orgánů EU; zdůrazňuje potřebu společných auditů rizik podvodů založených na umělé inteligenci;</w:t>
      </w:r>
    </w:p>
    <w:p w14:paraId="7F93E9A3" w14:textId="77777777" w:rsidR="00624195" w:rsidRPr="00FB5339" w:rsidRDefault="00624195" w:rsidP="00624195">
      <w:pPr>
        <w:spacing w:after="240"/>
        <w:ind w:left="567" w:hanging="567"/>
      </w:pPr>
      <w:r w:rsidRPr="00FB5339">
        <w:t>57.</w:t>
      </w:r>
      <w:r w:rsidRPr="00FB5339">
        <w:tab/>
        <w:t xml:space="preserve">vítá klíčovou úlohu, kterou v roce 2023 EIOÚ sehrál při koordinaci úřadů pro ochranu osobních údajů členských států zastoupených ve sboru EDPB s cílem podpořit soudržnou ochranu údajů v celé Unii; konstatuje, že EIOÚ se připojil ke 26 úřadům pro ochranu osobních údajů a zúčastnil se koordinované donucovací akce týkající se úlohy a úkolů pověřenců pro ochranu osobních údajů (DPO), při které se posuzovalo, zda dodržují nařízení (EU) 2018/1725; bere na vědomí pokračující aktivní zapojení EIOÚ do Výboru pro koordinovaný dohled (CSC) v oblasti prostoru svobody, bezpečnosti a práva, který se zabývá otázkami, jako je vyřizování stížností na Europol a posilování procesů spolupráce; dále oceňuje všechny ostatní kroky přijaté ke zlepšení spolupráce mezi EIOÚ a úřady pro ochranu osobních údajů, jako je provedení společné inspekce s vnitrostátními orgány (Polskem a Litvou) v Europolu a účast na koordinovaném dohledu nad zpracováním údajů nezletilých v systémech Europolu, účast na operační návštěvě úřadu evropského pověřeného žalobce v Lisabonu v rámci pracovní dohody s portugalským úřadem pro ochranu osobních údajů a koordinace inspekce na místě na ostrově Lesbos spolu s řeckým úřadem pro ochranu osobních údajů za účelem ověření postupů shromažďování údajů během společných operací agentury </w:t>
      </w:r>
      <w:proofErr w:type="spellStart"/>
      <w:r w:rsidRPr="00FB5339">
        <w:t>Frontex</w:t>
      </w:r>
      <w:proofErr w:type="spellEnd"/>
      <w:r w:rsidRPr="00FB5339">
        <w:t>; uznává, že tyto interinstitucionální kontakty pomáhají, aby se EIOÚ sladil s osvědčenými postupy orgánů Unie a těžil z výměny informací s partnerskými odděleními;</w:t>
      </w:r>
    </w:p>
    <w:p w14:paraId="68770CF2" w14:textId="77777777" w:rsidR="00624195" w:rsidRPr="00FB5339" w:rsidRDefault="00624195" w:rsidP="00624195">
      <w:pPr>
        <w:spacing w:after="240"/>
        <w:ind w:left="567" w:hanging="567"/>
        <w:rPr>
          <w:b/>
          <w:i/>
        </w:rPr>
      </w:pPr>
      <w:r w:rsidRPr="00FB5339">
        <w:rPr>
          <w:b/>
          <w:i/>
        </w:rPr>
        <w:t>Komunikace</w:t>
      </w:r>
    </w:p>
    <w:p w14:paraId="3A388E22" w14:textId="77777777" w:rsidR="00624195" w:rsidRPr="00FB5339" w:rsidRDefault="00624195" w:rsidP="00624195">
      <w:pPr>
        <w:spacing w:after="240"/>
        <w:ind w:left="567" w:hanging="567"/>
      </w:pPr>
      <w:r w:rsidRPr="00FB5339">
        <w:t>58.</w:t>
      </w:r>
      <w:r w:rsidRPr="00FB5339">
        <w:tab/>
        <w:t>konstatuje, že rozpočet na komunikaci s veřejností a propagační činnosti v roce 2023 činil 468 000 EUR, což oproti roku 2022 představuje nárůst o 54 %;</w:t>
      </w:r>
    </w:p>
    <w:p w14:paraId="26B18F9C" w14:textId="77777777" w:rsidR="00624195" w:rsidRPr="00FB5339" w:rsidRDefault="00624195" w:rsidP="00624195">
      <w:pPr>
        <w:spacing w:after="240"/>
        <w:ind w:left="567" w:hanging="567"/>
      </w:pPr>
      <w:r w:rsidRPr="00FB5339">
        <w:t>59.</w:t>
      </w:r>
      <w:r w:rsidRPr="00FB5339">
        <w:tab/>
        <w:t>s uspokojením konstatuje, že EIOÚ v roce 2023 uspořádal několik komunikačních akcí online i prezenčních, jejichž cílem bylo zvýšit povědomí o úloze a poslání EIOÚ u širší veřejnosti a o důležitosti dodržování pravidel Unie v oblasti ochrany údajů, jako je Den ochrany údajů, konference stážistů EIOÚ (dvakrát ročně), seminář EIOÚ o podstatě základních práv na soukromí a ochranu údajů a další mezinárodní akce;</w:t>
      </w:r>
    </w:p>
    <w:p w14:paraId="04DF24AC" w14:textId="77777777" w:rsidR="00624195" w:rsidRPr="00FB5339" w:rsidRDefault="00624195" w:rsidP="00624195">
      <w:pPr>
        <w:spacing w:after="240"/>
        <w:ind w:left="567" w:hanging="567"/>
      </w:pPr>
      <w:r w:rsidRPr="00FB5339">
        <w:t>60.</w:t>
      </w:r>
      <w:r w:rsidRPr="00FB5339">
        <w:tab/>
        <w:t xml:space="preserve">konstatuje, že EIOÚ komunikuje on-line prostřednictvím svých internetových stránek a účtů na sociálních sítích X (dříve Twitter) (29 400 sledujících), LinkedIn (71 000 sledujících), YouTube (2 900 sledujících), EU </w:t>
      </w:r>
      <w:proofErr w:type="spellStart"/>
      <w:r w:rsidRPr="00FB5339">
        <w:t>Voice</w:t>
      </w:r>
      <w:proofErr w:type="spellEnd"/>
      <w:r w:rsidRPr="00FB5339">
        <w:t xml:space="preserve"> (5 900 sledujících) a EU Video (750 sledujících);</w:t>
      </w:r>
    </w:p>
    <w:p w14:paraId="05F0E3A8" w14:textId="489CCCD7" w:rsidR="00E365E1" w:rsidRPr="007446EE" w:rsidRDefault="00624195" w:rsidP="00624195">
      <w:pPr>
        <w:spacing w:after="240"/>
        <w:ind w:left="567" w:hanging="567"/>
      </w:pPr>
      <w:r w:rsidRPr="00FB5339">
        <w:t>61.</w:t>
      </w:r>
      <w:r w:rsidRPr="00FB5339">
        <w:tab/>
        <w:t xml:space="preserve">konstatuje, že v roce 2023 pokračoval pilotní projekt platforem EU </w:t>
      </w:r>
      <w:proofErr w:type="spellStart"/>
      <w:r w:rsidRPr="00FB5339">
        <w:t>Voice</w:t>
      </w:r>
      <w:proofErr w:type="spellEnd"/>
      <w:r w:rsidRPr="00FB5339">
        <w:t xml:space="preserve"> a EU Video (bezplatné sítě sociálních médií s otevřeným zdrojovým kódem zaměřené na ochranu soukromí a založené na softwaru </w:t>
      </w:r>
      <w:proofErr w:type="spellStart"/>
      <w:r w:rsidRPr="00FB5339">
        <w:t>Mastodon</w:t>
      </w:r>
      <w:proofErr w:type="spellEnd"/>
      <w:r w:rsidRPr="00FB5339">
        <w:t xml:space="preserve"> a </w:t>
      </w:r>
      <w:proofErr w:type="spellStart"/>
      <w:r w:rsidRPr="00FB5339">
        <w:t>PeerTube</w:t>
      </w:r>
      <w:proofErr w:type="spellEnd"/>
      <w:r w:rsidRPr="00FB5339">
        <w:t>); v této souvislosti vítá příspěvek EIOÚ ke strategii Unie v oblasti údajů a digitální suverenity s cílem podpořit nezávislost Unie v digitálním světě a dodržování právního rámce ochrany údajů.</w:t>
      </w:r>
    </w:p>
    <w:sectPr w:rsidR="00E365E1" w:rsidRPr="007446EE" w:rsidSect="007446E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118CF" w14:textId="77777777" w:rsidR="006815F5" w:rsidRPr="007446EE" w:rsidRDefault="006815F5">
      <w:r w:rsidRPr="007446EE">
        <w:separator/>
      </w:r>
    </w:p>
  </w:endnote>
  <w:endnote w:type="continuationSeparator" w:id="0">
    <w:p w14:paraId="4E91D73E" w14:textId="77777777" w:rsidR="006815F5" w:rsidRPr="007446EE" w:rsidRDefault="006815F5">
      <w:r w:rsidRPr="007446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AC0E8" w14:textId="77777777" w:rsidR="00064002" w:rsidRPr="007446E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EBE27" w14:textId="77777777" w:rsidR="00064002" w:rsidRPr="007446E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10F6F" w14:textId="77777777" w:rsidR="00064002" w:rsidRPr="007446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D703D" w14:textId="77777777" w:rsidR="006815F5" w:rsidRPr="007446EE" w:rsidRDefault="006815F5">
      <w:r w:rsidRPr="007446EE">
        <w:separator/>
      </w:r>
    </w:p>
  </w:footnote>
  <w:footnote w:type="continuationSeparator" w:id="0">
    <w:p w14:paraId="6A0EAA63" w14:textId="77777777" w:rsidR="006815F5" w:rsidRPr="007446EE" w:rsidRDefault="006815F5">
      <w:r w:rsidRPr="007446EE">
        <w:continuationSeparator/>
      </w:r>
    </w:p>
  </w:footnote>
  <w:footnote w:id="1">
    <w:p w14:paraId="1197C5FB" w14:textId="77777777" w:rsidR="00624195" w:rsidRPr="003E7F01" w:rsidRDefault="00624195" w:rsidP="00624195">
      <w:pPr>
        <w:ind w:left="567" w:hanging="567"/>
        <w:rPr>
          <w:lang w:val="fi-FI"/>
        </w:rPr>
      </w:pPr>
      <w:r w:rsidRPr="007A40D5">
        <w:rPr>
          <w:rStyle w:val="FootnoteReference"/>
        </w:rPr>
        <w:footnoteRef/>
      </w:r>
      <w:r w:rsidRPr="003E7F01">
        <w:rPr>
          <w:lang w:val="fi-FI"/>
        </w:rPr>
        <w:t xml:space="preserve"> </w:t>
      </w:r>
      <w:r w:rsidRPr="003E7F01">
        <w:rPr>
          <w:lang w:val="fi-FI"/>
        </w:rPr>
        <w:tab/>
      </w:r>
      <w:proofErr w:type="spellStart"/>
      <w:r w:rsidRPr="003E7F01">
        <w:rPr>
          <w:lang w:val="fi-FI"/>
        </w:rPr>
        <w:t>Úř</w:t>
      </w:r>
      <w:proofErr w:type="spellEnd"/>
      <w:r w:rsidRPr="003E7F01">
        <w:rPr>
          <w:lang w:val="fi-FI"/>
        </w:rPr>
        <w:t xml:space="preserve">. </w:t>
      </w:r>
      <w:proofErr w:type="spellStart"/>
      <w:r w:rsidRPr="003E7F01">
        <w:rPr>
          <w:lang w:val="fi-FI"/>
        </w:rPr>
        <w:t>věst</w:t>
      </w:r>
      <w:proofErr w:type="spellEnd"/>
      <w:r w:rsidRPr="003E7F01">
        <w:rPr>
          <w:lang w:val="fi-FI"/>
        </w:rPr>
        <w:t xml:space="preserve">. L 58, 23.2.2023, s. 1, ELI: </w:t>
      </w:r>
      <w:hyperlink r:id="rId1" w:tooltip="Poskytuje přístup k tomuto dokumentu prostřednictvím ELI URI." w:history="1">
        <w:r w:rsidRPr="003E7F01">
          <w:rPr>
            <w:rStyle w:val="Hyperlink1"/>
            <w:lang w:val="fi-FI" w:eastAsia="fr-FR"/>
          </w:rPr>
          <w:t>http://data.europa.eu/eli/budget/2023/1/oj</w:t>
        </w:r>
      </w:hyperlink>
      <w:r w:rsidRPr="003E7F01">
        <w:rPr>
          <w:rStyle w:val="Hyperlink1"/>
          <w:lang w:val="fi-FI" w:eastAsia="fr-FR"/>
        </w:rPr>
        <w:t>.</w:t>
      </w:r>
    </w:p>
  </w:footnote>
  <w:footnote w:id="2">
    <w:p w14:paraId="0692DE5E" w14:textId="77777777" w:rsidR="00624195" w:rsidRPr="007A40D5" w:rsidRDefault="00624195" w:rsidP="00624195">
      <w:pPr>
        <w:pStyle w:val="FootnoteText"/>
        <w:ind w:left="567" w:hanging="567"/>
        <w:rPr>
          <w:sz w:val="24"/>
          <w:szCs w:val="24"/>
          <w:lang w:val="cs-CZ"/>
        </w:rPr>
      </w:pPr>
      <w:r w:rsidRPr="007A40D5">
        <w:rPr>
          <w:rStyle w:val="FootnoteReference"/>
          <w:sz w:val="24"/>
          <w:lang w:val="cs-CZ"/>
        </w:rPr>
        <w:footnoteRef/>
      </w:r>
      <w:r w:rsidRPr="007A40D5">
        <w:rPr>
          <w:sz w:val="24"/>
          <w:lang w:val="cs-CZ"/>
        </w:rPr>
        <w:t xml:space="preserve"> </w:t>
      </w:r>
      <w:r w:rsidRPr="00FB5339">
        <w:rPr>
          <w:sz w:val="24"/>
          <w:lang w:val="cs-CZ"/>
        </w:rPr>
        <w:tab/>
      </w:r>
      <w:proofErr w:type="spellStart"/>
      <w:r w:rsidRPr="00FB5339">
        <w:rPr>
          <w:sz w:val="24"/>
          <w:lang w:val="cs-CZ"/>
        </w:rPr>
        <w:t>Úř</w:t>
      </w:r>
      <w:proofErr w:type="spellEnd"/>
      <w:r w:rsidRPr="00FB5339">
        <w:rPr>
          <w:sz w:val="24"/>
          <w:lang w:val="cs-CZ"/>
        </w:rPr>
        <w:t xml:space="preserve">. </w:t>
      </w:r>
      <w:proofErr w:type="spellStart"/>
      <w:r w:rsidRPr="00FB5339">
        <w:rPr>
          <w:sz w:val="24"/>
          <w:lang w:val="cs-CZ"/>
        </w:rPr>
        <w:t>věst</w:t>
      </w:r>
      <w:proofErr w:type="spellEnd"/>
      <w:r w:rsidRPr="00FB5339">
        <w:rPr>
          <w:sz w:val="24"/>
          <w:lang w:val="cs-CZ"/>
        </w:rPr>
        <w:t xml:space="preserve">. C, C/2024/5462, 10.10.2024, ELI: </w:t>
      </w:r>
      <w:hyperlink r:id="rId2" w:history="1">
        <w:r w:rsidRPr="00624195">
          <w:rPr>
            <w:rStyle w:val="Hyperlink1"/>
            <w:lang w:val="fi-FI"/>
          </w:rPr>
          <w:t>http://data.europa.eu/eli/C/2024/5462/oj</w:t>
        </w:r>
      </w:hyperlink>
      <w:r w:rsidRPr="00FB5339">
        <w:rPr>
          <w:sz w:val="24"/>
          <w:shd w:val="clear" w:color="auto" w:fill="FFFFFF"/>
          <w:lang w:val="cs-CZ"/>
        </w:rPr>
        <w:t>.</w:t>
      </w:r>
    </w:p>
  </w:footnote>
  <w:footnote w:id="3">
    <w:p w14:paraId="4B6967C2" w14:textId="77777777" w:rsidR="00624195" w:rsidRPr="007A40D5" w:rsidRDefault="00624195" w:rsidP="00624195">
      <w:pPr>
        <w:pStyle w:val="FootnoteText"/>
        <w:ind w:left="567" w:hanging="567"/>
        <w:rPr>
          <w:sz w:val="24"/>
          <w:szCs w:val="24"/>
          <w:lang w:val="cs-CZ"/>
        </w:rPr>
      </w:pPr>
      <w:r w:rsidRPr="007A40D5">
        <w:rPr>
          <w:rStyle w:val="FootnoteReference"/>
          <w:sz w:val="24"/>
          <w:lang w:val="cs-CZ"/>
        </w:rPr>
        <w:footnoteRef/>
      </w:r>
      <w:r w:rsidRPr="007A40D5">
        <w:rPr>
          <w:sz w:val="24"/>
          <w:lang w:val="cs-CZ"/>
        </w:rPr>
        <w:t xml:space="preserve"> </w:t>
      </w:r>
      <w:r w:rsidRPr="00FB5339">
        <w:rPr>
          <w:sz w:val="24"/>
          <w:lang w:val="cs-CZ"/>
        </w:rPr>
        <w:tab/>
      </w:r>
      <w:proofErr w:type="spellStart"/>
      <w:r w:rsidRPr="00FB5339">
        <w:rPr>
          <w:sz w:val="24"/>
          <w:lang w:val="cs-CZ"/>
        </w:rPr>
        <w:t>Úř</w:t>
      </w:r>
      <w:proofErr w:type="spellEnd"/>
      <w:r w:rsidRPr="00FB5339">
        <w:rPr>
          <w:sz w:val="24"/>
          <w:lang w:val="cs-CZ"/>
        </w:rPr>
        <w:t xml:space="preserve">. </w:t>
      </w:r>
      <w:proofErr w:type="spellStart"/>
      <w:r w:rsidRPr="00FB5339">
        <w:rPr>
          <w:sz w:val="24"/>
          <w:lang w:val="cs-CZ"/>
        </w:rPr>
        <w:t>věst</w:t>
      </w:r>
      <w:proofErr w:type="spellEnd"/>
      <w:r w:rsidRPr="00FB5339">
        <w:rPr>
          <w:sz w:val="24"/>
          <w:lang w:val="cs-CZ"/>
        </w:rPr>
        <w:t xml:space="preserve">. C, C/2024/5882, 9.10.2024, ELI: </w:t>
      </w:r>
      <w:hyperlink r:id="rId3" w:history="1">
        <w:r w:rsidRPr="00624195">
          <w:rPr>
            <w:rStyle w:val="Hyperlink1"/>
            <w:lang w:val="fi-FI"/>
          </w:rPr>
          <w:t>http://data.europa.eu/eli/C/2024/5882/oj</w:t>
        </w:r>
      </w:hyperlink>
      <w:r w:rsidRPr="00FB5339">
        <w:rPr>
          <w:sz w:val="24"/>
          <w:shd w:val="clear" w:color="auto" w:fill="FFFFFF"/>
          <w:lang w:val="cs-CZ"/>
        </w:rPr>
        <w:t>.</w:t>
      </w:r>
    </w:p>
  </w:footnote>
  <w:footnote w:id="4">
    <w:p w14:paraId="25BE4C61" w14:textId="77777777" w:rsidR="00624195" w:rsidRPr="007A40D5" w:rsidRDefault="00624195" w:rsidP="00624195">
      <w:pPr>
        <w:pStyle w:val="FootnoteText"/>
        <w:ind w:left="567" w:hanging="567"/>
        <w:rPr>
          <w:sz w:val="24"/>
          <w:szCs w:val="24"/>
          <w:lang w:val="cs-CZ"/>
        </w:rPr>
      </w:pPr>
      <w:r w:rsidRPr="007A40D5">
        <w:rPr>
          <w:rStyle w:val="FootnoteReference"/>
          <w:sz w:val="24"/>
          <w:lang w:val="cs-CZ"/>
        </w:rPr>
        <w:footnoteRef/>
      </w:r>
      <w:r w:rsidRPr="007A40D5">
        <w:rPr>
          <w:sz w:val="24"/>
          <w:lang w:val="cs-CZ"/>
        </w:rPr>
        <w:t xml:space="preserve"> </w:t>
      </w:r>
      <w:r w:rsidRPr="00FB5339">
        <w:rPr>
          <w:sz w:val="24"/>
          <w:lang w:val="cs-CZ"/>
        </w:rPr>
        <w:tab/>
      </w:r>
      <w:proofErr w:type="spellStart"/>
      <w:r w:rsidRPr="00FB5339">
        <w:rPr>
          <w:sz w:val="24"/>
          <w:lang w:val="cs-CZ"/>
        </w:rPr>
        <w:t>Úř</w:t>
      </w:r>
      <w:proofErr w:type="spellEnd"/>
      <w:r w:rsidRPr="00FB5339">
        <w:rPr>
          <w:sz w:val="24"/>
          <w:lang w:val="cs-CZ"/>
        </w:rPr>
        <w:t xml:space="preserve">. </w:t>
      </w:r>
      <w:proofErr w:type="spellStart"/>
      <w:r w:rsidRPr="00FB5339">
        <w:rPr>
          <w:sz w:val="24"/>
          <w:lang w:val="cs-CZ"/>
        </w:rPr>
        <w:t>věst</w:t>
      </w:r>
      <w:proofErr w:type="spellEnd"/>
      <w:r w:rsidRPr="00FB5339">
        <w:rPr>
          <w:sz w:val="24"/>
          <w:lang w:val="cs-CZ"/>
        </w:rPr>
        <w:t xml:space="preserve">. C, C/2024/6041, 10.10.2024, ELI: </w:t>
      </w:r>
      <w:hyperlink r:id="rId4" w:history="1">
        <w:r w:rsidRPr="00624195">
          <w:rPr>
            <w:rStyle w:val="Hyperlink1"/>
            <w:lang w:val="fi-FI"/>
          </w:rPr>
          <w:t>http://data.europa.eu/eli/C/2024/6041/oj</w:t>
        </w:r>
      </w:hyperlink>
      <w:r w:rsidRPr="00FB5339">
        <w:rPr>
          <w:sz w:val="24"/>
          <w:shd w:val="clear" w:color="auto" w:fill="FFFFFF"/>
          <w:lang w:val="cs-CZ"/>
        </w:rPr>
        <w:t>.</w:t>
      </w:r>
    </w:p>
  </w:footnote>
  <w:footnote w:id="5">
    <w:p w14:paraId="1084E2FB" w14:textId="77777777" w:rsidR="00624195" w:rsidRPr="007A40D5" w:rsidRDefault="00624195" w:rsidP="00624195">
      <w:pPr>
        <w:pStyle w:val="FootnoteText"/>
        <w:ind w:left="567" w:hanging="567"/>
        <w:rPr>
          <w:sz w:val="24"/>
          <w:szCs w:val="24"/>
          <w:lang w:val="cs-CZ"/>
        </w:rPr>
      </w:pPr>
      <w:r w:rsidRPr="007A40D5">
        <w:rPr>
          <w:rStyle w:val="FootnoteReference"/>
          <w:sz w:val="24"/>
          <w:lang w:val="cs-CZ"/>
        </w:rPr>
        <w:footnoteRef/>
      </w:r>
      <w:r w:rsidRPr="007A40D5">
        <w:rPr>
          <w:sz w:val="24"/>
          <w:lang w:val="cs-CZ"/>
        </w:rPr>
        <w:t xml:space="preserve"> </w:t>
      </w:r>
      <w:r w:rsidRPr="00FB5339">
        <w:rPr>
          <w:sz w:val="24"/>
          <w:lang w:val="cs-CZ"/>
        </w:rPr>
        <w:tab/>
      </w:r>
      <w:proofErr w:type="spellStart"/>
      <w:r w:rsidRPr="00FB5339">
        <w:rPr>
          <w:sz w:val="24"/>
          <w:szCs w:val="24"/>
          <w:lang w:val="cs-CZ"/>
        </w:rPr>
        <w:t>Úř</w:t>
      </w:r>
      <w:proofErr w:type="spellEnd"/>
      <w:r w:rsidRPr="00FB5339">
        <w:rPr>
          <w:sz w:val="24"/>
          <w:szCs w:val="24"/>
          <w:lang w:val="cs-CZ"/>
        </w:rPr>
        <w:t xml:space="preserve">. </w:t>
      </w:r>
      <w:proofErr w:type="spellStart"/>
      <w:r w:rsidRPr="00FB5339">
        <w:rPr>
          <w:sz w:val="24"/>
          <w:szCs w:val="24"/>
          <w:lang w:val="cs-CZ"/>
        </w:rPr>
        <w:t>věst</w:t>
      </w:r>
      <w:proofErr w:type="spellEnd"/>
      <w:r w:rsidRPr="00FB5339">
        <w:rPr>
          <w:sz w:val="24"/>
          <w:szCs w:val="24"/>
          <w:lang w:val="cs-CZ"/>
        </w:rPr>
        <w:t xml:space="preserve">. L 193, 30.7.2018, s. 1, ELI: </w:t>
      </w:r>
      <w:hyperlink r:id="rId5" w:history="1">
        <w:r w:rsidRPr="00FB5339">
          <w:rPr>
            <w:rStyle w:val="Hyperlink1"/>
            <w:szCs w:val="24"/>
            <w:lang w:val="fi-FI"/>
          </w:rPr>
          <w:t>http://data.europa.eu/eli/reg/2018/1046/oj</w:t>
        </w:r>
      </w:hyperlink>
      <w:r w:rsidRPr="00FB5339">
        <w:rPr>
          <w:sz w:val="24"/>
          <w:lang w:val="cs-CZ"/>
        </w:rPr>
        <w:t>.</w:t>
      </w:r>
    </w:p>
  </w:footnote>
  <w:footnote w:id="6">
    <w:p w14:paraId="5504846F" w14:textId="77777777" w:rsidR="00624195" w:rsidRPr="007A40D5" w:rsidRDefault="00624195" w:rsidP="00624195">
      <w:pPr>
        <w:pStyle w:val="FootnoteText"/>
        <w:ind w:left="567" w:hanging="567"/>
        <w:rPr>
          <w:sz w:val="24"/>
          <w:szCs w:val="24"/>
          <w:lang w:val="cs-CZ"/>
        </w:rPr>
      </w:pPr>
      <w:r w:rsidRPr="007A40D5">
        <w:rPr>
          <w:rStyle w:val="FootnoteReference"/>
          <w:sz w:val="24"/>
          <w:lang w:val="cs-CZ"/>
        </w:rPr>
        <w:footnoteRef/>
      </w:r>
      <w:r w:rsidRPr="007A40D5">
        <w:rPr>
          <w:sz w:val="24"/>
          <w:lang w:val="cs-CZ"/>
        </w:rPr>
        <w:t xml:space="preserve"> </w:t>
      </w:r>
      <w:r w:rsidRPr="00FB5339">
        <w:rPr>
          <w:sz w:val="24"/>
          <w:lang w:val="cs-CZ"/>
        </w:rPr>
        <w:tab/>
      </w:r>
      <w:proofErr w:type="spellStart"/>
      <w:r w:rsidRPr="00FB5339">
        <w:rPr>
          <w:sz w:val="24"/>
          <w:lang w:val="cs-CZ"/>
        </w:rPr>
        <w:t>Úř</w:t>
      </w:r>
      <w:proofErr w:type="spellEnd"/>
      <w:r w:rsidRPr="00FB5339">
        <w:rPr>
          <w:sz w:val="24"/>
          <w:lang w:val="cs-CZ"/>
        </w:rPr>
        <w:t>. </w:t>
      </w:r>
      <w:proofErr w:type="spellStart"/>
      <w:r w:rsidRPr="00FB5339">
        <w:rPr>
          <w:sz w:val="24"/>
          <w:lang w:val="cs-CZ"/>
        </w:rPr>
        <w:t>věst</w:t>
      </w:r>
      <w:proofErr w:type="spellEnd"/>
      <w:r w:rsidRPr="00FB5339">
        <w:rPr>
          <w:sz w:val="24"/>
          <w:lang w:val="cs-CZ"/>
        </w:rPr>
        <w:t xml:space="preserve">. L, 2024/2509, 26.9.2024, ELI: </w:t>
      </w:r>
      <w:hyperlink r:id="rId6" w:history="1">
        <w:r w:rsidRPr="00624195">
          <w:rPr>
            <w:rStyle w:val="Hyperlink1"/>
            <w:lang w:val="fi-FI"/>
          </w:rPr>
          <w:t>https://data.europa.eu/eli/reg/2024/2509/oj</w:t>
        </w:r>
      </w:hyperlink>
      <w:r w:rsidRPr="00FB5339">
        <w:rPr>
          <w:sz w:val="24"/>
          <w:shd w:val="clear" w:color="auto" w:fill="FFFFFF"/>
          <w:lang w:val="cs-CZ"/>
        </w:rPr>
        <w:t>.</w:t>
      </w:r>
    </w:p>
  </w:footnote>
  <w:footnote w:id="7">
    <w:p w14:paraId="29597A94" w14:textId="77777777" w:rsidR="00624195" w:rsidRPr="007A40D5" w:rsidRDefault="00624195" w:rsidP="00624195">
      <w:pPr>
        <w:pStyle w:val="FootnoteText"/>
        <w:ind w:left="567" w:hanging="567"/>
        <w:rPr>
          <w:sz w:val="24"/>
          <w:szCs w:val="24"/>
          <w:lang w:val="cs-CZ"/>
        </w:rPr>
      </w:pPr>
      <w:r w:rsidRPr="007A40D5">
        <w:rPr>
          <w:rStyle w:val="FootnoteReference"/>
          <w:sz w:val="24"/>
          <w:lang w:val="cs-CZ"/>
        </w:rPr>
        <w:footnoteRef/>
      </w:r>
      <w:r w:rsidRPr="007A40D5">
        <w:rPr>
          <w:sz w:val="24"/>
          <w:lang w:val="cs-CZ"/>
        </w:rPr>
        <w:t xml:space="preserve"> </w:t>
      </w:r>
      <w:r w:rsidRPr="00FB5339">
        <w:rPr>
          <w:sz w:val="24"/>
          <w:lang w:val="cs-CZ"/>
        </w:rPr>
        <w:tab/>
      </w:r>
      <w:proofErr w:type="spellStart"/>
      <w:r w:rsidRPr="00FB5339">
        <w:rPr>
          <w:sz w:val="24"/>
          <w:lang w:val="cs-CZ"/>
        </w:rPr>
        <w:t>Úř</w:t>
      </w:r>
      <w:proofErr w:type="spellEnd"/>
      <w:r w:rsidRPr="00FB5339">
        <w:rPr>
          <w:sz w:val="24"/>
          <w:lang w:val="cs-CZ"/>
        </w:rPr>
        <w:t xml:space="preserve">. </w:t>
      </w:r>
      <w:proofErr w:type="spellStart"/>
      <w:r w:rsidRPr="00FB5339">
        <w:rPr>
          <w:sz w:val="24"/>
          <w:lang w:val="cs-CZ"/>
        </w:rPr>
        <w:t>věst</w:t>
      </w:r>
      <w:proofErr w:type="spellEnd"/>
      <w:r w:rsidRPr="00FB5339">
        <w:rPr>
          <w:sz w:val="24"/>
          <w:lang w:val="cs-CZ"/>
        </w:rPr>
        <w:t xml:space="preserve">. L 295, 21.11.2018, s. 39, ELI: </w:t>
      </w:r>
      <w:hyperlink r:id="rId7" w:history="1">
        <w:r w:rsidRPr="00624195">
          <w:rPr>
            <w:rStyle w:val="Hyperlink1"/>
            <w:lang w:val="fi-FI"/>
          </w:rPr>
          <w:t>http://data.europa.eu/eli/reg/2018/1725/oj</w:t>
        </w:r>
      </w:hyperlink>
      <w:r w:rsidRPr="00FB5339">
        <w:rPr>
          <w:sz w:val="24"/>
          <w:lang w:val="cs-CZ"/>
        </w:rPr>
        <w:t>.</w:t>
      </w:r>
    </w:p>
  </w:footnote>
  <w:footnote w:id="8">
    <w:p w14:paraId="68C05AF4" w14:textId="5C393B6C" w:rsidR="00624195" w:rsidRPr="005E414C" w:rsidRDefault="00624195" w:rsidP="00624195">
      <w:pPr>
        <w:pStyle w:val="FootnoteText"/>
        <w:ind w:left="567" w:hanging="567"/>
        <w:rPr>
          <w:sz w:val="24"/>
          <w:lang w:val="cs-CZ"/>
        </w:rPr>
      </w:pPr>
      <w:r w:rsidRPr="005E414C">
        <w:rPr>
          <w:rStyle w:val="FootnoteReference"/>
          <w:sz w:val="24"/>
        </w:rPr>
        <w:footnoteRef/>
      </w:r>
      <w:r w:rsidRPr="003E7F01">
        <w:rPr>
          <w:sz w:val="24"/>
          <w:lang w:val="cs-CZ"/>
        </w:rPr>
        <w:t xml:space="preserve"> </w:t>
      </w:r>
      <w:r>
        <w:rPr>
          <w:sz w:val="24"/>
          <w:lang w:val="cs-CZ"/>
        </w:rPr>
        <w:tab/>
      </w:r>
      <w:r w:rsidRPr="003E7F01">
        <w:rPr>
          <w:sz w:val="24"/>
          <w:lang w:val="cs-CZ"/>
        </w:rPr>
        <w:t>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w:t>
      </w:r>
      <w:proofErr w:type="spellStart"/>
      <w:r w:rsidRPr="003E7F01">
        <w:rPr>
          <w:sz w:val="24"/>
          <w:lang w:val="cs-CZ"/>
        </w:rPr>
        <w:t>Úř</w:t>
      </w:r>
      <w:proofErr w:type="spellEnd"/>
      <w:r w:rsidRPr="003E7F01">
        <w:rPr>
          <w:sz w:val="24"/>
          <w:lang w:val="cs-CZ"/>
        </w:rPr>
        <w:t xml:space="preserve">. </w:t>
      </w:r>
      <w:proofErr w:type="spellStart"/>
      <w:r w:rsidRPr="003E7F01">
        <w:rPr>
          <w:sz w:val="24"/>
          <w:lang w:val="cs-CZ"/>
        </w:rPr>
        <w:t>věst</w:t>
      </w:r>
      <w:proofErr w:type="spellEnd"/>
      <w:r w:rsidRPr="003E7F01">
        <w:rPr>
          <w:sz w:val="24"/>
          <w:lang w:val="cs-CZ"/>
        </w:rPr>
        <w:t xml:space="preserve">. </w:t>
      </w:r>
      <w:r w:rsidRPr="00624195">
        <w:rPr>
          <w:sz w:val="24"/>
          <w:lang w:val="fi-FI"/>
        </w:rPr>
        <w:t xml:space="preserve">L 295, 21.11.2018, s. 39, ELI: </w:t>
      </w:r>
      <w:hyperlink r:id="rId8" w:history="1">
        <w:r w:rsidRPr="00624195">
          <w:rPr>
            <w:rStyle w:val="Hyperlink"/>
            <w:sz w:val="24"/>
            <w:lang w:val="fi-FI"/>
          </w:rPr>
          <w:t>http://data.europa.eu/eli/reg/2018/1725/oj</w:t>
        </w:r>
      </w:hyperlink>
      <w:r w:rsidRPr="00624195">
        <w:rPr>
          <w:sz w:val="24"/>
          <w:lang w:val="fi-FI"/>
        </w:rPr>
        <w:t>).</w:t>
      </w:r>
    </w:p>
  </w:footnote>
  <w:footnote w:id="9">
    <w:p w14:paraId="366E1EA7" w14:textId="77777777" w:rsidR="00624195" w:rsidRPr="005E414C" w:rsidRDefault="00624195" w:rsidP="00624195">
      <w:pPr>
        <w:pStyle w:val="FootnoteText"/>
        <w:ind w:left="567" w:hanging="567"/>
        <w:rPr>
          <w:sz w:val="24"/>
          <w:lang w:val="cs-CZ"/>
        </w:rPr>
      </w:pPr>
      <w:r w:rsidRPr="005E414C">
        <w:rPr>
          <w:rStyle w:val="FootnoteReference"/>
          <w:sz w:val="24"/>
          <w:lang w:val="cs-CZ"/>
        </w:rPr>
        <w:footnoteRef/>
      </w:r>
      <w:r w:rsidRPr="00FB5339">
        <w:rPr>
          <w:sz w:val="24"/>
          <w:lang w:val="cs-CZ"/>
        </w:rPr>
        <w:tab/>
        <w:t>Usnesení Tribunálu ze dne 6. září 2023, EIOÚ v. Parlament a </w:t>
      </w:r>
      <w:r w:rsidRPr="00FB5339">
        <w:rPr>
          <w:iCs/>
          <w:sz w:val="24"/>
          <w:lang w:val="cs-CZ"/>
        </w:rPr>
        <w:t>Rada</w:t>
      </w:r>
      <w:r w:rsidRPr="00FB5339">
        <w:rPr>
          <w:i/>
          <w:iCs/>
          <w:sz w:val="24"/>
          <w:lang w:val="cs-CZ"/>
        </w:rPr>
        <w:t>,</w:t>
      </w:r>
      <w:r w:rsidRPr="00FB5339">
        <w:rPr>
          <w:sz w:val="24"/>
          <w:lang w:val="cs-CZ"/>
        </w:rPr>
        <w:t xml:space="preserve"> T-578/22, ECLI:</w:t>
      </w:r>
      <w:proofErr w:type="gramStart"/>
      <w:r w:rsidRPr="00FB5339">
        <w:rPr>
          <w:sz w:val="24"/>
          <w:lang w:val="cs-CZ"/>
        </w:rPr>
        <w:t>EU:T</w:t>
      </w:r>
      <w:proofErr w:type="gramEnd"/>
      <w:r w:rsidRPr="00FB5339">
        <w:rPr>
          <w:sz w:val="24"/>
          <w:lang w:val="cs-CZ"/>
        </w:rPr>
        <w:t>:2023:522.</w:t>
      </w:r>
    </w:p>
  </w:footnote>
  <w:footnote w:id="10">
    <w:p w14:paraId="399AC89B" w14:textId="77777777" w:rsidR="00624195" w:rsidRPr="005E414C" w:rsidRDefault="00624195" w:rsidP="00624195">
      <w:pPr>
        <w:pStyle w:val="FootnoteText"/>
        <w:ind w:left="567" w:hanging="567"/>
        <w:rPr>
          <w:sz w:val="24"/>
          <w:szCs w:val="24"/>
          <w:lang w:val="cs-CZ"/>
        </w:rPr>
      </w:pPr>
      <w:r w:rsidRPr="005E414C">
        <w:rPr>
          <w:rStyle w:val="FootnoteReference"/>
          <w:sz w:val="24"/>
        </w:rPr>
        <w:footnoteRef/>
      </w:r>
      <w:r w:rsidRPr="00FB5339">
        <w:rPr>
          <w:sz w:val="24"/>
          <w:lang w:val="cs-CZ"/>
        </w:rPr>
        <w:tab/>
      </w:r>
      <w:r w:rsidRPr="00FB5339">
        <w:rPr>
          <w:sz w:val="24"/>
          <w:szCs w:val="24"/>
          <w:lang w:val="cs-CZ"/>
        </w:rPr>
        <w:t>Nařízení Evropského parlamentu a Rady (EU, Euratom) 2023/2841 ze dne 13. prosince 2023, kterým se stanoví opatření k zajištění vysoké společné úrovně kybernetické bezpečnosti v orgánech, institucích a jiných subjektech Unie (</w:t>
      </w:r>
      <w:proofErr w:type="spellStart"/>
      <w:r w:rsidRPr="00FB5339">
        <w:rPr>
          <w:sz w:val="24"/>
          <w:szCs w:val="24"/>
          <w:lang w:val="cs-CZ"/>
        </w:rPr>
        <w:t>Úř</w:t>
      </w:r>
      <w:proofErr w:type="spellEnd"/>
      <w:r w:rsidRPr="00FB5339">
        <w:rPr>
          <w:sz w:val="24"/>
          <w:szCs w:val="24"/>
          <w:lang w:val="cs-CZ"/>
        </w:rPr>
        <w:t xml:space="preserve">. </w:t>
      </w:r>
      <w:proofErr w:type="spellStart"/>
      <w:r w:rsidRPr="00FB5339">
        <w:rPr>
          <w:sz w:val="24"/>
          <w:szCs w:val="24"/>
          <w:lang w:val="cs-CZ"/>
        </w:rPr>
        <w:t>věst</w:t>
      </w:r>
      <w:proofErr w:type="spellEnd"/>
      <w:r w:rsidRPr="00FB5339">
        <w:rPr>
          <w:sz w:val="24"/>
          <w:szCs w:val="24"/>
          <w:lang w:val="cs-CZ"/>
        </w:rPr>
        <w:t xml:space="preserve">. </w:t>
      </w:r>
      <w:r w:rsidRPr="00FB5339">
        <w:rPr>
          <w:sz w:val="24"/>
          <w:szCs w:val="24"/>
          <w:lang w:val="fi-FI"/>
        </w:rPr>
        <w:t xml:space="preserve">L, 2023/2841, 18.12.2023, ELI: </w:t>
      </w:r>
      <w:hyperlink r:id="rId9" w:history="1">
        <w:r w:rsidRPr="00FB5339">
          <w:rPr>
            <w:rStyle w:val="Hyperlink1"/>
            <w:szCs w:val="24"/>
            <w:lang w:val="fi-FI"/>
          </w:rPr>
          <w:t>http://data.europa.eu/eli/reg/2023/2841/oj</w:t>
        </w:r>
      </w:hyperlink>
      <w:r w:rsidRPr="00FB5339">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3DEB9" w14:textId="77777777" w:rsidR="00064002" w:rsidRPr="007446E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A224B" w14:textId="77777777" w:rsidR="00064002" w:rsidRPr="007446E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9DA77" w14:textId="77777777" w:rsidR="00064002" w:rsidRPr="007446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12940415">
    <w:abstractNumId w:val="9"/>
  </w:num>
  <w:num w:numId="2" w16cid:durableId="1559629409">
    <w:abstractNumId w:val="9"/>
  </w:num>
  <w:num w:numId="3" w16cid:durableId="763188419">
    <w:abstractNumId w:val="7"/>
  </w:num>
  <w:num w:numId="4" w16cid:durableId="2051178215">
    <w:abstractNumId w:val="7"/>
  </w:num>
  <w:num w:numId="5" w16cid:durableId="1837843312">
    <w:abstractNumId w:val="6"/>
  </w:num>
  <w:num w:numId="6" w16cid:durableId="42094933">
    <w:abstractNumId w:val="6"/>
  </w:num>
  <w:num w:numId="7" w16cid:durableId="1899125601">
    <w:abstractNumId w:val="5"/>
  </w:num>
  <w:num w:numId="8" w16cid:durableId="1540822797">
    <w:abstractNumId w:val="5"/>
  </w:num>
  <w:num w:numId="9" w16cid:durableId="1433739796">
    <w:abstractNumId w:val="4"/>
  </w:num>
  <w:num w:numId="10" w16cid:durableId="891237476">
    <w:abstractNumId w:val="4"/>
  </w:num>
  <w:num w:numId="11" w16cid:durableId="1429884321">
    <w:abstractNumId w:val="8"/>
  </w:num>
  <w:num w:numId="12" w16cid:durableId="1585912538">
    <w:abstractNumId w:val="8"/>
  </w:num>
  <w:num w:numId="13" w16cid:durableId="2129353628">
    <w:abstractNumId w:val="3"/>
  </w:num>
  <w:num w:numId="14" w16cid:durableId="1152720552">
    <w:abstractNumId w:val="3"/>
  </w:num>
  <w:num w:numId="15" w16cid:durableId="747727532">
    <w:abstractNumId w:val="2"/>
  </w:num>
  <w:num w:numId="16" w16cid:durableId="1396053959">
    <w:abstractNumId w:val="2"/>
  </w:num>
  <w:num w:numId="17" w16cid:durableId="698556181">
    <w:abstractNumId w:val="1"/>
  </w:num>
  <w:num w:numId="18" w16cid:durableId="1046414930">
    <w:abstractNumId w:val="1"/>
  </w:num>
  <w:num w:numId="19" w16cid:durableId="429543329">
    <w:abstractNumId w:val="0"/>
  </w:num>
  <w:num w:numId="20" w16cid:durableId="2063096159">
    <w:abstractNumId w:val="0"/>
  </w:num>
  <w:num w:numId="21" w16cid:durableId="1707363845">
    <w:abstractNumId w:val="9"/>
  </w:num>
  <w:num w:numId="22" w16cid:durableId="791752736">
    <w:abstractNumId w:val="7"/>
  </w:num>
  <w:num w:numId="23" w16cid:durableId="273099637">
    <w:abstractNumId w:val="6"/>
  </w:num>
  <w:num w:numId="24" w16cid:durableId="484317155">
    <w:abstractNumId w:val="5"/>
  </w:num>
  <w:num w:numId="25" w16cid:durableId="1516185912">
    <w:abstractNumId w:val="4"/>
  </w:num>
  <w:num w:numId="26" w16cid:durableId="123932158">
    <w:abstractNumId w:val="8"/>
  </w:num>
  <w:num w:numId="27" w16cid:durableId="7022621">
    <w:abstractNumId w:val="3"/>
  </w:num>
  <w:num w:numId="28" w16cid:durableId="711152123">
    <w:abstractNumId w:val="2"/>
  </w:num>
  <w:num w:numId="29" w16cid:durableId="1437822186">
    <w:abstractNumId w:val="1"/>
  </w:num>
  <w:num w:numId="30" w16cid:durableId="1957516440">
    <w:abstractNumId w:val="0"/>
  </w:num>
  <w:num w:numId="31" w16cid:durableId="1527400667">
    <w:abstractNumId w:val="9"/>
  </w:num>
  <w:num w:numId="32" w16cid:durableId="1334652210">
    <w:abstractNumId w:val="7"/>
  </w:num>
  <w:num w:numId="33" w16cid:durableId="1167671814">
    <w:abstractNumId w:val="6"/>
  </w:num>
  <w:num w:numId="34" w16cid:durableId="757291406">
    <w:abstractNumId w:val="5"/>
  </w:num>
  <w:num w:numId="35" w16cid:durableId="104615115">
    <w:abstractNumId w:val="4"/>
  </w:num>
  <w:num w:numId="36" w16cid:durableId="1988897982">
    <w:abstractNumId w:val="8"/>
  </w:num>
  <w:num w:numId="37" w16cid:durableId="686101862">
    <w:abstractNumId w:val="3"/>
  </w:num>
  <w:num w:numId="38" w16cid:durableId="197472920">
    <w:abstractNumId w:val="2"/>
  </w:num>
  <w:num w:numId="39" w16cid:durableId="1620063623">
    <w:abstractNumId w:val="1"/>
  </w:num>
  <w:num w:numId="40" w16cid:durableId="1503006141">
    <w:abstractNumId w:val="0"/>
  </w:num>
  <w:num w:numId="41" w16cid:durableId="2367683">
    <w:abstractNumId w:val="10"/>
  </w:num>
  <w:num w:numId="42" w16cid:durableId="915550595">
    <w:abstractNumId w:val="10"/>
  </w:num>
  <w:num w:numId="43" w16cid:durableId="360858507">
    <w:abstractNumId w:val="10"/>
  </w:num>
  <w:num w:numId="44" w16cid:durableId="14290841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3/2025"/>
    <w:docVar w:name="dvlangue" w:val="CS"/>
    <w:docVar w:name="dvnumam" w:val="0"/>
    <w:docVar w:name="dvpe" w:val="764.990"/>
    <w:docVar w:name="dvrapporteur" w:val="Zpravodaj: "/>
    <w:docVar w:name="dvtitre" w:val="Rozhodnutí Evropského parlamentu ze dne.... 2025 o udělení absolutoria za plnění souhrnného rozpočtu Evropské unie na rozpočtový rok 2023, oddíl IX – Evropský inspektor ochrany údajů(2024/2028(DEC))"/>
  </w:docVars>
  <w:rsids>
    <w:rsidRoot w:val="006815F5"/>
    <w:rsid w:val="00002272"/>
    <w:rsid w:val="00064002"/>
    <w:rsid w:val="000677B9"/>
    <w:rsid w:val="000831BA"/>
    <w:rsid w:val="000A42CC"/>
    <w:rsid w:val="000B5F8B"/>
    <w:rsid w:val="000E7DD9"/>
    <w:rsid w:val="0010095E"/>
    <w:rsid w:val="00125B37"/>
    <w:rsid w:val="00187494"/>
    <w:rsid w:val="001F32AE"/>
    <w:rsid w:val="002767FF"/>
    <w:rsid w:val="002B18FE"/>
    <w:rsid w:val="002B5493"/>
    <w:rsid w:val="00343214"/>
    <w:rsid w:val="00361C00"/>
    <w:rsid w:val="0038630C"/>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4195"/>
    <w:rsid w:val="006631B6"/>
    <w:rsid w:val="00680577"/>
    <w:rsid w:val="006815F5"/>
    <w:rsid w:val="006F74FA"/>
    <w:rsid w:val="00731ADD"/>
    <w:rsid w:val="00734777"/>
    <w:rsid w:val="007446EE"/>
    <w:rsid w:val="00747932"/>
    <w:rsid w:val="00751A4A"/>
    <w:rsid w:val="00756632"/>
    <w:rsid w:val="00762C74"/>
    <w:rsid w:val="00786EC0"/>
    <w:rsid w:val="007D1690"/>
    <w:rsid w:val="007D2CC3"/>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7320"/>
    <w:rsid w:val="00D56C11"/>
    <w:rsid w:val="00D834A0"/>
    <w:rsid w:val="00D872DF"/>
    <w:rsid w:val="00D9134B"/>
    <w:rsid w:val="00D91E21"/>
    <w:rsid w:val="00DA7FCD"/>
    <w:rsid w:val="00DC2F42"/>
    <w:rsid w:val="00E365E1"/>
    <w:rsid w:val="00E820A4"/>
    <w:rsid w:val="00EB006A"/>
    <w:rsid w:val="00EB4772"/>
    <w:rsid w:val="00ED169E"/>
    <w:rsid w:val="00ED4235"/>
    <w:rsid w:val="00F00C62"/>
    <w:rsid w:val="00F04346"/>
    <w:rsid w:val="00F075DC"/>
    <w:rsid w:val="00F149E9"/>
    <w:rsid w:val="00F5134D"/>
    <w:rsid w:val="00F74202"/>
    <w:rsid w:val="00F87713"/>
    <w:rsid w:val="00FB4360"/>
    <w:rsid w:val="00FD0C70"/>
    <w:rsid w:val="00FF693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4F3A03"/>
  <w15:chartTrackingRefBased/>
  <w15:docId w15:val="{7ED4C45E-1C01-4224-85E1-3319E4853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B5F8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B5F8B"/>
    <w:pPr>
      <w:spacing w:before="480" w:after="240"/>
    </w:pPr>
  </w:style>
  <w:style w:type="paragraph" w:customStyle="1" w:styleId="PageHeading">
    <w:name w:val="PageHeading"/>
    <w:basedOn w:val="Normal"/>
    <w:rsid w:val="000B5F8B"/>
    <w:pPr>
      <w:keepNext/>
      <w:spacing w:after="480"/>
      <w:jc w:val="center"/>
    </w:pPr>
    <w:rPr>
      <w:rFonts w:ascii="Arial" w:hAnsi="Arial" w:cs="Arial"/>
      <w:b/>
    </w:rPr>
  </w:style>
  <w:style w:type="paragraph" w:customStyle="1" w:styleId="NormalBold">
    <w:name w:val="NormalBold"/>
    <w:basedOn w:val="Normal"/>
    <w:rsid w:val="000B5F8B"/>
    <w:rPr>
      <w:b/>
    </w:rPr>
  </w:style>
  <w:style w:type="paragraph" w:customStyle="1" w:styleId="NormalHanging12a">
    <w:name w:val="NormalHanging12a"/>
    <w:basedOn w:val="Normal"/>
    <w:link w:val="NormalHanging12aChar"/>
    <w:qFormat/>
    <w:rsid w:val="000B5F8B"/>
    <w:pPr>
      <w:spacing w:after="240"/>
      <w:ind w:left="567" w:hanging="567"/>
    </w:pPr>
  </w:style>
  <w:style w:type="paragraph" w:styleId="Header">
    <w:name w:val="header"/>
    <w:basedOn w:val="Normal"/>
    <w:link w:val="HeaderChar"/>
    <w:rsid w:val="000B5F8B"/>
    <w:pPr>
      <w:tabs>
        <w:tab w:val="center" w:pos="4513"/>
        <w:tab w:val="right" w:pos="9026"/>
      </w:tabs>
    </w:pPr>
  </w:style>
  <w:style w:type="character" w:customStyle="1" w:styleId="HeaderChar">
    <w:name w:val="Header Char"/>
    <w:basedOn w:val="DefaultParagraphFont"/>
    <w:link w:val="Header"/>
    <w:rsid w:val="000B5F8B"/>
    <w:rPr>
      <w:sz w:val="24"/>
      <w:lang w:val="cs-CZ"/>
    </w:rPr>
  </w:style>
  <w:style w:type="paragraph" w:customStyle="1" w:styleId="EPFooter">
    <w:name w:val="EPFooter"/>
    <w:basedOn w:val="Normal"/>
    <w:rsid w:val="000B5F8B"/>
    <w:pPr>
      <w:tabs>
        <w:tab w:val="center" w:pos="4535"/>
        <w:tab w:val="right" w:pos="9071"/>
      </w:tabs>
      <w:spacing w:before="240" w:after="240"/>
    </w:pPr>
    <w:rPr>
      <w:color w:val="010000"/>
      <w:sz w:val="22"/>
    </w:rPr>
  </w:style>
  <w:style w:type="character" w:styleId="Hyperlink">
    <w:name w:val="Hyperlink"/>
    <w:basedOn w:val="DefaultParagraphFont"/>
    <w:uiPriority w:val="99"/>
    <w:rsid w:val="000B5F8B"/>
    <w:rPr>
      <w:color w:val="0563C1" w:themeColor="hyperlink"/>
      <w:u w:val="single"/>
    </w:rPr>
  </w:style>
  <w:style w:type="character" w:customStyle="1" w:styleId="NormalHanging12aChar">
    <w:name w:val="NormalHanging12a Char"/>
    <w:basedOn w:val="DefaultParagraphFont"/>
    <w:link w:val="NormalHanging12a"/>
    <w:locked/>
    <w:rsid w:val="000B5F8B"/>
    <w:rPr>
      <w:sz w:val="24"/>
      <w:lang w:val="cs-CZ"/>
    </w:rPr>
  </w:style>
  <w:style w:type="paragraph" w:customStyle="1" w:styleId="Visa">
    <w:name w:val="Visa"/>
    <w:basedOn w:val="Normal"/>
    <w:rsid w:val="000B5F8B"/>
    <w:pPr>
      <w:tabs>
        <w:tab w:val="left" w:pos="357"/>
      </w:tabs>
      <w:snapToGrid w:val="0"/>
      <w:spacing w:after="240"/>
      <w:ind w:left="357" w:hanging="357"/>
    </w:pPr>
    <w:rPr>
      <w:lang w:eastAsia="en-US"/>
    </w:rPr>
  </w:style>
  <w:style w:type="paragraph" w:styleId="NormalWeb">
    <w:name w:val="Normal (Web)"/>
    <w:basedOn w:val="Normal"/>
    <w:uiPriority w:val="99"/>
    <w:unhideWhenUsed/>
    <w:rsid w:val="000B5F8B"/>
    <w:pPr>
      <w:widowControl/>
      <w:spacing w:before="100" w:beforeAutospacing="1" w:after="100" w:afterAutospacing="1"/>
    </w:pPr>
    <w:rPr>
      <w:szCs w:val="24"/>
    </w:rPr>
  </w:style>
  <w:style w:type="paragraph" w:styleId="Footer">
    <w:name w:val="footer"/>
    <w:basedOn w:val="Normal"/>
    <w:link w:val="FooterChar"/>
    <w:rsid w:val="00D47320"/>
    <w:pPr>
      <w:tabs>
        <w:tab w:val="center" w:pos="4513"/>
        <w:tab w:val="right" w:pos="9026"/>
      </w:tabs>
    </w:pPr>
  </w:style>
  <w:style w:type="character" w:customStyle="1" w:styleId="FooterChar">
    <w:name w:val="Footer Char"/>
    <w:basedOn w:val="DefaultParagraphFont"/>
    <w:link w:val="Footer"/>
    <w:rsid w:val="00D47320"/>
    <w:rPr>
      <w:sz w:val="24"/>
      <w:lang w:val="cs-CZ"/>
    </w:rPr>
  </w:style>
  <w:style w:type="paragraph" w:styleId="BalloonText">
    <w:name w:val="Balloon Text"/>
    <w:basedOn w:val="Normal"/>
    <w:link w:val="BalloonTextChar"/>
    <w:rsid w:val="00F00C62"/>
    <w:rPr>
      <w:rFonts w:ascii="Segoe UI" w:hAnsi="Segoe UI" w:cs="Segoe UI"/>
      <w:sz w:val="18"/>
      <w:szCs w:val="18"/>
    </w:rPr>
  </w:style>
  <w:style w:type="character" w:customStyle="1" w:styleId="BalloonTextChar">
    <w:name w:val="Balloon Text Char"/>
    <w:basedOn w:val="DefaultParagraphFont"/>
    <w:link w:val="BalloonText"/>
    <w:rsid w:val="00F00C62"/>
    <w:rPr>
      <w:rFonts w:ascii="Segoe UI" w:hAnsi="Segoe UI" w:cs="Segoe UI"/>
      <w:sz w:val="18"/>
      <w:szCs w:val="18"/>
      <w:lang w:val="cs-CZ"/>
    </w:rPr>
  </w:style>
  <w:style w:type="character" w:customStyle="1" w:styleId="Hyperlink1">
    <w:name w:val="Hyperlink1"/>
    <w:basedOn w:val="DefaultParagraphFont"/>
    <w:uiPriority w:val="99"/>
    <w:rsid w:val="00624195"/>
    <w:rPr>
      <w:color w:val="0563C1"/>
      <w:u w:val="single"/>
    </w:rPr>
  </w:style>
  <w:style w:type="character" w:styleId="CommentReference">
    <w:name w:val="annotation reference"/>
    <w:basedOn w:val="DefaultParagraphFont"/>
    <w:uiPriority w:val="99"/>
    <w:unhideWhenUsed/>
    <w:rsid w:val="00624195"/>
    <w:rPr>
      <w:sz w:val="16"/>
      <w:szCs w:val="16"/>
    </w:rPr>
  </w:style>
  <w:style w:type="paragraph" w:styleId="CommentText">
    <w:name w:val="annotation text"/>
    <w:basedOn w:val="Normal"/>
    <w:link w:val="CommentTextChar"/>
    <w:uiPriority w:val="99"/>
    <w:unhideWhenUsed/>
    <w:rsid w:val="00624195"/>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624195"/>
    <w:rPr>
      <w:rFonts w:eastAsiaTheme="minorHAns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725/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330F-2697-45FF-A002-C0C6F38C6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6232</Words>
  <Characters>36051</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KONOPKOVA Jindra</cp:lastModifiedBy>
  <cp:revision>2</cp:revision>
  <cp:lastPrinted>2004-11-19T15:42:00Z</cp:lastPrinted>
  <dcterms:created xsi:type="dcterms:W3CDTF">2025-11-25T13:21:00Z</dcterms:created>
  <dcterms:modified xsi:type="dcterms:W3CDTF">2025-11-25T13:21:00Z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P10_TA(2025)0085_</vt:lpwstr>
  </property>
  <property fmtid="{D5CDD505-2E9C-101B-9397-08002B2CF9AE}" pid="4" name="&lt;Type&gt;">
    <vt:lpwstr>RR</vt:lpwstr>
  </property>
</Properties>
</file>