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7847" w14:paraId="3A7F01A2" w14:textId="77777777" w:rsidTr="0010095E">
        <w:trPr>
          <w:trHeight w:hRule="exact" w:val="1418"/>
        </w:trPr>
        <w:tc>
          <w:tcPr>
            <w:tcW w:w="6804" w:type="dxa"/>
            <w:shd w:val="clear" w:color="auto" w:fill="auto"/>
            <w:vAlign w:val="center"/>
          </w:tcPr>
          <w:p w14:paraId="12EC1710" w14:textId="77777777" w:rsidR="00751A4A" w:rsidRPr="00887847" w:rsidRDefault="00E35E92" w:rsidP="0010095E">
            <w:pPr>
              <w:pStyle w:val="EPName"/>
            </w:pPr>
            <w:r w:rsidRPr="00887847">
              <w:t>Europos Parlamentas</w:t>
            </w:r>
          </w:p>
          <w:p w14:paraId="063D73D8" w14:textId="77777777" w:rsidR="00751A4A" w:rsidRPr="00887847" w:rsidRDefault="005F1B17" w:rsidP="005F1B17">
            <w:pPr>
              <w:pStyle w:val="EPTerm"/>
              <w:rPr>
                <w:rStyle w:val="HideTWBExt"/>
                <w:noProof w:val="0"/>
                <w:vanish w:val="0"/>
                <w:color w:val="auto"/>
              </w:rPr>
            </w:pPr>
            <w:r w:rsidRPr="00887847">
              <w:t>2024</w:t>
            </w:r>
            <w:r w:rsidR="00817416" w:rsidRPr="00887847">
              <w:t>-202</w:t>
            </w:r>
            <w:r w:rsidRPr="00887847">
              <w:t>9</w:t>
            </w:r>
          </w:p>
        </w:tc>
        <w:tc>
          <w:tcPr>
            <w:tcW w:w="2268" w:type="dxa"/>
            <w:shd w:val="clear" w:color="auto" w:fill="auto"/>
          </w:tcPr>
          <w:p w14:paraId="7E91CD54" w14:textId="77777777" w:rsidR="00751A4A" w:rsidRPr="00887847" w:rsidRDefault="00187494" w:rsidP="0010095E">
            <w:pPr>
              <w:pStyle w:val="EPLogo"/>
            </w:pPr>
            <w:r w:rsidRPr="00887847">
              <w:rPr>
                <w:noProof/>
                <w:lang w:val="en-GB"/>
              </w:rPr>
              <w:drawing>
                <wp:inline distT="0" distB="0" distL="0" distR="0" wp14:anchorId="2FB3437D" wp14:editId="0B30EC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6E6FE8" w14:textId="77777777" w:rsidR="00D058B8" w:rsidRPr="00887847" w:rsidRDefault="00D058B8" w:rsidP="004C5D52">
      <w:pPr>
        <w:pStyle w:val="LineTop"/>
      </w:pPr>
    </w:p>
    <w:p w14:paraId="68C7D8C4" w14:textId="77777777" w:rsidR="00680577" w:rsidRPr="00887847" w:rsidRDefault="00E35E92" w:rsidP="00680577">
      <w:pPr>
        <w:pStyle w:val="EPBodyTA1"/>
      </w:pPr>
      <w:r w:rsidRPr="00887847">
        <w:t>PRIIMTI TEKSTAI</w:t>
      </w:r>
    </w:p>
    <w:p w14:paraId="55D3CDF7" w14:textId="77777777" w:rsidR="00D058B8" w:rsidRPr="00887847" w:rsidRDefault="00D058B8" w:rsidP="00D058B8">
      <w:pPr>
        <w:pStyle w:val="LineBottom"/>
      </w:pPr>
    </w:p>
    <w:p w14:paraId="399152C0" w14:textId="77777777" w:rsidR="00E35E92" w:rsidRPr="00887847" w:rsidRDefault="00E35E92" w:rsidP="00E35E92">
      <w:pPr>
        <w:pStyle w:val="ATHeading1"/>
      </w:pPr>
      <w:bookmarkStart w:id="0" w:name="TANumber"/>
      <w:r w:rsidRPr="00887847">
        <w:t>P10_TA(2025)00</w:t>
      </w:r>
      <w:r w:rsidR="0008580C" w:rsidRPr="00887847">
        <w:t>85</w:t>
      </w:r>
      <w:bookmarkEnd w:id="0"/>
    </w:p>
    <w:p w14:paraId="1720574F" w14:textId="77777777" w:rsidR="00E35E92" w:rsidRPr="00887847" w:rsidRDefault="00E35E92" w:rsidP="00E35E92">
      <w:pPr>
        <w:pStyle w:val="ATHeading2"/>
      </w:pPr>
      <w:bookmarkStart w:id="1" w:name="title"/>
      <w:r w:rsidRPr="00887847">
        <w:t>2023 m. biudžeto įvykdymo patvirtinimas: ES bendrasis biudžetas – Europos duomenų apsaugos</w:t>
      </w:r>
      <w:r w:rsidR="00B30B54" w:rsidRPr="00887847">
        <w:t xml:space="preserve"> </w:t>
      </w:r>
      <w:r w:rsidRPr="00887847">
        <w:t>priežiūros pareigūnas</w:t>
      </w:r>
      <w:bookmarkEnd w:id="1"/>
    </w:p>
    <w:p w14:paraId="4EC23715" w14:textId="77777777" w:rsidR="00E35E92" w:rsidRPr="00887847" w:rsidRDefault="00E35E92" w:rsidP="00E35E92">
      <w:pPr>
        <w:rPr>
          <w:i/>
          <w:vanish/>
        </w:rPr>
      </w:pPr>
      <w:r w:rsidRPr="00887847">
        <w:rPr>
          <w:i/>
        </w:rPr>
        <w:fldChar w:fldCharType="begin"/>
      </w:r>
      <w:r w:rsidRPr="00887847">
        <w:rPr>
          <w:i/>
        </w:rPr>
        <w:instrText xml:space="preserve"> TC"(</w:instrText>
      </w:r>
      <w:bookmarkStart w:id="2" w:name="DocNumber"/>
      <w:r w:rsidRPr="00887847">
        <w:rPr>
          <w:i/>
        </w:rPr>
        <w:instrText>A10-0053/2025</w:instrText>
      </w:r>
      <w:bookmarkEnd w:id="2"/>
      <w:r w:rsidRPr="00887847">
        <w:rPr>
          <w:i/>
        </w:rPr>
        <w:instrText xml:space="preserve"> - Pranešėjas: Joachim Stanisław Brudziński)"\l3 \n&gt; \* MERGEFORMAT </w:instrText>
      </w:r>
      <w:r w:rsidRPr="00887847">
        <w:rPr>
          <w:i/>
        </w:rPr>
        <w:fldChar w:fldCharType="end"/>
      </w:r>
    </w:p>
    <w:p w14:paraId="0BC8021D" w14:textId="77777777" w:rsidR="00E35E92" w:rsidRPr="00887847" w:rsidRDefault="00E35E92" w:rsidP="00E35E92">
      <w:pPr>
        <w:rPr>
          <w:vanish/>
        </w:rPr>
      </w:pPr>
      <w:bookmarkStart w:id="3" w:name="Commission"/>
      <w:r w:rsidRPr="00887847">
        <w:rPr>
          <w:vanish/>
        </w:rPr>
        <w:t>Biudžeto kontrolės komitetas</w:t>
      </w:r>
      <w:bookmarkEnd w:id="3"/>
    </w:p>
    <w:p w14:paraId="1305D214" w14:textId="77777777" w:rsidR="00E35E92" w:rsidRPr="00887847" w:rsidRDefault="00E35E92" w:rsidP="00E35E92">
      <w:pPr>
        <w:rPr>
          <w:vanish/>
        </w:rPr>
      </w:pPr>
      <w:bookmarkStart w:id="4" w:name="PE"/>
      <w:r w:rsidRPr="00887847">
        <w:rPr>
          <w:vanish/>
        </w:rPr>
        <w:t>PE764.990</w:t>
      </w:r>
      <w:bookmarkEnd w:id="4"/>
    </w:p>
    <w:p w14:paraId="7F4F3765" w14:textId="2B34EC64" w:rsidR="003A0C96" w:rsidRPr="003A0C96" w:rsidRDefault="003A0C96" w:rsidP="003A0C96">
      <w:pPr>
        <w:pStyle w:val="ATHeading3"/>
      </w:pPr>
      <w:r w:rsidRPr="003A0C96">
        <w:t>1. 2025 m. gegužės 7 d. Europos Parlamento sprendimas dėl Europos Sąjungos 2023 finansinių metų bendrojo biudžeto įvykdymo patvirtinimo, IX skirsnis – Europos duomenų apsaugos priežiūros pareigūnas (2024/2028(DEC))</w:t>
      </w:r>
    </w:p>
    <w:p w14:paraId="1D0D1B46" w14:textId="77777777" w:rsidR="003A0C96" w:rsidRPr="003A0C96" w:rsidRDefault="003A0C96" w:rsidP="003A0C96">
      <w:pPr>
        <w:spacing w:before="480" w:after="240"/>
        <w:rPr>
          <w:kern w:val="2"/>
          <w14:ligatures w14:val="standardContextual"/>
        </w:rPr>
      </w:pPr>
      <w:r w:rsidRPr="003A0C96">
        <w:rPr>
          <w:i/>
          <w:kern w:val="2"/>
          <w14:ligatures w14:val="standardContextual"/>
        </w:rPr>
        <w:t>Europos Parlamentas</w:t>
      </w:r>
      <w:r w:rsidRPr="003A0C96">
        <w:rPr>
          <w:kern w:val="2"/>
          <w14:ligatures w14:val="standardContextual"/>
        </w:rPr>
        <w:t>,</w:t>
      </w:r>
    </w:p>
    <w:p w14:paraId="1ADC1E2E"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w:t>
      </w:r>
      <w:r w:rsidRPr="003A0C96">
        <w:rPr>
          <w:kern w:val="2"/>
          <w14:ligatures w14:val="standardContextual"/>
        </w:rPr>
        <w:tab/>
        <w:t>atsižvelgdamas į Europos Sąjungos 2023 finansinių metų bendrąjį biudžetą</w:t>
      </w:r>
      <w:r w:rsidRPr="003A0C96">
        <w:rPr>
          <w:kern w:val="2"/>
          <w:vertAlign w:val="superscript"/>
          <w14:ligatures w14:val="standardContextual"/>
        </w:rPr>
        <w:footnoteReference w:id="1"/>
      </w:r>
      <w:r w:rsidRPr="003A0C96">
        <w:rPr>
          <w:kern w:val="2"/>
          <w14:ligatures w14:val="standardContextual"/>
        </w:rPr>
        <w:t>,</w:t>
      </w:r>
    </w:p>
    <w:p w14:paraId="097E84B6"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w:t>
      </w:r>
      <w:r w:rsidRPr="003A0C96">
        <w:rPr>
          <w:kern w:val="2"/>
          <w14:ligatures w14:val="standardContextual"/>
        </w:rPr>
        <w:tab/>
        <w:t>atsižvelgdamas į Europos Sąjungos 2023 finansinių metų konsoliduotąsias metines ataskaitas (COM(2024)0272 – C10</w:t>
      </w:r>
      <w:r w:rsidRPr="003A0C96">
        <w:rPr>
          <w:kern w:val="2"/>
          <w14:ligatures w14:val="standardContextual"/>
        </w:rPr>
        <w:noBreakHyphen/>
        <w:t>0076/2024)</w:t>
      </w:r>
      <w:r w:rsidRPr="003A0C96">
        <w:rPr>
          <w:kern w:val="2"/>
          <w:vertAlign w:val="superscript"/>
          <w14:ligatures w14:val="standardContextual"/>
        </w:rPr>
        <w:footnoteReference w:id="2"/>
      </w:r>
      <w:r w:rsidRPr="003A0C96">
        <w:rPr>
          <w:kern w:val="2"/>
          <w14:ligatures w14:val="standardContextual"/>
        </w:rPr>
        <w:t>,</w:t>
      </w:r>
    </w:p>
    <w:p w14:paraId="55B5DDDB"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w:t>
      </w:r>
      <w:r w:rsidRPr="003A0C96">
        <w:rPr>
          <w:kern w:val="2"/>
          <w14:ligatures w14:val="standardContextual"/>
        </w:rPr>
        <w:tab/>
        <w:t>atsižvelgdamas į Europos duomenų apsaugos priežiūros pareigūno 2023 m. metinę ataskaitą,</w:t>
      </w:r>
    </w:p>
    <w:p w14:paraId="3D0D0D0D"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w:t>
      </w:r>
      <w:r w:rsidRPr="003A0C96">
        <w:rPr>
          <w:kern w:val="2"/>
          <w14:ligatures w14:val="standardContextual"/>
        </w:rPr>
        <w:tab/>
        <w:t>atsižvelgdamas į Audito Rūmų 2023 finansinių metų metinę biudžeto vykdymo ataskaitą kartu su institucijų atsakymais</w:t>
      </w:r>
      <w:r w:rsidRPr="003A0C96">
        <w:rPr>
          <w:kern w:val="2"/>
          <w:vertAlign w:val="superscript"/>
          <w14:ligatures w14:val="standardContextual"/>
        </w:rPr>
        <w:footnoteReference w:id="3"/>
      </w:r>
      <w:r w:rsidRPr="003A0C96">
        <w:rPr>
          <w:kern w:val="2"/>
          <w14:ligatures w14:val="standardContextual"/>
        </w:rPr>
        <w:t>,</w:t>
      </w:r>
    </w:p>
    <w:p w14:paraId="38BA742E"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w:t>
      </w:r>
      <w:r w:rsidRPr="003A0C96">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3A0C96">
        <w:rPr>
          <w:kern w:val="2"/>
          <w:vertAlign w:val="superscript"/>
          <w14:ligatures w14:val="standardContextual"/>
        </w:rPr>
        <w:footnoteReference w:id="4"/>
      </w:r>
      <w:r w:rsidRPr="003A0C96">
        <w:rPr>
          <w:kern w:val="2"/>
          <w14:ligatures w14:val="standardContextual"/>
        </w:rPr>
        <w:t>,</w:t>
      </w:r>
    </w:p>
    <w:p w14:paraId="6407D4FC"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w:t>
      </w:r>
      <w:r w:rsidRPr="003A0C96">
        <w:rPr>
          <w:kern w:val="2"/>
          <w14:ligatures w14:val="standardContextual"/>
        </w:rPr>
        <w:tab/>
        <w:t>atsižvelgdamas į Sutarties dėl Europos Sąjungos veikimo 314 straipsnio 10 dalį ir 317, 318 ir 319 straipsnius,</w:t>
      </w:r>
    </w:p>
    <w:p w14:paraId="1B82C44E" w14:textId="77777777" w:rsidR="003A0C96" w:rsidRPr="003A0C96" w:rsidRDefault="003A0C96" w:rsidP="003A0C96">
      <w:pPr>
        <w:tabs>
          <w:tab w:val="left" w:pos="567"/>
        </w:tabs>
        <w:snapToGrid w:val="0"/>
        <w:spacing w:after="240"/>
        <w:ind w:left="567" w:hanging="567"/>
        <w:rPr>
          <w:kern w:val="2"/>
          <w:lang w:eastAsia="en-US"/>
          <w14:ligatures w14:val="standardContextual"/>
        </w:rPr>
      </w:pPr>
      <w:r w:rsidRPr="003A0C96">
        <w:rPr>
          <w:kern w:val="2"/>
          <w:lang w:eastAsia="en-US"/>
          <w14:ligatures w14:val="standardContextual"/>
        </w:rPr>
        <w:t>–</w:t>
      </w:r>
      <w:r w:rsidRPr="003A0C96">
        <w:rPr>
          <w:kern w:val="2"/>
          <w:lang w:eastAsia="en-US"/>
          <w14:ligatures w14:val="standardContextual"/>
        </w:rPr>
        <w:tab/>
        <w:t xml:space="preserve">atsižvelgdamas į 2018 m. liepos 18 d. Europos Parlamento ir Tarybos reglamentą (ES, Euratomas) 2018/1046 dėl Sąjungos bendrajam biudžetui taikomų finansinių taisyklių, kuriuo iš dalies keičiami reglamentai (ES) Nr. 1296/2013, (ES) Nr. 1301/2013, (ES) </w:t>
      </w:r>
      <w:r w:rsidRPr="003A0C96">
        <w:rPr>
          <w:kern w:val="2"/>
          <w:lang w:eastAsia="en-US"/>
          <w14:ligatures w14:val="standardContextual"/>
        </w:rPr>
        <w:lastRenderedPageBreak/>
        <w:t>Nr. 1303/2013, (ES) Nr. 1304/2013, (ES) Nr. 1309/2013, (ES) Nr. 1316/2013, (ES) Nr. 223/2014, (ES) Nr. 283/2014 ir Sprendimas Nr. 541/2014/ES, bei panaikinamas Reglamentas (ES, Euratomas) Nr. 966/2012</w:t>
      </w:r>
      <w:r w:rsidRPr="003A0C96">
        <w:rPr>
          <w:kern w:val="2"/>
          <w:vertAlign w:val="superscript"/>
          <w14:ligatures w14:val="standardContextual"/>
        </w:rPr>
        <w:footnoteReference w:id="5"/>
      </w:r>
      <w:r w:rsidRPr="003A0C96">
        <w:rPr>
          <w:kern w:val="2"/>
          <w:lang w:eastAsia="en-US"/>
          <w14:ligatures w14:val="standardContextual"/>
        </w:rPr>
        <w:t>, ypač į jo 59, 118, 260, 261 ir 262 straipsnius,</w:t>
      </w:r>
    </w:p>
    <w:p w14:paraId="02B1A860"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w:t>
      </w:r>
      <w:r w:rsidRPr="003A0C96">
        <w:rPr>
          <w:kern w:val="2"/>
          <w14:ligatures w14:val="standardContextual"/>
        </w:rPr>
        <w:tab/>
      </w:r>
      <w:r w:rsidRPr="003A0C96">
        <w:rPr>
          <w:kern w:val="2"/>
          <w:shd w:val="clear" w:color="auto" w:fill="FFFFFF"/>
          <w14:ligatures w14:val="standardContextual"/>
        </w:rPr>
        <w:t>atsižvelgdamas į 2024 m. rugsėjo 23 d. Europos Parlamento ir Tarybos reglamentą (ES, Euratomas) 2024/2509 dėl Sąjungos bendrajam biudžetui taikomų finansinių taisyklių</w:t>
      </w:r>
      <w:r w:rsidRPr="003A0C96">
        <w:rPr>
          <w:bCs/>
          <w:kern w:val="2"/>
          <w:szCs w:val="24"/>
          <w:shd w:val="clear" w:color="auto" w:fill="FFFFFF"/>
          <w:vertAlign w:val="superscript"/>
          <w14:ligatures w14:val="standardContextual"/>
        </w:rPr>
        <w:footnoteReference w:id="6"/>
      </w:r>
      <w:r w:rsidRPr="003A0C96">
        <w:rPr>
          <w:kern w:val="2"/>
          <w:shd w:val="clear" w:color="auto" w:fill="FFFFFF"/>
          <w14:ligatures w14:val="standardContextual"/>
        </w:rPr>
        <w:t>, ypač į jo 59, 118, 266, 267 ir 268 straipsnius,</w:t>
      </w:r>
    </w:p>
    <w:p w14:paraId="74951BA7"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w:t>
      </w:r>
      <w:r w:rsidRPr="003A0C96">
        <w:rPr>
          <w:kern w:val="2"/>
          <w14:ligatures w14:val="standardContextual"/>
        </w:rPr>
        <w:tab/>
        <w:t>atsižvelgdamas į 2018 m. spalio 23 d. Europos Parlamento ir Tarybos reglamentą (ES) 2018/1725 dėl fizinių asmenų apsaugos Sąjungos institucijoms, organams, tarnyboms ir agentūroms tvarkant asmens duomenis ir dėl laisvo tokių duomenų judėjimo, kuriuo panaikinamas Reglamentas (EB) Nr. 45/2001 ir Sprendimas Nr. 1247/2002/EB</w:t>
      </w:r>
      <w:r w:rsidRPr="003A0C96">
        <w:rPr>
          <w:kern w:val="2"/>
          <w:vertAlign w:val="superscript"/>
          <w14:ligatures w14:val="standardContextual"/>
        </w:rPr>
        <w:footnoteReference w:id="7"/>
      </w:r>
      <w:r w:rsidRPr="003A0C96">
        <w:rPr>
          <w:kern w:val="2"/>
          <w14:ligatures w14:val="standardContextual"/>
        </w:rPr>
        <w:t>, ypač į jo 55 straipsnį,</w:t>
      </w:r>
    </w:p>
    <w:p w14:paraId="1752B907"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w:t>
      </w:r>
      <w:r w:rsidRPr="003A0C96">
        <w:rPr>
          <w:kern w:val="2"/>
          <w14:ligatures w14:val="standardContextual"/>
        </w:rPr>
        <w:tab/>
        <w:t>atsižvelgdamas į Darbo tvarkos taisyklių 102 straipsnį ir V priedą,</w:t>
      </w:r>
    </w:p>
    <w:p w14:paraId="5B91068D"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w:t>
      </w:r>
      <w:r w:rsidRPr="003A0C96">
        <w:rPr>
          <w:kern w:val="2"/>
          <w14:ligatures w14:val="standardContextual"/>
        </w:rPr>
        <w:tab/>
        <w:t>atsižvelgdamas į Piliečių laisvių, teisingumo ir vidaus reikalų komiteto nuomonę,</w:t>
      </w:r>
    </w:p>
    <w:p w14:paraId="65B53439"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w:t>
      </w:r>
      <w:r w:rsidRPr="003A0C96">
        <w:rPr>
          <w:kern w:val="2"/>
          <w14:ligatures w14:val="standardContextual"/>
        </w:rPr>
        <w:tab/>
        <w:t>atsižvelgdamas į Biudžeto kontrolės komiteto pranešimą (A10</w:t>
      </w:r>
      <w:r w:rsidRPr="003A0C96">
        <w:rPr>
          <w:kern w:val="2"/>
          <w14:ligatures w14:val="standardContextual"/>
        </w:rPr>
        <w:noBreakHyphen/>
        <w:t>0053/2025),</w:t>
      </w:r>
    </w:p>
    <w:p w14:paraId="73A16936"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1.</w:t>
      </w:r>
      <w:r w:rsidRPr="003A0C96">
        <w:rPr>
          <w:kern w:val="2"/>
          <w14:ligatures w14:val="standardContextual"/>
        </w:rPr>
        <w:tab/>
        <w:t>patvirtina Europos duomenų apsaugos priežiūros pareigūnui, kad jo 2023 finansinių metų biudžetas įvykdytas;</w:t>
      </w:r>
    </w:p>
    <w:p w14:paraId="124E3C26"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2.</w:t>
      </w:r>
      <w:r w:rsidRPr="003A0C96">
        <w:rPr>
          <w:kern w:val="2"/>
          <w14:ligatures w14:val="standardContextual"/>
        </w:rPr>
        <w:tab/>
        <w:t>išdėsto savo pastabas toliau pateikiamoje rezoliucijoje;</w:t>
      </w:r>
    </w:p>
    <w:p w14:paraId="5E663746"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3.</w:t>
      </w:r>
      <w:r w:rsidRPr="003A0C96">
        <w:rPr>
          <w:kern w:val="2"/>
          <w14:ligatures w14:val="standardContextual"/>
        </w:rPr>
        <w:tab/>
        <w:t xml:space="preserve">paveda Pirmininkei perduoti šį sprendimą ir rezoliuciją, kuri yra neatskiriama jo dalis, Europos duomenų apsaugos priežiūros pareigūnui, Europos Vadovų Tarybai, Tarybai, Komisijai, Audito Rūmams, Europos Sąjungos Teisingumo Teismui, Europos </w:t>
      </w:r>
      <w:proofErr w:type="spellStart"/>
      <w:r w:rsidRPr="003A0C96">
        <w:rPr>
          <w:kern w:val="2"/>
          <w14:ligatures w14:val="standardContextual"/>
        </w:rPr>
        <w:t>ombudsmenei</w:t>
      </w:r>
      <w:proofErr w:type="spellEnd"/>
      <w:r w:rsidRPr="003A0C96">
        <w:rPr>
          <w:kern w:val="2"/>
          <w14:ligatures w14:val="standardContextual"/>
        </w:rPr>
        <w:t xml:space="preserve"> ir Europos išorės veiksmų tarnybai bei pasirūpinti, kad jie būtų paskelbti </w:t>
      </w:r>
      <w:r w:rsidRPr="003A0C96">
        <w:rPr>
          <w:i/>
          <w:kern w:val="2"/>
          <w14:ligatures w14:val="standardContextual"/>
        </w:rPr>
        <w:t>Europos Sąjungos oficialiajame leidinyje</w:t>
      </w:r>
      <w:r w:rsidRPr="003A0C96">
        <w:rPr>
          <w:kern w:val="2"/>
          <w14:ligatures w14:val="standardContextual"/>
        </w:rPr>
        <w:t xml:space="preserve"> (L serijoje).</w:t>
      </w:r>
    </w:p>
    <w:p w14:paraId="12635E7C" w14:textId="77777777" w:rsidR="003A0C96" w:rsidRPr="003A0C96" w:rsidRDefault="003A0C96" w:rsidP="003A0C96">
      <w:pPr>
        <w:widowControl/>
        <w:rPr>
          <w:rFonts w:eastAsia="Aptos"/>
          <w:kern w:val="2"/>
          <w:szCs w:val="24"/>
          <w:lang w:eastAsia="en-US"/>
          <w14:ligatures w14:val="standardContextual"/>
        </w:rPr>
        <w:sectPr w:rsidR="003A0C96" w:rsidRPr="003A0C96" w:rsidSect="003A0C96">
          <w:footnotePr>
            <w:numRestart w:val="eachSect"/>
          </w:footnotePr>
          <w:pgSz w:w="11906" w:h="16838"/>
          <w:pgMar w:top="1440" w:right="1440" w:bottom="1440" w:left="1440" w:header="708" w:footer="708" w:gutter="0"/>
          <w:cols w:space="708"/>
          <w:docGrid w:linePitch="360"/>
        </w:sectPr>
      </w:pPr>
    </w:p>
    <w:p w14:paraId="092C7DA9" w14:textId="77777777" w:rsidR="003A0C96" w:rsidRPr="003A0C96" w:rsidRDefault="003A0C96" w:rsidP="003A0C96">
      <w:pPr>
        <w:pStyle w:val="ATHeading3"/>
      </w:pPr>
      <w:r w:rsidRPr="003A0C96">
        <w:lastRenderedPageBreak/>
        <w:t>2. 2025 m. gegužės 7 d. Europos Parlamento rezoliucija su pastabomis, sudarančiomis neatskiriamą sprendimo dėl Europos Sąjungos 2023 finansinių metų bendrojo biudžeto įvykdymo patvirtinimo, IX skirsnis – Europos duomenų apsaugos priežiūros pareigūnas, dalį (2024/2028(DEC))</w:t>
      </w:r>
    </w:p>
    <w:p w14:paraId="0ADD823B" w14:textId="77777777" w:rsidR="003A0C96" w:rsidRPr="003A0C96" w:rsidRDefault="003A0C96" w:rsidP="003A0C96">
      <w:pPr>
        <w:spacing w:before="480" w:after="240"/>
        <w:rPr>
          <w:kern w:val="2"/>
          <w14:ligatures w14:val="standardContextual"/>
        </w:rPr>
      </w:pPr>
      <w:r w:rsidRPr="003A0C96">
        <w:rPr>
          <w:i/>
          <w:kern w:val="2"/>
          <w14:ligatures w14:val="standardContextual"/>
        </w:rPr>
        <w:t>Europos Parlamentas</w:t>
      </w:r>
      <w:r w:rsidRPr="003A0C96">
        <w:rPr>
          <w:kern w:val="2"/>
          <w14:ligatures w14:val="standardContextual"/>
        </w:rPr>
        <w:t>,</w:t>
      </w:r>
    </w:p>
    <w:p w14:paraId="6ED9CFFF" w14:textId="0943F737" w:rsidR="003A0C96" w:rsidRPr="003A0C96" w:rsidRDefault="001C565E" w:rsidP="003A0C96">
      <w:pPr>
        <w:spacing w:after="240"/>
        <w:ind w:left="567" w:hanging="567"/>
        <w:rPr>
          <w:kern w:val="2"/>
          <w14:ligatures w14:val="standardContextual"/>
        </w:rPr>
      </w:pPr>
      <w:r w:rsidRPr="003A0C96">
        <w:rPr>
          <w:kern w:val="2"/>
          <w14:ligatures w14:val="standardContextual"/>
        </w:rPr>
        <w:t>–</w:t>
      </w:r>
      <w:r w:rsidR="003A0C96" w:rsidRPr="003A0C96">
        <w:rPr>
          <w:kern w:val="2"/>
          <w14:ligatures w14:val="standardContextual"/>
        </w:rPr>
        <w:tab/>
        <w:t>atsižvelgdamas į savo sprendimą dėl Europos Sąjungos 2023 finansinių metų bendrojo biudžeto įvykdymo patvirtinimo, IX skirsnis – Europos duomenų apsaugos priežiūros pareigūnas,</w:t>
      </w:r>
    </w:p>
    <w:p w14:paraId="350D5D2D" w14:textId="4B5D08FC" w:rsidR="003A0C96" w:rsidRPr="003A0C96" w:rsidRDefault="001C565E" w:rsidP="003A0C96">
      <w:pPr>
        <w:spacing w:after="240"/>
        <w:ind w:left="567" w:hanging="567"/>
        <w:rPr>
          <w:kern w:val="2"/>
          <w14:ligatures w14:val="standardContextual"/>
        </w:rPr>
      </w:pPr>
      <w:r w:rsidRPr="003A0C96">
        <w:rPr>
          <w:kern w:val="2"/>
          <w14:ligatures w14:val="standardContextual"/>
        </w:rPr>
        <w:t>–</w:t>
      </w:r>
      <w:r w:rsidR="003A0C96" w:rsidRPr="003A0C96">
        <w:rPr>
          <w:kern w:val="2"/>
          <w14:ligatures w14:val="standardContextual"/>
        </w:rPr>
        <w:tab/>
        <w:t>atsižvelgdamas į Darbo tvarkos taisyklių 102 straipsnį ir V priedą,</w:t>
      </w:r>
    </w:p>
    <w:p w14:paraId="5CBC64C8" w14:textId="52EDF691" w:rsidR="003A0C96" w:rsidRPr="003A0C96" w:rsidRDefault="001C565E" w:rsidP="003A0C96">
      <w:pPr>
        <w:spacing w:after="240"/>
        <w:ind w:left="567" w:hanging="567"/>
        <w:rPr>
          <w:kern w:val="2"/>
          <w14:ligatures w14:val="standardContextual"/>
        </w:rPr>
      </w:pPr>
      <w:r w:rsidRPr="003A0C96">
        <w:rPr>
          <w:kern w:val="2"/>
          <w14:ligatures w14:val="standardContextual"/>
        </w:rPr>
        <w:t>–</w:t>
      </w:r>
      <w:r w:rsidR="003A0C96" w:rsidRPr="003A0C96">
        <w:rPr>
          <w:kern w:val="2"/>
          <w14:ligatures w14:val="standardContextual"/>
        </w:rPr>
        <w:tab/>
        <w:t>atsižvelgdamas į Piliečių laisvių, teisingumo ir vidaus reikalų komiteto nuomonę,</w:t>
      </w:r>
    </w:p>
    <w:p w14:paraId="427339E7" w14:textId="6FA931C7" w:rsidR="003A0C96" w:rsidRPr="003A0C96" w:rsidRDefault="001C565E" w:rsidP="003A0C96">
      <w:pPr>
        <w:spacing w:after="240"/>
        <w:ind w:left="567" w:hanging="567"/>
        <w:rPr>
          <w:kern w:val="2"/>
          <w14:ligatures w14:val="standardContextual"/>
        </w:rPr>
      </w:pPr>
      <w:r w:rsidRPr="003A0C96">
        <w:rPr>
          <w:kern w:val="2"/>
          <w14:ligatures w14:val="standardContextual"/>
        </w:rPr>
        <w:t>–</w:t>
      </w:r>
      <w:r w:rsidR="003A0C96" w:rsidRPr="003A0C96">
        <w:rPr>
          <w:kern w:val="2"/>
          <w14:ligatures w14:val="standardContextual"/>
        </w:rPr>
        <w:tab/>
        <w:t>atsižvelgdamas į Biudžeto kontrolės komiteto pranešimą (A10–0053/2025),</w:t>
      </w:r>
    </w:p>
    <w:p w14:paraId="59812650"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A.</w:t>
      </w:r>
      <w:r w:rsidRPr="003A0C96">
        <w:rPr>
          <w:kern w:val="2"/>
          <w14:ligatures w14:val="standardContextual"/>
        </w:rPr>
        <w:tab/>
        <w:t>kadangi vykdant biudžeto įvykdymo patvirtinimo procedūrą biudžeto įvykdymą tvirtinanti institucija nori pabrėžti, kad ypač svarbu toliau stiprinti Sąjungos institucijų demokratinį teisėtumą didinant skaidrumą ir atskaitomybę, įgyvendinant rezultatais grindžiamo biudžeto sudarymo koncepciją bei užtikrinant gerą žmogiškųjų išteklių valdymą;</w:t>
      </w:r>
    </w:p>
    <w:p w14:paraId="4AA7AB45"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B.</w:t>
      </w:r>
      <w:r w:rsidRPr="003A0C96">
        <w:rPr>
          <w:kern w:val="2"/>
          <w14:ligatures w14:val="standardContextual"/>
        </w:rPr>
        <w:tab/>
        <w:t>kadangi duomenų apsauga yra pagrindinė teisė, saugoma Sąjungos teisės aktais ir įtvirtinta Europos Sąjungos pagrindinių teisių chartijos 8 straipsnyje;</w:t>
      </w:r>
    </w:p>
    <w:p w14:paraId="1D625899"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C.</w:t>
      </w:r>
      <w:r w:rsidRPr="003A0C96">
        <w:rPr>
          <w:kern w:val="2"/>
          <w14:ligatures w14:val="standardContextual"/>
        </w:rPr>
        <w:tab/>
        <w:t>kadangi Sutarties dėl Europos Sąjungos veikimo 16 straipsnyje nustatyta, kad atitiktį taisyklėms, kurios taikomos asmenų apsaugai tvarkant su jais susijusius asmens duomenis, vertina nepriklausoma institucija;</w:t>
      </w:r>
    </w:p>
    <w:p w14:paraId="60EDB9F3"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D.</w:t>
      </w:r>
      <w:r w:rsidRPr="003A0C96">
        <w:rPr>
          <w:kern w:val="2"/>
          <w14:ligatures w14:val="standardContextual"/>
        </w:rPr>
        <w:tab/>
        <w:t>kadangi pagal Europos Parlamento ir Tarybos reglamentą (ES) 2018/1725 </w:t>
      </w:r>
      <w:r w:rsidRPr="003A0C96">
        <w:rPr>
          <w:kern w:val="2"/>
          <w:vertAlign w:val="superscript"/>
          <w14:ligatures w14:val="standardContextual"/>
        </w:rPr>
        <w:footnoteReference w:id="8"/>
      </w:r>
      <w:r w:rsidRPr="003A0C96">
        <w:rPr>
          <w:kern w:val="2"/>
          <w14:ligatures w14:val="standardContextual"/>
        </w:rPr>
        <w:t xml:space="preserve"> numatyta įsteigti tokią nepriklausomą instituciją – Europos duomenų apsaugos priežiūros pareigūno (toliau – EDAPP) tarnybą, atsakingą už teisės į duomenų apsaugą ir privatumą apsaugą ir užtikrinimą, kurios užduotis – rūpintis, kad Sąjungos institucijos, įstaigos, organai ir agentūros diegtų tvirtą duomenų apsaugos kultūrą;</w:t>
      </w:r>
    </w:p>
    <w:p w14:paraId="1B038D59"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E.</w:t>
      </w:r>
      <w:r w:rsidRPr="003A0C96">
        <w:rPr>
          <w:kern w:val="2"/>
          <w14:ligatures w14:val="standardContextual"/>
        </w:rPr>
        <w:tab/>
        <w:t>kadangi EDAPP, kaip Europos duomenų apsaugos valdybos narys, savo funkcijas atlieka glaudžiai bendradarbiaudamas su kitomis duomenų apsaugos institucijomis ir tarnauja viešajam interesui, sykiu vadovaudamasis nešališkumo, sąžiningumo, skaidrumo, pragmatizmo principais ir laikydamasis Sąjungos teisės aktų;</w:t>
      </w:r>
    </w:p>
    <w:p w14:paraId="725262A6"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1.</w:t>
      </w:r>
      <w:r w:rsidRPr="003A0C96">
        <w:rPr>
          <w:kern w:val="2"/>
          <w14:ligatures w14:val="standardContextual"/>
        </w:rPr>
        <w:tab/>
        <w:t xml:space="preserve">pažymi, kad EDAPP biudžetas patenka į DFP 7 išlaidų kategoriją „Europos viešasis administravimas“, kurią 2023 m. iš viso sudarė 12,3 mlrd. EUR, t. y. 6,4 % Sąjungos biudžeto išlaidų; pažymi, kad EDAPP biudžetas sudarė 0,18 % DFP 7 išlaidų </w:t>
      </w:r>
      <w:r w:rsidRPr="003A0C96">
        <w:rPr>
          <w:kern w:val="2"/>
          <w14:ligatures w14:val="standardContextual"/>
        </w:rPr>
        <w:lastRenderedPageBreak/>
        <w:t>kategorijos asignavimų;</w:t>
      </w:r>
    </w:p>
    <w:p w14:paraId="5D9F79E8"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2.</w:t>
      </w:r>
      <w:r w:rsidRPr="003A0C96">
        <w:rPr>
          <w:kern w:val="2"/>
          <w14:ligatures w14:val="standardContextual"/>
        </w:rPr>
        <w:tab/>
        <w:t>pažymi, kad Audito Rūmai savo 2023 finansinių metų metinėje ataskaitoje išanalizavo 70 operacijų pagal DFP 7 antraštinę dalį imtį, iš kurių 21-oje (30 %) buvo klaidų; taip pat pažymi, kad Audito Rūmai, kiekybiškai įvertinę šias klaidas, penkių klaidų atveju konstatavo, kad klaidų lygis nesiekia reikšmingumo ribos;</w:t>
      </w:r>
    </w:p>
    <w:p w14:paraId="4A14A002"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3.</w:t>
      </w:r>
      <w:r w:rsidRPr="003A0C96">
        <w:rPr>
          <w:kern w:val="2"/>
          <w14:ligatures w14:val="standardContextual"/>
        </w:rPr>
        <w:tab/>
        <w:t>remdamasis Audito Rūmų ataskaitoje pateikta pastaba pažymi, kad administracinės išlaidos – tai išlaidos žmogiškiesiems ištekliams, įskaitant pensijas, kurios 2023 m. sudarė apie 70 % bendros administracinių išlaidų sumos, ir išlaidos pastatams, įrangai, energijai, komunikacijoms ir informacinėms technologijoms; palankiai vertina atnaujintą Audito Rūmų nuomonę, kad apskritai administracinės išlaidos yra mažos rizikos;</w:t>
      </w:r>
    </w:p>
    <w:p w14:paraId="144B47B1"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4.</w:t>
      </w:r>
      <w:r w:rsidRPr="003A0C96">
        <w:rPr>
          <w:kern w:val="2"/>
          <w14:ligatures w14:val="standardContextual"/>
        </w:rPr>
        <w:tab/>
        <w:t>remdamasis Audito Rūmų ataskaita pažymi, kad 2023 m. jie auditavo pareigūno, kuris paskutinį kartą 2020 m. pateikė deklaraciją dėl teisių į išmokas šeimai ir vaikui, darbo užmokesčio mokėjimą; pakartoja Audito Rūmų susirūpinimą, kad vėluojant gauti ir patikrinti tokias deklaracijas padidėja netinkamų mokėjimų rizika;</w:t>
      </w:r>
    </w:p>
    <w:p w14:paraId="270A1869" w14:textId="77777777" w:rsidR="003A0C96" w:rsidRPr="003A0C96" w:rsidRDefault="003A0C96" w:rsidP="00640DC1">
      <w:pPr>
        <w:spacing w:after="240"/>
        <w:rPr>
          <w:b/>
          <w:i/>
          <w:kern w:val="2"/>
          <w:szCs w:val="24"/>
          <w14:ligatures w14:val="standardContextual"/>
        </w:rPr>
      </w:pPr>
      <w:r w:rsidRPr="003A0C96">
        <w:rPr>
          <w:b/>
          <w:i/>
          <w:kern w:val="2"/>
          <w14:ligatures w14:val="standardContextual"/>
        </w:rPr>
        <w:t>Biudžeto ir finansų valdymas</w:t>
      </w:r>
    </w:p>
    <w:p w14:paraId="49573615"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5.</w:t>
      </w:r>
      <w:r w:rsidRPr="003A0C96">
        <w:rPr>
          <w:kern w:val="2"/>
          <w14:ligatures w14:val="standardContextual"/>
        </w:rPr>
        <w:tab/>
        <w:t>pažymi, kad galutinis priimtas EDAPP biudžetas 2023 m. buvo 22 711 559 EUR, t. y. 12,06 % didesnis, palyginti su 2022 m.; pažymi, kad EDAPP biudžetas taip pat apima Europos duomenų apsaugos valdybos nepriklausomo sekretoriato darbą; remdamasis EDAPP 2023 m. metine ataskaita (toliau – metinė ataskaita), pažymi, kad patvirtintas Europos duomenų apsaugos valdybos biudžetas 2023 m. siekė 7,67 mln. EUR, įskaitant 300 000 EUR, skirtų pagal taisomąjį biudžetą, kurio reikėjo dėl 2023 m. padidėjusios bylinėjimosi veiklos;</w:t>
      </w:r>
    </w:p>
    <w:p w14:paraId="31C2977A"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6.</w:t>
      </w:r>
      <w:r w:rsidRPr="003A0C96">
        <w:rPr>
          <w:kern w:val="2"/>
          <w14:ligatures w14:val="standardContextual"/>
        </w:rPr>
        <w:tab/>
        <w:t>pripažįsta, kad 2023 finansiniais metais EDAPP vykdant biudžeto stebėseną ir planavimo veiksmus biudžeto įvykdymo lygis buvo 96 % einamųjų metų įsipareigojimų asignavimų atveju (šiek tiek mažesnis nei 2022 m., kai šis lygis buvo 98 %); be to, remdamasis ataskaita dėl EDAPP 2023 m. metinių finansinių ataskaitų pažymi, kad einamųjų metų mokėjimų asignavimų panaudojimo lygis buvo 84 % (mažesnis nei 88 % 2022 m.); be to, remdamasis EDAPP atsakymais į Biudžeto kontrolės komiteto pateiktą klausimyną dėl 2023 m. biudžeto įvykdymo patvirtinimo (toliau – klausimynas), pažymi, kad bendras mokėjimų asignavimų įvykdymo lygis 2023 m. buvo 91,33 %, t. y. mažesnis nei 94,09 % 2022 m.;</w:t>
      </w:r>
    </w:p>
    <w:p w14:paraId="1139E09D"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7.</w:t>
      </w:r>
      <w:r w:rsidRPr="003A0C96">
        <w:rPr>
          <w:kern w:val="2"/>
          <w14:ligatures w14:val="standardContextual"/>
        </w:rPr>
        <w:tab/>
        <w:t>taip pat pažymi, kad iš 2023 į 2024 m. perkeltų asignavimų suma (C8) sudarė 2 517 942,67 EUR arba 11,08 % viso 2023 m. biudžeto, palyginti su 1 827 354,23 EUR arba 9,01 % viso 2022 m. biudžeto; pažymi, kad 2023 m. C8 biudžeto įvykdymo lygis buvo 76,65 % (aukštesnis nei 73,77 % 2022 m.);</w:t>
      </w:r>
    </w:p>
    <w:p w14:paraId="746AB0D6"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8.</w:t>
      </w:r>
      <w:r w:rsidRPr="003A0C96">
        <w:rPr>
          <w:kern w:val="2"/>
          <w14:ligatures w14:val="standardContextual"/>
        </w:rPr>
        <w:tab/>
        <w:t xml:space="preserve">palankiai vertina tai, kad pagerėjo vidutinis mokėjimo laikas nuo 25 dienų 2022 m. iki 19 dienų 2023 m., nes 97,50 % mokėjimų atlikta laiku; pažymi, kad padėtis pagerėjo ir dėl to, kad EDAPP išsprendė seną klaidą, susijusią su elektroninio mokėjimo sistema, skirta su komandiruočių išlaidomis susijusioms sąskaitoms faktūroms; taip pat pažymi, kad gerokai padidėjo mokėjimų skaičius – nuo 799 mokėjimų 2022 m. iki 1335 mokėjimų 2023 m.; atsižvelgdamas į tai pažymi, kad dėl pasikeitusio darbo būdo (pvz., mišrūs posėdžiai ar virtualūs renginiai ekspertams) operacijų skaičius vis dar yra </w:t>
      </w:r>
      <w:r w:rsidRPr="003A0C96">
        <w:rPr>
          <w:kern w:val="2"/>
          <w14:ligatures w14:val="standardContextual"/>
        </w:rPr>
        <w:lastRenderedPageBreak/>
        <w:t>mažesnis nei prieš pandemiją;</w:t>
      </w:r>
    </w:p>
    <w:p w14:paraId="3C0EFEB9"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9.</w:t>
      </w:r>
      <w:r w:rsidRPr="003A0C96">
        <w:rPr>
          <w:kern w:val="2"/>
          <w14:ligatures w14:val="standardContextual"/>
        </w:rPr>
        <w:tab/>
        <w:t>pažymi, kad 2023 m. neteisėto Rusijos agresijos karo prieš Ukrainą poveikis toliau darė spaudimą EDAPP biudžetui, be kita ko, dėl didėjančios infliacijos ir dėl to padidėjusių energijos išlaidų, o labiausiai paveiktos biudžeto eilutės yra darbuotojų atlyginimai, pastatų saugumo ir nuomos išlaidos, komandiruočių išlaidos ir išorės darbuotojų teikiamos paslaugos; atsižvelgdamas į tai, giria EDAPP už tai, kad jis iš naujo pakoregavo savo prioritetus ir atliko vidinį perskirstymą biudžeto skyriuose; supranta, kad biudžeto optimizavimas buvo būtinas siekiant sėkmingai valdyti darbuotojų atlyginimų ir nuomos išlaidų indeksavimą, taip pat išorės teisininkų paramos paslaugų išlaidų padidėjimą dėl padidėjusio EDAPP privalomų sprendimų skaičiaus, dėl kurio atsirado daugiau bylų, kurios turi būti ginamos Europos Sąjungos Teisingumo Teisme (ESTT) naudojantis išorės teisine pagalba; atsižvelgdamas į tai apgailestauja, kad EDAPP turėjo atidėti tam tikrą savo veiklą, pvz., galimybių studiją dėl dirbtinio intelekto; ragina EDAPP laikytis savo įgaliojimų kompetencijos bendradarbiaujant su Sąjungos institucijomis ir agentūromis ir vengti inicijuoti bet kokius teisinius veiksmus, ypač tuos, kurie yra akivaizdžiai nepriimtini, kad būtų išvengta</w:t>
      </w:r>
      <w:r w:rsidRPr="003A0C96">
        <w:rPr>
          <w:b/>
          <w:i/>
          <w:kern w:val="2"/>
          <w14:ligatures w14:val="standardContextual"/>
        </w:rPr>
        <w:t xml:space="preserve"> </w:t>
      </w:r>
      <w:r w:rsidRPr="003A0C96">
        <w:rPr>
          <w:kern w:val="2"/>
          <w14:ligatures w14:val="standardContextual"/>
        </w:rPr>
        <w:t>neigiamo poveikio išteklių valdymui, dėl kurio EDAPP negali vykdyti savo, kaip institucijos, veiklos;</w:t>
      </w:r>
    </w:p>
    <w:p w14:paraId="264ED826" w14:textId="77777777" w:rsidR="003A0C96" w:rsidRPr="003A0C96" w:rsidRDefault="003A0C96" w:rsidP="003A0C96">
      <w:pPr>
        <w:widowControl/>
        <w:spacing w:after="240"/>
        <w:ind w:left="567" w:hanging="567"/>
        <w:rPr>
          <w:kern w:val="2"/>
          <w:szCs w:val="24"/>
          <w14:ligatures w14:val="standardContextual"/>
        </w:rPr>
      </w:pPr>
      <w:r w:rsidRPr="003A0C96">
        <w:rPr>
          <w:kern w:val="2"/>
          <w:szCs w:val="24"/>
          <w14:ligatures w14:val="standardContextual"/>
        </w:rPr>
        <w:t>10.</w:t>
      </w:r>
      <w:r w:rsidRPr="003A0C96">
        <w:rPr>
          <w:kern w:val="2"/>
          <w:szCs w:val="24"/>
          <w14:ligatures w14:val="standardContextual"/>
        </w:rPr>
        <w:tab/>
        <w:t>reiškia susirūpinimą dėl labai padidėjusių EDAPP darbuotojų komandiruočių išlaidų – nuo 28 789 EUR 2021 metais ir 176 903 EUR 2022 metais iki 284 580 EUR 2023 metais; ragina EDAPP įvertinti, ar komandiruotėms išleisti ištekliai naudojami tinkamai ir veiksmingai; pažymi, kad EDAPP nustojo viešai skelbti organizatorių finansuojamų komandiruočių skaičių, taip pat informaciją apie tai, kuris skyrius ar sektorius dalyvavo kiekvienoje komandiruotėje, taip sumažindamas komandiruočių išlaidų skaidrumą; ragina EDAPP vėl taikyti šią viešumo praktiką;</w:t>
      </w:r>
      <w:r w:rsidRPr="003A0C96">
        <w:rPr>
          <w:color w:val="FF0000"/>
          <w:kern w:val="2"/>
          <w:szCs w:val="24"/>
          <w14:ligatures w14:val="standardContextual"/>
        </w:rPr>
        <w:t xml:space="preserve"> </w:t>
      </w:r>
      <w:r w:rsidRPr="003A0C96">
        <w:rPr>
          <w:kern w:val="2"/>
          <w:szCs w:val="24"/>
          <w14:ligatures w14:val="standardContextual"/>
        </w:rPr>
        <w:t>ragina EDAPP skatinti, kai tinkama, naudoti vaizdo konferencijų priemones, nes tai galėtų padėti sumažinti komandiruočių skaičių ir išlaidas; ragina EDAPP įvertinti, ar komandiruotėms išleisti ištekliai naudojami tinkamai ir veiksmingai;</w:t>
      </w:r>
    </w:p>
    <w:p w14:paraId="39C6F495" w14:textId="77777777" w:rsidR="003A0C96" w:rsidRPr="003A0C96" w:rsidRDefault="003A0C96" w:rsidP="003A0C96">
      <w:pPr>
        <w:spacing w:after="240"/>
        <w:rPr>
          <w:b/>
          <w:i/>
          <w:kern w:val="2"/>
          <w:szCs w:val="24"/>
          <w14:ligatures w14:val="standardContextual"/>
        </w:rPr>
      </w:pPr>
      <w:r w:rsidRPr="003A0C96">
        <w:rPr>
          <w:b/>
          <w:i/>
          <w:kern w:val="2"/>
          <w14:ligatures w14:val="standardContextual"/>
        </w:rPr>
        <w:t>Vidaus valdymas, veiklos rezultatai ir vidaus kontrolė</w:t>
      </w:r>
    </w:p>
    <w:p w14:paraId="20A1DC9C"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11.</w:t>
      </w:r>
      <w:r w:rsidRPr="003A0C96">
        <w:rPr>
          <w:kern w:val="2"/>
          <w14:ligatures w14:val="standardContextual"/>
        </w:rPr>
        <w:tab/>
        <w:t>pažymi, kad EDAPP savo veiklos rezultatams 2023 m. stebėti naudojo devynis pagrindinius veiklos rezultatų rodiklius (PVRR), atitinkančius pagrindinius 2020–2024 m. EDAPP strategijos, kuri įgyvendinama pagal metinį valdymo planą, tikslus; remdamasis metine ataskaita pažymi, kad EDAPP viršijo rezultatus beveik visose srityse, kaip matyti iš 2023 m. PVRR rezultatų, išskyrus vieną PVRR (EDAPP sekėjų skaičius kai kuriose socialinės žiniasklaidos paskyrose); susirūpinęs pažymi, kad EDAPP susidūrė su dideliais sunkumais dėl didėjančio darbo krūvio ir sudėtingų duomenų apsaugos problemų, kylančių dėl sparčiai kintančios skaitmeninės aplinkos, taip pat dėl EDAPP įgaliojimų išplėtimo priežiūros veiklai (pvz., auditui ir tyrimams) ir atsakymams į konsultacijas ir išankstines konsultacijas, atsižvelgiant į ribotą biudžetą; remdamasis EDAPP ataskaita dėl tolesnių veiksmų, susijusių su Parlamento rezoliucija dėl EDAPP 2022 m. biudžeto vykdymo (toliau – tolesnių veiksmų ataskaita), pažymi, kad keli teisėkūros pokyčiai per pastaruosius dvejus metus turėjo įtakos EDAPP darbui ir ištekliams, dėl išplėstų Eurojusto įgaliojimų, naujos informacijos, kurią Europolas turi gauti pagal Skaitmeninių paslaugų aktą, naujų Sąjungos didelio masto duomenų bazių ir sąveikumo sistemos teisingumo ir vidaus reikalų srityje diegimo bei Dirbtinio intelekto akto (toliau – DI aktas) įsigaliojimo; ragina Komisiją ir biudžeto valdymo instituciją atsižvelgti į šiuos klausimus metinės biudžeto sudarymo procedūros metu;</w:t>
      </w:r>
    </w:p>
    <w:p w14:paraId="7C991666"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lastRenderedPageBreak/>
        <w:t>12.</w:t>
      </w:r>
      <w:r w:rsidRPr="003A0C96">
        <w:rPr>
          <w:kern w:val="2"/>
          <w14:ligatures w14:val="standardContextual"/>
        </w:rPr>
        <w:tab/>
        <w:t xml:space="preserve">palankiai vertina tai, kad 2023 m. EDAPP sustiprino savo gebėjimą įvertinti ir pasirengti atsirandančioms technologinėms tendencijoms ir jų galimam poveikiui privatumui ir duomenų apsaugai; pažymi, kad tai buvo pasiekta taikant prognozavimu grindžiamą požiūrį, daugiausia dėmesio skiriant pokyčių stebėsenai tokiose srityse kaip didieji kalbos modeliai, skaitmeninės tapatybės dėklės, elgesio internetas, išplėstinė realybė ir sintetinės </w:t>
      </w:r>
      <w:proofErr w:type="spellStart"/>
      <w:r w:rsidRPr="003A0C96">
        <w:rPr>
          <w:kern w:val="2"/>
          <w14:ligatures w14:val="standardContextual"/>
        </w:rPr>
        <w:t>vaizdakaitos</w:t>
      </w:r>
      <w:proofErr w:type="spellEnd"/>
      <w:r w:rsidRPr="003A0C96">
        <w:rPr>
          <w:kern w:val="2"/>
          <w14:ligatures w14:val="standardContextual"/>
        </w:rPr>
        <w:t xml:space="preserve"> nustatymas; atsižvelgdamas į tai, palankiai vertina tai, kad EDAPP paskelbė savo trečiąją iniciatyvą „</w:t>
      </w:r>
      <w:proofErr w:type="spellStart"/>
      <w:r w:rsidRPr="003A0C96">
        <w:rPr>
          <w:kern w:val="2"/>
          <w14:ligatures w14:val="standardContextual"/>
        </w:rPr>
        <w:t>TechSonar</w:t>
      </w:r>
      <w:proofErr w:type="spellEnd"/>
      <w:r w:rsidRPr="003A0C96">
        <w:rPr>
          <w:kern w:val="2"/>
          <w14:ligatures w14:val="standardContextual"/>
        </w:rPr>
        <w:t>“ dėl besiformuojančių technologijų; be to, sveikina EDAPP, kad jam buvo įteikti 2023 m. Pasaulinės privatumo asamblėjos (GPA) Pasauliniai privatumo ir duomenų apsaugos apdovanojimai inovacijų kategorijoje;</w:t>
      </w:r>
    </w:p>
    <w:p w14:paraId="17FD3D12"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13.</w:t>
      </w:r>
      <w:r w:rsidRPr="003A0C96">
        <w:rPr>
          <w:kern w:val="2"/>
          <w14:ligatures w14:val="standardContextual"/>
        </w:rPr>
        <w:tab/>
        <w:t>pažymi, kad 2023 m. įvyko keli organizaciniai pokyčiai arba atnaujinimai, kurių reikėjo siekiant reaguoti į kintančius duomenų apsaugos iššūkius ir prie jų prisitaikyti; atsižvelgdamas į tai, palankiai vertina Generalinio sekretoriaus paskyrimą nuo 2023 m. liepos 1 d.; be to, atkreipia dėmesį į dviejų sektorių perėjimą į tokius skyrius kaip „Informavimas ir komunikacija“ ir „Valdymas ir vidaus kontrolė“ ir kad buvo sukurti trys nauji specializuoti sektoriai Technologijos ir privatumo skyriuje: „Sistemų priežiūra ir auditas“, „Technologijų stebėsena ir prognozavimas“ ir „Skaitmeninė transformacija“;</w:t>
      </w:r>
    </w:p>
    <w:p w14:paraId="691C924F" w14:textId="77777777" w:rsidR="003A0C96" w:rsidRPr="003A0C96" w:rsidRDefault="003A0C96" w:rsidP="003A0C96">
      <w:pPr>
        <w:widowControl/>
        <w:spacing w:after="240"/>
        <w:ind w:left="567" w:hanging="567"/>
        <w:rPr>
          <w:kern w:val="2"/>
          <w:szCs w:val="24"/>
          <w14:ligatures w14:val="standardContextual"/>
        </w:rPr>
      </w:pPr>
      <w:r w:rsidRPr="003A0C96">
        <w:rPr>
          <w:kern w:val="2"/>
          <w:szCs w:val="24"/>
          <w14:ligatures w14:val="standardContextual"/>
        </w:rPr>
        <w:t>14.</w:t>
      </w:r>
      <w:r w:rsidRPr="003A0C96">
        <w:rPr>
          <w:kern w:val="2"/>
          <w:szCs w:val="24"/>
          <w14:ligatures w14:val="standardContextual"/>
        </w:rPr>
        <w:tab/>
        <w:t>pabrėžia EDAPP vaidmenį prižiūrint, kaip Sąjungos institucijos, organai, įstaigos ir agentūros tvarko asmens duomenis; susirūpinęs atkreipia dėmesį į EDAPP procedūrų trukmę, nes 2023 m. EDAPP neužbaigė vieno tyrimo, tačiau, palyginti su ankstesniais metais, 2023 m. pranešimų, kai viršijamas 72 valandų terminas, skaičius gerokai sumažėjo;</w:t>
      </w:r>
    </w:p>
    <w:p w14:paraId="0825D870"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15.</w:t>
      </w:r>
      <w:r w:rsidRPr="003A0C96">
        <w:rPr>
          <w:kern w:val="2"/>
          <w14:ligatures w14:val="standardContextual"/>
        </w:rPr>
        <w:tab/>
        <w:t>pažymi, kad 2023 m. EDAPP gavo 420 skundų, t. y. 53 skundais daugiau nei 2022 m., iš kurių 73 buvo priimtini, o 347 – nepriimtini; pažymi, kad EDAPP priėmė galutinį sprendimą, pateikė nuomonę arba atsakymą 31 iš 73 skundų, gautų 2023 m., atvejais, vidutiniškai per 44 dienas, ir atsakė į visus 347 gautus nepriimtinus skundus; pažymi, kad iš visų priimtinų skundų (nagrinėjamų ir gautų 2023 m.) 2023 m. buvo baigtos nagrinėti 55 bylos, t. y. 17 % daugiau, palyginti su 2022 m.; pripažįsta EDAPP pastangas sumažinti didelį skundų skaičių sukuriant dinamišką priemonę EDAPP interneto svetainėje, nors skundų apimtis ir toliau buvo didelė dėl ribotų išteklių 2023 m.; su pasitenkinimu pažymi, kad 2023 m. EDAPP parengė įvairias procedūrines priemones ir politiką, kad sustiprintų savo tyrimo procesus; atsižvelgdamas į tai, giria EDAPP už tai, kad jis iš dalies pakeitė savo darbo tvarkos taisykles, pagal kurias „peržiūros procedūra“ pakeičiama „preliminariu vertinimu“, siekiant užtikrinti visų susijusių šalių teisę būti išklausytoms ir taip prisidėti prie sąžiningo ir savalaikio skundų nagrinėjimo ir tyrimų;</w:t>
      </w:r>
    </w:p>
    <w:p w14:paraId="2EECFE34"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16.</w:t>
      </w:r>
      <w:r w:rsidRPr="003A0C96">
        <w:rPr>
          <w:kern w:val="2"/>
          <w14:ligatures w14:val="standardContextual"/>
        </w:rPr>
        <w:tab/>
        <w:t xml:space="preserve">pabrėžia svarbų EDAPP konsultacijų ir patarimų vaidmenį teisėkūros procese; pažymi, kad pagal Reglamento (ES) 2018/1725 42 straipsnio 1 dalį EDAPP atsakė į 80 oficialių teisėkūros konsultacijų, o jo patarimai buvo pateikti Komisijai ir teisėkūros institucijoms skirtose 54 nuomonėse (2022 m. – 27), 26 oficialiose pastabose (2022 m. – 49) ir 34 neoficialiose pastabose (2022 m. – 30) reaguojant į 2023 m. prašymus surengti teisėkūros konsultacijas; giria EDAPP už jo indėlį rengiant DI aktą, visų pirma EDAPP nuomonę savo iniciatyva dėl DI akto ir patarimus dėl atsakomybės už DI taisyklių, taip pat už EDAPP indėlį rengiant rezoliuciją dėl GPA dėl </w:t>
      </w:r>
      <w:proofErr w:type="spellStart"/>
      <w:r w:rsidRPr="003A0C96">
        <w:rPr>
          <w:kern w:val="2"/>
          <w14:ligatures w14:val="standardContextual"/>
        </w:rPr>
        <w:t>generatyvinio</w:t>
      </w:r>
      <w:proofErr w:type="spellEnd"/>
      <w:r w:rsidRPr="003A0C96">
        <w:rPr>
          <w:kern w:val="2"/>
          <w14:ligatures w14:val="standardContextual"/>
        </w:rPr>
        <w:t xml:space="preserve"> DI sistemų; pripažįsta, kad per pastaruosius penkerius metus gerokai padaugėjo prašymų surengti konsultacijas (+ 93 %);</w:t>
      </w:r>
    </w:p>
    <w:p w14:paraId="54E0EF99"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lastRenderedPageBreak/>
        <w:t>17.</w:t>
      </w:r>
      <w:r w:rsidRPr="003A0C96">
        <w:rPr>
          <w:kern w:val="2"/>
          <w14:ligatures w14:val="standardContextual"/>
        </w:rPr>
        <w:tab/>
        <w:t>pažymi, kad 2023 m. EDAPP atliko aštuonis tyrimus ir penkis išankstinius tyrimus, t. y. gerokai daugiau, palyginti su ankstesniais metais; pažymi, kad 2023 m. EDAPP iš viso aktyviai dalyvavo 13 tyrimų ir septyniuose išankstiniuose tyrimuose, kurie buvo pradėti 2023 m. arba perkelti iš ankstesnių metų; pažymi, kad nuo 2021 m. EDAPP tęsė du sudėtingus ir daug išteklių reikalaujančius oficialius tyrimus dėl to, kaip Europos Sąjungos institucijos, organai, įstaigos ir agentūros naudojasi debesijos paslaugomis iš ES / EEE nepriklausančių subjektų, be kita ko, daugiausia dėmesio skirdamas tam, kaip Komisija naudoja „Microsoft 365“; primygtinai ragina laiku užbaigti šiuos tyrimus, nes jie daro didelį poveikį institucijų darbui; taip pat pažymi, kad EDAPP, remdamasis skundais dėl ES institucijų, organų, įstaigų ir agentūrų interneto svetainių, taip pat pradėjo penkis tyrimus, kuriuose daug dėmesio skiriama privatumo ir duomenų apsaugos klausimams, o preliminarūs vertinimai turėtų būti atlikti 2024 m.;</w:t>
      </w:r>
    </w:p>
    <w:p w14:paraId="5454B133"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18.</w:t>
      </w:r>
      <w:r w:rsidRPr="003A0C96">
        <w:rPr>
          <w:kern w:val="2"/>
          <w14:ligatures w14:val="standardContextual"/>
        </w:rPr>
        <w:tab/>
        <w:t>primygtinai ragina EDAPP teikti pirmenybę jaunesnių nei 15 metų amžiaus nepilnamečių asmens duomenų tvarkymo procedūroms ir jas tobulinti, ypač atsižvelgiant į Europolo sistemas, kuriose tokie asmenys gali būti pažymėti kaip įtariamieji; pripažįsta, kad ši grupė yra labiau pažeidžiama ir kad reikia patikimų apsaugos priemonių;</w:t>
      </w:r>
    </w:p>
    <w:p w14:paraId="501ECB97"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19.</w:t>
      </w:r>
      <w:r w:rsidRPr="003A0C96">
        <w:rPr>
          <w:kern w:val="2"/>
          <w14:ligatures w14:val="standardContextual"/>
        </w:rPr>
        <w:tab/>
        <w:t xml:space="preserve">pažymi, kad EDAPP tyrė, ar Komisija tariamai naudojo </w:t>
      </w:r>
      <w:proofErr w:type="spellStart"/>
      <w:r w:rsidRPr="003A0C96">
        <w:rPr>
          <w:kern w:val="2"/>
          <w14:ligatures w14:val="standardContextual"/>
        </w:rPr>
        <w:t>mikroorientavimą</w:t>
      </w:r>
      <w:proofErr w:type="spellEnd"/>
      <w:r w:rsidRPr="003A0C96">
        <w:rPr>
          <w:kern w:val="2"/>
          <w14:ligatures w14:val="standardContextual"/>
        </w:rPr>
        <w:t xml:space="preserve"> X platformoje ir tęsė du išankstinius tyrimus: vieną su ES institucijų, organų, įstaigų ir agentūrų naudojama „</w:t>
      </w:r>
      <w:proofErr w:type="spellStart"/>
      <w:r w:rsidRPr="003A0C96">
        <w:rPr>
          <w:kern w:val="2"/>
          <w14:ligatures w14:val="standardContextual"/>
        </w:rPr>
        <w:t>Trello</w:t>
      </w:r>
      <w:proofErr w:type="spellEnd"/>
      <w:r w:rsidRPr="003A0C96">
        <w:rPr>
          <w:kern w:val="2"/>
          <w14:ligatures w14:val="standardContextual"/>
        </w:rPr>
        <w:t>“ debesijos paslauga susijusią bylą, kuri buvo baigta nagrinėti 2023 m., ir kitą bylą dėl ES institucijų, organų, įstaigų ir agentūrų naudojimosi profiliavimu, kurios tyrimas buvo vykdomas 2024 m.; pažymi, kad laisvės, saugumo ir teisingumo erdvėje iš viso pradėti šeši tyrimai ir keturi išankstiniai tyrimai (2022 m. vienas išankstinis tyrimas), ir tai, palyginti su 2022 m., rodo nemenką padidėjimą; atkreipia dėmesį į EDAPP susirūpinimą dėl problemų, kurių gali kilti atliekant tyrimus, kai reikalingi bendri nacionalinių institucijų ir ES institucijų, organų, įstaigų ir agentūrų veiksmai; be to, pažymi, kad EDAPP, įgyvendindamas savo 2023 m. audito planą, atliko šių įstaigų auditą: Europos personalo atrankos tarnybos, Europos investicijų banko, Europos Centrinis Banko, Europos ligų prevencijos ir kontrolės centro ir Europos vaistų agentūros;</w:t>
      </w:r>
    </w:p>
    <w:p w14:paraId="4875466F"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20.</w:t>
      </w:r>
      <w:r w:rsidRPr="003A0C96">
        <w:rPr>
          <w:kern w:val="2"/>
          <w14:ligatures w14:val="standardContextual"/>
        </w:rPr>
        <w:tab/>
        <w:t>primena, kad 2022 m. EDAPP pateikė Bendrajam Teismui ieškinį dėl dviejų iš dalies pakeisto Europolo reglamento nuostatų panaikinimo, kuris vėliau buvo atmestas; pažymi, kad tuo tarpu EDAPP nusprendė apskųsti Bendrojo Teismo nutartį byloje T-578/22 </w:t>
      </w:r>
      <w:r w:rsidRPr="003A0C96">
        <w:rPr>
          <w:kern w:val="2"/>
          <w:vertAlign w:val="superscript"/>
          <w14:ligatures w14:val="standardContextual"/>
        </w:rPr>
        <w:footnoteReference w:id="9"/>
      </w:r>
      <w:r w:rsidRPr="003A0C96">
        <w:rPr>
          <w:kern w:val="2"/>
          <w14:ligatures w14:val="standardContextual"/>
        </w:rPr>
        <w:t>, manydamas, kad iškelti klausimai turėtų būti sprendžiami aukščiausiu lygmeniu; apgailestauja, kad EDAPP nesuvokė akivaizdaus savo apeliacinio skundo nepriimtinumo, net jei institucija neketino užginčyti Europolo akto, o teisinės sistemos pakeitimą atgaline data, kuriuo siekiama neutralizuoti EDAPP vykdymo užtikrinimo veiksmų poveikį; ragina instituciją bendradarbiauti su Sąjungos institucijomis ir agentūromis prieš pradedant teismo procesą, kuriuo užkertamas kelias vykdyti jos įgaliojimus ir naudoti jos išteklius pagal paskirtį; taip pat pažymi, kad EDAPP taip pat ėmėsi tolesnių veiksmų dėl 2022 m. sausio 3 d. įsakymo įgyvendinimo, įskaitant Europolo ataskaitų patikras; apgailestauja, kad EDAPP galutinę ataskaitą šiuo klausimu pateikė 2024 m. liepos 22 d.;</w:t>
      </w:r>
    </w:p>
    <w:p w14:paraId="561BDD59"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21.</w:t>
      </w:r>
      <w:r w:rsidRPr="003A0C96">
        <w:rPr>
          <w:kern w:val="2"/>
          <w14:ligatures w14:val="standardContextual"/>
        </w:rPr>
        <w:tab/>
        <w:t xml:space="preserve">pažymi, kad 2022 m. pabaigoje EDAPP pradėjus bandomąjį naujos rizikos valdymo </w:t>
      </w:r>
      <w:r w:rsidRPr="003A0C96">
        <w:rPr>
          <w:kern w:val="2"/>
          <w14:ligatures w14:val="standardContextual"/>
        </w:rPr>
        <w:lastRenderedPageBreak/>
        <w:t>sistemos įgyvendinimą, 2023 m. gegužės mėn. buvo atlikta anoniminė pasitenkinimo apklausa, siekiant įvertinti jos veiksmingumą ir surinkti papildomų pasiūlymų; taip pat pažymi, kad apklausos rezultatai buvo teigiami, todėl 2023 m. birželio 26 d. sistema buvo oficialiai patvirtinta;</w:t>
      </w:r>
    </w:p>
    <w:p w14:paraId="0607950C"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22.</w:t>
      </w:r>
      <w:r w:rsidRPr="003A0C96">
        <w:rPr>
          <w:kern w:val="2"/>
          <w14:ligatures w14:val="standardContextual"/>
        </w:rPr>
        <w:tab/>
        <w:t>pažymi, kad vidaus audito tarnyba (VAT) 2023 m. atliko EDAPP auditų planavimo metodikos auditą; pažymi, kad auditas buvo užbaigtas dviem rekomendacijomis, dėl kurių EDAPP pateikė VAT veiksmų planą; ragina EDAPP reguliariai pranešti biudžeto įvykdymą tvirtinančiai institucijai apie daromą pažangą šioje srityje;</w:t>
      </w:r>
    </w:p>
    <w:p w14:paraId="6BEDAE8B"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23.</w:t>
      </w:r>
      <w:r w:rsidRPr="003A0C96">
        <w:rPr>
          <w:kern w:val="2"/>
          <w14:ligatures w14:val="standardContextual"/>
        </w:rPr>
        <w:tab/>
        <w:t>primena Europos Sąjungos sutarties nuostatas, jog ES ir jos institucijos turi skatinti moterų ir vyrų lygybę ir solidarumą;</w:t>
      </w:r>
    </w:p>
    <w:p w14:paraId="184E0BC0" w14:textId="77777777" w:rsidR="003A0C96" w:rsidRPr="003A0C96" w:rsidRDefault="003A0C96" w:rsidP="003A0C96">
      <w:pPr>
        <w:spacing w:after="240"/>
        <w:rPr>
          <w:b/>
          <w:i/>
          <w:kern w:val="2"/>
          <w:szCs w:val="24"/>
          <w14:ligatures w14:val="standardContextual"/>
        </w:rPr>
      </w:pPr>
      <w:r w:rsidRPr="003A0C96">
        <w:rPr>
          <w:b/>
          <w:i/>
          <w:kern w:val="2"/>
          <w14:ligatures w14:val="standardContextual"/>
        </w:rPr>
        <w:t>Žmogiškieji ištekliai, lygybė ir darbuotojų gerovė</w:t>
      </w:r>
    </w:p>
    <w:p w14:paraId="052584F8"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24.</w:t>
      </w:r>
      <w:r w:rsidRPr="003A0C96">
        <w:rPr>
          <w:kern w:val="2"/>
          <w14:ligatures w14:val="standardContextual"/>
        </w:rPr>
        <w:tab/>
        <w:t>pažymi, kad 2023 m. pabaigoje EDAPP dirbo 129 darbuotojai, o 2022 m. – 127 darbuotojai; pažymi, kad 2023 m. EDAPP įdarbino 50 sutartininkų pagal Pareigūnų tarnybos nuostatų ir kitų tarnautojų įdarbinimo sąlygų 3 straipsnio b punktą (52 sutartininkai 2022 m.), 7 laikinuosius darbuotojus pagal 2 straipsnio b ir c punktus (2022 m. – 6 laikinieji darbuotojai) ir naudojosi 12 išorės paslaugų teikėjų, dirbančių darbo vietoje, paslaugomis (2022 m. – 8 išorės paslaugų teikėjai); ragina EDAPP toliau dėti pastangas siekiant labiau subalansuoto geografinio atstovavimo tarp visų valstybių narių, ypač valdymo lygmeniu; palankiai vertina didėjančią atstovaujamų tautybių įvairovę, tačiau apgailestaudamas pažymi, kad vis dar nepakankamai moterų vyresniosios grandies vadovybės pareigose; ragina priimti lyčių lygybės veiksmų gaires, įskaitant iniciatyvias įdarbinimo priemones ir vadovų mokymo programas, skirtas darbuotojoms moterims;</w:t>
      </w:r>
    </w:p>
    <w:p w14:paraId="0B6AC4C3"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25.</w:t>
      </w:r>
      <w:r w:rsidRPr="003A0C96">
        <w:rPr>
          <w:kern w:val="2"/>
          <w14:ligatures w14:val="standardContextual"/>
        </w:rPr>
        <w:tab/>
        <w:t>pažymi, kad 2023 m. EDAPP dirbo 23 pilietybių darbuotojai (iš valstybių narių), o tai yra pagerėjimas, palyginti su 22 pilietybėmis 2022 m.; su nepasitenkinimu atkreipia dėmesį į tai, kad yra per didelis penkių pilietybių atstovų skaičius ir yra per mažai kitų tautybių atstovų; primygtinai ragina EDAPP toliau dėti pastangas, kad būtų užtikrintas subalansuotas geografinis visų valstybių narių piliečių pasiskirstymas tarp darbuotojų, gerinant komunikaciją, skatinant matomumą ir gerinant darbo sąlygas, kad būtų pritraukti nepakankamai atstovaujamų valstybių piliečiai;</w:t>
      </w:r>
    </w:p>
    <w:p w14:paraId="1A0B15D4" w14:textId="77777777" w:rsidR="003A0C96" w:rsidRPr="003A0C96" w:rsidRDefault="003A0C96" w:rsidP="003A0C96">
      <w:pPr>
        <w:spacing w:after="240"/>
        <w:ind w:left="567" w:hanging="567"/>
        <w:rPr>
          <w:b/>
          <w:i/>
          <w:kern w:val="2"/>
          <w14:ligatures w14:val="standardContextual"/>
        </w:rPr>
      </w:pPr>
      <w:r w:rsidRPr="003A0C96">
        <w:rPr>
          <w:kern w:val="2"/>
          <w14:ligatures w14:val="standardContextual"/>
        </w:rPr>
        <w:t>26.</w:t>
      </w:r>
      <w:r w:rsidRPr="003A0C96">
        <w:rPr>
          <w:kern w:val="2"/>
          <w14:ligatures w14:val="standardContextual"/>
        </w:rPr>
        <w:tab/>
        <w:t>pažymi, kad 2023 m. EDAPP išlaikė darbo jėgą, kurią sudarė 65 % moterų ir 35 % vyrų, o tai atitinka ankstesnių metų tendencijas; apgailestauja dėl to, kad moterys neužima vyresniosios grandies vadovybės pareigų, nepaisant to, kad pasiekta lyčių lygybė tarp šešių vidurinės grandies vadovų pareigų; primygtinai ragina EDAPP dėti daugiau pastangų siekiant užtikrinti lyčių pusiausvyrą visais darbuotojų lygmenimis ir ragina EDAPP skatinti moterų dalyvavimą, be kita ko, atsižvelgiant į tai, kad Parlamentas kitą kartą rinks priežiūros pareigūną</w:t>
      </w:r>
      <w:r w:rsidRPr="003A0C96">
        <w:rPr>
          <w:b/>
          <w:i/>
          <w:kern w:val="2"/>
          <w14:ligatures w14:val="standardContextual"/>
        </w:rPr>
        <w:t>;</w:t>
      </w:r>
    </w:p>
    <w:p w14:paraId="36512734"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27.</w:t>
      </w:r>
      <w:r w:rsidRPr="003A0C96">
        <w:rPr>
          <w:kern w:val="2"/>
          <w14:ligatures w14:val="standardContextual"/>
        </w:rPr>
        <w:tab/>
        <w:t xml:space="preserve">atkreipia dėmesį į didelį etatų plano užimtumo rodiklį (95,65 %), tačiau taip pat didelį darbuotojų kaitos lygį – 13 % 2023 m.; pažymi, kad dauguma laisvų darbo vietų atsirado dėl to, kad kandidatai buvo netinkami, atsižvelgiant į tai, kad EDAPP reikalingi labai specializuoti profiliai, ir į nedidelį reikalavimus atitinkančių kandidatų sąrašą; palankiai vertina tai, kad šios problemos sprendžiamos pakartotinai paskelbiant apie laisvą darbo vietą plačiau ar tikslingiau arba performuluojant reikalavimus; palankiai vertina EDAPP veiksmus, susijusius su įdarbinimo procesu; ragina EDAPP toliau </w:t>
      </w:r>
      <w:r w:rsidRPr="003A0C96">
        <w:rPr>
          <w:kern w:val="2"/>
          <w14:ligatures w14:val="standardContextual"/>
        </w:rPr>
        <w:lastRenderedPageBreak/>
        <w:t>spręsti problemas ieškant tinkamų kandidatų ir nuolat informuoti biudžeto įvykdymą tvirtinančią instituciją apie patobulinimus, susijusius su darbuotojų įdarbinimu ir kaita;</w:t>
      </w:r>
    </w:p>
    <w:p w14:paraId="6259D0C7"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28.</w:t>
      </w:r>
      <w:r w:rsidRPr="003A0C96">
        <w:rPr>
          <w:kern w:val="2"/>
          <w14:ligatures w14:val="standardContextual"/>
        </w:rPr>
        <w:tab/>
        <w:t>pažymi, kad 2023 m. antrąjį pusmetį EDAPP žmogiškųjų išteklių grupė pradėjo bandomąjį naujo naujų darbuotojų darbo pradžios proceso bandomąjį projektą, kurio sesijos apima, be kita ko, pagrindinių skyrių darbo, etikos, viešųjų pirkimų procedūrų ir informacijos saugumo pristatymus, nes 2023 m. buvo pasiūlytos trys darbo pradžios sesijos; ragina EDAPP naujiems darbuotojams ir visiems darbuotojams toliau siūlyti privalomas sesijas, kuriose būtų primenama tokių principų, kaip etika, interesų konfliktai, skaidrumas, vidaus kontrolė ir kova su sukčiavimu, svarba, nes jie tapo standartu Sąjungos institucijose; be to, pažymi, kad 2023 m. EDAPP ir EDAV darbuotojams buvo pasiūlyta 12 individualių sesijų, šešios grupinio konsultuojamojo ugdymo sesijos, kuriose dalyviai (vadovo lygmuo) mokėsi vieni iš kitų, taip pat vienų metų trukmės komandinis konsultuojamasis ugdymas su Europos viešojo administravimo mokyklos lyderystės ugdymo programos kūrėju;</w:t>
      </w:r>
    </w:p>
    <w:p w14:paraId="2AAB48CC"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29.</w:t>
      </w:r>
      <w:r w:rsidRPr="003A0C96">
        <w:rPr>
          <w:kern w:val="2"/>
          <w14:ligatures w14:val="standardContextual"/>
        </w:rPr>
        <w:tab/>
        <w:t>remdamasis klausimynu pažymi, kad EDAPP siūlo lanksčias ir mišrias darbo sąlygas, kurias gerai įvertina darbuotojai, galintys, be kita ko, pasinaudoti vaiko priežiūros atostogomis, laiko kreditais, dirbti ne visą darbo dieną arba dirbti iš užsienio ribotą dienų skaičių per metus; pažymi, kad 2023 m. dauguma darbuotojų pasinaudojo šiomis darbo sąlygomis, o 2023 m. 86,30 % darbuotojų dirbo nuotoliniu būdu; mano, kad pastatų infrastruktūra turėtų būti optimizuota, kad atspindėtų šį aukštą nuotolinio darbo lygį, nes tai galėtų padėti sumažinti veiklos išlaidas ir užtikrinti veiksmingesnį biuro patalpų naudojimą; palankiai vertina nuolatines EDAPP pastangas aktyviai gerinti savo darbuotojų fizinę ir psichinę gerovę;</w:t>
      </w:r>
    </w:p>
    <w:p w14:paraId="0814802C"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30.</w:t>
      </w:r>
      <w:r w:rsidRPr="003A0C96">
        <w:rPr>
          <w:kern w:val="2"/>
          <w14:ligatures w14:val="standardContextual"/>
        </w:rPr>
        <w:tab/>
        <w:t>giria EDAPP už tai, kad 2023 m. jis vykdė keletą informuotumo didinimo veiksmų, dalydamasi informacija apie rasinės diskriminacijos panaikinimą, Tarptautinę moters dieną, ES įvairovės mėnesį ir mokymąsi apie neurologinę įvairovę; pažymi, kad šiuo metu EDAPP nedirba neįgalių darbuotojų, bet ji turi lygių galimybių sąlygą, įtrauktą į visus EDAPP pranešimus apie laisvas darbo vietas, ir aktyviai skatina neįgalius kandidatus teikti paraiškas;</w:t>
      </w:r>
    </w:p>
    <w:p w14:paraId="1585C518"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31.</w:t>
      </w:r>
      <w:r w:rsidRPr="003A0C96">
        <w:rPr>
          <w:kern w:val="2"/>
          <w14:ligatures w14:val="standardContextual"/>
        </w:rPr>
        <w:tab/>
        <w:t>remdamasis klausimynu pažymi, kad EDAPP mano, jog bet kokia informacija apie perdegimo atvejus, įskaitant jų skaičių, yra konfidenciali; nepritaria šiai nuomonei ir ragina EDAPP kasmet pateikti biudžeto įvykdymą tvirtinančiai institucijai perdegimo atvejų skaičių; džiaugdamasis pažymi, kad 2023 m. nebuvo pranešta apie priekabiavimo atvejus EDAPP; palankiai vertina tai, kad 2023 m. EDAPP ir toliau į įvadinį mokymą, vadinamą Priėmimo į EDAPP diena, įtraukė vieno iš konfidencialių EDAPP patarėjų parengtą kovos su priekabiavimu pranešimą; palankiai vertina tai, kad EDAPP intranete paskelbtas sprendimas dėl kovos su priekabiavimu ir konfidencialių patarėjų vaidmuo;</w:t>
      </w:r>
    </w:p>
    <w:p w14:paraId="47E6EA88" w14:textId="77777777" w:rsidR="003A0C96" w:rsidRPr="003A0C96" w:rsidRDefault="003A0C96" w:rsidP="00640DC1">
      <w:pPr>
        <w:spacing w:after="240"/>
        <w:rPr>
          <w:b/>
          <w:i/>
          <w:kern w:val="2"/>
          <w:szCs w:val="24"/>
          <w14:ligatures w14:val="standardContextual"/>
        </w:rPr>
      </w:pPr>
      <w:r w:rsidRPr="003A0C96">
        <w:rPr>
          <w:b/>
          <w:i/>
          <w:kern w:val="2"/>
          <w14:ligatures w14:val="standardContextual"/>
        </w:rPr>
        <w:t>Etikos sistema ir skaidrumas</w:t>
      </w:r>
    </w:p>
    <w:p w14:paraId="00C041D2"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32.</w:t>
      </w:r>
      <w:r w:rsidRPr="003A0C96">
        <w:rPr>
          <w:kern w:val="2"/>
          <w14:ligatures w14:val="standardContextual"/>
        </w:rPr>
        <w:tab/>
        <w:t>pažymi, kad 2023 m. EDAPP daugiausia pastangų skyrė darbuotojų informuotumo apie EDAPP / EDAV etikos sistemą didinimui, organizuodamas privalomus specialius mokymus visiems darbuotojams ir įvadinius mokymus naujiems EDAPP / EDAV darbuotojams, paskirdamas naują etikos pareigūną ir dalyvaudamas darbo grupės etikos klausimais (</w:t>
      </w:r>
      <w:proofErr w:type="spellStart"/>
      <w:r w:rsidRPr="003A0C96">
        <w:rPr>
          <w:kern w:val="2"/>
          <w14:ligatures w14:val="standardContextual"/>
        </w:rPr>
        <w:t>pranc</w:t>
      </w:r>
      <w:proofErr w:type="spellEnd"/>
      <w:r w:rsidRPr="003A0C96">
        <w:rPr>
          <w:kern w:val="2"/>
          <w14:ligatures w14:val="standardContextual"/>
        </w:rPr>
        <w:t xml:space="preserve">. </w:t>
      </w:r>
      <w:proofErr w:type="spellStart"/>
      <w:r w:rsidRPr="003A0C96">
        <w:rPr>
          <w:i/>
          <w:iCs/>
          <w:kern w:val="2"/>
          <w14:ligatures w14:val="standardContextual"/>
        </w:rPr>
        <w:t>Comité</w:t>
      </w:r>
      <w:proofErr w:type="spellEnd"/>
      <w:r w:rsidRPr="003A0C96">
        <w:rPr>
          <w:i/>
          <w:iCs/>
          <w:kern w:val="2"/>
          <w14:ligatures w14:val="standardContextual"/>
        </w:rPr>
        <w:t xml:space="preserve"> </w:t>
      </w:r>
      <w:proofErr w:type="spellStart"/>
      <w:r w:rsidRPr="003A0C96">
        <w:rPr>
          <w:i/>
          <w:iCs/>
          <w:kern w:val="2"/>
          <w14:ligatures w14:val="standardContextual"/>
        </w:rPr>
        <w:t>Paritaire</w:t>
      </w:r>
      <w:proofErr w:type="spellEnd"/>
      <w:r w:rsidRPr="003A0C96">
        <w:rPr>
          <w:i/>
          <w:iCs/>
          <w:kern w:val="2"/>
          <w14:ligatures w14:val="standardContextual"/>
        </w:rPr>
        <w:t xml:space="preserve"> </w:t>
      </w:r>
      <w:proofErr w:type="spellStart"/>
      <w:r w:rsidRPr="003A0C96">
        <w:rPr>
          <w:i/>
          <w:iCs/>
          <w:kern w:val="2"/>
          <w14:ligatures w14:val="standardContextual"/>
        </w:rPr>
        <w:t>des</w:t>
      </w:r>
      <w:proofErr w:type="spellEnd"/>
      <w:r w:rsidRPr="003A0C96">
        <w:rPr>
          <w:i/>
          <w:iCs/>
          <w:kern w:val="2"/>
          <w14:ligatures w14:val="standardContextual"/>
        </w:rPr>
        <w:t xml:space="preserve"> </w:t>
      </w:r>
      <w:proofErr w:type="spellStart"/>
      <w:r w:rsidRPr="003A0C96">
        <w:rPr>
          <w:i/>
          <w:iCs/>
          <w:kern w:val="2"/>
          <w14:ligatures w14:val="standardContextual"/>
        </w:rPr>
        <w:t>Questions</w:t>
      </w:r>
      <w:proofErr w:type="spellEnd"/>
      <w:r w:rsidRPr="003A0C96">
        <w:rPr>
          <w:i/>
          <w:iCs/>
          <w:kern w:val="2"/>
          <w14:ligatures w14:val="standardContextual"/>
        </w:rPr>
        <w:t xml:space="preserve"> </w:t>
      </w:r>
      <w:proofErr w:type="spellStart"/>
      <w:r w:rsidRPr="003A0C96">
        <w:rPr>
          <w:i/>
          <w:iCs/>
          <w:kern w:val="2"/>
          <w14:ligatures w14:val="standardContextual"/>
        </w:rPr>
        <w:t>Statuaries</w:t>
      </w:r>
      <w:proofErr w:type="spellEnd"/>
      <w:r w:rsidRPr="003A0C96">
        <w:rPr>
          <w:kern w:val="2"/>
          <w14:ligatures w14:val="standardContextual"/>
        </w:rPr>
        <w:t>) veikloje; palankiai vertina tai, kad EDAPP sukūrė e. pašto dėžutę, į kurią darbuotojai gali siųsti prašymus dėl bet kokių su etika susijusių tyrimų, taip pat tai, kad sistemoje „</w:t>
      </w:r>
      <w:proofErr w:type="spellStart"/>
      <w:r w:rsidRPr="003A0C96">
        <w:rPr>
          <w:kern w:val="2"/>
          <w14:ligatures w14:val="standardContextual"/>
        </w:rPr>
        <w:t>Sysper</w:t>
      </w:r>
      <w:proofErr w:type="spellEnd"/>
      <w:r w:rsidRPr="003A0C96">
        <w:rPr>
          <w:kern w:val="2"/>
          <w14:ligatures w14:val="standardContextual"/>
        </w:rPr>
        <w:t xml:space="preserve">“ naudojamas </w:t>
      </w:r>
      <w:r w:rsidRPr="003A0C96">
        <w:rPr>
          <w:kern w:val="2"/>
          <w14:ligatures w14:val="standardContextual"/>
        </w:rPr>
        <w:lastRenderedPageBreak/>
        <w:t>Komisijos etikos modulis; ragina EDAPP toliau didinti informuotumą ir organizuoti apklausas siekiant įvertinti darbuotojų informuotumo apie EDAPP ir (arba) EDAV etikos sistemą lygį;</w:t>
      </w:r>
    </w:p>
    <w:p w14:paraId="6AA9C3AB"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33.</w:t>
      </w:r>
      <w:r w:rsidRPr="003A0C96">
        <w:rPr>
          <w:kern w:val="2"/>
          <w14:ligatures w14:val="standardContextual"/>
        </w:rPr>
        <w:tab/>
        <w:t>palankiai vertina bendrą aukštą EDAPP pasiektą veiklos skaidrumo lygį, visų pirma susijusį su priežiūros pareigūno bei EDAPP administracijos vadovo darbotvarkės ir interesų deklaracijos skelbimu, laikantis 2019 m. Priežiūros pareigūno elgesio kodekso; remdamasis tolesnių veiksmų ataskaita pažymi, kad EDAPP priėmė du elgesio kodeksus: vienas iš jų taikomas priežiūros pareigūnui, o kitas – EDAPP darbuotojams; supranta, kad tais atvejais, kai Generalinio sekretoriaus prašoma pakeisti priežiūros pareigūną, pastarojo elgesio kodeksas taip pat taikomas Generaliniam sekretoriui;</w:t>
      </w:r>
    </w:p>
    <w:p w14:paraId="0DC461AC"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34.</w:t>
      </w:r>
      <w:r w:rsidRPr="003A0C96">
        <w:rPr>
          <w:kern w:val="2"/>
          <w14:ligatures w14:val="standardContextual"/>
        </w:rPr>
        <w:tab/>
        <w:t>su pasitenkinimu pažymi, kad EDAPP nuo pat jo įsteigimo niekada nebuvo susijęs su jokiais Europos kovos su sukčiavimu tarnybos (OLAF) tyrimais;</w:t>
      </w:r>
    </w:p>
    <w:p w14:paraId="41E3CDAA"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35.</w:t>
      </w:r>
      <w:r w:rsidRPr="003A0C96">
        <w:rPr>
          <w:kern w:val="2"/>
          <w14:ligatures w14:val="standardContextual"/>
        </w:rPr>
        <w:tab/>
        <w:t>pažymi, kad iš penkių 2023 m. Ombudsmeno pradėtų tyrimų, susijusių su EDAPP, keturi buvo baigti neatlikus jokio tolesnio tyrimo; pažymi, kad dėl vieno tyrimo sprendimas dar nebuvo priimtas ir tikimasi, kad jis bus priimtas 2024 m. IV ketvirtį; ragina EDAPP nuolat informuoti biudžeto įvykdymą tvirtinančią instituciją apie šių veiksmų rezultatus;</w:t>
      </w:r>
    </w:p>
    <w:p w14:paraId="5B55C5DA"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36.</w:t>
      </w:r>
      <w:r w:rsidRPr="003A0C96">
        <w:rPr>
          <w:kern w:val="2"/>
          <w14:ligatures w14:val="standardContextual"/>
        </w:rPr>
        <w:tab/>
        <w:t>apgailestauja, kad EDAPP vis dar oficialiai neprisijungė prie Sąjungos skaidrumo registro; vis dėlto, remdamasis tolesnių veiksmų ataskaita, pažymi, kad, siekdamas oficialiai prisijungti prie Skaidrumo registro, EDAPP pradėjo vidaus vertinimą dėl skaidrumo priemonių, o 2023 m. įvyko EDAPP tiriamieji posėdžiai ir keitimasis informacija su Skaidrumo registro sekretoriatu; ragina EDAPP informuoti biudžeto įvykdymą tvirtinančią instituciją apie šio vertinimo rezultatus; pakartoja savo raginimą EDAPP prisijungti prie Skaidrumo registro ir juo naudotis, be kita ko, siekiant aktyviai atskleisti informaciją apie susitikimus su trečiosiomis šalimis, kad būtų užtikrintas EDAPP reguliavimo ir patariamųjų funkcijų skaidrumas;</w:t>
      </w:r>
    </w:p>
    <w:p w14:paraId="049426E6"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37.</w:t>
      </w:r>
      <w:r w:rsidRPr="003A0C96">
        <w:rPr>
          <w:kern w:val="2"/>
          <w14:ligatures w14:val="standardContextual"/>
        </w:rPr>
        <w:tab/>
        <w:t>su pasitenkinimu pažymi, kad 2023 m. EDAPP nustatytos vidaus taisyklės, taikomos asmenų, kuriems gali turėti įtakos EDAPP galutinis sprendimas, priimtas atliekant tyrimus ir tyrimus savo iniciatyva, išklausymui, siekiant užtikrinti tinkamą jų pagrindinės teisės būti išklausytiems tokiuose procesuose įgyvendinimą; giria EDAPP už tai, kad jis paskelbė naują informacijos suvestinę apie EDAPP tyrimus ir naują EDAPP tyrimų politiką, taip pat už tai, kad užtikrinta, jog visos finansinės ataskaitos, įskaitant metinius biudžetus, apskaitos ir audito ataskaitas, būtų viešai prieinamos Sąjungos institucijos interneto svetainėje ir kitais oficialiais kanalais, nes EDAPP atlieka pagrindinį vaidmenį</w:t>
      </w:r>
      <w:r w:rsidRPr="003A0C96">
        <w:rPr>
          <w:color w:val="365F91"/>
          <w:kern w:val="2"/>
          <w14:ligatures w14:val="standardContextual"/>
        </w:rPr>
        <w:t xml:space="preserve"> </w:t>
      </w:r>
      <w:r w:rsidRPr="003A0C96">
        <w:rPr>
          <w:kern w:val="2"/>
          <w14:ligatures w14:val="standardContextual"/>
        </w:rPr>
        <w:t>didinant Sąjungos institucijų pasirengimą kibernetiniam saugumui;</w:t>
      </w:r>
    </w:p>
    <w:p w14:paraId="42A4EBD8"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38.</w:t>
      </w:r>
      <w:r w:rsidRPr="003A0C96">
        <w:rPr>
          <w:kern w:val="2"/>
          <w14:ligatures w14:val="standardContextual"/>
        </w:rPr>
        <w:tab/>
        <w:t>remdamasis klausimynu su pasitenkinimu pažymi, kad 2023 m. EDAPP nepranešė apie kokius nors interesų konfliktų, informavimo apie pažeidimus ar sukčiavimo atvejus; pažymi, kad EDAPP sukūrė sistemą, kuria siekiama užkirsti kelią interesų konfliktams vyresniosios vadovybės ir darbuotojų lygmeniu, pasitelkiant elgesio kodeksus, informuotumo didinimą ir deklaracijas dėl konfliktų nebuvimo ir konfidencialumo; pažymi, kad, be privalomo EDAPP etikos sistemos įvedimo visiems naujiems darbuotojams, nauji darbuotojai taip pat supažindinami su EDAPP kovos su sukčiavimu strategija;</w:t>
      </w:r>
    </w:p>
    <w:p w14:paraId="4BF89057"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lastRenderedPageBreak/>
        <w:t>39.</w:t>
      </w:r>
      <w:r w:rsidRPr="003A0C96">
        <w:rPr>
          <w:kern w:val="2"/>
          <w14:ligatures w14:val="standardContextual"/>
        </w:rPr>
        <w:tab/>
        <w:t>remdamasis klausimynu pažymi, kad EDAPP turi vidaus taisykles dėl informavimo apie pažeidimus, kuriose apibrėžiami saugūs būdai ir kanalai, per kuriuos darbuotojai gali pareikšti nuogąstavimus dėl sukčiavimo, korupcijos ar kitų rimtų pažeidimų, nepažeidžiant informatoriaus tapatybės ir pateiktos informacijos konfidencialumo; pažymi, kad iki šiol EDAPP niekada nebuvo pranešta apie informavimo apie pažeidimus atvejį;</w:t>
      </w:r>
    </w:p>
    <w:p w14:paraId="19C62F67"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40.</w:t>
      </w:r>
      <w:r w:rsidRPr="003A0C96">
        <w:rPr>
          <w:kern w:val="2"/>
          <w14:ligatures w14:val="standardContextual"/>
        </w:rPr>
        <w:tab/>
        <w:t>primygtinai ragina EDAPP savo vykdymo užtikrinimo sprendimuose viešai atskleisti bet kokius nušalinimus dėl interesų konfliktų, užtikrinant visišką teisės aktais nustatytos priežiūros ir sprendimų priėmimo skaidrumą;</w:t>
      </w:r>
    </w:p>
    <w:p w14:paraId="63153511" w14:textId="77777777" w:rsidR="003A0C96" w:rsidRPr="003A0C96" w:rsidRDefault="003A0C96" w:rsidP="003A0C96">
      <w:pPr>
        <w:spacing w:after="240"/>
        <w:rPr>
          <w:b/>
          <w:i/>
          <w:kern w:val="2"/>
          <w:szCs w:val="24"/>
          <w14:ligatures w14:val="standardContextual"/>
        </w:rPr>
      </w:pPr>
      <w:r w:rsidRPr="003A0C96">
        <w:rPr>
          <w:b/>
          <w:i/>
          <w:kern w:val="2"/>
          <w14:ligatures w14:val="standardContextual"/>
        </w:rPr>
        <w:t>Skaitmeninimas, kibernetinis saugumas ir duomenų apsauga</w:t>
      </w:r>
    </w:p>
    <w:p w14:paraId="3FA1C549"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41.</w:t>
      </w:r>
      <w:r w:rsidRPr="003A0C96">
        <w:rPr>
          <w:kern w:val="2"/>
          <w14:ligatures w14:val="standardContextual"/>
        </w:rPr>
        <w:tab/>
        <w:t>remdamasis klausimynu pažymi, kad 2023 m. IT įrangai ir projektams skirtas biudžetas buvo 9,5 % mažesnis nei 2022 m.; pažymi, kad šį sumažėjimą visų pirma lėmė tai, kad 2023 m. nebuvo užsakyta naujų IT galimybių studijų, palyginti su 2022 m., kai tokie tyrimai sudarė didelę IT biudžeto dalį; taip pat pažymi, kad kiti išlaidų elementai per dvejus metus išliko palyginti stabilūs, įskaitant bendrąsias IT paslaugas ir techninę priežiūrą;</w:t>
      </w:r>
    </w:p>
    <w:p w14:paraId="3C1A61E1"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42.</w:t>
      </w:r>
      <w:r w:rsidRPr="003A0C96">
        <w:rPr>
          <w:kern w:val="2"/>
          <w14:ligatures w14:val="standardContextual"/>
        </w:rPr>
        <w:tab/>
        <w:t>remdamasis tolesnių veiksmų ataskaita ir klausimynu atkreipia dėmesį į 2022 m. atliktos IT galimybių studijos išvadas, pagal kurias esama spragų tarp Komisijos ir Parlamento teikiamų IT priemonių ir paslaugų ir konkrečių EDAPP poreikių; pažymi, kad šios spragos turėtų būti šalinamos plėtojant vidaus pajėgumus ir taikomąsias programas, kurioms, kaip manoma, būtina turėti ne mažiau kaip penkis IT darbuotojus ir iš dalies perduoti EDAPP paslaugas; apgailestauja, kad dėl biudžeto apribojimų tyrimo rekomendacijų įgyvendinimas ir toliau buvo sustabdytas; ragina EDAPP apsvarstyti laipsnišką požiūrį, pradedant nuo tų rekomendacijų ir projektų, kuriems reikėtų mažiau išteklių;</w:t>
      </w:r>
    </w:p>
    <w:p w14:paraId="5B29BED7"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43.</w:t>
      </w:r>
      <w:r w:rsidRPr="003A0C96">
        <w:rPr>
          <w:kern w:val="2"/>
          <w14:ligatures w14:val="standardContextual"/>
        </w:rPr>
        <w:tab/>
        <w:t>palankiai vertina pažangą, kurią 2023 m. padarė EDAPP skaitmenizuodamas savo darbo srautus ir procesus, įdiegdamas ARES, kvalifikuotą skaitmeninį parašą (e-IDAS) ir bendradarbiavimo platformą („</w:t>
      </w:r>
      <w:proofErr w:type="spellStart"/>
      <w:r w:rsidRPr="003A0C96">
        <w:rPr>
          <w:kern w:val="2"/>
          <w14:ligatures w14:val="standardContextual"/>
        </w:rPr>
        <w:t>Nextcloud</w:t>
      </w:r>
      <w:proofErr w:type="spellEnd"/>
      <w:r w:rsidRPr="003A0C96">
        <w:rPr>
          <w:kern w:val="2"/>
          <w14:ligatures w14:val="standardContextual"/>
        </w:rPr>
        <w:t xml:space="preserve">“), skirtą dokumentams ir vaizdo konferencijoms rengti, taip pat priemonės (interneto įrodymų rinkimo subjekto), kuria automatizuojamas asmens duomenų tvarkymas duomenų valdytojų ir tvarkytojų svetainėse, atnaujinimą, „ES </w:t>
      </w:r>
      <w:proofErr w:type="spellStart"/>
      <w:r w:rsidRPr="003A0C96">
        <w:rPr>
          <w:kern w:val="2"/>
          <w14:ligatures w14:val="standardContextual"/>
        </w:rPr>
        <w:t>Send</w:t>
      </w:r>
      <w:proofErr w:type="spellEnd"/>
      <w:r w:rsidRPr="003A0C96">
        <w:rPr>
          <w:kern w:val="2"/>
          <w14:ligatures w14:val="standardContextual"/>
        </w:rPr>
        <w:t xml:space="preserve"> </w:t>
      </w:r>
      <w:proofErr w:type="spellStart"/>
      <w:r w:rsidRPr="003A0C96">
        <w:rPr>
          <w:kern w:val="2"/>
          <w14:ligatures w14:val="standardContextual"/>
        </w:rPr>
        <w:t>Web</w:t>
      </w:r>
      <w:proofErr w:type="spellEnd"/>
      <w:r w:rsidRPr="003A0C96">
        <w:rPr>
          <w:kern w:val="2"/>
          <w14:ligatures w14:val="standardContextual"/>
        </w:rPr>
        <w:t>“, paslaugos ir (arba) kanalo, skirto keistis neskelbtina neįslaptinta informacija su kitomis ES institucijomis, organais, įstaigomis ir agentūromis, priėmimo aplinkos patvirtinimą ir tolesnę pažangą, padarytą įgyvendinant paslaugas, kurių negalima perduoti trečiosioms šalims, pavyzdžiui, pranešimų apie duomenų pažeidimus valdymo forma ir elektroninis srautas; vis dėlto atkreipia dėmesį į problemas, susijusias su e. viešųjų pirkimų sistemos naudojimu ir priežiūra;</w:t>
      </w:r>
    </w:p>
    <w:p w14:paraId="6B8B3098"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44.</w:t>
      </w:r>
      <w:r w:rsidRPr="003A0C96">
        <w:rPr>
          <w:kern w:val="2"/>
          <w14:ligatures w14:val="standardContextual"/>
        </w:rPr>
        <w:tab/>
        <w:t xml:space="preserve">palankiai vertina tai, kad EDAPP daug dėmesio skiria tam, kad išorės rangovai atitiktų būtinus moralinius ir etinius standartus, kurių tikimasi iš visų Sąjungos institucijų, organų, įstaigų ir agentūrų, ypač atsižvelgiant į tai, kad EDAPP anksčiau naudojosi išorės įmonių, kurios, remiantis </w:t>
      </w:r>
      <w:proofErr w:type="spellStart"/>
      <w:r w:rsidRPr="003A0C96">
        <w:rPr>
          <w:kern w:val="2"/>
          <w14:ligatures w14:val="standardContextual"/>
        </w:rPr>
        <w:t>Jeilio</w:t>
      </w:r>
      <w:proofErr w:type="spellEnd"/>
      <w:r w:rsidRPr="003A0C96">
        <w:rPr>
          <w:kern w:val="2"/>
          <w14:ligatures w14:val="standardContextual"/>
        </w:rPr>
        <w:t xml:space="preserve"> universiteto reitingu, toliau vykdo veiklą Rusijoje, paslaugomis;</w:t>
      </w:r>
    </w:p>
    <w:p w14:paraId="55D42609"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45.</w:t>
      </w:r>
      <w:r w:rsidRPr="003A0C96">
        <w:rPr>
          <w:kern w:val="2"/>
          <w14:ligatures w14:val="standardContextual"/>
        </w:rPr>
        <w:tab/>
        <w:t xml:space="preserve">pripažįsta, kad EDAPP sėkmingai remiasi daugeliu Komisijos naudojamų administracinių sistemų, visų pirma žmogiškųjų išteklių ir verslo administravimo procesų srityje, taip pat kai kuriomis Parlamento paslaugomis, įskaitant nešiojamųjų </w:t>
      </w:r>
      <w:r w:rsidRPr="003A0C96">
        <w:rPr>
          <w:kern w:val="2"/>
          <w14:ligatures w14:val="standardContextual"/>
        </w:rPr>
        <w:lastRenderedPageBreak/>
        <w:t>kompiuterių, tinklo infrastruktūros ir vaizdo konferencijų teikimą; palankiai vertina tai, kad, bendradarbiaujant su Parlamentu, baigtas įgyvendinti projektas, kuriuo, atsižvelgiant į mišraus darbo paplitimą, siekiama pagerinti EDAPP darbuotojams teikiamų kompiuterių kokybę ir našumą;</w:t>
      </w:r>
    </w:p>
    <w:p w14:paraId="46C419FC"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46.</w:t>
      </w:r>
      <w:r w:rsidRPr="003A0C96">
        <w:rPr>
          <w:kern w:val="2"/>
          <w14:ligatures w14:val="standardContextual"/>
        </w:rPr>
        <w:tab/>
        <w:t>pripažįsta vadovaujantį EDAPP vaidmenį gerinant Sąjungos institucijų pasirengimą kibernetiniam saugumui, kartu glaudžiai bendradarbiaujant su tokiomis įstaigomis kaip Europos Sąjungos kibernetinio saugumo agentūra (ENISA) ir kibernetinio saugumo centrais, pvz., CERT-ES; primygtinai ragina parengti struktūrizuotą kibernetinio saugumo rizikos Sąjungos įstaigose audito sistemą; pažymi, kad 2023 m. EDAPP toliau gerino savo pasirengimą apsaugoti asmens duomenis ir neskelbtiną informaciją nuo kibernetinių išpuolių, atsižvelgdamas į sparčiai kintančią kibernetinių grėsmių panoramą; atsižvelgdamas į tai, giria EDAPP už tai, kad jis peržiūrėjo savo saugumo politiką ir metodikas rengiantis Kibernetinio saugumo reglamento (Europos Parlamento ir Tarybos reglamentas (ES, Euratomas) 2023/2841 </w:t>
      </w:r>
      <w:r w:rsidRPr="003A0C96">
        <w:rPr>
          <w:kern w:val="2"/>
          <w:vertAlign w:val="superscript"/>
          <w14:ligatures w14:val="standardContextual"/>
        </w:rPr>
        <w:footnoteReference w:id="10"/>
      </w:r>
      <w:r w:rsidRPr="003A0C96">
        <w:rPr>
          <w:kern w:val="2"/>
          <w14:ligatures w14:val="standardContextual"/>
        </w:rPr>
        <w:t>) poveikiui; remdamasis klausimynu pažymi, kad EDAPP pateikė prašymą dėl dviejų papildomų etato ekvivalentų kibernetinio saugumo infrastruktūrai, atsižvelgiant į EDAPP pareigas pagal tą reglamentą, taip pat EDAPP, kaip Tarpinstitucinės kibernetinio saugumo tarybos nario, vaidmenį; taip pat džiaugdamasis pažymi, kad EDAPP atnaujino savo informacijos saugumo politiką ir EDAPP priimtino naudojimo politiką, kad būtų šalinamos konkrečios kibernetinio saugumo grėsmės, susijusios su nuotoliniu darbu, asmeninių mobiliųjų įrenginių naudojimu ir pavojingų taikomųjų programų uždraudimu („</w:t>
      </w:r>
      <w:proofErr w:type="spellStart"/>
      <w:r w:rsidRPr="003A0C96">
        <w:rPr>
          <w:kern w:val="2"/>
          <w14:ligatures w14:val="standardContextual"/>
        </w:rPr>
        <w:t>TikTok</w:t>
      </w:r>
      <w:proofErr w:type="spellEnd"/>
      <w:r w:rsidRPr="003A0C96">
        <w:rPr>
          <w:kern w:val="2"/>
          <w14:ligatures w14:val="standardContextual"/>
        </w:rPr>
        <w:t>“); pažymi, kad 2023 m. EDAPP nesusidūrė su jokiais kibernetiniais išpuoliais; ragina kasmet viešai pranešti apie nustatytas grėsmes, reagavimo priemones ir institucinį kibernetinį atsparumą;</w:t>
      </w:r>
    </w:p>
    <w:p w14:paraId="6C25B5E8"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47.</w:t>
      </w:r>
      <w:r w:rsidRPr="003A0C96">
        <w:rPr>
          <w:kern w:val="2"/>
          <w14:ligatures w14:val="standardContextual"/>
        </w:rPr>
        <w:tab/>
        <w:t>giria EDAPP už tai, kad jis atnaujino visų darbuotojų kibernetinio saugumo mokymus ir atnaujino naujų darbuotojų saugumo mokymo modelį; palankiai vertina tai, kad EDAPP aktyviai didino informuotumą apie kibernetinio saugumo riziką, pavyzdžiui, rengdamas faktų suvestines, vykdydamas ES institucijų, organų, įstaigų ir agentūrų apklausas ir vykdydamas informuotumo didinimo kampanijas; ragina EDAPP užtikrinti, kad darbuotojams būtų rengiami privalomi mokymai apie saugų ir etišką DI priemonių naudojimą, siekiant didinti supratimą apie jas ir mažinti galimą riziką;</w:t>
      </w:r>
    </w:p>
    <w:p w14:paraId="7DC06B8E" w14:textId="77777777" w:rsidR="003A0C96" w:rsidRPr="003A0C96" w:rsidRDefault="003A0C96" w:rsidP="003A0C96">
      <w:pPr>
        <w:spacing w:after="240"/>
        <w:rPr>
          <w:b/>
          <w:i/>
          <w:kern w:val="2"/>
          <w:szCs w:val="24"/>
          <w14:ligatures w14:val="standardContextual"/>
        </w:rPr>
      </w:pPr>
      <w:r w:rsidRPr="003A0C96">
        <w:rPr>
          <w:b/>
          <w:i/>
          <w:kern w:val="2"/>
          <w14:ligatures w14:val="standardContextual"/>
        </w:rPr>
        <w:t>Pastatai</w:t>
      </w:r>
    </w:p>
    <w:p w14:paraId="59EB248A"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48.</w:t>
      </w:r>
      <w:r w:rsidRPr="003A0C96">
        <w:rPr>
          <w:kern w:val="2"/>
          <w14:ligatures w14:val="standardContextual"/>
        </w:rPr>
        <w:tab/>
        <w:t>pažymi, kad 2023 m., kaip ir 2022 m., EDAPP ir EDAV buvo vieninteliai Parlamento pastato, kuriame jie buvo įsikūrę, nuomininkai po to, kai 2021 m. pabaigoje išsikėlė Ombudsmenas, ir kad EDAPP, nuomodamas savo patalpas iš Parlamento, o ne privačios rinkos, ketina išlaikyti pagrįstą nuomos ir priežiūros išlaidų lygį; pažymi, kad EDAPP turėjo prašyti papildomos 81 856,84 EUR sumos nuomos išlaidoms Parlamentui apmokėti, atsižvelgiant į tai, kad indeksavimo lygis buvo 8,82 %, t. y. didesnis nei 2 % viršutinė administracinių išlaidų riba;</w:t>
      </w:r>
    </w:p>
    <w:p w14:paraId="2CE5A903"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49.</w:t>
      </w:r>
      <w:r w:rsidRPr="003A0C96">
        <w:rPr>
          <w:kern w:val="2"/>
          <w14:ligatures w14:val="standardContextual"/>
        </w:rPr>
        <w:tab/>
        <w:t xml:space="preserve">pažymi, kad, kalbant apie jo pastato prieinamumą, EDAPP remiasi Parlamento priimtais ir įgyvendinamais sprendimais, kurie yra jo pastatų politikos dalis; remdamasis tolesnių </w:t>
      </w:r>
      <w:r w:rsidRPr="003A0C96">
        <w:rPr>
          <w:kern w:val="2"/>
          <w14:ligatures w14:val="standardContextual"/>
        </w:rPr>
        <w:lastRenderedPageBreak/>
        <w:t>veiksmų ataskaita pažymi, kad EDAPP įdarbina darbuotojus, turinčius fizinių sutrikimų dėl sunkios ligos; palankiai vertina EDAPP įsipareigojimą išnagrinėti galimybes įdarbinti riboto judumo ar neįgalius stažuotojus;</w:t>
      </w:r>
    </w:p>
    <w:p w14:paraId="01919AA1" w14:textId="77777777" w:rsidR="003A0C96" w:rsidRPr="003A0C96" w:rsidRDefault="003A0C96" w:rsidP="003A0C96">
      <w:pPr>
        <w:spacing w:after="240"/>
        <w:rPr>
          <w:b/>
          <w:i/>
          <w:kern w:val="2"/>
          <w:szCs w:val="24"/>
          <w14:ligatures w14:val="standardContextual"/>
        </w:rPr>
      </w:pPr>
      <w:r w:rsidRPr="003A0C96">
        <w:rPr>
          <w:b/>
          <w:i/>
          <w:kern w:val="2"/>
          <w14:ligatures w14:val="standardContextual"/>
        </w:rPr>
        <w:t>Aplinka ir tvarumas</w:t>
      </w:r>
    </w:p>
    <w:p w14:paraId="49E5D15A"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50.</w:t>
      </w:r>
      <w:r w:rsidRPr="003A0C96">
        <w:rPr>
          <w:kern w:val="2"/>
          <w14:ligatures w14:val="standardContextual"/>
        </w:rPr>
        <w:tab/>
        <w:t>pažymi, kad EDAPP neprisijungė prie Aplinkosaugos vadybos ir audito sistemos (EMAS), tačiau įgyvendino keletą priemonių, kad sumažintų savo aplinkosauginį pėdsaką, pvz., automatiškai ir centralizuotai reguliuoja temperatūrą, automatiškai išjungia šviesą, kai kambaryje nėra judėjimo, perka ekologiškus produktus ir paslaugas ir automatizavo darbo srautus įdiegus ARES; remdamasis tolesnių veiksmų ataskaita pažymi, kad, remiantis Parlamento Infrastruktūros ir logistikos generalinio direktorato, atsakingo už EDAPP nuomojamo pastato valdymą, gauta informacija, tame pastate įrengtos saulės baterijų plokštės; prašo EDAPP informuoti biudžeto įvykdymą tvirtinančią instituciją apie tai, kokią procentinę dalį, palyginti su bendru EDAPP per metus suvartojamos energijos kiekiu, sudaro saulės energija pagaminta elektros energija; be to, ragina EDAPP informuoti biudžeto įvykdymą tvirtinančią instituciją apie visus naujus pokyčius, susijusius su EMAS sertifikavimo procesu;</w:t>
      </w:r>
    </w:p>
    <w:p w14:paraId="109D52C0"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51.</w:t>
      </w:r>
      <w:r w:rsidRPr="003A0C96">
        <w:rPr>
          <w:kern w:val="2"/>
          <w14:ligatures w14:val="standardContextual"/>
        </w:rPr>
        <w:tab/>
        <w:t>pažymi, kad 2023 m. EPDS neįvertino savo anglies dioksido išmetimo rodiklio; vis dėlto palankiai vertina tai, kad EDAPP toliau taiko priemones, kuriomis mažinamas anglies pėdsakas, mažinant kelionių į biurą skaičių naudojantis nuotolinio darbo galimybėmis, kompensuojant 50 % darbuotojų mėnesinių ir (arba) metinių abonementų už naudojimąsi viešuoju transportu, skatinant darbuotojus teikti pirmenybę vaizdo konferencijoms ir kelionėms traukiniu trumpais atstumais, valdant sąskaitų faktūrų ciklą elektroniniu būdu ir užtikrinant visiškai nepopierinę atrankos ir vertinimo procedūrą žmogiškųjų išteklių srityje;</w:t>
      </w:r>
    </w:p>
    <w:p w14:paraId="7E7C41A6"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52.</w:t>
      </w:r>
      <w:r w:rsidRPr="003A0C96">
        <w:rPr>
          <w:kern w:val="2"/>
          <w14:ligatures w14:val="standardContextual"/>
        </w:rPr>
        <w:tab/>
        <w:t>primygtinai ragina EDAPP patvirtinti EMAS, kad būtų sistemingai stebimas ir gerinamas jos aplinkosauginis pėdsakas, visų pirma energijos vartojimo, atliekų mažinimo ir tvarios biurų politikos srityse;</w:t>
      </w:r>
    </w:p>
    <w:p w14:paraId="7FEF7C74"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53.</w:t>
      </w:r>
      <w:r w:rsidRPr="003A0C96">
        <w:rPr>
          <w:kern w:val="2"/>
          <w14:ligatures w14:val="standardContextual"/>
        </w:rPr>
        <w:tab/>
        <w:t>pažymi, kad EDAPP visapusiškai sprendžia su tvarumu susijusią riziką (pvz., aplinkos, socialinę ir valdymo riziką), atlikdamas metinį rizikos vertinimą; atsižvelgdamas į tai, palankiai vertina tai, kad 2023 m. EDAPP patvirtino savo naują rizikos valdymo procesą, kuris turėtų padėti EDAPP nustatyti ir geriau analizuoti šią riziką ir atitinkamai geriau pritaikyti rizikos mažinimo veiksmus;</w:t>
      </w:r>
    </w:p>
    <w:p w14:paraId="218677C9" w14:textId="77777777" w:rsidR="003A0C96" w:rsidRPr="003A0C96" w:rsidRDefault="003A0C96" w:rsidP="00640DC1">
      <w:pPr>
        <w:spacing w:after="240"/>
        <w:rPr>
          <w:b/>
          <w:i/>
          <w:kern w:val="2"/>
          <w:szCs w:val="24"/>
          <w14:ligatures w14:val="standardContextual"/>
        </w:rPr>
      </w:pPr>
      <w:r w:rsidRPr="003A0C96">
        <w:rPr>
          <w:b/>
          <w:i/>
          <w:kern w:val="2"/>
          <w14:ligatures w14:val="standardContextual"/>
        </w:rPr>
        <w:t>Tarpinstitucinis bendradarbiavimas</w:t>
      </w:r>
    </w:p>
    <w:p w14:paraId="3EAE276C"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54.</w:t>
      </w:r>
      <w:r w:rsidRPr="003A0C96">
        <w:rPr>
          <w:kern w:val="2"/>
          <w14:ligatures w14:val="standardContextual"/>
        </w:rPr>
        <w:tab/>
        <w:t>palankiai vertina EDAPP sutaupytas biudžeto ir administracines lėšas vykdant tarpinstitucinį bendradarbiavimą, visų pirma sudarant susitarimus dėl paslaugų lygio su Parlamentu dėl jo patalpų nuomos ir IT sistemų taikomųjų programų naudojimo, aparatinės įrangos tiekimo ir techninės priežiūros, taip pat su Komisija dėl žmogiškųjų išteklių ir verslo administravimo procesų, taip pat dalyvaujant didelėse tarpinstitucinėse preliminariosiose sutartyse tokiose srityse kaip IT konsultavimas, laikinosios paslaugos ir raštinės reikmenys; be to, giria EDAPP už tai, kad jis palaiko struktūrinį bendradarbiavimą su Ombudsmenu, Pagrindinių teisių agentūra ir CERT-ES sudarant susitarimo memorandumus;</w:t>
      </w:r>
    </w:p>
    <w:p w14:paraId="3A2B2610"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55.</w:t>
      </w:r>
      <w:r w:rsidRPr="003A0C96">
        <w:rPr>
          <w:kern w:val="2"/>
          <w14:ligatures w14:val="standardContextual"/>
        </w:rPr>
        <w:tab/>
        <w:t xml:space="preserve">pažymi, kad EDAPP dalyvauja įvairių tarpinstitucinių organų posėdžiuose; </w:t>
      </w:r>
      <w:r w:rsidRPr="003A0C96">
        <w:rPr>
          <w:kern w:val="2"/>
          <w14:ligatures w14:val="standardContextual"/>
        </w:rPr>
        <w:lastRenderedPageBreak/>
        <w:t>atsižvelgdamas į tai, palankiai vertina EDAPP dalyvavimą administracijos vadovų ir Tarpinstitucinio internetinės komunikacijos komiteto, kuriam vadovauja Parlamento Komunikacijos generalinis direktoratas, posėdžiuose; pripažįsta, kad tarpinstitucinis bendradarbiavimas su EDAPP, atliekančiu priežiūros funkciją, yra labai svarbus tam, kad kitos Sąjungos institucijos pagerintų savo atitikties duomenų apsaugos teisinei sistemai lygį;</w:t>
      </w:r>
    </w:p>
    <w:p w14:paraId="246006C3" w14:textId="77777777" w:rsidR="003A0C96" w:rsidRPr="003A0C96" w:rsidRDefault="003A0C96" w:rsidP="003A0C96">
      <w:pPr>
        <w:spacing w:after="240"/>
        <w:ind w:left="567" w:hanging="567"/>
        <w:rPr>
          <w:kern w:val="2"/>
          <w14:ligatures w14:val="standardContextual"/>
        </w:rPr>
      </w:pPr>
      <w:r w:rsidRPr="003A0C96">
        <w:rPr>
          <w:kern w:val="2"/>
          <w14:ligatures w14:val="standardContextual"/>
        </w:rPr>
        <w:t>56.</w:t>
      </w:r>
      <w:r w:rsidRPr="003A0C96">
        <w:rPr>
          <w:kern w:val="2"/>
          <w14:ligatures w14:val="standardContextual"/>
        </w:rPr>
        <w:tab/>
        <w:t>ragina EDAPP, Audito Rūmus, OLAF ir Europos prokuratūrą glaudžiau bendradarbiauti siekiant parengti bendrus sukčiavimo, susijusio su skaitmeniniais duomenimis ir finansiniais sandoriais ES institucijose, nustatymo protokolus; pabrėžia, kad reikia atlikti bendrus dirbtinio intelekto sukčiavimo rizikos auditus;</w:t>
      </w:r>
    </w:p>
    <w:p w14:paraId="12F01D3E"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57.</w:t>
      </w:r>
      <w:r w:rsidRPr="003A0C96">
        <w:rPr>
          <w:kern w:val="2"/>
          <w14:ligatures w14:val="standardContextual"/>
        </w:rPr>
        <w:tab/>
        <w:t xml:space="preserve">palankiai vertina esminį EDAPP vaidmenį 2023 m. koordinuojant valstybių narių duomenų apsaugos institucijas, siekiant skatinti nuoseklią duomenų apsaugą visoje Sąjungoje; pažymi, kad EDAPP prisijungė prie 26 duomenų apsaugos institucijų vykdant koordinuotus vykdymo užtikrinimo veiksmus, susijusius su duomenų apsaugos pareigūnų vaidmeniu ir užduotimis, ir vertina jų atitiktį Reglamentui (ES) 2018/1725; atkreipia dėmesį į nuolatinį aktyvų EDAPP dalyvavimą Koordinuotos priežiūros komiteto veikloje laisvės, saugumo ir teisingumo srityje sprendžiant tokius klausimus kaip skundų prieš Europolą nagrinėjimas ir bendradarbiavimo procesų stiprinimas; be to, palankiai vertina visus kitus veiksmus, kurių imtasi siekiant pagerinti EDAPP ir duomenų apsaugos institucijų bendradarbiavimą, pvz., bendrą Europolo patikrinimą nacionalinėse valdžios institucijose (Lenkija ir Lietuva) ir dalyvavimą koordinuotuose priežiūros veiksmuose, susijusiuose su nepilnamečių duomenų tvarkymu Europolo sistemose, dalyvavimą operatyviniame vizite į Europos deleguotąją prokuratūrą Lisabonoje pagal darbo susitarimą su Portugalijos duomenų apsaugos institucija ir patikrinimų vietoje koordinavimą </w:t>
      </w:r>
      <w:proofErr w:type="spellStart"/>
      <w:r w:rsidRPr="003A0C96">
        <w:rPr>
          <w:kern w:val="2"/>
          <w14:ligatures w14:val="standardContextual"/>
        </w:rPr>
        <w:t>Lesbe</w:t>
      </w:r>
      <w:proofErr w:type="spellEnd"/>
      <w:r w:rsidRPr="003A0C96">
        <w:rPr>
          <w:kern w:val="2"/>
          <w14:ligatures w14:val="standardContextual"/>
        </w:rPr>
        <w:t xml:space="preserve"> su Graikijos duomenų apsaugos institucija siekiant patikrinti duomenų rinkimo praktiką vykdant bendras FRONTEX operacijas; pripažįsta, kad šie tarpinstituciniai įsipareigojimai padeda EDAPP prisitaikyti prie Sąjungos institucijų geriausios praktikos ir gauti naudos iš keitimosi informacija su panašiais padaliniais;</w:t>
      </w:r>
    </w:p>
    <w:p w14:paraId="209E820E" w14:textId="77777777" w:rsidR="003A0C96" w:rsidRPr="003A0C96" w:rsidRDefault="003A0C96" w:rsidP="00AB5C62">
      <w:pPr>
        <w:spacing w:after="240"/>
        <w:rPr>
          <w:b/>
          <w:i/>
          <w:kern w:val="2"/>
          <w:szCs w:val="24"/>
          <w14:ligatures w14:val="standardContextual"/>
        </w:rPr>
      </w:pPr>
      <w:r w:rsidRPr="003A0C96">
        <w:rPr>
          <w:b/>
          <w:i/>
          <w:kern w:val="2"/>
          <w14:ligatures w14:val="standardContextual"/>
        </w:rPr>
        <w:t>Komunikacija</w:t>
      </w:r>
    </w:p>
    <w:p w14:paraId="7BF02534"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58.</w:t>
      </w:r>
      <w:r w:rsidRPr="003A0C96">
        <w:rPr>
          <w:kern w:val="2"/>
          <w14:ligatures w14:val="standardContextual"/>
        </w:rPr>
        <w:tab/>
        <w:t>pažymi, kad 2023 m. viešosios komunikacijos ir reklaminės veiklos biudžetas siekė 468 000 EUR, t. y. 54 % daugiau nei 2022 m.;</w:t>
      </w:r>
    </w:p>
    <w:p w14:paraId="46D03F17"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59.</w:t>
      </w:r>
      <w:r w:rsidRPr="003A0C96">
        <w:rPr>
          <w:kern w:val="2"/>
          <w14:ligatures w14:val="standardContextual"/>
        </w:rPr>
        <w:tab/>
        <w:t>su pasitenkinimu pažymi, kad 2023 m. EDAPP internetu ir asmeniškai surengė keletą komunikacijos renginių, kuriais siekiama didinti plačiosios visuomenės informuotumą apie EDAPP vaidmenį ir misiją ir apie tai, kaip svarbu laikytis Sąjungos duomenų apsaugos taisyklių, pvz., Duomenų apsaugos dieną, EDAPP stažuotojų konferenciją (du kartus per metus), EDAPP seminarą pagrindinių teisių į privatumą ir duomenų apsaugą esmės tema ir kitus tarptautinius renginius;</w:t>
      </w:r>
    </w:p>
    <w:p w14:paraId="3E11314B" w14:textId="77777777" w:rsidR="003A0C96" w:rsidRPr="003A0C96" w:rsidRDefault="003A0C96" w:rsidP="003A0C96">
      <w:pPr>
        <w:spacing w:after="240"/>
        <w:ind w:left="567" w:hanging="567"/>
        <w:rPr>
          <w:kern w:val="2"/>
          <w:szCs w:val="24"/>
          <w14:ligatures w14:val="standardContextual"/>
        </w:rPr>
      </w:pPr>
      <w:r w:rsidRPr="003A0C96">
        <w:rPr>
          <w:kern w:val="2"/>
          <w14:ligatures w14:val="standardContextual"/>
        </w:rPr>
        <w:t>60.</w:t>
      </w:r>
      <w:r w:rsidRPr="003A0C96">
        <w:rPr>
          <w:kern w:val="2"/>
          <w14:ligatures w14:val="standardContextual"/>
        </w:rPr>
        <w:tab/>
        <w:t>pažymi, kad EDAPP skelbia informaciją internetu per savo interneto svetainę ir savo socialinių tinklų paskyras „X“ (buvęs „Twitter“) (29 400 sekėjų), „</w:t>
      </w:r>
      <w:proofErr w:type="spellStart"/>
      <w:r w:rsidRPr="003A0C96">
        <w:rPr>
          <w:kern w:val="2"/>
          <w14:ligatures w14:val="standardContextual"/>
        </w:rPr>
        <w:t>LinkedIn</w:t>
      </w:r>
      <w:proofErr w:type="spellEnd"/>
      <w:r w:rsidRPr="003A0C96">
        <w:rPr>
          <w:kern w:val="2"/>
          <w14:ligatures w14:val="standardContextual"/>
        </w:rPr>
        <w:t>“ (71 000 sekėjų), „YouTube“ (2 900 sekėjų), „EU-</w:t>
      </w:r>
      <w:proofErr w:type="spellStart"/>
      <w:r w:rsidRPr="003A0C96">
        <w:rPr>
          <w:kern w:val="2"/>
          <w14:ligatures w14:val="standardContextual"/>
        </w:rPr>
        <w:t>Voice</w:t>
      </w:r>
      <w:proofErr w:type="spellEnd"/>
      <w:r w:rsidRPr="003A0C96">
        <w:rPr>
          <w:kern w:val="2"/>
          <w14:ligatures w14:val="standardContextual"/>
        </w:rPr>
        <w:t>“ (5 900 sekėjų) ir „EU-</w:t>
      </w:r>
      <w:proofErr w:type="spellStart"/>
      <w:r w:rsidRPr="003A0C96">
        <w:rPr>
          <w:kern w:val="2"/>
          <w14:ligatures w14:val="standardContextual"/>
        </w:rPr>
        <w:t>Video</w:t>
      </w:r>
      <w:proofErr w:type="spellEnd"/>
      <w:r w:rsidRPr="003A0C96">
        <w:rPr>
          <w:kern w:val="2"/>
          <w14:ligatures w14:val="standardContextual"/>
        </w:rPr>
        <w:t>“ (750 sekėjų);</w:t>
      </w:r>
    </w:p>
    <w:p w14:paraId="28BB2CD2" w14:textId="76282680" w:rsidR="00E365E1" w:rsidRPr="003A0C96" w:rsidRDefault="003A0C96" w:rsidP="003A0C96">
      <w:pPr>
        <w:spacing w:after="240"/>
        <w:ind w:left="567" w:hanging="567"/>
        <w:rPr>
          <w:kern w:val="2"/>
          <w14:ligatures w14:val="standardContextual"/>
        </w:rPr>
      </w:pPr>
      <w:r w:rsidRPr="003A0C96">
        <w:rPr>
          <w:kern w:val="2"/>
          <w14:ligatures w14:val="standardContextual"/>
        </w:rPr>
        <w:t>61.</w:t>
      </w:r>
      <w:r w:rsidRPr="003A0C96">
        <w:rPr>
          <w:kern w:val="2"/>
          <w14:ligatures w14:val="standardContextual"/>
        </w:rPr>
        <w:tab/>
        <w:t xml:space="preserve">pažymi, kad 2023 m. buvo tęsiamas platformų „ES </w:t>
      </w:r>
      <w:proofErr w:type="spellStart"/>
      <w:r w:rsidRPr="003A0C96">
        <w:rPr>
          <w:kern w:val="2"/>
          <w14:ligatures w14:val="standardContextual"/>
        </w:rPr>
        <w:t>Voice</w:t>
      </w:r>
      <w:proofErr w:type="spellEnd"/>
      <w:r w:rsidRPr="003A0C96">
        <w:rPr>
          <w:kern w:val="2"/>
          <w14:ligatures w14:val="standardContextual"/>
        </w:rPr>
        <w:t xml:space="preserve">“ ir „ES </w:t>
      </w:r>
      <w:proofErr w:type="spellStart"/>
      <w:r w:rsidRPr="003A0C96">
        <w:rPr>
          <w:kern w:val="2"/>
          <w14:ligatures w14:val="standardContextual"/>
        </w:rPr>
        <w:t>Video</w:t>
      </w:r>
      <w:proofErr w:type="spellEnd"/>
      <w:r w:rsidRPr="003A0C96">
        <w:rPr>
          <w:kern w:val="2"/>
          <w14:ligatures w14:val="standardContextual"/>
        </w:rPr>
        <w:t xml:space="preserve">“ (laisvų ir atvirojo kodo socialinės žiniasklaidos tinklų, orientuotų į privatumą ir grindžiamų </w:t>
      </w:r>
      <w:r w:rsidRPr="003A0C96">
        <w:rPr>
          <w:kern w:val="2"/>
          <w14:ligatures w14:val="standardContextual"/>
        </w:rPr>
        <w:lastRenderedPageBreak/>
        <w:t>programine įranga „</w:t>
      </w:r>
      <w:proofErr w:type="spellStart"/>
      <w:r w:rsidRPr="003A0C96">
        <w:rPr>
          <w:kern w:val="2"/>
          <w14:ligatures w14:val="standardContextual"/>
        </w:rPr>
        <w:t>Mastodon</w:t>
      </w:r>
      <w:proofErr w:type="spellEnd"/>
      <w:r w:rsidRPr="003A0C96">
        <w:rPr>
          <w:kern w:val="2"/>
          <w14:ligatures w14:val="standardContextual"/>
        </w:rPr>
        <w:t>“ ir „</w:t>
      </w:r>
      <w:proofErr w:type="spellStart"/>
      <w:r w:rsidRPr="003A0C96">
        <w:rPr>
          <w:kern w:val="2"/>
          <w14:ligatures w14:val="standardContextual"/>
        </w:rPr>
        <w:t>PeerTube</w:t>
      </w:r>
      <w:proofErr w:type="spellEnd"/>
      <w:r w:rsidRPr="003A0C96">
        <w:rPr>
          <w:kern w:val="2"/>
          <w14:ligatures w14:val="standardContextual"/>
        </w:rPr>
        <w:t>“) bandomasis projektas; atsižvelgdamas į tai, palankiai vertina EDAPP indėlį į Sąjungos duomenų ir skaitmeninio suverenumo strategiją, siekiant skatinti Sąjungos nepriklausomumą skaitmeniniame pasaulyje ir duomenų apsaugos teisinės sistemos laikymąsi.</w:t>
      </w:r>
    </w:p>
    <w:sectPr w:rsidR="00E365E1" w:rsidRPr="003A0C96" w:rsidSect="008F4D44">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1C433" w14:textId="77777777" w:rsidR="00E35E92" w:rsidRPr="008F4D44" w:rsidRDefault="00E35E92">
      <w:r w:rsidRPr="008F4D44">
        <w:separator/>
      </w:r>
    </w:p>
  </w:endnote>
  <w:endnote w:type="continuationSeparator" w:id="0">
    <w:p w14:paraId="730E1467" w14:textId="77777777" w:rsidR="00E35E92" w:rsidRPr="008F4D44" w:rsidRDefault="00E35E92">
      <w:r w:rsidRPr="008F4D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DF6EA" w14:textId="77777777" w:rsidR="00064002" w:rsidRPr="008F4D4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4A0B3" w14:textId="77777777" w:rsidR="00064002" w:rsidRPr="008F4D4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30A95" w14:textId="77777777" w:rsidR="00064002" w:rsidRPr="008F4D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60D73" w14:textId="77777777" w:rsidR="00E35E92" w:rsidRPr="008F4D44" w:rsidRDefault="00E35E92">
      <w:r w:rsidRPr="008F4D44">
        <w:separator/>
      </w:r>
    </w:p>
  </w:footnote>
  <w:footnote w:type="continuationSeparator" w:id="0">
    <w:p w14:paraId="067628A9" w14:textId="77777777" w:rsidR="00E35E92" w:rsidRPr="008F4D44" w:rsidRDefault="00E35E92">
      <w:r w:rsidRPr="008F4D44">
        <w:continuationSeparator/>
      </w:r>
    </w:p>
  </w:footnote>
  <w:footnote w:id="1">
    <w:p w14:paraId="2ED8E293" w14:textId="77777777" w:rsidR="003A0C96" w:rsidRPr="00784E55" w:rsidRDefault="003A0C96" w:rsidP="003A0C96">
      <w:pPr>
        <w:ind w:left="567" w:hanging="567"/>
        <w:rPr>
          <w:lang w:val="fi-FI"/>
        </w:rPr>
      </w:pPr>
      <w:r w:rsidRPr="000E72F2">
        <w:rPr>
          <w:rStyle w:val="FootnoteReference"/>
        </w:rPr>
        <w:footnoteRef/>
      </w:r>
      <w:r w:rsidRPr="00784E55">
        <w:rPr>
          <w:lang w:val="fi-FI"/>
        </w:rPr>
        <w:t xml:space="preserve"> </w:t>
      </w:r>
      <w:r w:rsidRPr="00784E55">
        <w:rPr>
          <w:lang w:val="fi-FI"/>
        </w:rPr>
        <w:tab/>
        <w:t xml:space="preserve">OL L 58, 2023 2 23, p. 1, ELI: </w:t>
      </w:r>
      <w:hyperlink r:id="rId1" w:tooltip="Prieiga prie šio dokumento per jo ELI nuorodą." w:history="1">
        <w:r w:rsidRPr="00784E55">
          <w:rPr>
            <w:rStyle w:val="Hyperlink"/>
            <w:color w:val="337AB7"/>
            <w:shd w:val="clear" w:color="auto" w:fill="FFFFFF"/>
            <w:lang w:val="fi-FI"/>
          </w:rPr>
          <w:t>http://data.europa.eu/eli/budget/2023/1/oj</w:t>
        </w:r>
      </w:hyperlink>
      <w:r w:rsidRPr="00784E55">
        <w:rPr>
          <w:shd w:val="clear" w:color="auto" w:fill="FFFFFF"/>
          <w:lang w:val="fi-FI"/>
        </w:rPr>
        <w:t>.</w:t>
      </w:r>
    </w:p>
  </w:footnote>
  <w:footnote w:id="2">
    <w:p w14:paraId="5178DC55" w14:textId="77777777" w:rsidR="003A0C96" w:rsidRPr="000E72F2" w:rsidRDefault="003A0C96" w:rsidP="003A0C96">
      <w:pPr>
        <w:pStyle w:val="FootnoteText"/>
        <w:ind w:left="567" w:hanging="567"/>
        <w:rPr>
          <w:sz w:val="24"/>
          <w:szCs w:val="24"/>
          <w:lang w:val="lt-LT"/>
        </w:rPr>
      </w:pPr>
      <w:r w:rsidRPr="000E72F2">
        <w:rPr>
          <w:rStyle w:val="FootnoteReference"/>
          <w:sz w:val="24"/>
          <w:szCs w:val="24"/>
          <w:lang w:val="lt-LT"/>
        </w:rPr>
        <w:footnoteRef/>
      </w:r>
      <w:r w:rsidRPr="000E72F2">
        <w:rPr>
          <w:sz w:val="24"/>
          <w:szCs w:val="24"/>
          <w:lang w:val="lt-LT"/>
        </w:rPr>
        <w:t xml:space="preserve"> </w:t>
      </w:r>
      <w:r w:rsidRPr="008A67D7">
        <w:rPr>
          <w:sz w:val="24"/>
          <w:szCs w:val="24"/>
          <w:lang w:val="lt-LT"/>
        </w:rPr>
        <w:tab/>
      </w:r>
      <w:r w:rsidRPr="008A67D7">
        <w:rPr>
          <w:sz w:val="24"/>
          <w:szCs w:val="24"/>
          <w:lang w:val="lt-LT"/>
        </w:rPr>
        <w:t xml:space="preserve">OL C, C/2024/5462, 2024 10 10, ELI: </w:t>
      </w:r>
      <w:hyperlink r:id="rId2" w:history="1">
        <w:r w:rsidRPr="003A0C96">
          <w:rPr>
            <w:rStyle w:val="Hyperlink"/>
            <w:lang w:val="fi-FI"/>
          </w:rPr>
          <w:t>http://data.europa.eu/eli/C/2024/5462/oj</w:t>
        </w:r>
      </w:hyperlink>
      <w:r w:rsidRPr="008A67D7">
        <w:rPr>
          <w:sz w:val="24"/>
          <w:szCs w:val="24"/>
          <w:shd w:val="clear" w:color="auto" w:fill="FFFFFF"/>
          <w:lang w:val="lt-LT"/>
        </w:rPr>
        <w:t>.</w:t>
      </w:r>
    </w:p>
  </w:footnote>
  <w:footnote w:id="3">
    <w:p w14:paraId="24A9908B" w14:textId="77777777" w:rsidR="003A0C96" w:rsidRPr="000E72F2" w:rsidRDefault="003A0C96" w:rsidP="003A0C96">
      <w:pPr>
        <w:pStyle w:val="FootnoteText"/>
        <w:ind w:left="567" w:hanging="567"/>
        <w:rPr>
          <w:sz w:val="24"/>
          <w:szCs w:val="24"/>
          <w:lang w:val="lt-LT"/>
        </w:rPr>
      </w:pPr>
      <w:r w:rsidRPr="000E72F2">
        <w:rPr>
          <w:rStyle w:val="FootnoteReference"/>
          <w:sz w:val="24"/>
          <w:szCs w:val="24"/>
          <w:lang w:val="lt-LT"/>
        </w:rPr>
        <w:footnoteRef/>
      </w:r>
      <w:r w:rsidRPr="000E72F2">
        <w:rPr>
          <w:sz w:val="24"/>
          <w:szCs w:val="24"/>
          <w:lang w:val="lt-LT"/>
        </w:rPr>
        <w:t xml:space="preserve"> </w:t>
      </w:r>
      <w:r w:rsidRPr="008A67D7">
        <w:rPr>
          <w:sz w:val="24"/>
          <w:szCs w:val="24"/>
          <w:lang w:val="lt-LT"/>
        </w:rPr>
        <w:tab/>
      </w:r>
      <w:r w:rsidRPr="008A67D7">
        <w:rPr>
          <w:sz w:val="24"/>
          <w:szCs w:val="24"/>
          <w:lang w:val="lt-LT"/>
        </w:rPr>
        <w:t xml:space="preserve">OL C, C/2024/5882, 2024 10 9, ELI: </w:t>
      </w:r>
      <w:hyperlink r:id="rId3" w:history="1">
        <w:r w:rsidRPr="003A0C96">
          <w:rPr>
            <w:rStyle w:val="Hyperlink"/>
            <w:lang w:val="fi-FI"/>
          </w:rPr>
          <w:t>http://data.europa.eu/eli/C/2024/5882/oj</w:t>
        </w:r>
      </w:hyperlink>
      <w:r w:rsidRPr="008A67D7">
        <w:rPr>
          <w:sz w:val="24"/>
          <w:szCs w:val="24"/>
          <w:shd w:val="clear" w:color="auto" w:fill="FFFFFF"/>
          <w:lang w:val="lt-LT"/>
        </w:rPr>
        <w:t>.</w:t>
      </w:r>
    </w:p>
  </w:footnote>
  <w:footnote w:id="4">
    <w:p w14:paraId="181AF69F" w14:textId="77777777" w:rsidR="003A0C96" w:rsidRPr="000E72F2" w:rsidRDefault="003A0C96" w:rsidP="003A0C96">
      <w:pPr>
        <w:pStyle w:val="FootnoteText"/>
        <w:ind w:left="567" w:hanging="567"/>
        <w:rPr>
          <w:sz w:val="24"/>
          <w:szCs w:val="24"/>
          <w:lang w:val="lt-LT"/>
        </w:rPr>
      </w:pPr>
      <w:r w:rsidRPr="000E72F2">
        <w:rPr>
          <w:rStyle w:val="FootnoteReference"/>
          <w:sz w:val="24"/>
          <w:szCs w:val="24"/>
          <w:lang w:val="lt-LT"/>
        </w:rPr>
        <w:footnoteRef/>
      </w:r>
      <w:r w:rsidRPr="000E72F2">
        <w:rPr>
          <w:sz w:val="24"/>
          <w:szCs w:val="24"/>
          <w:lang w:val="lt-LT"/>
        </w:rPr>
        <w:t xml:space="preserve"> </w:t>
      </w:r>
      <w:r w:rsidRPr="008A67D7">
        <w:rPr>
          <w:sz w:val="24"/>
          <w:szCs w:val="24"/>
          <w:lang w:val="lt-LT"/>
        </w:rPr>
        <w:tab/>
      </w:r>
      <w:r w:rsidRPr="008A67D7">
        <w:rPr>
          <w:sz w:val="24"/>
          <w:szCs w:val="24"/>
          <w:lang w:val="lt-LT"/>
        </w:rPr>
        <w:t xml:space="preserve">OL C, C/2024/6041, 2024 10 10, ELI: </w:t>
      </w:r>
      <w:hyperlink r:id="rId4" w:history="1">
        <w:r w:rsidRPr="003A0C96">
          <w:rPr>
            <w:rStyle w:val="Hyperlink"/>
            <w:lang w:val="fi-FI"/>
          </w:rPr>
          <w:t>http://data.europa.eu/eli/C/2024/6041/oj</w:t>
        </w:r>
      </w:hyperlink>
      <w:r w:rsidRPr="008A67D7">
        <w:rPr>
          <w:sz w:val="24"/>
          <w:szCs w:val="24"/>
          <w:shd w:val="clear" w:color="auto" w:fill="FFFFFF"/>
          <w:lang w:val="lt-LT"/>
        </w:rPr>
        <w:t>.</w:t>
      </w:r>
    </w:p>
  </w:footnote>
  <w:footnote w:id="5">
    <w:p w14:paraId="5D73E83C" w14:textId="77777777" w:rsidR="003A0C96" w:rsidRPr="000E72F2" w:rsidRDefault="003A0C96" w:rsidP="003A0C96">
      <w:pPr>
        <w:pStyle w:val="FootnoteText"/>
        <w:ind w:left="567" w:hanging="567"/>
        <w:rPr>
          <w:sz w:val="24"/>
          <w:szCs w:val="24"/>
          <w:lang w:val="lt-LT"/>
        </w:rPr>
      </w:pPr>
      <w:r w:rsidRPr="000E72F2">
        <w:rPr>
          <w:rStyle w:val="FootnoteReference"/>
          <w:sz w:val="24"/>
          <w:szCs w:val="24"/>
          <w:lang w:val="lt-LT"/>
        </w:rPr>
        <w:footnoteRef/>
      </w:r>
      <w:r w:rsidRPr="000E72F2">
        <w:rPr>
          <w:sz w:val="24"/>
          <w:szCs w:val="24"/>
          <w:lang w:val="lt-LT"/>
        </w:rPr>
        <w:t xml:space="preserve"> </w:t>
      </w:r>
      <w:r w:rsidRPr="008A67D7">
        <w:rPr>
          <w:sz w:val="24"/>
          <w:szCs w:val="24"/>
          <w:lang w:val="lt-LT"/>
        </w:rPr>
        <w:tab/>
        <w:t>OL L 193, 2018 7 30, p. </w:t>
      </w:r>
      <w:r w:rsidRPr="008A67D7">
        <w:rPr>
          <w:sz w:val="24"/>
          <w:szCs w:val="24"/>
          <w:lang w:val="lt-LT"/>
        </w:rPr>
        <w:t xml:space="preserve">1, ELI: </w:t>
      </w:r>
      <w:hyperlink r:id="rId5" w:history="1">
        <w:r w:rsidRPr="003A0C96">
          <w:rPr>
            <w:rStyle w:val="Hyperlink"/>
            <w:lang w:val="fi-FI"/>
          </w:rPr>
          <w:t>http://data.europa.eu/eli/reg/2018/1046/oj</w:t>
        </w:r>
      </w:hyperlink>
      <w:r w:rsidRPr="008A67D7">
        <w:rPr>
          <w:sz w:val="24"/>
          <w:szCs w:val="24"/>
          <w:lang w:val="lt-LT"/>
        </w:rPr>
        <w:t>.</w:t>
      </w:r>
    </w:p>
  </w:footnote>
  <w:footnote w:id="6">
    <w:p w14:paraId="42A121A9" w14:textId="77777777" w:rsidR="003A0C96" w:rsidRPr="000E72F2" w:rsidRDefault="003A0C96" w:rsidP="003A0C96">
      <w:pPr>
        <w:pStyle w:val="FootnoteText"/>
        <w:ind w:left="567" w:hanging="567"/>
        <w:rPr>
          <w:sz w:val="24"/>
          <w:szCs w:val="24"/>
          <w:lang w:val="lt-LT"/>
        </w:rPr>
      </w:pPr>
      <w:r w:rsidRPr="000E72F2">
        <w:rPr>
          <w:rStyle w:val="FootnoteReference"/>
          <w:sz w:val="24"/>
          <w:szCs w:val="24"/>
          <w:lang w:val="lt-LT"/>
        </w:rPr>
        <w:footnoteRef/>
      </w:r>
      <w:r w:rsidRPr="000E72F2">
        <w:rPr>
          <w:sz w:val="24"/>
          <w:szCs w:val="24"/>
          <w:lang w:val="lt-LT"/>
        </w:rPr>
        <w:t xml:space="preserve"> </w:t>
      </w:r>
      <w:r w:rsidRPr="008A67D7">
        <w:rPr>
          <w:sz w:val="24"/>
          <w:szCs w:val="24"/>
          <w:lang w:val="lt-LT"/>
        </w:rPr>
        <w:tab/>
      </w:r>
      <w:r w:rsidRPr="008A67D7">
        <w:rPr>
          <w:sz w:val="24"/>
          <w:szCs w:val="24"/>
          <w:lang w:val="lt-LT"/>
        </w:rPr>
        <w:t xml:space="preserve">OL L, 2024/2509, 2024 9 26, ELI: </w:t>
      </w:r>
      <w:hyperlink r:id="rId6" w:history="1">
        <w:r w:rsidRPr="003A0C96">
          <w:rPr>
            <w:rStyle w:val="Hyperlink"/>
            <w:lang w:val="fi-FI"/>
          </w:rPr>
          <w:t>https://data.europa.eu/eli/reg/2024/2509/oj</w:t>
        </w:r>
      </w:hyperlink>
      <w:r w:rsidRPr="008A67D7">
        <w:rPr>
          <w:sz w:val="24"/>
          <w:szCs w:val="24"/>
          <w:shd w:val="clear" w:color="auto" w:fill="FFFFFF"/>
          <w:lang w:val="lt-LT"/>
        </w:rPr>
        <w:t>.</w:t>
      </w:r>
    </w:p>
  </w:footnote>
  <w:footnote w:id="7">
    <w:p w14:paraId="3A951E65" w14:textId="77777777" w:rsidR="003A0C96" w:rsidRPr="000E72F2" w:rsidRDefault="003A0C96" w:rsidP="003A0C96">
      <w:pPr>
        <w:pStyle w:val="FootnoteText"/>
        <w:ind w:left="567" w:hanging="567"/>
        <w:rPr>
          <w:sz w:val="24"/>
          <w:szCs w:val="24"/>
          <w:lang w:val="lt-LT"/>
        </w:rPr>
      </w:pPr>
      <w:r w:rsidRPr="000E72F2">
        <w:rPr>
          <w:rStyle w:val="FootnoteReference"/>
          <w:sz w:val="24"/>
          <w:szCs w:val="24"/>
          <w:lang w:val="lt-LT"/>
        </w:rPr>
        <w:footnoteRef/>
      </w:r>
      <w:r w:rsidRPr="000E72F2">
        <w:rPr>
          <w:sz w:val="24"/>
          <w:szCs w:val="24"/>
          <w:lang w:val="lt-LT"/>
        </w:rPr>
        <w:t xml:space="preserve"> </w:t>
      </w:r>
      <w:r w:rsidRPr="008A67D7">
        <w:rPr>
          <w:sz w:val="24"/>
          <w:szCs w:val="24"/>
          <w:lang w:val="lt-LT"/>
        </w:rPr>
        <w:tab/>
        <w:t>OL L 295, 2018 11 21, p. </w:t>
      </w:r>
      <w:r w:rsidRPr="008A67D7">
        <w:rPr>
          <w:sz w:val="24"/>
          <w:szCs w:val="24"/>
          <w:lang w:val="lt-LT"/>
        </w:rPr>
        <w:t xml:space="preserve">39, ELI: </w:t>
      </w:r>
      <w:hyperlink r:id="rId7" w:history="1">
        <w:r w:rsidRPr="003A0C96">
          <w:rPr>
            <w:rStyle w:val="Hyperlink"/>
            <w:lang w:val="fi-FI"/>
          </w:rPr>
          <w:t>http://data.europa.eu/eli/reg/2018/1725/oj</w:t>
        </w:r>
      </w:hyperlink>
      <w:r w:rsidRPr="008A67D7">
        <w:rPr>
          <w:sz w:val="24"/>
          <w:szCs w:val="24"/>
          <w:lang w:val="lt-LT"/>
        </w:rPr>
        <w:t>.</w:t>
      </w:r>
    </w:p>
  </w:footnote>
  <w:footnote w:id="8">
    <w:p w14:paraId="05BBE5E8" w14:textId="26D2048A" w:rsidR="003A0C96" w:rsidRPr="00784E55" w:rsidRDefault="003A0C96" w:rsidP="0097489F">
      <w:pPr>
        <w:pStyle w:val="FootnoteText"/>
        <w:ind w:left="567" w:hanging="567"/>
        <w:rPr>
          <w:sz w:val="24"/>
          <w:lang w:val="lt-LT"/>
        </w:rPr>
      </w:pPr>
      <w:r w:rsidRPr="002D5A6B">
        <w:rPr>
          <w:rStyle w:val="FootnoteReference"/>
          <w:sz w:val="24"/>
        </w:rPr>
        <w:footnoteRef/>
      </w:r>
      <w:r w:rsidR="0097489F">
        <w:rPr>
          <w:sz w:val="24"/>
          <w:lang w:val="lt-LT"/>
        </w:rPr>
        <w:tab/>
      </w:r>
      <w:r w:rsidRPr="00784E55">
        <w:rPr>
          <w:sz w:val="24"/>
          <w:lang w:val="lt-LT"/>
        </w:rPr>
        <w:t xml:space="preserve">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 ELI: </w:t>
      </w:r>
      <w:hyperlink r:id="rId8" w:history="1">
        <w:r w:rsidRPr="00784E55">
          <w:rPr>
            <w:rStyle w:val="Hyperlink"/>
            <w:lang w:val="lt-LT"/>
          </w:rPr>
          <w:t>http://data.europa.eu/eli/reg/2018/1725/oj</w:t>
        </w:r>
      </w:hyperlink>
      <w:r w:rsidRPr="00784E55">
        <w:rPr>
          <w:sz w:val="24"/>
          <w:lang w:val="lt-LT"/>
        </w:rPr>
        <w:t xml:space="preserve">). </w:t>
      </w:r>
    </w:p>
  </w:footnote>
  <w:footnote w:id="9">
    <w:p w14:paraId="146FA743" w14:textId="77777777" w:rsidR="003A0C96" w:rsidRPr="002D5A6B" w:rsidRDefault="003A0C96" w:rsidP="003A0C96">
      <w:pPr>
        <w:pStyle w:val="FootnoteText"/>
        <w:ind w:left="567" w:hanging="567"/>
        <w:rPr>
          <w:sz w:val="24"/>
          <w:szCs w:val="24"/>
          <w:lang w:val="lt-LT"/>
        </w:rPr>
      </w:pPr>
      <w:r w:rsidRPr="002D5A6B">
        <w:rPr>
          <w:rStyle w:val="FootnoteReference"/>
          <w:sz w:val="24"/>
          <w:szCs w:val="24"/>
          <w:lang w:val="lt-LT"/>
        </w:rPr>
        <w:footnoteRef/>
      </w:r>
      <w:r w:rsidRPr="008A67D7">
        <w:rPr>
          <w:sz w:val="24"/>
          <w:szCs w:val="24"/>
          <w:lang w:val="lt-LT"/>
        </w:rPr>
        <w:tab/>
        <w:t xml:space="preserve">2023 m. rugsėjo 6 d. Bendrojo Teismo nutartis </w:t>
      </w:r>
      <w:r w:rsidRPr="008A67D7">
        <w:rPr>
          <w:i/>
          <w:sz w:val="24"/>
          <w:szCs w:val="24"/>
          <w:lang w:val="lt-LT"/>
        </w:rPr>
        <w:t>EDAPP / Parlamentas ir Taryba</w:t>
      </w:r>
      <w:r w:rsidRPr="008A67D7">
        <w:rPr>
          <w:sz w:val="24"/>
          <w:szCs w:val="24"/>
          <w:lang w:val="lt-LT"/>
        </w:rPr>
        <w:t>, T-578/22, ECLI:EU:T:2023:522.</w:t>
      </w:r>
    </w:p>
  </w:footnote>
  <w:footnote w:id="10">
    <w:p w14:paraId="1A706EBD" w14:textId="77777777" w:rsidR="003A0C96" w:rsidRPr="002D5A6B" w:rsidRDefault="003A0C96" w:rsidP="003A0C96">
      <w:pPr>
        <w:pStyle w:val="FootnoteText"/>
        <w:ind w:left="567" w:hanging="567"/>
        <w:rPr>
          <w:sz w:val="24"/>
          <w:szCs w:val="24"/>
          <w:lang w:val="lt-LT"/>
        </w:rPr>
      </w:pPr>
      <w:r w:rsidRPr="002D5A6B">
        <w:rPr>
          <w:rStyle w:val="FootnoteReference"/>
          <w:sz w:val="24"/>
          <w:szCs w:val="24"/>
        </w:rPr>
        <w:footnoteRef/>
      </w:r>
      <w:r w:rsidRPr="008A67D7">
        <w:rPr>
          <w:sz w:val="24"/>
          <w:szCs w:val="24"/>
          <w:lang w:val="lt-LT"/>
        </w:rPr>
        <w:tab/>
      </w:r>
      <w:r w:rsidRPr="008A67D7">
        <w:rPr>
          <w:bCs/>
          <w:sz w:val="24"/>
          <w:szCs w:val="24"/>
          <w:lang w:val="lt-LT"/>
        </w:rPr>
        <w:t xml:space="preserve">2023 m. gruodžio 13 d. </w:t>
      </w:r>
      <w:r w:rsidRPr="008A67D7">
        <w:rPr>
          <w:bCs/>
          <w:sz w:val="24"/>
          <w:szCs w:val="24"/>
          <w:lang w:val="lt-LT"/>
        </w:rPr>
        <w:t>Europos Parlamento ir Tarybos reglamentas (ES, Euratomas) 2023/2841, kuriuo nustatomos priemonės aukštam bendram kibernetinio saugumo lygiui Sąjungos institucijose, įstaigose, organuose ir agentūrose užtikrinti (</w:t>
      </w:r>
      <w:r w:rsidRPr="008A67D7">
        <w:rPr>
          <w:iCs/>
          <w:sz w:val="24"/>
          <w:szCs w:val="24"/>
          <w:lang w:val="lt-LT"/>
        </w:rPr>
        <w:t xml:space="preserve">OL L, 2023/2841, 2023 12 18, ELI: </w:t>
      </w:r>
      <w:hyperlink r:id="rId9" w:tgtFrame="_blank" w:tooltip="Permet d'accéder à ce document par l’intermédiaire de son URI ELI." w:history="1">
        <w:r w:rsidRPr="003A0C96">
          <w:rPr>
            <w:rStyle w:val="Hyperlink"/>
            <w:iCs/>
            <w:szCs w:val="24"/>
            <w:lang w:val="lt-LT"/>
          </w:rPr>
          <w:t>http://data.europa.eu/eli/reg/2023/2841/oj</w:t>
        </w:r>
      </w:hyperlink>
      <w:r w:rsidRPr="008A67D7">
        <w:rPr>
          <w:iCs/>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CB02C" w14:textId="77777777" w:rsidR="00064002" w:rsidRPr="008F4D4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29877" w14:textId="77777777" w:rsidR="00064002" w:rsidRPr="008F4D4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2BC55" w14:textId="77777777" w:rsidR="00064002" w:rsidRPr="008F4D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2133768">
    <w:abstractNumId w:val="9"/>
  </w:num>
  <w:num w:numId="2" w16cid:durableId="1700084886">
    <w:abstractNumId w:val="9"/>
  </w:num>
  <w:num w:numId="3" w16cid:durableId="1462191891">
    <w:abstractNumId w:val="7"/>
  </w:num>
  <w:num w:numId="4" w16cid:durableId="275063002">
    <w:abstractNumId w:val="7"/>
  </w:num>
  <w:num w:numId="5" w16cid:durableId="1340885640">
    <w:abstractNumId w:val="6"/>
  </w:num>
  <w:num w:numId="6" w16cid:durableId="804542662">
    <w:abstractNumId w:val="6"/>
  </w:num>
  <w:num w:numId="7" w16cid:durableId="474302943">
    <w:abstractNumId w:val="5"/>
  </w:num>
  <w:num w:numId="8" w16cid:durableId="2045052434">
    <w:abstractNumId w:val="5"/>
  </w:num>
  <w:num w:numId="9" w16cid:durableId="255790294">
    <w:abstractNumId w:val="4"/>
  </w:num>
  <w:num w:numId="10" w16cid:durableId="693580605">
    <w:abstractNumId w:val="4"/>
  </w:num>
  <w:num w:numId="11" w16cid:durableId="868762981">
    <w:abstractNumId w:val="8"/>
  </w:num>
  <w:num w:numId="12" w16cid:durableId="1800109269">
    <w:abstractNumId w:val="8"/>
  </w:num>
  <w:num w:numId="13" w16cid:durableId="2143305320">
    <w:abstractNumId w:val="3"/>
  </w:num>
  <w:num w:numId="14" w16cid:durableId="573585103">
    <w:abstractNumId w:val="3"/>
  </w:num>
  <w:num w:numId="15" w16cid:durableId="1753357950">
    <w:abstractNumId w:val="2"/>
  </w:num>
  <w:num w:numId="16" w16cid:durableId="657421077">
    <w:abstractNumId w:val="2"/>
  </w:num>
  <w:num w:numId="17" w16cid:durableId="1835410960">
    <w:abstractNumId w:val="1"/>
  </w:num>
  <w:num w:numId="18" w16cid:durableId="1864127952">
    <w:abstractNumId w:val="1"/>
  </w:num>
  <w:num w:numId="19" w16cid:durableId="206572142">
    <w:abstractNumId w:val="0"/>
  </w:num>
  <w:num w:numId="20" w16cid:durableId="672611917">
    <w:abstractNumId w:val="0"/>
  </w:num>
  <w:num w:numId="21" w16cid:durableId="2059015852">
    <w:abstractNumId w:val="9"/>
  </w:num>
  <w:num w:numId="22" w16cid:durableId="1900092490">
    <w:abstractNumId w:val="7"/>
  </w:num>
  <w:num w:numId="23" w16cid:durableId="1283459888">
    <w:abstractNumId w:val="6"/>
  </w:num>
  <w:num w:numId="24" w16cid:durableId="1385177372">
    <w:abstractNumId w:val="5"/>
  </w:num>
  <w:num w:numId="25" w16cid:durableId="20252226">
    <w:abstractNumId w:val="4"/>
  </w:num>
  <w:num w:numId="26" w16cid:durableId="1402946545">
    <w:abstractNumId w:val="8"/>
  </w:num>
  <w:num w:numId="27" w16cid:durableId="1338462651">
    <w:abstractNumId w:val="3"/>
  </w:num>
  <w:num w:numId="28" w16cid:durableId="2015449677">
    <w:abstractNumId w:val="2"/>
  </w:num>
  <w:num w:numId="29" w16cid:durableId="735280565">
    <w:abstractNumId w:val="1"/>
  </w:num>
  <w:num w:numId="30" w16cid:durableId="910651369">
    <w:abstractNumId w:val="0"/>
  </w:num>
  <w:num w:numId="31" w16cid:durableId="443039098">
    <w:abstractNumId w:val="9"/>
  </w:num>
  <w:num w:numId="32" w16cid:durableId="674920481">
    <w:abstractNumId w:val="7"/>
  </w:num>
  <w:num w:numId="33" w16cid:durableId="174811062">
    <w:abstractNumId w:val="6"/>
  </w:num>
  <w:num w:numId="34" w16cid:durableId="1718971965">
    <w:abstractNumId w:val="5"/>
  </w:num>
  <w:num w:numId="35" w16cid:durableId="1089691911">
    <w:abstractNumId w:val="4"/>
  </w:num>
  <w:num w:numId="36" w16cid:durableId="1885755241">
    <w:abstractNumId w:val="8"/>
  </w:num>
  <w:num w:numId="37" w16cid:durableId="151797847">
    <w:abstractNumId w:val="3"/>
  </w:num>
  <w:num w:numId="38" w16cid:durableId="1139148361">
    <w:abstractNumId w:val="2"/>
  </w:num>
  <w:num w:numId="39" w16cid:durableId="1276475514">
    <w:abstractNumId w:val="1"/>
  </w:num>
  <w:num w:numId="40" w16cid:durableId="2142533477">
    <w:abstractNumId w:val="0"/>
  </w:num>
  <w:num w:numId="41" w16cid:durableId="1026054846">
    <w:abstractNumId w:val="10"/>
  </w:num>
  <w:num w:numId="42" w16cid:durableId="155001790">
    <w:abstractNumId w:val="10"/>
  </w:num>
  <w:num w:numId="43" w16cid:durableId="1881164665">
    <w:abstractNumId w:val="10"/>
  </w:num>
  <w:num w:numId="44" w16cid:durableId="16274208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3/2025"/>
    <w:docVar w:name="dvlangue" w:val="LT"/>
    <w:docVar w:name="dvnumam" w:val="0"/>
    <w:docVar w:name="dvpe" w:val="764.990"/>
    <w:docVar w:name="dvrapporteur" w:val="Pranešėjas: "/>
    <w:docVar w:name="dvtitre" w:val="1. 2025 m. geguzes 7 d. Europos Parlamento sprendimas dėl Europos Sąjungos 2023 finansinių metų bendrojo biudžeto įvykdymo patvirtinimo, IX skirsnis – Europos duomenų apsaugos priežiūros pareigūnas(2024/2028(DEC))"/>
  </w:docVars>
  <w:rsids>
    <w:rsidRoot w:val="00E35E92"/>
    <w:rsid w:val="00002272"/>
    <w:rsid w:val="00064002"/>
    <w:rsid w:val="000677B9"/>
    <w:rsid w:val="000831BA"/>
    <w:rsid w:val="0008580C"/>
    <w:rsid w:val="000A42CC"/>
    <w:rsid w:val="000E7DD9"/>
    <w:rsid w:val="0010095E"/>
    <w:rsid w:val="00125B37"/>
    <w:rsid w:val="00187494"/>
    <w:rsid w:val="001C565E"/>
    <w:rsid w:val="001F32AE"/>
    <w:rsid w:val="00250367"/>
    <w:rsid w:val="002767FF"/>
    <w:rsid w:val="002B18FE"/>
    <w:rsid w:val="002B5493"/>
    <w:rsid w:val="00343214"/>
    <w:rsid w:val="00361C00"/>
    <w:rsid w:val="00395FA1"/>
    <w:rsid w:val="003A0C96"/>
    <w:rsid w:val="003E15D4"/>
    <w:rsid w:val="00411CCE"/>
    <w:rsid w:val="0041666E"/>
    <w:rsid w:val="00421060"/>
    <w:rsid w:val="00471C19"/>
    <w:rsid w:val="004867E3"/>
    <w:rsid w:val="00494A28"/>
    <w:rsid w:val="004C0004"/>
    <w:rsid w:val="004C5D52"/>
    <w:rsid w:val="0050519A"/>
    <w:rsid w:val="005072A1"/>
    <w:rsid w:val="00514517"/>
    <w:rsid w:val="00524FB0"/>
    <w:rsid w:val="00545827"/>
    <w:rsid w:val="00560270"/>
    <w:rsid w:val="005C2568"/>
    <w:rsid w:val="005F1B17"/>
    <w:rsid w:val="006037C0"/>
    <w:rsid w:val="00640DC1"/>
    <w:rsid w:val="006631B6"/>
    <w:rsid w:val="00680577"/>
    <w:rsid w:val="00683639"/>
    <w:rsid w:val="006F74FA"/>
    <w:rsid w:val="0070584C"/>
    <w:rsid w:val="00731ADD"/>
    <w:rsid w:val="00734777"/>
    <w:rsid w:val="00747932"/>
    <w:rsid w:val="00751A4A"/>
    <w:rsid w:val="00756632"/>
    <w:rsid w:val="00762C74"/>
    <w:rsid w:val="00786EC0"/>
    <w:rsid w:val="007D1690"/>
    <w:rsid w:val="007E22AD"/>
    <w:rsid w:val="008022D3"/>
    <w:rsid w:val="00817416"/>
    <w:rsid w:val="00842779"/>
    <w:rsid w:val="00865F67"/>
    <w:rsid w:val="00881A7B"/>
    <w:rsid w:val="008840E5"/>
    <w:rsid w:val="00887847"/>
    <w:rsid w:val="00887B3E"/>
    <w:rsid w:val="008C2AC6"/>
    <w:rsid w:val="008F4D44"/>
    <w:rsid w:val="00930C23"/>
    <w:rsid w:val="0093193B"/>
    <w:rsid w:val="009509D8"/>
    <w:rsid w:val="00950B64"/>
    <w:rsid w:val="0097489F"/>
    <w:rsid w:val="00981893"/>
    <w:rsid w:val="009B3404"/>
    <w:rsid w:val="00A1687D"/>
    <w:rsid w:val="00A43E52"/>
    <w:rsid w:val="00A4678D"/>
    <w:rsid w:val="00A778C7"/>
    <w:rsid w:val="00AB441E"/>
    <w:rsid w:val="00AB5C62"/>
    <w:rsid w:val="00AB6293"/>
    <w:rsid w:val="00AE0928"/>
    <w:rsid w:val="00AF3B82"/>
    <w:rsid w:val="00B12E95"/>
    <w:rsid w:val="00B22876"/>
    <w:rsid w:val="00B30B54"/>
    <w:rsid w:val="00B558F0"/>
    <w:rsid w:val="00BD48FE"/>
    <w:rsid w:val="00BD7BD8"/>
    <w:rsid w:val="00BE6ADC"/>
    <w:rsid w:val="00C05BFE"/>
    <w:rsid w:val="00C23CD4"/>
    <w:rsid w:val="00C61C0C"/>
    <w:rsid w:val="00C941CB"/>
    <w:rsid w:val="00CA1390"/>
    <w:rsid w:val="00CC2357"/>
    <w:rsid w:val="00CF071A"/>
    <w:rsid w:val="00D058B8"/>
    <w:rsid w:val="00D56C11"/>
    <w:rsid w:val="00D834A0"/>
    <w:rsid w:val="00D872DF"/>
    <w:rsid w:val="00D91E21"/>
    <w:rsid w:val="00DA7FCD"/>
    <w:rsid w:val="00E35E92"/>
    <w:rsid w:val="00E365E1"/>
    <w:rsid w:val="00E745C8"/>
    <w:rsid w:val="00E820A4"/>
    <w:rsid w:val="00EB006A"/>
    <w:rsid w:val="00EB4772"/>
    <w:rsid w:val="00ED169E"/>
    <w:rsid w:val="00ED4235"/>
    <w:rsid w:val="00F04346"/>
    <w:rsid w:val="00F075DC"/>
    <w:rsid w:val="00F149E9"/>
    <w:rsid w:val="00F5134D"/>
    <w:rsid w:val="00F74202"/>
    <w:rsid w:val="00F87713"/>
    <w:rsid w:val="00FB4360"/>
    <w:rsid w:val="00FD06C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23F64E"/>
  <w15:chartTrackingRefBased/>
  <w15:docId w15:val="{E343DB75-8ACB-4524-9A3D-A30B8C9A1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24FB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24FB0"/>
    <w:pPr>
      <w:spacing w:before="480" w:after="240"/>
    </w:pPr>
  </w:style>
  <w:style w:type="paragraph" w:customStyle="1" w:styleId="PageHeading">
    <w:name w:val="PageHeading"/>
    <w:basedOn w:val="Normal"/>
    <w:rsid w:val="00524FB0"/>
    <w:pPr>
      <w:keepNext/>
      <w:spacing w:after="480"/>
      <w:jc w:val="center"/>
    </w:pPr>
    <w:rPr>
      <w:rFonts w:ascii="Arial" w:hAnsi="Arial" w:cs="Arial"/>
      <w:b/>
    </w:rPr>
  </w:style>
  <w:style w:type="paragraph" w:customStyle="1" w:styleId="NormalBold">
    <w:name w:val="NormalBold"/>
    <w:basedOn w:val="Normal"/>
    <w:rsid w:val="00524FB0"/>
    <w:rPr>
      <w:b/>
    </w:rPr>
  </w:style>
  <w:style w:type="paragraph" w:customStyle="1" w:styleId="NormalHanging12a">
    <w:name w:val="NormalHanging12a"/>
    <w:basedOn w:val="Normal"/>
    <w:link w:val="NormalHanging12aChar"/>
    <w:qFormat/>
    <w:rsid w:val="00524FB0"/>
    <w:pPr>
      <w:spacing w:after="240"/>
      <w:ind w:left="567" w:hanging="567"/>
    </w:pPr>
  </w:style>
  <w:style w:type="paragraph" w:styleId="Header">
    <w:name w:val="header"/>
    <w:basedOn w:val="Normal"/>
    <w:link w:val="HeaderChar"/>
    <w:rsid w:val="00524FB0"/>
    <w:pPr>
      <w:tabs>
        <w:tab w:val="center" w:pos="4513"/>
        <w:tab w:val="right" w:pos="9026"/>
      </w:tabs>
    </w:pPr>
  </w:style>
  <w:style w:type="character" w:customStyle="1" w:styleId="HeaderChar">
    <w:name w:val="Header Char"/>
    <w:basedOn w:val="DefaultParagraphFont"/>
    <w:link w:val="Header"/>
    <w:rsid w:val="00524FB0"/>
    <w:rPr>
      <w:sz w:val="24"/>
      <w:lang w:val="lt-LT"/>
    </w:rPr>
  </w:style>
  <w:style w:type="paragraph" w:customStyle="1" w:styleId="EPFooter">
    <w:name w:val="EPFooter"/>
    <w:basedOn w:val="Normal"/>
    <w:rsid w:val="00524FB0"/>
    <w:pPr>
      <w:tabs>
        <w:tab w:val="center" w:pos="4535"/>
        <w:tab w:val="right" w:pos="9071"/>
      </w:tabs>
      <w:spacing w:before="240" w:after="240"/>
    </w:pPr>
    <w:rPr>
      <w:color w:val="010000"/>
      <w:sz w:val="22"/>
    </w:rPr>
  </w:style>
  <w:style w:type="character" w:styleId="Hyperlink">
    <w:name w:val="Hyperlink"/>
    <w:basedOn w:val="DefaultParagraphFont"/>
    <w:uiPriority w:val="99"/>
    <w:rsid w:val="00524FB0"/>
    <w:rPr>
      <w:color w:val="0563C1" w:themeColor="hyperlink"/>
      <w:u w:val="single"/>
    </w:rPr>
  </w:style>
  <w:style w:type="character" w:customStyle="1" w:styleId="NormalHanging12aChar">
    <w:name w:val="NormalHanging12a Char"/>
    <w:basedOn w:val="DefaultParagraphFont"/>
    <w:link w:val="NormalHanging12a"/>
    <w:locked/>
    <w:rsid w:val="00524FB0"/>
    <w:rPr>
      <w:sz w:val="24"/>
      <w:lang w:val="lt-LT"/>
    </w:rPr>
  </w:style>
  <w:style w:type="paragraph" w:customStyle="1" w:styleId="Visa">
    <w:name w:val="Visa"/>
    <w:basedOn w:val="Normal"/>
    <w:rsid w:val="00524FB0"/>
    <w:pPr>
      <w:tabs>
        <w:tab w:val="left" w:pos="357"/>
      </w:tabs>
      <w:snapToGrid w:val="0"/>
      <w:spacing w:after="240"/>
      <w:ind w:left="357" w:hanging="357"/>
    </w:pPr>
    <w:rPr>
      <w:lang w:eastAsia="en-US"/>
    </w:rPr>
  </w:style>
  <w:style w:type="paragraph" w:styleId="NormalWeb">
    <w:name w:val="Normal (Web)"/>
    <w:basedOn w:val="Normal"/>
    <w:uiPriority w:val="99"/>
    <w:unhideWhenUsed/>
    <w:rsid w:val="00524FB0"/>
    <w:pPr>
      <w:widowControl/>
      <w:spacing w:before="100" w:beforeAutospacing="1" w:after="100" w:afterAutospacing="1"/>
    </w:pPr>
    <w:rPr>
      <w:szCs w:val="24"/>
    </w:rPr>
  </w:style>
  <w:style w:type="paragraph" w:styleId="BalloonText">
    <w:name w:val="Balloon Text"/>
    <w:basedOn w:val="Normal"/>
    <w:link w:val="BalloonTextChar"/>
    <w:rsid w:val="00E745C8"/>
    <w:rPr>
      <w:rFonts w:ascii="Segoe UI" w:hAnsi="Segoe UI" w:cs="Segoe UI"/>
      <w:sz w:val="18"/>
      <w:szCs w:val="18"/>
    </w:rPr>
  </w:style>
  <w:style w:type="character" w:customStyle="1" w:styleId="BalloonTextChar">
    <w:name w:val="Balloon Text Char"/>
    <w:basedOn w:val="DefaultParagraphFont"/>
    <w:link w:val="BalloonText"/>
    <w:rsid w:val="00E745C8"/>
    <w:rPr>
      <w:rFonts w:ascii="Segoe UI" w:hAnsi="Segoe UI" w:cs="Segoe UI"/>
      <w:sz w:val="18"/>
      <w:szCs w:val="18"/>
      <w:lang w:val="lt-LT"/>
    </w:rPr>
  </w:style>
  <w:style w:type="character" w:styleId="FollowedHyperlink">
    <w:name w:val="FollowedHyperlink"/>
    <w:basedOn w:val="DefaultParagraphFont"/>
    <w:rsid w:val="009B3404"/>
    <w:rPr>
      <w:color w:val="954F72" w:themeColor="followedHyperlink"/>
      <w:u w:val="single"/>
    </w:rPr>
  </w:style>
  <w:style w:type="character" w:styleId="CommentReference">
    <w:name w:val="annotation reference"/>
    <w:basedOn w:val="DefaultParagraphFont"/>
    <w:uiPriority w:val="99"/>
    <w:unhideWhenUsed/>
    <w:rsid w:val="003A0C96"/>
    <w:rPr>
      <w:sz w:val="16"/>
      <w:szCs w:val="16"/>
    </w:rPr>
  </w:style>
  <w:style w:type="paragraph" w:styleId="CommentText">
    <w:name w:val="annotation text"/>
    <w:basedOn w:val="Normal"/>
    <w:link w:val="CommentTextChar"/>
    <w:uiPriority w:val="99"/>
    <w:unhideWhenUsed/>
    <w:rsid w:val="003A0C96"/>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3A0C96"/>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725/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C67C4-6BF9-4819-B409-A775568EE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5647</Words>
  <Characters>37602</Characters>
  <Application>Microsoft Office Word</Application>
  <DocSecurity>0</DocSecurity>
  <Lines>313</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2025-12-04T13:54:00Z</dcterms:created>
  <dcterms:modified xsi:type="dcterms:W3CDTF">2025-12-04T13:54:00Z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P10_TA(2025)0085_</vt:lpwstr>
  </property>
  <property fmtid="{D5CDD505-2E9C-101B-9397-08002B2CF9AE}" pid="4" name="&lt;Type&gt;">
    <vt:lpwstr>RR</vt:lpwstr>
  </property>
</Properties>
</file>