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01744" w14:paraId="561E4E3C" w14:textId="77777777">
        <w:trPr>
          <w:trHeight w:hRule="exact" w:val="1418"/>
        </w:trPr>
        <w:tc>
          <w:tcPr>
            <w:tcW w:w="6804" w:type="dxa"/>
            <w:shd w:val="clear" w:color="auto" w:fill="auto"/>
            <w:vAlign w:val="center"/>
          </w:tcPr>
          <w:p w14:paraId="0972826C" w14:textId="77777777" w:rsidR="00F01744" w:rsidRDefault="00146013">
            <w:pPr>
              <w:pStyle w:val="EPName"/>
            </w:pPr>
            <w:r>
              <w:t>Európsky parlament</w:t>
            </w:r>
          </w:p>
          <w:p w14:paraId="0902142C" w14:textId="77777777" w:rsidR="00F01744" w:rsidRDefault="00146013">
            <w:pPr>
              <w:pStyle w:val="EPTerm"/>
              <w:rPr>
                <w:rStyle w:val="HideTWBExt"/>
                <w:noProof w:val="0"/>
                <w:vanish w:val="0"/>
                <w:color w:val="auto"/>
              </w:rPr>
            </w:pPr>
            <w:r>
              <w:t>2024-2029</w:t>
            </w:r>
          </w:p>
        </w:tc>
        <w:tc>
          <w:tcPr>
            <w:tcW w:w="2268" w:type="dxa"/>
            <w:shd w:val="clear" w:color="auto" w:fill="auto"/>
          </w:tcPr>
          <w:p w14:paraId="2FCC9289" w14:textId="77777777" w:rsidR="00F01744" w:rsidRDefault="00146013">
            <w:pPr>
              <w:pStyle w:val="EPLogo"/>
            </w:pPr>
            <w:r>
              <w:rPr>
                <w:noProof/>
                <w:lang w:val="en-GB"/>
              </w:rPr>
              <w:drawing>
                <wp:inline distT="0" distB="0" distL="0" distR="0" wp14:anchorId="26F6E25A" wp14:editId="685661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AC440A" w14:textId="77777777" w:rsidR="00F01744" w:rsidRDefault="00F01744">
      <w:pPr>
        <w:pStyle w:val="LineTop"/>
      </w:pPr>
    </w:p>
    <w:p w14:paraId="62BB1137" w14:textId="77777777" w:rsidR="00F01744" w:rsidRDefault="00146013">
      <w:pPr>
        <w:pStyle w:val="EPBodyTA1"/>
      </w:pPr>
      <w:r>
        <w:t>PRIJATÉ TEXTY</w:t>
      </w:r>
    </w:p>
    <w:p w14:paraId="3D90662A" w14:textId="77777777" w:rsidR="00F01744" w:rsidRDefault="00F01744">
      <w:pPr>
        <w:pStyle w:val="LineBottom"/>
      </w:pPr>
    </w:p>
    <w:p w14:paraId="67AC2469" w14:textId="77777777" w:rsidR="00F01744" w:rsidRDefault="00146013">
      <w:pPr>
        <w:pStyle w:val="ATHeading1"/>
      </w:pPr>
      <w:bookmarkStart w:id="0" w:name="TANumber"/>
      <w:r>
        <w:t>P10_TA(2025)0085</w:t>
      </w:r>
      <w:bookmarkEnd w:id="0"/>
    </w:p>
    <w:p w14:paraId="51FDB11A" w14:textId="77777777" w:rsidR="00F01744" w:rsidRDefault="00146013">
      <w:pPr>
        <w:pStyle w:val="ATHeading2"/>
      </w:pPr>
      <w:bookmarkStart w:id="1" w:name="title"/>
      <w:r>
        <w:t>Absolutórium za rok 2023: všeobecný rozpočet EÚ – európsky dozorný úradník pre ochranu údajov</w:t>
      </w:r>
      <w:bookmarkEnd w:id="1"/>
    </w:p>
    <w:p w14:paraId="0C800DF0" w14:textId="77777777" w:rsidR="00F01744" w:rsidRDefault="00146013">
      <w:pPr>
        <w:rPr>
          <w:i/>
          <w:vanish/>
        </w:rPr>
      </w:pPr>
      <w:r>
        <w:rPr>
          <w:i/>
        </w:rPr>
        <w:fldChar w:fldCharType="begin"/>
      </w:r>
      <w:r>
        <w:rPr>
          <w:i/>
        </w:rPr>
        <w:instrText xml:space="preserve"> TC"(</w:instrText>
      </w:r>
      <w:bookmarkStart w:id="2" w:name="DocNumber"/>
      <w:r>
        <w:rPr>
          <w:i/>
        </w:rPr>
        <w:instrText>A10-0053/2025</w:instrText>
      </w:r>
      <w:bookmarkEnd w:id="2"/>
      <w:r>
        <w:rPr>
          <w:i/>
        </w:rPr>
        <w:instrText xml:space="preserve"> - Spravodajca: Joachim </w:instrText>
      </w:r>
      <w:proofErr w:type="spellStart"/>
      <w:r>
        <w:rPr>
          <w:i/>
        </w:rPr>
        <w:instrText>Stanisław</w:instrText>
      </w:r>
      <w:proofErr w:type="spellEnd"/>
      <w:r>
        <w:rPr>
          <w:i/>
        </w:rPr>
        <w:instrText xml:space="preserve"> </w:instrText>
      </w:r>
      <w:proofErr w:type="spellStart"/>
      <w:r>
        <w:rPr>
          <w:i/>
        </w:rPr>
        <w:instrText>Brudziński</w:instrText>
      </w:r>
      <w:proofErr w:type="spellEnd"/>
      <w:r>
        <w:rPr>
          <w:i/>
        </w:rPr>
        <w:instrText xml:space="preserve">)"\l3 \n&gt; \* MERGEFORMAT </w:instrText>
      </w:r>
      <w:r>
        <w:rPr>
          <w:i/>
        </w:rPr>
        <w:fldChar w:fldCharType="end"/>
      </w:r>
    </w:p>
    <w:p w14:paraId="27A35B59" w14:textId="77777777" w:rsidR="00F01744" w:rsidRDefault="00146013">
      <w:pPr>
        <w:rPr>
          <w:vanish/>
        </w:rPr>
      </w:pPr>
      <w:bookmarkStart w:id="3" w:name="Commission"/>
      <w:r>
        <w:rPr>
          <w:vanish/>
        </w:rPr>
        <w:t>Výbor pre kontrolu rozpočtu</w:t>
      </w:r>
      <w:bookmarkEnd w:id="3"/>
    </w:p>
    <w:p w14:paraId="40F430C9" w14:textId="77777777" w:rsidR="00F01744" w:rsidRDefault="00146013">
      <w:pPr>
        <w:rPr>
          <w:vanish/>
        </w:rPr>
      </w:pPr>
      <w:bookmarkStart w:id="4" w:name="PE"/>
      <w:r>
        <w:rPr>
          <w:vanish/>
        </w:rPr>
        <w:t>PE764.990</w:t>
      </w:r>
      <w:bookmarkEnd w:id="4"/>
    </w:p>
    <w:p w14:paraId="7300657C" w14:textId="77777777" w:rsidR="00F01744" w:rsidRDefault="00146013">
      <w:pPr>
        <w:pStyle w:val="ATHeading3"/>
      </w:pPr>
      <w:bookmarkStart w:id="5" w:name="Sujet"/>
      <w:r>
        <w:t>1. Rozhodnutie Európskeho parlamentu zo 7. mája 2025 o absolutóriu za plnenie všeobecného rozpočtu Európskej únie za rozpočtový rok 2023, oddiel IX – európsky dozorný úradník pre ochranu údajov</w:t>
      </w:r>
      <w:bookmarkEnd w:id="5"/>
      <w:r>
        <w:t xml:space="preserve"> </w:t>
      </w:r>
      <w:bookmarkStart w:id="6" w:name="References"/>
      <w:r>
        <w:t>(2024/2028(DEC))</w:t>
      </w:r>
      <w:bookmarkEnd w:id="6"/>
    </w:p>
    <w:p w14:paraId="71423769" w14:textId="77777777" w:rsidR="00F01744" w:rsidRDefault="00146013" w:rsidP="00146013">
      <w:pPr>
        <w:pStyle w:val="EPComma"/>
      </w:pPr>
      <w:bookmarkStart w:id="7" w:name="TextBodyBegin"/>
      <w:bookmarkEnd w:id="7"/>
      <w:r>
        <w:rPr>
          <w:i/>
          <w:iCs/>
        </w:rPr>
        <w:t>Európsky parlament</w:t>
      </w:r>
      <w:r>
        <w:t>,</w:t>
      </w:r>
    </w:p>
    <w:p w14:paraId="0670790A"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všeobecný rozpočet Európskej únie na rozpočtový rok 2023</w:t>
      </w:r>
      <w:r w:rsidRPr="00146013">
        <w:rPr>
          <w:kern w:val="2"/>
          <w:vertAlign w:val="superscript"/>
          <w14:ligatures w14:val="standardContextual"/>
        </w:rPr>
        <w:footnoteReference w:id="1"/>
      </w:r>
      <w:r w:rsidRPr="00146013">
        <w:rPr>
          <w:kern w:val="2"/>
          <w14:ligatures w14:val="standardContextual"/>
        </w:rPr>
        <w:t>,</w:t>
      </w:r>
    </w:p>
    <w:p w14:paraId="23E02A82" w14:textId="60BD7A45"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 xml:space="preserve">so zreteľom na konsolidovanú ročnú účtovnú závierku Európskej únie za rozpočtový rok 2023 </w:t>
      </w:r>
      <w:r>
        <w:rPr>
          <w:kern w:val="2"/>
          <w14:ligatures w14:val="standardContextual"/>
        </w:rPr>
        <w:t>(</w:t>
      </w:r>
      <w:r w:rsidRPr="00146013">
        <w:rPr>
          <w:kern w:val="2"/>
          <w14:ligatures w14:val="standardContextual"/>
        </w:rPr>
        <w:t>COM(2024)0272 – C10</w:t>
      </w:r>
      <w:r w:rsidRPr="00146013">
        <w:rPr>
          <w:kern w:val="2"/>
          <w14:ligatures w14:val="standardContextual"/>
        </w:rPr>
        <w:noBreakHyphen/>
        <w:t>0076/2024</w:t>
      </w:r>
      <w:r>
        <w:rPr>
          <w:kern w:val="2"/>
          <w14:ligatures w14:val="standardContextual"/>
        </w:rPr>
        <w:t>)</w:t>
      </w:r>
      <w:r w:rsidRPr="00146013">
        <w:rPr>
          <w:kern w:val="2"/>
          <w:vertAlign w:val="superscript"/>
          <w14:ligatures w14:val="standardContextual"/>
        </w:rPr>
        <w:footnoteReference w:id="2"/>
      </w:r>
      <w:r w:rsidRPr="00146013">
        <w:rPr>
          <w:kern w:val="2"/>
          <w14:ligatures w14:val="standardContextual"/>
        </w:rPr>
        <w:t>,</w:t>
      </w:r>
    </w:p>
    <w:p w14:paraId="69CB87B4"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výročnú správu európskeho dozorného úradníka pre ochranu údajov za rok 2023,</w:t>
      </w:r>
    </w:p>
    <w:p w14:paraId="4021F35C"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výročnú správu Dvora audítorov o plnení rozpočtu za rozpočtový rok 2023 spolu s odpoveďami inštitúcií</w:t>
      </w:r>
      <w:r w:rsidRPr="00146013">
        <w:rPr>
          <w:kern w:val="2"/>
          <w:vertAlign w:val="superscript"/>
          <w14:ligatures w14:val="standardContextual"/>
        </w:rPr>
        <w:footnoteReference w:id="3"/>
      </w:r>
      <w:r w:rsidRPr="00146013">
        <w:rPr>
          <w:kern w:val="2"/>
          <w14:ligatures w14:val="standardContextual"/>
        </w:rPr>
        <w:t>,</w:t>
      </w:r>
    </w:p>
    <w:p w14:paraId="7181EAA2"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vyhlásenie o vierohodnosti</w:t>
      </w:r>
      <w:r w:rsidRPr="00146013">
        <w:rPr>
          <w:kern w:val="2"/>
          <w:vertAlign w:val="superscript"/>
          <w14:ligatures w14:val="standardContextual"/>
        </w:rPr>
        <w:footnoteReference w:id="4"/>
      </w:r>
      <w:r w:rsidRPr="00146013">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20133D5E"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článok 314 ods. 10 a články 317, 318 a 319 Zmluvy o fungovaní Európskej únie,</w:t>
      </w:r>
    </w:p>
    <w:p w14:paraId="1D260403" w14:textId="77777777" w:rsidR="00146013" w:rsidRPr="00146013" w:rsidRDefault="00146013" w:rsidP="00146013">
      <w:pPr>
        <w:tabs>
          <w:tab w:val="left" w:pos="567"/>
        </w:tabs>
        <w:snapToGrid w:val="0"/>
        <w:spacing w:after="60"/>
        <w:ind w:left="567" w:hanging="567"/>
        <w:rPr>
          <w:kern w:val="2"/>
          <w:lang w:eastAsia="en-US"/>
          <w14:ligatures w14:val="standardContextual"/>
        </w:rPr>
      </w:pPr>
      <w:r w:rsidRPr="00146013">
        <w:rPr>
          <w:kern w:val="2"/>
          <w:lang w:eastAsia="en-US"/>
          <w14:ligatures w14:val="standardContextual"/>
        </w:rPr>
        <w:t>–</w:t>
      </w:r>
      <w:r w:rsidRPr="00146013">
        <w:rPr>
          <w:kern w:val="2"/>
          <w:lang w:eastAsia="en-US"/>
          <w14:ligatures w14:val="standardContextual"/>
        </w:rPr>
        <w:tab/>
        <w:t xml:space="preserve">so zreteľom na nariadenie Európskeho parlamentu a Rady (EÚ, </w:t>
      </w:r>
      <w:proofErr w:type="spellStart"/>
      <w:r w:rsidRPr="00146013">
        <w:rPr>
          <w:kern w:val="2"/>
          <w:lang w:eastAsia="en-US"/>
          <w14:ligatures w14:val="standardContextual"/>
        </w:rPr>
        <w:t>Euratom</w:t>
      </w:r>
      <w:proofErr w:type="spellEnd"/>
      <w:r w:rsidRPr="00146013">
        <w:rPr>
          <w:kern w:val="2"/>
          <w:lang w:eastAsia="en-US"/>
          <w14:ligatures w14:val="standardContextual"/>
        </w:rPr>
        <w:t xml:space="preserve">) 2018/1046 z 18. júla 2018 o rozpočtových pravidlách, ktoré sa vzťahujú na všeobecný rozpočet Únie, o zmene nariadení (EÚ) č. 1296/2013, (EÚ) č. 1301/2013, (EÚ) č. 1303/2013, </w:t>
      </w:r>
      <w:r w:rsidRPr="00146013">
        <w:rPr>
          <w:kern w:val="2"/>
          <w:lang w:eastAsia="en-US"/>
          <w14:ligatures w14:val="standardContextual"/>
        </w:rPr>
        <w:lastRenderedPageBreak/>
        <w:t xml:space="preserve">(EÚ) č. 1304/2013, (EÚ) č. 1309/2013, (EÚ) č. 1316/2013, (EÚ) č. 223/2014, (EÚ) č. 283/2014 a rozhodnutia č. 541/2014/EÚ a o zrušení nariadenia (EÚ, </w:t>
      </w:r>
      <w:proofErr w:type="spellStart"/>
      <w:r w:rsidRPr="00146013">
        <w:rPr>
          <w:kern w:val="2"/>
          <w:lang w:eastAsia="en-US"/>
          <w14:ligatures w14:val="standardContextual"/>
        </w:rPr>
        <w:t>Euratom</w:t>
      </w:r>
      <w:proofErr w:type="spellEnd"/>
      <w:r w:rsidRPr="00146013">
        <w:rPr>
          <w:kern w:val="2"/>
          <w:lang w:eastAsia="en-US"/>
          <w14:ligatures w14:val="standardContextual"/>
        </w:rPr>
        <w:t>) č. 966/2012</w:t>
      </w:r>
      <w:r w:rsidRPr="00146013">
        <w:rPr>
          <w:kern w:val="2"/>
          <w:vertAlign w:val="superscript"/>
          <w14:ligatures w14:val="standardContextual"/>
        </w:rPr>
        <w:footnoteReference w:id="5"/>
      </w:r>
      <w:r w:rsidRPr="00146013">
        <w:rPr>
          <w:kern w:val="2"/>
          <w:lang w:eastAsia="en-US"/>
          <w14:ligatures w14:val="standardContextual"/>
        </w:rPr>
        <w:t>, a najmä na jeho články 59, 118, 260, 261 a 262,</w:t>
      </w:r>
    </w:p>
    <w:p w14:paraId="567497CB"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 xml:space="preserve">so zreteľom na </w:t>
      </w:r>
      <w:r w:rsidRPr="00146013">
        <w:rPr>
          <w:kern w:val="2"/>
          <w:shd w:val="clear" w:color="auto" w:fill="FFFFFF"/>
          <w14:ligatures w14:val="standardContextual"/>
        </w:rPr>
        <w:t xml:space="preserve">nariadenie Európskeho parlamentu a Rady (EÚ, </w:t>
      </w:r>
      <w:proofErr w:type="spellStart"/>
      <w:r w:rsidRPr="00146013">
        <w:rPr>
          <w:kern w:val="2"/>
          <w:shd w:val="clear" w:color="auto" w:fill="FFFFFF"/>
          <w14:ligatures w14:val="standardContextual"/>
        </w:rPr>
        <w:t>Euratom</w:t>
      </w:r>
      <w:proofErr w:type="spellEnd"/>
      <w:r w:rsidRPr="00146013">
        <w:rPr>
          <w:kern w:val="2"/>
          <w:shd w:val="clear" w:color="auto" w:fill="FFFFFF"/>
          <w14:ligatures w14:val="standardContextual"/>
        </w:rPr>
        <w:t>) 2024/2509 z 23. septembra 2024 o rozpočtových pravidlách, ktoré sa vzťahujú na všeobecný rozpočet Únie</w:t>
      </w:r>
      <w:r w:rsidRPr="00146013">
        <w:rPr>
          <w:bCs/>
          <w:kern w:val="2"/>
          <w:szCs w:val="24"/>
          <w:shd w:val="clear" w:color="auto" w:fill="FFFFFF"/>
          <w:vertAlign w:val="superscript"/>
          <w14:ligatures w14:val="standardContextual"/>
        </w:rPr>
        <w:footnoteReference w:id="6"/>
      </w:r>
      <w:r w:rsidRPr="00146013">
        <w:rPr>
          <w:kern w:val="2"/>
          <w:shd w:val="clear" w:color="auto" w:fill="FFFFFF"/>
          <w14:ligatures w14:val="standardContextual"/>
        </w:rPr>
        <w:t>, a najmä na jeho články 59, 118, 266, 267 a 268,</w:t>
      </w:r>
    </w:p>
    <w:p w14:paraId="51F02322"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w:t>
      </w:r>
      <w:r w:rsidRPr="00146013">
        <w:rPr>
          <w:kern w:val="2"/>
          <w:vertAlign w:val="superscript"/>
          <w14:ligatures w14:val="standardContextual"/>
        </w:rPr>
        <w:footnoteReference w:id="7"/>
      </w:r>
      <w:r w:rsidRPr="00146013">
        <w:rPr>
          <w:kern w:val="2"/>
          <w14:ligatures w14:val="standardContextual"/>
        </w:rPr>
        <w:t>, a najmä na jeho článok 55,</w:t>
      </w:r>
    </w:p>
    <w:p w14:paraId="0480A7C5"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článok 102 a prílohu V k rokovaciemu poriadku,</w:t>
      </w:r>
    </w:p>
    <w:p w14:paraId="56B0F0EE"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stanovisko Výboru pre občianske slobody, spravodlivosť a vnútorné veci,</w:t>
      </w:r>
    </w:p>
    <w:p w14:paraId="5D17B56C"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správu Výboru pre kontrolu rozpočtu (A10-0053/2025),</w:t>
      </w:r>
    </w:p>
    <w:p w14:paraId="7197DDB4"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1.</w:t>
      </w:r>
      <w:r w:rsidRPr="00146013">
        <w:rPr>
          <w:kern w:val="2"/>
          <w14:ligatures w14:val="standardContextual"/>
        </w:rPr>
        <w:tab/>
        <w:t>udeľuje európskemu dozornému úradníkovi pre ochranu údajov absolutórium za plnenie rozpočtu európskeho dozorného úradníka pre ochranu údajov za rozpočtový rok 2023;</w:t>
      </w:r>
    </w:p>
    <w:p w14:paraId="6A212AB0"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w:t>
      </w:r>
      <w:r w:rsidRPr="00146013">
        <w:rPr>
          <w:kern w:val="2"/>
          <w14:ligatures w14:val="standardContextual"/>
        </w:rPr>
        <w:tab/>
        <w:t>uvádza svoje poznámky v priloženom uznesení;</w:t>
      </w:r>
    </w:p>
    <w:p w14:paraId="156F9C26"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3.</w:t>
      </w:r>
      <w:r w:rsidRPr="00146013">
        <w:rPr>
          <w:kern w:val="2"/>
          <w14:ligatures w14:val="standardContextual"/>
        </w:rPr>
        <w:tab/>
        <w:t>poveruje svoju predsedníčku, aby postúpila toto rozhodnutie a uznesenie, ktoré je jeho neoddeliteľnou súčasťou, európskemu dozornému úradníkovi pre ochranu údajov, Európskej rade, Rade, Komisii, Dvoru audítorov, Súdnemu dvoru Európskej únie, európskemu ombudsmanovi a Európskej službe pre vonkajšiu činnosť a aby zabezpečila ich uverejnenie v </w:t>
      </w:r>
      <w:r w:rsidRPr="00146013">
        <w:rPr>
          <w:i/>
          <w:kern w:val="2"/>
          <w14:ligatures w14:val="standardContextual"/>
        </w:rPr>
        <w:t>Úradnom vestníku Európskej únie</w:t>
      </w:r>
      <w:r w:rsidRPr="00146013">
        <w:rPr>
          <w:kern w:val="2"/>
          <w14:ligatures w14:val="standardContextual"/>
        </w:rPr>
        <w:t xml:space="preserve"> (v sérii L).</w:t>
      </w:r>
    </w:p>
    <w:p w14:paraId="75C61B18" w14:textId="77777777" w:rsidR="00146013" w:rsidRPr="00146013" w:rsidRDefault="00146013" w:rsidP="00146013">
      <w:pPr>
        <w:widowControl/>
        <w:rPr>
          <w:rFonts w:eastAsia="Aptos"/>
          <w:kern w:val="2"/>
          <w:szCs w:val="24"/>
          <w:lang w:eastAsia="en-US"/>
          <w14:ligatures w14:val="standardContextual"/>
        </w:rPr>
        <w:sectPr w:rsidR="00146013" w:rsidRPr="00146013" w:rsidSect="00146013">
          <w:footnotePr>
            <w:numRestart w:val="eachSect"/>
          </w:footnotePr>
          <w:pgSz w:w="11906" w:h="16838"/>
          <w:pgMar w:top="1440" w:right="1440" w:bottom="1440" w:left="1440" w:header="708" w:footer="708" w:gutter="0"/>
          <w:cols w:space="708"/>
          <w:docGrid w:linePitch="360"/>
        </w:sectPr>
      </w:pPr>
    </w:p>
    <w:p w14:paraId="4C0A57E3" w14:textId="77777777" w:rsidR="00146013" w:rsidRPr="00146013" w:rsidRDefault="00146013" w:rsidP="00146013">
      <w:pPr>
        <w:pStyle w:val="ATHeading3"/>
      </w:pPr>
      <w:r w:rsidRPr="00146013">
        <w:lastRenderedPageBreak/>
        <w:t>2. Uznesenie Európskeho parlamentu zo 7. mája 2025 s poznámkami, ktoré je neoddeliteľnou súčasťou rozhodnutia o absolutóriu za plnenie všeobecného rozpočtu Európskej únie za rozpočtový rok 2023, oddiel IX – európsky dozorný úradník pre ochranu údajov (2024/2028(DEC))</w:t>
      </w:r>
    </w:p>
    <w:p w14:paraId="43DA7628" w14:textId="3B3E9DD2" w:rsidR="00146013" w:rsidRPr="00146013" w:rsidRDefault="00146013" w:rsidP="00146013">
      <w:pPr>
        <w:spacing w:before="480" w:after="240"/>
        <w:rPr>
          <w:kern w:val="2"/>
          <w14:ligatures w14:val="standardContextual"/>
        </w:rPr>
      </w:pPr>
      <w:r>
        <w:rPr>
          <w:i/>
          <w:iCs/>
        </w:rPr>
        <w:t>Európsky parlament</w:t>
      </w:r>
      <w:r w:rsidRPr="00146013">
        <w:rPr>
          <w:kern w:val="2"/>
          <w14:ligatures w14:val="standardContextual"/>
        </w:rPr>
        <w:t>,</w:t>
      </w:r>
    </w:p>
    <w:p w14:paraId="2EF3BC71"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svoje rozhodnutie o absolutóriu za plnenie všeobecného rozpočtu Európskej únie za rozpočtový rok 2023, oddiel IX – európsky dozorný úradník pre ochranu údajov,</w:t>
      </w:r>
    </w:p>
    <w:p w14:paraId="579101B5"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článok 102 a prílohu V k rokovaciemu poriadku,</w:t>
      </w:r>
    </w:p>
    <w:p w14:paraId="70FB619B"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stanovisko Výboru pre občianske slobody, spravodlivosť a vnútorné veci,</w:t>
      </w:r>
    </w:p>
    <w:p w14:paraId="76DC63E0"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w:t>
      </w:r>
      <w:r w:rsidRPr="00146013">
        <w:rPr>
          <w:kern w:val="2"/>
          <w14:ligatures w14:val="standardContextual"/>
        </w:rPr>
        <w:tab/>
        <w:t>so zreteľom na správu Výboru pre kontrolu rozpočtu (A10-0053/2025),</w:t>
      </w:r>
    </w:p>
    <w:p w14:paraId="7FF09037"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A.</w:t>
      </w:r>
      <w:r w:rsidRPr="00146013">
        <w:rPr>
          <w:kern w:val="2"/>
          <w14:ligatures w14:val="standardContextual"/>
        </w:rPr>
        <w:tab/>
        <w:t>keďže v súvislosti s postupom udelenia absolutória chce orgán udeľujúci absolutórium zdôrazniť mimoriadny význam ďalšieho posilňovania demokratickej legitimity inštitúcií Únie zvyšovaním transparentnosti a zodpovednosti a zavedením koncepcie zostavovania rozpočtu na základe výkonnosti a dobrého riadenia ľudských zdrojov;</w:t>
      </w:r>
    </w:p>
    <w:p w14:paraId="4AD99A52"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B.</w:t>
      </w:r>
      <w:r w:rsidRPr="00146013">
        <w:rPr>
          <w:kern w:val="2"/>
          <w14:ligatures w14:val="standardContextual"/>
        </w:rPr>
        <w:tab/>
        <w:t>keďže ochrana údajov je základné právo chránené v právnych predpisoch EÚ a zakotvené v článku 8 Charty základných práv Európskej únie;</w:t>
      </w:r>
    </w:p>
    <w:p w14:paraId="19021DDF"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C.</w:t>
      </w:r>
      <w:r w:rsidRPr="00146013">
        <w:rPr>
          <w:kern w:val="2"/>
          <w14:ligatures w14:val="standardContextual"/>
        </w:rPr>
        <w:tab/>
        <w:t>keďže v článku 16 Zmluvy o fungovaní Európskej únie sa stanovuje, že dodržiavanie pravidiel týkajúcich sa ochrany fyzických osôb, pokiaľ ide o spracúvanie osobných údajov, ktoré sa ich týkajú, podlieha kontrole nezávislého orgánu;</w:t>
      </w:r>
    </w:p>
    <w:p w14:paraId="0140C4F0"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D.</w:t>
      </w:r>
      <w:r w:rsidRPr="00146013">
        <w:rPr>
          <w:kern w:val="2"/>
          <w14:ligatures w14:val="standardContextual"/>
        </w:rPr>
        <w:tab/>
        <w:t>keďže v nariadení Európskeho parlamentu a Rady (EÚ) 2018/1725 </w:t>
      </w:r>
      <w:r w:rsidRPr="00146013">
        <w:rPr>
          <w:kern w:val="2"/>
          <w:vertAlign w:val="superscript"/>
          <w14:ligatures w14:val="standardContextual"/>
        </w:rPr>
        <w:footnoteReference w:id="8"/>
      </w:r>
      <w:r w:rsidRPr="00146013">
        <w:rPr>
          <w:kern w:val="2"/>
          <w14:ligatures w14:val="standardContextual"/>
        </w:rPr>
        <w:t xml:space="preserve"> sa stanovuje vytvorenie nezávislého orgánu – európskeho dozorného úradníka pre ochranu údajov (ďalej len „EDPS“) –, ktorý je zodpovedný za ochranu a zaručenie práva na ochranu údajov a súkromie a ktorého úlohou je zabezpečiť, aby sa v inštitúciách, orgánoch, úradoch a agentúrach Únie uplatňovala kultúra prísnej ochrany údajov;</w:t>
      </w:r>
    </w:p>
    <w:p w14:paraId="2CCFE542"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E.</w:t>
      </w:r>
      <w:r w:rsidRPr="00146013">
        <w:rPr>
          <w:kern w:val="2"/>
          <w14:ligatures w14:val="standardContextual"/>
        </w:rPr>
        <w:tab/>
        <w:t>keďže EDPS vykonáva svoje funkcie v úzkej spolupráci s ďalšími orgánmi pre ochranu osobných údajov v rámci Európskeho výboru pre ochranu údajov (EDPB) a slúži verejným záujmom, pričom sa riadi zásadami nestrannosti, integrity, transparentnosti, vecnosti a dodržiavania právnych predpisov EÚ;</w:t>
      </w:r>
    </w:p>
    <w:p w14:paraId="3E9AE60D"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w:t>
      </w:r>
      <w:r w:rsidRPr="00146013">
        <w:rPr>
          <w:kern w:val="2"/>
          <w14:ligatures w14:val="standardContextual"/>
        </w:rPr>
        <w:tab/>
        <w:t xml:space="preserve">konštatuje, že rozpočet EDPS patrí do okruhu 7 VFR Európska verejná správa, ktorý v roku 2023 predstavoval celkovo 12,3 miliardy EUR, t. j. 6,4 % rozpočtových výdavkov Únie; konštatuje, že rozpočet EDPS predstavoval 0,18 % rozpočtových </w:t>
      </w:r>
      <w:r w:rsidRPr="00146013">
        <w:rPr>
          <w:kern w:val="2"/>
          <w14:ligatures w14:val="standardContextual"/>
        </w:rPr>
        <w:lastRenderedPageBreak/>
        <w:t>prostriedkov okruhu 7 VFR;</w:t>
      </w:r>
    </w:p>
    <w:p w14:paraId="5778543B"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2.</w:t>
      </w:r>
      <w:r w:rsidRPr="00146013">
        <w:rPr>
          <w:kern w:val="2"/>
          <w14:ligatures w14:val="standardContextual"/>
        </w:rPr>
        <w:tab/>
        <w:t>poznamenáva, že Dvor audítorov vo svojej výročnej správe (ďalej len „správa Dvora audítorov“) za rozpočtový rok 2023 preskúmal vzorku 70 transakcií z okruhu 7 VFR, z ktorých 21 (30 %) obsahovalo chyby; ďalej poznamenáva, že Dvor audítorov odhadol pri piatich z týchto chýb, ktoré vyčíslil, chybovosť pod prahovou hodnotnou významnosti;</w:t>
      </w:r>
    </w:p>
    <w:p w14:paraId="3E4432F3"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w:t>
      </w:r>
      <w:r w:rsidRPr="00146013">
        <w:rPr>
          <w:kern w:val="2"/>
          <w14:ligatures w14:val="standardContextual"/>
        </w:rPr>
        <w:tab/>
        <w:t>na základe správy Dvora audítorov berie na vedomie jeho pripomienku, že administratívne výdavky zahŕňajú výdavky na ľudské zdroje vrátane dôchodkov, ktoré v roku 2023 predstavovali približne 70 % celkových administratívnych výdavkov, a výdavky na budovy, zariadenie, energiu, komunikáciu a informačné technológie; víta opätovné stanovisko Dvora audítorov, že administratívne výdavky celkovo predstavujú nízke riziko;</w:t>
      </w:r>
    </w:p>
    <w:p w14:paraId="5963741C"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w:t>
      </w:r>
      <w:r w:rsidRPr="00146013">
        <w:rPr>
          <w:kern w:val="2"/>
          <w14:ligatures w14:val="standardContextual"/>
        </w:rPr>
        <w:tab/>
        <w:t>na základe správy Dvora audítorov poznamenáva, že v roku 2023 Dvor audítorov vykonal audit výplaty mzdy úradníkovi, ktorý predložil vyhlásenie o nároku na rodinné prídavky a prídavky na deti naposledy v roku 2020; súhlasí s obavami Dvora audítorov, že oneskorené predloženie a overenie takýchto vyhlásení zvyšuje riziko neoprávnených platieb;</w:t>
      </w:r>
    </w:p>
    <w:p w14:paraId="576A3C39"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Rozpočtové a finančné riadenie</w:t>
      </w:r>
    </w:p>
    <w:p w14:paraId="21953FAF"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w:t>
      </w:r>
      <w:r w:rsidRPr="00146013">
        <w:rPr>
          <w:kern w:val="2"/>
          <w14:ligatures w14:val="standardContextual"/>
        </w:rPr>
        <w:tab/>
        <w:t>konštatuje, že konečný schválený rozpočet EDPS v roku 2023 bol 22 711 559 EUR, čo v porovnaní s rokom 2022 predstavovalo zvýšenie o 12,06 %; poznamenáva, že rozpočet EDPS sa vzťahuje aj na činnosť nezávislého sekretariátu EDPB; na základe výročnej správy EDPS za rok 2023 (ďalej len „výročná správa“) konštatuje, že schválený rozpočet EDPB na rok 2023 predstavoval 7,67 milióna EUR vrátane 300 000 EUR poskytnutých formou opravného rozpočtu, ktorý bol potrebný z dôvodu väčšieho počtu činností súvisiacich so súdnymi spormi v roku 2023;</w:t>
      </w:r>
    </w:p>
    <w:p w14:paraId="75B8E268"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6.</w:t>
      </w:r>
      <w:r w:rsidRPr="00146013">
        <w:rPr>
          <w:kern w:val="2"/>
          <w14:ligatures w14:val="standardContextual"/>
        </w:rPr>
        <w:tab/>
        <w:t>berie na vedomie, že výsledkom úsilia EDPS v oblasti monitorovania a plánovania rozpočtu v priebehu rozpočtového roka 2023 bola miera plnenia viazaných rozpočtových prostriedkov v bežnom roku na úrovni 96 % (o niečo menej ako v roku 2022, keď táto miera predstavovala 98 %); na základe správy o ročnej účtovnej závierke EDPS za rok 2023 ďalej poznamenáva, že miera plnenia platobných rozpočtových prostriedkov v bežnom roku bola 84 % (menej ako 88 % v roku 2022); okrem toho na základe odpovedí EDPS v dotazníku týkajúcom sa rozpočtového absolutória za rok 2023 (ďalej len „dotazník“), ktorý predložil Výbor pre kontrolu rozpočtu, konštatuje, že miera plnenia platobných rozpočtových prostriedkov bola v roku 2023 celkovo 91,33 % (čo je menej ako 94,09 % v roku 2022);</w:t>
      </w:r>
    </w:p>
    <w:p w14:paraId="50D294B5"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7.</w:t>
      </w:r>
      <w:r w:rsidRPr="00146013">
        <w:rPr>
          <w:kern w:val="2"/>
          <w14:ligatures w14:val="standardContextual"/>
        </w:rPr>
        <w:tab/>
        <w:t>ďalej konštatuje, že suma prenesených rozpočtových prostriedkov (C8) z roku 2023 do roku 2024 predstavovala 2 517 942,67 EUR, t. j. 11,08 % celkového rozpočtu na rok 2023, v porovnaní so sumou 1 827 354,23 EUR, resp. 9,01 % celkového rozpočtu na rok 2022; konštatuje, že miera plnenia rozpočtu C8 v roku 2023 bola 76,65 % (viac ako 73,77 % v roku 2022);</w:t>
      </w:r>
    </w:p>
    <w:p w14:paraId="399FD75E"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8.</w:t>
      </w:r>
      <w:r w:rsidRPr="00146013">
        <w:rPr>
          <w:kern w:val="2"/>
          <w14:ligatures w14:val="standardContextual"/>
        </w:rPr>
        <w:tab/>
        <w:t xml:space="preserve">víta zlepšenie priemerného času na platby z 25 dní v roku 2022 na 19 dní v roku 2023, pričom 97,50 % platieb bolo spracovaných načas; konštatuje, že k tomuto zlepšeniu došlo aj vďaka tomu, že EDPS vyriešil staršiu chybu v elektronickom platobnom </w:t>
      </w:r>
      <w:r w:rsidRPr="00146013">
        <w:rPr>
          <w:kern w:val="2"/>
          <w14:ligatures w14:val="standardContextual"/>
        </w:rPr>
        <w:lastRenderedPageBreak/>
        <w:t>systéme na úhradu faktúr za náklady na služobné cesty; ďalej berie na vedomie výrazné zvýšenie počtu platieb zo 799 v roku 2022 na 1 335 v roku 2023; v tejto súvislosti konštatuje, že počet transakcií ešte stále nedosahuje úrovne spred pandémie, a to v dôsledku zmien spôsobu práce (ako sú hybridné schôdze alebo virtuálne podujatia pre expertov);</w:t>
      </w:r>
    </w:p>
    <w:p w14:paraId="44161567"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9.</w:t>
      </w:r>
      <w:r w:rsidRPr="00146013">
        <w:rPr>
          <w:kern w:val="2"/>
          <w14:ligatures w14:val="standardContextual"/>
        </w:rPr>
        <w:tab/>
        <w:t>konštatuje, že účinky nezákonnej útočnej vojny Ruska proti Ukrajine vytvárali tlak na rozpočet EDPS aj v roku 2023, a to aj prostredníctvom rastúcej inflácie a následného zvýšenia nákladov na energiu, pričom najviac postihnutými rozpočtovými riadkami boli platy zamestnancov, náklady na bezpečnosť a prenájom budov, náklady na služobné cesty a služby poskytované externými zamestnancami; v tejto súvislosti oceňuje to, že EDPS upravil svoje priority a vykonal vnútorné prerozdelenie v rámci rozpočtových kapitol; chápe, že táto rozpočtová optimalizácia bola potrebná na úspešné zvládnutie indexácie platov zamestnancov a nájomného, ako aj zvýšenia nákladov na podporné služby externých právnikov v dôsledku zvýšeného počtu záväzných rozhodnutí EDPS, čo viedlo k väčšiemu počtu prípadov, ktoré bolo treba obhajovať na Súdnom dvore Európskej únie (SDEÚ) s pomocou externej právnej pomoci; v tejto súvislosti vyjadruje poľutovanie nad tým, že EDPS musel odložiť niektoré svoje činnosti, napríklad štúdiu uskutočniteľnosti zameranú na umelú inteligenciu; vyzýva EDPS, aby dodržiaval právomoci svojho mandátu s prístupom založeným na spolupráci s inštitúciami a agentúrami Únie a aby sa zdržal akýchkoľvek právnych krokov, najmä takých, ktoré sú zjavne neprípustné, s cieľom zabrániť negatívnemu vplyvu na riadenie zdrojov, a pre ktoré by EDPS nemohol vykonávať svoju činnosť ako inštitúcia;</w:t>
      </w:r>
    </w:p>
    <w:p w14:paraId="1E3FEB9C" w14:textId="77777777" w:rsidR="00146013" w:rsidRPr="00146013" w:rsidRDefault="00146013" w:rsidP="00146013">
      <w:pPr>
        <w:widowControl/>
        <w:spacing w:after="240"/>
        <w:ind w:left="567" w:hanging="567"/>
        <w:rPr>
          <w:kern w:val="2"/>
          <w:szCs w:val="24"/>
          <w14:ligatures w14:val="standardContextual"/>
        </w:rPr>
      </w:pPr>
      <w:r w:rsidRPr="00146013">
        <w:rPr>
          <w:kern w:val="2"/>
          <w:szCs w:val="24"/>
          <w14:ligatures w14:val="standardContextual"/>
        </w:rPr>
        <w:t>10.</w:t>
      </w:r>
      <w:r w:rsidRPr="00146013">
        <w:rPr>
          <w:kern w:val="2"/>
          <w:szCs w:val="24"/>
          <w14:ligatures w14:val="standardContextual"/>
        </w:rPr>
        <w:tab/>
        <w:t>vyjadruje znepokojenie nad výrazným zvýšením nákladov na služobné cesty zamestnancov EDPS z 28 789 EUR v roku 2021 a 176 903 EUR v roku 2022 na 284 580 EUR v roku 2023; vyzýva EDPS, aby posúdil, či sa zdroje vynaložené na služobné cesty využívajú primerane a účinne; konštatuje, že EDPS prestal zverejňovať počet služobných ciest financovaných organizátormi, ako aj informácie o tom, ktoré oddelenie alebo sektor sa na jednotlivých cestách zúčastnili, čím sa znížila transparentnosť, pokiaľ ide o výdavky na služobné cesty; vyzýva EDPS, aby znovu tieto informácie zverejňoval;</w:t>
      </w:r>
      <w:r w:rsidRPr="00146013">
        <w:rPr>
          <w:color w:val="FF0000"/>
          <w:kern w:val="2"/>
          <w:szCs w:val="24"/>
          <w14:ligatures w14:val="standardContextual"/>
        </w:rPr>
        <w:t xml:space="preserve"> </w:t>
      </w:r>
      <w:r w:rsidRPr="00146013">
        <w:rPr>
          <w:kern w:val="2"/>
          <w:szCs w:val="24"/>
          <w14:ligatures w14:val="standardContextual"/>
        </w:rPr>
        <w:t xml:space="preserve">nabáda EDPS, aby tam, kde je to vhodné, podporoval využívanie </w:t>
      </w:r>
      <w:proofErr w:type="spellStart"/>
      <w:r w:rsidRPr="00146013">
        <w:rPr>
          <w:kern w:val="2"/>
          <w:szCs w:val="24"/>
          <w14:ligatures w14:val="standardContextual"/>
        </w:rPr>
        <w:t>videokonferenčných</w:t>
      </w:r>
      <w:proofErr w:type="spellEnd"/>
      <w:r w:rsidRPr="00146013">
        <w:rPr>
          <w:kern w:val="2"/>
          <w:szCs w:val="24"/>
          <w14:ligatures w14:val="standardContextual"/>
        </w:rPr>
        <w:t xml:space="preserve"> nástrojov, keďže by to mohlo prispieť k zníženiu počtu služobných ciest a nákladov; vyzýva EDPS, aby posúdil, či sa zdroje vynaložené na služobné cesty využívajú primerane a účinne.</w:t>
      </w:r>
    </w:p>
    <w:p w14:paraId="153E7553"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Vnútorné riadenie, výkonnosť a vnútorná kontrola</w:t>
      </w:r>
    </w:p>
    <w:p w14:paraId="1827A6BB"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11.</w:t>
      </w:r>
      <w:r w:rsidRPr="00146013">
        <w:rPr>
          <w:kern w:val="2"/>
          <w14:ligatures w14:val="standardContextual"/>
        </w:rPr>
        <w:tab/>
        <w:t xml:space="preserve">konštatuje, že EDPS použil na monitorovanie svojej výkonnosti v roku 2023 deväť kľúčových ukazovateľov výkonnosti (KPI), čo je v súlade s hlavnými cieľmi stratégie EDPS na roky 2020 – 2024, ktorá sa vykonáva prostredníctvom ročného plánu riadenia; na základe výročnej správy poznamenáva, že EDPS prekonal svoje ciele takmer vo všetkých oblastiach, o čom svedčia výsledky kľúčových ukazovateľov výkonnosti za rok 2023, s výnimkou jedného KPI (počet </w:t>
      </w:r>
      <w:proofErr w:type="spellStart"/>
      <w:r w:rsidRPr="00146013">
        <w:rPr>
          <w:kern w:val="2"/>
          <w14:ligatures w14:val="standardContextual"/>
        </w:rPr>
        <w:t>sledovateľov</w:t>
      </w:r>
      <w:proofErr w:type="spellEnd"/>
      <w:r w:rsidRPr="00146013">
        <w:rPr>
          <w:kern w:val="2"/>
          <w14:ligatures w14:val="standardContextual"/>
        </w:rPr>
        <w:t xml:space="preserve"> účtov EDPS v niektorých sociálnych médiách); so znepokojením konštatuje, že EDPS sa stretol so značnými výzvami v dôsledku rastúcej pracovnej záťaže a zložitých problémov v oblasti ochrany údajov spojených s rýchlo sa vyvíjajúcim digitálnym prostredím, ako aj z dôvodu rozšírenia jeho mandátu o činnosti dozoru (ako sú audity a vyšetrovania) a odpovede na konzultácie a predbežné konzultácie, a to všetko pri obmedzenom rozpočte; na základe správy EDPS o opatreniach prijatých v nadväznosti na uznesenie Európskeho parlamentu o plnení rozpočtu EDPS za rok 2022 (ďalej len „správa o následných </w:t>
      </w:r>
      <w:r w:rsidRPr="00146013">
        <w:rPr>
          <w:kern w:val="2"/>
          <w14:ligatures w14:val="standardContextual"/>
        </w:rPr>
        <w:lastRenderedPageBreak/>
        <w:t xml:space="preserve">opatreniach“) poznamenáva, že prácu a zdroje EDPS ovplyvnilo niekoľko legislatívnych zmien v posledných dvoch rokoch v dôsledku rozšírenia mandátu </w:t>
      </w:r>
      <w:proofErr w:type="spellStart"/>
      <w:r w:rsidRPr="00146013">
        <w:rPr>
          <w:kern w:val="2"/>
          <w14:ligatures w14:val="standardContextual"/>
        </w:rPr>
        <w:t>Eurojustu</w:t>
      </w:r>
      <w:proofErr w:type="spellEnd"/>
      <w:r w:rsidRPr="00146013">
        <w:rPr>
          <w:kern w:val="2"/>
          <w14:ligatures w14:val="standardContextual"/>
        </w:rPr>
        <w:t xml:space="preserve">, nových informácií, ktoré má dostávať </w:t>
      </w:r>
      <w:proofErr w:type="spellStart"/>
      <w:r w:rsidRPr="00146013">
        <w:rPr>
          <w:kern w:val="2"/>
          <w14:ligatures w14:val="standardContextual"/>
        </w:rPr>
        <w:t>Europol</w:t>
      </w:r>
      <w:proofErr w:type="spellEnd"/>
      <w:r w:rsidRPr="00146013">
        <w:rPr>
          <w:kern w:val="2"/>
          <w14:ligatures w14:val="standardContextual"/>
        </w:rPr>
        <w:t xml:space="preserve"> na základe aktu o digitálnych službách, zavedenia nových rozsiahlych databáz Únie a rámca </w:t>
      </w:r>
      <w:proofErr w:type="spellStart"/>
      <w:r w:rsidRPr="00146013">
        <w:rPr>
          <w:kern w:val="2"/>
          <w14:ligatures w14:val="standardContextual"/>
        </w:rPr>
        <w:t>interoperability</w:t>
      </w:r>
      <w:proofErr w:type="spellEnd"/>
      <w:r w:rsidRPr="00146013">
        <w:rPr>
          <w:kern w:val="2"/>
          <w14:ligatures w14:val="standardContextual"/>
        </w:rPr>
        <w:t xml:space="preserve"> v oblasti spravodlivosti a vnútorných vecí a z dôvodu nadobudnutia účinnosti aktu o umelej inteligencii (ďalej len „akt o AI“); vyzýva Komisiu a rozpočtový orgán, aby tieto záležitosti zohľadnili v rámci ročného rozpočtového postupu;</w:t>
      </w:r>
    </w:p>
    <w:p w14:paraId="4434028A"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12.</w:t>
      </w:r>
      <w:r w:rsidRPr="00146013">
        <w:rPr>
          <w:kern w:val="2"/>
          <w14:ligatures w14:val="standardContextual"/>
        </w:rPr>
        <w:tab/>
        <w:t xml:space="preserve">víta skutočnosť, že EDPS v roku 2023 posilnil svoju schopnosť posudzovať nové technologické trendy a ich potenciálny vplyv na ochranu súkromia a údajov a pripraviť sa na </w:t>
      </w:r>
      <w:proofErr w:type="spellStart"/>
      <w:r w:rsidRPr="00146013">
        <w:rPr>
          <w:kern w:val="2"/>
          <w14:ligatures w14:val="standardContextual"/>
        </w:rPr>
        <w:t>ne</w:t>
      </w:r>
      <w:proofErr w:type="spellEnd"/>
      <w:r w:rsidRPr="00146013">
        <w:rPr>
          <w:kern w:val="2"/>
          <w14:ligatures w14:val="standardContextual"/>
        </w:rPr>
        <w:t>; konštatuje, že to sa dosiahlo prostredníctvom prístupu založeného na výhľade, ktorý sa zameriava na monitorovanie vývoja v oblastiach, ako sú veľké jazykové modely, peňaženky digitálnej identity, internet vzorcov správania, rozšírená realita a odhaľovanie „</w:t>
      </w:r>
      <w:proofErr w:type="spellStart"/>
      <w:r w:rsidRPr="00146013">
        <w:rPr>
          <w:kern w:val="2"/>
          <w14:ligatures w14:val="standardContextual"/>
        </w:rPr>
        <w:t>deep</w:t>
      </w:r>
      <w:proofErr w:type="spellEnd"/>
      <w:r w:rsidRPr="00146013">
        <w:rPr>
          <w:kern w:val="2"/>
          <w14:ligatures w14:val="standardContextual"/>
        </w:rPr>
        <w:t xml:space="preserve"> </w:t>
      </w:r>
      <w:proofErr w:type="spellStart"/>
      <w:r w:rsidRPr="00146013">
        <w:rPr>
          <w:kern w:val="2"/>
          <w14:ligatures w14:val="standardContextual"/>
        </w:rPr>
        <w:t>fake</w:t>
      </w:r>
      <w:proofErr w:type="spellEnd"/>
      <w:r w:rsidRPr="00146013">
        <w:rPr>
          <w:kern w:val="2"/>
          <w14:ligatures w14:val="standardContextual"/>
        </w:rPr>
        <w:t xml:space="preserve">“ obsahu; v tejto súvislosti víta, že EDPS zverejnil svoju tretiu iniciatívu </w:t>
      </w:r>
      <w:proofErr w:type="spellStart"/>
      <w:r w:rsidRPr="00146013">
        <w:rPr>
          <w:kern w:val="2"/>
          <w14:ligatures w14:val="standardContextual"/>
        </w:rPr>
        <w:t>TechSonar</w:t>
      </w:r>
      <w:proofErr w:type="spellEnd"/>
      <w:r w:rsidRPr="00146013">
        <w:rPr>
          <w:kern w:val="2"/>
          <w14:ligatures w14:val="standardContextual"/>
        </w:rPr>
        <w:t xml:space="preserve"> týkajúcu sa nových technológií; okrem toho blahoželá EDPS k tomu, že mu bola udelená cena GPA </w:t>
      </w:r>
      <w:proofErr w:type="spellStart"/>
      <w:r w:rsidRPr="00146013">
        <w:rPr>
          <w:kern w:val="2"/>
          <w14:ligatures w14:val="standardContextual"/>
        </w:rPr>
        <w:t>Global</w:t>
      </w:r>
      <w:proofErr w:type="spellEnd"/>
      <w:r w:rsidRPr="00146013">
        <w:rPr>
          <w:kern w:val="2"/>
          <w14:ligatures w14:val="standardContextual"/>
        </w:rPr>
        <w:t xml:space="preserve"> </w:t>
      </w:r>
      <w:proofErr w:type="spellStart"/>
      <w:r w:rsidRPr="00146013">
        <w:rPr>
          <w:kern w:val="2"/>
          <w14:ligatures w14:val="standardContextual"/>
        </w:rPr>
        <w:t>Privacy</w:t>
      </w:r>
      <w:proofErr w:type="spellEnd"/>
      <w:r w:rsidRPr="00146013">
        <w:rPr>
          <w:kern w:val="2"/>
          <w14:ligatures w14:val="standardContextual"/>
        </w:rPr>
        <w:t xml:space="preserve"> and </w:t>
      </w:r>
      <w:proofErr w:type="spellStart"/>
      <w:r w:rsidRPr="00146013">
        <w:rPr>
          <w:kern w:val="2"/>
          <w14:ligatures w14:val="standardContextual"/>
        </w:rPr>
        <w:t>Data</w:t>
      </w:r>
      <w:proofErr w:type="spellEnd"/>
      <w:r w:rsidRPr="00146013">
        <w:rPr>
          <w:kern w:val="2"/>
          <w14:ligatures w14:val="standardContextual"/>
        </w:rPr>
        <w:t xml:space="preserve"> </w:t>
      </w:r>
      <w:proofErr w:type="spellStart"/>
      <w:r w:rsidRPr="00146013">
        <w:rPr>
          <w:kern w:val="2"/>
          <w14:ligatures w14:val="standardContextual"/>
        </w:rPr>
        <w:t>Protection</w:t>
      </w:r>
      <w:proofErr w:type="spellEnd"/>
      <w:r w:rsidRPr="00146013">
        <w:rPr>
          <w:kern w:val="2"/>
          <w14:ligatures w14:val="standardContextual"/>
        </w:rPr>
        <w:t xml:space="preserve"> </w:t>
      </w:r>
      <w:proofErr w:type="spellStart"/>
      <w:r w:rsidRPr="00146013">
        <w:rPr>
          <w:kern w:val="2"/>
          <w14:ligatures w14:val="standardContextual"/>
        </w:rPr>
        <w:t>Awards</w:t>
      </w:r>
      <w:proofErr w:type="spellEnd"/>
      <w:r w:rsidRPr="00146013">
        <w:rPr>
          <w:kern w:val="2"/>
          <w14:ligatures w14:val="standardContextual"/>
        </w:rPr>
        <w:t xml:space="preserve"> (cena za ochranu súkromia a osobných údajov Globálnej agentúry pre ochranu súkromia) za rok 2023 v kategórii inovácií;</w:t>
      </w:r>
    </w:p>
    <w:p w14:paraId="1A52413A"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13.</w:t>
      </w:r>
      <w:r w:rsidRPr="00146013">
        <w:rPr>
          <w:kern w:val="2"/>
          <w14:ligatures w14:val="standardContextual"/>
        </w:rPr>
        <w:tab/>
        <w:t>konštatuje, že v roku 2023 došlo k viacerým organizačným zmenám alebo aktualizáciám, ktoré boli potrebné na to, aby bolo možné reagovať na vyvíjajúce sa výzvy v oblasti ochrany údajov a prispôsobiť sa im; v tejto súvislosti víta vymenovanie generálneho tajomníka od 1. júla 2023; okrem toho berie na vedomie zmenu spočívajúcu v tom, že z dvoch úsekov sa stali oddelenia: oddelenie pre informácie a komunikáciu a oddelenie pre riadenie a vnútornú kontrolu, a vytvorenie troch nových špecializovaných úsekov na oddelení pre technológie a ochranu súkromia: úsek pre dohľad nad systémami a ich audit, úsek pre monitorovanie technológií a výhľad a úsek pre digitálnu transformáciu;</w:t>
      </w:r>
    </w:p>
    <w:p w14:paraId="609D006C" w14:textId="77777777" w:rsidR="00146013" w:rsidRPr="00146013" w:rsidRDefault="00146013" w:rsidP="00146013">
      <w:pPr>
        <w:widowControl/>
        <w:spacing w:after="240"/>
        <w:ind w:left="567" w:hanging="567"/>
        <w:rPr>
          <w:kern w:val="2"/>
          <w:szCs w:val="24"/>
          <w14:ligatures w14:val="standardContextual"/>
        </w:rPr>
      </w:pPr>
      <w:r w:rsidRPr="00146013">
        <w:rPr>
          <w:kern w:val="2"/>
          <w:szCs w:val="24"/>
          <w14:ligatures w14:val="standardContextual"/>
        </w:rPr>
        <w:t>14.</w:t>
      </w:r>
      <w:r w:rsidRPr="00146013">
        <w:rPr>
          <w:kern w:val="2"/>
          <w:szCs w:val="24"/>
          <w14:ligatures w14:val="standardContextual"/>
        </w:rPr>
        <w:tab/>
        <w:t>zdôrazňuje úlohu EDPS pri dohľade nad spracúvaním osobných údajov inštitúciami, orgánmi, úradmi a agentúrami Únie; so znepokojením berie na vedomie dĺžku konaní EDPS, keďže EDPS v roku 2023 neuzavrel ani jedno vyšetrovanie, pričom však v porovnaní s predchádzajúcim rokom počet oznámení po uplynutí 72 hodín v roku 2023 výrazne klesol;</w:t>
      </w:r>
    </w:p>
    <w:p w14:paraId="02260B7A"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15.</w:t>
      </w:r>
      <w:r w:rsidRPr="00146013">
        <w:rPr>
          <w:kern w:val="2"/>
          <w14:ligatures w14:val="standardContextual"/>
        </w:rPr>
        <w:tab/>
        <w:t>berie na vedomie, že EDPS v roku 2023 dostal 420 sťažností, t. j. o 53 viac ako v roku 2022, z čoho 73 bolo prípustných a 347 neprípustných; konštatuje, že EDPS vydal konečné rozhodnutie, stanovisko alebo odpoveď v 31 zo 73 prípadov sťažností prijatých v roku 2023 v priemere do 44 dní a odpovedal na všetkých 347 prijatých neprípustných sťažností; konštatuje, že zo všetkých prípustných sťažností (ešte nevyriešených a prijatých v roku 2023) bolo v roku 2023 ukončených 55 prípadov, čo v porovnaní s rokom 2022 predstavuje nárast o 17 %; uznáva úsilie, ktoré EDPS vynaložil v snahe znížiť vysoký počet sťažností vyvinutím dynamického nástroja na webovom sídle EDPS, hoci objem sťažností bol aj v roku 2023 značný z dôvodu obmedzených zdrojov; s uspokojením konštatuje, že EDPS vypracoval v roku 2023 rôzne procesné nástroje a politiky na zlepšenie svojich vyšetrovacích postupov; v tejto súvislosti vyjadruje uznanie EDPS za to, že zmenil svoj rokovací poriadok, pričom „postup preskúmania“ nahradil pojmom „predbežné posúdenie“, aby sa zaručilo právo všetkých zapojených strán na vypočutie, a tak umožnilo včas a spravodlivo vybavovať sťažnosti a viesť vyšetrovania;</w:t>
      </w:r>
    </w:p>
    <w:p w14:paraId="0892EB71"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lastRenderedPageBreak/>
        <w:t>16.</w:t>
      </w:r>
      <w:r w:rsidRPr="00146013">
        <w:rPr>
          <w:kern w:val="2"/>
          <w14:ligatures w14:val="standardContextual"/>
        </w:rPr>
        <w:tab/>
        <w:t>podčiarkuje dôležitú úlohu konzultácií s EDPS a jeho poradenstva v legislatívnom procese; konštatuje, že v reakcii na žiadosti o legislatívne konzultácie v roku 2023 EDPS reagoval podľa článku 42 ods. 1 nariadenia (EÚ) 2018/1725 na 80 formálnych legislatívnych konzultácií a Komisii a </w:t>
      </w:r>
      <w:proofErr w:type="spellStart"/>
      <w:r w:rsidRPr="00146013">
        <w:rPr>
          <w:kern w:val="2"/>
          <w14:ligatures w14:val="standardContextual"/>
        </w:rPr>
        <w:t>spoluzákonodarcom</w:t>
      </w:r>
      <w:proofErr w:type="spellEnd"/>
      <w:r w:rsidRPr="00146013">
        <w:rPr>
          <w:kern w:val="2"/>
          <w14:ligatures w14:val="standardContextual"/>
        </w:rPr>
        <w:t xml:space="preserve"> poskytol poradenstvo vo forme 54 stanovísk (27 v roku 2022), 26 formálnych pripomienok (49 v roku 2022) a 34 neformálnych pripomienok (30 v roku 2022); vyjadruje uznanie EDPS za jeho príspevok k aktu o AI, najmä za jeho stanovisko z vlastnej iniciatívy k aktu o AI a poradenstvo týkajúce sa pravidiel zodpovednosti za umelú inteligenciu, ako aj za jeho príspevok k uzneseniu Globálneho zhromaždenia pre ochranu údajov o systémoch generatívnej umelej inteligencie; uznáva, že za posledných päť rokov sa výrazne zvýšil počet žiadostí o konzultácie (+ 93 %);</w:t>
      </w:r>
    </w:p>
    <w:p w14:paraId="075EF04D"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17.</w:t>
      </w:r>
      <w:r w:rsidRPr="00146013">
        <w:rPr>
          <w:kern w:val="2"/>
          <w14:ligatures w14:val="standardContextual"/>
        </w:rPr>
        <w:tab/>
        <w:t>poznamenáva, že EDPS vykonal v roku 2023 osem vyšetrovaní a päť predbežných vyšetrovaní, čo v porovnaní s predchádzajúcimi rokmi znamenalo výrazný nárast; konštatuje, že v roku 2023 sa EDPS aktívne zapojil celkovo do 13 vyšetrovaní a siedmich predbežných vyšetrovaní, ktoré sa buď začali v roku 2023, alebo preniesli z predchádzajúcich rokov; berie na vedomie, že EDPS pokračoval v dvoch zložitých formálnych vyšetrovaniach z roku 2021 náročných na zdroje, ktoré sa týkali využívania cloudových služieb poskytovanými subjektmi mimo EÚ/EHP inštitúciami, orgánmi, úradmi a agentúrami Európskej únie, pričom sa zameral aj na používanie nástroja Microsoft 365 v Komisii; naliehavo vyzýva na včasné ukončenie tohto vyšetrovania z dôvodu jeho značného vplyvu na prácu inštitúcií; ďalej konštatuje, že EDPS takisto začal päť vyšetrovaní na základe sťažností na webové sídla inštitúcií, orgánov, úradov a agentúr EÚ, v ktorých sa zameral zoširoka na otázky ochrany súkromia a osobných údajov, pričom predbežné posúdenia mali byť k dispozícii v roku 2024;</w:t>
      </w:r>
    </w:p>
    <w:p w14:paraId="60355E74"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18.</w:t>
      </w:r>
      <w:r w:rsidRPr="00146013">
        <w:rPr>
          <w:kern w:val="2"/>
          <w14:ligatures w14:val="standardContextual"/>
        </w:rPr>
        <w:tab/>
        <w:t xml:space="preserve">naliehavo vyzýva EDPS, aby uprednostnil a zlepšil postupy zaobchádzania s osobnými údajmi maloletých mladších ako 15 rokov, najmä v súvislosti so systémami </w:t>
      </w:r>
      <w:proofErr w:type="spellStart"/>
      <w:r w:rsidRPr="00146013">
        <w:rPr>
          <w:kern w:val="2"/>
          <w14:ligatures w14:val="standardContextual"/>
        </w:rPr>
        <w:t>Europolu</w:t>
      </w:r>
      <w:proofErr w:type="spellEnd"/>
      <w:r w:rsidRPr="00146013">
        <w:rPr>
          <w:kern w:val="2"/>
          <w14:ligatures w14:val="standardContextual"/>
        </w:rPr>
        <w:t>, kde takéto osoby môžu byť označené ako podozrivé; uznáva zvýšenú zraniteľnosť tejto skupiny a potrebu spoľahlivých záruk;</w:t>
      </w:r>
    </w:p>
    <w:p w14:paraId="7A756454"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19.</w:t>
      </w:r>
      <w:r w:rsidRPr="00146013">
        <w:rPr>
          <w:kern w:val="2"/>
          <w14:ligatures w14:val="standardContextual"/>
        </w:rPr>
        <w:tab/>
        <w:t xml:space="preserve">berie na vedomie, že EDPS vyšetroval </w:t>
      </w:r>
      <w:proofErr w:type="spellStart"/>
      <w:r w:rsidRPr="00146013">
        <w:rPr>
          <w:kern w:val="2"/>
          <w14:ligatures w14:val="standardContextual"/>
        </w:rPr>
        <w:t>mikrocielenie</w:t>
      </w:r>
      <w:proofErr w:type="spellEnd"/>
      <w:r w:rsidRPr="00146013">
        <w:rPr>
          <w:kern w:val="2"/>
          <w14:ligatures w14:val="standardContextual"/>
        </w:rPr>
        <w:t xml:space="preserve"> na platforme X, ktoré údajne využívala Komisia, a pokračoval v dvoch predbežných vyšetrovaniach: jeden prípad sa týkal využívania cloudovej služby </w:t>
      </w:r>
      <w:proofErr w:type="spellStart"/>
      <w:r w:rsidRPr="00146013">
        <w:rPr>
          <w:kern w:val="2"/>
          <w14:ligatures w14:val="standardContextual"/>
        </w:rPr>
        <w:t>Trello</w:t>
      </w:r>
      <w:proofErr w:type="spellEnd"/>
      <w:r w:rsidRPr="00146013">
        <w:rPr>
          <w:kern w:val="2"/>
          <w14:ligatures w14:val="standardContextual"/>
        </w:rPr>
        <w:t xml:space="preserve"> inštitúciami, orgánmi, úradmi a agentúrami EÚ a bol uzavretý v roku 2023, druhý využívania profilovania inštitúciami, orgánmi, úradmi a agentúrami EÚ, ktoré sa vyšetrovalo v roku 2024; poznamenáva, že v priestore slobody, bezpečnosti a spravodlivosti sa začalo celkovo šesť vyšetrovaní a štyri predbežné vyšetrovania (jedno predbežné vyšetrovanie v roku 2022), čo predstavuje výrazný nárast od roku 2022; berie na vedomie obavy EDPS v súvislosti s výzvami, ktoré môžu vzniknúť v prípade vyšetrovaní, pri ktorých je potrebná súčinnosť vnútroštátnych orgánov a inštitúcií, orgánov, úradov a agentúr EÚ; okrem toho konštatuje, že EDPS vykonal v rámci svojho plánu auditu na rok 2023 audit týchto orgánov: Európsky úrad pre výber pracovníkov, Európska investičná banka, Európska centrálna banka, Európske centrum pre prevenciu a kontrolu chorôb a Európska agentúra pre lieky;</w:t>
      </w:r>
    </w:p>
    <w:p w14:paraId="0496DBD0"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20.</w:t>
      </w:r>
      <w:r w:rsidRPr="00146013">
        <w:rPr>
          <w:kern w:val="2"/>
          <w14:ligatures w14:val="standardContextual"/>
        </w:rPr>
        <w:tab/>
        <w:t>pripomína, že v roku 2022 podal EDPS žalobu na Súdny dvor Európskej únie o neplatnosť dvoch ustanovení zmeneného nariadenia o </w:t>
      </w:r>
      <w:proofErr w:type="spellStart"/>
      <w:r w:rsidRPr="00146013">
        <w:rPr>
          <w:kern w:val="2"/>
          <w14:ligatures w14:val="standardContextual"/>
        </w:rPr>
        <w:t>Europole</w:t>
      </w:r>
      <w:proofErr w:type="spellEnd"/>
      <w:r w:rsidRPr="00146013">
        <w:rPr>
          <w:kern w:val="2"/>
          <w14:ligatures w14:val="standardContextual"/>
        </w:rPr>
        <w:t xml:space="preserve">, ktorá bola neskôr zamietnutá; konštatuje, že EDPS sa medzitým rozhodol odvolať proti uzneseniu </w:t>
      </w:r>
      <w:r w:rsidRPr="00146013">
        <w:rPr>
          <w:kern w:val="2"/>
          <w14:ligatures w14:val="standardContextual"/>
        </w:rPr>
        <w:lastRenderedPageBreak/>
        <w:t>Všeobecného súdu vo veci T-578/22 </w:t>
      </w:r>
      <w:r w:rsidRPr="00146013">
        <w:rPr>
          <w:kern w:val="2"/>
          <w:vertAlign w:val="superscript"/>
          <w14:ligatures w14:val="standardContextual"/>
        </w:rPr>
        <w:footnoteReference w:id="9"/>
      </w:r>
      <w:r w:rsidRPr="00146013">
        <w:rPr>
          <w:kern w:val="2"/>
          <w14:ligatures w14:val="standardContextual"/>
        </w:rPr>
        <w:t xml:space="preserve">, keďže sa domnieva, že nastolené otázky by sa mali riešiť na najvyššej úrovni; vyjadruje poľutovanie nad tým, že EDPS si neuvedomil zjavnú neprípustnosť svojho odvolania, aj keď inštitúcia nemala v úmysle napadnúť konanie </w:t>
      </w:r>
      <w:proofErr w:type="spellStart"/>
      <w:r w:rsidRPr="00146013">
        <w:rPr>
          <w:kern w:val="2"/>
          <w14:ligatures w14:val="standardContextual"/>
        </w:rPr>
        <w:t>Europolu</w:t>
      </w:r>
      <w:proofErr w:type="spellEnd"/>
      <w:r w:rsidRPr="00146013">
        <w:rPr>
          <w:kern w:val="2"/>
          <w14:ligatures w14:val="standardContextual"/>
        </w:rPr>
        <w:t xml:space="preserve">, ale retroaktívnu zmenu právneho rámca zameranú na neutralizáciu účinkov opatrení EDPS na presadzovanie práva; vyzýva tento orgán, aby spolupracoval s inštitúciami a agentúrami Únie pred tým, ako začne súdne konanie, ktoré bráni plneniu jeho mandátu a využívaniu jeho zdrojov na účely, na ktoré boli určené; ďalej poznamenáva, že EDPS takisto uskutočnil kroky v nadväznosti na vykonávanie svojho príkazu z 3. januára 2022, medzi ktorými boli kontroly podávania správ </w:t>
      </w:r>
      <w:proofErr w:type="spellStart"/>
      <w:r w:rsidRPr="00146013">
        <w:rPr>
          <w:kern w:val="2"/>
          <w14:ligatures w14:val="standardContextual"/>
        </w:rPr>
        <w:t>Europolom</w:t>
      </w:r>
      <w:proofErr w:type="spellEnd"/>
      <w:r w:rsidRPr="00146013">
        <w:rPr>
          <w:kern w:val="2"/>
          <w14:ligatures w14:val="standardContextual"/>
        </w:rPr>
        <w:t>; vyjadruje poľutovanie nad tým, že EDPS poskytol záverečnú správu v tejto veci až 22. júla 2024;</w:t>
      </w:r>
    </w:p>
    <w:p w14:paraId="2A7B6041"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21.</w:t>
      </w:r>
      <w:r w:rsidRPr="00146013">
        <w:rPr>
          <w:kern w:val="2"/>
          <w14:ligatures w14:val="standardContextual"/>
        </w:rPr>
        <w:tab/>
        <w:t>konštatuje, že po pilotnom vykonávaní nového rámca riadenia rizík v úrade EDPS koncom roka 2022 sa v máji 2023 uskutočnil anonymný prieskum spokojnosti, ktorého cieľom bolo posúdiť jeho účinnosť a zhromaždiť ďalšie návrhy; ďalej konštatuje, že výsledky prieskumu boli pozitívne, čo viedlo k formálnemu prijatiu rámca 26. júna 2023;</w:t>
      </w:r>
    </w:p>
    <w:p w14:paraId="5A285F19"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22.</w:t>
      </w:r>
      <w:r w:rsidRPr="00146013">
        <w:rPr>
          <w:kern w:val="2"/>
          <w14:ligatures w14:val="standardContextual"/>
        </w:rPr>
        <w:tab/>
        <w:t>poznamenáva, že Útvar pre vnútorný audit (IAS) vykonal v roku 2023 v úrade EDPS audit metodiky plánovania auditov EDPS; konštatuje, že audit bol ukončený s dvoma odporúčaniami, ku ktorým EDPS predložil Útvaru pre vnútorný audit akčný plán; vyzýva EDPS, aby pravidelne informoval orgán udeľujúci absolutórium o pokroku dosiahnutom v tejto veci;</w:t>
      </w:r>
    </w:p>
    <w:p w14:paraId="59D538D8"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23.</w:t>
      </w:r>
      <w:r w:rsidRPr="00146013">
        <w:rPr>
          <w:kern w:val="2"/>
          <w14:ligatures w14:val="standardContextual"/>
        </w:rPr>
        <w:tab/>
        <w:t>pripomína Zmluvu o Európskej únii a skutočnosť, že EÚ a jej inštitúcie majú podporovať solidaritu a rovnosť medzi ženami a mužmi;</w:t>
      </w:r>
    </w:p>
    <w:p w14:paraId="63F28C7C"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Ľudské zdroje, rovnosť a dobré pracovné podmienky zamestnancov</w:t>
      </w:r>
    </w:p>
    <w:p w14:paraId="6B045EF7"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24.</w:t>
      </w:r>
      <w:r w:rsidRPr="00146013">
        <w:rPr>
          <w:kern w:val="2"/>
          <w14:ligatures w14:val="standardContextual"/>
        </w:rPr>
        <w:tab/>
        <w:t>konštatuje, že na konci roka 2023 mal EDPS 129 zamestnancov v porovnaní so 127 zamestnancami v roku 2022; konštatuje, že EDPS v roku 2023 zamestnával 50 zmluvných zamestnancov podľa článku 3 písm. b) Služobného poriadku úradníkov Únie a Podmienok zamestnávania ostatných zamestnancov Únie (52 zmluvných zamestnancov v roku 2022), 7 dočasných zamestnancov podľa článku 2 písm. b) a článku 2 písm. c) (6 dočasných zamestnancov v roku 2022) a využíval služby 12 externých poskytovateľov služieb, ktorí pracovali interne (8 externých poskytovateľov služieb v roku 2022); nabáda EDPS, aby pokračoval vo svojom úsilí o vyváženejšie geografické zastúpenie medzi všetkými členskými štátmi, najmä na riadiacej úrovni; víta zvýšenú rozmanitosť zastúpených národností, ale s poľutovaním berie na vedomie pretrvávajúce nedostatočné zastúpenie žien na vyšších riadiacich pozíciách; vyzýva na prijatie plánu rodovej rovnosti vrátane proaktívnych náborových opatrení a programov školení v oblasti riadenia pre zamestnankyne;</w:t>
      </w:r>
    </w:p>
    <w:p w14:paraId="21BC157B"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25.</w:t>
      </w:r>
      <w:r w:rsidRPr="00146013">
        <w:rPr>
          <w:kern w:val="2"/>
          <w14:ligatures w14:val="standardContextual"/>
        </w:rPr>
        <w:tab/>
        <w:t xml:space="preserve">konštatuje, že EDPS mal v roku 2023 medzi svojimi zamestnancami 23 národností (z členských štátov), čo je zlepšenie v porovnaní s 22 národnosťami v roku 2022; s nespokojnosťou berie na vedomie nadmerné zastúpenie piatich národností a nedostatočné zastúpenie iných národností; naliehavo vyzýva EDPS, aby pokračoval vo svojom úsilí o dosiahnutie vyváženého geografického rozdelenia štátnych </w:t>
      </w:r>
      <w:r w:rsidRPr="00146013">
        <w:rPr>
          <w:kern w:val="2"/>
          <w14:ligatures w14:val="standardContextual"/>
        </w:rPr>
        <w:lastRenderedPageBreak/>
        <w:t>príslušníkov zo všetkých členských štátov medzi svojimi zamestnancami, a to zlepšením komunikácie, posilnením viditeľnosti a zlepšením pracovných podmienok s cieľom prilákať nedostatočne zastúpené národnosti;</w:t>
      </w:r>
    </w:p>
    <w:p w14:paraId="4790CAF4" w14:textId="77777777" w:rsidR="00146013" w:rsidRPr="00146013" w:rsidRDefault="00146013" w:rsidP="00146013">
      <w:pPr>
        <w:spacing w:after="240"/>
        <w:ind w:left="567" w:hanging="567"/>
        <w:rPr>
          <w:b/>
          <w:i/>
          <w:kern w:val="2"/>
          <w14:ligatures w14:val="standardContextual"/>
        </w:rPr>
      </w:pPr>
      <w:r w:rsidRPr="00146013">
        <w:rPr>
          <w:kern w:val="2"/>
          <w14:ligatures w14:val="standardContextual"/>
        </w:rPr>
        <w:t>26.</w:t>
      </w:r>
      <w:r w:rsidRPr="00146013">
        <w:rPr>
          <w:kern w:val="2"/>
          <w14:ligatures w14:val="standardContextual"/>
        </w:rPr>
        <w:tab/>
        <w:t>konštatuje, že v roku 2023 bol počet zamestnancov EDPS nezmenený a zahŕňal 65 % žien a 35 % mužov, čo je v súlade s trendmi z predchádzajúcich rokov; vyjadruje poľutovanie nad absenciou žien vo vyšších riadiacich funkciách, a to aj napriek dosiahnutiu rodovej rovnosti na šiestich pozíciách stredného manažmentu; naliehavo vyzýva EDPS, aby zintenzívnil úsilie o zabezpečenie rodovo vyváženého zastúpenia na všetkých úrovniach zamestnancov, a vyzýva EDPS, aby podporoval ženy ako uchádzačky, a to aj vzhľadom na budúce voľby dozorného úradníka Európskym parlamentom;</w:t>
      </w:r>
    </w:p>
    <w:p w14:paraId="18C6C01F"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27.</w:t>
      </w:r>
      <w:r w:rsidRPr="00146013">
        <w:rPr>
          <w:kern w:val="2"/>
          <w14:ligatures w14:val="standardContextual"/>
        </w:rPr>
        <w:tab/>
        <w:t>berie na vedomie vysokú mieru obsadenosti na úrovni 95,65 % v pláne pracovných miest, ale aj vysokú mieru fluktuácie zamestnancov na úrovni 13 % v roku 2023; konštatuje, že dôvodom neobsadenia väčšiny pozícií bola nevhodnosť uchádzačov, keďže EDPS potrebuje úzko špecializované profily sa okruh vhodných uchádzačov je malý; víta, že tieto výzvy sa riešili opätovným uverejnením oznámenia o voľnom pracovnom mieste so širším alebo cielenejším zameraním alebo preformulovaním požiadaviek; víta kroky, ktoré EDPS prijal v súvislosti s procesom prijímania zamestnancov; vyzýva EDPS, aby ďalej riešil výzvy pri hľadaní vhodných uchádzačov a aby priebežne informoval orgán udeľujúci absolutórium o zlepšeniach pri prijímaní zamestnancov a znižovaní ich fluktuácie;</w:t>
      </w:r>
    </w:p>
    <w:p w14:paraId="1BC511B2"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28.</w:t>
      </w:r>
      <w:r w:rsidRPr="00146013">
        <w:rPr>
          <w:kern w:val="2"/>
          <w14:ligatures w14:val="standardContextual"/>
        </w:rPr>
        <w:tab/>
        <w:t>berie na vedomie, že tím EDPS pre ľudské zdroje začal v druhom polroku 2023 pilotný projekt týkajúci sa nového postupu zaškoľovania nových zamestnancov, ktorého súčasťou sú okrem iného prezentácie práce hlavných útvarov, etických noriem, postupov verejného obstarávania a bezpečnosti informácií, pričom v roku 2023 boli v ponuke tri takéto školenia; vyzýva EDPS, aby naďalej ponúkal kurzy zaškoľovania nových zamestnancov a povinné kurzy pre všetkých zamestnancov, na ktorých sa pripomenie význam zásad, ako sú etika, konflikty záujmov, transparentnosť, vnútorná kontrola a boj proti podvodom, pretože tieto zásady sa stali v inštitúciách Únie normou; okrem toho konštatuje, že zamestnancom EDPS a EDPB bolo v roku 2023 ponúknutých 12 individuálnych kurzov, šesť kurzov skupinového koučingu, na ktorých sa účastníci (z radov vedúcich pracovníkov) učili navzájom, ako aj jednoročný skupinový koučing s odborníkom na rozvoj vodcovských zručností v Európskej škole verejnej správy;</w:t>
      </w:r>
    </w:p>
    <w:p w14:paraId="7244A87C"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29.</w:t>
      </w:r>
      <w:r w:rsidRPr="00146013">
        <w:rPr>
          <w:kern w:val="2"/>
          <w14:ligatures w14:val="standardContextual"/>
        </w:rPr>
        <w:tab/>
        <w:t>na základe dotazníka konštatuje, že EDPS ponúka pružné a hybridné formy organizácie práce, ktoré zamestnanci vítajú, pričom môžu využívať okrem iného aj rodičovskú dovolenku, časové kredity, prácu na čiastočný úväzok alebo na obmedzený počet dní v roku prácu zo zahraničia; konštatuje, že v roku 2023 využila tieto pracovné podmienky väčšina zamestnancov a možnosť práce na diaľku uplatnilo 86,30 % zamestnancov; domnieva sa, že infraštruktúra budov by sa mala optimalizovať tak, aby odrážala túto vysokú mieru práce na diaľku, čo by mohlo prispieť k zníženiu prevádzkových nákladov a zabezpečeniu efektívnejšieho využívania kancelárskych priestorov; víta pokračujúce úsilie dozorného úradníka o aktívne zlepšovanie fyzickej a duševnej pohody svojich zamestnancov;</w:t>
      </w:r>
    </w:p>
    <w:p w14:paraId="4F00A08C"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30.</w:t>
      </w:r>
      <w:r w:rsidRPr="00146013">
        <w:rPr>
          <w:kern w:val="2"/>
          <w14:ligatures w14:val="standardContextual"/>
        </w:rPr>
        <w:tab/>
        <w:t>oceňuje, že EDPS počas roka 2023 zrealizoval niekoľko opatrení na zvýšenie informovanosti, ktoré zahŕňali šírenie informácií o odstraňovaní rasovej diskriminácie, Medzinárodnom dni žien, Európskom mesiaci rozmanitosti a učenia sa o </w:t>
      </w:r>
      <w:proofErr w:type="spellStart"/>
      <w:r w:rsidRPr="00146013">
        <w:rPr>
          <w:kern w:val="2"/>
          <w14:ligatures w14:val="standardContextual"/>
        </w:rPr>
        <w:t>neurodiverzite</w:t>
      </w:r>
      <w:proofErr w:type="spellEnd"/>
      <w:r w:rsidRPr="00146013">
        <w:rPr>
          <w:kern w:val="2"/>
          <w14:ligatures w14:val="standardContextual"/>
        </w:rPr>
        <w:t xml:space="preserve">; </w:t>
      </w:r>
      <w:r w:rsidRPr="00146013">
        <w:rPr>
          <w:kern w:val="2"/>
          <w14:ligatures w14:val="standardContextual"/>
        </w:rPr>
        <w:lastRenderedPageBreak/>
        <w:t>konštatuje, že EDPS v súčasnosti nezamestnáva osoby so zdravotným postihnutím, ale má vo všetkých svojich oznámeniach o voľných pracovných miestach doložku o rovnakých príležitostiach a aktívne podporuje uchádzačov so zdravotným postihnutím;</w:t>
      </w:r>
    </w:p>
    <w:p w14:paraId="661BEC4E"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31.</w:t>
      </w:r>
      <w:r w:rsidRPr="00146013">
        <w:rPr>
          <w:kern w:val="2"/>
          <w14:ligatures w14:val="standardContextual"/>
        </w:rPr>
        <w:tab/>
        <w:t>na základe dotazníka konštatuje, že EDPS považuje všetky informácie o prípadoch vyhorenia vrátane ich počtu za dôverné; nesúhlasí s týmto stanoviskom a vyzýva EDPS, aby každoročne poskytoval orgánu udeľujúcemu absolutórium počet prípadov vyhorenia; s uspokojením konštatuje, že v roku 2023 neboli nahlásené žiadne prípady obťažovania v EDPS; víta skutočnosť, že EDPS aj v roku 2023 poskytol prezentáciu o boji proti obťažovaniu, ktorú v rámci úvodného školenia s názvom Uvítací deň v EDPS predniesol jeden z dôverných poradcov EDPS; oceňuje uverejnenie rozhodnutia o boji proti obťažovaniu a úlohy dôverných poradcov na intranete EDPS;</w:t>
      </w:r>
    </w:p>
    <w:p w14:paraId="5845572F"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Etický rámec a transparentnosť</w:t>
      </w:r>
    </w:p>
    <w:p w14:paraId="772E80A9"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32.</w:t>
      </w:r>
      <w:r w:rsidRPr="00146013">
        <w:rPr>
          <w:kern w:val="2"/>
          <w14:ligatures w14:val="standardContextual"/>
        </w:rPr>
        <w:tab/>
        <w:t xml:space="preserve">berie na vedomie, že EDPS v roku 2023 zameral svoje úsilie na zvýšenie informovanosti zamestnancov o etickom rámci EDPS/EDPB tým, že zorganizoval povinné špecializované školenia pre všetkých zamestnancov a úvodné školenia pre nových zamestnancov EDPS/EDPB, vymenoval nového úradníka pre etiku a zapojil sa do pracovnej skupiny pre etiku s názvom </w:t>
      </w:r>
      <w:proofErr w:type="spellStart"/>
      <w:r w:rsidRPr="00146013">
        <w:rPr>
          <w:i/>
          <w:iCs/>
          <w:kern w:val="2"/>
          <w14:ligatures w14:val="standardContextual"/>
        </w:rPr>
        <w:t>Comité</w:t>
      </w:r>
      <w:proofErr w:type="spellEnd"/>
      <w:r w:rsidRPr="00146013">
        <w:rPr>
          <w:i/>
          <w:iCs/>
          <w:kern w:val="2"/>
          <w14:ligatures w14:val="standardContextual"/>
        </w:rPr>
        <w:t xml:space="preserve"> </w:t>
      </w:r>
      <w:proofErr w:type="spellStart"/>
      <w:r w:rsidRPr="00146013">
        <w:rPr>
          <w:i/>
          <w:iCs/>
          <w:kern w:val="2"/>
          <w14:ligatures w14:val="standardContextual"/>
        </w:rPr>
        <w:t>Paritaire</w:t>
      </w:r>
      <w:proofErr w:type="spellEnd"/>
      <w:r w:rsidRPr="00146013">
        <w:rPr>
          <w:i/>
          <w:iCs/>
          <w:kern w:val="2"/>
          <w14:ligatures w14:val="standardContextual"/>
        </w:rPr>
        <w:t xml:space="preserve"> des </w:t>
      </w:r>
      <w:proofErr w:type="spellStart"/>
      <w:r w:rsidRPr="00146013">
        <w:rPr>
          <w:i/>
          <w:iCs/>
          <w:kern w:val="2"/>
          <w14:ligatures w14:val="standardContextual"/>
        </w:rPr>
        <w:t>Questions</w:t>
      </w:r>
      <w:proofErr w:type="spellEnd"/>
      <w:r w:rsidRPr="00146013">
        <w:rPr>
          <w:i/>
          <w:iCs/>
          <w:kern w:val="2"/>
          <w14:ligatures w14:val="standardContextual"/>
        </w:rPr>
        <w:t xml:space="preserve"> </w:t>
      </w:r>
      <w:proofErr w:type="spellStart"/>
      <w:r w:rsidRPr="00146013">
        <w:rPr>
          <w:i/>
          <w:iCs/>
          <w:kern w:val="2"/>
          <w14:ligatures w14:val="standardContextual"/>
        </w:rPr>
        <w:t>Statuaries</w:t>
      </w:r>
      <w:proofErr w:type="spellEnd"/>
      <w:r w:rsidRPr="00146013">
        <w:rPr>
          <w:kern w:val="2"/>
          <w14:ligatures w14:val="standardContextual"/>
        </w:rPr>
        <w:t xml:space="preserve"> (Paritný výbor pre štatutárne otázky); víta zriadenie e-mailovej schránky EDPS, do ktorej môžu zamestnanci posielať žiadosti v súvislosti s akýmkoľvek vyšetrovaním týkajúcim sa etiky, ako aj používanie etického modulu Komisie v systéme SYSPER; nabáda EDPS, aby naďalej zvyšoval informovanosť a organizoval prieskumy s cieľom posúdiť úroveň informovanosti zamestnancov o etickom rámci EDPS/EDPB;</w:t>
      </w:r>
    </w:p>
    <w:p w14:paraId="4E0AC463"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33.</w:t>
      </w:r>
      <w:r w:rsidRPr="00146013">
        <w:rPr>
          <w:kern w:val="2"/>
          <w14:ligatures w14:val="standardContextual"/>
        </w:rPr>
        <w:tab/>
        <w:t>víta celkovo vysokú úroveň transparentnosti, ktorú EDPS dosiahol v súvislosti so svojimi činnosťami, najmä pokiaľ ide o uverejňovanie programu a vyhlásenia o záujmoch dozorného úradníka a záujmoch vedúceho administratívy EDPS v súlade s kódexom správania dozorného úradníka z roku 2019; na základe správy o následných opatreniach konštatuje, že EDPS prijal dva kódexy správania, pričom jeden sa vzťahuje na dozorného úradníka a druhý na zamestnancov EDPS; berie na vedomie, že v prípadoch, keď má generálny tajomník zastúpiť dozorného úradníka, kódex správania dozorného úradníka platí aj pre generálneho tajomníka;</w:t>
      </w:r>
    </w:p>
    <w:p w14:paraId="0E1CE083"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34.</w:t>
      </w:r>
      <w:r w:rsidRPr="00146013">
        <w:rPr>
          <w:kern w:val="2"/>
          <w14:ligatures w14:val="standardContextual"/>
        </w:rPr>
        <w:tab/>
        <w:t>s uspokojením konštatuje, že EDPS sa od jeho zriadenia nikdy netýkalo žiadne vyšetrovanie Európskeho úradu pre boj proti podvodom (OLAF);</w:t>
      </w:r>
    </w:p>
    <w:p w14:paraId="04DDAD34"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35.</w:t>
      </w:r>
      <w:r w:rsidRPr="00146013">
        <w:rPr>
          <w:kern w:val="2"/>
          <w14:ligatures w14:val="standardContextual"/>
        </w:rPr>
        <w:tab/>
        <w:t>konštatuje, že z piatich vyšetrovaní, ktoré začala ombudsmanka v roku 2023 v súvislosti s EDPS, boli štyri uzavreté bez ďalšieho vyšetrovania; konštatuje, že rozhodnutie v prípade jedného vyšetrovania ešte nebolo prijaté a očakáva sa vo štvrtom štvrťroku 2024; vyzýva EDPS, aby priebežne informoval orgán udeľujúci absolutórium o výsledku tohto vyšetrovania;</w:t>
      </w:r>
    </w:p>
    <w:p w14:paraId="474A4C6D"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36.</w:t>
      </w:r>
      <w:r w:rsidRPr="00146013">
        <w:rPr>
          <w:kern w:val="2"/>
          <w14:ligatures w14:val="standardContextual"/>
        </w:rPr>
        <w:tab/>
        <w:t xml:space="preserve">vyjadruje poľutovanie nad tým, že EDPS sa doposiaľ formálne nepripojil k registru transparentnosti Únie; na základe správy o následných opatreniach však konštatuje, že s cieľom formálne sa pripojiť k registru transparentnosti Únie EDPS začal interné posúdenie opatrení v oblasti transparentnosti, pričom v roku 2023 sa uskutočnili prieskumné stretnutia a výmeny EDPS so sekretariátom registra transparentnosti; vyzýva EDPS, aby orgán udeľujúci absolutórium informoval o výsledkoch tohto </w:t>
      </w:r>
      <w:r w:rsidRPr="00146013">
        <w:rPr>
          <w:kern w:val="2"/>
          <w14:ligatures w14:val="standardContextual"/>
        </w:rPr>
        <w:lastRenderedPageBreak/>
        <w:t>posúdenia; opakuje svoju výzvu adresovanú EDPS, aby sa pripojil k registru transparentnosti a používal ho, a to aj pri proaktívnom uverejňovaní stretnutí s akýmikoľvek tretími stranami, s cieľom zabezpečiť transparentnosť svojich regulačných a poradných funkcií;</w:t>
      </w:r>
    </w:p>
    <w:p w14:paraId="0862D5B5"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37.</w:t>
      </w:r>
      <w:r w:rsidRPr="00146013">
        <w:rPr>
          <w:kern w:val="2"/>
          <w14:ligatures w14:val="standardContextual"/>
        </w:rPr>
        <w:tab/>
        <w:t>s uspokojením konštatuje, že v roku 2023 EDPS zaviedol vnútorné pravidlá vypočúvania osôb, na ktoré by mohlo mať vplyv konečné rozhodnutie EDPS prijaté v rámci vyšetrovania a prešetrovania z vlastnej iniciatívy, s cieľom zabezpečiť riadny výkon ich základného práva na vypočutie v takýchto konaniach; oceňuje, že EDPS uverejnil nový informačný prehľad o vyšetrovaniach EDPS a novú politiku EDPS v oblasti vyšetrovania a zabezpečil, aby všetky finančné správy vrátane ročných rozpočtov a účtovných a audítorských správ boli verejne prístupné na webovej stránke inštitúcie Únie a prostredníctvom iných oficiálnych kanálov, keďže EDPS zohráva vedúcu úlohu</w:t>
      </w:r>
      <w:r w:rsidRPr="00146013">
        <w:rPr>
          <w:color w:val="365F91"/>
          <w:kern w:val="2"/>
          <w14:ligatures w14:val="standardContextual"/>
        </w:rPr>
        <w:t xml:space="preserve"> </w:t>
      </w:r>
      <w:r w:rsidRPr="00146013">
        <w:rPr>
          <w:kern w:val="2"/>
          <w14:ligatures w14:val="standardContextual"/>
        </w:rPr>
        <w:t>pri zlepšovaní pripravenosti inštitúcií Únie v oblasti kybernetickej bezpečnosti;</w:t>
      </w:r>
    </w:p>
    <w:p w14:paraId="52AD27A4"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38.</w:t>
      </w:r>
      <w:r w:rsidRPr="00146013">
        <w:rPr>
          <w:kern w:val="2"/>
          <w14:ligatures w14:val="standardContextual"/>
        </w:rPr>
        <w:tab/>
        <w:t>na základe dotazníka s uspokojením konštatuje, že v roku 2023 neboli v EDPS nahlásené žiadne prípady konfliktu záujmov, oznamovania protispoločenskej činnosti alebo podvodu; konštatuje, že EDPS zaviedol rámec na predchádzanie konfliktom záujmov na úrovni vyššieho manažmentu a zamestnancov založený na kódexoch správania, zvyšovaní informovanosti a poskytovaní vyhlásení o absencii konfliktov záujmov a o dôvernosti; berie na vedomie, že všetci noví zamestnanci absolvujú okrem povinného úvodu do etického rámca EDPS aj úvod do stratégie EDPS pre boj proti podvodom;</w:t>
      </w:r>
    </w:p>
    <w:p w14:paraId="57D6A2D5"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39.</w:t>
      </w:r>
      <w:r w:rsidRPr="00146013">
        <w:rPr>
          <w:kern w:val="2"/>
          <w14:ligatures w14:val="standardContextual"/>
        </w:rPr>
        <w:tab/>
        <w:t>na základe dotazníka konštatuje, že EDPS má vnútorné pravidlá pre oznamovanie protispoločenskej činnosti, v ktorých sú vymedzené bezpečné cesty a kanály, ktorými môžu zamestnanci upozorniť na podozrenia z podvodu, korupcie alebo akéhokoľvek iného závažného protiprávneho konania bez odhalenia totožnosti oznamovateľa a oznamovaných informácií; poznamenáva, že doteraz nebol v EDPS nikdy oznámený prípad protispoločenskej činnosti;</w:t>
      </w:r>
    </w:p>
    <w:p w14:paraId="6031A091"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40.</w:t>
      </w:r>
      <w:r w:rsidRPr="00146013">
        <w:rPr>
          <w:kern w:val="2"/>
          <w14:ligatures w14:val="standardContextual"/>
        </w:rPr>
        <w:tab/>
        <w:t>naliehavo vyzýva EDPS, aby vo svojich rozhodnutiach o presadzovaní zverejnil všetky námietky z dôvodu konfliktu záujmov, čím sa zabezpečí úplná transparentnosť regulačného dohľadu a rozhodovania;</w:t>
      </w:r>
    </w:p>
    <w:p w14:paraId="6AE9B6AF"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Digitalizácia, kybernetická bezpečnosť a ochrana údajov</w:t>
      </w:r>
    </w:p>
    <w:p w14:paraId="231259E0"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41.</w:t>
      </w:r>
      <w:r w:rsidRPr="00146013">
        <w:rPr>
          <w:kern w:val="2"/>
          <w14:ligatures w14:val="standardContextual"/>
        </w:rPr>
        <w:tab/>
        <w:t>na základe dotazníka konštatuje, že rozpočet na IT vybavenie a projekty bol v roku 2023 o 9,5 % nižší ako v roku 2022; konštatuje, že toto zníženie bolo spôsobené najmä tým, že v roku 2023 neboli zadané žiadne nové štúdie uskutočniteľnosti v oblasti IT na rozdiel od roku 2022, keď takéto štúdie predstavovali podstatnú časť rozpočtu na IT; ďalej konštatuje, že ostatné nákladové položky vrátane všeobecných IT služieb a údržby sú medzi uvedenými dvomi rokmi naďalej relatívne stabilné;</w:t>
      </w:r>
    </w:p>
    <w:p w14:paraId="120EBB6C"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42.</w:t>
      </w:r>
      <w:r w:rsidRPr="00146013">
        <w:rPr>
          <w:kern w:val="2"/>
          <w14:ligatures w14:val="standardContextual"/>
        </w:rPr>
        <w:tab/>
        <w:t xml:space="preserve">na základe správy o následných opatreniach a dotazníka berie na vedomie závery štúdie uskutočniteľnosti v oblasti IT uskutočnenej v roku 2022, podľa ktorých existujú rozdiely medzi tým, čo môžu ponúknuť IT nástroje a služby poskytované Komisiou a Európskym parlamentom, a osobitnými potrebami EDPS; poznamenáva, že tieto rozdiely by sa mali vyriešiť vývojom interných spôsobilostí a aplikácií, na čo by bolo potrebných minimálne päť IT zamestnancov a čiastočne externé zabezpečenie činností; </w:t>
      </w:r>
      <w:r w:rsidRPr="00146013">
        <w:rPr>
          <w:kern w:val="2"/>
          <w14:ligatures w14:val="standardContextual"/>
        </w:rPr>
        <w:lastRenderedPageBreak/>
        <w:t>vyjadruje poľutovanie nad tým, že pre rozpočtové obmedzenia sa vykonávanie odporúčaní štúdie pozastavilo; vyzýva EDPS, aby zvážil prístup krok za krokom, t. j. aby začal odporúčaniami a projektmi, ktoré by si vyžadovali menej zdrojov;</w:t>
      </w:r>
    </w:p>
    <w:p w14:paraId="5A38D7EE"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43.</w:t>
      </w:r>
      <w:r w:rsidRPr="00146013">
        <w:rPr>
          <w:kern w:val="2"/>
          <w14:ligatures w14:val="standardContextual"/>
        </w:rPr>
        <w:tab/>
        <w:t>vyzdvihuje pokrok, ktorý EDPS dosiahol v roku 2023 pri digitalizácii svojich pracovných postupov a procesov zavedením systému ARES, kvalifikovaného digitálneho podpisu (e-IDAS) a platformy pre spoluprácu (</w:t>
      </w:r>
      <w:proofErr w:type="spellStart"/>
      <w:r w:rsidRPr="00146013">
        <w:rPr>
          <w:kern w:val="2"/>
          <w14:ligatures w14:val="standardContextual"/>
        </w:rPr>
        <w:t>Nextcloud</w:t>
      </w:r>
      <w:proofErr w:type="spellEnd"/>
      <w:r w:rsidRPr="00146013">
        <w:rPr>
          <w:kern w:val="2"/>
          <w14:ligatures w14:val="standardContextual"/>
        </w:rPr>
        <w:t>) na vypracúvanie dokumentov a videokonferencie, ako aj aktualizácie nástroja (</w:t>
      </w:r>
      <w:proofErr w:type="spellStart"/>
      <w:r w:rsidRPr="00146013">
        <w:rPr>
          <w:kern w:val="2"/>
          <w14:ligatures w14:val="standardContextual"/>
        </w:rPr>
        <w:t>Website</w:t>
      </w:r>
      <w:proofErr w:type="spellEnd"/>
      <w:r w:rsidRPr="00146013">
        <w:rPr>
          <w:kern w:val="2"/>
          <w14:ligatures w14:val="standardContextual"/>
        </w:rPr>
        <w:t xml:space="preserve"> </w:t>
      </w:r>
      <w:proofErr w:type="spellStart"/>
      <w:r w:rsidRPr="00146013">
        <w:rPr>
          <w:kern w:val="2"/>
          <w14:ligatures w14:val="standardContextual"/>
        </w:rPr>
        <w:t>Evidence</w:t>
      </w:r>
      <w:proofErr w:type="spellEnd"/>
      <w:r w:rsidRPr="00146013">
        <w:rPr>
          <w:kern w:val="2"/>
          <w14:ligatures w14:val="standardContextual"/>
        </w:rPr>
        <w:t xml:space="preserve"> </w:t>
      </w:r>
      <w:proofErr w:type="spellStart"/>
      <w:r w:rsidRPr="00146013">
        <w:rPr>
          <w:kern w:val="2"/>
          <w14:ligatures w14:val="standardContextual"/>
        </w:rPr>
        <w:t>Collector</w:t>
      </w:r>
      <w:proofErr w:type="spellEnd"/>
      <w:r w:rsidRPr="00146013">
        <w:rPr>
          <w:kern w:val="2"/>
          <w14:ligatures w14:val="standardContextual"/>
        </w:rPr>
        <w:t xml:space="preserve">), ktorý automatizuje spracovanie osobných údajov zhromažďovaných na webových stránkach prevádzkovateľov a sprostredkovateľov údajov, prijatie akceptačného prostredia EU </w:t>
      </w:r>
      <w:proofErr w:type="spellStart"/>
      <w:r w:rsidRPr="00146013">
        <w:rPr>
          <w:kern w:val="2"/>
          <w14:ligatures w14:val="standardContextual"/>
        </w:rPr>
        <w:t>Send</w:t>
      </w:r>
      <w:proofErr w:type="spellEnd"/>
      <w:r w:rsidRPr="00146013">
        <w:rPr>
          <w:kern w:val="2"/>
          <w14:ligatures w14:val="standardContextual"/>
        </w:rPr>
        <w:t xml:space="preserve"> Web, služby/kanálu na výmenu citlivých neutajovaných informácií s inými inštitúciami, orgánmi, úradmi a agentúrami EÚ a ďalší pokrok pri zavádzaní služieb, ktoré nemožno zadať externe, ako je formulár a elektronický pracovný postup na správu oznámení o porušení ochrany údajov; berie však na vedomie problémy s používaním a údržbou systému elektronického obstarávania;</w:t>
      </w:r>
    </w:p>
    <w:p w14:paraId="51C09A0E"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44.</w:t>
      </w:r>
      <w:r w:rsidRPr="00146013">
        <w:rPr>
          <w:kern w:val="2"/>
          <w14:ligatures w14:val="standardContextual"/>
        </w:rPr>
        <w:tab/>
        <w:t xml:space="preserve">víta snahu EDPS zabezpečiť, aby externí dodávatelia spĺňali potrebné morálne a etické normy, ktoré sa očakávajú od všetkých inštitúcií, orgánov, úradov a agentúr Únie, najmä vzhľadom na to, že EDPS v minulosti využíval služby externých spoločností, ktoré podľa rebríčka Univerzity </w:t>
      </w:r>
      <w:proofErr w:type="spellStart"/>
      <w:r w:rsidRPr="00146013">
        <w:rPr>
          <w:kern w:val="2"/>
          <w14:ligatures w14:val="standardContextual"/>
        </w:rPr>
        <w:t>Yale</w:t>
      </w:r>
      <w:proofErr w:type="spellEnd"/>
      <w:r w:rsidRPr="00146013">
        <w:rPr>
          <w:kern w:val="2"/>
          <w14:ligatures w14:val="standardContextual"/>
        </w:rPr>
        <w:t xml:space="preserve"> naďalej pôsobia v Rusku;</w:t>
      </w:r>
    </w:p>
    <w:p w14:paraId="64E2E7B2"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45.</w:t>
      </w:r>
      <w:r w:rsidRPr="00146013">
        <w:rPr>
          <w:kern w:val="2"/>
          <w14:ligatures w14:val="standardContextual"/>
        </w:rPr>
        <w:tab/>
        <w:t>uznáva, že EDPS úspešne využíva mnohé administratívne systémy používané v Komisii, najmä v oblasti ľudských zdrojov a procesov administratívnej činnosti, ako aj niektoré služby Európskeho parlamentu vrátane poskytovania laptopov, sieťovej infraštruktúry a videokonferencií; vyzdvihuje skutočnosť, že v spolupráci s Európskym parlamentom bol dokončený projekt na zvýšenie kvality a výkonnosti počítačov poskytovaných zamestnancom EDPS v záujme rozšírenia hybridnej práce;</w:t>
      </w:r>
    </w:p>
    <w:p w14:paraId="6FDF84FB"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46.</w:t>
      </w:r>
      <w:r w:rsidRPr="00146013">
        <w:rPr>
          <w:kern w:val="2"/>
          <w14:ligatures w14:val="standardContextual"/>
        </w:rPr>
        <w:tab/>
        <w:t xml:space="preserve">uznáva vedúcu úlohu EDPS pri zlepšovaní pripravenosti inštitúcií Únie v oblasti kybernetickej bezpečnosti, a to v úzkej spolupráci s orgánmi, ako je Agentúra Európskej únie pre kybernetickú bezpečnosť (ENISA), a centrami kybernetickej bezpečnosti, ako je tím CERT-EU; naliehavo vyzýva Komisiu, aby vypracovala štruktúrovaný rámec auditu zameraný na </w:t>
      </w:r>
      <w:proofErr w:type="spellStart"/>
      <w:r w:rsidRPr="00146013">
        <w:rPr>
          <w:kern w:val="2"/>
          <w14:ligatures w14:val="standardContextual"/>
        </w:rPr>
        <w:t>kybernetickobezpečnostné</w:t>
      </w:r>
      <w:proofErr w:type="spellEnd"/>
      <w:r w:rsidRPr="00146013">
        <w:rPr>
          <w:kern w:val="2"/>
          <w14:ligatures w14:val="standardContextual"/>
        </w:rPr>
        <w:t xml:space="preserve"> riziká v orgánoch Únie; konštatuje, že EDPS v roku 2023 naďalej zlepšoval svoju pripravenosť chrániť osobné údaje a citlivé informácie pred kybernetickými útokmi s ohľadom na rýchly vývoj situácie hrozieb v oblasti kybernetickej bezpečnosti; v tejto súvislosti chváli EDPS za preskúmanie jeho bezpečnostných politík a metodík v rámci prípravy na vplyv nariadenia o kybernetickej bezpečnosti [nariadenie Európskeho parlamentu a Rady (EÚ, </w:t>
      </w:r>
      <w:proofErr w:type="spellStart"/>
      <w:r w:rsidRPr="00146013">
        <w:rPr>
          <w:kern w:val="2"/>
          <w14:ligatures w14:val="standardContextual"/>
        </w:rPr>
        <w:t>Euratom</w:t>
      </w:r>
      <w:proofErr w:type="spellEnd"/>
      <w:r w:rsidRPr="00146013">
        <w:rPr>
          <w:kern w:val="2"/>
          <w14:ligatures w14:val="standardContextual"/>
        </w:rPr>
        <w:t>) 2023/2841 </w:t>
      </w:r>
      <w:r w:rsidRPr="00146013">
        <w:rPr>
          <w:kern w:val="2"/>
          <w:vertAlign w:val="superscript"/>
          <w14:ligatures w14:val="standardContextual"/>
        </w:rPr>
        <w:footnoteReference w:id="10"/>
      </w:r>
      <w:r w:rsidRPr="00146013">
        <w:rPr>
          <w:kern w:val="2"/>
          <w14:ligatures w14:val="standardContextual"/>
        </w:rPr>
        <w:t xml:space="preserve">]; na základe dotazníka konštatuje, že EDPS predložil žiadosť o dva dodatočné ekvivalenty plného pracovného času, aby bola zabezpečená infraštruktúra kybernetickej bezpečnosti v súvislosti s povinnosťami EDPS podľa uvedeného nariadenia, ako aj s úlohou EDPS ako člena </w:t>
      </w:r>
      <w:proofErr w:type="spellStart"/>
      <w:r w:rsidRPr="00146013">
        <w:rPr>
          <w:kern w:val="2"/>
          <w14:ligatures w14:val="standardContextual"/>
        </w:rPr>
        <w:t>Medziinštitucionálnej</w:t>
      </w:r>
      <w:proofErr w:type="spellEnd"/>
      <w:r w:rsidRPr="00146013">
        <w:rPr>
          <w:kern w:val="2"/>
          <w14:ligatures w14:val="standardContextual"/>
        </w:rPr>
        <w:t xml:space="preserve"> rady pre kybernetickú bezpečnosť (IICB); ďalej s uznaním konštatuje, že EDPS aktualizoval svoju politiku informačnej bezpečnosti a politiku prijateľného používania v EDPS s cieľom riešiť konkrétne </w:t>
      </w:r>
      <w:proofErr w:type="spellStart"/>
      <w:r w:rsidRPr="00146013">
        <w:rPr>
          <w:kern w:val="2"/>
          <w14:ligatures w14:val="standardContextual"/>
        </w:rPr>
        <w:t>kybernetickobezpečnostné</w:t>
      </w:r>
      <w:proofErr w:type="spellEnd"/>
      <w:r w:rsidRPr="00146013">
        <w:rPr>
          <w:kern w:val="2"/>
          <w14:ligatures w14:val="standardContextual"/>
        </w:rPr>
        <w:t xml:space="preserve"> hrozby v súvislosti s prácou na diaľku, používaním osobných </w:t>
      </w:r>
      <w:r w:rsidRPr="00146013">
        <w:rPr>
          <w:kern w:val="2"/>
          <w14:ligatures w14:val="standardContextual"/>
        </w:rPr>
        <w:lastRenderedPageBreak/>
        <w:t>prenosných zariadení a so zákazom nebezpečných aplikácií (</w:t>
      </w:r>
      <w:proofErr w:type="spellStart"/>
      <w:r w:rsidRPr="00146013">
        <w:rPr>
          <w:kern w:val="2"/>
          <w14:ligatures w14:val="standardContextual"/>
        </w:rPr>
        <w:t>TikTok</w:t>
      </w:r>
      <w:proofErr w:type="spellEnd"/>
      <w:r w:rsidRPr="00146013">
        <w:rPr>
          <w:kern w:val="2"/>
          <w14:ligatures w14:val="standardContextual"/>
        </w:rPr>
        <w:t>); konštatuje, že EDPS nebol v roku 2023 vystavený žiadnemu kybernetickému útoku; požaduje každoročné verejné podávanie správ o odhalených hrozbách, opatreniach reakcie a inštitucionálnej kybernetickej odolnosti;</w:t>
      </w:r>
    </w:p>
    <w:p w14:paraId="6CFD91E8"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47.</w:t>
      </w:r>
      <w:r w:rsidRPr="00146013">
        <w:rPr>
          <w:kern w:val="2"/>
          <w14:ligatures w14:val="standardContextual"/>
        </w:rPr>
        <w:tab/>
        <w:t>chváli EDPS za aktualizáciu odbornej prípravy v oblasti kybernetickej bezpečnosti pre všetkých zamestnancov a za prepracovanie modelu odbornej prípravy nových zamestnancov v oblasti bezpečnosti; oceňuje, že EDPS sa aktívne zapájal do zvyšovania informovanosti o rizikách v oblasti kybernetickej bezpečnosti, napríklad vypracovaním informačných prehľadov, vykonávaním prieskumov v inštitúciách, orgánoch, úradoch a agentúrach EÚ a organizovaním informačných kampaní; nabáda EDPS, aby zabezpečil povinnú odbornú prípravu zamestnancov o bezpečnom a etickom používaní nástrojov umelej inteligencie s cieľom zlepšiť ich pochopenie a zmierniť potenciálne riziká;</w:t>
      </w:r>
    </w:p>
    <w:p w14:paraId="56D373E1" w14:textId="77777777" w:rsidR="00146013" w:rsidRPr="00146013" w:rsidRDefault="00146013" w:rsidP="00146013">
      <w:pPr>
        <w:spacing w:after="240"/>
        <w:rPr>
          <w:b/>
          <w:i/>
          <w:kern w:val="2"/>
          <w:szCs w:val="24"/>
          <w14:ligatures w14:val="standardContextual"/>
        </w:rPr>
      </w:pPr>
      <w:r w:rsidRPr="00146013">
        <w:rPr>
          <w:b/>
          <w:i/>
          <w:kern w:val="2"/>
          <w14:ligatures w14:val="standardContextual"/>
        </w:rPr>
        <w:t>Budovy</w:t>
      </w:r>
    </w:p>
    <w:p w14:paraId="09116FA9"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48.</w:t>
      </w:r>
      <w:r w:rsidRPr="00146013">
        <w:rPr>
          <w:kern w:val="2"/>
          <w14:ligatures w14:val="standardContextual"/>
        </w:rPr>
        <w:tab/>
        <w:t>konštatuje, že po odsťahovaní ombudsmanky koncom roka 2021 boli EDPS a EDPB v roku 2023 rovnako ako v roku 2022 jedinými nájomcami príslušnej budovy Európskeho parlamentu a že EDPS sa prenájmom priestorov od Európskeho parlamentu, a nie od súkromného sektora snažil udržať náklady na prenájom a údržbu na primeranej úrovni; konštatuje, že EDPS musel požiadať o ďalších 81 856,84 EUR, aby mohol Európskemu parlamentu zaplatiť nájomné, keďže miera indexácie predstavovala 8,82 % a bola teda vyššia ako 2 % strop platný pre administratívne výdavky;</w:t>
      </w:r>
    </w:p>
    <w:p w14:paraId="7CF54F9A"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49.</w:t>
      </w:r>
      <w:r w:rsidRPr="00146013">
        <w:rPr>
          <w:kern w:val="2"/>
          <w14:ligatures w14:val="standardContextual"/>
        </w:rPr>
        <w:tab/>
        <w:t>konštatuje, že pokiaľ ide o možnosť vstupu do budovy EDPS, uplatňujú sa rozhodnutia, ktoré prijal a vykonáva Európsky parlament v rámci svojej politiky týkajúcej sa budov; na základe správy o následných opatreniach konštatuje, že EDPS zamestnáva osoby s telesným postihnutím v dôsledku vážnej choroby; víta záväzok EDPS, že preskúma možnosti prijímania stážistov so zníženou pohyblivosťou alebo so zdravotným postihnutím;</w:t>
      </w:r>
    </w:p>
    <w:p w14:paraId="69FBC366" w14:textId="77777777" w:rsidR="00146013" w:rsidRPr="00146013" w:rsidRDefault="00146013" w:rsidP="00146013">
      <w:pPr>
        <w:spacing w:after="240"/>
        <w:rPr>
          <w:b/>
          <w:i/>
          <w:kern w:val="2"/>
          <w:szCs w:val="24"/>
          <w14:ligatures w14:val="standardContextual"/>
        </w:rPr>
      </w:pPr>
      <w:r w:rsidRPr="00146013">
        <w:rPr>
          <w:b/>
          <w:i/>
          <w:kern w:val="2"/>
          <w14:ligatures w14:val="standardContextual"/>
        </w:rPr>
        <w:t>Životné prostredie a udržateľnosť</w:t>
      </w:r>
    </w:p>
    <w:p w14:paraId="7A841504"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50.</w:t>
      </w:r>
      <w:r w:rsidRPr="00146013">
        <w:rPr>
          <w:kern w:val="2"/>
          <w14:ligatures w14:val="standardContextual"/>
        </w:rPr>
        <w:tab/>
        <w:t>berie na vedomie, že EDPS sa nepripojil k schéme pre environmentálne manažérstvo a audit (EMAS), ale zaviedol viacero opatrení na zníženie svojej environmentálnej stopy, ako je automatická a centrálna regulácia teploty, automatické zhasínanie svetiel, keď sa v miestnosti nezaznamenáva pohyb, nákup ekologických výrobkov a služieb a automatizácia pracovných postupov zavedením systému ARES; na základe správy o následných opatreniach konštatuje, že podľa informácií od generálneho riaditeľstva Európskeho parlamentu pre infraštruktúru a logistiku, ktoré je zodpovedné za správu budovy, ktorú si prenajíma EDPS, sú na tejto budove nainštalované solárne panely; žiada EDPS, aby informoval orgán udeľujúci absolutórium o podiele (v %) elektriny vyrobenej solárnymi panelmi na celkovej spotrebe energie EDPS za rok; ďalej vyzýva EDPS, aby informoval orgán udeľujúci absolutórium o akomkoľvek novom vývoji v certifikačnom procese EMAS;</w:t>
      </w:r>
    </w:p>
    <w:p w14:paraId="3827290C"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51.</w:t>
      </w:r>
      <w:r w:rsidRPr="00146013">
        <w:rPr>
          <w:kern w:val="2"/>
          <w14:ligatures w14:val="standardContextual"/>
        </w:rPr>
        <w:tab/>
        <w:t xml:space="preserve">konštatuje, že EDPS v roku 2023 neposúdil svoju uhlíkovú stopu; víta však, že EDPS naďalej uplatňuje opatrenia, ktoré znižujú uhlíkovú stopu, obmedzením presunov do kancelárie vďaka možnostiam </w:t>
      </w:r>
      <w:proofErr w:type="spellStart"/>
      <w:r w:rsidRPr="00146013">
        <w:rPr>
          <w:kern w:val="2"/>
          <w14:ligatures w14:val="standardContextual"/>
        </w:rPr>
        <w:t>telepráce</w:t>
      </w:r>
      <w:proofErr w:type="spellEnd"/>
      <w:r w:rsidRPr="00146013">
        <w:rPr>
          <w:kern w:val="2"/>
          <w14:ligatures w14:val="standardContextual"/>
        </w:rPr>
        <w:t xml:space="preserve">, uhrádzaním 50 % mesačných/ročných </w:t>
      </w:r>
      <w:r w:rsidRPr="00146013">
        <w:rPr>
          <w:kern w:val="2"/>
          <w14:ligatures w14:val="standardContextual"/>
        </w:rPr>
        <w:lastRenderedPageBreak/>
        <w:t>poplatkov zamestnancov za využívanie verejnej dopravy, nabádaním zamestnancov, aby uprednostňovali videokonferencie a na krátke vzdialenosti cestovali vlakom, elektronickým riadením cyklu faktúr a zavedením čisto bezpapierových výberových konaní a hodnotení personálu;</w:t>
      </w:r>
    </w:p>
    <w:p w14:paraId="515E8F18"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52.</w:t>
      </w:r>
      <w:r w:rsidRPr="00146013">
        <w:rPr>
          <w:kern w:val="2"/>
          <w14:ligatures w14:val="standardContextual"/>
        </w:rPr>
        <w:tab/>
        <w:t>naliehavo vyzýva EDPS, aby prijal EMAS s cieľom systematicky monitorovať a zlepšovať svoju environmentálnu stopu, najmä pokiaľ ide o spotrebu energie, znižovanie odpadu a udržateľné kancelárske politiky;</w:t>
      </w:r>
    </w:p>
    <w:p w14:paraId="33A46E7A"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53.</w:t>
      </w:r>
      <w:r w:rsidRPr="00146013">
        <w:rPr>
          <w:kern w:val="2"/>
          <w14:ligatures w14:val="standardContextual"/>
        </w:rPr>
        <w:tab/>
        <w:t>konštatuje, že EDPS rieši riziká súvisiace s udržateľnosťou (ako sú environmentálne a sociálne riziká a riziká v oblasti správy a riadenia) komplexne prostredníctvom každoročného vyhodnotenia rizík; v tejto súvislosti víta, že EDPS prijal v roku 2023 nový proces riadenia rizík, ktorý by mal EDPS pomôcť zamerať sa na tieto riziká a lepšie ich analyzovať a následne lepšie nastaviť zmierňujúce opatrenia;</w:t>
      </w:r>
    </w:p>
    <w:p w14:paraId="462F013B" w14:textId="77777777" w:rsidR="00146013" w:rsidRPr="00146013" w:rsidRDefault="00146013" w:rsidP="00146013">
      <w:pPr>
        <w:spacing w:after="240"/>
        <w:ind w:left="567" w:hanging="567"/>
        <w:rPr>
          <w:b/>
          <w:i/>
          <w:kern w:val="2"/>
          <w:szCs w:val="24"/>
          <w14:ligatures w14:val="standardContextual"/>
        </w:rPr>
      </w:pPr>
      <w:proofErr w:type="spellStart"/>
      <w:r w:rsidRPr="00146013">
        <w:rPr>
          <w:b/>
          <w:i/>
          <w:kern w:val="2"/>
          <w14:ligatures w14:val="standardContextual"/>
        </w:rPr>
        <w:t>Medziinštitucionálna</w:t>
      </w:r>
      <w:proofErr w:type="spellEnd"/>
      <w:r w:rsidRPr="00146013">
        <w:rPr>
          <w:b/>
          <w:i/>
          <w:kern w:val="2"/>
          <w14:ligatures w14:val="standardContextual"/>
        </w:rPr>
        <w:t xml:space="preserve"> spolupráca</w:t>
      </w:r>
    </w:p>
    <w:p w14:paraId="144F1625"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54.</w:t>
      </w:r>
      <w:r w:rsidRPr="00146013">
        <w:rPr>
          <w:kern w:val="2"/>
          <w14:ligatures w14:val="standardContextual"/>
        </w:rPr>
        <w:tab/>
        <w:t xml:space="preserve">víta rozpočtové a administratívne úspory, ktoré EDPS dosiahol prostredníctvom </w:t>
      </w:r>
      <w:proofErr w:type="spellStart"/>
      <w:r w:rsidRPr="00146013">
        <w:rPr>
          <w:kern w:val="2"/>
          <w14:ligatures w14:val="standardContextual"/>
        </w:rPr>
        <w:t>medziinštitucionálnej</w:t>
      </w:r>
      <w:proofErr w:type="spellEnd"/>
      <w:r w:rsidRPr="00146013">
        <w:rPr>
          <w:kern w:val="2"/>
          <w14:ligatures w14:val="standardContextual"/>
        </w:rPr>
        <w:t xml:space="preserve"> spolupráce, najmä uzatvorením dohôd o úrovni poskytovaných služieb s Európskym parlamentom na prenájom jeho priestorov a používanie aplikácií IT systémov, dodávky a údržbu hardvéru, s Komisiou v oblasti procesov týkajúcich sa ľudských zdrojov a administratívnej činnosti, ako aj prostredníctvom zapojenia do rozsiahlych </w:t>
      </w:r>
      <w:proofErr w:type="spellStart"/>
      <w:r w:rsidRPr="00146013">
        <w:rPr>
          <w:kern w:val="2"/>
          <w14:ligatures w14:val="standardContextual"/>
        </w:rPr>
        <w:t>medziinštitucionálnych</w:t>
      </w:r>
      <w:proofErr w:type="spellEnd"/>
      <w:r w:rsidRPr="00146013">
        <w:rPr>
          <w:kern w:val="2"/>
          <w14:ligatures w14:val="standardContextual"/>
        </w:rPr>
        <w:t xml:space="preserve"> rámcových zmlúv v oblastiach, ako sú IT poradenstvo, dočasné služby a kancelárske potreby; okrem toho chváli EDPS za to, že prostredníctvom memoránd o porozumení udržiava štruktúrovanú spoluprácu s úradom ombudsmanky, Agentúrou pre základné práva a tímom CERT-EU;</w:t>
      </w:r>
    </w:p>
    <w:p w14:paraId="39113786"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55.</w:t>
      </w:r>
      <w:r w:rsidRPr="00146013">
        <w:rPr>
          <w:kern w:val="2"/>
          <w14:ligatures w14:val="standardContextual"/>
        </w:rPr>
        <w:tab/>
        <w:t xml:space="preserve">konštatuje, že EDPS sa zúčastňuje na schôdzach rôznych </w:t>
      </w:r>
      <w:proofErr w:type="spellStart"/>
      <w:r w:rsidRPr="00146013">
        <w:rPr>
          <w:kern w:val="2"/>
          <w14:ligatures w14:val="standardContextual"/>
        </w:rPr>
        <w:t>medziinštitucionálnych</w:t>
      </w:r>
      <w:proofErr w:type="spellEnd"/>
      <w:r w:rsidRPr="00146013">
        <w:rPr>
          <w:kern w:val="2"/>
          <w14:ligatures w14:val="standardContextual"/>
        </w:rPr>
        <w:t xml:space="preserve"> orgánov; v tejto súvislosti víta účasť EDPS na schôdzach vedúcich administratívy a </w:t>
      </w:r>
      <w:proofErr w:type="spellStart"/>
      <w:r w:rsidRPr="00146013">
        <w:rPr>
          <w:kern w:val="2"/>
          <w14:ligatures w14:val="standardContextual"/>
        </w:rPr>
        <w:t>medziinštitucionálneho</w:t>
      </w:r>
      <w:proofErr w:type="spellEnd"/>
      <w:r w:rsidRPr="00146013">
        <w:rPr>
          <w:kern w:val="2"/>
          <w14:ligatures w14:val="standardContextual"/>
        </w:rPr>
        <w:t xml:space="preserve"> výboru pre online komunikáciu pod vedením generálneho riaditeľstva komunikácie Európskeho parlamentu; uznáva, že </w:t>
      </w:r>
      <w:proofErr w:type="spellStart"/>
      <w:r w:rsidRPr="00146013">
        <w:rPr>
          <w:kern w:val="2"/>
          <w14:ligatures w14:val="standardContextual"/>
        </w:rPr>
        <w:t>medziinštitucionálna</w:t>
      </w:r>
      <w:proofErr w:type="spellEnd"/>
      <w:r w:rsidRPr="00146013">
        <w:rPr>
          <w:kern w:val="2"/>
          <w14:ligatures w14:val="standardContextual"/>
        </w:rPr>
        <w:t xml:space="preserve"> spolupráca s EDPS v rámci jeho dozornej úlohy má zásadný význam pre ostatné inštitúcie Únie, aby mohli lepšie dodržiavať právny rámec na ochranu údajov;</w:t>
      </w:r>
    </w:p>
    <w:p w14:paraId="648BDE5A"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56.</w:t>
      </w:r>
      <w:r w:rsidRPr="00146013">
        <w:rPr>
          <w:kern w:val="2"/>
          <w14:ligatures w14:val="standardContextual"/>
        </w:rPr>
        <w:tab/>
        <w:t>vyzýva na užšiu spoluprácu medzi EDPS, Európskym dvorom audítorov, úradom OLAF a Európskou prokuratúrou (EPPO) s cieľom vypracovať spoločné protokoly na odhaľovanie podvodov v oblasti digitálnych údajov a finančných transakcií v rámci inštitúcií EÚ; zdôrazňuje potrebu spoločných auditov rizík podvodov založených na umelej inteligencii;</w:t>
      </w:r>
    </w:p>
    <w:p w14:paraId="64DE1842"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57.</w:t>
      </w:r>
      <w:r w:rsidRPr="00146013">
        <w:rPr>
          <w:kern w:val="2"/>
          <w14:ligatures w14:val="standardContextual"/>
        </w:rPr>
        <w:tab/>
        <w:t xml:space="preserve">víta zásadnú úlohu, ktorú EDPS zohral v roku 2023 pri koordinácii orgánov členských štátov pre ochranu osobných údajov s cieľom presadzovať konzistentnú ochranu údajov v celej Únii; konštatuje, že EDPS sa pripojil k 26 orgánom pre ochranu osobných údajov a zúčastnil sa na koordinovanom postupe presadzovania práva zameranom na poslanie a úlohy úradníkov pre ochranu údajov, v rámci ktorého sa posudzovalo, ako dodržiavajú nariadenie (EÚ) 2018/1725; berie na vedomie pokračujúce aktívne zapojenie EDPS vo výbore pre koordinovaný dozor v oblasti slobody, bezpečnosti a spravodlivosti, ktorý rieši otázky ako vybavovanie sťažností na </w:t>
      </w:r>
      <w:proofErr w:type="spellStart"/>
      <w:r w:rsidRPr="00146013">
        <w:rPr>
          <w:kern w:val="2"/>
          <w14:ligatures w14:val="standardContextual"/>
        </w:rPr>
        <w:t>Europol</w:t>
      </w:r>
      <w:proofErr w:type="spellEnd"/>
      <w:r w:rsidRPr="00146013">
        <w:rPr>
          <w:kern w:val="2"/>
          <w14:ligatures w14:val="standardContextual"/>
        </w:rPr>
        <w:t xml:space="preserve"> a posilňovanie procesov spolupráce; okrem toho oceňuje všetky ďalšie kroky prijaté na zlepšenie spolupráce medzi EDPS a orgánmi pre ochranu osobných údajov, ako je vykonanie spoločnej inšpekcie </w:t>
      </w:r>
      <w:proofErr w:type="spellStart"/>
      <w:r w:rsidRPr="00146013">
        <w:rPr>
          <w:kern w:val="2"/>
          <w14:ligatures w14:val="standardContextual"/>
        </w:rPr>
        <w:t>Europolu</w:t>
      </w:r>
      <w:proofErr w:type="spellEnd"/>
      <w:r w:rsidRPr="00146013">
        <w:rPr>
          <w:kern w:val="2"/>
          <w14:ligatures w14:val="standardContextual"/>
        </w:rPr>
        <w:t xml:space="preserve"> a vnútroštátnych orgánov (Poľska a Litvy) </w:t>
      </w:r>
      <w:r w:rsidRPr="00146013">
        <w:rPr>
          <w:kern w:val="2"/>
          <w14:ligatures w14:val="standardContextual"/>
        </w:rPr>
        <w:lastRenderedPageBreak/>
        <w:t xml:space="preserve">a účasť na koordinovanom postupe dozoru nad spracúvaním údajov maloletých v systémoch </w:t>
      </w:r>
      <w:proofErr w:type="spellStart"/>
      <w:r w:rsidRPr="00146013">
        <w:rPr>
          <w:kern w:val="2"/>
          <w14:ligatures w14:val="standardContextual"/>
        </w:rPr>
        <w:t>Europolu</w:t>
      </w:r>
      <w:proofErr w:type="spellEnd"/>
      <w:r w:rsidRPr="00146013">
        <w:rPr>
          <w:kern w:val="2"/>
          <w14:ligatures w14:val="standardContextual"/>
        </w:rPr>
        <w:t xml:space="preserve">, účasť na operačnej návšteve Európskej delegovanej prokuratúry v Lisabone na základe pracovnej dohody s portugalským orgánom pre ochranu osobných údajov a koordinácia inšpekcie na mieste na ostrove Lesbos s gréckym orgánom pre ochranu osobných údajov s cieľom overiť postupy zberu údajov počas spoločných operácií agentúry </w:t>
      </w:r>
      <w:proofErr w:type="spellStart"/>
      <w:r w:rsidRPr="00146013">
        <w:rPr>
          <w:kern w:val="2"/>
          <w14:ligatures w14:val="standardContextual"/>
        </w:rPr>
        <w:t>Frontex</w:t>
      </w:r>
      <w:proofErr w:type="spellEnd"/>
      <w:r w:rsidRPr="00146013">
        <w:rPr>
          <w:kern w:val="2"/>
          <w14:ligatures w14:val="standardContextual"/>
        </w:rPr>
        <w:t xml:space="preserve">; uznáva, že tieto </w:t>
      </w:r>
      <w:proofErr w:type="spellStart"/>
      <w:r w:rsidRPr="00146013">
        <w:rPr>
          <w:kern w:val="2"/>
          <w14:ligatures w14:val="standardContextual"/>
        </w:rPr>
        <w:t>medziinštitucionálne</w:t>
      </w:r>
      <w:proofErr w:type="spellEnd"/>
      <w:r w:rsidRPr="00146013">
        <w:rPr>
          <w:kern w:val="2"/>
          <w14:ligatures w14:val="standardContextual"/>
        </w:rPr>
        <w:t xml:space="preserve"> kontakty pomáhajú EDPS zabezpečiť súlad jeho postupov s najlepšími postupmi inštitúcií Únie a ťažiť z výmeny informácií s partnerskými oddeleniami;</w:t>
      </w:r>
    </w:p>
    <w:p w14:paraId="37557597" w14:textId="77777777" w:rsidR="00146013" w:rsidRPr="00146013" w:rsidRDefault="00146013" w:rsidP="00146013">
      <w:pPr>
        <w:spacing w:after="240"/>
        <w:ind w:left="567" w:hanging="567"/>
        <w:rPr>
          <w:b/>
          <w:i/>
          <w:kern w:val="2"/>
          <w:szCs w:val="24"/>
          <w14:ligatures w14:val="standardContextual"/>
        </w:rPr>
      </w:pPr>
      <w:r w:rsidRPr="00146013">
        <w:rPr>
          <w:b/>
          <w:i/>
          <w:kern w:val="2"/>
          <w14:ligatures w14:val="standardContextual"/>
        </w:rPr>
        <w:t>Komunikácia</w:t>
      </w:r>
    </w:p>
    <w:p w14:paraId="648D04FC"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58.</w:t>
      </w:r>
      <w:r w:rsidRPr="00146013">
        <w:rPr>
          <w:kern w:val="2"/>
          <w14:ligatures w14:val="standardContextual"/>
        </w:rPr>
        <w:tab/>
        <w:t>konštatuje, že rozpočet na komunikáciu s verejnosťou a propagačné činnosti na rok 2023 predstavoval 468 000 EUR, čo v porovnaní s rokom 2022 predstavovalo zvýšenie o 54 %;</w:t>
      </w:r>
    </w:p>
    <w:p w14:paraId="11051D4D"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59.</w:t>
      </w:r>
      <w:r w:rsidRPr="00146013">
        <w:rPr>
          <w:kern w:val="2"/>
          <w14:ligatures w14:val="standardContextual"/>
        </w:rPr>
        <w:tab/>
        <w:t>s uspokojením konštatuje, že EDPS v roku 2023 zorganizoval niekoľko komunikačných podujatí online aj prezenčne, ktoré boli zamerané na zvyšovanie informovanosti širokej verejnosti o úlohe a poslaní EDPS a o význame dodržiavania pravidiel Únie v oblasti ochrany údajov, ako je Deň ochrany údajov, konferencia stážistov EDPS (dvakrát ročne), seminár EDPS o podstate základných práv na súkromie a ochranu údajov a iné medzinárodné podujatia;</w:t>
      </w:r>
    </w:p>
    <w:p w14:paraId="0C41E014" w14:textId="77777777" w:rsidR="00146013" w:rsidRPr="00146013" w:rsidRDefault="00146013" w:rsidP="00146013">
      <w:pPr>
        <w:spacing w:after="240"/>
        <w:ind w:left="567" w:hanging="567"/>
        <w:rPr>
          <w:kern w:val="2"/>
          <w:szCs w:val="24"/>
          <w14:ligatures w14:val="standardContextual"/>
        </w:rPr>
      </w:pPr>
      <w:r w:rsidRPr="00146013">
        <w:rPr>
          <w:kern w:val="2"/>
          <w14:ligatures w14:val="standardContextual"/>
        </w:rPr>
        <w:t>60.</w:t>
      </w:r>
      <w:r w:rsidRPr="00146013">
        <w:rPr>
          <w:kern w:val="2"/>
          <w14:ligatures w14:val="standardContextual"/>
        </w:rPr>
        <w:tab/>
        <w:t xml:space="preserve">konštatuje, že EDPS komunikuje online prostredníctvom svojej webovej stránky a účtov na sociálnych sieťach X (bývalý Twitter) (29 400 </w:t>
      </w:r>
      <w:proofErr w:type="spellStart"/>
      <w:r w:rsidRPr="00146013">
        <w:rPr>
          <w:kern w:val="2"/>
          <w14:ligatures w14:val="standardContextual"/>
        </w:rPr>
        <w:t>sledovateľov</w:t>
      </w:r>
      <w:proofErr w:type="spellEnd"/>
      <w:r w:rsidRPr="00146013">
        <w:rPr>
          <w:kern w:val="2"/>
          <w14:ligatures w14:val="standardContextual"/>
        </w:rPr>
        <w:t xml:space="preserve">), LinkedIn (71 000 </w:t>
      </w:r>
      <w:proofErr w:type="spellStart"/>
      <w:r w:rsidRPr="00146013">
        <w:rPr>
          <w:kern w:val="2"/>
          <w14:ligatures w14:val="standardContextual"/>
        </w:rPr>
        <w:t>sledovateľov</w:t>
      </w:r>
      <w:proofErr w:type="spellEnd"/>
      <w:r w:rsidRPr="00146013">
        <w:rPr>
          <w:kern w:val="2"/>
          <w14:ligatures w14:val="standardContextual"/>
        </w:rPr>
        <w:t xml:space="preserve">), YouTube (2 900 </w:t>
      </w:r>
      <w:proofErr w:type="spellStart"/>
      <w:r w:rsidRPr="00146013">
        <w:rPr>
          <w:kern w:val="2"/>
          <w14:ligatures w14:val="standardContextual"/>
        </w:rPr>
        <w:t>sledovateľov</w:t>
      </w:r>
      <w:proofErr w:type="spellEnd"/>
      <w:r w:rsidRPr="00146013">
        <w:rPr>
          <w:kern w:val="2"/>
          <w14:ligatures w14:val="standardContextual"/>
        </w:rPr>
        <w:t>), EU-</w:t>
      </w:r>
      <w:proofErr w:type="spellStart"/>
      <w:r w:rsidRPr="00146013">
        <w:rPr>
          <w:kern w:val="2"/>
          <w14:ligatures w14:val="standardContextual"/>
        </w:rPr>
        <w:t>Voice</w:t>
      </w:r>
      <w:proofErr w:type="spellEnd"/>
      <w:r w:rsidRPr="00146013">
        <w:rPr>
          <w:kern w:val="2"/>
          <w14:ligatures w14:val="standardContextual"/>
        </w:rPr>
        <w:t xml:space="preserve"> (5 900 </w:t>
      </w:r>
      <w:proofErr w:type="spellStart"/>
      <w:r w:rsidRPr="00146013">
        <w:rPr>
          <w:kern w:val="2"/>
          <w14:ligatures w14:val="standardContextual"/>
        </w:rPr>
        <w:t>sledovateľov</w:t>
      </w:r>
      <w:proofErr w:type="spellEnd"/>
      <w:r w:rsidRPr="00146013">
        <w:rPr>
          <w:kern w:val="2"/>
          <w14:ligatures w14:val="standardContextual"/>
        </w:rPr>
        <w:t>) a EU</w:t>
      </w:r>
      <w:r w:rsidRPr="00146013">
        <w:rPr>
          <w:kern w:val="2"/>
          <w14:ligatures w14:val="standardContextual"/>
        </w:rPr>
        <w:noBreakHyphen/>
        <w:t xml:space="preserve">Video (750 </w:t>
      </w:r>
      <w:proofErr w:type="spellStart"/>
      <w:r w:rsidRPr="00146013">
        <w:rPr>
          <w:kern w:val="2"/>
          <w14:ligatures w14:val="standardContextual"/>
        </w:rPr>
        <w:t>sledovateľov</w:t>
      </w:r>
      <w:proofErr w:type="spellEnd"/>
      <w:r w:rsidRPr="00146013">
        <w:rPr>
          <w:kern w:val="2"/>
          <w14:ligatures w14:val="standardContextual"/>
        </w:rPr>
        <w:t>);</w:t>
      </w:r>
    </w:p>
    <w:p w14:paraId="563E0F38" w14:textId="77777777" w:rsidR="00146013" w:rsidRPr="00146013" w:rsidRDefault="00146013" w:rsidP="00146013">
      <w:pPr>
        <w:spacing w:after="240"/>
        <w:ind w:left="567" w:hanging="567"/>
        <w:rPr>
          <w:kern w:val="2"/>
          <w14:ligatures w14:val="standardContextual"/>
        </w:rPr>
      </w:pPr>
      <w:r w:rsidRPr="00146013">
        <w:rPr>
          <w:kern w:val="2"/>
          <w14:ligatures w14:val="standardContextual"/>
        </w:rPr>
        <w:t>61.</w:t>
      </w:r>
      <w:r w:rsidRPr="00146013">
        <w:rPr>
          <w:kern w:val="2"/>
          <w14:ligatures w14:val="standardContextual"/>
        </w:rPr>
        <w:tab/>
        <w:t xml:space="preserve">konštatuje, že v roku 2023 pokračoval pilotný projekt platforiem EU </w:t>
      </w:r>
      <w:proofErr w:type="spellStart"/>
      <w:r w:rsidRPr="00146013">
        <w:rPr>
          <w:kern w:val="2"/>
          <w14:ligatures w14:val="standardContextual"/>
        </w:rPr>
        <w:t>Voice</w:t>
      </w:r>
      <w:proofErr w:type="spellEnd"/>
      <w:r w:rsidRPr="00146013">
        <w:rPr>
          <w:kern w:val="2"/>
          <w14:ligatures w14:val="standardContextual"/>
        </w:rPr>
        <w:t xml:space="preserve"> a EU Video (bezplatné siete sociálnych médií s otvoreným zdrojovým kódom, ktoré sú orientované na ochranu súkromia a založené na softvéroch </w:t>
      </w:r>
      <w:proofErr w:type="spellStart"/>
      <w:r w:rsidRPr="00146013">
        <w:rPr>
          <w:kern w:val="2"/>
          <w14:ligatures w14:val="standardContextual"/>
        </w:rPr>
        <w:t>Mastodon</w:t>
      </w:r>
      <w:proofErr w:type="spellEnd"/>
      <w:r w:rsidRPr="00146013">
        <w:rPr>
          <w:kern w:val="2"/>
          <w14:ligatures w14:val="standardContextual"/>
        </w:rPr>
        <w:t xml:space="preserve"> a </w:t>
      </w:r>
      <w:proofErr w:type="spellStart"/>
      <w:r w:rsidRPr="00146013">
        <w:rPr>
          <w:kern w:val="2"/>
          <w14:ligatures w14:val="standardContextual"/>
        </w:rPr>
        <w:t>PeerTube</w:t>
      </w:r>
      <w:proofErr w:type="spellEnd"/>
      <w:r w:rsidRPr="00146013">
        <w:rPr>
          <w:kern w:val="2"/>
          <w14:ligatures w14:val="standardContextual"/>
        </w:rPr>
        <w:t>); v tejto súvislosti víta príspevok EDPS k stratégii Únie v oblasti údajov a digitálnej suverenity s cieľom podporiť nezávislosť Únie v digitálnom svete a dodržiavanie právneho rámca ochrany údajov.</w:t>
      </w:r>
    </w:p>
    <w:sectPr w:rsidR="00146013" w:rsidRPr="0014601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D6989" w14:textId="77777777" w:rsidR="00F01744" w:rsidRDefault="00146013">
      <w:r>
        <w:separator/>
      </w:r>
    </w:p>
  </w:endnote>
  <w:endnote w:type="continuationSeparator" w:id="0">
    <w:p w14:paraId="161280F0" w14:textId="77777777" w:rsidR="00F01744" w:rsidRDefault="0014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0DBD" w14:textId="77777777" w:rsidR="00F01744" w:rsidRDefault="00F017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024A5" w14:textId="77777777" w:rsidR="00F01744" w:rsidRDefault="00F017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67BD" w14:textId="77777777" w:rsidR="00F01744" w:rsidRDefault="00F017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5D7F6" w14:textId="77777777" w:rsidR="00F01744" w:rsidRDefault="00146013">
      <w:r>
        <w:separator/>
      </w:r>
    </w:p>
  </w:footnote>
  <w:footnote w:type="continuationSeparator" w:id="0">
    <w:p w14:paraId="6E5FFFAE" w14:textId="77777777" w:rsidR="00F01744" w:rsidRDefault="00146013">
      <w:r>
        <w:continuationSeparator/>
      </w:r>
    </w:p>
  </w:footnote>
  <w:footnote w:id="1">
    <w:p w14:paraId="51C48379" w14:textId="77777777" w:rsidR="00146013" w:rsidRPr="00146013" w:rsidRDefault="00146013" w:rsidP="00146013">
      <w:pPr>
        <w:ind w:left="567" w:hanging="567"/>
        <w:rPr>
          <w:szCs w:val="24"/>
          <w:lang w:val="fi-FI"/>
        </w:rPr>
      </w:pPr>
      <w:r w:rsidRPr="00146013">
        <w:rPr>
          <w:rStyle w:val="FootnoteReference"/>
          <w:szCs w:val="24"/>
        </w:rPr>
        <w:footnoteRef/>
      </w:r>
      <w:r w:rsidRPr="00146013">
        <w:rPr>
          <w:szCs w:val="24"/>
          <w:lang w:val="fi-FI"/>
        </w:rPr>
        <w:t xml:space="preserve"> </w:t>
      </w:r>
      <w:r w:rsidRPr="00146013">
        <w:rPr>
          <w:szCs w:val="24"/>
          <w:lang w:val="fi-FI"/>
        </w:rPr>
        <w:tab/>
        <w:t xml:space="preserve">Ú. v. EÚ L 58, 23.2.2023, s. 1, ELI: </w:t>
      </w:r>
      <w:hyperlink r:id="rId1" w:tooltip="Umožňuje prístup k tomuto dokumentu prostredníctvom identifikátorov ELI a URI." w:history="1">
        <w:r w:rsidRPr="00146013">
          <w:rPr>
            <w:rStyle w:val="Hyperlink"/>
            <w:color w:val="337AB7"/>
            <w:szCs w:val="24"/>
            <w:shd w:val="clear" w:color="auto" w:fill="FFFFFF"/>
            <w:lang w:val="fi-FI"/>
          </w:rPr>
          <w:t>http://data.europa.eu/eli/budget/2023/1/oj</w:t>
        </w:r>
      </w:hyperlink>
      <w:r w:rsidRPr="00146013">
        <w:rPr>
          <w:szCs w:val="24"/>
          <w:shd w:val="clear" w:color="auto" w:fill="FFFFFF"/>
          <w:lang w:val="fi-FI"/>
        </w:rPr>
        <w:t>.</w:t>
      </w:r>
    </w:p>
  </w:footnote>
  <w:footnote w:id="2">
    <w:p w14:paraId="7AF48E4C"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C, C/2024/5462, 10.10.2024, ELI: </w:t>
      </w:r>
      <w:hyperlink r:id="rId2" w:history="1">
        <w:r w:rsidRPr="00146013">
          <w:rPr>
            <w:rStyle w:val="Hyperlink"/>
            <w:sz w:val="24"/>
            <w:szCs w:val="24"/>
            <w:lang w:val="fi-FI"/>
          </w:rPr>
          <w:t>http://data.europa.eu/eli/C/2024/5462/oj</w:t>
        </w:r>
      </w:hyperlink>
      <w:r w:rsidRPr="00146013">
        <w:rPr>
          <w:sz w:val="24"/>
          <w:szCs w:val="24"/>
          <w:shd w:val="clear" w:color="auto" w:fill="FFFFFF"/>
          <w:lang w:val="sk-SK"/>
        </w:rPr>
        <w:t>.</w:t>
      </w:r>
    </w:p>
  </w:footnote>
  <w:footnote w:id="3">
    <w:p w14:paraId="1303F58B"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C, C/2024/5882, 9.10.2024, ELI: </w:t>
      </w:r>
      <w:hyperlink r:id="rId3" w:history="1">
        <w:r w:rsidRPr="00146013">
          <w:rPr>
            <w:rStyle w:val="Hyperlink"/>
            <w:sz w:val="24"/>
            <w:szCs w:val="24"/>
            <w:lang w:val="fi-FI"/>
          </w:rPr>
          <w:t>http://data.europa.eu/eli/C/2024/5882/oj</w:t>
        </w:r>
      </w:hyperlink>
      <w:r w:rsidRPr="00146013">
        <w:rPr>
          <w:sz w:val="24"/>
          <w:szCs w:val="24"/>
          <w:shd w:val="clear" w:color="auto" w:fill="FFFFFF"/>
          <w:lang w:val="sk-SK"/>
        </w:rPr>
        <w:t>.</w:t>
      </w:r>
    </w:p>
  </w:footnote>
  <w:footnote w:id="4">
    <w:p w14:paraId="19EF99C2"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C, C/2024/6041, 10.10.2024, ELI: </w:t>
      </w:r>
      <w:hyperlink r:id="rId4" w:history="1">
        <w:r w:rsidRPr="00146013">
          <w:rPr>
            <w:rStyle w:val="Hyperlink"/>
            <w:sz w:val="24"/>
            <w:szCs w:val="24"/>
            <w:lang w:val="fi-FI"/>
          </w:rPr>
          <w:t>http://data.europa.eu/eli/C/2024/6041/oj</w:t>
        </w:r>
      </w:hyperlink>
      <w:r w:rsidRPr="00146013">
        <w:rPr>
          <w:sz w:val="24"/>
          <w:szCs w:val="24"/>
          <w:shd w:val="clear" w:color="auto" w:fill="FFFFFF"/>
          <w:lang w:val="sk-SK"/>
        </w:rPr>
        <w:t>.</w:t>
      </w:r>
    </w:p>
  </w:footnote>
  <w:footnote w:id="5">
    <w:p w14:paraId="17EA6D2A"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L 193, 30.7.2018, s. 1, ELI: </w:t>
      </w:r>
      <w:hyperlink r:id="rId5" w:history="1">
        <w:r w:rsidRPr="00146013">
          <w:rPr>
            <w:rStyle w:val="Hyperlink"/>
            <w:sz w:val="24"/>
            <w:szCs w:val="24"/>
            <w:lang w:val="fi-FI"/>
          </w:rPr>
          <w:t>http://data.europa.eu/eli/reg/2018/1046/oj</w:t>
        </w:r>
      </w:hyperlink>
      <w:r w:rsidRPr="00146013">
        <w:rPr>
          <w:sz w:val="24"/>
          <w:szCs w:val="24"/>
          <w:lang w:val="sk-SK"/>
        </w:rPr>
        <w:t>.</w:t>
      </w:r>
    </w:p>
  </w:footnote>
  <w:footnote w:id="6">
    <w:p w14:paraId="176A94E4"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L, 2024/2509, 26.9.2024, ELI: </w:t>
      </w:r>
      <w:hyperlink r:id="rId6" w:history="1">
        <w:r w:rsidRPr="00146013">
          <w:rPr>
            <w:rStyle w:val="Hyperlink"/>
            <w:sz w:val="24"/>
            <w:szCs w:val="24"/>
            <w:lang w:val="fi-FI"/>
          </w:rPr>
          <w:t>https://data.europa.eu/eli/reg/2024/2509/oj</w:t>
        </w:r>
      </w:hyperlink>
      <w:r w:rsidRPr="00146013">
        <w:rPr>
          <w:sz w:val="24"/>
          <w:szCs w:val="24"/>
          <w:shd w:val="clear" w:color="auto" w:fill="FFFFFF"/>
          <w:lang w:val="sk-SK"/>
        </w:rPr>
        <w:t>.</w:t>
      </w:r>
    </w:p>
  </w:footnote>
  <w:footnote w:id="7">
    <w:p w14:paraId="6EDE9DE1"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Ú. v. EÚ L 295, 21.11.2018, s. 39, ELI: </w:t>
      </w:r>
      <w:hyperlink r:id="rId7" w:history="1">
        <w:r w:rsidRPr="00146013">
          <w:rPr>
            <w:rStyle w:val="Hyperlink"/>
            <w:sz w:val="24"/>
            <w:szCs w:val="24"/>
            <w:lang w:val="fi-FI"/>
          </w:rPr>
          <w:t>http://data.europa.eu/eli/reg/2018/1725/oj</w:t>
        </w:r>
      </w:hyperlink>
      <w:r w:rsidRPr="00146013">
        <w:rPr>
          <w:sz w:val="24"/>
          <w:szCs w:val="24"/>
          <w:lang w:val="sk-SK"/>
        </w:rPr>
        <w:t>.</w:t>
      </w:r>
    </w:p>
  </w:footnote>
  <w:footnote w:id="8">
    <w:p w14:paraId="6D5BC3A3" w14:textId="77777777" w:rsidR="00146013" w:rsidRPr="00146013" w:rsidRDefault="00146013" w:rsidP="00146013">
      <w:pPr>
        <w:pStyle w:val="FootnoteText"/>
        <w:ind w:left="567" w:hanging="567"/>
        <w:rPr>
          <w:sz w:val="24"/>
          <w:szCs w:val="24"/>
          <w:lang w:val="sk-SK"/>
        </w:rPr>
      </w:pPr>
      <w:r w:rsidRPr="00146013">
        <w:rPr>
          <w:rStyle w:val="FootnoteReference"/>
          <w:sz w:val="24"/>
          <w:szCs w:val="24"/>
        </w:rPr>
        <w:footnoteRef/>
      </w:r>
      <w:r w:rsidRPr="00146013">
        <w:rPr>
          <w:sz w:val="24"/>
          <w:szCs w:val="24"/>
          <w:lang w:val="sk-SK"/>
        </w:rPr>
        <w:t xml:space="preserve"> </w:t>
      </w:r>
      <w:r w:rsidRPr="00146013">
        <w:rPr>
          <w:sz w:val="24"/>
          <w:szCs w:val="24"/>
          <w:lang w:val="sk-SK"/>
        </w:rPr>
        <w:tab/>
      </w:r>
      <w:r w:rsidRPr="00146013">
        <w:rPr>
          <w:sz w:val="24"/>
          <w:szCs w:val="24"/>
          <w:lang w:val="sk-SK"/>
        </w:rPr>
        <w:t xml:space="preserve">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w:t>
      </w:r>
      <w:hyperlink r:id="rId8" w:history="1">
        <w:r w:rsidRPr="00146013">
          <w:rPr>
            <w:rStyle w:val="Hyperlink"/>
            <w:sz w:val="24"/>
            <w:szCs w:val="24"/>
            <w:lang w:val="sk-SK"/>
          </w:rPr>
          <w:t>http://data.europa.eu/eli/reg/2018/1725/oj</w:t>
        </w:r>
      </w:hyperlink>
      <w:r w:rsidRPr="00146013">
        <w:rPr>
          <w:sz w:val="24"/>
          <w:szCs w:val="24"/>
          <w:lang w:val="sk-SK"/>
        </w:rPr>
        <w:t>).</w:t>
      </w:r>
    </w:p>
  </w:footnote>
  <w:footnote w:id="9">
    <w:p w14:paraId="746D2AA4" w14:textId="77777777" w:rsidR="00146013" w:rsidRPr="00146013" w:rsidRDefault="00146013" w:rsidP="00146013">
      <w:pPr>
        <w:pStyle w:val="FootnoteText"/>
        <w:ind w:left="567" w:hanging="567"/>
        <w:rPr>
          <w:sz w:val="24"/>
          <w:szCs w:val="24"/>
          <w:lang w:val="sk-SK"/>
        </w:rPr>
      </w:pPr>
      <w:r w:rsidRPr="00146013">
        <w:rPr>
          <w:rStyle w:val="FootnoteReference"/>
          <w:sz w:val="24"/>
          <w:szCs w:val="24"/>
          <w:lang w:val="sk-SK"/>
        </w:rPr>
        <w:footnoteRef/>
      </w:r>
      <w:r w:rsidRPr="00146013">
        <w:rPr>
          <w:sz w:val="24"/>
          <w:szCs w:val="24"/>
          <w:lang w:val="sk-SK"/>
        </w:rPr>
        <w:tab/>
      </w:r>
      <w:r w:rsidRPr="00146013">
        <w:rPr>
          <w:sz w:val="24"/>
          <w:szCs w:val="24"/>
          <w:lang w:val="sk-SK"/>
        </w:rPr>
        <w:t>Uznesenie Všeobecného súdu zo 6. septembra 2023, EDPS/Parlament a Rada, T</w:t>
      </w:r>
      <w:r w:rsidRPr="00146013">
        <w:rPr>
          <w:sz w:val="24"/>
          <w:szCs w:val="24"/>
          <w:lang w:val="sk-SK"/>
        </w:rPr>
        <w:noBreakHyphen/>
        <w:t>578/22, ECLI:EU:T:2023:522.</w:t>
      </w:r>
    </w:p>
  </w:footnote>
  <w:footnote w:id="10">
    <w:p w14:paraId="1B09BB1C" w14:textId="77777777" w:rsidR="00146013" w:rsidRPr="00146013" w:rsidRDefault="00146013" w:rsidP="00146013">
      <w:pPr>
        <w:pStyle w:val="FootnoteText"/>
        <w:ind w:left="567" w:hanging="567"/>
        <w:rPr>
          <w:sz w:val="24"/>
          <w:szCs w:val="24"/>
          <w:lang w:val="sk-SK"/>
        </w:rPr>
      </w:pPr>
      <w:r w:rsidRPr="00146013">
        <w:rPr>
          <w:rStyle w:val="FootnoteReference"/>
          <w:sz w:val="24"/>
          <w:szCs w:val="24"/>
        </w:rPr>
        <w:footnoteRef/>
      </w:r>
      <w:r w:rsidRPr="00146013">
        <w:rPr>
          <w:sz w:val="24"/>
          <w:szCs w:val="24"/>
          <w:lang w:val="sk-SK"/>
        </w:rPr>
        <w:tab/>
      </w:r>
      <w:r w:rsidRPr="00146013">
        <w:rPr>
          <w:sz w:val="24"/>
          <w:szCs w:val="24"/>
          <w:lang w:val="sk-SK"/>
        </w:rPr>
        <w:t xml:space="preserve">Nariadenie Európskeho parlamentu a Rady (EÚ, </w:t>
      </w:r>
      <w:proofErr w:type="spellStart"/>
      <w:r w:rsidRPr="00146013">
        <w:rPr>
          <w:sz w:val="24"/>
          <w:szCs w:val="24"/>
          <w:lang w:val="sk-SK"/>
        </w:rPr>
        <w:t>Euratom</w:t>
      </w:r>
      <w:proofErr w:type="spellEnd"/>
      <w:r w:rsidRPr="00146013">
        <w:rPr>
          <w:sz w:val="24"/>
          <w:szCs w:val="24"/>
          <w:lang w:val="sk-SK"/>
        </w:rPr>
        <w:t xml:space="preserve">) 2023/2841 z 13. decembra 2023, ktorým sa stanovujú opatrenia na zabezpečenie vysokej spoločnej úrovne kybernetickej bezpečnosti v inštitúciách, orgánoch, úradoch a agentúrach Únie (Ú. v. EÚ L, 2023/2841, 18.12.2023, ELI: </w:t>
      </w:r>
      <w:hyperlink r:id="rId9" w:history="1">
        <w:r w:rsidRPr="00146013">
          <w:rPr>
            <w:rStyle w:val="Hyperlink"/>
            <w:sz w:val="24"/>
            <w:szCs w:val="24"/>
            <w:lang w:val="sk-SK"/>
          </w:rPr>
          <w:t>http://data.europa.eu/eli/reg/2023/2841/oj</w:t>
        </w:r>
      </w:hyperlink>
      <w:r w:rsidRPr="00146013">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1670B" w14:textId="77777777" w:rsidR="00F01744" w:rsidRDefault="00F017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2CFC3" w14:textId="77777777" w:rsidR="00F01744" w:rsidRDefault="00F017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0666" w14:textId="77777777" w:rsidR="00F01744" w:rsidRDefault="00F017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3850116">
    <w:abstractNumId w:val="9"/>
  </w:num>
  <w:num w:numId="2" w16cid:durableId="1056590451">
    <w:abstractNumId w:val="9"/>
  </w:num>
  <w:num w:numId="3" w16cid:durableId="1309554054">
    <w:abstractNumId w:val="7"/>
  </w:num>
  <w:num w:numId="4" w16cid:durableId="434786039">
    <w:abstractNumId w:val="7"/>
  </w:num>
  <w:num w:numId="5" w16cid:durableId="1665160897">
    <w:abstractNumId w:val="6"/>
  </w:num>
  <w:num w:numId="6" w16cid:durableId="572085361">
    <w:abstractNumId w:val="6"/>
  </w:num>
  <w:num w:numId="7" w16cid:durableId="569971967">
    <w:abstractNumId w:val="5"/>
  </w:num>
  <w:num w:numId="8" w16cid:durableId="308021348">
    <w:abstractNumId w:val="5"/>
  </w:num>
  <w:num w:numId="9" w16cid:durableId="1459494659">
    <w:abstractNumId w:val="4"/>
  </w:num>
  <w:num w:numId="10" w16cid:durableId="138302736">
    <w:abstractNumId w:val="4"/>
  </w:num>
  <w:num w:numId="11" w16cid:durableId="1625967242">
    <w:abstractNumId w:val="8"/>
  </w:num>
  <w:num w:numId="12" w16cid:durableId="1125124485">
    <w:abstractNumId w:val="8"/>
  </w:num>
  <w:num w:numId="13" w16cid:durableId="28142305">
    <w:abstractNumId w:val="3"/>
  </w:num>
  <w:num w:numId="14" w16cid:durableId="1849363384">
    <w:abstractNumId w:val="3"/>
  </w:num>
  <w:num w:numId="15" w16cid:durableId="959382348">
    <w:abstractNumId w:val="2"/>
  </w:num>
  <w:num w:numId="16" w16cid:durableId="1804999223">
    <w:abstractNumId w:val="2"/>
  </w:num>
  <w:num w:numId="17" w16cid:durableId="1234782077">
    <w:abstractNumId w:val="1"/>
  </w:num>
  <w:num w:numId="18" w16cid:durableId="640156635">
    <w:abstractNumId w:val="1"/>
  </w:num>
  <w:num w:numId="19" w16cid:durableId="1335306378">
    <w:abstractNumId w:val="0"/>
  </w:num>
  <w:num w:numId="20" w16cid:durableId="1371302613">
    <w:abstractNumId w:val="0"/>
  </w:num>
  <w:num w:numId="21" w16cid:durableId="1984388368">
    <w:abstractNumId w:val="9"/>
  </w:num>
  <w:num w:numId="22" w16cid:durableId="1785493296">
    <w:abstractNumId w:val="7"/>
  </w:num>
  <w:num w:numId="23" w16cid:durableId="225452681">
    <w:abstractNumId w:val="6"/>
  </w:num>
  <w:num w:numId="24" w16cid:durableId="1622688716">
    <w:abstractNumId w:val="5"/>
  </w:num>
  <w:num w:numId="25" w16cid:durableId="1219979912">
    <w:abstractNumId w:val="4"/>
  </w:num>
  <w:num w:numId="26" w16cid:durableId="928975182">
    <w:abstractNumId w:val="8"/>
  </w:num>
  <w:num w:numId="27" w16cid:durableId="1837962544">
    <w:abstractNumId w:val="3"/>
  </w:num>
  <w:num w:numId="28" w16cid:durableId="1005085558">
    <w:abstractNumId w:val="2"/>
  </w:num>
  <w:num w:numId="29" w16cid:durableId="406464713">
    <w:abstractNumId w:val="1"/>
  </w:num>
  <w:num w:numId="30" w16cid:durableId="1776779249">
    <w:abstractNumId w:val="0"/>
  </w:num>
  <w:num w:numId="31" w16cid:durableId="260376416">
    <w:abstractNumId w:val="9"/>
  </w:num>
  <w:num w:numId="32" w16cid:durableId="640380174">
    <w:abstractNumId w:val="7"/>
  </w:num>
  <w:num w:numId="33" w16cid:durableId="1198736160">
    <w:abstractNumId w:val="6"/>
  </w:num>
  <w:num w:numId="34" w16cid:durableId="575633506">
    <w:abstractNumId w:val="5"/>
  </w:num>
  <w:num w:numId="35" w16cid:durableId="377778683">
    <w:abstractNumId w:val="4"/>
  </w:num>
  <w:num w:numId="36" w16cid:durableId="2046831869">
    <w:abstractNumId w:val="8"/>
  </w:num>
  <w:num w:numId="37" w16cid:durableId="1062170676">
    <w:abstractNumId w:val="3"/>
  </w:num>
  <w:num w:numId="38" w16cid:durableId="2127236054">
    <w:abstractNumId w:val="2"/>
  </w:num>
  <w:num w:numId="39" w16cid:durableId="1480145652">
    <w:abstractNumId w:val="1"/>
  </w:num>
  <w:num w:numId="40" w16cid:durableId="387731301">
    <w:abstractNumId w:val="0"/>
  </w:num>
  <w:num w:numId="41" w16cid:durableId="448475150">
    <w:abstractNumId w:val="10"/>
  </w:num>
  <w:num w:numId="42" w16cid:durableId="1429353923">
    <w:abstractNumId w:val="10"/>
  </w:num>
  <w:num w:numId="43" w16cid:durableId="1170680440">
    <w:abstractNumId w:val="10"/>
  </w:num>
  <w:num w:numId="44" w16cid:durableId="357122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SK"/>
    <w:docVar w:name="dvnumam" w:val="0"/>
    <w:docVar w:name="dvpe" w:val="764.990"/>
    <w:docVar w:name="dvrapporteur" w:val="Spravodajca: "/>
    <w:docVar w:name="dvtitre" w:val="1. Rozhodnutie Európskeho parlamentu zo 7. mája 2025 o absolutóriu za plnenie všeobecného rozpočtu Európskej únie za rozpočtový rok 2023, oddiel IX – európsky dozorný úradník pre ochranu údajov(2024/2028(DEC))"/>
  </w:docVars>
  <w:rsids>
    <w:rsidRoot w:val="00F01744"/>
    <w:rsid w:val="00146013"/>
    <w:rsid w:val="00F01744"/>
    <w:rsid w:val="00FA0A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F6288"/>
  <w15:chartTrackingRefBased/>
  <w15:docId w15:val="{1E4E18EB-0628-4DB9-9D69-964E1305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basedOn w:val="DefaultParagraphFont"/>
    <w:uiPriority w:val="99"/>
    <w:rPr>
      <w:color w:val="0563C1" w:themeColor="hyperlink"/>
      <w:u w:val="single"/>
    </w:rPr>
  </w:style>
  <w:style w:type="character" w:customStyle="1" w:styleId="NormalHanging12aChar">
    <w:name w:val="NormalHanging12a Char"/>
    <w:basedOn w:val="DefaultParagraphFont"/>
    <w:link w:val="NormalHanging12a"/>
    <w:locked/>
    <w:rPr>
      <w:sz w:val="24"/>
      <w:lang w:val="sk-SK"/>
    </w:rPr>
  </w:style>
  <w:style w:type="paragraph" w:customStyle="1" w:styleId="Visa">
    <w:name w:val="Visa"/>
    <w:basedOn w:val="Normal"/>
    <w:pPr>
      <w:tabs>
        <w:tab w:val="left" w:pos="357"/>
      </w:tabs>
      <w:snapToGrid w:val="0"/>
      <w:spacing w:after="240"/>
      <w:ind w:left="357" w:hanging="357"/>
    </w:pPr>
    <w:rPr>
      <w:lang w:eastAsia="en-US"/>
    </w:rPr>
  </w:style>
  <w:style w:type="paragraph" w:styleId="NormalWeb">
    <w:name w:val="Normal (Web)"/>
    <w:basedOn w:val="Normal"/>
    <w:uiPriority w:val="99"/>
    <w:unhideWhenUsed/>
    <w:pPr>
      <w:widowControl/>
      <w:spacing w:before="100" w:beforeAutospacing="1" w:after="100" w:afterAutospacing="1"/>
    </w:pPr>
    <w:rPr>
      <w:szCs w:val="24"/>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2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2CC88-4B25-4CE7-8B44-FF97A74D5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6274</Words>
  <Characters>37925</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2025-11-27T15:23:00Z</dcterms:created>
  <dcterms:modified xsi:type="dcterms:W3CDTF">2025-11-27T15:23:00Z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P10_TA(2025)0085_</vt:lpwstr>
  </property>
  <property fmtid="{D5CDD505-2E9C-101B-9397-08002B2CF9AE}" pid="4" name="&lt;Type&gt;">
    <vt:lpwstr>RR</vt:lpwstr>
  </property>
</Properties>
</file>