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4C0" w14:paraId="7A0FBC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7D8D5" w14:textId="77777777" w:rsidR="00751A4A" w:rsidRPr="007B54C0" w:rsidRDefault="00664143" w:rsidP="0010095E">
            <w:pPr>
              <w:pStyle w:val="EPName"/>
            </w:pPr>
            <w:r w:rsidRPr="007B54C0">
              <w:t>Evropský parlament</w:t>
            </w:r>
          </w:p>
          <w:p w14:paraId="78965544" w14:textId="77777777" w:rsidR="00751A4A" w:rsidRPr="007B54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4C0">
              <w:t>2024</w:t>
            </w:r>
            <w:r w:rsidR="00817416" w:rsidRPr="007B54C0">
              <w:t>-202</w:t>
            </w:r>
            <w:r w:rsidRPr="007B54C0">
              <w:t>9</w:t>
            </w:r>
          </w:p>
        </w:tc>
        <w:tc>
          <w:tcPr>
            <w:tcW w:w="2268" w:type="dxa"/>
            <w:shd w:val="clear" w:color="auto" w:fill="auto"/>
          </w:tcPr>
          <w:p w14:paraId="3A521581" w14:textId="77777777" w:rsidR="00751A4A" w:rsidRPr="007B54C0" w:rsidRDefault="00187494" w:rsidP="0010095E">
            <w:pPr>
              <w:pStyle w:val="EPLogo"/>
            </w:pPr>
            <w:r w:rsidRPr="007B54C0">
              <w:rPr>
                <w:noProof/>
                <w:lang w:val="en-GB"/>
              </w:rPr>
              <w:drawing>
                <wp:inline distT="0" distB="0" distL="0" distR="0" wp14:anchorId="785107B5" wp14:editId="57A1B0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B9EA7" w14:textId="77777777" w:rsidR="00D058B8" w:rsidRPr="007B54C0" w:rsidRDefault="00D058B8" w:rsidP="004C5D52">
      <w:pPr>
        <w:pStyle w:val="LineTop"/>
      </w:pPr>
    </w:p>
    <w:p w14:paraId="469248E8" w14:textId="77777777" w:rsidR="00680577" w:rsidRPr="007B54C0" w:rsidRDefault="00664143" w:rsidP="00680577">
      <w:pPr>
        <w:pStyle w:val="EPBodyTA1"/>
      </w:pPr>
      <w:r w:rsidRPr="007B54C0">
        <w:t>PŘIJATÉ TEXTY</w:t>
      </w:r>
    </w:p>
    <w:p w14:paraId="7503B6C2" w14:textId="77777777" w:rsidR="00D058B8" w:rsidRPr="007B54C0" w:rsidRDefault="00D058B8" w:rsidP="00D058B8">
      <w:pPr>
        <w:pStyle w:val="LineBottom"/>
      </w:pPr>
    </w:p>
    <w:p w14:paraId="2A871F72" w14:textId="77777777" w:rsidR="00664143" w:rsidRPr="00037C24" w:rsidRDefault="00664143" w:rsidP="00664143">
      <w:pPr>
        <w:pStyle w:val="ATHeading1"/>
      </w:pPr>
      <w:bookmarkStart w:id="0" w:name="TANumber"/>
      <w:r w:rsidRPr="00037C24">
        <w:t>P10_</w:t>
      </w:r>
      <w:proofErr w:type="gramStart"/>
      <w:r w:rsidRPr="00037C24">
        <w:t>TA(</w:t>
      </w:r>
      <w:proofErr w:type="gramEnd"/>
      <w:r w:rsidRPr="00037C24">
        <w:t>2025)00</w:t>
      </w:r>
      <w:r w:rsidR="00B17713">
        <w:t>86</w:t>
      </w:r>
      <w:bookmarkEnd w:id="0"/>
    </w:p>
    <w:p w14:paraId="1CCE32B5" w14:textId="77777777" w:rsidR="00664143" w:rsidRPr="00037C24" w:rsidRDefault="00664143" w:rsidP="00664143">
      <w:pPr>
        <w:pStyle w:val="ATHeading2"/>
      </w:pPr>
      <w:bookmarkStart w:id="1" w:name="title"/>
      <w:r w:rsidRPr="00037C24">
        <w:t xml:space="preserve">Udělení absolutoria za rok 2023: souhrnný rozpočet </w:t>
      </w:r>
      <w:proofErr w:type="gramStart"/>
      <w:r w:rsidRPr="00037C24">
        <w:t>EU - Evropská</w:t>
      </w:r>
      <w:proofErr w:type="gramEnd"/>
      <w:r w:rsidRPr="00037C24">
        <w:t xml:space="preserve"> rada a Rada</w:t>
      </w:r>
      <w:bookmarkEnd w:id="1"/>
    </w:p>
    <w:p w14:paraId="2D7BF883" w14:textId="77777777" w:rsidR="00664143" w:rsidRPr="007B54C0" w:rsidRDefault="00664143" w:rsidP="00664143">
      <w:pPr>
        <w:rPr>
          <w:i/>
          <w:vanish/>
        </w:rPr>
      </w:pPr>
      <w:r w:rsidRPr="007B54C0">
        <w:rPr>
          <w:i/>
        </w:rPr>
        <w:fldChar w:fldCharType="begin"/>
      </w:r>
      <w:r w:rsidRPr="007B54C0">
        <w:rPr>
          <w:i/>
        </w:rPr>
        <w:instrText xml:space="preserve"> TC"(</w:instrText>
      </w:r>
      <w:bookmarkStart w:id="2" w:name="DocNumber"/>
      <w:r w:rsidRPr="007B54C0">
        <w:rPr>
          <w:i/>
        </w:rPr>
        <w:instrText>A10-0069/2025</w:instrText>
      </w:r>
      <w:bookmarkEnd w:id="2"/>
      <w:r w:rsidRPr="007B54C0">
        <w:rPr>
          <w:i/>
        </w:rPr>
        <w:instrText xml:space="preserve"> - Zpravodaj: Joachim Stanisław </w:instrText>
      </w:r>
      <w:proofErr w:type="spellStart"/>
      <w:r w:rsidRPr="007B54C0">
        <w:rPr>
          <w:i/>
        </w:rPr>
        <w:instrText>Brudziński</w:instrText>
      </w:r>
      <w:proofErr w:type="spellEnd"/>
      <w:r w:rsidRPr="007B54C0">
        <w:rPr>
          <w:i/>
        </w:rPr>
        <w:instrText xml:space="preserve">)"\l3 \n&gt; \* MERGEFORMAT </w:instrText>
      </w:r>
      <w:r w:rsidRPr="007B54C0">
        <w:rPr>
          <w:i/>
        </w:rPr>
        <w:fldChar w:fldCharType="end"/>
      </w:r>
    </w:p>
    <w:p w14:paraId="07F97A42" w14:textId="77777777" w:rsidR="00664143" w:rsidRPr="007B54C0" w:rsidRDefault="00664143" w:rsidP="00664143">
      <w:pPr>
        <w:rPr>
          <w:vanish/>
        </w:rPr>
      </w:pPr>
      <w:bookmarkStart w:id="3" w:name="Commission"/>
      <w:r w:rsidRPr="007B54C0">
        <w:rPr>
          <w:vanish/>
        </w:rPr>
        <w:t>Výbor pro rozpočtovou kontrolu</w:t>
      </w:r>
      <w:bookmarkEnd w:id="3"/>
    </w:p>
    <w:p w14:paraId="08D3E017" w14:textId="77777777" w:rsidR="00664143" w:rsidRPr="007B54C0" w:rsidRDefault="00664143" w:rsidP="00664143">
      <w:pPr>
        <w:rPr>
          <w:vanish/>
        </w:rPr>
      </w:pPr>
      <w:bookmarkStart w:id="4" w:name="PE"/>
      <w:r w:rsidRPr="007B54C0">
        <w:rPr>
          <w:vanish/>
        </w:rPr>
        <w:t>PE764.994</w:t>
      </w:r>
      <w:bookmarkEnd w:id="4"/>
    </w:p>
    <w:p w14:paraId="673B5C6C" w14:textId="492D7BA3" w:rsidR="00964687" w:rsidRPr="00AB47AE" w:rsidRDefault="00964687" w:rsidP="00964687">
      <w:pPr>
        <w:pStyle w:val="ATHeading3"/>
      </w:pPr>
      <w:r w:rsidRPr="00AB47AE">
        <w:t>1. Rozhodnutí Evropského parlamentu ze dne 7. května 2025 o udělení absolutoria za plnění souhrnného rozpočtu Evropské unie na rozpočtový rok 2023, oddíl X – Evropská služba pro vnější činnost (2024/2024(DEC))</w:t>
      </w:r>
    </w:p>
    <w:p w14:paraId="6B5592F8" w14:textId="77777777" w:rsidR="00964687" w:rsidRPr="00AB47AE" w:rsidRDefault="00964687" w:rsidP="00964687">
      <w:pPr>
        <w:spacing w:before="480" w:after="240"/>
      </w:pPr>
      <w:r w:rsidRPr="00AB47AE">
        <w:rPr>
          <w:i/>
          <w:iCs/>
        </w:rPr>
        <w:t>Evropský parlament</w:t>
      </w:r>
      <w:r w:rsidRPr="00AB47AE">
        <w:t>,</w:t>
      </w:r>
    </w:p>
    <w:p w14:paraId="4CF417F9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souhrnný rozpočet Evropské unie na rozpočtový rok 2023</w:t>
      </w:r>
      <w:r w:rsidRPr="00AB47AE">
        <w:rPr>
          <w:vertAlign w:val="superscript"/>
        </w:rPr>
        <w:footnoteReference w:id="1"/>
      </w:r>
      <w:r w:rsidRPr="00AB47AE">
        <w:t>,</w:t>
      </w:r>
    </w:p>
    <w:p w14:paraId="4B488A3E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konsolidovanou roční účetní závěrku Evropské unie za rozpočtový rok 2023 (</w:t>
      </w:r>
      <w:proofErr w:type="gramStart"/>
      <w:r w:rsidRPr="00AB47AE">
        <w:t>COM(</w:t>
      </w:r>
      <w:proofErr w:type="gramEnd"/>
      <w:r w:rsidRPr="00AB47AE">
        <w:t>2024)0272 – C10</w:t>
      </w:r>
      <w:r w:rsidRPr="00AB47AE">
        <w:noBreakHyphen/>
        <w:t>0072/2024)</w:t>
      </w:r>
      <w:r w:rsidRPr="00AB47AE">
        <w:rPr>
          <w:vertAlign w:val="superscript"/>
        </w:rPr>
        <w:footnoteReference w:id="2"/>
      </w:r>
      <w:r w:rsidRPr="00AB47AE">
        <w:t>,</w:t>
      </w:r>
    </w:p>
    <w:p w14:paraId="38EC3DBF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výroční zprávu o činnosti Evropské služby pro vnější činnost za rok 2023 a na její výroční zprávu o rozpočtovém a finančním řízení za rok 2023,</w:t>
      </w:r>
    </w:p>
    <w:p w14:paraId="5A099E54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výroční zprávu Účetního dvora o plnění rozpočtu na rozpočtový rok 2023 spolu s odpověďmi orgánů</w:t>
      </w:r>
      <w:r w:rsidRPr="00AB47AE">
        <w:rPr>
          <w:vertAlign w:val="superscript"/>
        </w:rPr>
        <w:footnoteReference w:id="3"/>
      </w:r>
      <w:r w:rsidRPr="00AB47AE">
        <w:t>,</w:t>
      </w:r>
    </w:p>
    <w:p w14:paraId="3E0BE378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prohlášení o věrohodnosti</w:t>
      </w:r>
      <w:r w:rsidRPr="00AB47AE">
        <w:rPr>
          <w:vertAlign w:val="superscript"/>
        </w:rPr>
        <w:footnoteReference w:id="4"/>
      </w:r>
      <w:r w:rsidRPr="00AB47AE">
        <w:t xml:space="preserve"> účetnictví a o legalitě a správnosti uskutečněných operací, které předložil Účetní dvůr za rozpočtový rok 2023 podle článku 287 Smlouvy o fungování Evropské unie,</w:t>
      </w:r>
    </w:p>
    <w:p w14:paraId="69223C19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čl. 314 odst. 10 a články 317, 318 a 319 Smlouvy o fungování Evropské unie,</w:t>
      </w:r>
    </w:p>
    <w:p w14:paraId="61686C30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nařízení Evropského parlamentu a Rady (EU, Euratom) 2018/1046 ze dne 18. července 2018, kterým se stanoví finanční pravidla pro souhrnný rozpočet Unie, mění nařízení (EU) č. 1296/2013, (EU) č. 1301/2013, (EU) č. 1303/2013, (EU) č. 1304/2013, (EU) č. 1309/2013, (EU) č. 1316/2013, (EU) č. 223/2014 a (EU) č. 283/2014 a rozhodnutí č. 541/2014/EU a zrušuje nařízení (EU, Euratom) č. 966/2012</w:t>
      </w:r>
      <w:r w:rsidRPr="00AB47AE">
        <w:rPr>
          <w:vertAlign w:val="superscript"/>
        </w:rPr>
        <w:footnoteReference w:id="5"/>
      </w:r>
      <w:r w:rsidRPr="00AB47AE">
        <w:t>, a zejména na články 59, 118 a 260 až 263 tohoto nařízení,</w:t>
      </w:r>
    </w:p>
    <w:p w14:paraId="7E0B56DC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nařízení Evropského parlamentu a Rady (EU, Euratom) 2024/2509 ze dne 23. září 2024, kterým se stanoví finanční pravidla pro souhrnný rozpočet Unie</w:t>
      </w:r>
      <w:r w:rsidRPr="00AB47AE">
        <w:rPr>
          <w:vertAlign w:val="superscript"/>
        </w:rPr>
        <w:footnoteReference w:id="6"/>
      </w:r>
      <w:r w:rsidRPr="00AB47AE">
        <w:t>, a zejména na články 59, 118 a 266 až 269 tohoto nařízení,</w:t>
      </w:r>
    </w:p>
    <w:p w14:paraId="14102591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 rozhodnutí Rady 2010/427/EU ze dne 26. července 2010 o organizaci a fungování Evropské služby pro vnější činnost</w:t>
      </w:r>
      <w:r w:rsidRPr="00AB47AE">
        <w:rPr>
          <w:vertAlign w:val="superscript"/>
        </w:rPr>
        <w:footnoteReference w:id="7"/>
      </w:r>
      <w:r w:rsidRPr="00AB47AE">
        <w:t>, a zejména na článek 8 tohoto rozhodnutí,</w:t>
      </w:r>
    </w:p>
    <w:p w14:paraId="4A7DF807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článek 102 a přílohu V jednacího řádu,</w:t>
      </w:r>
    </w:p>
    <w:p w14:paraId="5DA101E7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stanovisko Výboru pro zahraniční věci,</w:t>
      </w:r>
    </w:p>
    <w:p w14:paraId="04D2E133" w14:textId="77777777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 ohledem na zprávu Výboru pro rozpočtovou kontrolu (A10</w:t>
      </w:r>
      <w:r w:rsidRPr="00AB47AE">
        <w:noBreakHyphen/>
        <w:t>0069/2025),</w:t>
      </w:r>
    </w:p>
    <w:p w14:paraId="291612AF" w14:textId="77777777" w:rsidR="00964687" w:rsidRPr="00AB47AE" w:rsidRDefault="00964687" w:rsidP="00964687">
      <w:pPr>
        <w:spacing w:after="240"/>
        <w:ind w:left="567" w:hanging="567"/>
      </w:pPr>
      <w:r w:rsidRPr="00AB47AE">
        <w:t>1.</w:t>
      </w:r>
      <w:r w:rsidRPr="00AB47AE">
        <w:tab/>
        <w:t>uděluje absolutorium vysoké představitelce Unie pro zahraniční věci a bezpečnostní politiku za plnění rozpočtu Evropské služby pro vnější činnost na rozpočtový rok 2023;</w:t>
      </w:r>
    </w:p>
    <w:p w14:paraId="4ED77D0B" w14:textId="77777777" w:rsidR="00964687" w:rsidRPr="00AB47AE" w:rsidRDefault="00964687" w:rsidP="00964687">
      <w:pPr>
        <w:spacing w:after="240"/>
        <w:ind w:left="567" w:hanging="567"/>
      </w:pPr>
      <w:r w:rsidRPr="00AB47AE">
        <w:t>2.</w:t>
      </w:r>
      <w:r w:rsidRPr="00AB47AE">
        <w:tab/>
        <w:t>předkládá své připomínky v níže uvedeném usnesení;</w:t>
      </w:r>
    </w:p>
    <w:p w14:paraId="3BE4F50D" w14:textId="77777777" w:rsidR="00964687" w:rsidRPr="00AB47AE" w:rsidRDefault="00964687" w:rsidP="00964687">
      <w:pPr>
        <w:spacing w:after="240"/>
        <w:ind w:left="567" w:hanging="567"/>
      </w:pPr>
      <w:r w:rsidRPr="00AB47AE">
        <w:t>3.</w:t>
      </w:r>
      <w:r w:rsidRPr="00AB47AE">
        <w:tab/>
        <w:t>pověřuje svou předsedkyni, aby předala toto rozhodnutí a usnesení, které je jeho nedílnou součástí, Evropské službě pro vnější činnost, Radě, Komisi, Účetnímu dvoru, evropské veřejné ochránkyni práv a evropskému inspektorovi ochrany údajů a aby zajistila jejich zveřejnění v </w:t>
      </w:r>
      <w:r w:rsidRPr="00AB47AE">
        <w:rPr>
          <w:i/>
          <w:iCs/>
        </w:rPr>
        <w:t>Úředním věstníku Evropské unie</w:t>
      </w:r>
      <w:r w:rsidRPr="00AB47AE">
        <w:t xml:space="preserve"> (řada L).</w:t>
      </w:r>
    </w:p>
    <w:p w14:paraId="5999B655" w14:textId="77777777" w:rsidR="00964687" w:rsidRPr="00F20E53" w:rsidRDefault="00964687" w:rsidP="00964687">
      <w:pPr>
        <w:sectPr w:rsidR="00964687" w:rsidRPr="00F20E53" w:rsidSect="00964687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F4C712" w14:textId="77777777" w:rsidR="00964687" w:rsidRPr="00AB47AE" w:rsidRDefault="00964687" w:rsidP="00964687">
      <w:pPr>
        <w:pStyle w:val="ATHeading3"/>
      </w:pPr>
      <w:r w:rsidRPr="00AB47AE">
        <w:t>2. Usnesení Evropského parlamentu ze dne 7. května 2025 obsahující připomínky, které jsou nedílnou součástí rozhodnutí o udělení absolutoria za plnění souhrnného rozpočtu Evropské unie na rozpočtový rok 2023, oddíl X – Evropská služba pro vnější činnost (2024/2024(DEC))</w:t>
      </w:r>
    </w:p>
    <w:p w14:paraId="618608D4" w14:textId="77777777" w:rsidR="00964687" w:rsidRPr="00AB47AE" w:rsidRDefault="00964687" w:rsidP="00964687">
      <w:pPr>
        <w:spacing w:before="480" w:after="240"/>
      </w:pPr>
      <w:r w:rsidRPr="00AB47AE">
        <w:rPr>
          <w:i/>
        </w:rPr>
        <w:t>Evropský parlament</w:t>
      </w:r>
      <w:r w:rsidRPr="00AB47AE">
        <w:t>,</w:t>
      </w:r>
    </w:p>
    <w:p w14:paraId="6E0DA0A1" w14:textId="2059CB99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své rozhodnutí o udělení absolutoria za plnění souhrnného rozpočtu Evropské unie na rozpočtový rok 2023, oddíl X – Evropská služba pro vnější činnost,</w:t>
      </w:r>
    </w:p>
    <w:p w14:paraId="1BD824BF" w14:textId="6A37263D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článek 102 a přílohu V jednacího řádu,</w:t>
      </w:r>
    </w:p>
    <w:p w14:paraId="4E06685C" w14:textId="2F96E574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stanovisko Výboru pro zahraniční věci,</w:t>
      </w:r>
    </w:p>
    <w:p w14:paraId="66DE7B5E" w14:textId="0F10A6AA" w:rsidR="00964687" w:rsidRPr="00AB47AE" w:rsidRDefault="00964687" w:rsidP="00964687">
      <w:pPr>
        <w:spacing w:after="240"/>
        <w:ind w:left="567" w:hanging="567"/>
      </w:pPr>
      <w:r w:rsidRPr="00AB47AE">
        <w:t>–</w:t>
      </w:r>
      <w:r w:rsidRPr="00AB47AE">
        <w:tab/>
        <w:t>s ohledem na zprávu Výboru pro rozpočtovou kontrolu (A10-0069/2025),</w:t>
      </w:r>
    </w:p>
    <w:p w14:paraId="002FBF36" w14:textId="77777777" w:rsidR="00964687" w:rsidRPr="00AB47AE" w:rsidRDefault="00964687" w:rsidP="00964687">
      <w:pPr>
        <w:spacing w:after="240"/>
        <w:ind w:left="567" w:hanging="567"/>
      </w:pPr>
      <w:r w:rsidRPr="00AB47AE">
        <w:t>A.</w:t>
      </w:r>
      <w:r w:rsidRPr="00AB47AE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14:paraId="42C729F9" w14:textId="77777777" w:rsidR="00964687" w:rsidRPr="00AB47AE" w:rsidRDefault="00964687" w:rsidP="00964687">
      <w:pPr>
        <w:spacing w:after="240"/>
        <w:ind w:left="567" w:hanging="567"/>
      </w:pPr>
      <w:r w:rsidRPr="00AB47AE">
        <w:t>B.</w:t>
      </w:r>
      <w:r w:rsidRPr="00AB47AE">
        <w:tab/>
        <w:t>vzhledem k tomu, že Evropská služba pro vnější činnost (dále jen „ESVČ“) odpovídá za řízení správních výdajů svého ústředí v Bruselu a za síť 144 delegací a kanceláří Unie;</w:t>
      </w:r>
    </w:p>
    <w:p w14:paraId="6DA20781" w14:textId="77777777" w:rsidR="00964687" w:rsidRPr="00AB47AE" w:rsidRDefault="00964687" w:rsidP="00964687">
      <w:pPr>
        <w:spacing w:after="240"/>
        <w:ind w:left="567" w:hanging="567"/>
      </w:pPr>
      <w:r w:rsidRPr="00AB47AE">
        <w:t>C.</w:t>
      </w:r>
      <w:r w:rsidRPr="00AB47AE">
        <w:tab/>
        <w:t>vzhledem k tomu, že úkoly ESVČ se na základě série dohod o poskytování služeb (</w:t>
      </w:r>
      <w:proofErr w:type="spellStart"/>
      <w:r w:rsidRPr="00AB47AE">
        <w:t>service</w:t>
      </w:r>
      <w:proofErr w:type="spellEnd"/>
      <w:r w:rsidRPr="00AB47AE">
        <w:t xml:space="preserve"> level </w:t>
      </w:r>
      <w:proofErr w:type="spellStart"/>
      <w:r w:rsidRPr="00AB47AE">
        <w:t>agreements</w:t>
      </w:r>
      <w:proofErr w:type="spellEnd"/>
      <w:r w:rsidRPr="00AB47AE">
        <w:t>) rozšířily a zahrnují nyní i administrativní řízení zaměstnanců Komise v delegacích;</w:t>
      </w:r>
    </w:p>
    <w:p w14:paraId="7C06C41D" w14:textId="77777777" w:rsidR="00964687" w:rsidRPr="00AB47AE" w:rsidRDefault="00964687" w:rsidP="00964687">
      <w:pPr>
        <w:spacing w:after="240"/>
        <w:ind w:left="567" w:hanging="567"/>
      </w:pPr>
      <w:r w:rsidRPr="00AB47AE">
        <w:t>D.</w:t>
      </w:r>
      <w:r w:rsidRPr="00AB47AE">
        <w:tab/>
        <w:t>vzhledem k tomu, že úlohou delegací je zastupovat Unii a její občany po celém světě prostřednictvím budování sítí a partnerství a prosazovat hodnoty Unie;</w:t>
      </w:r>
    </w:p>
    <w:p w14:paraId="2A9E8E3D" w14:textId="77777777" w:rsidR="00964687" w:rsidRPr="00AB47AE" w:rsidRDefault="00964687" w:rsidP="00964687">
      <w:pPr>
        <w:spacing w:after="240"/>
        <w:ind w:left="567" w:hanging="567"/>
      </w:pPr>
      <w:r w:rsidRPr="00AB47AE">
        <w:t>E.</w:t>
      </w:r>
      <w:r w:rsidRPr="00AB47AE">
        <w:tab/>
        <w:t>vzhledem k tomu, že zvláštností ESVČ je i nadále její povaha a původ, neboť při jejím zřízení byli převedeni dohromady do jedné instituce zaměstnanci někdejších útvarů Rady a Komise pro vnější vztahy a byli do ní začleněni diplomaté z členských států;</w:t>
      </w:r>
    </w:p>
    <w:p w14:paraId="1FC37DD3" w14:textId="77777777" w:rsidR="00964687" w:rsidRPr="00AB47AE" w:rsidRDefault="00964687" w:rsidP="00964687">
      <w:pPr>
        <w:spacing w:after="240"/>
        <w:ind w:left="567" w:hanging="567"/>
      </w:pPr>
      <w:r w:rsidRPr="00AB47AE">
        <w:t>F.</w:t>
      </w:r>
      <w:r w:rsidRPr="00AB47AE">
        <w:tab/>
        <w:t>vzhledem k tomu, že podle vnitřních předpisů ESVČ jedná generální tajemník ESVČ za instituci jako pověřená schvalující osoba a generální ředitel pro řízení zdrojů plní úlohu hlavní dále pověřené schvalující osoby;</w:t>
      </w:r>
    </w:p>
    <w:p w14:paraId="29BEBBF4" w14:textId="77777777" w:rsidR="00964687" w:rsidRPr="00AB47AE" w:rsidRDefault="00964687" w:rsidP="00964687">
      <w:pPr>
        <w:spacing w:after="240"/>
        <w:ind w:left="567" w:hanging="567"/>
      </w:pPr>
      <w:r w:rsidRPr="00AB47AE">
        <w:t>G.</w:t>
      </w:r>
      <w:r w:rsidRPr="00AB47AE">
        <w:tab/>
        <w:t>vzhledem k tomu, že výkon pravomocí, jež byly služebním řádem svěřeny orgánu oprávněnému ke jmenování, provádí ve vztahu k zaměstnancům místopředsedkyně Komise, vysoká představitelka Unie pro zahraniční věci a bezpečnostní politiku;</w:t>
      </w:r>
    </w:p>
    <w:p w14:paraId="153D513E" w14:textId="77777777" w:rsidR="00964687" w:rsidRPr="00AB47AE" w:rsidRDefault="00964687" w:rsidP="00964687">
      <w:pPr>
        <w:spacing w:after="240"/>
        <w:ind w:left="567" w:hanging="567"/>
      </w:pPr>
      <w:r w:rsidRPr="00AB47AE">
        <w:t>H.</w:t>
      </w:r>
      <w:r w:rsidRPr="00AB47AE">
        <w:tab/>
        <w:t>vzhledem k tomu, že plnění rozpočtu se řídí finančním nařízením a vnitřními předpisy ESVČ pro plnění rozpočtu;</w:t>
      </w:r>
    </w:p>
    <w:p w14:paraId="6C626394" w14:textId="77777777" w:rsidR="00964687" w:rsidRPr="00AB47AE" w:rsidRDefault="00964687" w:rsidP="00964687">
      <w:pPr>
        <w:spacing w:after="240"/>
        <w:ind w:left="567" w:hanging="567"/>
      </w:pPr>
      <w:r w:rsidRPr="00AB47AE">
        <w:t>1.</w:t>
      </w:r>
      <w:r w:rsidRPr="00AB47AE">
        <w:tab/>
        <w:t>konstatuje, že rozpočet ESVČ spadá do okruhu 7 VFR „Evropská veřejná správa“, který v roce 2023 činil 12,3 miliardy EUR (což představuje 6,4 % celkového rozpočtu Unie); konstatuje, že rozpočet ESVČ ve výši přibližně 1,1 miliardy EUR představuje přibližně 9,2 % celkových správních výdajů Unie;</w:t>
      </w:r>
    </w:p>
    <w:p w14:paraId="15931D7A" w14:textId="77777777" w:rsidR="00964687" w:rsidRPr="00AB47AE" w:rsidRDefault="00964687" w:rsidP="00964687">
      <w:pPr>
        <w:spacing w:after="240"/>
        <w:ind w:left="567" w:hanging="567"/>
      </w:pPr>
      <w:r w:rsidRPr="00AB47AE">
        <w:t>2.</w:t>
      </w:r>
      <w:r w:rsidRPr="00AB47AE">
        <w:tab/>
        <w:t>konstatuje, že Evropský účetní dvůr (dále jen „Účetní dvůr“) ve výroční zprávě za rozpočtový rok 2023 zkoumal vzorek 70 transakcí v oddílu Správa, což je o deset transakcí více než v roce 2022; dále konstatuje, že Účetní dvůr píše, že správní výdaje zahrnují výdaje na lidské zdroje, včetně výdajů na důchody, které v roce 2023 představovaly přibližně 70 % celkových správních výdajů, a výdaje na budovy, vybavení, energie, komunikační a informační technologie, a že z jeho dlouholeté práce vyplývá, že tyto výdaje celkově vykazují nízké riziko;</w:t>
      </w:r>
    </w:p>
    <w:p w14:paraId="47DE9CC6" w14:textId="77777777" w:rsidR="00964687" w:rsidRPr="00AB47AE" w:rsidRDefault="00964687" w:rsidP="00964687">
      <w:pPr>
        <w:spacing w:after="240"/>
        <w:ind w:left="567" w:hanging="567"/>
      </w:pPr>
      <w:r w:rsidRPr="00AB47AE">
        <w:t>3.</w:t>
      </w:r>
      <w:r w:rsidRPr="00AB47AE">
        <w:tab/>
        <w:t>konstatuje, že 21 (30 %) ze 70 transakcí obsahovalo chyby, ale že Účetní dvůr na základě pěti chyb, které byly vyčísleny, odhaduje míru chyb pod prahem významnosti;</w:t>
      </w:r>
    </w:p>
    <w:p w14:paraId="42312E66" w14:textId="77777777" w:rsidR="00964687" w:rsidRPr="00AB47AE" w:rsidRDefault="00964687" w:rsidP="00964687">
      <w:pPr>
        <w:spacing w:after="240"/>
        <w:ind w:left="567" w:hanging="567"/>
      </w:pPr>
      <w:r w:rsidRPr="00AB47AE">
        <w:t>4.</w:t>
      </w:r>
      <w:r w:rsidRPr="00AB47AE">
        <w:tab/>
        <w:t>konstatuje se znepokojením, že Účetní dvůr ve své výroční zprávě za rozpočtový rok 2023 zjistil v jedné ze 13 kontrolovaných plateb kvantifikovatelnou chybu a učinil šest nekvantifikovatelných zjištění týkajících se ESVČ; konstatuje, že kvantifikovatelná chyba souvisela s tím, že před podpisem nájemní smlouvy pro delegaci EU neproběhlo platné zadávací řízení; konstatuje, že v roce 2023 přijala ESVČ opatření k odstranění obou kvantifikovatelných chyb, jež Účetní dvůr konstatoval ve své výroční zprávě za rok 2022, a také opatření, jež mají takovému problému zabránit do budoucna;</w:t>
      </w:r>
    </w:p>
    <w:p w14:paraId="73CDCA0E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Rozpočtové a finanční řízení</w:t>
      </w:r>
    </w:p>
    <w:p w14:paraId="38CD7478" w14:textId="77777777" w:rsidR="00964687" w:rsidRPr="00AB47AE" w:rsidRDefault="00964687" w:rsidP="00964687">
      <w:pPr>
        <w:spacing w:after="240"/>
        <w:ind w:left="567" w:hanging="567"/>
      </w:pPr>
      <w:r w:rsidRPr="00AB47AE">
        <w:t>5.</w:t>
      </w:r>
      <w:r w:rsidRPr="00AB47AE">
        <w:tab/>
        <w:t>konstatuje, že konečný rozpočet ESVČ na rozpočtový rok 2023 činil 821 900 280 EUR, což oproti roku 2022 představuje zvýšení o 4,45 %; konstatuje, že ESVČ měla k dispozici také částku 259,7 milionu EUR (včetně účelově vázaných příjmů a přenesených částek), kterou poskytla Komise na krytí správních nákladů souvisejících s jejími zaměstnanci pracujícími v delegacích Unie; dále konstatuje, že ESVČ obdržela další příspěvky v pevné výši na pokrytí společných nákladů na zaměstnance Evropského rozvojového fondu v delegacích a společně vyžívaných prostorech, jakož i další částky na základě dohody o společném využívání prostor a dalších dohod; konstatuje, že celkové rozpočtové prostředky, které ESVČ v roce 2023 spravovala, tudíž činily 1 198,2 milionu EUR (prostředky na závazky), což oproti předchozímu roku představuje nárůst o 4,8 %;</w:t>
      </w:r>
    </w:p>
    <w:p w14:paraId="3CFA0353" w14:textId="77777777" w:rsidR="00964687" w:rsidRPr="00AB47AE" w:rsidRDefault="00964687" w:rsidP="00964687">
      <w:pPr>
        <w:spacing w:after="240"/>
        <w:ind w:left="567" w:hanging="567"/>
        <w:rPr>
          <w:b/>
        </w:rPr>
      </w:pPr>
      <w:r w:rsidRPr="00AB47AE">
        <w:t>6.</w:t>
      </w:r>
      <w:r w:rsidRPr="00AB47AE">
        <w:tab/>
        <w:t>konstatuje, že míra plnění rozpočtu u prostředků na závazky činila v roce 2023 100 %, zatímco u prostředků na platby činila 91,9 % oproti 90,6 % v roce 2022; konstatuje, že průměrná doba uskutečnění platby byla 13,57 dní, upozorňuje však, že 8,63 % celkového objemu prostředků bylo vyplaceno pozdě, a proto úroky z prodlení činily v roce 2023 50 253,91 EUR; naléhavě vyzývá ESVČ, aby své závazky hradila včas; naléhavě vyzývá ESVČ, aby se dále snažila zvýšit počet elektronických plateb a zlepšit digitalizaci pracovních postupů, zejména v delegacích;</w:t>
      </w:r>
    </w:p>
    <w:p w14:paraId="5E5E57EC" w14:textId="77777777" w:rsidR="00964687" w:rsidRPr="00AB47AE" w:rsidRDefault="00964687" w:rsidP="00964687">
      <w:pPr>
        <w:spacing w:after="240"/>
        <w:ind w:left="567" w:hanging="567"/>
      </w:pPr>
      <w:r w:rsidRPr="00AB47AE">
        <w:t>7.</w:t>
      </w:r>
      <w:r w:rsidRPr="00AB47AE">
        <w:tab/>
        <w:t>konstatuje, že ESVČ informovala rozpočtový orgán o dvou rozpočtových převodech v souladu s čl. 29 odst. 1 finančního nařízení a provedla 11 samostatných převodů podle čl. 29 odst. 4, a to v celkové hodnotě 55,7 milionu EUR; konstatuje, že hlavním účelem převodů bylo navýšit rozpočtovou položku 3 0 0 3 pro budovy a související náklady delegací o 18,97 milionu EUR a rozpočtovou položku 3 0 0 1 pro externí zaměstnance a externí služby delegací o 5,6 milionu EUR; konstatuje, že po provedení převodů činil konečný rozpočet ústředí ESVČ 327,8 milionu EUR a konečný rozpočet pro delegace 494,1 milionu EUR;</w:t>
      </w:r>
    </w:p>
    <w:p w14:paraId="645FF198" w14:textId="77777777" w:rsidR="00964687" w:rsidRPr="00AB47AE" w:rsidRDefault="00964687" w:rsidP="00964687">
      <w:pPr>
        <w:spacing w:after="240"/>
        <w:ind w:left="567" w:hanging="567"/>
      </w:pPr>
      <w:r w:rsidRPr="00AB47AE">
        <w:t>8.</w:t>
      </w:r>
      <w:r w:rsidRPr="00AB47AE">
        <w:tab/>
        <w:t xml:space="preserve">konstatuje, že ESVČ byla v roce 2023 svědkem narůstajících politických a finančních problémů a problémů souvisejících s dodržováním lidských práv a právního státu; konstatuje, že hlavní otázkou byla i v roce 2023 ruská útočná válka proti Ukrajině a její geopolitické důsledky, a proto ESVČ zajišťovala rozsáhlou podporu pro Ukrajinu, vyvíjela tlak na Rusko a na světové úrovni usilovala o spolupráci s cílem řešit širší důsledky války, včetně provádění akčního plánu pro geopolitické důsledky ruské agrese vůči Ukrajině; je si vědom úlohy, kterou ESVČ sehrává při shromažďování důkazů proti subjektům podporovaným ruským státem, na něž se vztahují sankce EU, a jednotlivcům zapojeným do šíření dezinformací a manipulace s informacemi k ospravedlnění ruské útočné války; zdůrazňuje, že je třeba poskytnout odpovídající zdroje oddělení pro strategickou komunikaci a strategický výhled ESVČ, aby mohlo účinně bojovat proti dezinformačním kampaním využívaným autoritářskými a neliberálními režimy jako strategické nástroje; vyzývá ESVČ, aby posílila delegace Unie v zemích Východního partnerství s cílem podpořit země, které jsou výrazně zasaženy ruskou vojenskou agresí vůči Ukrajině; konstatuje, že finanční strop Evropského mírového nástroje spravovaného pod vedením místopředsedkyně Komise, vysoké představitelky se v roce 2023 zvýšil z 5,6 milionů EUR na více než 12 milionů EUR; vyzývá ESVČ, aby spolupracovala s Generálním ředitelstvím pro rozšíření a východní sousedství s cílem zajistit účinný dohled a monitorování projektů financovaných z nástroje; konstatuje, že izraelsko-palestinský konflikt, který opětovně zažehl útok </w:t>
      </w:r>
      <w:proofErr w:type="spellStart"/>
      <w:r w:rsidRPr="00AB47AE">
        <w:t>Hamásu</w:t>
      </w:r>
      <w:proofErr w:type="spellEnd"/>
      <w:r w:rsidRPr="00AB47AE">
        <w:t xml:space="preserve"> ze dne 7. října 2023, přiměl ESVČ zintenzívnit diplomatické úsilí, vybízet orgány a instituce Unie, aby vyzývaly k deeskalaci napětí v regionu, reagovat na humanitární potřeby a podporovat mírové úsilí v regionu; zdůrazňuje, že pomoc Unie a ESVČ musí být v souladu s širšími cíli v oblasti lidských práv a míru v regionu a že musí být zavedeny silné záruky, které zajistí, aby finanční prostředky přímo ani nepřímo nepodporovaly teroristické nebo násilné činnosti; zdůrazňuje, že financování obnovy Gazy ze zdrojů Unie by mělo být zahájeno až poté, co budou propuštěni všichni rukojmí </w:t>
      </w:r>
      <w:proofErr w:type="spellStart"/>
      <w:r w:rsidRPr="00AB47AE">
        <w:t>Hamásu</w:t>
      </w:r>
      <w:proofErr w:type="spellEnd"/>
      <w:r w:rsidRPr="00AB47AE">
        <w:t>; zdůrazňuje význam transparentnosti při přidělování finančních zdrojů ve třetích zemích pro zajištění odpovědnosti při využívání rozpočtu Unie a nových finančních nástrojů;</w:t>
      </w:r>
    </w:p>
    <w:p w14:paraId="4FC42D88" w14:textId="77777777" w:rsidR="00964687" w:rsidRPr="00AB47AE" w:rsidRDefault="00964687" w:rsidP="00964687">
      <w:pPr>
        <w:spacing w:after="240"/>
        <w:ind w:left="567" w:hanging="567"/>
      </w:pPr>
      <w:r w:rsidRPr="00AB47AE">
        <w:t>9.</w:t>
      </w:r>
      <w:r w:rsidRPr="00AB47AE">
        <w:rPr>
          <w:b/>
          <w:i/>
        </w:rPr>
        <w:tab/>
      </w:r>
      <w:r w:rsidRPr="00AB47AE">
        <w:t>naléhavě vyzývá ESVČ, aby v úzké spolupráci s Komisí zajistila, aby součástí případných budoucích opatření týkajících se Ruské federace byla úplná restituce rumunského národního pokladu a národního dědictví dalších členských států;</w:t>
      </w:r>
    </w:p>
    <w:p w14:paraId="3413A807" w14:textId="77777777" w:rsidR="00964687" w:rsidRPr="00AB47AE" w:rsidRDefault="00964687" w:rsidP="00964687">
      <w:pPr>
        <w:spacing w:after="240"/>
        <w:ind w:left="567" w:hanging="567"/>
        <w:rPr>
          <w:bCs/>
        </w:rPr>
      </w:pPr>
      <w:r w:rsidRPr="00AB47AE">
        <w:t>10.</w:t>
      </w:r>
      <w:r w:rsidRPr="00AB47AE">
        <w:tab/>
        <w:t xml:space="preserve">připomíná, že existují obvinění týkající se zapojení zaměstnanců UNRWA v Gaze do teroristických útoků </w:t>
      </w:r>
      <w:proofErr w:type="spellStart"/>
      <w:r w:rsidRPr="00AB47AE">
        <w:t>Hamásu</w:t>
      </w:r>
      <w:proofErr w:type="spellEnd"/>
      <w:r w:rsidRPr="00AB47AE">
        <w:t xml:space="preserve"> proti Izraeli, k nimž došlo dne 7. října 2023; konstatuje, že v reakci na tato obvinění agentura UNRWA propustila devět zaměstnanců; zdůrazňuje, že Komise spolupracuje s agenturou UNRWA na zlepšení kontrolních systémů v souladu s doporučeními Úřadu pro vnitřní dohled (OIOS) OSN, včetně prověřování zaměstnanců a posílení vnitřních vyšetřovacích a etických rámců; zdůrazňuje, že v návaznosti na obavy, které Parlament opakovaně vyjádřil ohledně zneužívání finančních prostředků Unie, by žádná pomoc Unie neměla za žádných okolností sloužit k financování terorismu; naléhavě vyzývá k neustálé ostražitosti při zajišťování toho, aby peníze daňových poplatníků nebyly zneužívány; zdůrazňuje, že je nezbytné provádět kontroly k zajištění toho, aby příjemci finančních prostředků Unie dodržovali pravidla Unie a mezinárodní právo, a přijímat posílená opatření, která zabrání zneužívání finanční podpory Unie; vybízí ESVČ, aby zvýšila úsilí o ochranu financování z prostředků Unie a aby monitorovala provádění milníků uvedených v dohodě mezi komisařem </w:t>
      </w:r>
      <w:proofErr w:type="spellStart"/>
      <w:r w:rsidRPr="00AB47AE">
        <w:t>Várhelyim</w:t>
      </w:r>
      <w:proofErr w:type="spellEnd"/>
      <w:r w:rsidRPr="00AB47AE">
        <w:t xml:space="preserve"> a generálním komisařem UNRWA </w:t>
      </w:r>
      <w:proofErr w:type="spellStart"/>
      <w:r w:rsidRPr="00AB47AE">
        <w:t>Lazzarinim</w:t>
      </w:r>
      <w:proofErr w:type="spellEnd"/>
      <w:r w:rsidRPr="00AB47AE">
        <w:t xml:space="preserve"> z dubna 2024, která zahrnuje ustanovení o provádění auditů Unie a posílení vnitřního dohledu nad UNRWA; zdůrazňuje, že je třeba, aby Palestinská národní správa sladila všechny vzdělávací materiály se standardy UNESCO, zejména aby odstranila veškerý obsah, který zahrnuje antisemitismus nebo podněcování k násilí; zdůrazňuje, že splněním těchto standardů by měla být podmíněna finanční podpora, kterou Unie poskytuje Palestinské správě v oblasti vzdělávání; vybízí ESVČ, aby podporovala diplomatické úsilí o komplexní a udržitelné řešení izraelsko-palestinského konfliktu a aby Parlament průběžně informovala o veškerém vývoji spolupráce Unie s Palestinskou správou;</w:t>
      </w:r>
    </w:p>
    <w:p w14:paraId="7121E46A" w14:textId="77777777" w:rsidR="00964687" w:rsidRPr="00AB47AE" w:rsidRDefault="00964687" w:rsidP="00964687">
      <w:pPr>
        <w:spacing w:after="240"/>
        <w:ind w:left="567" w:hanging="567"/>
      </w:pPr>
      <w:r w:rsidRPr="00AB47AE">
        <w:t>11.</w:t>
      </w:r>
      <w:r w:rsidRPr="00AB47AE">
        <w:tab/>
        <w:t>konstatuje, že ESVČ v roce 2023 oznámila podstatná rozpočtová omezení, v jejichž důsledku provedla drastické škrty a optimalizaci rozpočtu, aby se mohla vyrovnat s inflací ve třetích zemích, kolísáním místních měn a nárůstem cen, zejména pak s náklady na pronájem kancelářských prostor, informační technologie a zabezpečení a s cenami energií, kvůli nimž měla ESVČ v cizích zemích mnohem vyšší provozní náklady, které nepříznivě ovlivnily její schopnost efektivně fungovat a plnit povinnost řádné péče ve vztahu k zaměstnancům vyslaným v delegacích; vyjadřuje politování nad tím, že kvůli rozpočtovým tlakům odložila ESVČ údržbu infrastruktury, odložila nebo zrušila výdaje související se zabezpečením v delegacích a provedla škrty v rozpočtových položkách, například v rozpočtu na služební cesty a reprezentaci, kancelářské potřeby a kurzy odborné přípravy; odsuzuje skutečnost, že ESVČ musela z rozpočtových důvodů upřednostnit účast zaměstnanců ve volebních pozorovatelských misích před jinými typy misí, například před navazujícími misemi; zdůrazňuje, že je nezbytné zřídit diplomatickou službu EU;</w:t>
      </w:r>
    </w:p>
    <w:p w14:paraId="3C44A879" w14:textId="77777777" w:rsidR="00964687" w:rsidRPr="00AB47AE" w:rsidRDefault="00964687" w:rsidP="00964687">
      <w:pPr>
        <w:spacing w:after="240"/>
        <w:ind w:left="567" w:hanging="567"/>
        <w:rPr>
          <w:bCs/>
          <w:iCs/>
        </w:rPr>
      </w:pPr>
      <w:r w:rsidRPr="00AB47AE">
        <w:t>12.</w:t>
      </w:r>
      <w:r w:rsidRPr="00AB47AE">
        <w:tab/>
        <w:t>konstatuje, že jak ústředí ESVČ, tak její delegace zahájily v roce 2023 celkem 28 otevřených zadávacích řízení, 27 soutěžních řízení s jednáním, 14 jednacích řízení bez předchozího uveřejnění oznámení o zahájení zadávacího řízení, 6 užších řízení a 2 jednací řízení pro veřejné zakázky střední hodnoty, která byla úspěšně uzavřena a vedla k přidělení zakázky v průměru v 52 % případů; konstatuje, že jedním z důvodů poměrně vysokého počtu neúspěšných zadávacích řízení mohou být vysoké normy a složitost unijních zadávacích řízení, neboť uplatňování unijních pravidel může být pro uchazeče, především ve třetích zemích, náročné; žádá ESVČ, aby prošetřila důvody relativně vysokého počtu neúspěšných postupů zadávání veřejných zakázek a navrhla řešení k zajištění jejich účinného provádění při zachování norem stanovených Unií; vyjadřuje politování nad tím, že v případě vnější činnosti byla pravidla pro zadávání veřejných zakázek v přepracovaném znění finančního nařízení zjednodušena; zdůrazňuje, že pravidla pro zadávání veřejných zakázek mají zajistit, aby financované projekty podléhaly přísným normám a nebyly náchylné k podvodům; vyzývá ESVČ, aby v každém výběrovém řízení vždy usilovala o co nejvyšší úroveň kontroly; domnívá se, že nedostatečná informovanost třetích zemí o přísných normách spojených s pravidly Unie pro zadávání veřejných zakázek by v žádném případě neměla být záminkou ani výmluvou pro snižování laťky;</w:t>
      </w:r>
    </w:p>
    <w:p w14:paraId="31000E70" w14:textId="77777777" w:rsidR="00964687" w:rsidRPr="00AB47AE" w:rsidRDefault="00964687" w:rsidP="00964687">
      <w:pPr>
        <w:spacing w:after="240"/>
        <w:ind w:left="567" w:hanging="567"/>
        <w:rPr>
          <w:szCs w:val="23"/>
        </w:rPr>
      </w:pPr>
      <w:r w:rsidRPr="00AB47AE">
        <w:t>13.</w:t>
      </w:r>
      <w:r w:rsidRPr="00AB47AE">
        <w:tab/>
        <w:t>vítá, že počet společných umístění s členskými státy a ostatními partnery v Unii v delegacích Unie činil na konci roku 2023 138, tedy o 12 více než v roce 2022; konstatuje, že z celkového počtu společných umístění v roce 2023 jich 42 bylo uzavřeno s členskými státy a partnerskými zeměmi, 91 s ostatními partnery v Unii a v pěti případech se jednalo o reverzní společná umístění; konstatuje, že společná umístění představovala v roce 2023 8 % celkové plochy kancelářských prostor delegací Unie a zahrnovala více než polovinu delegací Unie (75), což lze považovat za příklad úspěšné optimalizace správy budov ESVČ, ale také za ukazatel rostoucího zájmu partnerů o sdílení prostor ve třetích zemích a významu společného umístění v oblasti diplomacie;</w:t>
      </w:r>
    </w:p>
    <w:p w14:paraId="6A36A86A" w14:textId="77777777" w:rsidR="00964687" w:rsidRPr="00AB47AE" w:rsidRDefault="00964687" w:rsidP="00964687">
      <w:pPr>
        <w:spacing w:after="240"/>
        <w:ind w:left="567" w:hanging="567"/>
        <w:rPr>
          <w:bCs/>
          <w:iCs/>
        </w:rPr>
      </w:pPr>
      <w:r w:rsidRPr="00AB47AE">
        <w:t>14.</w:t>
      </w:r>
      <w:r w:rsidRPr="00AB47AE">
        <w:tab/>
        <w:t>konstatuje, že rozpočet pro služební cesty činil v roce 2023 18 948 650 EUR, což oproti předchozímu roku představuje nepatrný nárůst o 1,46 %, jehož cílem bylo vyrovnat nárůst nákladů způsobený inflací, avšak v porovnání se skutečným nárůstem cestovních nákladů v roce 2023 byl nedostatečný; vyjadřuje politování nad tím, že ESVČ nemá samostatnou rozpočtovou položku pro služební cesty a cestovní náklady místopředsedkyně Komise, vysoké představitelky a že náklady na její služební cesty a cestovní náklady se dělí mezi ESVČ a Komisi v závislosti na účelu služební cesty; v neposlední řadě konstatuje, že v roce 2023 dosáhly náklady ESVČ na 6 služebních cest místopředsedkyně Komise, vysoké představitelky 2 995,14 EUR a náklady na leteckou taxislužbu 288 145 EUR, což oproti roku 2022, kdy činily 588 103 EUR, představuje snížení o 51 %; zdůrazňuje, že vedoucí představitelé orgánů Unie by měli být dobrým příkladem pro veřejnost a občany, zejména pokud při plnění svých povinností využívají zdroje Unie; zdůrazňuje, že volba leteckého spojení by se v případě, že se nabízí více možností, které lze skloubit s harmonogramem a místem konání schůzí, měla řídit kritérii řádného finančního řízení; zdůrazňuje, že transparentnost a řádné finanční řízení při využívání veřejných prostředků Unie musí zůstat základní zásadou pro všechny orgány Unie;</w:t>
      </w:r>
    </w:p>
    <w:p w14:paraId="4DE7E085" w14:textId="77777777" w:rsidR="00964687" w:rsidRPr="00AB47AE" w:rsidRDefault="00964687" w:rsidP="00964687">
      <w:pPr>
        <w:spacing w:after="240"/>
        <w:ind w:left="567" w:hanging="567"/>
      </w:pPr>
      <w:r w:rsidRPr="00AB47AE">
        <w:t>15.</w:t>
      </w:r>
      <w:r w:rsidRPr="00AB47AE">
        <w:tab/>
        <w:t xml:space="preserve">zdůrazňuje, že rozpočtové škrty mohou mít negativní dopad na provádění nástrojů pro vnější vztahy, jako je Nástroj pro sousedství a rozvojovou a mezinárodní spolupráci – Globální Evropa (NDICI – Globální Evropa) a strategie </w:t>
      </w:r>
      <w:proofErr w:type="spellStart"/>
      <w:r w:rsidRPr="00AB47AE">
        <w:t>Global</w:t>
      </w:r>
      <w:proofErr w:type="spellEnd"/>
      <w:r w:rsidRPr="00AB47AE">
        <w:t xml:space="preserve"> </w:t>
      </w:r>
      <w:proofErr w:type="spellStart"/>
      <w:r w:rsidRPr="00AB47AE">
        <w:t>Gateway</w:t>
      </w:r>
      <w:proofErr w:type="spellEnd"/>
      <w:r w:rsidRPr="00AB47AE">
        <w:t>; zdůrazňuje, že je třeba poskytnout odpovídající zdroje oddělení pro strategickou komunikaci a strategický výhled ESVČ, aby mohlo i nadále účinně bojovat proti dezinformačním kampaním využívaným autoritářskými a neliberálními režimy jako strategické nástroje; vítá v tomto ohledu oznámení o vytvoření pracovní skupiny pro strategickou komunikaci a boj proti manipulaci s informacemi v rámci Generálního ředitelství pro komunikaci Evropské komise;</w:t>
      </w:r>
    </w:p>
    <w:p w14:paraId="539D2B60" w14:textId="77777777" w:rsidR="00964687" w:rsidRPr="00AB47AE" w:rsidRDefault="00964687" w:rsidP="00964687">
      <w:pPr>
        <w:spacing w:after="240"/>
        <w:ind w:left="567" w:hanging="567"/>
      </w:pPr>
      <w:r w:rsidRPr="00AB47AE">
        <w:t>16.</w:t>
      </w:r>
      <w:r w:rsidRPr="00AB47AE">
        <w:tab/>
        <w:t>trvá na tom, aby byl navýšen rozpočet na opatření společné zahraniční a bezpečnostní politiky (SZBP) a další vhodné nástroje k budování míru a nástroje reakce na konflikty a krize, ale i na informační technologie a bezpečnostní protokoly, aby bylo možné činnosti a kapacity Unie plně přizpůsobit současným výzvám a konfliktům na celém světě;</w:t>
      </w:r>
    </w:p>
    <w:p w14:paraId="4F95F2A4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Vnitřní řízení, výkonnost a interní kontrola</w:t>
      </w:r>
    </w:p>
    <w:p w14:paraId="468A6594" w14:textId="77777777" w:rsidR="00964687" w:rsidRPr="00AB47AE" w:rsidRDefault="00964687" w:rsidP="00964687">
      <w:pPr>
        <w:spacing w:after="240"/>
        <w:ind w:left="567" w:hanging="567"/>
      </w:pPr>
      <w:r w:rsidRPr="00AB47AE">
        <w:t>17.</w:t>
      </w:r>
      <w:r w:rsidRPr="00AB47AE">
        <w:tab/>
        <w:t>konstatuje, že ESVČ vytvořila po vnitřní reorganizaci v říjnu 2023 nový útvar pro správu a řízení, který tvoří tři oddělení pověřená inspekcemi, interním auditem a plánováním, podáváním zpráv a dodržováním předpisů, díky nimž bude ESVČ moci zajistit větší odpovědnost, lepší řízení a důkladnější sledování činností; vítá skutečnost, že byla zřízena také rada pro správu a řízení, která má zajistit soudržnost, pokud jde o otázky řízení ESVČ; konstatuje také, že ESVČ vytvořila ředitelství pro mír, bezpečnost a obranu, ředitelství pro mír, partnerství a řešení krizí a dvě nová oddělení zaměřená na „hybridní hrozby a kybernetickou bezpečnost“ a „námořní bezpečnost“, která mají lépe napomáhat při činnosti Unie v oblasti bezpečnosti a obrany;</w:t>
      </w:r>
    </w:p>
    <w:p w14:paraId="4667BD1A" w14:textId="77777777" w:rsidR="00964687" w:rsidRPr="00AB47AE" w:rsidRDefault="00964687" w:rsidP="00964687">
      <w:pPr>
        <w:spacing w:after="240"/>
        <w:ind w:left="567" w:hanging="567"/>
      </w:pPr>
      <w:r w:rsidRPr="00AB47AE">
        <w:t>18.</w:t>
      </w:r>
      <w:r w:rsidRPr="00AB47AE">
        <w:tab/>
        <w:t>konstatuje, že útvar pro správu a řízení provedl v roce 2023 kontrolu účelnosti procesů a politik správy a řízení; vítá, že ESVČ v rámci tohoto procesu aktualizovala chartu výboru pro pokrok v oblasti auditu, revidovala svůj rámec pro vnitřní kontroly, roční plán řízení a rámec pro řízení rizik;</w:t>
      </w:r>
    </w:p>
    <w:p w14:paraId="14CE5C39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19.</w:t>
      </w:r>
      <w:r w:rsidRPr="00AB47AE">
        <w:tab/>
        <w:t>konstatuje, že v souladu s plánem auditů ESVČ na rok 2023 byly v tomto roce dokončeny tři audity, a sice audit správy rejstříku výjimek a nesouladu a dva audity zpracování platů místních zaměstnanců a náboru a řízení místních zaměstnanců a ekvivalentního místního personálu; konstatuje dále s velkým znepokojením, že z důvodu organizační restrukturalizace a odpovídající fluktuace zaměstnanců interního auditu nemohl být v roce 2023 zahájen plánovaný bezpečnostní audit a že tento audit bude opětovně posouzen v rámci přípravy víceletého strategického plánu interního auditu na období 2025–2027; zdůrazňuje, že je důležité provádět interní audity pečlivě a pravidelně; hluboce lituje toho, že v roce 2023 nebyla do praxe zavedena 4 kritická doporučení a 49 velmi důležitých doporučení vyplývajících z dokončených auditů; žádá, aby byl Parlament o uplatňování doporučení v praxi informován;</w:t>
      </w:r>
    </w:p>
    <w:p w14:paraId="4BB4BF03" w14:textId="77777777" w:rsidR="00964687" w:rsidRPr="00AB47AE" w:rsidRDefault="00964687" w:rsidP="00964687">
      <w:pPr>
        <w:spacing w:after="240"/>
        <w:ind w:left="567" w:hanging="567"/>
      </w:pPr>
      <w:r w:rsidRPr="00AB47AE">
        <w:t>20.</w:t>
      </w:r>
      <w:r w:rsidRPr="00AB47AE">
        <w:tab/>
        <w:t>konstatuje, že Účetní dvůr přijal v prosinci 2023 závěrečnou zprávu poté, co provedl audit koordinační úlohy ESVČ, jehož cílem bylo posoudit účinnost koordinace, a to jak koordinace interní, tak koordinace s Komisí a Radou, zejména s ohledem na správu informací, personální zajištění a podávání zpráv; konstatuje, že v roce 2023 byla některá doporučení vyplývající z auditu již zohledněna v probíhajících iniciativách, k nimž patřilo například zasílání pověřovacích dopisů nově jmenovaným velvyslancům před jejich nástupem do funkce a úsilí o uplatňování strategie pro správu informací, které ESVČ vyvíjí od roku 2019; vyzývá ESVČ, aby se zcela řídila doporučeními uvedenými ve zprávě Účetního dvora, tj. aby řešila zjištěné nedostatky ve správě informací, a to jak ve svém ústředí, tak v delegacích Unie v zemích mimo EU, jakož i v kabinetu místopředsedkyně Komise, vysoké představitelky; žádá, aby byl Parlament informován o opatřeních přijatých v návaznosti na doporučení Účetního dvora;</w:t>
      </w:r>
    </w:p>
    <w:p w14:paraId="7010BACA" w14:textId="77777777" w:rsidR="00964687" w:rsidRPr="00AB47AE" w:rsidRDefault="00964687" w:rsidP="00964687">
      <w:pPr>
        <w:spacing w:after="240"/>
        <w:ind w:left="567" w:hanging="567"/>
      </w:pPr>
      <w:r w:rsidRPr="00AB47AE">
        <w:t>21.</w:t>
      </w:r>
      <w:r w:rsidRPr="00AB47AE">
        <w:tab/>
        <w:t>konstatuje, že na základě 26 inspekcí provedených v delegacích v roce 2023 byly hlavní problémy, které delegace řeší, zjištěny v oblasti bezpečnost, budov a administrativní zátěže; konstatuje, že ESVČ zavedla v delegacích opatření k řízení bezpečnostních rizik vycházející z mezinárodních standardů a osvědčených postupů; konstatuje, že inspekční útvar ESVČ vypracoval v roce 2023 pět kritických doporučení, která se všechna týkala řízení tří delegací; konstatuje, že všechna tato doporučení byla zohledněna za zvýšeného dohledu a podpory ze strany ústředí ESVČ; vítá soubor nástrojů, který ESVČ vypracovala v reakci na situace v oblasti vnitřního řízení;</w:t>
      </w:r>
    </w:p>
    <w:p w14:paraId="4CDADC61" w14:textId="77777777" w:rsidR="00964687" w:rsidRPr="00AB47AE" w:rsidRDefault="00964687" w:rsidP="00964687">
      <w:pPr>
        <w:spacing w:after="240"/>
        <w:ind w:left="567" w:hanging="567"/>
      </w:pPr>
      <w:r w:rsidRPr="00AB47AE">
        <w:t>22.</w:t>
      </w:r>
      <w:r w:rsidRPr="00AB47AE">
        <w:tab/>
        <w:t>konstatuje, že v roce 2023 vyjádřily tři delegace Unie (Středoafrická republika, Sierra Leone a Sýrie) ve svých prohlášeních o věrohodnosti výhrady, které se týkaly zejména provozních rozpočtových položek spravovaných Komisí; zdůrazňuje, že tyto výhrady neměly podstatný finanční dopad na správní rozpočet, za který odpovídá ESVČ;</w:t>
      </w:r>
    </w:p>
    <w:p w14:paraId="03455EF7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23.</w:t>
      </w:r>
      <w:r w:rsidRPr="00AB47AE">
        <w:tab/>
        <w:t>vyzývá ESVČ a Komisi, aby úzce spolupracovaly s kontaktní kanceláří Evropského parlamentu ve Washingtonu DC a s delegací Unie ve Spojených státech na určení, financování a provádění iniciativ zaměřených na posílení transatlantických vztahů, včetně výměnných programů pro odborníky pracující ve veřejných institucích v EU a USA;</w:t>
      </w:r>
    </w:p>
    <w:p w14:paraId="1758E886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24.</w:t>
      </w:r>
      <w:r w:rsidRPr="00AB47AE">
        <w:tab/>
        <w:t>žádá ESVČ a delegace Unie, aby intenzivněji sledovaly stav demokracie v různých zemích a zvýšily logistickou a technickou podporu poskytovanou obráncům lidských práv a jednotlivcům z řad původních obyvatel, zejména ženám;</w:t>
      </w:r>
    </w:p>
    <w:p w14:paraId="48DD1866" w14:textId="77777777" w:rsidR="00964687" w:rsidRPr="00AB47AE" w:rsidRDefault="00964687" w:rsidP="00964687">
      <w:pPr>
        <w:spacing w:after="240"/>
        <w:ind w:left="567" w:hanging="567"/>
      </w:pPr>
      <w:r w:rsidRPr="00AB47AE">
        <w:t>25.</w:t>
      </w:r>
      <w:r w:rsidRPr="00AB47AE">
        <w:tab/>
        <w:t>připomíná, že je mimořádně důležité, abychom více podporovali lidská práva, demokracii a rozvoj ve třetích zemích prostřednictvím nástroje NDICI – Globální Evropa, neboť svět demokratických zemí je bezpečnějším světem; zdůrazňuje, že vzhledem k současné situaci, která se vyznačuje rychlým technologickým pokrokem a geopolitickým soupeřením, by měly být dále navýšeny zdroje určené na digitální diplomacii EU; trvá na tom, že ve vztahu ke třetím zemím by prostřednictvím vnější činnosti Unie mělo dojít k posílení „environmentální diplomacie“ a ekologické transformace, což jsou jedny z priorit Unie; zdůrazňuje, že je třeba, aby ESVČ hrála ústřední úlohu při prosazování míru a stability na Blízkém východě, aby zvýšila finanční prostředky určené na humanitární pomoc v Libanonu, Gaze a Sýrii a posílila sledování stavu lidských práv; podtrhuje, že finanční podpora poskytovaná delegacím ESVČ působícím na Blízkém východě, v zemích Perského zálivu a v Africe má zajistit, aby se delegace mohly i nadále věnovat vnější činnosti Unie v daném regionu;</w:t>
      </w:r>
    </w:p>
    <w:p w14:paraId="64FDE8FA" w14:textId="77777777" w:rsidR="00964687" w:rsidRPr="00AB47AE" w:rsidRDefault="00964687" w:rsidP="00964687">
      <w:pPr>
        <w:spacing w:after="240"/>
        <w:ind w:left="567" w:hanging="567"/>
      </w:pPr>
      <w:r w:rsidRPr="00AB47AE">
        <w:t>26.</w:t>
      </w:r>
      <w:r w:rsidRPr="00AB47AE">
        <w:tab/>
        <w:t>konstatuje, že Evropský účetní dvůr zjistil ve své zvláštní zprávě č. 14/2023 nedostatky v metodikách, jež Komise a ESVČ používají pro přidělování finančních prostředků partnerským zemím, a nedostatky v nastavení rámce pro monitorování a že doporučil, aby Komise a ESVČ především zlepšily metodiku přidělování finančních prostředků a posuzování účinku podpory Unie, zacílily rozsah programovacího procesu a ve víceletých orientačních programech zjednodušily ukazatele a používaly je jednotným způsobem;</w:t>
      </w:r>
    </w:p>
    <w:p w14:paraId="7BDFBC8C" w14:textId="77777777" w:rsidR="00964687" w:rsidRPr="00AB47AE" w:rsidRDefault="00964687" w:rsidP="00964687">
      <w:pPr>
        <w:spacing w:after="240"/>
        <w:ind w:left="567" w:hanging="567"/>
      </w:pPr>
      <w:r w:rsidRPr="00AB47AE">
        <w:t>27.</w:t>
      </w:r>
      <w:r w:rsidRPr="00AB47AE">
        <w:tab/>
        <w:t>vítá jmenování prvního zvláštního zástupce EU pro oblast Perského zálivu;</w:t>
      </w:r>
    </w:p>
    <w:p w14:paraId="51513F1E" w14:textId="77777777" w:rsidR="00964687" w:rsidRPr="00AB47AE" w:rsidRDefault="00964687" w:rsidP="00964687">
      <w:pPr>
        <w:spacing w:after="240"/>
        <w:ind w:left="567" w:hanging="567"/>
      </w:pPr>
      <w:r w:rsidRPr="00AB47AE">
        <w:t>28.</w:t>
      </w:r>
      <w:r w:rsidRPr="00AB47AE">
        <w:tab/>
        <w:t>zdůrazňuje, že nedávné události, zejména plošná invaze Ruska na Ukrajinu, jeho nepřátelské snahy ovlivnit demokratické procesy v Evropě a rostoucí nestabilita na Blízkém východě, vynesly zahraniční politiku Unie a její provádění do popředí zájmu členských států a orgánů Unie; zdůrazňuje, že ESVČ a její delegace hrají zásadní úlohu, pokud jde o provádění vnější politiky Unie a boj proti zahraniční manipulaci s informacemi a vměšování; zdůrazňuje význam ESVČ pro vztahy Unie s jejími 25 až 30 miliony občanů, kteří žijí v zemích mimo Unii; uznává, že rozpočet ESVČ, který je již strukturálně podfinancován, byl ve srovnání s rozpočty ostatních orgánů Unie nepřiměřeně ovlivněn vyšší mírou inflace a následnou energetickou krizí způsobenou ruskou útočnou válkou na Ukrajině, a vyjadřuje znepokojení nad těmito negativními dopady na ESVČ a na práci orgánů Unie a nad absencí opatření, jež by zlepšila současnou rozpočtovou situaci ESVČ, která může mít závažný dopad na vztahy Unie se třetími zeměmi;</w:t>
      </w:r>
    </w:p>
    <w:p w14:paraId="34EF5045" w14:textId="77777777" w:rsidR="00964687" w:rsidRPr="00AB47AE" w:rsidRDefault="00964687" w:rsidP="00964687">
      <w:pPr>
        <w:spacing w:after="240"/>
        <w:ind w:left="567" w:hanging="567"/>
      </w:pPr>
      <w:r w:rsidRPr="00AB47AE">
        <w:t>29.</w:t>
      </w:r>
      <w:r w:rsidRPr="00AB47AE">
        <w:tab/>
        <w:t xml:space="preserve">vítá neochvějnou podporu poskytovanou Ukrajině, mimo jiné prostřednictvím civilní poradní mise EU (EUAM </w:t>
      </w:r>
      <w:proofErr w:type="spellStart"/>
      <w:r w:rsidRPr="00AB47AE">
        <w:t>Ukraine</w:t>
      </w:r>
      <w:proofErr w:type="spellEnd"/>
      <w:r w:rsidRPr="00AB47AE">
        <w:t>) a výcviku ukrajinských vojáků v rámci vojenské pomocné mise EU (EUMAM);</w:t>
      </w:r>
    </w:p>
    <w:p w14:paraId="5BE72FE5" w14:textId="77777777" w:rsidR="00964687" w:rsidRPr="00AB47AE" w:rsidRDefault="00964687" w:rsidP="00964687">
      <w:pPr>
        <w:spacing w:after="240"/>
        <w:ind w:left="567" w:hanging="567"/>
      </w:pPr>
      <w:r w:rsidRPr="00AB47AE">
        <w:t>30.</w:t>
      </w:r>
      <w:r w:rsidRPr="00AB47AE">
        <w:tab/>
        <w:t>zdůrazňuje, že Unie musí navýšit financování s cílem posílit zvláštní rozpočtovou položku v rámci zahraniční politiky Unie, která je konkrétně zaměřena na podporu genderové rovnosti a agendy žen, míru a bezpečnosti, aby se zajistilo konzistentní financování iniciativ, které podporují vedení zohledňující genderovou rovnost, chrání práva žen a bojují proti sexuálnímu a genderově podmíněnému násilí v konfliktním a </w:t>
      </w:r>
      <w:proofErr w:type="spellStart"/>
      <w:r w:rsidRPr="00AB47AE">
        <w:t>postkonfliktním</w:t>
      </w:r>
      <w:proofErr w:type="spellEnd"/>
      <w:r w:rsidRPr="00AB47AE">
        <w:t xml:space="preserve"> prostředí; zdůrazňuje, že toto financování má zásadní význam pro podporu místních organizací občanské společnosti, poskytování podpory zaměřené na oběti a začleňování hlediska genderové rovnosti do diplomatických a bezpečnostních aktivit Unie;</w:t>
      </w:r>
    </w:p>
    <w:p w14:paraId="4F25534F" w14:textId="77777777" w:rsidR="00964687" w:rsidRPr="00AB47AE" w:rsidRDefault="00964687" w:rsidP="00964687">
      <w:pPr>
        <w:spacing w:after="240"/>
        <w:ind w:left="567" w:hanging="567"/>
      </w:pPr>
      <w:r w:rsidRPr="00AB47AE">
        <w:t>31.</w:t>
      </w:r>
      <w:r w:rsidRPr="00AB47AE">
        <w:tab/>
        <w:t>zdůrazňuje, že akční plán pro rovnost žen a mužů (GAP) III stanoví, že 85 % nových opatření Unie musí přispívat k rovnosti žen a mužů a k posílení postavení žen a dívek; vyzývá ESVČ, aby urychlila plnění cílů plánu GAP III tím, že se ve své každodenní práci konstruktivně zaměří na angažovanost v klíčových oblastech tohoto plánu, mezi něž patří ukončení genderově podmíněného násilí, podpora sexuálního a reprodukčního zdraví a práv, hospodářská a sociální práva a silnější postavení žen a dívek, jejich rovná účast a zastávání vedoucích pozic; konstatuje, že akční plán GAP III skončí v roce 2027, a naléhavě vyzývá ESVČ, aby za tímto účelem vypracovala ambicióznější akční plán GAP IV, který zajistí silnější vazbu mezi právy žen a posílením jejich postavení na jedné straně a zahraniční a bezpečnostní politikou Unie na straně druhé a bude připraven k provádění od roku 2028;</w:t>
      </w:r>
    </w:p>
    <w:p w14:paraId="65F9E5D9" w14:textId="77777777" w:rsidR="00964687" w:rsidRPr="00AB47AE" w:rsidRDefault="00964687" w:rsidP="00964687">
      <w:pPr>
        <w:spacing w:after="240"/>
        <w:ind w:left="567" w:hanging="567"/>
      </w:pPr>
      <w:r w:rsidRPr="00AB47AE">
        <w:t>32.</w:t>
      </w:r>
      <w:r w:rsidRPr="00AB47AE">
        <w:tab/>
        <w:t>poukazuje na mimořádně zranitelnou situaci dětí ve světě, zejména v ozbrojených konfliktech; vyjadřuje vážné znepokojení nad skutečností, že ozbrojené konflikty měly v roce 2023 dopad na desítky tisíc dětí na celém světě a že docházelo ke zcela nepřípustnému zneužívání dětí a porušování jejich nejzákladnějších práv; vyzývá ESVČ, aby se v rámci své činnosti zaměřovala především na práva dětí;</w:t>
      </w:r>
    </w:p>
    <w:p w14:paraId="3EF3A21B" w14:textId="77777777" w:rsidR="00964687" w:rsidRPr="00AB47AE" w:rsidRDefault="00964687" w:rsidP="00964687">
      <w:pPr>
        <w:spacing w:after="240"/>
        <w:ind w:left="567" w:hanging="567"/>
      </w:pPr>
      <w:r w:rsidRPr="00AB47AE">
        <w:t>33.</w:t>
      </w:r>
      <w:r w:rsidRPr="00AB47AE">
        <w:tab/>
        <w:t>připomíná zoufalý stav práv žen a osob LGBTQI+ v mnohých částech světa; zdůrazňuje, že je naléhavě nutné práva těchto osob lépe chránit; zdůrazňuje ústřední úlohu ESVČ při prosazování lidských práv na celém světě; vyzývá ESVČ, aby zvýšila své úsilí v tomto ohledu;</w:t>
      </w:r>
    </w:p>
    <w:p w14:paraId="239EAB58" w14:textId="77777777" w:rsidR="00964687" w:rsidRPr="00AB47AE" w:rsidRDefault="00964687" w:rsidP="00964687">
      <w:pPr>
        <w:spacing w:after="240"/>
        <w:ind w:left="567" w:hanging="567"/>
      </w:pPr>
      <w:r w:rsidRPr="00AB47AE">
        <w:t>34.</w:t>
      </w:r>
      <w:r w:rsidRPr="00AB47AE">
        <w:tab/>
        <w:t>považuje volební pozorovatelskou misi za praktický a účinný nástroj zahraniční politiky, který je i nadále ústředním prvkem politik a strategií Unie na podporu demokracie; vyzývá Unii, aby zajistila odpovídající zdroje pro své volební pozorovatelské mise, mj. proto, aby mohly být rozšířeny na volby v kandidátských a sousedních zemích;</w:t>
      </w:r>
    </w:p>
    <w:p w14:paraId="19201807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Lidské zdroje, rovnost a dobré pracovní podmínky zaměstnanců</w:t>
      </w:r>
    </w:p>
    <w:p w14:paraId="7F467BD6" w14:textId="77777777" w:rsidR="00964687" w:rsidRPr="00AB47AE" w:rsidRDefault="00964687" w:rsidP="00964687">
      <w:pPr>
        <w:spacing w:after="240"/>
        <w:ind w:left="567" w:hanging="567"/>
      </w:pPr>
      <w:r w:rsidRPr="00AB47AE">
        <w:t>35.</w:t>
      </w:r>
      <w:r w:rsidRPr="00AB47AE">
        <w:tab/>
        <w:t>konstatuje, že v roce 2023 činila obsazenost pracovních míst podle plánu pracovních míst 96,7 %; konstatuje, že ESVČ zaměstnávala celkem 2 812 osob, z toho 1 245 úředníků, 450 dočasných zaměstnanců, 603 smluvních zaměstnanců a 514 vyslaných národních odborníků; konstatuje, že z celkového počtu úředníků a dočasných zaměstnanců ústředí ESVČ nebo jejích delegacích tvořili 62,5 % administrátoři, 32,8 % asistenti a 4,8 % administrativní pracovníci;</w:t>
      </w:r>
    </w:p>
    <w:p w14:paraId="4E09C2E4" w14:textId="77777777" w:rsidR="00964687" w:rsidRPr="00AB47AE" w:rsidRDefault="00964687" w:rsidP="00964687">
      <w:pPr>
        <w:spacing w:after="240"/>
        <w:ind w:left="567" w:hanging="567"/>
      </w:pPr>
      <w:r w:rsidRPr="00AB47AE">
        <w:t>36.</w:t>
      </w:r>
      <w:r w:rsidRPr="00AB47AE">
        <w:tab/>
        <w:t>konstatuje, že na konci roku 2023 pracovalo v ESVČ celkem 5 252 osob, které byly zaměstnány buď přímo ESVČ nebo prostřednictvím externích smluvních partnerů a z nichž 46,2 % pracovalo v ústředí ESVČ a 53,8 % v delegacích; konstatuje, že z celkového počtu osob pracujících v ESVČ tvořili 46,5 % nestatutární zaměstnanci nebo externí smluvní partneři; konstatuje, že největší počet externích zaměstnanců zaměstnaných externím smluvním partnerem, ale pracujících v prostorách ESVČ, jsou pracovníci zajišťující služby v oblasti informačních technologií, bezpečnosti a ochrany a zdravotní péče;</w:t>
      </w:r>
    </w:p>
    <w:p w14:paraId="6786924C" w14:textId="77777777" w:rsidR="00964687" w:rsidRPr="00AB47AE" w:rsidRDefault="00964687" w:rsidP="00964687">
      <w:pPr>
        <w:spacing w:after="240"/>
        <w:ind w:left="567" w:hanging="567"/>
      </w:pPr>
      <w:r w:rsidRPr="00AB47AE">
        <w:t>37.</w:t>
      </w:r>
      <w:r w:rsidRPr="00AB47AE">
        <w:tab/>
        <w:t>konstatuje, že v roce 2023 získala ESVČ od rozpočtového orgánu 36 ekvivalentů plného pracovního úvazku zahrnujících 31 smluvních zaměstnanců a pět vyslaných národních odborníků, přičemž náklady na tyto odborníky byly sdíleny; konstatuje, že byly přiděleny další zdroje na funkce spojené s řešením krizí, na provádění Strategického kompasu a další priority ESVČ; konstatuje, že na konci roku 2023 získala ESVČ dalších 20 bezplatně vyslaných národních odborníků pro útvar schopnosti vojenského plánování a vedení;</w:t>
      </w:r>
    </w:p>
    <w:p w14:paraId="30A755E9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38.</w:t>
      </w:r>
      <w:r w:rsidRPr="00AB47AE">
        <w:tab/>
        <w:t>konstatuje, že na konci roku 2023 bylo mezi statutárními zaměstnanci ESVČ 52,7 % mužů a 47,3 % žen, což odráží mírný nárůst zastoupení žen ve srovnání s rokem 2022, kdy ženy tvořily 46,8 % zaměstnanců; vítá mírný pokrok v oblasti genderové vyváženosti ve vrcholném vedení, kde se zastoupení žen zvýšilo z 6,3 % v roce 2022 na 7,6 % v roce 2023, a ve vedení na střední úrovni, kde se zvýšilo z 30,1 % v roce 2022 na 30,4 % v roce 2023; vyzývá ESVČ, aby zintenzivnila snahy o podstatnější a viditelnější genderovou vyváženost na všech úrovních organizace;</w:t>
      </w:r>
    </w:p>
    <w:p w14:paraId="1E979F7E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39.</w:t>
      </w:r>
      <w:r w:rsidRPr="00AB47AE">
        <w:tab/>
        <w:t>vítá skutečnost, že místopředsedkyně Komise, vysoká představitelka a Komise zveřejnily na konci roku 2023 zprávu v polovině období o provádění akčního plánu EU pro rovnost žen a mužů (GAP III), jakož i rozhodnutí o prodloužení jeho harmonogramu do roku 2027, aby byl zajištěn soulad s víceletým finančním rámcem (VFR); uznává, že plán GAP III je důležitý z hlediska prosazování genderové rovnosti jakožto strategické priority vnější činnosti Unie a posilování její úlohy v této oblasti; vítá první školení vedoucích pracovníků zaměřené na vedení zohledňující aspekt genderu, které na konci roku 2023 uspořádal tým velvyslankyně pro genderovou rovnost;</w:t>
      </w:r>
    </w:p>
    <w:p w14:paraId="39CE6211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40.</w:t>
      </w:r>
      <w:r w:rsidRPr="00AB47AE">
        <w:tab/>
        <w:t>vítá první zprávu ESVČ o zahraniční manipulaci s informacemi a vměšování se zaměřením na osoby LGBTIQA+, jejímž cílem je zlepšit pochopení taktik zahraniční manipulace s informacemi a vměšování a podpořit spolupráci, a to i s agenturou ENISA, za účelem ochrany komunity LGBTIQA+; vyjadřuje znepokojení nad celosvětovým stavem práv osob LGBTIQ+ a nad stále odmítavějším postojem vůči genderové rovnosti, právům žen, sexuálnímu a reprodukčnímu zdraví a právům v rozvojových zemích; vyzývá Komisi a ESVČ, aby se těmito nedostatky zabývaly a aby mezi své priority zařadily cílenou podporu organizací občanské společnosti, které se zasazují o tato práva;</w:t>
      </w:r>
    </w:p>
    <w:p w14:paraId="3D94EFFB" w14:textId="77777777" w:rsidR="00964687" w:rsidRPr="00AB47AE" w:rsidRDefault="00964687" w:rsidP="00964687">
      <w:pPr>
        <w:spacing w:after="240"/>
        <w:ind w:left="567" w:hanging="567"/>
      </w:pPr>
      <w:r w:rsidRPr="00AB47AE">
        <w:t>41.</w:t>
      </w:r>
      <w:r w:rsidRPr="00AB47AE">
        <w:tab/>
        <w:t>konstatuje, že místopředsedkyně Komise, vysoká představitelka ve svém rozhodnutí z července 2023 uvedla, že maximální délka trvání pracovního poměru dočasných a smluvních zaměstnanců ESVČ činí osm let v referenčním období 13 let, nebo za výjimečných okolností a v zájmu útvaru deset let v referenčním období 15 let a že minimální časový interval mezi po sobě následujícími pracovními poměry dočasných zaměstnanců vyslaných z vnitrostátních diplomatických služeb členských států činí dva roky od ukončení jejich poslední smlouvy;</w:t>
      </w:r>
    </w:p>
    <w:p w14:paraId="15C746CE" w14:textId="77777777" w:rsidR="00964687" w:rsidRPr="00AB47AE" w:rsidRDefault="00964687" w:rsidP="00964687">
      <w:pPr>
        <w:spacing w:after="240"/>
        <w:ind w:left="567" w:hanging="567"/>
      </w:pPr>
      <w:r w:rsidRPr="00AB47AE">
        <w:t>42.</w:t>
      </w:r>
      <w:r w:rsidRPr="00AB47AE">
        <w:tab/>
        <w:t>konstatuje, že na konci roku 2023 bylo z 1 695 úředníků a dočasných zaměstnanců 863 (51 %) mužů a 832 (49 %) žen, což představuje mírný nárůst oproti roku 2022; konstatuje, že mezi smluvními zaměstnanci tvořily 57,4 % ženy, což představuje mírný nárůst oproti roku 2022; vyjadřuje však politování nad tím, že ženy jsou stále výrazně méně zastoupeny na vyšších pozicích, jak v ústředí, tak v delegacích, a jsou nadměrně zastoupeny především na pozicích AST; vyzývá ESVČ, aby zveřejnila přehled zastoupení jednotlivých členských států a pohlaví ve středních a vyšších vedoucích pozicích; žádá ESVČ, aby se touto otázkou zabývala a zároveň respektovala kompetence a zásluhy uchazečů; vítá skutečnost, že rotace v roce 2023 nabídla 42 vedoucích míst v delegacích a vedla k 12 % nárůstu počtu velvyslankyň, přičemž v roce 2023 zaujímaly ženy 35,50 % velvyslaneckých postů (nárůst z 31,70 %), což je nicméně stále nedostatečné zastoupení;</w:t>
      </w:r>
    </w:p>
    <w:p w14:paraId="18F3FF6A" w14:textId="77777777" w:rsidR="00964687" w:rsidRPr="00AB47AE" w:rsidRDefault="00964687" w:rsidP="00964687">
      <w:pPr>
        <w:spacing w:after="240"/>
        <w:ind w:left="567" w:hanging="567"/>
      </w:pPr>
      <w:r w:rsidRPr="00AB47AE">
        <w:t>43.</w:t>
      </w:r>
      <w:r w:rsidRPr="00AB47AE">
        <w:tab/>
        <w:t>konstatuje, že ačkoli jsou mezi zaměstnanci ESVČ zastoupeny všechny členské státy, určitá nerovnováha přetrvává, neboť v největší míře nadměrně zastoupeným členským státem je Belgie, jejíž občané tvoří 12,1 % celkového počtu zaměstnanců ESVČ; poukazuje na to, že značná zeměpisná nerovnováha rovněž panuje mezi západními a východními členskými státy EU; konstatuje také, že ve vedoucích funkcích je v největší míře nadměrně zastoupeným členským státem Itálie, jejíž občané zastávají 15 % všech vedoucích pozic; konstatuje, že ze 141 velvyslanců Unie nemají tři členské státy žádného velvyslance (Maďarsko, Lucembursko a Malta), zatímco nejvíce velvyslanců má Francie (22), Španělsko a Itálie (16), Německo (12) a Belgie (10), což znamená, že těchto pět zemí obsadilo 54 % všech velvyslaneckých míst; důrazně opakuje svou výzvu, aby ESVČ i nadále zajišťovala zdravou zeměpisnou vyváženost v rámci celé organizace a na všech úrovních; opakuje rovněž své znepokojení nad nedostatečnou genderovou vyvážeností; konstatuje, že ženy jsou výrazně méně zastoupeny na vyšších pozicích, zatímco nadměrně jsou zastoupeny především na pozicích AST; vyzývá ESVČ, aby zveřejnila přehled zastoupení jednotlivých členských států a pohlaví ve středních a vyšších vedoucích pozicích; žádá ESVČ, aby se touto otázkou zabývala a zároveň respektovala kompetence a zásluhy uchazečů;</w:t>
      </w:r>
    </w:p>
    <w:p w14:paraId="639A5049" w14:textId="77777777" w:rsidR="00964687" w:rsidRPr="00AB47AE" w:rsidRDefault="00964687" w:rsidP="00964687">
      <w:pPr>
        <w:spacing w:after="240"/>
        <w:ind w:left="567" w:hanging="567"/>
      </w:pPr>
      <w:r w:rsidRPr="00AB47AE">
        <w:t>44.</w:t>
      </w:r>
      <w:r w:rsidRPr="00AB47AE">
        <w:tab/>
        <w:t>konstatuje, že v roce 2023 proběhlo velké střídání na 52 vedoucích místech v delegacích; vítá úsilí ESVČ o zajištění lepší informovanosti členských států o nutnosti přilákat nejrůznější kandidáty na zveřejněná pracovní místa a navrhovat kvalifikované kandidáty do funkcí velvyslance Unie;</w:t>
      </w:r>
    </w:p>
    <w:p w14:paraId="3206E500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45.</w:t>
      </w:r>
      <w:r w:rsidRPr="00AB47AE">
        <w:tab/>
        <w:t>s uspokojením konstatuje, že ESVČ přijala v roce 2023 Program pro rozmanitost a inkluzi 2023–2025, což je podrobný akční plán na podporu bezpečného a respektujícího pracovního prostředí a přístupu nulové tolerance vůči obtěžování; konstatuje, že u obou dokumentů byly vedeny konzultace se zástupci zaměstnanců, sdruženími zaměstnanců a Společným výborem pro rovné příležitosti, který byl přejmenován na Společný výbor pro rozmanitost a inkluzi; konstatuje, že akční plán zahrnuje opatření pro zamezení obtěžování, jako je pro všechny zaměstnance povinný elektronický vzdělávací kurz zaměřený na „rozpoznání a řešení obtěžování na pracovišti“ a povinné školení pro vedoucí pracovníky zaměřené na „způsob, jak vytvořit pracovní prostředí, kde nedochází k obtěžování“; vyzývá ESVČ, aby pracovníkům v manažerských i </w:t>
      </w:r>
      <w:proofErr w:type="spellStart"/>
      <w:r w:rsidRPr="00AB47AE">
        <w:t>nemanažerských</w:t>
      </w:r>
      <w:proofErr w:type="spellEnd"/>
      <w:r w:rsidRPr="00AB47AE">
        <w:t xml:space="preserve"> pozicích nadále poskytovala pravidelnou odbornou přípravu v otázkách týkajících se rozmanitosti, rovnosti, začleňování a sounáležitosti;</w:t>
      </w:r>
    </w:p>
    <w:p w14:paraId="4D8BFABB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46.</w:t>
      </w:r>
      <w:r w:rsidRPr="00AB47AE">
        <w:tab/>
        <w:t>se znepokojením konstatuje, že ESVČ obdržela v roce 2023 tři žádosti o pomoc při řešení údajného psychologického obtěžování, do něhož měli být zapojeni dva úředníci, přičemž proběhla dvě správní šetření, z nichž jedno nebylo dosud ukončeno a druhé bylo ukončeno uložením disciplinární sankce; konstatuje, že v roce 2023 se mediační služba ESVČ v rámci neformálního postupu zabývala 28 případy údajného psychologického obtěžování a 10 případy sexuálního obtěžování a že důvěrní poradci řešili 21 případů údajného psychologického obtěžování a 6 případů sexuálního obtěžování; konstatuje, že ESVČ vypracovala v roce 2023 rozhodnutí o předcházení obtěžování určené místním zaměstnancům v delegacích, které bylo přijato v červnu 2024; oceňuje úsilí ESVČ o posílení svých politik proti obtěžování, včetně zavedení povinných modulů elektronického učení ke zvýšení informovanosti a zřízení „pracovní skupiny Istanbulské úmluvy“, jejímž cílem je určit opatření k zajištění bezpečnějšího pracoviště pro všechny; vyjadřuje však vážné znepokojení nad trvale vysokým počtem případů obtěžování; vyzývá ESVČ, aby zavedla silnější opatření v oblasti prevence a podpory obětí a přísná disciplinární opatření s cílem zajistit nulovou toleranci vůči obtěžování a bezpečné pracovní prostředí;</w:t>
      </w:r>
    </w:p>
    <w:p w14:paraId="0E1EA796" w14:textId="77777777" w:rsidR="00964687" w:rsidRPr="00AB47AE" w:rsidRDefault="00964687" w:rsidP="00964687">
      <w:pPr>
        <w:spacing w:after="240"/>
        <w:ind w:left="567" w:hanging="567"/>
      </w:pPr>
      <w:r w:rsidRPr="00AB47AE">
        <w:t>47.</w:t>
      </w:r>
      <w:r w:rsidRPr="00AB47AE">
        <w:tab/>
        <w:t>konstatuje, že ESVČ přijala v roce 2023 několik opatření na podporu fyzického a duševního zdraví jejích zaměstnanců, včetně systematických zdravotních prohlídek pro všechny zaměstnance před jejich přidělením do delegace, psychologické podpory a opatření v oblasti zvyšování informovanosti; konstatuje, že v říjnu 2023 byla přijata dvě rozhodnutí o pracovní době a pružném uspořádání práce, v jejichž důsledku se standardním režimem pracovní doby v ústředí ESVČ a v delegacích stala pro všechny zaměstnance s výjimkou vedoucích pracovníků pružná pracovní doba; dále konstatuje, že tato rozhodnutí povolují práci na dálku až na dva dny týdně v ústředí ESVČ, na jeden den týdně v delegacích a deset dní ročně mimo místo výkonu práce pro všechny; konstatuje, že v případě krizí, ze zdravotních či jiných naléhavých důvodů lze práci na dálku i nadále vykonávat výjimečně po delší dobu;</w:t>
      </w:r>
    </w:p>
    <w:p w14:paraId="490FDC31" w14:textId="77777777" w:rsidR="00964687" w:rsidRPr="00AB47AE" w:rsidRDefault="00964687" w:rsidP="00964687">
      <w:pPr>
        <w:spacing w:after="240"/>
        <w:ind w:left="567" w:hanging="567"/>
      </w:pPr>
      <w:r w:rsidRPr="00AB47AE">
        <w:t>48.</w:t>
      </w:r>
      <w:r w:rsidRPr="00AB47AE">
        <w:tab/>
        <w:t>je znepokojen, že počet zaměstnanců ESVČ v dlouhodobé pracovní neschopnosti delší než 50 dnů se zvýšil ze 111 zaměstnanců v roce 2022 na 171 zaměstnanců v roce 2023, což odpovídá nárůstu o 54 %; konstatuje, že lékařská služba zavedla několik opatření k prevenci rizika vyhoření, například v prosinci 2023 přijala do pracovního poměru psychiatra a zavedla systematičtější sledování pracovní neschopnosti lékařskou službou, psychologickou podporu a poradenství pro zaměstnance i vedoucí pracovníky, činnosti v oblasti osvěty a vytvořila síť pracovníků první pomoci v oblasti duševního zdraví; zdůrazňuje, že je třeba, aby vedoucí pracovníci zajistili spravedlivé přidělování úkolů a uplatňovali pokyny a pružné uspořádání pracovní doby; vyzývá ESVČ, aby zaujala proaktivní přístup k předcházení dlouhodobých nemocí a vyhoření a upřednostňovala duševní zdraví svých zaměstnanců prostřednictvím účinných podpůrných opatření;</w:t>
      </w:r>
    </w:p>
    <w:p w14:paraId="007F0E35" w14:textId="77777777" w:rsidR="00964687" w:rsidRPr="00AB47AE" w:rsidRDefault="00964687" w:rsidP="00964687">
      <w:pPr>
        <w:spacing w:after="240"/>
        <w:ind w:left="567" w:hanging="567"/>
      </w:pPr>
      <w:r w:rsidRPr="00AB47AE">
        <w:t>49.</w:t>
      </w:r>
      <w:r w:rsidRPr="00AB47AE">
        <w:tab/>
        <w:t>bere na vědomí, že kvůli rozpočtovým omezením byl snížen počet zaměstnaných stážistů; vyzývá ESVČ, aby poskytla informace o pracovních podmínkách a odměňování stážistů v ústředí a delegacích;</w:t>
      </w:r>
    </w:p>
    <w:p w14:paraId="2550C8E5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Etický rámec a transparentnost</w:t>
      </w:r>
    </w:p>
    <w:p w14:paraId="2737B12A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50.</w:t>
      </w:r>
      <w:r w:rsidRPr="00AB47AE">
        <w:tab/>
        <w:t>konstatuje, že ESVČ v roce 2023 zkvalitnila svůj etický rámec, neboť poskytla nové pokyny, které zakazují či omezují služební cesty, u nichž jsou náklady částečně či zcela hrazeny z vnějších zdrojů, aby se zamezilo riziku střetu zájmů, a zaslala všem zaměstnancům upozornění týkající se etiky; konstatuje, že ESVČ rovněž pořádala zvláštní školení zaměřená na etiku, střety zájmů, vnitřní kontrolu a boj proti podvodům určená různým cílovým skupinám v ústředí ESVČ a v delegacích a jim přizpůsobená; dále konstatuje, že nově přijatým pracovníkům je i nadále rozesíláno 16 „zásad profesionálního vystupování“ přijatých v roce 2022 a tyto zásady jsou prosazovány v širokém měřítku, zejména pak během školení o „etice a integritě“ a „politice proti obtěžování“; žádá, aby ESVČ Parlament informovala o veškerém dalším vývoji svého etického rámce; vyzývá ESVČ, aby poskytovala pravidelná povinná školení o etice, včetně etického používání umělé inteligence, a odpovědnosti;</w:t>
      </w:r>
    </w:p>
    <w:p w14:paraId="1E94718A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51.</w:t>
      </w:r>
      <w:r w:rsidRPr="00AB47AE">
        <w:tab/>
        <w:t>vítá, že ESVČ přijala v říjnu 2023 novou strategii proti podvodům, která se vztahuje na všechny zaměstnance v ústředí ESVČ i v delegacích a jež je výsledkem důkladného přezkumu rizik souvisejících s podvody a formálně ji schválil úřad OLAF; vítá, že ESVČ věnovala zvláštní úsilí školení a poradenství pro zaměstnance, především pak její oddělení pro boj proti podvodům zřízené v prosinci 2022; konstatuje, že zaměstnanci ESVČ vyslaní do delegací Unie se aktivně účastnili řady pracovních setkání a seminářů věnovaných informovanosti o podvodech a jejich prevenci, že zaměstnanci nově přidělení do delegací Unie před nástupem do funkce systematicky absolvovali školení zaměřená na tuto problematiku a že byla přepracována stránka intranetu věnovaná boji proti podvodům, aby usnadnila oznamování případů možných podvodů a nabídla širší škálu možností školení v oblasti boje proti podvodům;</w:t>
      </w:r>
      <w:r w:rsidRPr="00AB47AE">
        <w:rPr>
          <w:b/>
          <w:i/>
        </w:rPr>
        <w:t xml:space="preserve"> </w:t>
      </w:r>
      <w:r w:rsidRPr="00AB47AE">
        <w:t>žádá ESVČ, aby pro všechny zaměstnance pořádala povinná pravidelná školení zaměřená na informovanost o podvodech a jejich prevenci;</w:t>
      </w:r>
    </w:p>
    <w:p w14:paraId="3FD46BB9" w14:textId="77777777" w:rsidR="00964687" w:rsidRPr="00AB47AE" w:rsidRDefault="00964687" w:rsidP="00964687">
      <w:pPr>
        <w:spacing w:after="240"/>
        <w:ind w:left="567" w:hanging="567"/>
      </w:pPr>
      <w:r w:rsidRPr="00AB47AE">
        <w:t>52.</w:t>
      </w:r>
      <w:r w:rsidRPr="00AB47AE">
        <w:tab/>
        <w:t xml:space="preserve">konstatuje, že ESVČ nebyly v roce 2023 oznámeny žádné případy </w:t>
      </w:r>
      <w:proofErr w:type="spellStart"/>
      <w:r w:rsidRPr="00AB47AE">
        <w:t>whistleblowingu</w:t>
      </w:r>
      <w:proofErr w:type="spellEnd"/>
      <w:r w:rsidRPr="00AB47AE">
        <w:t>; s uspokojením konstatuje, že ESVČ začala v roce 2023 připravovat zvláštní politiku ochrany oznamovatelů, jež je v souladu s novou strategií proti podvodům; žádá, aby byl Parlament informován o jejím přijetí naplánovaném na rok 2025 a jejím provádění v jednotlivých útvarech;</w:t>
      </w:r>
    </w:p>
    <w:p w14:paraId="53357D52" w14:textId="77777777" w:rsidR="00964687" w:rsidRPr="00AB47AE" w:rsidRDefault="00964687" w:rsidP="00964687">
      <w:pPr>
        <w:spacing w:after="240"/>
        <w:ind w:left="567" w:hanging="567"/>
      </w:pPr>
      <w:r w:rsidRPr="00AB47AE">
        <w:t>53.</w:t>
      </w:r>
      <w:r w:rsidRPr="00AB47AE">
        <w:tab/>
        <w:t>konstatuje, že ESVČ obdržela v roce 2023 pět prohlášení o střetu zájmů, jež byla zpracována v souladu s platnými předpisy; konstatuje, že v případě týkajícím se člena hodnotící komise u jednoho zadávacího řízení dospěla dále pověřená schvalující osoba k závěru, že existuje potenciální střet zájmů, a zprostila daného zaměstnance povinností člena hodnotící komise;</w:t>
      </w:r>
    </w:p>
    <w:p w14:paraId="4615A488" w14:textId="77777777" w:rsidR="00964687" w:rsidRPr="00AB47AE" w:rsidRDefault="00964687" w:rsidP="00964687">
      <w:pPr>
        <w:spacing w:after="240"/>
        <w:ind w:left="567" w:hanging="567"/>
      </w:pPr>
      <w:r w:rsidRPr="00AB47AE">
        <w:t>54.</w:t>
      </w:r>
      <w:r w:rsidRPr="00AB47AE">
        <w:tab/>
        <w:t>se znepokojením konstatuje, že úřad OLAF zahájil v roce 2023 osm vyšetřování, jež stále probíhají a která se týkají možného pochybení v rámci zadávacích řízení a provádění zakázek, grantových dohod či možných nesrovnalostí souvisejících se záležitostmi z oblasti lidských zdrojů; konstatuje, že případy otevřené v roce 2023 se týkaly úředníků, dočasných zaměstnanců a místních zaměstnanců jak v ústředí ESVČ, tak v delegacích; žádá, aby byl Parlament informován o opatřeních přijatých v návaznosti na tato vyšetřování; konstatuje, že bylo uzavřeno osm starších případů, do nichž byli zapojeni bývalí i dnešní zaměstnanci, přičemž v pěti případech bylo doporučeno přijmout další kroky; konstatuje, že ESVČ je prostřednictvím svého oddělení pro boj proti podvodům v pravidelném kontaktu s úřadem OLAF a že přijímá včasná opatření navazující na doporučení úřadu; žádá, aby byl Parlament informován o provádění doporučení;</w:t>
      </w:r>
    </w:p>
    <w:p w14:paraId="4755C4E8" w14:textId="77777777" w:rsidR="00964687" w:rsidRPr="00AB47AE" w:rsidRDefault="00964687" w:rsidP="00964687">
      <w:pPr>
        <w:spacing w:after="240"/>
        <w:ind w:left="567" w:hanging="567"/>
      </w:pPr>
      <w:r w:rsidRPr="00AB47AE">
        <w:t>55.</w:t>
      </w:r>
      <w:r w:rsidRPr="00AB47AE">
        <w:tab/>
        <w:t>konstatuje, že ESVČ se v roce 2023 zabývala deseti žádostmi veřejného ochránce práv, z nichž devět se týkalo správních spisů a jedna přístupu k dokumentům; konstatuje, že veřejný ochránce práv nezjistil žádný nesprávný úřední postup ani částečný nesprávný úřední postup a nevydal ESVČ žádné doporučení;</w:t>
      </w:r>
    </w:p>
    <w:p w14:paraId="406FC768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56</w:t>
      </w:r>
      <w:r w:rsidRPr="00AB47AE">
        <w:rPr>
          <w:b/>
          <w:i/>
        </w:rPr>
        <w:t>.</w:t>
      </w:r>
      <w:r w:rsidRPr="00AB47AE">
        <w:rPr>
          <w:b/>
          <w:i/>
        </w:rPr>
        <w:tab/>
      </w:r>
      <w:r w:rsidRPr="00AB47AE">
        <w:t>bere na vědomí veškeré činnosti prováděné za účelem zvýšení povědomí o mimopracovních činnostech; připomíná žádost Parlamentu, aby byla přijata samostatná prováděcí ustanovení o mimopracovních činnostech a úkolech s cílem chránit obraz a pověst Unie, zejména v případě vedoucích delegací;</w:t>
      </w:r>
    </w:p>
    <w:p w14:paraId="1B41B36E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57.</w:t>
      </w:r>
      <w:r w:rsidRPr="00AB47AE">
        <w:tab/>
        <w:t>konstatuje, že místopředsedkyně Komise, vysoká představitelka je ze své funkce místopředsedkyně vázána pravidly rejstříku transparentnosti; zdůrazňuje, že ESVČ sice není orgánem ve smyslu článku 13 Smlouvy o Evropské unii a nehraje přímou roli v právu Unie, má však důležitou úlohu související s právem Unie, pokud jde o rozhodování týkající se sankcí a sjednávání mezinárodních obchodních dohod, které mají značný regulační dopad; konstatuje, že by bylo velmi vhodné, kdyby ESVČ přijala opatření pro zajištění transparentnosti, oznámila je správní radě rejstříku transparentnosti a k rejstříku se připojila; vyzývá ESVČ, aby v zájmu zvýšení transparentnosti zveřejňovala všechny schůzky se všemi druhy lobbistických organizací, včetně setkání vedoucích delegací Unie; žádá, aby byl Parlament informován o každé nové iniciativě ke zvýšení transparentnosti, kterou ESVČ přijme; připomíná, že je důležité dále posílit demokratickou kontrolu Unie a v rámci spolupráce s organizacemi občanské společnosti dodržovat vysoké standardy odpovědnosti a transparentnosti; žádá delegace Unie, aby zajistily, že unijní finanční prostředky přidělované organizacím občanské společnosti a sociálním partnerům ve třetích zemích budou využívány v souladu s hodnotami, politikami a finančními pravidly Unie;</w:t>
      </w:r>
    </w:p>
    <w:p w14:paraId="428D43D9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58.</w:t>
      </w:r>
      <w:r w:rsidRPr="00AB47AE">
        <w:tab/>
        <w:t>naléhavě vyzývá ESVČ, aby se připojila k rejstříku transparentnosti EU s cílem sladit své postupy s Parlamentem a Komisí a zajistit úplné zveřejňování lobbistických činností a finančních zájmů souvisejících s obranou a diplomatickými záležitostmi;</w:t>
      </w:r>
    </w:p>
    <w:p w14:paraId="4070C136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Digitalizace, kybernetická bezpečnost a ochrana údajů</w:t>
      </w:r>
    </w:p>
    <w:p w14:paraId="40B1053E" w14:textId="77777777" w:rsidR="00964687" w:rsidRPr="00AB47AE" w:rsidRDefault="00964687" w:rsidP="00964687">
      <w:pPr>
        <w:spacing w:after="240"/>
        <w:ind w:left="567" w:hanging="567"/>
      </w:pPr>
      <w:r w:rsidRPr="00AB47AE">
        <w:t>59.</w:t>
      </w:r>
      <w:r w:rsidRPr="00AB47AE">
        <w:tab/>
        <w:t>konstatuje, že výdaje na projekty a vybavení IT a kybernetickou bezpečnost vzrostly z 19,7 milionů EUR v roce 2022 na 29,9 milionů EUR v roce 2023, což představuje nárůst o 52 %; konstatuje, že ESVČ zahájila v roce 2023 významné projekty digitalizace, například svou platformu pro spolupráci „HIVE“ určenou všem uživatelům v ústředí a v delegacích, a zavedla v ústředí ESVČ jednotný utajovaný komunikační a informační systém (EC3IS), aby jej posléze postupně zavedla v citlivých delegacích a propojila jej s odpovídajícími systémy Komise a Rady;</w:t>
      </w:r>
    </w:p>
    <w:p w14:paraId="6222E015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60.</w:t>
      </w:r>
      <w:r w:rsidRPr="00AB47AE">
        <w:tab/>
        <w:t>konstatuje, že ESVČ začala v roce 2023 využívat a ovládat prostředí UI, aby mohl být zaveden ucelený model řízení UI; konstatuje, že tento technický krok připravil půdu pro přijetí pokynů k používání generativní UI a přijetí Strategie pro využívání umělé inteligence v roce 2024, jakož i pro průběžné ověřování koncepce; žádá, aby byl Parlament průběžně informován o vývoji uvedené strategie;</w:t>
      </w:r>
    </w:p>
    <w:p w14:paraId="6EFB672F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61.</w:t>
      </w:r>
      <w:r w:rsidRPr="00AB47AE">
        <w:tab/>
        <w:t>konstatuje, že v rámci provádění Strategického kompasu pro bezpečnost a obranu přijatého v roce 2022 se ESVČ podílela na přijetí hlavních politických dokumentů a souborů nástrojů týkajících se mimo jiné kybernetické obrany, digitální diplomacie, hybridních hrozeb, zahraničního vměšování a manipulace s informacemi; konstatuje, že ESVČ v rámci své organizace opět zlepšila své schopnosti v oblasti kybernetické bezpečnosti náborem specializovaných pracovníků a že různým cílovým skupinám, mimo jiné týmu pro řízení bezpečnosti, členům delegací, nově přijatým pracovníkům i vedoucím pracovníkům, zajistila činnosti v oblasti informovanosti o kybernetické bezpečnosti; žádá, aby ESVČ poskytovala všem zaměstnancům pravidelnou povinnou odbornou přípravu v oblasti kybernetické bezpečnosti; dále vyzývá k větší podpoře Unie pro Moldavsko v boji proti dezinformacím, hybridním hrozbám a kybernetickým útokům; vyzývá delegaci Unie v Moldavsku, aby s ještě větším úsilím podporovala proaktivnější a účinnější komunikační strategie týkající se evropské perspektivy, včetně osvěty v ruském jazyce;</w:t>
      </w:r>
    </w:p>
    <w:p w14:paraId="3DB262F2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62.</w:t>
      </w:r>
      <w:r w:rsidRPr="00AB47AE">
        <w:tab/>
        <w:t>vítá zřízení partnerské mise EU v Moldavsku (EUPM Moldova); zdůrazňuje zásadní úlohu této mise a vyzývá EU a její členské státy, aby prodloužily mandát mise po květnu 2025 a zároveň navýšily zdroje s cílem zvýšit její účinnost;</w:t>
      </w:r>
    </w:p>
    <w:p w14:paraId="7F8AB4E7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63.</w:t>
      </w:r>
      <w:r w:rsidRPr="00AB47AE">
        <w:tab/>
        <w:t>se znepokojením konstatuje, že ESVČ v roce 2023 v systému pro monitorování bezpečnostních incidentů a událostí (SIEM) zaznamenala více než 29 623 kybernetických varování, přičemž v 92 případech bylo potvrzeno, že se jednalo o kybernetické útoky; konstatuje, že čtyři kybernetické útoky měly dopad na činnost ESVČ a že pouze jeden z nich měl významné důsledky; varuje, že ESVČ je velmi pravděpodobným cílem aktérů s dostatečnými zdroji, včetně subjektů sponzorovaných třetími zeměmi, které se snaží narušit chod orgánů Unie; konstatuje, že monitorováním hrozeb v reálném čase a zjišťování slabých míst systému je pověřeno bezpečnostní operační středisko ESVČ; žádá ESVČ, aby i nadále měla na zřeteli potřebu disciplinovaného chování uživatelů kyberprostoru a jejich povědomí o kybernetické bezpečnosti, neboť se jedná o klíčové aktéry v jejím systému kybernetické bezpečnosti; zdůrazňuje, že je důležité, aby ESVČ i nadále považovala kybernetickou bezpečnost a zmírňování hybridních hrozeb za jednu ze svých priorit a aby úzce spolupracovala s dalšími orgány a institucemi Unie a členskými státy na identifikaci a řešení těchto hrozeb;</w:t>
      </w:r>
    </w:p>
    <w:p w14:paraId="074AFDB4" w14:textId="77777777" w:rsidR="00964687" w:rsidRPr="00AB47AE" w:rsidRDefault="00964687" w:rsidP="00964687">
      <w:pPr>
        <w:spacing w:after="240"/>
        <w:ind w:left="567" w:hanging="567"/>
        <w:rPr>
          <w:szCs w:val="23"/>
        </w:rPr>
      </w:pPr>
      <w:r w:rsidRPr="00AB47AE">
        <w:t>64.</w:t>
      </w:r>
      <w:r w:rsidRPr="00AB47AE">
        <w:tab/>
        <w:t>konstatuje, že ESVČ přijala v roce 2023 opatření v návaznosti na jedno šetření evropského inspektora ochrany údajů, a to na základě žádosti jejího zaměstnance/zaměstnankyně týkající se zveřejnění jeho/jejích osobních údajů v on-line adresáři EU; konstatuje, že případ byl otevřen v roce 2018 a projednán v roce 2023 a že v roce 2024 byl uzavřen s kladným výsledkem pro ESVČ; bere na vědomí snahu ESVČ o zvyšování informovanosti a její pokyny, které mají v její síti zajistit stejné podmínky pro ochranu údajů, zejména společné pokyny k používání nástrojů AI třetích stran z dvojího hlediska ochrany údajů a kybernetické bezpečnosti;</w:t>
      </w:r>
    </w:p>
    <w:p w14:paraId="62F39890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65.</w:t>
      </w:r>
      <w:r w:rsidRPr="00AB47AE">
        <w:tab/>
        <w:t xml:space="preserve">konstatuje, že i v roce 2023 byl pro ESVČ prioritou boj proti zahraniční manipulaci s informacemi a vměšování (FIMI); s potěšením bere na vědomí, že Evropská rada v prosinci 2023 schválila soubor nástrojů FIMI, jehož pilíře tvoří situační povědomí, budování odolnosti, narušení a diplomatické reakce; konstatuje, že ESVČ v roce 2023 navýšila své analytické kapacity, aby mohla shromažďovat důkazy o zahraniční manipulaci s informacemi a vměšování a reagovat na rostoucí počet incidentů a hrozeb, zejména před volbami do Evropského parlamentu v roce 2024; konstatuje, že ESVČ také zahájila nové stěžejní projekty ke zlepšení informovanosti a boji proti ruským dezinformacím, například iniciativu </w:t>
      </w:r>
      <w:proofErr w:type="spellStart"/>
      <w:r w:rsidRPr="00AB47AE">
        <w:t>EUvsDisinfo</w:t>
      </w:r>
      <w:proofErr w:type="spellEnd"/>
      <w:r w:rsidRPr="00AB47AE">
        <w:t>, v jejímž rámci v roce 2023 oslovila přibližně 20,3 milionu osob, a projekty k navázání udržitelných partnerství, aby mohla proti zahraniční manipulaci s informacemi a vměšování bojovat v celosvětovém měřítku; vyzývá ESVČ, aby společně s Komisí vyčlenila odpovídající zdroje na účinný boj proti zahraniční manipulaci s informacemi a vměšování; podporuje plánované vytvoření „Evropského štítu pro demokracii“, který by odhaloval, sledoval a odstraňoval klamavý on-line obsah, takže EU by mohla účinněji bojovat proti zahraniční manipulaci s informacemi a vměšování a důrazněji podporovat opatření na ochranu demokracie ve třetích zemích, zejména v zemích sousedících s Unií; vyzývá ESVČ a delegace Unie ve třetích zemích, aby více posílily své kapacity na boj a obranu proti dezinformacím a propagandě v souvislosti se SZBP EU; vyzývá ESVČ, aby intenzivněji usilovala o posílení možností občanů v celé Unii v boji proti zahraniční manipulaci s informacemi a vměšování;</w:t>
      </w:r>
    </w:p>
    <w:p w14:paraId="3630B2AA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Budovy a bezpečnost</w:t>
      </w:r>
    </w:p>
    <w:p w14:paraId="0543023F" w14:textId="77777777" w:rsidR="00964687" w:rsidRPr="00AB47AE" w:rsidRDefault="00964687" w:rsidP="00964687">
      <w:pPr>
        <w:spacing w:after="240"/>
        <w:ind w:left="567" w:hanging="567"/>
      </w:pPr>
      <w:r w:rsidRPr="00AB47AE">
        <w:t>66.</w:t>
      </w:r>
      <w:r w:rsidRPr="00AB47AE">
        <w:tab/>
        <w:t>konstatuje, že rozpočtová položka 3 0 0 3 pro budovy a související náklady byla v průběhu roku 2023 navýšena o 19 milionů EUR, že však přesto byly odloženy důležité údržbové práce; je hluboce znepokojen tím, že akumulace potřeb v oblasti údržby a bezpečnosti představuje pro ESVČ značné výzvy, pokud jde o bezpečné a efektivní fungování sítě delegací a plnění povinnosti řádné péče ve vztahu k zaměstnancům v delegacích; žádá ESVČ, aby vypracovala víceleté pohotovostní plány pro údržbu a bezpečnost budov;</w:t>
      </w:r>
    </w:p>
    <w:p w14:paraId="76B9E03C" w14:textId="77777777" w:rsidR="00964687" w:rsidRPr="00AB47AE" w:rsidRDefault="00964687" w:rsidP="00964687">
      <w:pPr>
        <w:spacing w:after="240"/>
        <w:ind w:left="567" w:hanging="567"/>
      </w:pPr>
      <w:r w:rsidRPr="00AB47AE">
        <w:t>67.</w:t>
      </w:r>
      <w:r w:rsidRPr="00AB47AE">
        <w:tab/>
        <w:t>konstatuje, že ESVČ využívá a spravuje nemovitosti o přibližné ploše 87 618 m</w:t>
      </w:r>
      <w:r w:rsidRPr="00AB47AE">
        <w:rPr>
          <w:vertAlign w:val="superscript"/>
        </w:rPr>
        <w:t>2</w:t>
      </w:r>
      <w:r w:rsidRPr="00AB47AE">
        <w:t xml:space="preserve"> v ústředí ESVČ a 379 300 m</w:t>
      </w:r>
      <w:r w:rsidRPr="00AB47AE">
        <w:rPr>
          <w:vertAlign w:val="superscript"/>
        </w:rPr>
        <w:t>2</w:t>
      </w:r>
      <w:r w:rsidRPr="00AB47AE">
        <w:t xml:space="preserve"> po celém světě, přičemž se jedná o 174 kancelářských budov a 152 rezidencí pro velvyslance; konstatuje, že v roce 2023 ESVČ předložila pracovní dokument, v němž rozpočtovému orgánu nastínila svou nákupní politiku, kdy v současné době vlastní 22 % kancelářských budov a 20 % rezidencí pro velvyslance, a dosahuje tak efektivnosti nákladů;</w:t>
      </w:r>
    </w:p>
    <w:p w14:paraId="53DC4439" w14:textId="77777777" w:rsidR="00964687" w:rsidRPr="00AB47AE" w:rsidRDefault="00964687" w:rsidP="00964687">
      <w:pPr>
        <w:spacing w:after="240"/>
        <w:ind w:left="567" w:hanging="567"/>
      </w:pPr>
      <w:r w:rsidRPr="00AB47AE">
        <w:t>68.</w:t>
      </w:r>
      <w:r w:rsidRPr="00AB47AE">
        <w:tab/>
        <w:t>konstatuje, že politika nákupu nemovitostí pro delegace Unie z dubna 2023 a pracovní dokument o politice ESVČ v oblasti nemovitostí na rok 2024 mají za cíl dosáhnout dlouhodobě nejvýhodnějšího řešení pro rozpočet Unie; zdůrazňuje, že ani jeden z uvedených dokumentů neobsahuje zmínku o snižování počtu delegací či vytvoření regionálních center; naléhavě vyzývá ESVČ, aby Parlament informovala o jakémkoli případném vývoji v tomto směru;</w:t>
      </w:r>
    </w:p>
    <w:p w14:paraId="4432243C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69.</w:t>
      </w:r>
      <w:r w:rsidRPr="00AB47AE">
        <w:tab/>
        <w:t>vyzývá ESVČ, aby zachovala svou důležitou síť delegací po celém světě s dostatečným počtem zaměstnanců, aby mohla lépe udržovat kontakty se třetími zeměmi;</w:t>
      </w:r>
    </w:p>
    <w:p w14:paraId="52A4F05B" w14:textId="77777777" w:rsidR="00964687" w:rsidRPr="00AB47AE" w:rsidRDefault="00964687" w:rsidP="00964687">
      <w:pPr>
        <w:spacing w:after="240"/>
        <w:ind w:left="567" w:hanging="567"/>
      </w:pPr>
      <w:r w:rsidRPr="00AB47AE">
        <w:t>70.</w:t>
      </w:r>
      <w:r w:rsidRPr="00AB47AE">
        <w:tab/>
        <w:t>se znepokojením konstatuje, že rozpočtová omezení by mohla vést k uzavírání velvyslanectví EU a k odkladům instalace bezpečnostních zařízení v mnoha delegacích Unie, což by mohlo oslabit schopnost ESVČ plnit svůj mandát, hájit hodnoty Unie a náležitě plnit povinnost řádné péče vůči všem zaměstnancům delegací; naléhavě vyzývá členské státy, aby ESVČ a Komisi poskytly dostatečné finanční prostředky na to, aby Unie mohla zachovat svou síť delegací jako známku své globální angažovanosti;</w:t>
      </w:r>
    </w:p>
    <w:p w14:paraId="1CA5B5BE" w14:textId="77777777" w:rsidR="00964687" w:rsidRPr="00AB47AE" w:rsidRDefault="00964687" w:rsidP="00964687">
      <w:pPr>
        <w:spacing w:after="240"/>
        <w:ind w:left="567" w:hanging="567"/>
      </w:pPr>
      <w:r w:rsidRPr="00AB47AE">
        <w:t>71.</w:t>
      </w:r>
      <w:r w:rsidRPr="00AB47AE">
        <w:tab/>
        <w:t xml:space="preserve">konstatuje, že ESVČ od roku 2020 jak ve svém ústředí, tak v delegacích směřuje správu kanceláří ke koncepci prostor pro spolupráci a flexibilních kanceláří; konstatuje, že ESVČ zahájila renovaci šestého a sedmého podlaží budovy </w:t>
      </w:r>
      <w:proofErr w:type="spellStart"/>
      <w:r w:rsidRPr="00AB47AE">
        <w:t>Schuman</w:t>
      </w:r>
      <w:proofErr w:type="spellEnd"/>
      <w:r w:rsidRPr="00AB47AE">
        <w:t xml:space="preserve"> s cílem využívat kancelářské prostory efektivněji; dále konstatuje, že v budově </w:t>
      </w:r>
      <w:proofErr w:type="spellStart"/>
      <w:r w:rsidRPr="00AB47AE">
        <w:t>Schuman</w:t>
      </w:r>
      <w:proofErr w:type="spellEnd"/>
      <w:r w:rsidRPr="00AB47AE">
        <w:t xml:space="preserve"> bylo v roce 2023 dokončeno centrum ESVČ pro reakci na krize; bere na vědomí, že v nových prostorách šesti delegací byla zavedena spolupráce ve využívání kancelářských prostor;</w:t>
      </w:r>
    </w:p>
    <w:p w14:paraId="1C39F5F8" w14:textId="77777777" w:rsidR="00964687" w:rsidRPr="00AB47AE" w:rsidRDefault="00964687" w:rsidP="00964687">
      <w:pPr>
        <w:spacing w:after="240"/>
        <w:ind w:left="567" w:hanging="567"/>
      </w:pPr>
      <w:r w:rsidRPr="00AB47AE">
        <w:t>72.</w:t>
      </w:r>
      <w:r w:rsidRPr="00AB47AE">
        <w:tab/>
        <w:t xml:space="preserve">oceňuje, že se ESVČ zaměřuje na to, aby její budovy byly přístupné osobám se zdravotním postižením a s omezenou pohyblivostí; konstatuje, že budova </w:t>
      </w:r>
      <w:proofErr w:type="spellStart"/>
      <w:r w:rsidRPr="00AB47AE">
        <w:t>Belmont</w:t>
      </w:r>
      <w:proofErr w:type="spellEnd"/>
      <w:r w:rsidRPr="00AB47AE">
        <w:t xml:space="preserve"> v Bruselu již splňuje právní požadavky na bezbariérové objekty a že modernizace budovy NEO taktéž zohlednila potřeby uživatelů se zdravotním postižením a s omezenou pohyblivostí; vítá, že hlavním kritériem v postupech ESVČ pro výběr nových kancelářských budov delegací je bezbariérové řešení;</w:t>
      </w:r>
    </w:p>
    <w:p w14:paraId="769DEA8E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Životní prostředí a udržitelnost</w:t>
      </w:r>
    </w:p>
    <w:p w14:paraId="233C4405" w14:textId="77777777" w:rsidR="00964687" w:rsidRPr="00AB47AE" w:rsidRDefault="00964687" w:rsidP="00964687">
      <w:pPr>
        <w:spacing w:after="240"/>
        <w:ind w:left="567" w:hanging="567"/>
      </w:pPr>
      <w:r w:rsidRPr="00AB47AE">
        <w:t>73.</w:t>
      </w:r>
      <w:r w:rsidRPr="00AB47AE">
        <w:tab/>
        <w:t>vítá, že ESVČ i v roce 2023 uplatňovala systém pro environmentální řízení podniků a audit (EMAS/EMS), zejména tím, že vytvořila řídící výbor pro životní prostředí a přijala environmentální politiku a příslušnou komunikační strategii, jež klade důraz na závazek ESVČ k environmentálně udržitelné správě nemovitostí; konstatuje, že řídící výbor pro EMAS v roce 2023 pracoval na nových cílech, aby ESVČ do roku 2030 ještě více snížila svou uhlíkovou stopu; konstatuje, že mezi schválená opatření patří snížení spotřeby zemního plynu o 35 %, snížení spotřeby papíru, vody a produkce odpadu o polovinu, navýšení podílu letů na krátké až střední vzdálenosti v ekonomické třídě v rámci služebních cest a lepší využívání zelených veřejných zakázek;</w:t>
      </w:r>
    </w:p>
    <w:p w14:paraId="5A0A4629" w14:textId="77777777" w:rsidR="00964687" w:rsidRPr="00AB47AE" w:rsidRDefault="00964687" w:rsidP="00964687">
      <w:pPr>
        <w:spacing w:after="240"/>
        <w:ind w:left="567" w:hanging="567"/>
      </w:pPr>
      <w:r w:rsidRPr="00AB47AE">
        <w:t>74.</w:t>
      </w:r>
      <w:r w:rsidRPr="00AB47AE">
        <w:tab/>
        <w:t>vítá, že ESVČ začala do nových dohod o společném užívání prostor začleňovat doložky o udržitelnosti, které obsahují jak povinná opatření, tak dobrovolné postupy; konstatuje, že již platné dohody o společném užívání prostor uvádějí místo výslovných doložek o environmentální udržitelnosti jako zastřešující zásadu to, že všichni partneři sdílející společné prostory musí dodržovat postupy a praktická opatření použitelná v místních podmínkách pro kancelářské prostory Unie;</w:t>
      </w:r>
    </w:p>
    <w:p w14:paraId="573284A2" w14:textId="77777777" w:rsidR="00964687" w:rsidRPr="00AB47AE" w:rsidRDefault="00964687" w:rsidP="00964687">
      <w:pPr>
        <w:spacing w:after="240"/>
        <w:ind w:left="567" w:hanging="567"/>
      </w:pPr>
      <w:r w:rsidRPr="00AB47AE">
        <w:t>75.</w:t>
      </w:r>
      <w:r w:rsidRPr="00AB47AE">
        <w:tab/>
        <w:t>konstatuje, že ESVČ v roce 2023 pokračovala v podpoře ekologičtějšího dojíždění a udržitelnější dopravy zaměstnanců a že v roce 2024 v tomto směru přijala důležitá opatření, například zvýšila proplácení předplacené veřejné dopravy na 90 % pro všechny zaměstnance, kteří se vzdali přístupu na parkoviště, a stanovila cíl, aby alespoň 60 % kilometrů překonaných leteckou dopravou v rámci služebních cest bylo absolvováno v ekonomické třídě;</w:t>
      </w:r>
    </w:p>
    <w:p w14:paraId="481730B7" w14:textId="77777777" w:rsidR="00964687" w:rsidRPr="00AB47AE" w:rsidRDefault="00964687" w:rsidP="00964687">
      <w:pPr>
        <w:spacing w:after="240"/>
        <w:ind w:left="567" w:hanging="567"/>
      </w:pPr>
      <w:r w:rsidRPr="00AB47AE">
        <w:t>76.</w:t>
      </w:r>
      <w:r w:rsidRPr="00AB47AE">
        <w:tab/>
        <w:t>zdůrazňuje význam silné politické angažovanosti, dvoustranného vlivu, veřejné a kulturní diplomacie pro prosazování hodnot Unie a boj proti dezinformacím; zdůrazňuje, že je třeba silné a odolné vnější služby s jasným politickým vedením, aby mohla řešit stávající výzvy a zajistit ucelenost zahraniční politiky Unie; naléhavě vyzývá delegace Unie, aby v zemích západního Balkánu více podporovaly skutečné demokratické aktéry a občanskou společnost a aby veřejně odsoudily kroky neliberálních a nedemokratických aktérů, které oslabují zájmy Unie, a aby zajistily, aby financování z Nástroje předvstupní pomoci III bylo poskytováno v souladu s cíli Unie;</w:t>
      </w:r>
      <w:r w:rsidRPr="00AB47AE">
        <w:rPr>
          <w:b/>
          <w:i/>
        </w:rPr>
        <w:t xml:space="preserve"> </w:t>
      </w:r>
      <w:r w:rsidRPr="00AB47AE">
        <w:t>vyzývá delegace EU v tomto regionu, aby uplatňovaly přesvědčivější přístup založený na dosažených výsledcích a kodaňských kritériích, především pokud jde o právní stát, demokracii a ochranu lidských práv, zejména s ohledem na skutečnost, že některé země západního Balkánu dosáhly jen omezeného pokroku;</w:t>
      </w:r>
    </w:p>
    <w:p w14:paraId="3CB4AB9B" w14:textId="77777777" w:rsidR="00964687" w:rsidRPr="00AB47AE" w:rsidRDefault="00964687" w:rsidP="00964687">
      <w:pPr>
        <w:spacing w:after="240"/>
        <w:ind w:left="567" w:hanging="567"/>
      </w:pPr>
      <w:r w:rsidRPr="00AB47AE">
        <w:t>77.</w:t>
      </w:r>
      <w:r w:rsidRPr="00AB47AE">
        <w:tab/>
        <w:t>vítá vynikající spolupráci ESVČ s úřadem OLAF, Úřadem evropského veřejného žalobce, Účetním dvorem a evropským inspektorem ochrany údajů, o níž svědčí pravidelná setkání a výměna informací; bere na vědomí, že v červnu 2024 byla uzavřena zvláštní pracovní ujednání; nicméně ESVČ vyzývá, aby strukturovanou spolupráci s těmito subjekty institucionalizovala a zajistila mechanismy pro systematické odhalování podvodů ve financování vnější činnosti EU, zejména ve vysoce rizikových oblastech konfliktů a nestabilních státech;</w:t>
      </w:r>
    </w:p>
    <w:p w14:paraId="7A282BF4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Interinstitucionální spolupráce</w:t>
      </w:r>
    </w:p>
    <w:p w14:paraId="722B16E4" w14:textId="77777777" w:rsidR="00964687" w:rsidRPr="00AB47AE" w:rsidRDefault="00964687" w:rsidP="00964687">
      <w:pPr>
        <w:spacing w:after="240"/>
        <w:ind w:left="567" w:hanging="567"/>
      </w:pPr>
      <w:r w:rsidRPr="00AB47AE">
        <w:t>78.</w:t>
      </w:r>
      <w:r w:rsidRPr="00AB47AE">
        <w:tab/>
        <w:t>konstatuje, že Parlament, Rada a ESVČ v roce 2023 pokračovaly v odborných diskusích o nahrazení institucionální dohody mezi Parlamentem a Radou v oblasti společné zahraniční a bezpečnostní politiky z roku 2002; lituje, že v roce 2023 se uskutečnila jediná odborná schůze, po níž Rada nedokázala dosáhnout dohody o navržených kompromisních řešeních;</w:t>
      </w:r>
    </w:p>
    <w:p w14:paraId="7A1A0E5A" w14:textId="77777777" w:rsidR="00964687" w:rsidRPr="00AB47AE" w:rsidRDefault="00964687" w:rsidP="00964687">
      <w:pPr>
        <w:spacing w:after="240"/>
        <w:ind w:left="567" w:hanging="567"/>
      </w:pPr>
      <w:r w:rsidRPr="00AB47AE">
        <w:t>79.</w:t>
      </w:r>
      <w:r w:rsidRPr="00AB47AE">
        <w:tab/>
        <w:t>konstatuje, že ESVČ v roce 2023 zahájila jednání o pracovním ujednání s Úřadem evropského veřejného žalobce, které bylo uzavřeno v roce 2024; konstatuje, že pracovní ujednání zohledňuje zvláštní podmínky, v nichž ESVČ působí, a klade proto důraz na ochranu informací, jejich důvěrnost a ochranu imunity zaměstnanců;</w:t>
      </w:r>
    </w:p>
    <w:p w14:paraId="54A597B1" w14:textId="77777777" w:rsidR="00964687" w:rsidRPr="00AB47AE" w:rsidRDefault="00964687" w:rsidP="00964687">
      <w:pPr>
        <w:spacing w:after="240"/>
        <w:ind w:left="567" w:hanging="567"/>
        <w:rPr>
          <w:b/>
          <w:bCs/>
          <w:i/>
          <w:iCs/>
        </w:rPr>
      </w:pPr>
      <w:r w:rsidRPr="00AB47AE">
        <w:t>80.</w:t>
      </w:r>
      <w:r w:rsidRPr="00AB47AE">
        <w:tab/>
        <w:t>konstatuje, že ESVČ ve svém rozpočtu na rok 2023 vyčlenila 990,5 milionu EUR na pilotní projekt zahájení činnosti evropské diplomatické akademie, v jehož rámci 50 služebně mladších diplomatů z členských států a orgánů a institucí Unie získá odbornou přípravu v oblasti zahraniční a bezpečnostní politiky EU s cílem vybudovat skutečný evropský diplomatický sbor, který by prosazoval zahraniční politiku EU a její vnější zájmy; podporuje tuto iniciativu jako krok k posílení soudržného a dobře vyškoleného evropského diplomatického sboru, který bude schopen účinně zastupovat Unii a bránit její hodnoty a zájmy na světové scéně; zdůrazňuje, že je nezbytné evropskou diplomatickou akademii lépe zviditelnit ve všech členských státech a posílit její úlohu a kapacity;</w:t>
      </w:r>
    </w:p>
    <w:p w14:paraId="6FB94B06" w14:textId="77777777" w:rsidR="00964687" w:rsidRPr="00AB47AE" w:rsidRDefault="00964687" w:rsidP="00964687">
      <w:pPr>
        <w:spacing w:after="240"/>
        <w:ind w:left="567" w:hanging="567"/>
      </w:pPr>
      <w:r w:rsidRPr="00AB47AE">
        <w:t>81.</w:t>
      </w:r>
      <w:r w:rsidRPr="00AB47AE">
        <w:tab/>
        <w:t>vítá, že ESVČ v roce 2023 rozšířila spolupráci s evropským veřejným ochráncem práv, aby zlepšila povědomí zaměstnanců o zásadách řádné správy; konstatuje, že v rámci této nové úrovně spolupráce jsou zástupci Úřadu evropského veřejného ochránce práv zváni na semináře ESVČ pro pracovníky, kteří mají být vysláni na misi, a na roční semináře zaměstnanců ESVČ, aby představili činnost úřadu;</w:t>
      </w:r>
    </w:p>
    <w:p w14:paraId="32800A56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rPr>
          <w:b/>
          <w:i/>
        </w:rPr>
        <w:t>Komunikační činnost</w:t>
      </w:r>
    </w:p>
    <w:p w14:paraId="7519411B" w14:textId="77777777" w:rsidR="00964687" w:rsidRPr="00AB47AE" w:rsidRDefault="00964687" w:rsidP="00964687">
      <w:pPr>
        <w:spacing w:after="240"/>
        <w:ind w:left="567" w:hanging="567"/>
        <w:rPr>
          <w:szCs w:val="23"/>
        </w:rPr>
      </w:pPr>
      <w:r w:rsidRPr="00AB47AE">
        <w:t>82.</w:t>
      </w:r>
      <w:r w:rsidRPr="00AB47AE">
        <w:tab/>
        <w:t>konstatuje, že ESVČ byly přiděleny rozpočtové prostředky ve výši 22,2 milionů EUR, které byly rozděleny do různých rozpočtových položek pro publikace, akce, strategickou komunikaci, informační činnosti a tisk; oceňuje, že obhajoba demokracie a právního státu je stále prioritou ESVČ a že ESVČ za tímto účelem mimo jiné posílila politiky a nástroje, které mají bránit zahraniční manipulaci s informacemi a vměšování;</w:t>
      </w:r>
    </w:p>
    <w:p w14:paraId="64E3AE07" w14:textId="77777777" w:rsidR="00964687" w:rsidRPr="00AB47AE" w:rsidRDefault="00964687" w:rsidP="00964687">
      <w:pPr>
        <w:spacing w:after="240"/>
        <w:ind w:left="567" w:hanging="567"/>
      </w:pPr>
      <w:r w:rsidRPr="00AB47AE">
        <w:t>83.</w:t>
      </w:r>
      <w:r w:rsidRPr="00AB47AE">
        <w:tab/>
        <w:t>poukazuje na to, že na celém světě roste počet případů porušování svobody náboženského vyznání; vyzývá ESVČ, aby na to odpovídajícím způsobem připravila své zaměstnance v zemích, kde neexistuje náboženská svoboda nebo kde je náboženská svoboda pod tlakem (včetně vzdělávacích kurzů); dále ji vyzývá, aby na toto téma zahájila diskusi s příslušnými orgány na všech úrovních v zemích, kde je porušována svoboda náboženského vyznání, a aby tuto problematiku zahrnula mezi hlavní priority své vnější činnosti;</w:t>
      </w:r>
    </w:p>
    <w:p w14:paraId="0D984140" w14:textId="77777777" w:rsidR="00964687" w:rsidRPr="00AB47AE" w:rsidRDefault="00964687" w:rsidP="00964687">
      <w:pPr>
        <w:spacing w:after="240"/>
        <w:ind w:left="567" w:hanging="567"/>
        <w:rPr>
          <w:b/>
          <w:i/>
        </w:rPr>
      </w:pPr>
      <w:r w:rsidRPr="00AB47AE">
        <w:t>84.</w:t>
      </w:r>
      <w:r w:rsidRPr="00AB47AE">
        <w:tab/>
        <w:t>konstatuje, že ESVČ v rámci své komunikační činnosti oslovuje širokou veřejnost na veřejných akcích a dnech otevřených dveří a přijímá skupiny návštěvníků; bere na vědomí, že ESVČ v roce 2023 zahájila napříč různými kanály několik tematických komunikačních kampaní týkajících se podpory Ukrajiny, důsledků ruské útočné války proti Ukrajině a dodržování hodnot Unie; s potěšením konstatuje, že Ukrajina zůstala jednou z hlavních priorit ESVČ; konstatuje, že v roce 2023 ESVČ konsolidovala svou přítomnost na sociálních sítích a že vzrostl počet jejích sledujících – na LinkedIn o 41,5 %, na Instagramu o 13,8 %, na Twitteru o 5,4 % a na Facebooku o 4,7 %; naléhavě vyzývá ESVČ, aby zintenzivnila komunikaci s občany ve třetích zemích o politikách Unie a posílila koordinaci činností zviditelňujících projekty financované Unií, zejména v kandidátských zemích, a odpověděla tak na pokusy nepřátelských subjektů o oslabení výsledků úsilí EU;</w:t>
      </w:r>
    </w:p>
    <w:p w14:paraId="250BEDA6" w14:textId="77777777" w:rsidR="00964687" w:rsidRPr="00AB47AE" w:rsidRDefault="00964687" w:rsidP="00964687">
      <w:pPr>
        <w:spacing w:after="240"/>
        <w:ind w:left="567" w:hanging="567"/>
      </w:pPr>
      <w:r w:rsidRPr="00AB47AE">
        <w:t>85.</w:t>
      </w:r>
      <w:r w:rsidRPr="00AB47AE">
        <w:tab/>
        <w:t>vítá, že se ESVČ zapojila do institucionální komunikační kampaně Parlamentu pro volby do Evropského parlamentu v roce 2024, zejména do informační kampaně o možnostech hlasování, především prostřednictvím sítě delegací, která byla zaměřena na 25 až 30 milionů evropských občanů žijících ve třetích zemích; konstatuje, že tato kampaň oslovila prostřednictvím 26 videonahrávek a více než 2 000 příspěvků na sociálních sítích 11 milionů adresátů;</w:t>
      </w:r>
    </w:p>
    <w:p w14:paraId="55A8B206" w14:textId="77777777" w:rsidR="00964687" w:rsidRPr="00AB47AE" w:rsidRDefault="00964687" w:rsidP="00964687">
      <w:pPr>
        <w:spacing w:after="240"/>
        <w:ind w:left="567" w:hanging="567"/>
      </w:pPr>
      <w:r w:rsidRPr="00AB47AE">
        <w:t>86.</w:t>
      </w:r>
      <w:r w:rsidRPr="00AB47AE">
        <w:tab/>
        <w:t xml:space="preserve">zdůrazňuje, že ESVČ přispívá k zastřešujícímu úsilí EU prokazovat neochvějnou podporu Ukrajině iniciativami, jako je kampaň #StandWithUkraine, a cílenými komunikačními projekty, jako jsou </w:t>
      </w:r>
      <w:proofErr w:type="spellStart"/>
      <w:r w:rsidRPr="00AB47AE">
        <w:t>Faces</w:t>
      </w:r>
      <w:proofErr w:type="spellEnd"/>
      <w:r w:rsidRPr="00AB47AE">
        <w:t xml:space="preserve"> </w:t>
      </w:r>
      <w:proofErr w:type="spellStart"/>
      <w:r w:rsidRPr="00AB47AE">
        <w:t>of</w:t>
      </w:r>
      <w:proofErr w:type="spellEnd"/>
      <w:r w:rsidRPr="00AB47AE">
        <w:t xml:space="preserve"> </w:t>
      </w:r>
      <w:proofErr w:type="spellStart"/>
      <w:r w:rsidRPr="00AB47AE">
        <w:t>Ukraine</w:t>
      </w:r>
      <w:proofErr w:type="spellEnd"/>
      <w:r w:rsidRPr="00AB47AE">
        <w:t xml:space="preserve">, Art vs </w:t>
      </w:r>
      <w:proofErr w:type="spellStart"/>
      <w:r w:rsidRPr="00AB47AE">
        <w:t>War</w:t>
      </w:r>
      <w:proofErr w:type="spellEnd"/>
      <w:r w:rsidRPr="00AB47AE">
        <w:t xml:space="preserve"> a </w:t>
      </w:r>
      <w:proofErr w:type="spellStart"/>
      <w:r w:rsidRPr="00AB47AE">
        <w:t>Share</w:t>
      </w:r>
      <w:proofErr w:type="spellEnd"/>
      <w:r w:rsidRPr="00AB47AE">
        <w:t xml:space="preserve"> </w:t>
      </w:r>
      <w:proofErr w:type="spellStart"/>
      <w:r w:rsidRPr="00AB47AE">
        <w:t>Your</w:t>
      </w:r>
      <w:proofErr w:type="spellEnd"/>
      <w:r w:rsidRPr="00AB47AE">
        <w:t xml:space="preserve"> </w:t>
      </w:r>
      <w:proofErr w:type="spellStart"/>
      <w:r w:rsidRPr="00AB47AE">
        <w:t>Light</w:t>
      </w:r>
      <w:proofErr w:type="spellEnd"/>
      <w:r w:rsidRPr="00AB47AE">
        <w:t>;</w:t>
      </w:r>
    </w:p>
    <w:p w14:paraId="0BD7FEA7" w14:textId="23286E91" w:rsidR="00E365E1" w:rsidRPr="007B54C0" w:rsidRDefault="00964687" w:rsidP="00964687">
      <w:pPr>
        <w:spacing w:after="240"/>
        <w:ind w:left="567" w:hanging="567"/>
      </w:pPr>
      <w:r w:rsidRPr="00AB47AE">
        <w:t>87.</w:t>
      </w:r>
      <w:r w:rsidRPr="00AB47AE">
        <w:tab/>
        <w:t>nadále vybízí delegace Unie, aby spolupracovaly s místními aktéry, organizacemi občanské společnosti a sociálními partnery ve třetích zemích a podporovaly je a stimulovaly tak sociální dialog a dialog o právním státu, základních právech a boji proti korupci; konstatuje, že v rámci tematického programu pro organizace občanské společnosti, na jehož základě uzavírá Unie partnerství s odpovědnými a transparentními organizacemi, bylo v roce 2023 vyčleněno 50 milionů EUR na systém Unie pro vytváření podpůrného prostředí pro občanskou společnost, jenž sleduje a podporuje občanský prostor v 86 partnerských zemích.</w:t>
      </w:r>
    </w:p>
    <w:sectPr w:rsidR="00E365E1" w:rsidRPr="007B54C0" w:rsidSect="00964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B7FD" w14:textId="77777777" w:rsidR="00664143" w:rsidRPr="00D7667B" w:rsidRDefault="00664143">
      <w:r w:rsidRPr="00D7667B">
        <w:separator/>
      </w:r>
    </w:p>
  </w:endnote>
  <w:endnote w:type="continuationSeparator" w:id="0">
    <w:p w14:paraId="61AC3D7E" w14:textId="77777777" w:rsidR="00664143" w:rsidRPr="00D7667B" w:rsidRDefault="00664143">
      <w:r w:rsidRPr="00D766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1D3A" w14:textId="77777777" w:rsidR="00064002" w:rsidRPr="00D766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1136" w14:textId="77777777" w:rsidR="00064002" w:rsidRPr="00D766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169E" w14:textId="77777777" w:rsidR="00064002" w:rsidRPr="00D766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CA8AD" w14:textId="77777777" w:rsidR="00664143" w:rsidRPr="00D7667B" w:rsidRDefault="00664143">
      <w:r w:rsidRPr="00D7667B">
        <w:separator/>
      </w:r>
    </w:p>
  </w:footnote>
  <w:footnote w:type="continuationSeparator" w:id="0">
    <w:p w14:paraId="4E44B8C1" w14:textId="77777777" w:rsidR="00664143" w:rsidRPr="00D7667B" w:rsidRDefault="00664143">
      <w:r w:rsidRPr="00D7667B">
        <w:continuationSeparator/>
      </w:r>
    </w:p>
  </w:footnote>
  <w:footnote w:id="1">
    <w:p w14:paraId="7988B9CE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L 58, 23.2.2023, s. 1, ELI: </w:t>
      </w:r>
      <w:hyperlink r:id="rId1" w:tooltip="Umožňuje přístup k dokumentu prostřednictvím jeho identifikátorů URI používaným v rámci ELI." w:history="1">
        <w:r w:rsidRPr="00AB47AE">
          <w:rPr>
            <w:rStyle w:val="Hyperlink1"/>
            <w:sz w:val="24"/>
            <w:shd w:val="clear" w:color="auto" w:fill="FFFFFF"/>
            <w:lang w:val="cs-CZ"/>
          </w:rPr>
          <w:t>http://data.europa.eu/eli/budget/2023/1/oj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2">
    <w:p w14:paraId="0D4D15B1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C, C/2024/5462, 10.10.2024, ELI: </w:t>
      </w:r>
      <w:hyperlink r:id="rId2" w:history="1">
        <w:r w:rsidRPr="00AB47AE">
          <w:rPr>
            <w:rStyle w:val="Hyperlink1"/>
            <w:sz w:val="24"/>
            <w:lang w:val="cs-CZ"/>
          </w:rPr>
          <w:t>http://data.europa.eu/eli/C/2024/5462/oj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3">
    <w:p w14:paraId="6145D288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C, C/2024/5882, 9.10.2024, ELI: </w:t>
      </w:r>
      <w:hyperlink r:id="rId3" w:history="1">
        <w:r w:rsidRPr="00AB47AE">
          <w:rPr>
            <w:rStyle w:val="Hyperlink1"/>
            <w:sz w:val="24"/>
            <w:lang w:val="cs-CZ"/>
          </w:rPr>
          <w:t>http://data.europa.eu/eli/C/2024/5882/oj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4">
    <w:p w14:paraId="4EAAA431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C, C/2024/6041, 10.10.2024, ELI: </w:t>
      </w:r>
      <w:hyperlink r:id="rId4" w:history="1">
        <w:r w:rsidRPr="00AB47AE">
          <w:rPr>
            <w:rStyle w:val="Hyperlink1"/>
            <w:sz w:val="24"/>
            <w:lang w:val="cs-CZ"/>
          </w:rPr>
          <w:t>http://data.europa.eu/eli/C/2024/6041/oj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5">
    <w:p w14:paraId="0369BE27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L 193, 30.7.2018, s. 1, ELI: </w:t>
      </w:r>
      <w:hyperlink r:id="rId5" w:history="1">
        <w:r w:rsidRPr="00AB47AE">
          <w:rPr>
            <w:rStyle w:val="Hyperlink1"/>
            <w:sz w:val="24"/>
            <w:lang w:val="cs-CZ"/>
          </w:rPr>
          <w:t>http://data.europa.eu/eli/reg/2018/1046/oj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6">
    <w:p w14:paraId="0AB08330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L, 2024/2509, 26.9.2024, ELI: </w:t>
      </w:r>
      <w:hyperlink r:id="rId6" w:history="1">
        <w:r w:rsidRPr="00AB47AE">
          <w:rPr>
            <w:rStyle w:val="Hyperlink1"/>
            <w:sz w:val="24"/>
            <w:lang w:val="cs-CZ"/>
          </w:rPr>
          <w:t>http://data.europa.eu/eli/reg/2024/2509/oj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  <w:footnote w:id="7">
    <w:p w14:paraId="30A57193" w14:textId="77777777" w:rsidR="00964687" w:rsidRPr="00DC25CA" w:rsidRDefault="00964687" w:rsidP="00964687">
      <w:pPr>
        <w:pStyle w:val="FootnoteText"/>
        <w:ind w:left="567" w:hanging="567"/>
        <w:rPr>
          <w:sz w:val="24"/>
          <w:lang w:val="cs-CZ"/>
        </w:rPr>
      </w:pPr>
      <w:r w:rsidRPr="00DC25CA">
        <w:rPr>
          <w:rStyle w:val="FootnoteReference"/>
          <w:sz w:val="24"/>
        </w:rPr>
        <w:footnoteRef/>
      </w:r>
      <w:r w:rsidRPr="00DC25CA">
        <w:rPr>
          <w:sz w:val="24"/>
          <w:lang w:val="cs-CZ"/>
        </w:rPr>
        <w:t xml:space="preserve"> </w:t>
      </w:r>
      <w:r w:rsidRPr="00AB47AE">
        <w:rPr>
          <w:sz w:val="24"/>
          <w:lang w:val="cs-CZ"/>
        </w:rPr>
        <w:tab/>
      </w:r>
      <w:proofErr w:type="spellStart"/>
      <w:r w:rsidRPr="00AB47AE">
        <w:rPr>
          <w:sz w:val="24"/>
          <w:lang w:val="cs-CZ"/>
        </w:rPr>
        <w:t>Úř</w:t>
      </w:r>
      <w:proofErr w:type="spellEnd"/>
      <w:r w:rsidRPr="00AB47AE">
        <w:rPr>
          <w:sz w:val="24"/>
          <w:lang w:val="cs-CZ"/>
        </w:rPr>
        <w:t xml:space="preserve">. </w:t>
      </w:r>
      <w:proofErr w:type="spellStart"/>
      <w:r w:rsidRPr="00AB47AE">
        <w:rPr>
          <w:sz w:val="24"/>
          <w:lang w:val="cs-CZ"/>
        </w:rPr>
        <w:t>věst</w:t>
      </w:r>
      <w:proofErr w:type="spellEnd"/>
      <w:r w:rsidRPr="00AB47AE">
        <w:rPr>
          <w:sz w:val="24"/>
          <w:lang w:val="cs-CZ"/>
        </w:rPr>
        <w:t xml:space="preserve">. L 201, 3.8.2010, s. 30, ELI: </w:t>
      </w:r>
      <w:hyperlink r:id="rId7" w:history="1">
        <w:r w:rsidRPr="00AB47AE">
          <w:rPr>
            <w:rStyle w:val="Hyperlink1"/>
            <w:sz w:val="24"/>
            <w:lang w:val="cs-CZ"/>
          </w:rPr>
          <w:t>http://data.europa.eu/eli/dec/2010/427/oj</w:t>
        </w:r>
      </w:hyperlink>
      <w:r w:rsidRPr="00AB47AE">
        <w:rPr>
          <w:sz w:val="24"/>
          <w:shd w:val="clear" w:color="auto" w:fill="FFFFFF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84C6B" w14:textId="77777777" w:rsidR="00064002" w:rsidRPr="00D766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35C9" w14:textId="77777777" w:rsidR="00064002" w:rsidRPr="00D766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838A" w14:textId="77777777" w:rsidR="00064002" w:rsidRPr="00D766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4732682">
    <w:abstractNumId w:val="9"/>
  </w:num>
  <w:num w:numId="2" w16cid:durableId="1749498597">
    <w:abstractNumId w:val="9"/>
  </w:num>
  <w:num w:numId="3" w16cid:durableId="53629970">
    <w:abstractNumId w:val="7"/>
  </w:num>
  <w:num w:numId="4" w16cid:durableId="1560627125">
    <w:abstractNumId w:val="7"/>
  </w:num>
  <w:num w:numId="5" w16cid:durableId="1123572646">
    <w:abstractNumId w:val="6"/>
  </w:num>
  <w:num w:numId="6" w16cid:durableId="1026950843">
    <w:abstractNumId w:val="6"/>
  </w:num>
  <w:num w:numId="7" w16cid:durableId="1984264804">
    <w:abstractNumId w:val="5"/>
  </w:num>
  <w:num w:numId="8" w16cid:durableId="999387258">
    <w:abstractNumId w:val="5"/>
  </w:num>
  <w:num w:numId="9" w16cid:durableId="643048686">
    <w:abstractNumId w:val="4"/>
  </w:num>
  <w:num w:numId="10" w16cid:durableId="1740445457">
    <w:abstractNumId w:val="4"/>
  </w:num>
  <w:num w:numId="11" w16cid:durableId="1106774116">
    <w:abstractNumId w:val="8"/>
  </w:num>
  <w:num w:numId="12" w16cid:durableId="1218280602">
    <w:abstractNumId w:val="8"/>
  </w:num>
  <w:num w:numId="13" w16cid:durableId="270942493">
    <w:abstractNumId w:val="3"/>
  </w:num>
  <w:num w:numId="14" w16cid:durableId="1859193291">
    <w:abstractNumId w:val="3"/>
  </w:num>
  <w:num w:numId="15" w16cid:durableId="876507435">
    <w:abstractNumId w:val="2"/>
  </w:num>
  <w:num w:numId="16" w16cid:durableId="1568152453">
    <w:abstractNumId w:val="2"/>
  </w:num>
  <w:num w:numId="17" w16cid:durableId="1879656012">
    <w:abstractNumId w:val="1"/>
  </w:num>
  <w:num w:numId="18" w16cid:durableId="2040933402">
    <w:abstractNumId w:val="1"/>
  </w:num>
  <w:num w:numId="19" w16cid:durableId="500924381">
    <w:abstractNumId w:val="0"/>
  </w:num>
  <w:num w:numId="20" w16cid:durableId="699284622">
    <w:abstractNumId w:val="0"/>
  </w:num>
  <w:num w:numId="21" w16cid:durableId="443889605">
    <w:abstractNumId w:val="9"/>
  </w:num>
  <w:num w:numId="22" w16cid:durableId="840856557">
    <w:abstractNumId w:val="7"/>
  </w:num>
  <w:num w:numId="23" w16cid:durableId="1714842078">
    <w:abstractNumId w:val="6"/>
  </w:num>
  <w:num w:numId="24" w16cid:durableId="1646932383">
    <w:abstractNumId w:val="5"/>
  </w:num>
  <w:num w:numId="25" w16cid:durableId="554509011">
    <w:abstractNumId w:val="4"/>
  </w:num>
  <w:num w:numId="26" w16cid:durableId="1654792612">
    <w:abstractNumId w:val="8"/>
  </w:num>
  <w:num w:numId="27" w16cid:durableId="1125612004">
    <w:abstractNumId w:val="3"/>
  </w:num>
  <w:num w:numId="28" w16cid:durableId="1690795455">
    <w:abstractNumId w:val="2"/>
  </w:num>
  <w:num w:numId="29" w16cid:durableId="2122218418">
    <w:abstractNumId w:val="1"/>
  </w:num>
  <w:num w:numId="30" w16cid:durableId="1681807336">
    <w:abstractNumId w:val="0"/>
  </w:num>
  <w:num w:numId="31" w16cid:durableId="1056853671">
    <w:abstractNumId w:val="9"/>
  </w:num>
  <w:num w:numId="32" w16cid:durableId="2029794234">
    <w:abstractNumId w:val="7"/>
  </w:num>
  <w:num w:numId="33" w16cid:durableId="833036546">
    <w:abstractNumId w:val="6"/>
  </w:num>
  <w:num w:numId="34" w16cid:durableId="585188343">
    <w:abstractNumId w:val="5"/>
  </w:num>
  <w:num w:numId="35" w16cid:durableId="386998469">
    <w:abstractNumId w:val="4"/>
  </w:num>
  <w:num w:numId="36" w16cid:durableId="1250232031">
    <w:abstractNumId w:val="8"/>
  </w:num>
  <w:num w:numId="37" w16cid:durableId="911811658">
    <w:abstractNumId w:val="3"/>
  </w:num>
  <w:num w:numId="38" w16cid:durableId="1345325736">
    <w:abstractNumId w:val="2"/>
  </w:num>
  <w:num w:numId="39" w16cid:durableId="2050258434">
    <w:abstractNumId w:val="1"/>
  </w:num>
  <w:num w:numId="40" w16cid:durableId="78529615">
    <w:abstractNumId w:val="0"/>
  </w:num>
  <w:num w:numId="41" w16cid:durableId="1621569515">
    <w:abstractNumId w:val="10"/>
  </w:num>
  <w:num w:numId="42" w16cid:durableId="1446660435">
    <w:abstractNumId w:val="10"/>
  </w:num>
  <w:num w:numId="43" w16cid:durableId="740101624">
    <w:abstractNumId w:val="10"/>
  </w:num>
  <w:num w:numId="44" w16cid:durableId="758136742">
    <w:abstractNumId w:val="12"/>
  </w:num>
  <w:num w:numId="45" w16cid:durableId="1825122360">
    <w:abstractNumId w:val="13"/>
  </w:num>
  <w:num w:numId="46" w16cid:durableId="35549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9/2025"/>
    <w:docVar w:name="dvlangue" w:val="CS"/>
    <w:docVar w:name="dvnumam" w:val="0"/>
    <w:docVar w:name="dvpe" w:val="764.994"/>
    <w:docVar w:name="dvrapporteur" w:val="Zpravodaj: "/>
    <w:docVar w:name="dvtitre" w:val="Rozhodnutí Evropského parlamentu ze dne 7. května 2025 o udělení absolutoria za plnění souhrnného rozpočtu Evropské unie na rozpočtový rok 2023, oddíl X – Evropská služba pro vnější činnost(2024/2024(DEC))"/>
  </w:docVars>
  <w:rsids>
    <w:rsidRoot w:val="00664143"/>
    <w:rsid w:val="00002272"/>
    <w:rsid w:val="00037C24"/>
    <w:rsid w:val="00064002"/>
    <w:rsid w:val="000677B9"/>
    <w:rsid w:val="000831BA"/>
    <w:rsid w:val="000A42CC"/>
    <w:rsid w:val="000E7DD9"/>
    <w:rsid w:val="0010095E"/>
    <w:rsid w:val="00125B37"/>
    <w:rsid w:val="0016082B"/>
    <w:rsid w:val="00187494"/>
    <w:rsid w:val="001F32AE"/>
    <w:rsid w:val="002628D9"/>
    <w:rsid w:val="002767FF"/>
    <w:rsid w:val="002A617C"/>
    <w:rsid w:val="002B18FE"/>
    <w:rsid w:val="002B5493"/>
    <w:rsid w:val="00343214"/>
    <w:rsid w:val="00357E80"/>
    <w:rsid w:val="00361C00"/>
    <w:rsid w:val="00395FA1"/>
    <w:rsid w:val="003E15D4"/>
    <w:rsid w:val="00411CCE"/>
    <w:rsid w:val="0041666E"/>
    <w:rsid w:val="00421060"/>
    <w:rsid w:val="00434E30"/>
    <w:rsid w:val="004408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143"/>
    <w:rsid w:val="00680577"/>
    <w:rsid w:val="006F74FA"/>
    <w:rsid w:val="0071482F"/>
    <w:rsid w:val="00731ADD"/>
    <w:rsid w:val="00734777"/>
    <w:rsid w:val="00747932"/>
    <w:rsid w:val="00751A4A"/>
    <w:rsid w:val="00756632"/>
    <w:rsid w:val="00762C74"/>
    <w:rsid w:val="00786EC0"/>
    <w:rsid w:val="00796E1D"/>
    <w:rsid w:val="007B54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77B"/>
    <w:rsid w:val="00930C23"/>
    <w:rsid w:val="0093193B"/>
    <w:rsid w:val="009509D8"/>
    <w:rsid w:val="00950B64"/>
    <w:rsid w:val="0096468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713"/>
    <w:rsid w:val="00B22876"/>
    <w:rsid w:val="00B26F3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67B"/>
    <w:rsid w:val="00D834A0"/>
    <w:rsid w:val="00D872DF"/>
    <w:rsid w:val="00D91E21"/>
    <w:rsid w:val="00DA7FCD"/>
    <w:rsid w:val="00DC2F42"/>
    <w:rsid w:val="00E329F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C4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B6AD6"/>
  <w15:chartTrackingRefBased/>
  <w15:docId w15:val="{32809F8B-ABF6-435E-A973-F65963E9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4E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4E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4E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4E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4E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4E3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434E3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434E3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434E3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434E3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4E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34E30"/>
    <w:pPr>
      <w:spacing w:before="480" w:after="240"/>
    </w:pPr>
  </w:style>
  <w:style w:type="paragraph" w:customStyle="1" w:styleId="TOCPage">
    <w:name w:val="TOC Page"/>
    <w:basedOn w:val="Normal"/>
    <w:next w:val="TOC1"/>
    <w:rsid w:val="00434E3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34E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34E30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434E3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4E30"/>
    <w:pPr>
      <w:spacing w:after="480"/>
      <w:ind w:left="1417"/>
    </w:pPr>
  </w:style>
  <w:style w:type="paragraph" w:customStyle="1" w:styleId="CoverNormal">
    <w:name w:val="CoverNormal"/>
    <w:basedOn w:val="Normal"/>
    <w:rsid w:val="00434E30"/>
    <w:pPr>
      <w:ind w:left="1418"/>
    </w:pPr>
  </w:style>
  <w:style w:type="paragraph" w:customStyle="1" w:styleId="CoverReference">
    <w:name w:val="CoverReference"/>
    <w:basedOn w:val="Normal"/>
    <w:rsid w:val="00434E30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434E3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4E30"/>
    <w:pPr>
      <w:spacing w:before="240" w:after="1200"/>
    </w:pPr>
  </w:style>
  <w:style w:type="paragraph" w:styleId="Header">
    <w:name w:val="header"/>
    <w:basedOn w:val="Normal"/>
    <w:link w:val="HeaderChar"/>
    <w:rsid w:val="00434E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4E30"/>
    <w:rPr>
      <w:sz w:val="24"/>
      <w:lang w:val="cs-CZ"/>
    </w:rPr>
  </w:style>
  <w:style w:type="paragraph" w:customStyle="1" w:styleId="EPBody">
    <w:name w:val="EPBody"/>
    <w:basedOn w:val="Normal"/>
    <w:rsid w:val="00434E3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4E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434E3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34E30"/>
    <w:rPr>
      <w:sz w:val="24"/>
      <w:lang w:val="cs-CZ"/>
    </w:rPr>
  </w:style>
  <w:style w:type="character" w:styleId="CommentReference">
    <w:name w:val="annotation reference"/>
    <w:basedOn w:val="DefaultParagraphFont"/>
    <w:uiPriority w:val="99"/>
    <w:rsid w:val="00434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34E3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E3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34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4E30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434E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4E30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434E30"/>
    <w:rPr>
      <w:color w:val="954F72" w:themeColor="followedHyperlink"/>
      <w:u w:val="single"/>
    </w:rPr>
  </w:style>
  <w:style w:type="paragraph" w:customStyle="1" w:styleId="Normal24a">
    <w:name w:val="Normal24a"/>
    <w:basedOn w:val="Normal"/>
    <w:rsid w:val="00434E30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434E30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434E30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434E30"/>
    <w:rPr>
      <w:szCs w:val="24"/>
      <w:lang w:val="en-GB"/>
    </w:rPr>
  </w:style>
  <w:style w:type="paragraph" w:customStyle="1" w:styleId="Normal12a">
    <w:name w:val="Normal12a"/>
    <w:basedOn w:val="Normal"/>
    <w:rsid w:val="00434E30"/>
    <w:pPr>
      <w:spacing w:after="240"/>
    </w:pPr>
    <w:rPr>
      <w:lang w:val="en-GB"/>
    </w:rPr>
  </w:style>
  <w:style w:type="paragraph" w:customStyle="1" w:styleId="RollCallSymbols14pt">
    <w:name w:val="RollCallSymbols14pt"/>
    <w:basedOn w:val="Normal"/>
    <w:rsid w:val="00434E3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434E3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434E3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434E3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434E30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nhideWhenUsed/>
    <w:rsid w:val="00434E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4E30"/>
    <w:rPr>
      <w:sz w:val="24"/>
      <w:lang w:val="cs-CZ"/>
    </w:rPr>
  </w:style>
  <w:style w:type="character" w:customStyle="1" w:styleId="Hyperlink1">
    <w:name w:val="Hyperlink1"/>
    <w:basedOn w:val="DefaultParagraphFont"/>
    <w:rsid w:val="009646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dec/2010/427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67B46-57B4-4420-8101-F41BEF4C4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9138</Words>
  <Characters>53543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2025-11-25T13:24:00Z</dcterms:created>
  <dcterms:modified xsi:type="dcterms:W3CDTF">2025-11-25T13:24:00Z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P10_TA(2025)0086_</vt:lpwstr>
  </property>
  <property fmtid="{D5CDD505-2E9C-101B-9397-08002B2CF9AE}" pid="4" name="&lt;Type&gt;">
    <vt:lpwstr>RR</vt:lpwstr>
  </property>
</Properties>
</file>