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0353" w14:paraId="22AD898A" w14:textId="77777777" w:rsidTr="0010095E">
        <w:trPr>
          <w:trHeight w:hRule="exact" w:val="1418"/>
        </w:trPr>
        <w:tc>
          <w:tcPr>
            <w:tcW w:w="6804" w:type="dxa"/>
            <w:shd w:val="clear" w:color="auto" w:fill="auto"/>
            <w:vAlign w:val="center"/>
          </w:tcPr>
          <w:p w14:paraId="60B290D2" w14:textId="77777777" w:rsidR="00751A4A" w:rsidRPr="00690353" w:rsidRDefault="0091318F" w:rsidP="001B1F9B">
            <w:pPr>
              <w:pStyle w:val="EPName"/>
              <w:widowControl/>
            </w:pPr>
            <w:r w:rsidRPr="00690353">
              <w:t>Euroopan parlamentti</w:t>
            </w:r>
          </w:p>
          <w:p w14:paraId="3D6AAA85" w14:textId="77777777" w:rsidR="00751A4A" w:rsidRPr="00690353" w:rsidRDefault="005F1B17" w:rsidP="001B1F9B">
            <w:pPr>
              <w:pStyle w:val="EPTerm"/>
              <w:widowControl/>
              <w:rPr>
                <w:rStyle w:val="HideTWBExt"/>
                <w:noProof w:val="0"/>
                <w:vanish w:val="0"/>
                <w:color w:val="auto"/>
              </w:rPr>
            </w:pPr>
            <w:proofErr w:type="gramStart"/>
            <w:r w:rsidRPr="00690353">
              <w:t>2024</w:t>
            </w:r>
            <w:r w:rsidR="00817416" w:rsidRPr="00690353">
              <w:t>-202</w:t>
            </w:r>
            <w:r w:rsidRPr="00690353">
              <w:t>9</w:t>
            </w:r>
            <w:proofErr w:type="gramEnd"/>
          </w:p>
        </w:tc>
        <w:tc>
          <w:tcPr>
            <w:tcW w:w="2268" w:type="dxa"/>
            <w:shd w:val="clear" w:color="auto" w:fill="auto"/>
          </w:tcPr>
          <w:p w14:paraId="401C8F2D" w14:textId="77777777" w:rsidR="00751A4A" w:rsidRPr="00690353" w:rsidRDefault="00187494" w:rsidP="001B1F9B">
            <w:pPr>
              <w:pStyle w:val="EPLogo"/>
              <w:widowControl/>
            </w:pPr>
            <w:r w:rsidRPr="00690353">
              <w:rPr>
                <w:noProof/>
                <w:lang w:eastAsia="fi-FI"/>
              </w:rPr>
              <w:drawing>
                <wp:inline distT="0" distB="0" distL="0" distR="0" wp14:anchorId="5A37109E" wp14:editId="0D8554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8244F4" w14:textId="77777777" w:rsidR="00D058B8" w:rsidRPr="00690353" w:rsidRDefault="00D058B8" w:rsidP="001B1F9B">
      <w:pPr>
        <w:pStyle w:val="LineTop"/>
        <w:widowControl/>
      </w:pPr>
    </w:p>
    <w:p w14:paraId="7E9C2BF7" w14:textId="77777777" w:rsidR="00680577" w:rsidRPr="00690353" w:rsidRDefault="0091318F" w:rsidP="001B1F9B">
      <w:pPr>
        <w:pStyle w:val="EPBodyTA1"/>
        <w:widowControl/>
      </w:pPr>
      <w:r w:rsidRPr="00690353">
        <w:t>HYVÄKSYTYT TEKSTIT</w:t>
      </w:r>
    </w:p>
    <w:p w14:paraId="484F8F27" w14:textId="77777777" w:rsidR="00D058B8" w:rsidRPr="00690353" w:rsidRDefault="00D058B8" w:rsidP="001B1F9B">
      <w:pPr>
        <w:pStyle w:val="LineBottom"/>
        <w:widowControl/>
      </w:pPr>
    </w:p>
    <w:p w14:paraId="2F339EB7" w14:textId="795B4A1E" w:rsidR="0091318F" w:rsidRPr="00690353" w:rsidRDefault="0091318F" w:rsidP="001B1F9B">
      <w:pPr>
        <w:pStyle w:val="ATHeading1"/>
      </w:pPr>
      <w:bookmarkStart w:id="0" w:name="TANumber"/>
      <w:r w:rsidRPr="00690353">
        <w:t>P10_</w:t>
      </w:r>
      <w:proofErr w:type="gramStart"/>
      <w:r w:rsidRPr="00690353">
        <w:t>TA(</w:t>
      </w:r>
      <w:proofErr w:type="gramEnd"/>
      <w:r w:rsidRPr="00690353">
        <w:t>2025)00</w:t>
      </w:r>
      <w:r w:rsidR="00690353" w:rsidRPr="00690353">
        <w:t>86</w:t>
      </w:r>
      <w:bookmarkEnd w:id="0"/>
    </w:p>
    <w:p w14:paraId="6A5C9A42" w14:textId="77777777" w:rsidR="0091318F" w:rsidRPr="00690353" w:rsidRDefault="0091318F" w:rsidP="001B1F9B">
      <w:pPr>
        <w:pStyle w:val="ATHeading2"/>
      </w:pPr>
      <w:bookmarkStart w:id="1" w:name="title"/>
      <w:r w:rsidRPr="00690353">
        <w:t xml:space="preserve">Vastuuvapaus </w:t>
      </w:r>
      <w:r w:rsidR="00DB6C33" w:rsidRPr="00690353">
        <w:t>2023: EU:n yleinen talousarvio –</w:t>
      </w:r>
      <w:r w:rsidRPr="00690353">
        <w:t>– Euroopan ulkosuhdehallinto</w:t>
      </w:r>
      <w:bookmarkEnd w:id="1"/>
    </w:p>
    <w:p w14:paraId="7D96D6A0" w14:textId="77777777" w:rsidR="0091318F" w:rsidRPr="00690353" w:rsidRDefault="0091318F" w:rsidP="001B1F9B">
      <w:pPr>
        <w:widowControl/>
        <w:rPr>
          <w:i/>
          <w:vanish/>
        </w:rPr>
      </w:pPr>
      <w:r w:rsidRPr="00690353">
        <w:rPr>
          <w:i/>
        </w:rPr>
        <w:fldChar w:fldCharType="begin"/>
      </w:r>
      <w:r w:rsidRPr="00690353">
        <w:rPr>
          <w:i/>
        </w:rPr>
        <w:instrText xml:space="preserve"> TC"(</w:instrText>
      </w:r>
      <w:bookmarkStart w:id="2" w:name="DocNumber"/>
      <w:r w:rsidRPr="00690353">
        <w:rPr>
          <w:i/>
        </w:rPr>
        <w:instrText>A10-0069/2025</w:instrText>
      </w:r>
      <w:bookmarkEnd w:id="2"/>
      <w:r w:rsidRPr="00690353">
        <w:rPr>
          <w:i/>
        </w:rPr>
        <w:instrText xml:space="preserve"> - Esittelijä: Joachim </w:instrText>
      </w:r>
      <w:proofErr w:type="spellStart"/>
      <w:r w:rsidRPr="00690353">
        <w:rPr>
          <w:i/>
        </w:rPr>
        <w:instrText>Stanisław</w:instrText>
      </w:r>
      <w:proofErr w:type="spellEnd"/>
      <w:r w:rsidRPr="00690353">
        <w:rPr>
          <w:i/>
        </w:rPr>
        <w:instrText xml:space="preserve"> </w:instrText>
      </w:r>
      <w:proofErr w:type="spellStart"/>
      <w:r w:rsidRPr="00690353">
        <w:rPr>
          <w:i/>
        </w:rPr>
        <w:instrText>Brudziński</w:instrText>
      </w:r>
      <w:proofErr w:type="spellEnd"/>
      <w:r w:rsidRPr="00690353">
        <w:rPr>
          <w:i/>
        </w:rPr>
        <w:instrText xml:space="preserve">)"\l3 \n&gt; \* MERGEFORMAT </w:instrText>
      </w:r>
      <w:r w:rsidRPr="00690353">
        <w:rPr>
          <w:i/>
        </w:rPr>
        <w:fldChar w:fldCharType="end"/>
      </w:r>
    </w:p>
    <w:p w14:paraId="1EB4B39C" w14:textId="77777777" w:rsidR="0091318F" w:rsidRPr="00690353" w:rsidRDefault="0091318F" w:rsidP="001B1F9B">
      <w:pPr>
        <w:widowControl/>
        <w:rPr>
          <w:vanish/>
        </w:rPr>
      </w:pPr>
      <w:bookmarkStart w:id="3" w:name="Commission"/>
      <w:r w:rsidRPr="00690353">
        <w:rPr>
          <w:vanish/>
        </w:rPr>
        <w:t>Talousarvion valvontavaliokunta</w:t>
      </w:r>
      <w:bookmarkEnd w:id="3"/>
    </w:p>
    <w:p w14:paraId="155B2857" w14:textId="77777777" w:rsidR="0091318F" w:rsidRPr="00690353" w:rsidRDefault="0091318F" w:rsidP="001B1F9B">
      <w:pPr>
        <w:widowControl/>
        <w:rPr>
          <w:vanish/>
        </w:rPr>
      </w:pPr>
      <w:bookmarkStart w:id="4" w:name="PE"/>
      <w:r w:rsidRPr="00690353">
        <w:rPr>
          <w:vanish/>
        </w:rPr>
        <w:t>PE764.994</w:t>
      </w:r>
      <w:bookmarkEnd w:id="4"/>
    </w:p>
    <w:p w14:paraId="65273BB7" w14:textId="77777777" w:rsidR="0091318F" w:rsidRPr="00690353" w:rsidRDefault="0091318F" w:rsidP="001B1F9B">
      <w:pPr>
        <w:pStyle w:val="ATHeading3"/>
      </w:pPr>
      <w:bookmarkStart w:id="5" w:name="Sujet"/>
      <w:r w:rsidRPr="00690353">
        <w:t>1. Euroopan parlamentin päätös 7. toukokuuta 2025 vastuuvapauden myöntämisestä Euroopan unionin yleisen talousarvion toteuttamisesta varainhoitovuonna 2023, pääluokka X – Euroopan ulkosuhdehallinto</w:t>
      </w:r>
      <w:bookmarkEnd w:id="5"/>
      <w:r w:rsidRPr="00690353">
        <w:t xml:space="preserve"> </w:t>
      </w:r>
      <w:bookmarkStart w:id="6" w:name="References"/>
      <w:r w:rsidRPr="00690353">
        <w:t>(2024/2024(DEC))</w:t>
      </w:r>
      <w:bookmarkEnd w:id="6"/>
    </w:p>
    <w:p w14:paraId="2D2AB878" w14:textId="77777777" w:rsidR="00EB63AB" w:rsidRPr="00690353" w:rsidRDefault="00EB63AB" w:rsidP="001B1F9B">
      <w:pPr>
        <w:pStyle w:val="EPComma"/>
        <w:widowControl/>
      </w:pPr>
      <w:bookmarkStart w:id="7" w:name="TextBodyBegin"/>
      <w:bookmarkEnd w:id="7"/>
      <w:r w:rsidRPr="00690353">
        <w:rPr>
          <w:i/>
        </w:rPr>
        <w:t>Euroopan parlamentti</w:t>
      </w:r>
      <w:r w:rsidRPr="00690353">
        <w:t>, joka</w:t>
      </w:r>
    </w:p>
    <w:p w14:paraId="5AF39707" w14:textId="77777777" w:rsidR="00EB63AB" w:rsidRPr="00690353" w:rsidRDefault="00EB63AB" w:rsidP="001B1F9B">
      <w:pPr>
        <w:pStyle w:val="NormalHanging12a"/>
        <w:widowControl/>
      </w:pPr>
      <w:r w:rsidRPr="00690353">
        <w:t>–</w:t>
      </w:r>
      <w:r w:rsidRPr="00690353">
        <w:tab/>
        <w:t>ottaa huomioon Euroopan unionin yleisen talousarvion varainhoitovuodeksi 2023</w:t>
      </w:r>
      <w:r w:rsidRPr="00690353">
        <w:rPr>
          <w:rStyle w:val="FootnoteReference"/>
        </w:rPr>
        <w:footnoteReference w:id="1"/>
      </w:r>
      <w:r w:rsidRPr="00690353">
        <w:t>,</w:t>
      </w:r>
    </w:p>
    <w:p w14:paraId="4DF5D3AA" w14:textId="77777777" w:rsidR="00EB63AB" w:rsidRPr="00690353" w:rsidRDefault="00EB63AB" w:rsidP="001B1F9B">
      <w:pPr>
        <w:pStyle w:val="NormalHanging12a"/>
        <w:widowControl/>
      </w:pPr>
      <w:r w:rsidRPr="00690353">
        <w:t>–</w:t>
      </w:r>
      <w:r w:rsidRPr="00690353">
        <w:tab/>
        <w:t>ottaa huomioon Euroopan unionin konsolidoidun tilinpäätöksen varainhoitovuodelta 2023 (</w:t>
      </w:r>
      <w:proofErr w:type="gramStart"/>
      <w:r w:rsidRPr="00690353">
        <w:t>COM(</w:t>
      </w:r>
      <w:proofErr w:type="gramEnd"/>
      <w:r w:rsidRPr="00690353">
        <w:t>2024)0272 – C10</w:t>
      </w:r>
      <w:r w:rsidRPr="00690353">
        <w:noBreakHyphen/>
        <w:t>0072/2024)</w:t>
      </w:r>
      <w:r w:rsidRPr="00690353">
        <w:rPr>
          <w:rStyle w:val="FootnoteReference"/>
        </w:rPr>
        <w:footnoteReference w:id="2"/>
      </w:r>
      <w:r w:rsidRPr="00690353">
        <w:t>,</w:t>
      </w:r>
    </w:p>
    <w:p w14:paraId="6AC5FEB7" w14:textId="77777777" w:rsidR="00EB63AB" w:rsidRPr="00690353" w:rsidRDefault="00EB63AB" w:rsidP="001B1F9B">
      <w:pPr>
        <w:pStyle w:val="NormalHanging12a"/>
        <w:widowControl/>
      </w:pPr>
      <w:r w:rsidRPr="00690353">
        <w:t>–</w:t>
      </w:r>
      <w:r w:rsidRPr="00690353">
        <w:tab/>
        <w:t>ottaa huomioon Euroopan ulkosuhdehallinnon vuotuisen toimintakertomuksen vuodelta 2023 ja sen vuosikertomuksen talousarvio- ja varainhallinnosta vuodelta 2023,</w:t>
      </w:r>
    </w:p>
    <w:p w14:paraId="48C9AA24" w14:textId="77777777" w:rsidR="00EB63AB" w:rsidRPr="00690353" w:rsidRDefault="00EB63AB" w:rsidP="001B1F9B">
      <w:pPr>
        <w:pStyle w:val="NormalHanging12a"/>
        <w:widowControl/>
      </w:pPr>
      <w:r w:rsidRPr="00690353">
        <w:t>–</w:t>
      </w:r>
      <w:r w:rsidRPr="00690353">
        <w:tab/>
        <w:t>ottaa huomioon tilintarkastustuomioistuimen vuosikertomuksen talousarvion toteuttamisesta varainhoitovuonna 2023 sekä toimielinten vastaukset</w:t>
      </w:r>
      <w:r w:rsidRPr="00690353">
        <w:rPr>
          <w:rStyle w:val="FootnoteReference"/>
        </w:rPr>
        <w:footnoteReference w:id="3"/>
      </w:r>
      <w:r w:rsidRPr="00690353">
        <w:t>,</w:t>
      </w:r>
    </w:p>
    <w:p w14:paraId="7B910410" w14:textId="77777777" w:rsidR="00EB63AB" w:rsidRPr="00690353" w:rsidRDefault="00EB63AB" w:rsidP="001B1F9B">
      <w:pPr>
        <w:pStyle w:val="NormalHanging12a"/>
        <w:widowControl/>
      </w:pPr>
      <w:r w:rsidRPr="00690353">
        <w:t>–</w:t>
      </w:r>
      <w:r w:rsidRPr="00690353">
        <w:tab/>
        <w:t>ottaa huomioon tilintarkastustuomioistuimen Euroopan unionin toiminnasta tehdyn sopimuksen 287 artiklan mukaisesti antaman varainhoitovuotta 2023 koskevan lausuman</w:t>
      </w:r>
      <w:r w:rsidRPr="00690353">
        <w:rPr>
          <w:rStyle w:val="FootnoteReference"/>
        </w:rPr>
        <w:footnoteReference w:id="4"/>
      </w:r>
      <w:r w:rsidRPr="00690353">
        <w:t xml:space="preserve"> tilien luotettavuudesta sekä tilien perustana olevien toimien laillisuudesta ja asianmukaisuudesta (sääntöjenmukaisuudesta),</w:t>
      </w:r>
    </w:p>
    <w:p w14:paraId="0555C39D" w14:textId="77777777" w:rsidR="00EB63AB" w:rsidRPr="00690353" w:rsidRDefault="00EB63AB" w:rsidP="001B1F9B">
      <w:pPr>
        <w:pStyle w:val="NormalHanging12a"/>
        <w:widowControl/>
      </w:pPr>
      <w:r w:rsidRPr="00690353">
        <w:t>–</w:t>
      </w:r>
      <w:r w:rsidRPr="00690353">
        <w:tab/>
        <w:t>ottaa huomioon Euroopan unionin toiminnasta tehdyn sopimuksen 314 artiklan 10 kohdan sekä 317, 318 ja 319 artiklan,</w:t>
      </w:r>
    </w:p>
    <w:p w14:paraId="463E23CB" w14:textId="77777777" w:rsidR="00EB63AB" w:rsidRPr="00690353" w:rsidRDefault="00EB63AB" w:rsidP="001B1F9B">
      <w:pPr>
        <w:pStyle w:val="NormalHanging12a"/>
        <w:widowControl/>
      </w:pPr>
      <w:r w:rsidRPr="00690353">
        <w:t>–</w:t>
      </w:r>
      <w:r w:rsidRPr="00690353">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w:t>
      </w:r>
      <w:r w:rsidRPr="00690353">
        <w:lastRenderedPageBreak/>
        <w:t>Euratom) N:o 966/2012 kumoamisesta 18. heinäkuuta 2018 annetun Euroopan parlamentin ja neuvoston asetuksen (EU, Euratom) 2018/1046</w:t>
      </w:r>
      <w:r w:rsidRPr="00690353">
        <w:rPr>
          <w:rStyle w:val="FootnoteReference"/>
        </w:rPr>
        <w:footnoteReference w:id="5"/>
      </w:r>
      <w:r w:rsidRPr="00690353">
        <w:t xml:space="preserve"> ja erityisesti sen 59, 118 ja 260–263 artiklan,</w:t>
      </w:r>
    </w:p>
    <w:p w14:paraId="58F000B4" w14:textId="77777777" w:rsidR="00EB63AB" w:rsidRPr="00690353" w:rsidRDefault="00EB63AB" w:rsidP="001B1F9B">
      <w:pPr>
        <w:pStyle w:val="NormalHanging12a"/>
        <w:widowControl/>
      </w:pPr>
      <w:r w:rsidRPr="00690353">
        <w:t>–</w:t>
      </w:r>
      <w:r w:rsidRPr="00690353">
        <w:tab/>
        <w:t>ottaa huomioon unionin yleiseen talousarvioon sovellettavista varainhoitosäännöistä 23. syyskuuta 2024 annetun Euroopan parlamentin ja neuvoston asetuksen (EU, Euratom) 2024/2509</w:t>
      </w:r>
      <w:r w:rsidRPr="00690353">
        <w:rPr>
          <w:rStyle w:val="FootnoteReference"/>
        </w:rPr>
        <w:footnoteReference w:id="6"/>
      </w:r>
      <w:r w:rsidRPr="00690353">
        <w:t xml:space="preserve"> ja erityisesti sen 59, 118 ja 266–269 artiklan,</w:t>
      </w:r>
    </w:p>
    <w:p w14:paraId="0A57F10E" w14:textId="77777777" w:rsidR="00EB63AB" w:rsidRPr="00690353" w:rsidRDefault="00EB63AB" w:rsidP="001B1F9B">
      <w:pPr>
        <w:pStyle w:val="NormalHanging12a"/>
        <w:widowControl/>
      </w:pPr>
      <w:r w:rsidRPr="00690353">
        <w:t>–</w:t>
      </w:r>
      <w:r w:rsidRPr="00690353">
        <w:tab/>
        <w:t>ottaa huomioon Euroopan ulkosuhdehallinnon organisaatiosta ja toiminnasta 26. heinäkuuta 2010 annetun neuvoston päätöksen 2010/427/EU</w:t>
      </w:r>
      <w:r w:rsidRPr="00690353">
        <w:rPr>
          <w:rStyle w:val="FootnoteReference"/>
        </w:rPr>
        <w:footnoteReference w:id="7"/>
      </w:r>
      <w:r w:rsidRPr="00690353">
        <w:t xml:space="preserve"> ja erityisesti sen 8 artiklan,</w:t>
      </w:r>
    </w:p>
    <w:p w14:paraId="6AC75CA2" w14:textId="77777777" w:rsidR="00EB63AB" w:rsidRPr="00690353" w:rsidRDefault="00EB63AB" w:rsidP="001B1F9B">
      <w:pPr>
        <w:pStyle w:val="NormalHanging12a"/>
        <w:widowControl/>
      </w:pPr>
      <w:r w:rsidRPr="00690353">
        <w:t>–</w:t>
      </w:r>
      <w:r w:rsidRPr="00690353">
        <w:tab/>
        <w:t>ottaa huomioon työjärjestyksen 102 artiklan ja liitteen V,</w:t>
      </w:r>
    </w:p>
    <w:p w14:paraId="7D3995AE" w14:textId="77777777" w:rsidR="00EB63AB" w:rsidRPr="00690353" w:rsidRDefault="00EB63AB" w:rsidP="001B1F9B">
      <w:pPr>
        <w:pStyle w:val="NormalHanging12a"/>
        <w:widowControl/>
      </w:pPr>
      <w:r w:rsidRPr="00690353">
        <w:t>–</w:t>
      </w:r>
      <w:r w:rsidRPr="00690353">
        <w:tab/>
        <w:t>ottaa huomioon ulkoasiainvaliokunnan lausunnon,</w:t>
      </w:r>
    </w:p>
    <w:p w14:paraId="25302488" w14:textId="77777777" w:rsidR="00EB63AB" w:rsidRPr="00690353" w:rsidRDefault="00EB63AB" w:rsidP="001B1F9B">
      <w:pPr>
        <w:pStyle w:val="NormalHanging12a"/>
        <w:widowControl/>
      </w:pPr>
      <w:r w:rsidRPr="00690353">
        <w:t>–</w:t>
      </w:r>
      <w:r w:rsidRPr="00690353">
        <w:tab/>
        <w:t>ottaa huomioon talousarvion valvontavaliokunnan mietinnön (A10-0069/2025),</w:t>
      </w:r>
    </w:p>
    <w:p w14:paraId="42F633AC" w14:textId="77777777" w:rsidR="00EB63AB" w:rsidRPr="00690353" w:rsidRDefault="00EB63AB" w:rsidP="001B1F9B">
      <w:pPr>
        <w:pStyle w:val="NormalHanging12a"/>
        <w:widowControl/>
      </w:pPr>
      <w:r w:rsidRPr="00690353">
        <w:t>1.</w:t>
      </w:r>
      <w:r w:rsidRPr="00690353">
        <w:tab/>
        <w:t>myöntää unionin ulkoasioiden ja turvallisuuspolitiikan korkealle edustajalle vastuuvapauden Euroopan ulkosuhdehallinnon talousarvion toteuttamisesta varainhoitovuonna 2023;</w:t>
      </w:r>
    </w:p>
    <w:p w14:paraId="7A292526" w14:textId="77777777" w:rsidR="00EB63AB" w:rsidRPr="00690353" w:rsidRDefault="00EB63AB" w:rsidP="001B1F9B">
      <w:pPr>
        <w:pStyle w:val="NormalHanging12a"/>
        <w:widowControl/>
      </w:pPr>
      <w:r w:rsidRPr="00690353">
        <w:t>2.</w:t>
      </w:r>
      <w:r w:rsidRPr="00690353">
        <w:tab/>
        <w:t>esittää huomautuksensa oheisessa päätöslauselmassa;</w:t>
      </w:r>
    </w:p>
    <w:p w14:paraId="17831094" w14:textId="77777777" w:rsidR="00EB63AB" w:rsidRPr="00690353" w:rsidRDefault="00EB63AB" w:rsidP="001B1F9B">
      <w:pPr>
        <w:pStyle w:val="NormalHanging12a"/>
        <w:widowControl/>
      </w:pPr>
      <w:r w:rsidRPr="00690353">
        <w:t>3.</w:t>
      </w:r>
      <w:r w:rsidRPr="00690353">
        <w:tab/>
        <w:t xml:space="preserve">kehottaa puhemiestä välittämään tämän päätöksen ja siihen erottamattomasti kuuluvan päätöslauselman Euroopan ulkosuhdehallinnolle, neuvostolle, komissiolle ja tilintarkastustuomioistuimelle, Euroopan oikeusasiamiehelle ja Euroopan tietosuojavaltuutetulle sekä huolehtimaan niiden julkaisemisesta </w:t>
      </w:r>
      <w:r w:rsidRPr="00690353">
        <w:rPr>
          <w:i/>
        </w:rPr>
        <w:t xml:space="preserve">Euroopan unionin virallisessa lehdessä </w:t>
      </w:r>
      <w:r w:rsidRPr="00690353">
        <w:t>(L-sarja).</w:t>
      </w:r>
    </w:p>
    <w:p w14:paraId="1A1FB54A" w14:textId="77777777" w:rsidR="00EB63AB" w:rsidRPr="00690353" w:rsidRDefault="00EB63AB" w:rsidP="001B1F9B">
      <w:pPr>
        <w:widowControl/>
        <w:sectPr w:rsidR="00EB63AB" w:rsidRPr="00690353" w:rsidSect="001A370B">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4D7AA236" w14:textId="77777777" w:rsidR="00EB63AB" w:rsidRPr="00690353" w:rsidRDefault="00547D4C" w:rsidP="001B1F9B">
      <w:pPr>
        <w:pStyle w:val="ATHeading3"/>
      </w:pPr>
      <w:r w:rsidRPr="00690353">
        <w:lastRenderedPageBreak/>
        <w:t xml:space="preserve">2. Euroopan parlamentin päätöslauselma 7. toukokuuta 2025, </w:t>
      </w:r>
      <w:r w:rsidR="00EB63AB" w:rsidRPr="00690353">
        <w:t>joka sisältää huomautukset, jotka ovat erottamaton osa päätöstä vastuuvapauden myöntämisestä Euroopan unionin yleisen talousarvion toteuttamisesta varainhoitovuonna 2023, pääluokka X – Euroopan ulkosuhdehallinto</w:t>
      </w:r>
      <w:r w:rsidRPr="00690353">
        <w:t xml:space="preserve"> </w:t>
      </w:r>
      <w:r w:rsidR="00EB63AB" w:rsidRPr="00690353">
        <w:t>(2024/2024(DEC))</w:t>
      </w:r>
    </w:p>
    <w:p w14:paraId="74ADD2A5" w14:textId="77777777" w:rsidR="00EB63AB" w:rsidRPr="00690353" w:rsidRDefault="00EB63AB" w:rsidP="001B1F9B">
      <w:pPr>
        <w:pStyle w:val="EPComma"/>
        <w:widowControl/>
      </w:pPr>
      <w:r w:rsidRPr="00690353">
        <w:rPr>
          <w:i/>
        </w:rPr>
        <w:t>Euroopan parlamentti</w:t>
      </w:r>
      <w:r w:rsidRPr="00690353">
        <w:t>, joka</w:t>
      </w:r>
    </w:p>
    <w:p w14:paraId="593D4022" w14:textId="77777777" w:rsidR="001B1F9B" w:rsidRPr="001B1F9B" w:rsidRDefault="001B1F9B" w:rsidP="001B1F9B">
      <w:pPr>
        <w:pStyle w:val="NormalHanging12a"/>
        <w:widowControl/>
      </w:pPr>
      <w:r w:rsidRPr="001B1F9B">
        <w:t>–</w:t>
      </w:r>
      <w:r w:rsidRPr="001B1F9B">
        <w:tab/>
        <w:t>ottaa huomioon päätöksensä vastuuvapauden myöntämisestä Euroopan unionin yleisen talousarvion toteuttamisesta varainhoitovuonna 2023, pääluokka X – Euroopan ulkosuhdehallinto,</w:t>
      </w:r>
    </w:p>
    <w:p w14:paraId="1DD22D2C" w14:textId="77777777" w:rsidR="001B1F9B" w:rsidRPr="001B1F9B" w:rsidRDefault="001B1F9B" w:rsidP="001B1F9B">
      <w:pPr>
        <w:pStyle w:val="NormalHanging12a"/>
        <w:widowControl/>
      </w:pPr>
      <w:r w:rsidRPr="001B1F9B">
        <w:t>–</w:t>
      </w:r>
      <w:r w:rsidRPr="001B1F9B">
        <w:tab/>
        <w:t>ottaa huomioon työjärjestyksen 102 artiklan ja liitteen V,</w:t>
      </w:r>
    </w:p>
    <w:p w14:paraId="231BBC24" w14:textId="77777777" w:rsidR="001B1F9B" w:rsidRPr="001B1F9B" w:rsidRDefault="001B1F9B" w:rsidP="001B1F9B">
      <w:pPr>
        <w:pStyle w:val="NormalHanging12a"/>
        <w:widowControl/>
      </w:pPr>
      <w:r w:rsidRPr="001B1F9B">
        <w:t>–</w:t>
      </w:r>
      <w:r w:rsidRPr="001B1F9B">
        <w:tab/>
        <w:t>ottaa huomioon ulkoasiainvaliokunnan lausunnon,</w:t>
      </w:r>
    </w:p>
    <w:p w14:paraId="7A0D6BAB" w14:textId="77777777" w:rsidR="001B1F9B" w:rsidRPr="001B1F9B" w:rsidRDefault="001B1F9B" w:rsidP="001B1F9B">
      <w:pPr>
        <w:pStyle w:val="NormalHanging12a"/>
        <w:widowControl/>
      </w:pPr>
      <w:r w:rsidRPr="001B1F9B">
        <w:t>–</w:t>
      </w:r>
      <w:r w:rsidRPr="001B1F9B">
        <w:tab/>
        <w:t>ottaa huomioon talousarvion valvontavaliokunnan mietinnön (A10-0069/2025),</w:t>
      </w:r>
    </w:p>
    <w:p w14:paraId="6FE880F8" w14:textId="77777777" w:rsidR="001B1F9B" w:rsidRPr="001B1F9B" w:rsidRDefault="001B1F9B" w:rsidP="001B1F9B">
      <w:pPr>
        <w:pStyle w:val="NormalHanging12a"/>
        <w:widowControl/>
      </w:pPr>
      <w:r w:rsidRPr="001B1F9B">
        <w:t>A.</w:t>
      </w:r>
      <w:r w:rsidRPr="001B1F9B">
        <w:tab/>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p w14:paraId="45A8A20E" w14:textId="77777777" w:rsidR="001B1F9B" w:rsidRPr="001B1F9B" w:rsidRDefault="001B1F9B" w:rsidP="001B1F9B">
      <w:pPr>
        <w:pStyle w:val="NormalHanging12a"/>
        <w:widowControl/>
      </w:pPr>
      <w:r w:rsidRPr="001B1F9B">
        <w:t>B.</w:t>
      </w:r>
      <w:r w:rsidRPr="001B1F9B">
        <w:tab/>
        <w:t>ottaa huomioon, että Euroopan ulkosuhdehallinto, jäljempänä ’EUH ’, vastaa Brysselissä sijaitsevan päätoimipaikkansa hallintomenojen hallinnoinnista ja 144 unionin edustuston ja toimiston verkostosta;</w:t>
      </w:r>
    </w:p>
    <w:p w14:paraId="715DC594" w14:textId="77777777" w:rsidR="001B1F9B" w:rsidRPr="001B1F9B" w:rsidRDefault="001B1F9B" w:rsidP="001B1F9B">
      <w:pPr>
        <w:pStyle w:val="NormalHanging12a"/>
        <w:widowControl/>
      </w:pPr>
      <w:r w:rsidRPr="001B1F9B">
        <w:t>C.</w:t>
      </w:r>
      <w:r w:rsidRPr="001B1F9B">
        <w:tab/>
        <w:t xml:space="preserve">ottaa huomioon, että </w:t>
      </w:r>
      <w:proofErr w:type="spellStart"/>
      <w:r w:rsidRPr="001B1F9B">
        <w:t>EUH:n</w:t>
      </w:r>
      <w:proofErr w:type="spellEnd"/>
      <w:r w:rsidRPr="001B1F9B">
        <w:t xml:space="preserve"> vastuuta on laajennettu siten, että se kattaa myös edustustoissa työskentelevän komission henkilöstön hallinnoinnin useiden palvelutasojärjestelyjen avulla;</w:t>
      </w:r>
    </w:p>
    <w:p w14:paraId="3571BE72" w14:textId="77777777" w:rsidR="001B1F9B" w:rsidRPr="001B1F9B" w:rsidRDefault="001B1F9B" w:rsidP="001B1F9B">
      <w:pPr>
        <w:pStyle w:val="NormalHanging12a"/>
        <w:widowControl/>
      </w:pPr>
      <w:r w:rsidRPr="001B1F9B">
        <w:t>D.</w:t>
      </w:r>
      <w:r w:rsidRPr="001B1F9B">
        <w:tab/>
        <w:t>ottaa huomioon, että edustustojen tehtävänä on edustaa unionia ja sen kansalaisia ympäri maailmaa kehittämällä verkostoja ja kumppanuuksia sekä edistää unionin arvoja;</w:t>
      </w:r>
    </w:p>
    <w:p w14:paraId="67A3E2AB" w14:textId="77777777" w:rsidR="001B1F9B" w:rsidRPr="001B1F9B" w:rsidRDefault="001B1F9B" w:rsidP="001B1F9B">
      <w:pPr>
        <w:pStyle w:val="NormalHanging12a"/>
        <w:widowControl/>
      </w:pPr>
      <w:r w:rsidRPr="001B1F9B">
        <w:t>E.</w:t>
      </w:r>
      <w:r w:rsidRPr="001B1F9B">
        <w:tab/>
        <w:t xml:space="preserve">toteaa </w:t>
      </w:r>
      <w:proofErr w:type="spellStart"/>
      <w:r w:rsidRPr="001B1F9B">
        <w:t>EUH:n</w:t>
      </w:r>
      <w:proofErr w:type="spellEnd"/>
      <w:r w:rsidRPr="001B1F9B">
        <w:t xml:space="preserve"> säilyttäneen luontaisen ja alkuperäisen erityislaatunsa, joka syntyi, kun siihen koottiin neuvoston ja komission entisten ulkosuhteista vastaavien yksiköiden henkilöstöä ja jäsenvaltioiden diplomaatteja;</w:t>
      </w:r>
    </w:p>
    <w:p w14:paraId="153BB05C" w14:textId="77777777" w:rsidR="001B1F9B" w:rsidRPr="001B1F9B" w:rsidRDefault="001B1F9B" w:rsidP="001B1F9B">
      <w:pPr>
        <w:pStyle w:val="NormalHanging12a"/>
        <w:widowControl/>
      </w:pPr>
      <w:r w:rsidRPr="001B1F9B">
        <w:t>F.</w:t>
      </w:r>
      <w:r w:rsidRPr="001B1F9B">
        <w:tab/>
        <w:t xml:space="preserve">ottaa huomioon, että </w:t>
      </w:r>
      <w:proofErr w:type="spellStart"/>
      <w:r w:rsidRPr="001B1F9B">
        <w:t>EUH:n</w:t>
      </w:r>
      <w:proofErr w:type="spellEnd"/>
      <w:r w:rsidRPr="001B1F9B">
        <w:t xml:space="preserve"> sisäisten sääntöjen mukaan </w:t>
      </w:r>
      <w:proofErr w:type="spellStart"/>
      <w:r w:rsidRPr="001B1F9B">
        <w:t>EUH:n</w:t>
      </w:r>
      <w:proofErr w:type="spellEnd"/>
      <w:r w:rsidRPr="001B1F9B">
        <w:t xml:space="preserve"> pääsihteeri toimii sen valtuutettuna tulojen ja menojen hyväksyjänä ja resurssihallinnosta vastaava pääjohtaja toimii pääasiallisena </w:t>
      </w:r>
      <w:proofErr w:type="spellStart"/>
      <w:r w:rsidRPr="001B1F9B">
        <w:t>edelleenvaltuutettuna</w:t>
      </w:r>
      <w:proofErr w:type="spellEnd"/>
      <w:r w:rsidRPr="001B1F9B">
        <w:t xml:space="preserve"> tulojen ja menojen hyväksyjänä;</w:t>
      </w:r>
    </w:p>
    <w:p w14:paraId="2DE98507" w14:textId="77777777" w:rsidR="001B1F9B" w:rsidRPr="001B1F9B" w:rsidRDefault="001B1F9B" w:rsidP="001B1F9B">
      <w:pPr>
        <w:pStyle w:val="NormalHanging12a"/>
        <w:widowControl/>
      </w:pPr>
      <w:r w:rsidRPr="001B1F9B">
        <w:t>G.</w:t>
      </w:r>
      <w:r w:rsidRPr="001B1F9B">
        <w:tab/>
        <w:t xml:space="preserve">ottaa huomioon, että komission varapuheenjohtaja / unionin ulkoasioiden ja turvallisuuspolitiikan korkea edustaja, jäljempänä ’varapuheenjohtaja / korkea edustaja’, käyttää nimittävälle viranomaiselle henkilöstösäännöillä annettuja valtuuksia </w:t>
      </w:r>
      <w:proofErr w:type="spellStart"/>
      <w:r w:rsidRPr="001B1F9B">
        <w:t>EUH:n</w:t>
      </w:r>
      <w:proofErr w:type="spellEnd"/>
      <w:r w:rsidRPr="001B1F9B">
        <w:t xml:space="preserve"> henkilöstön osalta;</w:t>
      </w:r>
    </w:p>
    <w:p w14:paraId="72A11B95" w14:textId="77777777" w:rsidR="001B1F9B" w:rsidRPr="001B1F9B" w:rsidRDefault="001B1F9B" w:rsidP="001B1F9B">
      <w:pPr>
        <w:pStyle w:val="NormalHanging12a"/>
        <w:widowControl/>
      </w:pPr>
      <w:r w:rsidRPr="001B1F9B">
        <w:t>H.</w:t>
      </w:r>
      <w:r w:rsidRPr="001B1F9B">
        <w:tab/>
        <w:t xml:space="preserve">ottaa huomioon, että talousarvion toteuttamiseen sovelletaan varainhoitoasetusta ja </w:t>
      </w:r>
      <w:proofErr w:type="spellStart"/>
      <w:r w:rsidRPr="001B1F9B">
        <w:t>EUH:n</w:t>
      </w:r>
      <w:proofErr w:type="spellEnd"/>
      <w:r w:rsidRPr="001B1F9B">
        <w:t xml:space="preserve"> talousarvion toteuttamista koskevia sisäisiä sääntöjä;</w:t>
      </w:r>
    </w:p>
    <w:p w14:paraId="29AC0C41" w14:textId="77777777" w:rsidR="001B1F9B" w:rsidRPr="001B1F9B" w:rsidRDefault="001B1F9B" w:rsidP="001B1F9B">
      <w:pPr>
        <w:pStyle w:val="NormalHanging12a"/>
        <w:widowControl/>
      </w:pPr>
      <w:r w:rsidRPr="001B1F9B">
        <w:lastRenderedPageBreak/>
        <w:t>1.</w:t>
      </w:r>
      <w:r w:rsidRPr="001B1F9B">
        <w:tab/>
        <w:t xml:space="preserve">panee merkille, että </w:t>
      </w:r>
      <w:proofErr w:type="spellStart"/>
      <w:r w:rsidRPr="001B1F9B">
        <w:t>EUH:n</w:t>
      </w:r>
      <w:proofErr w:type="spellEnd"/>
      <w:r w:rsidRPr="001B1F9B">
        <w:t xml:space="preserve"> talousarvio kuuluu monivuotisen rahoituskehyksen otsakkeeseen 7 ”EU:n yleinen hallinto”, jonka määrä vuonna 2023 oli 12,3 miljardia euroa (eli 6,4 prosenttia unionin koko talousarviosta); panee merkille, että </w:t>
      </w:r>
      <w:proofErr w:type="spellStart"/>
      <w:r w:rsidRPr="001B1F9B">
        <w:t>EUH:n</w:t>
      </w:r>
      <w:proofErr w:type="spellEnd"/>
      <w:r w:rsidRPr="001B1F9B">
        <w:t xml:space="preserve"> noin 1,1 miljardin euron talousarvio on noin 9,2 prosenttia unionin kaikista hallintomenoista;</w:t>
      </w:r>
    </w:p>
    <w:p w14:paraId="485EED75" w14:textId="77777777" w:rsidR="001B1F9B" w:rsidRPr="001B1F9B" w:rsidRDefault="001B1F9B" w:rsidP="001B1F9B">
      <w:pPr>
        <w:pStyle w:val="NormalHanging12a"/>
        <w:widowControl/>
      </w:pPr>
      <w:r w:rsidRPr="001B1F9B">
        <w:t>2.</w:t>
      </w:r>
      <w:r w:rsidRPr="001B1F9B">
        <w:tab/>
        <w:t>toteaa, että varainhoitovuotta 2023 koskevassa vuosikertomuksessaan tilintarkastustuomioistuin tarkasti hallinnon alaan kuuluvan 70 tapahtuman otoksen eli kymmenen tapahtumaa enemmän kuin tarkastettiin vuonna 2022; toteaa tilintarkastustuomioistuimen myös kirjoittavan, että hallintomenoja ovat muun muassa henkilöstömenot ja eläkemenot, joiden osuus hallintomenojen kokonaismäärästä oli vuonna 2023 noin 70 prosenttia, ja lisäksi kiinteistöihin, laitteisiin, energiaan, viestintään ja tietotekniikkaan liittyvät menot ja että sen tarkastukset ovat jo useamman vuoden ajan osoittaneet, että hallintomenoissa riski on yleisesti ottaen alhainen;</w:t>
      </w:r>
    </w:p>
    <w:p w14:paraId="7CC88528" w14:textId="77777777" w:rsidR="001B1F9B" w:rsidRPr="001B1F9B" w:rsidRDefault="001B1F9B" w:rsidP="001B1F9B">
      <w:pPr>
        <w:pStyle w:val="NormalHanging12a"/>
        <w:widowControl/>
      </w:pPr>
      <w:r w:rsidRPr="001B1F9B">
        <w:t>3.</w:t>
      </w:r>
      <w:r w:rsidRPr="001B1F9B">
        <w:tab/>
        <w:t>panee merkille, että tarkastetuista 70 tapahtumasta 21 (30 prosenttia) sisälsi virheitä mutta että tilintarkastustuomioistuin arvioi kvantifioimiensa viiden virheen perusteella, että virhetaso oli alle olennaisuusrajan;</w:t>
      </w:r>
    </w:p>
    <w:p w14:paraId="33A93FB3" w14:textId="77777777" w:rsidR="001B1F9B" w:rsidRPr="001B1F9B" w:rsidRDefault="001B1F9B" w:rsidP="001B1F9B">
      <w:pPr>
        <w:pStyle w:val="NormalHanging12a"/>
        <w:widowControl/>
      </w:pPr>
      <w:r w:rsidRPr="001B1F9B">
        <w:t>4.</w:t>
      </w:r>
      <w:r w:rsidRPr="001B1F9B">
        <w:tab/>
        <w:t xml:space="preserve">panee huolestuneena merkille, että tilintarkastustuomioistuin havaitsi varainhoitovuotta 2023 koskevassa vuosikertomuksessaan </w:t>
      </w:r>
      <w:proofErr w:type="spellStart"/>
      <w:r w:rsidRPr="001B1F9B">
        <w:t>EUH:n</w:t>
      </w:r>
      <w:proofErr w:type="spellEnd"/>
      <w:r w:rsidRPr="001B1F9B">
        <w:t xml:space="preserve"> osalta kvantitatiivisesti ilmaistavissa olevan virheen yhdessä tutkimistaan 13 maksusta ja teki kuusi havaintoa, joita ei voida ilmaista kvantitatiivisesti; toteaa, että kvantitatiivisesti ilmaistavissa oleva virhe koski sitä, ettei pätevää hankintamenettelyä ollut toteutettu ennen vuokrasopimuksen tekemistä unionin edustustoa varten; toteaa, että vuonna 2023 EUH toteutti toimenpiteitä korjatakseen tilintarkastustuomioistuimen vuoden 2022 vuosikertomuksessaan havaitsemat kaksi kvantitatiivisesti ilmaistavissa olevaa virhettä ja toteutti toimenpiteitä, jotta tällaiset ongelmat vältettäisiin tulevaisuudessa;</w:t>
      </w:r>
    </w:p>
    <w:p w14:paraId="7EFD8CB7" w14:textId="77777777" w:rsidR="001B1F9B" w:rsidRPr="001B1F9B" w:rsidRDefault="001B1F9B" w:rsidP="004B6813">
      <w:pPr>
        <w:pStyle w:val="NormalHanging12a"/>
        <w:keepNext/>
        <w:widowControl/>
        <w:ind w:left="0" w:firstLine="0"/>
        <w:rPr>
          <w:b/>
          <w:iCs/>
        </w:rPr>
      </w:pPr>
      <w:r w:rsidRPr="001B1F9B">
        <w:rPr>
          <w:b/>
          <w:iCs/>
        </w:rPr>
        <w:t>Talousarvio- ja varainhallinto</w:t>
      </w:r>
    </w:p>
    <w:p w14:paraId="600C4EC0" w14:textId="77777777" w:rsidR="001B1F9B" w:rsidRPr="001B1F9B" w:rsidRDefault="001B1F9B" w:rsidP="001B1F9B">
      <w:pPr>
        <w:pStyle w:val="NormalHanging12a"/>
        <w:widowControl/>
      </w:pPr>
      <w:r w:rsidRPr="001B1F9B">
        <w:t>5.</w:t>
      </w:r>
      <w:r w:rsidRPr="001B1F9B">
        <w:tab/>
        <w:t xml:space="preserve">toteaa, että </w:t>
      </w:r>
      <w:proofErr w:type="spellStart"/>
      <w:r w:rsidRPr="001B1F9B">
        <w:t>EUH:n</w:t>
      </w:r>
      <w:proofErr w:type="spellEnd"/>
      <w:r w:rsidRPr="001B1F9B">
        <w:t xml:space="preserve"> lopullinen talousarvio vuodeksi 2023 oli 821 900 280 euroa, mikä merkitsee 4,45 prosentin lisäystä vuoteen 2022 verrattuna; toteaa, että lisäksi EUH käytti komissiolta saadun 259,7 miljoonan euron määrän (joka sisälsi myös käyttötarkoitukseensa sidottuja tuloja ja edelliseltä varainhoitovuodelta siirrettyjä määriä) kattaakseen unionin edustustoissa työskentelevän komission henkilöstön hallintokulut; toteaa myös, että EUH sai kiinteämääräisiä lisärahoitusosuuksia Euroopan kehitysrahaston henkilöstön yhteisten kustannusten kattamiseksi edustustoissa ja yhteistiloissa sekä muita tilojen yhteiskäyttösopimusten ja muiden sopimusten perusteella saatuja määriä; panee merkille, että </w:t>
      </w:r>
      <w:proofErr w:type="spellStart"/>
      <w:r w:rsidRPr="001B1F9B">
        <w:t>EUH:n</w:t>
      </w:r>
      <w:proofErr w:type="spellEnd"/>
      <w:r w:rsidRPr="001B1F9B">
        <w:t xml:space="preserve"> vuonna 2023 hallinnoimien määrärahojen kokonaismäärä oli siten 1 198,2 miljoonaa euroa (maksusitoumusmäärärahat), mikä merkitsi 4,8 prosentin lisäystä edelliseen vuoteen verrattuna;</w:t>
      </w:r>
    </w:p>
    <w:p w14:paraId="533608C5" w14:textId="77777777" w:rsidR="001B1F9B" w:rsidRPr="001B1F9B" w:rsidRDefault="001B1F9B" w:rsidP="001B1F9B">
      <w:pPr>
        <w:pStyle w:val="NormalHanging12a"/>
        <w:widowControl/>
      </w:pPr>
      <w:r w:rsidRPr="001B1F9B">
        <w:t>6.</w:t>
      </w:r>
      <w:r w:rsidRPr="001B1F9B">
        <w:tab/>
        <w:t xml:space="preserve">panee merkille, että vuonna 2023 talousarvion maksusitoumusmäärärahojen toteuttamisaste oli 100 prosenttia ja maksumäärärahojen toteuttamisaste 91,9 prosenttia verrattuna 90,6 prosenttiin vuonna 2022; panee merkille, että keskimääräinen maksuaika oli 13,57 päivää, mutta toteaa kuitenkin, että 8,63 prosenttia kokonaismäärästä maksettiin myöhässä, mistä aiheutui 50 253,91 euron verran viivästyskorkoja vuonna 2023; kehottaa </w:t>
      </w:r>
      <w:proofErr w:type="spellStart"/>
      <w:r w:rsidRPr="001B1F9B">
        <w:t>EUH:ta</w:t>
      </w:r>
      <w:proofErr w:type="spellEnd"/>
      <w:r w:rsidRPr="001B1F9B">
        <w:t xml:space="preserve"> maksamaan sitoumuksensa ajoissa; kehottaa </w:t>
      </w:r>
      <w:proofErr w:type="spellStart"/>
      <w:r w:rsidRPr="001B1F9B">
        <w:t>EUH:ta</w:t>
      </w:r>
      <w:proofErr w:type="spellEnd"/>
      <w:r w:rsidRPr="001B1F9B">
        <w:t xml:space="preserve"> jatkamaan toimia sähköisten maksujen lisäämiseksi ja työnkulun digitalisoinnin parantamiseksi, etenkin edustustoissa;</w:t>
      </w:r>
    </w:p>
    <w:p w14:paraId="5AFB526B" w14:textId="77777777" w:rsidR="001B1F9B" w:rsidRPr="001B1F9B" w:rsidRDefault="001B1F9B" w:rsidP="001B1F9B">
      <w:pPr>
        <w:pStyle w:val="NormalHanging12a"/>
        <w:widowControl/>
      </w:pPr>
      <w:r w:rsidRPr="001B1F9B">
        <w:lastRenderedPageBreak/>
        <w:t>7.</w:t>
      </w:r>
      <w:r w:rsidRPr="001B1F9B">
        <w:tab/>
        <w:t xml:space="preserve">panee merkille, että EUH ilmoitti budjettivallan käyttäjälle kahdesta varainhoitoasetuksen 29 artiklan 1 kohdan mukaisesta määrärahasiirrosta ja teki yksitoista 29 artiklan 4 kohdan mukaista itsenäistä määrärahasiirtoa, joiden kokonaisarvo oli 55,7 miljoonaa euroa; toteaa, että määrärahasiirtojen päätarkoituksena oli lisätä kiinteistöihin ja niihin liittyviin kuluihin edustustoissa tarkoitetun budjettikohdan 3 0 0 3 määrärahoja 18,97 miljoonalla eurolla ja ulkopuoliseen henkilöstöön ja ulkoisiin palveluihin edustustoissa tarkoitetun budjettikohdan 3 0 0 1 määrärahoja 5,6 miljoonalla eurolla; panee merkille, että siirtojen jälkeen </w:t>
      </w:r>
      <w:proofErr w:type="spellStart"/>
      <w:r w:rsidRPr="001B1F9B">
        <w:t>EUH:n</w:t>
      </w:r>
      <w:proofErr w:type="spellEnd"/>
      <w:r w:rsidRPr="001B1F9B">
        <w:t xml:space="preserve"> päätoimipaikan lopullinen talousarvio oli 327,8 miljoonaa euroa ja edustustojen lopullinen talousarvio 494,1 miljoonaa euroa;</w:t>
      </w:r>
    </w:p>
    <w:p w14:paraId="7695BF70" w14:textId="77777777" w:rsidR="001B1F9B" w:rsidRPr="001B1F9B" w:rsidRDefault="001B1F9B" w:rsidP="001B1F9B">
      <w:pPr>
        <w:pStyle w:val="NormalHanging12a"/>
        <w:widowControl/>
      </w:pPr>
      <w:r w:rsidRPr="001B1F9B">
        <w:t>8.</w:t>
      </w:r>
      <w:r w:rsidRPr="001B1F9B">
        <w:tab/>
        <w:t xml:space="preserve">toteaa, että vuonna 2023 EUH kohtasi kasvavia poliittisia ja rahoitukseen liittyviä haasteita sekä haasteita ihmisoikeuksien ja oikeusvaltion alalla; huomauttaa, että Venäjän hyökkäyssota Ukrainaa vastaan ja sen geopoliittiset seuraukset olivat vuonna 2023 edelleen keskeinen kysymys, jonka vuoksi EUH pyrki varmistamaan laaja-alaisen tuen Ukrainalle, painostamaan Venäjää ja jatkamaan maailmanlaajuisia tunnustelujaan sodan laajempien seurausten käsittelemiseksi, myös Venäjän Ukrainaan kohdistaman hyökkäyksen geopoliittisia seurauksia koskevan toimintasuunnitelman täytäntöönpanon avulla; panee merkille </w:t>
      </w:r>
      <w:proofErr w:type="spellStart"/>
      <w:r w:rsidRPr="001B1F9B">
        <w:t>EUH:n</w:t>
      </w:r>
      <w:proofErr w:type="spellEnd"/>
      <w:r w:rsidRPr="001B1F9B">
        <w:t xml:space="preserve"> roolin todisteiden keräämisessä sellaisia EU:n pakotteiden kohteena olevia, Venäjän valtion tukemia tiedotusvälineitä ja yksityishenkilöitä vastaan, jotka levittävät disinformaatiota ja manipuloivat tietoa Venäjän hyökkäyssodan oikeuttamiseksi; korostaa tarvetta osoittaa </w:t>
      </w:r>
      <w:proofErr w:type="spellStart"/>
      <w:r w:rsidRPr="001B1F9B">
        <w:t>EUH:n</w:t>
      </w:r>
      <w:proofErr w:type="spellEnd"/>
      <w:r w:rsidRPr="001B1F9B">
        <w:t xml:space="preserve"> strategisen viestinnän ja ennakoinnin osastolle riittävästi resursseja, jotta se voi torjua tehokkaasti disinformaatiokampanjoita, joita autoritaariset ja epäliberaalit hallinnot käyttävät strategisina työkaluina; kehottaa </w:t>
      </w:r>
      <w:proofErr w:type="spellStart"/>
      <w:r w:rsidRPr="001B1F9B">
        <w:t>EUH:ta</w:t>
      </w:r>
      <w:proofErr w:type="spellEnd"/>
      <w:r w:rsidRPr="001B1F9B">
        <w:t xml:space="preserve"> vahvistamaan unionin edustustoja itäisen kumppanuuden maissa, jotta voidaan tukea niitä maita, joihin Venäjän sotilaallinen hyökkäys Ukrainaa vastaan on vaikuttanut suuresti; panee merkille, että varapuheenjohtajan / korkean edustajan alaisuudessa hallinnoidun Euroopan rauhanrahaston rahoituksen enimmäismäärää korotettiin 5,6 miljoonasta eurosta yli 12 miljoonaan euroon vuonna 2023; kehottaa </w:t>
      </w:r>
      <w:proofErr w:type="spellStart"/>
      <w:r w:rsidRPr="001B1F9B">
        <w:t>EUH:ta</w:t>
      </w:r>
      <w:proofErr w:type="spellEnd"/>
      <w:r w:rsidRPr="001B1F9B">
        <w:t xml:space="preserve"> tekemään yhteistyötä laajentumisasioiden ja itäisten naapurialueiden pääosaston (ENEST) kanssa, jotta varmistetaan rauhanrahastosta rahoitettujen hankkeiden tuloksellinen valvonta ja seuranta; huomauttaa, että Hamasin 7. lokakuuta 2023 tekemän iskun jälkeen uudelleen liekkeihin leimahtaneen Israelin ja Palestiinan välisen konfliktin vuoksi </w:t>
      </w:r>
      <w:proofErr w:type="spellStart"/>
      <w:r w:rsidRPr="001B1F9B">
        <w:t>EUH:n</w:t>
      </w:r>
      <w:proofErr w:type="spellEnd"/>
      <w:r w:rsidRPr="001B1F9B">
        <w:t xml:space="preserve"> oli tehtävä tiiviitä diplomaattisia tunnusteluja, kannustettava unionin toimielimiä vetoamaan liennytyksen puolesta alueella, vastattava humanitaarisiin tarpeisiin ja tuettava alueellisia rauhanponnisteluja; korostaa, että unionin ja </w:t>
      </w:r>
      <w:proofErr w:type="spellStart"/>
      <w:r w:rsidRPr="001B1F9B">
        <w:t>EUH:n</w:t>
      </w:r>
      <w:proofErr w:type="spellEnd"/>
      <w:r w:rsidRPr="001B1F9B">
        <w:t xml:space="preserve"> avun on oltava alueen laajempien ihmisoikeus- ja rauhantavoitteiden mukaista ja että käytössä on oltava vahvat suojatoimet sen varmistamiseksi, että varoilla ei suoraan tai välillisesti tueta terroristista tai väkivaltaista toimintaa; korostaa, että unionin rahoitusta Gazan jälleenrakentamiseen olisi alettava antaa vasta, kun kaikki Hamasin ottamat panttivangit on vapautettu; korostaa avoimuuden merkitystä rahoitusvarojen kohdentamisessa kolmansissa maissa, jotta voidaan varmistaa vastuuvelvollisuus unionin talousarvion ja uusien rahoitusvälineiden käytössä;</w:t>
      </w:r>
    </w:p>
    <w:p w14:paraId="69DE3375" w14:textId="77777777" w:rsidR="001B1F9B" w:rsidRPr="001B1F9B" w:rsidRDefault="001B1F9B" w:rsidP="001B1F9B">
      <w:pPr>
        <w:pStyle w:val="NormalHanging12a"/>
        <w:widowControl/>
      </w:pPr>
      <w:r w:rsidRPr="001B1F9B">
        <w:t>9.</w:t>
      </w:r>
      <w:r w:rsidRPr="001B1F9B">
        <w:rPr>
          <w:b/>
          <w:i/>
        </w:rPr>
        <w:tab/>
      </w:r>
      <w:r w:rsidRPr="001B1F9B">
        <w:t xml:space="preserve">kehottaa </w:t>
      </w:r>
      <w:proofErr w:type="spellStart"/>
      <w:r w:rsidRPr="001B1F9B">
        <w:t>EUH:ta</w:t>
      </w:r>
      <w:proofErr w:type="spellEnd"/>
      <w:r w:rsidRPr="001B1F9B">
        <w:t xml:space="preserve"> tekemään tiiviisti yhteistyötä komission kanssa sen varmistamiseksi, että Romanian kansallisaarteiden samoin kuin muiden jäsenvaltioiden kansallisperinnön täysimääräinen palauttaminen on esillä kaikissa mahdollisissa tulevissa toimissa, jotka liittyvät Venäjän federaatioon;</w:t>
      </w:r>
    </w:p>
    <w:p w14:paraId="0C68EE71" w14:textId="77777777" w:rsidR="001B1F9B" w:rsidRPr="001B1F9B" w:rsidRDefault="001B1F9B" w:rsidP="001B1F9B">
      <w:pPr>
        <w:pStyle w:val="NormalHanging12a"/>
        <w:widowControl/>
        <w:rPr>
          <w:bCs/>
        </w:rPr>
      </w:pPr>
      <w:r w:rsidRPr="001B1F9B">
        <w:lastRenderedPageBreak/>
        <w:t>10.</w:t>
      </w:r>
      <w:r w:rsidRPr="001B1F9B">
        <w:tab/>
        <w:t xml:space="preserve">palauttaa mieliin, että on esitetty väitteitä Gazassa olevien UNRWA:n työntekijöiden osallisuudesta Hamasin Israelia vastaan 7. lokakuuta 2023 tekemiin terrori-iskuihin; toteaa, että näiden väitteiden johdosta UNRWA irtisanoi virallisesti yhdeksän henkilöstön jäsenen työsopimukset; painottaa, että komissio on työskennellyt yhdessä UNRWA:n kanssa parantaakseen valvontajärjestelmiä YK:n sisäisen tarkastusviraston (OIOS) suositusten mukaisesti, mukaan lukien henkilöstön seulonta sekä sisäisten tutkintapuitteiden ja eettisten toimintapuitteiden lujittaminen; korostaa, että parlamentin toistuvasti esille ottamien unionin rahoituksen väärinkäyttöä koskevien huolenaiheiden perusteella millään unionin avulla ei missään olosuhteissa saisi rahoittaa terrorismia; kehottaa jatkuvaan valppauteen, kun varmistetaan, ettei veronmaksajien rahoja käytetä väärin; korostaa valvonnan merkitystä siinä, että voidaan varmistaa, että unionin varojen saajat noudattavat unionin sääntöjä ja kansainvälistä oikeutta, sekä tarvetta tehostaa toimenpiteitä unionin rahoitustuen väärinkäytön estämiseksi; kannustaa </w:t>
      </w:r>
      <w:proofErr w:type="spellStart"/>
      <w:r w:rsidRPr="001B1F9B">
        <w:t>EUH:ta</w:t>
      </w:r>
      <w:proofErr w:type="spellEnd"/>
      <w:r w:rsidRPr="001B1F9B">
        <w:t xml:space="preserve"> lujittamaan toimia unionin rahoituksen turvaamiseksi ja seuraamaan komission jäsenen </w:t>
      </w:r>
      <w:proofErr w:type="spellStart"/>
      <w:r w:rsidRPr="001B1F9B">
        <w:t>Várhelyin</w:t>
      </w:r>
      <w:proofErr w:type="spellEnd"/>
      <w:r w:rsidRPr="001B1F9B">
        <w:t xml:space="preserve"> ja UNRWA:n päävaltuutetun </w:t>
      </w:r>
      <w:proofErr w:type="spellStart"/>
      <w:r w:rsidRPr="001B1F9B">
        <w:t>Lazzarinin</w:t>
      </w:r>
      <w:proofErr w:type="spellEnd"/>
      <w:r w:rsidRPr="001B1F9B">
        <w:t xml:space="preserve"> välillä huhtikuussa 2024 tehdyssä sopimuksessa kuvattujen välitavoitteiden täytäntöönpanoa ja toteaa, että kyseisessä sopimuksessa on määräyksiä unionin tarkastusten toteuttamisesta ja sisäisen valvonnan vahvistamisesta UNRWA:ssa; painottaa, että palestiinalaishallinnon on mukautettava kaikki oppimateriaalit Unescon normeihin ja erityisesti poistettava kaikki sisältö, joka sisältää antisemitismiä tai väkivaltaan yllyttämistä; korostaa, että unionin rahoitustukea palestiinalaishallinnolle koulutuksen alalla olisi annettava sillä ehdolla, että näitä normeja noudatetaan; kannustaa </w:t>
      </w:r>
      <w:proofErr w:type="spellStart"/>
      <w:r w:rsidRPr="001B1F9B">
        <w:t>EUH:ta</w:t>
      </w:r>
      <w:proofErr w:type="spellEnd"/>
      <w:r w:rsidRPr="001B1F9B">
        <w:t xml:space="preserve"> tukemaan diplomaattisia ponnisteluja kokonaisvaltaisen ja kestävän ratkaisun löytämiseksi Israelin ja Palestiinan konfliktiin ja tiedottamaan parlamentille mahdollisesta kehityksestä unionin yhteistyössä palestiinalaishallinnon kanssa;</w:t>
      </w:r>
    </w:p>
    <w:p w14:paraId="30901DD9" w14:textId="77777777" w:rsidR="001B1F9B" w:rsidRPr="001B1F9B" w:rsidRDefault="001B1F9B" w:rsidP="001B1F9B">
      <w:pPr>
        <w:pStyle w:val="NormalHanging12a"/>
        <w:widowControl/>
      </w:pPr>
      <w:r w:rsidRPr="001B1F9B">
        <w:t>11.</w:t>
      </w:r>
      <w:r w:rsidRPr="001B1F9B">
        <w:tab/>
        <w:t xml:space="preserve">huomauttaa, että vuonna 2023 EUH ilmoitti merkittävistä talousarviorajoitteista ja se joutui tekemään rajuja leikkauksia ja optimoimaan talousarviotaan voidakseen selviytyä inflaatiosta kolmansissa maissa, paikallisten valuuttojen heilahteluista sekä hintojen noususta, joka vaikutti erityisesti toimistotilojen vuokriin sekä tietotekniikka- ja turvallisuuspalvelujen ja energian hintoihin, ja toteaa, että tämä nosti selvästi </w:t>
      </w:r>
      <w:proofErr w:type="spellStart"/>
      <w:r w:rsidRPr="001B1F9B">
        <w:t>EUH:n</w:t>
      </w:r>
      <w:proofErr w:type="spellEnd"/>
      <w:r w:rsidRPr="001B1F9B">
        <w:t xml:space="preserve"> toimintakustannuksia kolmansissa maissa ja vaikutti siten sen kykyyn toimia tehokkaasti ja täyttää huolenpitovelvollisuutensa edustustoihin lähetettyä henkilöstöään kohtaan; pitää valitettavana, että talousarviopaineiden vuoksi EUH lykkäsi infrastruktuurin huoltoa, siirsi varaukseen tai perui turvallisuusmenoja edustustoissa ja teki leikkauksia talousarviossa hyväksyttyihin toimiin, kuten leikkauksia virkamatka- ja edustusmenoihin, toimistotarvikkeisiin ja valmennuskursseihin; pitää valitettavana, että talousarviosyistä EUH joutui priorisoimaan henkilöstön vaalitarkkailuvaltuuskuntiin osallistumisen muun tyyppisiin valtuuskuntamatkoihin, kuten seurantavaltuuskuntiin, nähden; korostaa, että on välttämätöntä perustaa EU:n ulkoasiainhallinto;</w:t>
      </w:r>
    </w:p>
    <w:p w14:paraId="23D5DB89" w14:textId="77777777" w:rsidR="001B1F9B" w:rsidRPr="001B1F9B" w:rsidRDefault="001B1F9B" w:rsidP="001B1F9B">
      <w:pPr>
        <w:pStyle w:val="NormalHanging12a"/>
        <w:widowControl/>
        <w:rPr>
          <w:b/>
          <w:i/>
        </w:rPr>
      </w:pPr>
      <w:r w:rsidRPr="001B1F9B">
        <w:t>12.</w:t>
      </w:r>
      <w:r w:rsidRPr="001B1F9B">
        <w:tab/>
        <w:t xml:space="preserve">panee merkille, että vuonna 2023 EUH käynnisti </w:t>
      </w:r>
      <w:proofErr w:type="spellStart"/>
      <w:r w:rsidRPr="001B1F9B">
        <w:t>EUH:n</w:t>
      </w:r>
      <w:proofErr w:type="spellEnd"/>
      <w:r w:rsidRPr="001B1F9B">
        <w:t xml:space="preserve"> päätoimipaikassa ja edustustoissa yhteensä 28 avointa julkista hankintamenettelyä, 27 tarjousperusteista neuvottelumenettelyä, 14 neuvottelumenettelyä, joista ei ilmoitettu ennakolta, kuusi rajoitettua menettelyä ja kaksi neuvottelumenettelyä arvoltaan keskisuuria rakennusurakkasopimuksia varten, ja toteaa, että menettelyt olivat tuloksellisia ja johtivat sopimuksen tekemiseen keskimäärin 52 prosentissa tapauksista; huomauttaa, että unionin hankintasääntöjen korkea vaatimustaso ja monimutkaisuus saattavat olla yksi syy epäonnistuneiden hankintamenettelyjen verrattain suureen lukumäärään, sillä näiden sääntöjen soveltaminen voi olla haastavaa tarjoajille etenkin kolmansissa maissa; pyytää </w:t>
      </w:r>
      <w:proofErr w:type="spellStart"/>
      <w:r w:rsidRPr="001B1F9B">
        <w:t>EUH:ta</w:t>
      </w:r>
      <w:proofErr w:type="spellEnd"/>
      <w:r w:rsidRPr="001B1F9B">
        <w:t xml:space="preserve"> selvittämään syyt epäonnistuneiden hankintamenettelyjen verrattain </w:t>
      </w:r>
      <w:r w:rsidRPr="001B1F9B">
        <w:lastRenderedPageBreak/>
        <w:t xml:space="preserve">suureen lukumäärään ja ehdottamaan ratkaisuja niiden tehokkaan täytäntöönpanon varmistamiseksi niin, että samalla pidetään kiinni unionin asettamista vaatimuksista; pitää valitettavana, että hankintasääntöjä on ulkoisten toimien osalta yksinkertaistettu varainhoitoasetuksen uudelleenlaatimisen yhteydessä; korostaa, että hankintasääntöjen tarkoituksena on varmistaa, että rahoitetuissa hankkeissa noudatetaan tiukkoja vaatimuksia eivätkä ne ole alttiita petoksille; kehottaa </w:t>
      </w:r>
      <w:proofErr w:type="spellStart"/>
      <w:r w:rsidRPr="001B1F9B">
        <w:t>EUH:ta</w:t>
      </w:r>
      <w:proofErr w:type="spellEnd"/>
      <w:r w:rsidRPr="001B1F9B">
        <w:t xml:space="preserve"> tavoittelemaan aina mahdollisimman korkeaa valvonnan tasoa kaikissa tarjouskilpailumenettelyissä; katsoo, että unionin hankintasääntöjen tiukan vaatimustason heikko tuntemus kolmansissa maissa ei saisi koskaan olla tekosyynä tai verukkeena sille, että rimaa lasketaan;</w:t>
      </w:r>
    </w:p>
    <w:p w14:paraId="5E53D81B" w14:textId="77777777" w:rsidR="001B1F9B" w:rsidRPr="001B1F9B" w:rsidRDefault="001B1F9B" w:rsidP="001B1F9B">
      <w:pPr>
        <w:pStyle w:val="NormalHanging12a"/>
        <w:widowControl/>
      </w:pPr>
      <w:r w:rsidRPr="001B1F9B">
        <w:t>13.</w:t>
      </w:r>
      <w:r w:rsidRPr="001B1F9B">
        <w:tab/>
        <w:t xml:space="preserve">on ilahtunut siitä, että jäsenvaltioiden ja muiden unionin kumppanien kanssa jaettujen yhteistilojen lukumäärä unionin edustustoissa oli 138 vuoden 2023 lopussa eli 12 enemmän kuin vuonna 2022; panee merkille, että yhteistilojen kokonaismäärästä vuonna 2023 kaikkiaan 42 sopimusta oli tehty jäsenvaltioiden ja kumppanimaiden kanssa ja 91 muiden unionin kumppanien kanssa ja viisi oli käänteisiä yhteistilasopimuksia; panee merkille, että vuonna 2023 yhteistilat muodostivat kahdeksan prosenttia unionin edustustojen koko toimistopinta-alasta ja käsittivät yli puolet unionin edustustoista (75), mitä voidaan pitää esimerkkinä </w:t>
      </w:r>
      <w:proofErr w:type="spellStart"/>
      <w:r w:rsidRPr="001B1F9B">
        <w:t>EUH:n</w:t>
      </w:r>
      <w:proofErr w:type="spellEnd"/>
      <w:r w:rsidRPr="001B1F9B">
        <w:t xml:space="preserve"> kiinteistöhallinnon onnistuneesta optimoinnista mutta myös osoituksena kumppanien kasvavasta kiinnostuksesta toimitilojen yhteiskäyttöä kohtaan kolmansissa maissa ja yhteistilojen merkityksestä diplomaattisissa asioissa;</w:t>
      </w:r>
    </w:p>
    <w:p w14:paraId="51966CA2" w14:textId="77777777" w:rsidR="001B1F9B" w:rsidRPr="001B1F9B" w:rsidRDefault="001B1F9B" w:rsidP="001B1F9B">
      <w:pPr>
        <w:pStyle w:val="NormalHanging12a"/>
        <w:widowControl/>
        <w:rPr>
          <w:bCs/>
          <w:iCs/>
        </w:rPr>
      </w:pPr>
      <w:r w:rsidRPr="001B1F9B">
        <w:t>14.</w:t>
      </w:r>
      <w:r w:rsidRPr="001B1F9B">
        <w:tab/>
        <w:t xml:space="preserve">panee merkille, että virkamatkojen talousarvio oli 18 948 650 euroa vuonna 2023, mikä merkitsee hienoista 1,46 prosentin lisäystä edelliseen vuoteen verrattuna, ja toteaa, että lisäyksen tarkoituksena oli kompensoida inflaatiosta johtunut kustannusten nousu mutta se ei ollut riittävä suhteessa matkakulujen tosiasialliseen kasvuun vuonna 2023; pitää valitettavana, että </w:t>
      </w:r>
      <w:proofErr w:type="spellStart"/>
      <w:r w:rsidRPr="001B1F9B">
        <w:t>EUH:lla</w:t>
      </w:r>
      <w:proofErr w:type="spellEnd"/>
      <w:r w:rsidRPr="001B1F9B">
        <w:t xml:space="preserve"> ei ole erillistä budjettikohtaa varapuheenjohtajan / korkean edustajan virkamatkoja varten ja että varapuheenjohtajan / korkean edustajan matkakustannukset jaetaan </w:t>
      </w:r>
      <w:proofErr w:type="spellStart"/>
      <w:r w:rsidRPr="001B1F9B">
        <w:t>EUH:n</w:t>
      </w:r>
      <w:proofErr w:type="spellEnd"/>
      <w:r w:rsidRPr="001B1F9B">
        <w:t xml:space="preserve"> ja komission kesken matkan tarkoituksesta riippuen; toteaa vielä, että vuonna 2023 </w:t>
      </w:r>
      <w:proofErr w:type="spellStart"/>
      <w:r w:rsidRPr="001B1F9B">
        <w:t>EUH:n</w:t>
      </w:r>
      <w:proofErr w:type="spellEnd"/>
      <w:r w:rsidRPr="001B1F9B">
        <w:t xml:space="preserve"> kustannukset varapuheenjohtajan / korkean edustajan kuudesta virkamatkasta olivat 2 995,14 euroa ja lentotaksikustannukset 288 145 euroa, mikä merkitsee 51 prosentin vähennystä verrattuna vuoteen 2022, jolloin lentotaksikustannukset olivat 588 103 euroa; korostaa, että unionin toimielinten johtajien olisi näytettävä hyvää esimerkkiä yleisölle ja kansalaisille, etenkin kun he käyttävät unionin resursseja tehtäviensä hoitamiseen; korostaa, että lentovaihtoehdot olisi valittava moitteettoman varainhoidon kriteerien mukaisesti edellyttäen, että tällaisia vaihtoehtoja on saatavilla, ja kokousten asialista ja kokouspaikka huomioon ottaen; korostaa, että avoimuus ja moitteeton varainhoito unionin julkisten varojen käytössä on säilytettävä unionin kaikkien toimielinten keskeisenä periaatteena;</w:t>
      </w:r>
    </w:p>
    <w:p w14:paraId="12D2611D" w14:textId="77777777" w:rsidR="001B1F9B" w:rsidRPr="001B1F9B" w:rsidRDefault="001B1F9B" w:rsidP="001B1F9B">
      <w:pPr>
        <w:pStyle w:val="NormalHanging12a"/>
        <w:widowControl/>
      </w:pPr>
      <w:r w:rsidRPr="001B1F9B">
        <w:t>15.</w:t>
      </w:r>
      <w:r w:rsidRPr="001B1F9B">
        <w:tab/>
        <w:t xml:space="preserve">painottaa, että leikkaukset saattavat vaikuttaa kielteisesti ulkosuhteiden välineiden, kuten naapuruus-, kehitys- ja kansainvälisen yhteistyön välineen – Globaali Eurooppa (NDICI – Globaali Eurooppa) ja Global </w:t>
      </w:r>
      <w:proofErr w:type="spellStart"/>
      <w:r w:rsidRPr="001B1F9B">
        <w:t>Gatewayn</w:t>
      </w:r>
      <w:proofErr w:type="spellEnd"/>
      <w:r w:rsidRPr="001B1F9B">
        <w:t xml:space="preserve"> täytäntöönpanoon; korostaa tarvetta osoittaa </w:t>
      </w:r>
      <w:proofErr w:type="spellStart"/>
      <w:r w:rsidRPr="001B1F9B">
        <w:t>EUH:n</w:t>
      </w:r>
      <w:proofErr w:type="spellEnd"/>
      <w:r w:rsidRPr="001B1F9B">
        <w:t xml:space="preserve"> strategisen viestinnän ja ennakoinnin osastolle riittävästi resursseja, jotta se voi jatkossakin torjua tehokkaasti disinformaatiokampanjoita, joita autoritaariset ja epäliberaalit hallinnot käyttävät strategisina työkaluina; pitää tässä yhteydessä myönteisenä ilmoitusta strategisen viestinnän ja tiedonmanipuloinnin torjunnan työryhmän perustamisesta komission viestinnän pääosastoon;</w:t>
      </w:r>
    </w:p>
    <w:p w14:paraId="2BE45C58" w14:textId="77777777" w:rsidR="001B1F9B" w:rsidRPr="001B1F9B" w:rsidRDefault="001B1F9B" w:rsidP="001B1F9B">
      <w:pPr>
        <w:pStyle w:val="NormalHanging12a"/>
        <w:widowControl/>
      </w:pPr>
      <w:r w:rsidRPr="001B1F9B">
        <w:t>16.</w:t>
      </w:r>
      <w:r w:rsidRPr="001B1F9B">
        <w:tab/>
        <w:t xml:space="preserve">vaatii lisää määrärahoja yhteisen ulko- ja turvallisuuspolitiikan (YUTP) toimiin ja muihin sopiviin rauhaa sekä konfliktin- ja kriisinhallintaa koskeviin välineisiin sekä </w:t>
      </w:r>
      <w:r w:rsidRPr="001B1F9B">
        <w:lastRenderedPageBreak/>
        <w:t>tietotekniikka- ja turvallisuusprotokolliin, jotta unionin toiminta ja valmiudet saadaan täysin nykyisten maailmanlaajuisten haasteiden ja konfliktien edellyttämälle tasolle;</w:t>
      </w:r>
    </w:p>
    <w:p w14:paraId="72B76865" w14:textId="77777777" w:rsidR="001B1F9B" w:rsidRPr="001B1F9B" w:rsidRDefault="001B1F9B" w:rsidP="004B6813">
      <w:pPr>
        <w:pStyle w:val="NormalHanging12a"/>
        <w:keepNext/>
        <w:widowControl/>
        <w:ind w:left="0" w:firstLine="0"/>
        <w:rPr>
          <w:b/>
          <w:iCs/>
        </w:rPr>
      </w:pPr>
      <w:r w:rsidRPr="001B1F9B">
        <w:rPr>
          <w:b/>
          <w:iCs/>
        </w:rPr>
        <w:t>Sisäinen hallinto, toiminnan tuloksellisuus ja sisäinen valvonta</w:t>
      </w:r>
    </w:p>
    <w:p w14:paraId="012CCF06" w14:textId="77777777" w:rsidR="001B1F9B" w:rsidRPr="001B1F9B" w:rsidRDefault="001B1F9B" w:rsidP="001B1F9B">
      <w:pPr>
        <w:pStyle w:val="NormalHanging12a"/>
        <w:widowControl/>
      </w:pPr>
      <w:r w:rsidRPr="001B1F9B">
        <w:t>17.</w:t>
      </w:r>
      <w:r w:rsidRPr="001B1F9B">
        <w:tab/>
        <w:t xml:space="preserve">panee merkille, että sisäisen uudelleenorganisoinnin jälkeen EUH perusti lokakuussa 2023 uuden hallinto- ja ohjausjärjestelmäyksikön, joka koostuu kolmesta jaostosta, jotka vastaavat tarkastuksista, sisäisestä tarkastuksesta ja suunnittelusta, raportoinnista ja sääntöjen noudattamisesta, jotta EUH voisi lisätä vastuuvelvollisuutta sekä parantaa hallinnointia ja toimintojen seurantaa; pitää myönteisenä, että lisäksi perustettiin hallinnointilautakunta, jotta voitaisiin varmistaa johdonmukaisuus hallinto- ja ohjausjärjestelmää koskevissa kysymyksissä </w:t>
      </w:r>
      <w:proofErr w:type="spellStart"/>
      <w:r w:rsidRPr="001B1F9B">
        <w:t>EUH:ssa</w:t>
      </w:r>
      <w:proofErr w:type="spellEnd"/>
      <w:r w:rsidRPr="001B1F9B">
        <w:t>; panee myös merkille, että EUH perusti rauhaa, turvallisuutta ja puolustusta käsittelevän hallinto-osaston, rauhasta, kumppanuudesta ja kriisinhallinnasta vastaavan osaston sekä kaksi uutta jaostoa, joiden vastuualueina ovat hybridiuhkat ja kyberturvallisuus sekä meriturvallisuus, voidakseen paremmin tukea unionin työtä turvallisuus- ja puolustusasioissa;</w:t>
      </w:r>
    </w:p>
    <w:p w14:paraId="2F0ED50C" w14:textId="77777777" w:rsidR="001B1F9B" w:rsidRPr="001B1F9B" w:rsidRDefault="001B1F9B" w:rsidP="001B1F9B">
      <w:pPr>
        <w:pStyle w:val="NormalHanging12a"/>
        <w:widowControl/>
      </w:pPr>
      <w:r w:rsidRPr="001B1F9B">
        <w:t>18.</w:t>
      </w:r>
      <w:r w:rsidRPr="001B1F9B">
        <w:tab/>
        <w:t>panee merkille, että vuonna 2023 hallinto- ja ohjausjärjestelmäyksikkö toteutti hallinnointiprosessien ja -toimien toimivuustarkastuksen; on ilahtunut siitä, että osana tätä prosessia EUH päivitti tarkastuksen seurantakomitean toimenkuvausta ja tarkisti sisäisen valvonnan kehystään, vuotuista hallintosuunnitelmaansa ja riskinhallintakehystään;</w:t>
      </w:r>
    </w:p>
    <w:p w14:paraId="67100C38" w14:textId="77777777" w:rsidR="001B1F9B" w:rsidRPr="001B1F9B" w:rsidRDefault="001B1F9B" w:rsidP="001B1F9B">
      <w:pPr>
        <w:pStyle w:val="NormalHanging12a"/>
        <w:widowControl/>
        <w:rPr>
          <w:b/>
          <w:i/>
        </w:rPr>
      </w:pPr>
      <w:r w:rsidRPr="001B1F9B">
        <w:t>19.</w:t>
      </w:r>
      <w:r w:rsidRPr="001B1F9B">
        <w:tab/>
        <w:t xml:space="preserve">panee merkille, että </w:t>
      </w:r>
      <w:proofErr w:type="spellStart"/>
      <w:r w:rsidRPr="001B1F9B">
        <w:t>EUH:n</w:t>
      </w:r>
      <w:proofErr w:type="spellEnd"/>
      <w:r w:rsidRPr="001B1F9B">
        <w:t xml:space="preserve"> vuoden 2023 tarkastussuunnitelman mukaisesti vuonna 2023 saatiin päätökseen kolme tarkastusta eli poikkeus- ja sääntöjenvastaisuustapahtumien rekisterin hallinnointia koskeva tarkastus sekä kaksi tarkastusta, jotka koskivat paikallisten toimihenkilöiden palkkojen hallinnointia ja paikallisten toimihenkilöiden ja vastaavan paikallisen henkilöstön </w:t>
      </w:r>
      <w:proofErr w:type="spellStart"/>
      <w:r w:rsidRPr="001B1F9B">
        <w:t>palvelukseenottoa</w:t>
      </w:r>
      <w:proofErr w:type="spellEnd"/>
      <w:r w:rsidRPr="001B1F9B">
        <w:t xml:space="preserve"> ja hallinnointia; panee myös erittäin huolestuneena merkille, että organisaatiorakenteen uudistuksen ja vastaavan sisäisen tarkastustoiminnon henkilöstön vaihtuvuuden vuoksi suunniteltua turvallisuustarkastusta ei voitu käynnistää vuonna 2023 ja että tällaista tarkastusta arvioidaan uudelleen vuosien 2025–2027 monivuotisen strategisen sisäisen tarkastuksen suunnitelman laatimisen yhteydessä; korostaa, että on tärkeää suorittaa sisäisiä tarkastuksia huolellisesti ja säännöllisesti; pitää erittäin valitettavana, että päätökseen saatuihin tarkastuksiin liittyvien neljän kriittisen ja 49:n erittäin tärkeän tarkastussuosituksen käsittely oli kesken vuonna 2023; pyytää, että parlamentille tiedotetaan suositusten täytäntöönpanosta;</w:t>
      </w:r>
    </w:p>
    <w:p w14:paraId="6DB1A409" w14:textId="77777777" w:rsidR="001B1F9B" w:rsidRPr="001B1F9B" w:rsidRDefault="001B1F9B" w:rsidP="001B1F9B">
      <w:pPr>
        <w:pStyle w:val="NormalHanging12a"/>
        <w:widowControl/>
      </w:pPr>
      <w:r w:rsidRPr="001B1F9B">
        <w:t>20.</w:t>
      </w:r>
      <w:r w:rsidRPr="001B1F9B">
        <w:tab/>
        <w:t xml:space="preserve">panee merkille, että tilintarkastustuomioistuin hyväksyi joulukuussa 2023 loppukertomuksensa </w:t>
      </w:r>
      <w:proofErr w:type="spellStart"/>
      <w:r w:rsidRPr="001B1F9B">
        <w:t>EUH:sta</w:t>
      </w:r>
      <w:proofErr w:type="spellEnd"/>
      <w:r w:rsidRPr="001B1F9B">
        <w:t xml:space="preserve"> koordinoijana tekemänsä tarkastuksen jälkeen, ja toteaa, että tarkastuksen tarkoituksena oli arvioida, oliko koordinointi vaikuttavaa erityisesti tiedonhallinnassa, henkilöstöhallinnossa ja raportoinnissa niin sisäisesti kuin myös komission ja neuvoston kanssa; panee merkille, että vuonna 2023 osa tarkastussuosituksista oli jo otettu huomioon meneillään olevissa aloitteissa, kuten toimeksiantokirjeiden lähettäminen vastavalituille suurlähettiläille ennen heidän tehtäviensä aloittamista sekä toimet, joita EUH on toteuttanut vuodesta 2019 tiedonhallintastrategiansa täytäntöönpanemiseksi; kehottaa </w:t>
      </w:r>
      <w:proofErr w:type="spellStart"/>
      <w:r w:rsidRPr="001B1F9B">
        <w:t>EUH:ta</w:t>
      </w:r>
      <w:proofErr w:type="spellEnd"/>
      <w:r w:rsidRPr="001B1F9B">
        <w:t xml:space="preserve"> panemaan kaikilta osin täytäntöön tilintarkastustuomioistuimen kertomuksen suositukset tiedonhallinnassa havaittujen puutteiden korjaamiseksi sekä sen päätoimipaikassa että EU:n ulkopuolisissa maissa sijaitsevissa unionin edustustoissa samoin kuin </w:t>
      </w:r>
      <w:r w:rsidRPr="001B1F9B">
        <w:lastRenderedPageBreak/>
        <w:t>varapuheenjohtajan / korkean edustajan kabinetissa; pyytää, että parlamentille tiedotetaan tilintarkastustuomioistuimen suositusten jatkotoimista;</w:t>
      </w:r>
    </w:p>
    <w:p w14:paraId="52EECDC7" w14:textId="77777777" w:rsidR="001B1F9B" w:rsidRPr="001B1F9B" w:rsidRDefault="001B1F9B" w:rsidP="001B1F9B">
      <w:pPr>
        <w:pStyle w:val="NormalHanging12a"/>
        <w:widowControl/>
      </w:pPr>
      <w:r w:rsidRPr="001B1F9B">
        <w:t>21.</w:t>
      </w:r>
      <w:r w:rsidRPr="001B1F9B">
        <w:tab/>
        <w:t xml:space="preserve">toteaa, että edustustoissa vuonna 2023 toteutettujen 26 tarkastuksen perusteella turvallisuus, kiinteistöt ja hallinnollinen taakka määritettiin edustustojen suurimmiksi haasteiksi; panee merkille, että EUH on ottanut käyttöön turvallisuusriskien hallintatoimenpiteitä edustustoissa kansainvälisten standardien ja parhaiden käytäntöjen pohjalta; toteaa, että vuonna 2023 </w:t>
      </w:r>
      <w:proofErr w:type="spellStart"/>
      <w:r w:rsidRPr="001B1F9B">
        <w:t>EUH:n</w:t>
      </w:r>
      <w:proofErr w:type="spellEnd"/>
      <w:r w:rsidRPr="001B1F9B">
        <w:t xml:space="preserve"> tarkastusyksikkö laati viisi kriittistä suositusta, jotka kaikki liittyivät kolmen edustuston hallinnointiin; panee merkille, että kaikissa tapauksissa suositukset käsiteltiin lisäämällä valvontaa ja tukea </w:t>
      </w:r>
      <w:proofErr w:type="spellStart"/>
      <w:r w:rsidRPr="001B1F9B">
        <w:t>EUH:n</w:t>
      </w:r>
      <w:proofErr w:type="spellEnd"/>
      <w:r w:rsidRPr="001B1F9B">
        <w:t xml:space="preserve"> päätoimipaikan taholta; suhtautuu myönteisesti välineistöön, jonka EUH on kehittänyt reagoidakseen sisäiseen hallintoon liittyviin tilanteisiin;</w:t>
      </w:r>
    </w:p>
    <w:p w14:paraId="2E592356" w14:textId="77777777" w:rsidR="001B1F9B" w:rsidRPr="001B1F9B" w:rsidRDefault="001B1F9B" w:rsidP="001B1F9B">
      <w:pPr>
        <w:pStyle w:val="NormalHanging12a"/>
        <w:widowControl/>
      </w:pPr>
      <w:r w:rsidRPr="001B1F9B">
        <w:t>22.</w:t>
      </w:r>
      <w:r w:rsidRPr="001B1F9B">
        <w:tab/>
        <w:t xml:space="preserve">panee merkille, että vuonna 2023 kolme unionin edustustoa (Keski-Afrikan tasavalta, Sierra Leone ja Syyria) esitti vahvistuslausumissaan varaumia, jotka koskivat pääasiassa komission hallinnoimien toimintamäärärahojen budjettikohtia; korostaa, että näillä varaumilla ei ollut merkittävää taloudellista vaikutusta </w:t>
      </w:r>
      <w:proofErr w:type="spellStart"/>
      <w:r w:rsidRPr="001B1F9B">
        <w:t>EUH:n</w:t>
      </w:r>
      <w:proofErr w:type="spellEnd"/>
      <w:r w:rsidRPr="001B1F9B">
        <w:t xml:space="preserve"> vastuulla olevaan hallintotalousarvioon;</w:t>
      </w:r>
    </w:p>
    <w:p w14:paraId="2CAD5E21" w14:textId="77777777" w:rsidR="001B1F9B" w:rsidRPr="001B1F9B" w:rsidRDefault="001B1F9B" w:rsidP="001B1F9B">
      <w:pPr>
        <w:pStyle w:val="NormalHanging12a"/>
        <w:widowControl/>
      </w:pPr>
      <w:r w:rsidRPr="001B1F9B">
        <w:t>23.</w:t>
      </w:r>
      <w:r w:rsidRPr="001B1F9B">
        <w:tab/>
        <w:t xml:space="preserve">kehottaa </w:t>
      </w:r>
      <w:proofErr w:type="spellStart"/>
      <w:r w:rsidRPr="001B1F9B">
        <w:t>EUH:ta</w:t>
      </w:r>
      <w:proofErr w:type="spellEnd"/>
      <w:r w:rsidRPr="001B1F9B">
        <w:t xml:space="preserve"> ja komissiota tekemään tiivistä yhteistyötä Euroopan parlamentin Washingtonin-yhteystoimiston ja unionin Yhdysvaltain-edustuston kanssa, jotta voidaan määrittää, rahoittaa ja toteuttaa transatlanttisten suhteiden lujittamiseen tähtääviä aloitteita, mukaan lukien vaihto-ohjelmat </w:t>
      </w:r>
      <w:proofErr w:type="gramStart"/>
      <w:r w:rsidRPr="001B1F9B">
        <w:t>julkisissa instituutioissa sekä EU:ssa</w:t>
      </w:r>
      <w:proofErr w:type="gramEnd"/>
      <w:r w:rsidRPr="001B1F9B">
        <w:t xml:space="preserve"> että Yhdysvalloissa työskenteleville asiantuntijoille;</w:t>
      </w:r>
    </w:p>
    <w:p w14:paraId="1200E132" w14:textId="77777777" w:rsidR="001B1F9B" w:rsidRPr="001B1F9B" w:rsidRDefault="001B1F9B" w:rsidP="001B1F9B">
      <w:pPr>
        <w:pStyle w:val="NormalHanging12a"/>
        <w:widowControl/>
      </w:pPr>
      <w:r w:rsidRPr="001B1F9B">
        <w:t>24.</w:t>
      </w:r>
      <w:r w:rsidRPr="001B1F9B">
        <w:tab/>
        <w:t xml:space="preserve">kehottaa </w:t>
      </w:r>
      <w:proofErr w:type="spellStart"/>
      <w:r w:rsidRPr="001B1F9B">
        <w:t>EUH:ta</w:t>
      </w:r>
      <w:proofErr w:type="spellEnd"/>
      <w:r w:rsidRPr="001B1F9B">
        <w:t xml:space="preserve"> ja unionin edustustoja tehostamaan demokratian tilan seurantaa useissa maissa ja lisäämään logistista ja teknistä tukea ihmisoikeuksien puolustajille ja alkuperäiskansojen edustajille, keskittyen erityisesti naisiin;</w:t>
      </w:r>
    </w:p>
    <w:p w14:paraId="46CC0066" w14:textId="77777777" w:rsidR="001B1F9B" w:rsidRPr="001B1F9B" w:rsidRDefault="001B1F9B" w:rsidP="001B1F9B">
      <w:pPr>
        <w:pStyle w:val="NormalHanging12a"/>
        <w:widowControl/>
      </w:pPr>
      <w:r w:rsidRPr="001B1F9B">
        <w:t>25.</w:t>
      </w:r>
      <w:r w:rsidRPr="001B1F9B">
        <w:tab/>
        <w:t xml:space="preserve">muistuttaa, että on ratkaisevan tärkeää vahvistaa entisestään tukeamme ihmisoikeuksille, demokratialle ja kehitykselle kolmansissa maissa NDICI – Globaali Eurooppa -välineen kautta, koska demokratioiden maailma on turvallisempi maailma; korostaa, että EU:n digitaalisen diplomatian resursseja olisi lisättävä entisestään nykytilanteessa, jossa teknologian kehitys on nopeaa ja geopoliittinen kilpailu kovaa; toteaa, että nk. vihreä diplomatia ja vihreä siirtymä ovat yksi unionin painopisteistä ja että siksi unionin ulkoisissa toimissa olisi tehostettava toimintaa näillä aloilla suhteissa kolmansiin maihin; korostaa, että </w:t>
      </w:r>
      <w:proofErr w:type="spellStart"/>
      <w:r w:rsidRPr="001B1F9B">
        <w:t>EUH:n</w:t>
      </w:r>
      <w:proofErr w:type="spellEnd"/>
      <w:r w:rsidRPr="001B1F9B">
        <w:t xml:space="preserve"> on oltava keskeisessä roolissa edistämässä rauhaa ja vakautta Lähi-idässä, lisättävä rahoitusta humanitaarisen avun varmistamiseksi Libanonissa, Gazassa ja Syyriassa ja vahvistettava ihmisoikeuksien valvontaa; korostaa taloudellisen tuen merkitystä Lähi-idässä, Persianlahden maissa ja Afrikassa toimiville </w:t>
      </w:r>
      <w:proofErr w:type="spellStart"/>
      <w:r w:rsidRPr="001B1F9B">
        <w:t>EUH:n</w:t>
      </w:r>
      <w:proofErr w:type="spellEnd"/>
      <w:r w:rsidRPr="001B1F9B">
        <w:t xml:space="preserve"> edustustoille, jotta varmistetaan, että ne voivat jatkaa unionin ulkoisen toiminnan toteuttamista alueella;</w:t>
      </w:r>
    </w:p>
    <w:p w14:paraId="1B381C9A" w14:textId="77777777" w:rsidR="001B1F9B" w:rsidRPr="001B1F9B" w:rsidRDefault="001B1F9B" w:rsidP="001B1F9B">
      <w:pPr>
        <w:pStyle w:val="NormalHanging12a"/>
        <w:widowControl/>
      </w:pPr>
      <w:r w:rsidRPr="001B1F9B">
        <w:t>26.</w:t>
      </w:r>
      <w:r w:rsidRPr="001B1F9B">
        <w:tab/>
        <w:t xml:space="preserve">panee merkille, että Euroopan tilintarkastustuomioistuimen erityiskertomuksessa 14/2023 havaittiin puutteita komission ja </w:t>
      </w:r>
      <w:proofErr w:type="spellStart"/>
      <w:r w:rsidRPr="001B1F9B">
        <w:t>EUH:n</w:t>
      </w:r>
      <w:proofErr w:type="spellEnd"/>
      <w:r w:rsidRPr="001B1F9B">
        <w:t xml:space="preserve"> käyttämissä menetelmissä, joiden avulla rahoitusta jaetaan kumppanimaille, ja seurantakehyksen rakenteessa ja suositettiin, että komissio ja EUH parantavat erityisesti rahoituksen jakamisen menetelmiä ja unionin tuen vaikutuksen arviointia, kohdentavat tarkemmin ohjelmasuunnitteluprosessia ja yksinkertaistavat suuntaa-antaviin monivuotisiin ohjelmiin liittyviä indikaattoreita ja käyttävät niitä johdonmukaisesti;</w:t>
      </w:r>
    </w:p>
    <w:p w14:paraId="52AE07BA" w14:textId="77777777" w:rsidR="001B1F9B" w:rsidRPr="001B1F9B" w:rsidRDefault="001B1F9B" w:rsidP="001B1F9B">
      <w:pPr>
        <w:pStyle w:val="NormalHanging12a"/>
        <w:widowControl/>
      </w:pPr>
      <w:r w:rsidRPr="001B1F9B">
        <w:lastRenderedPageBreak/>
        <w:t>27.</w:t>
      </w:r>
      <w:r w:rsidRPr="001B1F9B">
        <w:tab/>
        <w:t>pitää myönteisenä ensimmäisen Persianlahden aluetta käsittelevän EU:n erityisedustajan nimittämistä;</w:t>
      </w:r>
    </w:p>
    <w:p w14:paraId="796B44DB" w14:textId="77777777" w:rsidR="001B1F9B" w:rsidRPr="001B1F9B" w:rsidRDefault="001B1F9B" w:rsidP="001B1F9B">
      <w:pPr>
        <w:pStyle w:val="NormalHanging12a"/>
        <w:widowControl/>
      </w:pPr>
      <w:r w:rsidRPr="001B1F9B">
        <w:t>28.</w:t>
      </w:r>
      <w:r w:rsidRPr="001B1F9B">
        <w:tab/>
        <w:t xml:space="preserve">korostaa, että viimeaikaiset tapahtumat, varsinkin Venäjän täysimittainen hyökkäys Ukrainaan ja sen vihamieliset pyrkimykset vaikuttaa demokraattisiin prosesseihin Euroopassa sekä kasvava epävakaus Lähi-idässä, ovat nostaneet unionin ulkopolitiikan ja sen toteuttamisen jäsenvaltioiden ja toimielinten päällimmäisten huolenaiheiden joukkoon; korostaa </w:t>
      </w:r>
      <w:proofErr w:type="spellStart"/>
      <w:r w:rsidRPr="001B1F9B">
        <w:t>EUH:n</w:t>
      </w:r>
      <w:proofErr w:type="spellEnd"/>
      <w:r w:rsidRPr="001B1F9B">
        <w:t xml:space="preserve"> ja sen edustustojen keskeistä roolia unionin ulkopolitiikan toteuttamisessa sekä ulkomaisen tiedonmanipuloinnin ja häirinnän torjumisessa; painottaa </w:t>
      </w:r>
      <w:proofErr w:type="spellStart"/>
      <w:r w:rsidRPr="001B1F9B">
        <w:t>EUH:n</w:t>
      </w:r>
      <w:proofErr w:type="spellEnd"/>
      <w:r w:rsidRPr="001B1F9B">
        <w:t xml:space="preserve"> merkitystä unionin suhteissa 25–30 miljoonaan unionin ulkopuolella asuvaan unionin kansalaiseen; toteaa, että Venäjän hyökkäyssota Ukrainassa ja siitä aiheutunut inflaation kiihtyminen ja energiakriisi vaikuttivat </w:t>
      </w:r>
      <w:proofErr w:type="spellStart"/>
      <w:r w:rsidRPr="001B1F9B">
        <w:t>EUH:n</w:t>
      </w:r>
      <w:proofErr w:type="spellEnd"/>
      <w:r w:rsidRPr="001B1F9B">
        <w:t xml:space="preserve"> jo ennestään rakenteellisesti alirahoitettuun talousarvioon suhteettomasti muihin unionin toimielimiin verrattuna; on huolestunut näistä </w:t>
      </w:r>
      <w:proofErr w:type="spellStart"/>
      <w:r w:rsidRPr="001B1F9B">
        <w:t>EUH:lle</w:t>
      </w:r>
      <w:proofErr w:type="spellEnd"/>
      <w:r w:rsidRPr="001B1F9B">
        <w:t xml:space="preserve"> ja unionin toimielinten tuloksellisuudelle aiheutuvista kielteisistä seurauksista sekä siitä, ettei nykyisen talousarviotilanteen korjaamiseksi ole toteutettu toimia, millä voi olla vakavia vaikutuksia unionin suhteisiin kolmansiin maihin;</w:t>
      </w:r>
    </w:p>
    <w:p w14:paraId="233D810B" w14:textId="77777777" w:rsidR="001B1F9B" w:rsidRPr="001B1F9B" w:rsidRDefault="001B1F9B" w:rsidP="001B1F9B">
      <w:pPr>
        <w:pStyle w:val="NormalHanging12a"/>
        <w:widowControl/>
      </w:pPr>
      <w:r w:rsidRPr="001B1F9B">
        <w:t>29.</w:t>
      </w:r>
      <w:r w:rsidRPr="001B1F9B">
        <w:tab/>
        <w:t>pitää myönteisenä Ukrainalle osoitettua vankkumatonta tukea, jonka muotoja ovat esimerkiksi EU:n siviilialan neuvontaoperaatio (EUAM Ukraina) ja ukrainalaissotilaiden kouluttaminen Ukrainaa tukevassa EU:n sotilaallisessa avustusoperaatiossa (EUMAM Ukraina);</w:t>
      </w:r>
    </w:p>
    <w:p w14:paraId="098C43AA" w14:textId="77777777" w:rsidR="001B1F9B" w:rsidRPr="001B1F9B" w:rsidRDefault="001B1F9B" w:rsidP="001B1F9B">
      <w:pPr>
        <w:pStyle w:val="NormalHanging12a"/>
        <w:widowControl/>
      </w:pPr>
      <w:r w:rsidRPr="001B1F9B">
        <w:t>30.</w:t>
      </w:r>
      <w:r w:rsidRPr="001B1F9B">
        <w:tab/>
        <w:t xml:space="preserve">korostaa, että unionin on lisättävä rahoitusta, jolla vahvistetaan erityisesti sukupuolten tasa-arvoa sekä Naiset, rauha ja turvallisuus ‑toimintaohjelmaa koskevaa unionin ulkopoliittisten toimien budjettikohtaa, jotta voidaan varmistaa johdonmukainen rahoitus aloitteille, joilla edistetään sukupuolitietoista johtajuutta, suojellaan naisten oikeuksia ja torjutaan seksuaalista ja </w:t>
      </w:r>
      <w:proofErr w:type="spellStart"/>
      <w:r w:rsidRPr="001B1F9B">
        <w:t>sukupuolistunutta</w:t>
      </w:r>
      <w:proofErr w:type="spellEnd"/>
      <w:r w:rsidRPr="001B1F9B">
        <w:t xml:space="preserve"> väkivaltaa konflikteissa ja niiden jälkeisissä tilanteissa; painottaa, että tällainen rahoitus on olennaisen tärkeää, jotta voidaan tukea paikallisia kansalaisyhteiskunnan järjestöjä, tarjota selviytyjiin keskittyvää tukea ja sisällyttää sukupuolinäkökohdat unionin diplomaattisiin pyrkimyksiin ja turvallisuustoimiin;</w:t>
      </w:r>
    </w:p>
    <w:p w14:paraId="650C7ADE" w14:textId="77777777" w:rsidR="001B1F9B" w:rsidRPr="001B1F9B" w:rsidRDefault="001B1F9B" w:rsidP="001B1F9B">
      <w:pPr>
        <w:pStyle w:val="NormalHanging12a"/>
        <w:widowControl/>
      </w:pPr>
      <w:r w:rsidRPr="001B1F9B">
        <w:t>31.</w:t>
      </w:r>
      <w:r w:rsidRPr="001B1F9B">
        <w:tab/>
        <w:t xml:space="preserve">korostaa, että kolmannessa toimintasuunnitelmassa sukupuolten tasa-arvon edistämiseksi (GAP III) todetaan, että 85 prosentilla unionin uusista toimista on edistettävä sukupuolten tasa-arvoa ja naisten ja tyttöjen voimaannuttamista; kehottaa </w:t>
      </w:r>
      <w:proofErr w:type="spellStart"/>
      <w:r w:rsidRPr="001B1F9B">
        <w:t>EUH:ta</w:t>
      </w:r>
      <w:proofErr w:type="spellEnd"/>
      <w:r w:rsidRPr="001B1F9B">
        <w:t xml:space="preserve"> nopeuttamaan GAP III:n tavoitteiden edistämistä keskittyen jokapäiväisessä työssään mielekkäällä tavalla GAP III:n keskeisiin osa-alueisiin, kuten </w:t>
      </w:r>
      <w:proofErr w:type="spellStart"/>
      <w:r w:rsidRPr="001B1F9B">
        <w:t>sukupuolistuneen</w:t>
      </w:r>
      <w:proofErr w:type="spellEnd"/>
      <w:r w:rsidRPr="001B1F9B">
        <w:t xml:space="preserve"> väkivallan lopettamiseen, seksuaali- ja lisääntymisterveyden ja -oikeuksien edistämiseen, taloudellisiin ja sosiaalisiin oikeuksiin ja vaikutusmahdollisuuksien lisäämiseen, yhdenvertaiseen osallistumiseen ja johtajuuteen; huomauttaa, että GAP III:n voimassaolo päättyy vuonna 2027, ja kehottaa </w:t>
      </w:r>
      <w:proofErr w:type="spellStart"/>
      <w:r w:rsidRPr="001B1F9B">
        <w:t>EUH:ta</w:t>
      </w:r>
      <w:proofErr w:type="spellEnd"/>
      <w:r w:rsidRPr="001B1F9B">
        <w:t xml:space="preserve"> tämän vuoksi kehittämään entistä kunnianhimoisemman GAP IV:n, jolla varmistetaan vahvempi yhteys naisten oikeuksien ja voimaannuttamisen ja unionin ulko- ja turvallisuuspolitiikan välillä ja joka on toteutusvalmis vuodesta 2028 alkaen;</w:t>
      </w:r>
    </w:p>
    <w:p w14:paraId="2AD273A3" w14:textId="77777777" w:rsidR="001B1F9B" w:rsidRPr="001B1F9B" w:rsidRDefault="001B1F9B" w:rsidP="001B1F9B">
      <w:pPr>
        <w:pStyle w:val="NormalHanging12a"/>
        <w:widowControl/>
      </w:pPr>
      <w:r w:rsidRPr="001B1F9B">
        <w:t>32.</w:t>
      </w:r>
      <w:r w:rsidRPr="001B1F9B">
        <w:tab/>
        <w:t xml:space="preserve">korostaa lasten äärimmäisen haavoittuvaa tilannetta maailmassa, erityisesti aseellisissa konflikteissa; ilmaisee vakavan huolensa </w:t>
      </w:r>
      <w:proofErr w:type="spellStart"/>
      <w:r w:rsidRPr="001B1F9B">
        <w:t>kymmenistätuhansista</w:t>
      </w:r>
      <w:proofErr w:type="spellEnd"/>
      <w:r w:rsidRPr="001B1F9B">
        <w:t xml:space="preserve"> lapsista, joihin aseelliset konfliktit ympäri maailmaa vaikuttivat ja jotka joutuivat kärsimään kammottavista väärinkäytöksistä ja keskeisimpien perusoikeuksiensa loukkauksista vuonna 2023; kehottaa </w:t>
      </w:r>
      <w:proofErr w:type="spellStart"/>
      <w:r w:rsidRPr="001B1F9B">
        <w:t>EUH:ta</w:t>
      </w:r>
      <w:proofErr w:type="spellEnd"/>
      <w:r w:rsidRPr="001B1F9B">
        <w:t xml:space="preserve"> ottamaan lasten oikeudet toimintansa keskiöön;</w:t>
      </w:r>
    </w:p>
    <w:p w14:paraId="66AAF7A6" w14:textId="77777777" w:rsidR="001B1F9B" w:rsidRPr="001B1F9B" w:rsidRDefault="001B1F9B" w:rsidP="001B1F9B">
      <w:pPr>
        <w:pStyle w:val="NormalHanging12a"/>
        <w:widowControl/>
      </w:pPr>
      <w:r w:rsidRPr="001B1F9B">
        <w:lastRenderedPageBreak/>
        <w:t>33.</w:t>
      </w:r>
      <w:r w:rsidRPr="001B1F9B">
        <w:tab/>
        <w:t xml:space="preserve">muistuttaa naisten oikeuksien ja </w:t>
      </w:r>
      <w:proofErr w:type="spellStart"/>
      <w:r w:rsidRPr="001B1F9B">
        <w:t>hlbtiq</w:t>
      </w:r>
      <w:proofErr w:type="spellEnd"/>
      <w:r w:rsidRPr="001B1F9B">
        <w:t xml:space="preserve">+ -henkilöiden oikeuksien surkeasta tilanteesta monissa maailman osissa; korostaa kiireellistä tarvetta suojella paremmin näitä oikeuksia; korostaa </w:t>
      </w:r>
      <w:proofErr w:type="spellStart"/>
      <w:r w:rsidRPr="001B1F9B">
        <w:t>EUH:n</w:t>
      </w:r>
      <w:proofErr w:type="spellEnd"/>
      <w:r w:rsidRPr="001B1F9B">
        <w:t xml:space="preserve"> keskeistä roolia ihmisoikeuksien edistämisessä ympäri maailmaa; kehottaa </w:t>
      </w:r>
      <w:proofErr w:type="spellStart"/>
      <w:r w:rsidRPr="001B1F9B">
        <w:t>EUH:ta</w:t>
      </w:r>
      <w:proofErr w:type="spellEnd"/>
      <w:r w:rsidRPr="001B1F9B">
        <w:t xml:space="preserve"> tehostamaan toimiaan tässä asiassa;</w:t>
      </w:r>
    </w:p>
    <w:p w14:paraId="47EB876D" w14:textId="77777777" w:rsidR="001B1F9B" w:rsidRPr="001B1F9B" w:rsidRDefault="001B1F9B" w:rsidP="001B1F9B">
      <w:pPr>
        <w:pStyle w:val="NormalHanging12a"/>
        <w:widowControl/>
      </w:pPr>
      <w:r w:rsidRPr="001B1F9B">
        <w:t>34.</w:t>
      </w:r>
      <w:r w:rsidRPr="001B1F9B">
        <w:tab/>
        <w:t>pitää vaalitarkkailuvaltuuskuntia käytännöllisenä ja vaikuttavana ulkopolitiikan välineenä, joka on yhä keskeinen osa unionin demokratiatukitoimia ja -strategioita; kehottaa unionia varmistamaan riittävät resurssit EU:n vaalitarkkailuvaltuuskunnille, jotta niiden toimintaa voidaan laajentaa myös ehdokas- ja naapurimaissa järjestettäviin vaaleihin;</w:t>
      </w:r>
    </w:p>
    <w:p w14:paraId="31B73E8F" w14:textId="77777777" w:rsidR="001B1F9B" w:rsidRPr="001B1F9B" w:rsidRDefault="001B1F9B" w:rsidP="004B6813">
      <w:pPr>
        <w:pStyle w:val="NormalHanging12a"/>
        <w:keepNext/>
        <w:widowControl/>
        <w:ind w:left="0" w:firstLine="0"/>
        <w:rPr>
          <w:b/>
          <w:iCs/>
        </w:rPr>
      </w:pPr>
      <w:r w:rsidRPr="001B1F9B">
        <w:rPr>
          <w:b/>
          <w:iCs/>
        </w:rPr>
        <w:t>Henkilöresurssit, tasa-arvo ja henkilöstön hyvinvointi</w:t>
      </w:r>
    </w:p>
    <w:p w14:paraId="5DE7C53F" w14:textId="77777777" w:rsidR="001B1F9B" w:rsidRPr="001B1F9B" w:rsidRDefault="001B1F9B" w:rsidP="001B1F9B">
      <w:pPr>
        <w:pStyle w:val="NormalHanging12a"/>
        <w:widowControl/>
      </w:pPr>
      <w:r w:rsidRPr="001B1F9B">
        <w:t>35.</w:t>
      </w:r>
      <w:r w:rsidRPr="001B1F9B">
        <w:tab/>
        <w:t xml:space="preserve">panee merkille, että henkilöstötaulukkoon sisältyvien toimien täyttöaste oli vuoden 2023 lopussa 96,7 prosenttia; panee merkille, että </w:t>
      </w:r>
      <w:proofErr w:type="spellStart"/>
      <w:r w:rsidRPr="001B1F9B">
        <w:t>EUH:n</w:t>
      </w:r>
      <w:proofErr w:type="spellEnd"/>
      <w:r w:rsidRPr="001B1F9B">
        <w:t xml:space="preserve"> palveluksessa oli yhteensä 2 812 henkilöstön jäsentä, joihin kuului 1 245 virkamiestä, 450 väliaikaista toimihenkilöä, 603 sopimussuhteista toimihenkilöä ja 514 kansallista asiantuntijaa; toteaa, että </w:t>
      </w:r>
      <w:proofErr w:type="spellStart"/>
      <w:r w:rsidRPr="001B1F9B">
        <w:t>EUH:n</w:t>
      </w:r>
      <w:proofErr w:type="spellEnd"/>
      <w:r w:rsidRPr="001B1F9B">
        <w:t xml:space="preserve"> palveluksessa joko sen päätoimipaikassa tai edustustoissa olevien virkamiesten ja väliaikaisten toimihenkilöiden kokonaismäärästä 62,5 prosenttia oli hallintovirkamiehiä, 32,8 prosenttia assistentteja ja 4,8 prosenttia sihteerejä;</w:t>
      </w:r>
    </w:p>
    <w:p w14:paraId="1F86DECD" w14:textId="77777777" w:rsidR="001B1F9B" w:rsidRPr="001B1F9B" w:rsidRDefault="001B1F9B" w:rsidP="001B1F9B">
      <w:pPr>
        <w:pStyle w:val="NormalHanging12a"/>
        <w:widowControl/>
      </w:pPr>
      <w:r w:rsidRPr="001B1F9B">
        <w:t>36.</w:t>
      </w:r>
      <w:r w:rsidRPr="001B1F9B">
        <w:tab/>
        <w:t xml:space="preserve">huomauttaa, että </w:t>
      </w:r>
      <w:proofErr w:type="spellStart"/>
      <w:r w:rsidRPr="001B1F9B">
        <w:t>EUH:ssa</w:t>
      </w:r>
      <w:proofErr w:type="spellEnd"/>
      <w:r w:rsidRPr="001B1F9B">
        <w:t xml:space="preserve"> työskenteli vuoden 2023 lopussa yhteensä 5 252 henkilöä, jotka olivat joko suoraan </w:t>
      </w:r>
      <w:proofErr w:type="spellStart"/>
      <w:r w:rsidRPr="001B1F9B">
        <w:t>EUH:n</w:t>
      </w:r>
      <w:proofErr w:type="spellEnd"/>
      <w:r w:rsidRPr="001B1F9B">
        <w:t xml:space="preserve"> palkkaamia tai ulkopuolisten toimeksisaajien kautta palkattuja ja että heistä 46,2 prosenttia työskenteli </w:t>
      </w:r>
      <w:proofErr w:type="spellStart"/>
      <w:r w:rsidRPr="001B1F9B">
        <w:t>EUH:n</w:t>
      </w:r>
      <w:proofErr w:type="spellEnd"/>
      <w:r w:rsidRPr="001B1F9B">
        <w:t xml:space="preserve"> päätoimipaikassa ja 53,8 prosenttia edustustoissa; panee merkille, että </w:t>
      </w:r>
      <w:proofErr w:type="spellStart"/>
      <w:r w:rsidRPr="001B1F9B">
        <w:t>EUH:ssa</w:t>
      </w:r>
      <w:proofErr w:type="spellEnd"/>
      <w:r w:rsidRPr="001B1F9B">
        <w:t xml:space="preserve"> työskentelevien henkilöiden kokonaismäärästä 46,5 prosenttia oli muita kuin henkilöstösääntöjen alaisia henkilöstön jäseniä tai ulkopuolisia toimeksisaajia; huomauttaa, että suurin osa ulkopuolisen toimeksisaajan palveluksessa olevasta mutta </w:t>
      </w:r>
      <w:proofErr w:type="spellStart"/>
      <w:r w:rsidRPr="001B1F9B">
        <w:t>EUH:n</w:t>
      </w:r>
      <w:proofErr w:type="spellEnd"/>
      <w:r w:rsidRPr="001B1F9B">
        <w:t xml:space="preserve"> tiloissa työskentelevästä ulkopuolisesta henkilöstöstä tarjoaa palveluja tietotekniikan, turvallisuuden ja terveydenhuollon alalla;</w:t>
      </w:r>
    </w:p>
    <w:p w14:paraId="141E1AF1" w14:textId="77777777" w:rsidR="001B1F9B" w:rsidRPr="001B1F9B" w:rsidRDefault="001B1F9B" w:rsidP="001B1F9B">
      <w:pPr>
        <w:pStyle w:val="NormalHanging12a"/>
        <w:widowControl/>
      </w:pPr>
      <w:r w:rsidRPr="001B1F9B">
        <w:t>37.</w:t>
      </w:r>
      <w:r w:rsidRPr="001B1F9B">
        <w:tab/>
        <w:t xml:space="preserve">panee merkille, että vuonna 2023 EUH sai budjettivallan käyttäjältä 36 kokoaikavastaavaa, mukaan lukien 31 sopimussuhteista toimihenkilöä ja viisi kansallista asiantuntijaa, joista aiheutuvat kustannukset on jaettu; panee merkille, että lisäresurssit kohdennettiin kriisinhallintatehtäviin, strategisen kompassin täytäntöönpanoon ja muihin </w:t>
      </w:r>
      <w:proofErr w:type="spellStart"/>
      <w:r w:rsidRPr="001B1F9B">
        <w:t>EUH:n</w:t>
      </w:r>
      <w:proofErr w:type="spellEnd"/>
      <w:r w:rsidRPr="001B1F9B">
        <w:t xml:space="preserve"> prioriteetteihin; toteaa, että vuoden 2023 lopussa EUH sai sotilaskriisinhallinnan suunnittelu- ja toteutusvoimavaran rakenteisiin 20 uutta kansallista asiantuntijaa, joista ei aiheudu kustannuksia;</w:t>
      </w:r>
    </w:p>
    <w:p w14:paraId="61FC596E" w14:textId="77777777" w:rsidR="001B1F9B" w:rsidRPr="001B1F9B" w:rsidRDefault="001B1F9B" w:rsidP="001B1F9B">
      <w:pPr>
        <w:pStyle w:val="NormalHanging12a"/>
        <w:widowControl/>
        <w:rPr>
          <w:b/>
          <w:i/>
        </w:rPr>
      </w:pPr>
      <w:r w:rsidRPr="001B1F9B">
        <w:t>38.</w:t>
      </w:r>
      <w:r w:rsidRPr="001B1F9B">
        <w:tab/>
        <w:t xml:space="preserve">panee merkille, että vuoden 2023 lopussa </w:t>
      </w:r>
      <w:proofErr w:type="spellStart"/>
      <w:r w:rsidRPr="001B1F9B">
        <w:t>EUH:n</w:t>
      </w:r>
      <w:proofErr w:type="spellEnd"/>
      <w:r w:rsidRPr="001B1F9B">
        <w:t xml:space="preserve"> henkilöstösääntöjen alaisesta henkilöstöstä 52,7 prosenttia oli miehiä ja 47,3 prosenttia naisia, joten naisten edustuksessa on tapahtunut hienoista kasvua verrattuna vuoteen 2022, jolloin 46,8 prosenttia henkilöstöstä oli naisia; pitää myönteisenä vaatimatontakin edistystä sukupuolten tasapuolisessa edustuksessa ylimmässä johdossa, jossa naisten edustus kasvoi 6,3 prosentista 7,6 prosenttiin, ja keskijohdossa, jossa se nousi 30,1 prosentista 30,4 prosenttiin vuodesta 2022 vuoteen 2023; kehottaa </w:t>
      </w:r>
      <w:proofErr w:type="spellStart"/>
      <w:r w:rsidRPr="001B1F9B">
        <w:t>EUH:ta</w:t>
      </w:r>
      <w:proofErr w:type="spellEnd"/>
      <w:r w:rsidRPr="001B1F9B">
        <w:t xml:space="preserve"> tehostamaan toimia sukupuolten tuntuvammin ja näkyvämmin tasapuolisen edustuksen saavuttamiseksi kaikilla organisaatiotasoilla;</w:t>
      </w:r>
    </w:p>
    <w:p w14:paraId="28FFAE8C" w14:textId="77777777" w:rsidR="001B1F9B" w:rsidRPr="001B1F9B" w:rsidRDefault="001B1F9B" w:rsidP="001B1F9B">
      <w:pPr>
        <w:pStyle w:val="NormalHanging12a"/>
        <w:widowControl/>
      </w:pPr>
      <w:r w:rsidRPr="001B1F9B">
        <w:t>39.</w:t>
      </w:r>
      <w:r w:rsidRPr="001B1F9B">
        <w:tab/>
        <w:t xml:space="preserve">on ilahtunut siitä, että varapuheenjohtaja / korkea edustaja ja komissio julkaisivat väliarviointikertomuksen sukupuolten tasa-arvon edistämistä koskevan kolmannen </w:t>
      </w:r>
      <w:r w:rsidRPr="001B1F9B">
        <w:lastRenderedPageBreak/>
        <w:t>EU:n toimintasuunnitelman (GAP III) täytäntöönpanosta vuoden 2023 lopussa, sekä päätöksestä pidentää sen voimassaoloa vuoteen 2027 niin, että se vastaa monivuotista rahoituskehystä; tunnustaa GAP III:n merkityksen sukupuolten tasa-arvon edistämisessä yhtenä strategisena painopisteenä unionin ulkoisessa toiminnassa ja sen roolin vahvistamisessa tällä alalla; pitää myönteisenä, että tasa-arvo- ja monimuotoisuusasioiden lähettilään tiimi järjesti vuoden 2023 lopussa ensimmäiset ylempään johtoon kuuluville suunnatut sukupuolitietoista johtajuutta käsitelleet johdon koulutukset;</w:t>
      </w:r>
    </w:p>
    <w:p w14:paraId="73D805AD" w14:textId="77777777" w:rsidR="001B1F9B" w:rsidRPr="001B1F9B" w:rsidRDefault="001B1F9B" w:rsidP="001B1F9B">
      <w:pPr>
        <w:pStyle w:val="NormalHanging12a"/>
        <w:widowControl/>
      </w:pPr>
      <w:r w:rsidRPr="001B1F9B">
        <w:t>40.</w:t>
      </w:r>
      <w:r w:rsidRPr="001B1F9B">
        <w:tab/>
        <w:t xml:space="preserve">suhtautuu myönteisesti ensimmäiseen </w:t>
      </w:r>
      <w:proofErr w:type="spellStart"/>
      <w:r w:rsidRPr="001B1F9B">
        <w:t>hlbtiqa</w:t>
      </w:r>
      <w:proofErr w:type="spellEnd"/>
      <w:r w:rsidRPr="001B1F9B">
        <w:t xml:space="preserve">+ -henkilöihin kohdistuvaa ulkomaista tiedonmanipulointia ja häirintää käsittelevään </w:t>
      </w:r>
      <w:proofErr w:type="spellStart"/>
      <w:r w:rsidRPr="001B1F9B">
        <w:t>EUH:n</w:t>
      </w:r>
      <w:proofErr w:type="spellEnd"/>
      <w:r w:rsidRPr="001B1F9B">
        <w:t xml:space="preserve"> raporttiin, jolla pyritään parantamaan ulkomaisen tiedonmanipuloinnin ja häirinnän taktiikoiden tuntemusta ja edistämään yhteistyötä, muun muassa Euroopan unionin kyberturvallisuusviraston (ENISA) kanssa, </w:t>
      </w:r>
      <w:proofErr w:type="spellStart"/>
      <w:r w:rsidRPr="001B1F9B">
        <w:t>hlbtiqa</w:t>
      </w:r>
      <w:proofErr w:type="spellEnd"/>
      <w:r w:rsidRPr="001B1F9B">
        <w:t xml:space="preserve">+ -yhteisön suojelemiseksi; on huolissaan </w:t>
      </w:r>
      <w:proofErr w:type="spellStart"/>
      <w:r w:rsidRPr="001B1F9B">
        <w:t>hlbtiq</w:t>
      </w:r>
      <w:proofErr w:type="spellEnd"/>
      <w:r w:rsidRPr="001B1F9B">
        <w:t xml:space="preserve">+ -henkilöiden oikeuksien tilasta maailmanlaajuisesti sekä sukupuolten tasa-arvon, naisten oikeuksien ja seksuaali- ja lisääntymisterveyden ja -oikeuksien lisääntyvästä vastustuksesta kehitysmaissa; kehottaa komissiota ja </w:t>
      </w:r>
      <w:proofErr w:type="spellStart"/>
      <w:r w:rsidRPr="001B1F9B">
        <w:t>EUH:ta</w:t>
      </w:r>
      <w:proofErr w:type="spellEnd"/>
      <w:r w:rsidRPr="001B1F9B">
        <w:t xml:space="preserve"> käsittelemään näitä takaiskuja ja asettamaan etusijalle kohdennetun tuen näitä oikeuksia ajaville kansalaisyhteiskunnan järjestöille;</w:t>
      </w:r>
    </w:p>
    <w:p w14:paraId="415EAF5D" w14:textId="77777777" w:rsidR="001B1F9B" w:rsidRPr="001B1F9B" w:rsidRDefault="001B1F9B" w:rsidP="001B1F9B">
      <w:pPr>
        <w:pStyle w:val="NormalHanging12a"/>
        <w:widowControl/>
      </w:pPr>
      <w:r w:rsidRPr="001B1F9B">
        <w:t>41.</w:t>
      </w:r>
      <w:r w:rsidRPr="001B1F9B">
        <w:tab/>
        <w:t xml:space="preserve">panee merkille, että varapuheenjohtaja / korkea edustaja täsmensi heinäkuussa 2023 antamassaan päätöksessä, että väliaikaisten ja sopimussuhteisten toimihenkilöiden toimeksiannon enimmäiskesto </w:t>
      </w:r>
      <w:proofErr w:type="spellStart"/>
      <w:r w:rsidRPr="001B1F9B">
        <w:t>EUH:ssa</w:t>
      </w:r>
      <w:proofErr w:type="spellEnd"/>
      <w:r w:rsidRPr="001B1F9B">
        <w:t xml:space="preserve"> on kahdeksan vuotta 13 vuoden viiteajanjaksolla tai poikkeuksellisissa olosuhteissa ja yksikön edun vuoksi kymmenen vuotta 15 vuoden viiteajanjaksolla ja että vähimmäisaika jäsenvaltioiden kansallisesta ulkoasiainhallinnosta siirrettyjen väliaikaisten toimihenkilöiden peräkkäisten toimeksiantojen välillä on kaksi vuotta heidän viimeisimmän sopimuksensa päättymisestä;</w:t>
      </w:r>
    </w:p>
    <w:p w14:paraId="687A63D1" w14:textId="77777777" w:rsidR="001B1F9B" w:rsidRPr="001B1F9B" w:rsidRDefault="001B1F9B" w:rsidP="001B1F9B">
      <w:pPr>
        <w:pStyle w:val="NormalHanging12a"/>
        <w:widowControl/>
      </w:pPr>
      <w:r w:rsidRPr="001B1F9B">
        <w:t>42.</w:t>
      </w:r>
      <w:r w:rsidRPr="001B1F9B">
        <w:tab/>
        <w:t xml:space="preserve">toteaa, että vuoden 2023 lopussa 1 695 virkamiehestä ja väliaikaisesta toimihenkilöstä 863 oli miehiä (51 prosenttia) ja 832 naisia (49 prosenttia), mikä merkitsee hienoista lisäystä vuoteen 2022 verrattuna; panee merkille, että sopimussuhteisista toimihenkilöistä 57,4 prosenttia oli naisia, mikä on hieman enemmän kuin vuonna 2022; pitää kuitenkin valitettavana, että naiset ovat edelleen selvästi aliedustettuina ylemmän johdon tehtävissä, niin päätoimipaikassa kuin edustustoissakin, ja yliedustettuina pääasiassa AST-tehtävissä; kehottaa </w:t>
      </w:r>
      <w:proofErr w:type="spellStart"/>
      <w:r w:rsidRPr="001B1F9B">
        <w:t>EUH:ta</w:t>
      </w:r>
      <w:proofErr w:type="spellEnd"/>
      <w:r w:rsidRPr="001B1F9B">
        <w:t xml:space="preserve"> julkistamaan keskijohdon ja ylemmän johdon toimien sukupuoli- ja kansallisuusjakauman; pyytää </w:t>
      </w:r>
      <w:proofErr w:type="spellStart"/>
      <w:r w:rsidRPr="001B1F9B">
        <w:t>EUH:ta</w:t>
      </w:r>
      <w:proofErr w:type="spellEnd"/>
      <w:r w:rsidRPr="001B1F9B">
        <w:t xml:space="preserve"> puuttumaan tähän kysymykseen ja ottamaan samalla huomioon hakijoiden pätevyyden ja ansiot; on ilahtunut siitä, että vuoden 2023 henkilöstökierto koski 42:ta johtotehtävää edustustoissa ja sen tuloksena naispuolisten suurlähettiläiden määrä kasvoi 12 prosenttia ja että vuonna 2023 suurlähettiläistä 35,50 prosenttia oli naisia (nousua aiemmasta 31,70 prosentista), mikä merkitsee kuitenkin edelleen aliedustusta;</w:t>
      </w:r>
    </w:p>
    <w:p w14:paraId="3A542B62" w14:textId="77777777" w:rsidR="001B1F9B" w:rsidRPr="001B1F9B" w:rsidRDefault="001B1F9B" w:rsidP="001B1F9B">
      <w:pPr>
        <w:pStyle w:val="NormalHanging12a"/>
        <w:widowControl/>
      </w:pPr>
      <w:r w:rsidRPr="001B1F9B">
        <w:t>43.</w:t>
      </w:r>
      <w:r w:rsidRPr="001B1F9B">
        <w:tab/>
        <w:t xml:space="preserve">huomauttaa, että vaikka kaikki jäsenvaltiot ovat edustettuina </w:t>
      </w:r>
      <w:proofErr w:type="spellStart"/>
      <w:r w:rsidRPr="001B1F9B">
        <w:t>EUH:n</w:t>
      </w:r>
      <w:proofErr w:type="spellEnd"/>
      <w:r w:rsidRPr="001B1F9B">
        <w:t xml:space="preserve"> henkilöstössä, siinä on edelleen merkittävää epätasapainoa, sillä Belgia on eniten yliedustettu jäsenvaltio, jonka osuus koko </w:t>
      </w:r>
      <w:proofErr w:type="spellStart"/>
      <w:r w:rsidRPr="001B1F9B">
        <w:t>EUH:n</w:t>
      </w:r>
      <w:proofErr w:type="spellEnd"/>
      <w:r w:rsidRPr="001B1F9B">
        <w:t xml:space="preserve"> palveluksessa olevasta henkilöstöstä on 12,1 prosenttia; huomauttaa, että myös läntisten ja itäisten jäsenvaltioiden välille on keskittynyt merkittävää maantieteellistä epätasapainoa; toteaa myös, että esihenkilöiden osalta Italia on eniten yliedustettu jäsenvaltio, sillä 15 prosenttia kaikista johtotehtävistä on italialaisten hallussa; panee merkille, että unionin 141 suurlähettilään joukossa kolmella jäsenvaltiolla (Unkari, Luxemburg ja Malta) ei vieläkään ole yhtään lähettilään paikkaa, </w:t>
      </w:r>
      <w:r w:rsidRPr="001B1F9B">
        <w:lastRenderedPageBreak/>
        <w:t xml:space="preserve">kun taas eniten lähettiläitä on Ranskasta (22), Espanjasta ja Italiasta (16), Saksasta (12) ja Belgiasta (10), mikä tarkoittaa, että näillä viidellä maalla on 54 prosenttia kaikista suurlähettilään paikoista; kehottaa jälleen painokkaasti </w:t>
      </w:r>
      <w:proofErr w:type="spellStart"/>
      <w:r w:rsidRPr="001B1F9B">
        <w:t>EUH:ta</w:t>
      </w:r>
      <w:proofErr w:type="spellEnd"/>
      <w:r w:rsidRPr="001B1F9B">
        <w:t xml:space="preserve"> varmistamaan jatkossakin vakaan maantieteellisen tasapainon koko organisaatiossaan ja kaikilla tasoilla; toteaa jälleen olevansa huolissaan myös sukupuolijakaumasta; panee merkille, että naiset ovat selvästi aliedustettuina ylemmän johdon tehtävissä, kun taas erityisesti AST-tehtävissä he ovat yliedustettuina; kehottaa </w:t>
      </w:r>
      <w:proofErr w:type="spellStart"/>
      <w:r w:rsidRPr="001B1F9B">
        <w:t>EUH:ta</w:t>
      </w:r>
      <w:proofErr w:type="spellEnd"/>
      <w:r w:rsidRPr="001B1F9B">
        <w:t xml:space="preserve"> julkistamaan keskijohdon ja ylemmän johdon toimien sukupuoli- ja kansallisuusjakauman; pyytää </w:t>
      </w:r>
      <w:proofErr w:type="spellStart"/>
      <w:r w:rsidRPr="001B1F9B">
        <w:t>EUH:ta</w:t>
      </w:r>
      <w:proofErr w:type="spellEnd"/>
      <w:r w:rsidRPr="001B1F9B">
        <w:t xml:space="preserve"> puuttumaan tähän kysymykseen ja ottamaan samalla huomioon hakijoiden pätevyyden ja ansiot;</w:t>
      </w:r>
    </w:p>
    <w:p w14:paraId="4A111C01" w14:textId="77777777" w:rsidR="001B1F9B" w:rsidRPr="001B1F9B" w:rsidRDefault="001B1F9B" w:rsidP="001B1F9B">
      <w:pPr>
        <w:pStyle w:val="NormalHanging12a"/>
        <w:widowControl/>
      </w:pPr>
      <w:r w:rsidRPr="001B1F9B">
        <w:t>44.</w:t>
      </w:r>
      <w:r w:rsidRPr="001B1F9B">
        <w:tab/>
        <w:t xml:space="preserve">panee merkille, että vuonna 2023 toteutettiin merkittävä henkilöstökierto, joka koski 52:ta johtotehtävää edustustoissa; on ilahtunut </w:t>
      </w:r>
      <w:proofErr w:type="spellStart"/>
      <w:r w:rsidRPr="001B1F9B">
        <w:t>EUH:n</w:t>
      </w:r>
      <w:proofErr w:type="spellEnd"/>
      <w:r w:rsidRPr="001B1F9B">
        <w:t xml:space="preserve"> pyrkimyksistä lisätä jäsenvaltioiden tietoisuutta tarpeesta houkutella laaja valikoima ehdokkaita julkaistuihin toimiin ja ehdottaa päteviä ehdokkaita unionin suurlähettilään paikkoihin;</w:t>
      </w:r>
    </w:p>
    <w:p w14:paraId="0D6C1E32" w14:textId="77777777" w:rsidR="001B1F9B" w:rsidRPr="001B1F9B" w:rsidRDefault="001B1F9B" w:rsidP="001B1F9B">
      <w:pPr>
        <w:pStyle w:val="NormalHanging12a"/>
        <w:widowControl/>
        <w:rPr>
          <w:b/>
          <w:i/>
        </w:rPr>
      </w:pPr>
      <w:r w:rsidRPr="001B1F9B">
        <w:t>45.</w:t>
      </w:r>
      <w:r w:rsidRPr="001B1F9B">
        <w:tab/>
        <w:t xml:space="preserve">panee tyytyväisenä merkille, että EUH hyväksyi vuonna 2023 monimuotoisuutta ja osallisuutta koskevan toimintaohjelmansa vuosiksi 2023–2025 ja että kyseessä on yksityiskohtainen toimintasuunnitelma, jolla edistetään turvallista ja kunnioittavaa työympäristöä sekä nollatoleranssia häirinnän suhteen; panee merkille, että henkilöstön edustajia, henkilöstön yhdistyksiä ja yhtäläisiä mahdollisuuksia käsittelevää sekakomiteaa, joka nimettiin uudelleen monimuotoisuuden ja osallisuuden sekakomiteaksi, kuultiin kummastakin asiakirjasta; toteaa, että toimintasuunnitelmaan sisältyy häirinnän vastaisia ennaltaehkäiseviä toimenpiteitä, kuten koko henkilöstölle tarkoitettu pakollinen verkko-opiskeluna suoritettava valmennuskurssi ”Työpaikkahäirinnän tunnistaminen ja siihen puuttuminen” ja pakollinen johtamiskoulutus aiheesta ”Miten luoda häirinnästä vapaa työympäristö”; kehottaa </w:t>
      </w:r>
      <w:proofErr w:type="spellStart"/>
      <w:r w:rsidRPr="001B1F9B">
        <w:t>EUH:ta</w:t>
      </w:r>
      <w:proofErr w:type="spellEnd"/>
      <w:r w:rsidRPr="001B1F9B">
        <w:t xml:space="preserve"> jatkossakin kouluttamaan säännöllisesti esihenkilöitä ja muuta henkilöstöä moninaisuutta, yhdenvertaisuutta, osallisuutta ja yhteenkuuluvuutta koskevissa kysymyksissä;</w:t>
      </w:r>
    </w:p>
    <w:p w14:paraId="07CF10C0" w14:textId="77777777" w:rsidR="001B1F9B" w:rsidRPr="001B1F9B" w:rsidRDefault="001B1F9B" w:rsidP="001B1F9B">
      <w:pPr>
        <w:pStyle w:val="NormalHanging12a"/>
        <w:widowControl/>
        <w:rPr>
          <w:b/>
          <w:i/>
        </w:rPr>
      </w:pPr>
      <w:r w:rsidRPr="001B1F9B">
        <w:t>46.</w:t>
      </w:r>
      <w:r w:rsidRPr="001B1F9B">
        <w:tab/>
        <w:t xml:space="preserve">panee huolestuneena merkille, että EUH sai vuonna 2023 kolme avunpyyntöä, jotka liittyivät väitettyyn työpaikkakiusaamiseen, jossa oli osallisena kaksi virkamiestä, ja tämä johti kahteen hallinnolliseen tutkimukseen, joista toinen on yhä meneillään ja toisen päätteeksi määrättiin kurinpitoseuraamus; panee merkille, että </w:t>
      </w:r>
      <w:proofErr w:type="spellStart"/>
      <w:r w:rsidRPr="001B1F9B">
        <w:t>EUH:n</w:t>
      </w:r>
      <w:proofErr w:type="spellEnd"/>
      <w:r w:rsidRPr="001B1F9B">
        <w:t xml:space="preserve"> sovitteluyksikkö käsitteli epävirallisessa menettelyssä 28:aa väitettyyn työpaikkakiusaamiseen ja kymmentä seksuaaliseen häirintään liittynyttä tapausta ja häirintäyhdyshenkilöt käsittelivät 21:tä väitettyyn työpaikkakiusaamiseen ja kuutta seksuaaliseen häirintään liittynyttä tapausta vuonna 2023; toteaa, että EUH laati vuonna 2023 edustustojen paikalliselle henkilöstölle tarkoitetun häirinnän torjuntaa koskevan päätöksen, joka hyväksyttiin kesäkuussa 2024; panee merkille </w:t>
      </w:r>
      <w:proofErr w:type="spellStart"/>
      <w:r w:rsidRPr="001B1F9B">
        <w:t>EUH:n</w:t>
      </w:r>
      <w:proofErr w:type="spellEnd"/>
      <w:r w:rsidRPr="001B1F9B">
        <w:t xml:space="preserve"> pyrkimykset vahvistaa häirinnän torjunnan toimintaperiaatteitaan, mukaan lukien pakollisten verkko-oppimismoduulien käyttöönotto tietoisuuden lisäämiseksi ja Istanbulin yleissopimus -työryhmän perustaminen tavoitteena määrittää toimenpiteitä, joilla varmistetaan turvallisempi työpaikka kaikille; ilmaisee kuitenkin vakavan huolensa jatkuvasti suuresta häirintätapausten määrästä; kehottaa </w:t>
      </w:r>
      <w:proofErr w:type="spellStart"/>
      <w:r w:rsidRPr="001B1F9B">
        <w:t>EUH:ta</w:t>
      </w:r>
      <w:proofErr w:type="spellEnd"/>
      <w:r w:rsidRPr="001B1F9B">
        <w:t xml:space="preserve"> toteuttamaan vahvempia ennaltaehkäisytoimenpiteitä, uhrien tukitoimenpiteitä ja tiukkoja kurinpitotoimenpiteitä, jotta varmistetaan nollatoleranssi häirintään ja turvallinen työympäristö;</w:t>
      </w:r>
    </w:p>
    <w:p w14:paraId="2DC24C26" w14:textId="77777777" w:rsidR="001B1F9B" w:rsidRPr="001B1F9B" w:rsidRDefault="001B1F9B" w:rsidP="001B1F9B">
      <w:pPr>
        <w:pStyle w:val="NormalHanging12a"/>
        <w:widowControl/>
      </w:pPr>
      <w:r w:rsidRPr="001B1F9B">
        <w:t>47.</w:t>
      </w:r>
      <w:r w:rsidRPr="001B1F9B">
        <w:tab/>
        <w:t xml:space="preserve">panee merkille, että EUH toteutti vuonna 2023 useita toimenpiteitä varmistaakseen henkilöstönsä fyysisen ja henkisen hyvinvoinnin, mukaan lukien järjestelmällinen </w:t>
      </w:r>
      <w:r w:rsidRPr="001B1F9B">
        <w:lastRenderedPageBreak/>
        <w:t xml:space="preserve">terveystarkastus koko henkilöstölle ennen edustustoon lähettämistä, psykologinen tuki ja tietoisuutta lisäävät toimet; toteaa, että lokakuussa 2023 tehtiin kaksi päätöstä työajasta ja joustavista työjärjestelyistä, minkä jälkeen joustavasta työajasta tuli oletusarvoinen työaikajärjestely </w:t>
      </w:r>
      <w:proofErr w:type="spellStart"/>
      <w:r w:rsidRPr="001B1F9B">
        <w:t>EUH:n</w:t>
      </w:r>
      <w:proofErr w:type="spellEnd"/>
      <w:r w:rsidRPr="001B1F9B">
        <w:t xml:space="preserve"> päätoimipaikassa ja edustustoissa koko henkilöstölle esihenkilöitä lukuun ottamatta; panee myös merkille, että päätöksillä sallitaan etätyö enintään kahtena päivänä viikossa </w:t>
      </w:r>
      <w:proofErr w:type="spellStart"/>
      <w:r w:rsidRPr="001B1F9B">
        <w:t>EUH:n</w:t>
      </w:r>
      <w:proofErr w:type="spellEnd"/>
      <w:r w:rsidRPr="001B1F9B">
        <w:t xml:space="preserve"> päätoimipaikassa ja yhtenä päivänä viikossa edustustoissa sekä etätyö kymmenenä päivänä vuodessa asemapaikan ulkopuolella kaikille; toteaa, että pidempiaikainen poikkeuksellinen etätyö on edelleen ollut mahdollista kriisitilanteissa tai lääketieteellisistä tai muista pakottavista syistä;</w:t>
      </w:r>
    </w:p>
    <w:p w14:paraId="11F022B4" w14:textId="77777777" w:rsidR="001B1F9B" w:rsidRPr="001B1F9B" w:rsidRDefault="001B1F9B" w:rsidP="001B1F9B">
      <w:pPr>
        <w:pStyle w:val="NormalHanging12a"/>
        <w:widowControl/>
      </w:pPr>
      <w:r w:rsidRPr="001B1F9B">
        <w:t>48.</w:t>
      </w:r>
      <w:r w:rsidRPr="001B1F9B">
        <w:tab/>
        <w:t xml:space="preserve">on huolissaan siitä, että yli 50 päivän pitkäaikaisella sairauslomalla olevien </w:t>
      </w:r>
      <w:proofErr w:type="spellStart"/>
      <w:r w:rsidRPr="001B1F9B">
        <w:t>EUH:n</w:t>
      </w:r>
      <w:proofErr w:type="spellEnd"/>
      <w:r w:rsidRPr="001B1F9B">
        <w:t xml:space="preserve"> henkilöstön jäsenten määrä kasvoi 111:stä 171:een henkilöstön jäseneen vuodesta 2022 vuoteen 2023, mikä vastaa 54 prosentin lisäystä; toteaa, että työterveysasema toteutti työuupumusriskin ehkäisemiseksi useita toimenpiteitä, joihin kuuluivat psykiatrin palkkaaminen joulukuussa 2023 ja sairausloman entistä järjestelmällisempi seuranta työterveysasemalla, psykologinen tuki ja neuvonta sekä henkilöstölle että esihenkilöille, tietoisuutta lisäävät toimet ja mielenterveystukihenkilöiden verkoston perustaminen; korostaa, että esihenkilöiden on varmistettava reilu työnjako ja otettava käyttöön ohjeistusta ja joustavia työjärjestelyjä; kehottaa </w:t>
      </w:r>
      <w:proofErr w:type="spellStart"/>
      <w:r w:rsidRPr="001B1F9B">
        <w:t>EUH:ta</w:t>
      </w:r>
      <w:proofErr w:type="spellEnd"/>
      <w:r w:rsidRPr="001B1F9B">
        <w:t xml:space="preserve"> omaksumaan ennakoivan lähestymistavan pitkäaikaisen sairastumisen ja työuupumuksen ehkäisemiseksi niin, että sen henkilöstön henkinen hyvinvointi asetetaan etusijalle vaikuttavien tukitoimenpiteiden avulla;</w:t>
      </w:r>
    </w:p>
    <w:p w14:paraId="446FFF26" w14:textId="77777777" w:rsidR="001B1F9B" w:rsidRPr="001B1F9B" w:rsidRDefault="001B1F9B" w:rsidP="001B1F9B">
      <w:pPr>
        <w:pStyle w:val="NormalHanging12a"/>
        <w:widowControl/>
      </w:pPr>
      <w:r w:rsidRPr="001B1F9B">
        <w:t>49.</w:t>
      </w:r>
      <w:r w:rsidRPr="001B1F9B">
        <w:tab/>
        <w:t xml:space="preserve">panee merkille, että harjoittelijoiden määrä väheni talousarviorajoitusten vuoksi; kehottaa </w:t>
      </w:r>
      <w:proofErr w:type="spellStart"/>
      <w:r w:rsidRPr="001B1F9B">
        <w:t>EUH:ta</w:t>
      </w:r>
      <w:proofErr w:type="spellEnd"/>
      <w:r w:rsidRPr="001B1F9B">
        <w:t xml:space="preserve"> antamaan tietoja päätoimipaikassa ja edustustoissa työskentelevien harjoittelijoiden työoloista ja -ehdoista sekä palkoista;</w:t>
      </w:r>
    </w:p>
    <w:p w14:paraId="179C31A5" w14:textId="77777777" w:rsidR="001B1F9B" w:rsidRPr="001B1F9B" w:rsidRDefault="001B1F9B" w:rsidP="004B6813">
      <w:pPr>
        <w:pStyle w:val="NormalHanging12a"/>
        <w:keepNext/>
        <w:widowControl/>
        <w:ind w:left="0" w:firstLine="0"/>
        <w:rPr>
          <w:b/>
          <w:iCs/>
        </w:rPr>
      </w:pPr>
      <w:r w:rsidRPr="001B1F9B">
        <w:rPr>
          <w:b/>
          <w:iCs/>
        </w:rPr>
        <w:t>Eettiset toimintapuitteet ja avoimuus</w:t>
      </w:r>
    </w:p>
    <w:p w14:paraId="5E293C70" w14:textId="77777777" w:rsidR="001B1F9B" w:rsidRPr="001B1F9B" w:rsidRDefault="001B1F9B" w:rsidP="001B1F9B">
      <w:pPr>
        <w:pStyle w:val="NormalHanging12a"/>
        <w:widowControl/>
        <w:rPr>
          <w:b/>
          <w:i/>
        </w:rPr>
      </w:pPr>
      <w:r w:rsidRPr="001B1F9B">
        <w:t>50.</w:t>
      </w:r>
      <w:r w:rsidRPr="001B1F9B">
        <w:tab/>
        <w:t xml:space="preserve">panee merkille, että EUH paransi eettisiä toimintapuitteitaan vuonna 2023 antamalla uusia ohjeita, joissa kielletään eturistiriitojen välttämiseksi virkamatkat, joiden kustannukset maksetaan osittain tai kokonaan ulkoisista lähteistä, tai rajoitetaan tällaisia virkamatkoja, ja lähettämällä koko henkilöstölle muistutuksen eettisestä toiminnasta; panee merkille, että EUH keskittyi myös järjestämään eettistä toimintaa, eturistiriitoja, sisäistä valvontaa ja petostentorjuntaa käsitteleviä erityisiä valmennuskursseja, jotka oli suunnattu ja mukautettu eri kohdeyleisöille </w:t>
      </w:r>
      <w:proofErr w:type="spellStart"/>
      <w:r w:rsidRPr="001B1F9B">
        <w:t>EUH:n</w:t>
      </w:r>
      <w:proofErr w:type="spellEnd"/>
      <w:r w:rsidRPr="001B1F9B">
        <w:t xml:space="preserve"> päätoimipaikassa ja edustustoissa; toteaa myös, että vuonna 2022 hyväksyttyjä 16:ta ”ammatillisen toimintatavan periaatetta” jaetaan yhä uusille tulokkaille ja tehdään laajalti tunnetuksi, varsinkin etiikkaa ja lahjomattomuutta sekä häirinnän vastaisia toimintaperiaatteita käsittelevillä kursseilla; pyytää, että EUH tiedottaa parlamentille eettisiin toimintapuitteisiinsa liittyvästä tulevasta kehityksestä; kehottaa </w:t>
      </w:r>
      <w:proofErr w:type="spellStart"/>
      <w:r w:rsidRPr="001B1F9B">
        <w:t>EUH:ta</w:t>
      </w:r>
      <w:proofErr w:type="spellEnd"/>
      <w:r w:rsidRPr="001B1F9B">
        <w:t xml:space="preserve"> tarjoamaan säännöllistä pakollista koulutusta eettisestä toiminnasta, mukaan lukien tekoälyn eettinen käyttö, ja vastuuvelvollisuudesta;</w:t>
      </w:r>
    </w:p>
    <w:p w14:paraId="6F00890C" w14:textId="77777777" w:rsidR="001B1F9B" w:rsidRPr="001B1F9B" w:rsidRDefault="001B1F9B" w:rsidP="001B1F9B">
      <w:pPr>
        <w:pStyle w:val="NormalHanging12a"/>
        <w:widowControl/>
        <w:rPr>
          <w:b/>
          <w:i/>
        </w:rPr>
      </w:pPr>
      <w:r w:rsidRPr="001B1F9B">
        <w:t>51.</w:t>
      </w:r>
      <w:r w:rsidRPr="001B1F9B">
        <w:tab/>
        <w:t xml:space="preserve">on ilahtunut siitä, että EUH hyväksyi lokakuussa 2023 koko henkilöstöön </w:t>
      </w:r>
      <w:proofErr w:type="spellStart"/>
      <w:r w:rsidRPr="001B1F9B">
        <w:t>EUH:n</w:t>
      </w:r>
      <w:proofErr w:type="spellEnd"/>
      <w:r w:rsidRPr="001B1F9B">
        <w:t xml:space="preserve"> päätoimipaikassa ja edustustoissa sovellettavan uuden petostentorjuntastrategian, joka oli tulosta petoksiin liittyvien riskien perusteellisesta arviointiprosessista ja jonka OLAF virallisesti vahvisti; suhtautuu myönteisesti siihen, että EUH näki erityisen paljon vaivaa henkilöstön koulutuksen ja ohjauksen eteen, varsinkin joulukuussa 2022 perustetun petostentorjuntasolun avulla; panee merkille, että unionin edustustoihin lähetetty </w:t>
      </w:r>
      <w:proofErr w:type="spellStart"/>
      <w:r w:rsidRPr="001B1F9B">
        <w:t>EUH:n</w:t>
      </w:r>
      <w:proofErr w:type="spellEnd"/>
      <w:r w:rsidRPr="001B1F9B">
        <w:t xml:space="preserve"> henkilöstö osallistui aktiivisesti useisiin työpajoihin ja seminaareihin, </w:t>
      </w:r>
      <w:r w:rsidRPr="001B1F9B">
        <w:lastRenderedPageBreak/>
        <w:t>joissa käsiteltiin petoksiin liittyvää tietoisuutta ja petosten ennaltaehkäisyä, että erääseen unionin edustustoon äskettäin lähetetty henkilöstö sai järjestelmällisesti koulutusta näistä kysymyksistä ennen tehtävien aloittamista ja että petostentorjuntaan liittyvää intranetsivua parannettiin niin, että voitiin helpottaa mahdollisten petostapausten ilmoittamista ja tarjota monipuolisempia vaihtoehtoja petostentorjuntakoulutukseen;</w:t>
      </w:r>
      <w:r w:rsidRPr="001B1F9B">
        <w:rPr>
          <w:b/>
          <w:i/>
        </w:rPr>
        <w:t xml:space="preserve"> </w:t>
      </w:r>
      <w:r w:rsidRPr="001B1F9B">
        <w:t xml:space="preserve">pyytää </w:t>
      </w:r>
      <w:proofErr w:type="spellStart"/>
      <w:r w:rsidRPr="001B1F9B">
        <w:t>EUH:ta</w:t>
      </w:r>
      <w:proofErr w:type="spellEnd"/>
      <w:r w:rsidRPr="001B1F9B">
        <w:t xml:space="preserve"> järjestämään petosten tiedostamista ja ehkäisemistä koskevaa säännöllistä pakollista koulutusta koko henkilöstölle;</w:t>
      </w:r>
    </w:p>
    <w:p w14:paraId="029694F0" w14:textId="77777777" w:rsidR="001B1F9B" w:rsidRPr="001B1F9B" w:rsidRDefault="001B1F9B" w:rsidP="001B1F9B">
      <w:pPr>
        <w:pStyle w:val="NormalHanging12a"/>
        <w:widowControl/>
      </w:pPr>
      <w:r w:rsidRPr="001B1F9B">
        <w:t>52.</w:t>
      </w:r>
      <w:r w:rsidRPr="001B1F9B">
        <w:tab/>
        <w:t xml:space="preserve">panee merkille, ettei </w:t>
      </w:r>
      <w:proofErr w:type="spellStart"/>
      <w:r w:rsidRPr="001B1F9B">
        <w:t>EUH:ssa</w:t>
      </w:r>
      <w:proofErr w:type="spellEnd"/>
      <w:r w:rsidRPr="001B1F9B">
        <w:t xml:space="preserve"> ollut yhtään väärinkäytösten paljastamiseen liittyvää tapausta vuonna 2023; panee tyytyväisenä merkille, että uuden petostentorjuntastrategian mukaisesti EUH alkoi vuonna 2023 kehittää väärinkäytösten paljastajien suojelua koskevia erillisiä toimintaperiaatteita; pyytää, että parlamentille tiedotetaan niiden hyväksymisestä, jonka on määrä tapahtua vuonna 2025, ja niiden täytäntöönpanosta kautta linjan;</w:t>
      </w:r>
    </w:p>
    <w:p w14:paraId="65DC6D2A" w14:textId="77777777" w:rsidR="001B1F9B" w:rsidRPr="001B1F9B" w:rsidRDefault="001B1F9B" w:rsidP="001B1F9B">
      <w:pPr>
        <w:pStyle w:val="NormalHanging12a"/>
        <w:widowControl/>
      </w:pPr>
      <w:r w:rsidRPr="001B1F9B">
        <w:t>53.</w:t>
      </w:r>
      <w:r w:rsidRPr="001B1F9B">
        <w:tab/>
        <w:t xml:space="preserve">panee merkille, että EUH sai vuonna 2023 viisi eturistiriitoja koskevaa ilmoitusta, jotka käsiteltiin sovellettavien sääntöjen mukaisesti; panee merkille, että tapauksessa, joka koski erästä arviointikomitean jäsentä hankintamenettelyssä, </w:t>
      </w:r>
      <w:proofErr w:type="spellStart"/>
      <w:r w:rsidRPr="001B1F9B">
        <w:t>edelleenvaltuutettu</w:t>
      </w:r>
      <w:proofErr w:type="spellEnd"/>
      <w:r w:rsidRPr="001B1F9B">
        <w:t xml:space="preserve"> tulojen ja menojen hyväksyjä totesi, että kyseessä oli mahdollinen eturistiriita, ja vapautti kyseisen henkilöstön jäsenen arviointikomitean jäsenen tehtävistä;</w:t>
      </w:r>
    </w:p>
    <w:p w14:paraId="5454C405" w14:textId="77777777" w:rsidR="001B1F9B" w:rsidRPr="001B1F9B" w:rsidRDefault="001B1F9B" w:rsidP="001B1F9B">
      <w:pPr>
        <w:pStyle w:val="NormalHanging12a"/>
        <w:widowControl/>
      </w:pPr>
      <w:r w:rsidRPr="001B1F9B">
        <w:t>54.</w:t>
      </w:r>
      <w:r w:rsidRPr="001B1F9B">
        <w:tab/>
        <w:t xml:space="preserve">panee huolestuneena merkille, että OLAF aloitti vuonna 2023 kahdeksan tutkimusta, jotka ovat vielä kesken ja jotka koskivat mahdollisia väärinkäytöksiä hankintamenettelyjen ja sopimusten täytäntöönpanon yhteydessä, avustussopimuksia tai henkilöresurssiasioihin liittyviä mahdollisia sääntöjenvastaisuuksia; huomauttaa, että vuonna 2023 avoinna olleet tapaukset koskivat virkamiehiä, väliaikaisia toimihenkilöitä ja paikallisia toimihenkilöitä sekä </w:t>
      </w:r>
      <w:proofErr w:type="spellStart"/>
      <w:r w:rsidRPr="001B1F9B">
        <w:t>EUH:n</w:t>
      </w:r>
      <w:proofErr w:type="spellEnd"/>
      <w:r w:rsidRPr="001B1F9B">
        <w:t xml:space="preserve"> päätoimipaikassa että edustustoissa; pyytää, että parlamentille tiedotetaan näiden tutkimusten jatkotoimista; panee merkille, että kahdeksan entistä ja nykyistä henkilöstöä koskenutta vanhempaa tapausta saatiin päätökseen ja että viidessä tapauksessa annettiin suosituksia jatkotoimista; toteaa, että EUH on säännöllisesti yhteydessä </w:t>
      </w:r>
      <w:proofErr w:type="spellStart"/>
      <w:r w:rsidRPr="001B1F9B">
        <w:t>OLAFiin</w:t>
      </w:r>
      <w:proofErr w:type="spellEnd"/>
      <w:r w:rsidRPr="001B1F9B">
        <w:t xml:space="preserve"> petostentorjuntasolunsa kautta ja varmistaa </w:t>
      </w:r>
      <w:proofErr w:type="spellStart"/>
      <w:r w:rsidRPr="001B1F9B">
        <w:t>OLAFin</w:t>
      </w:r>
      <w:proofErr w:type="spellEnd"/>
      <w:r w:rsidRPr="001B1F9B">
        <w:t xml:space="preserve"> suositusten oikea-aikaiset jatkotoimet; pyytää, että parlamentille tiedotetaan suositusten täytäntöönpanosta;</w:t>
      </w:r>
    </w:p>
    <w:p w14:paraId="52F0C38A" w14:textId="77777777" w:rsidR="001B1F9B" w:rsidRPr="001B1F9B" w:rsidRDefault="001B1F9B" w:rsidP="001B1F9B">
      <w:pPr>
        <w:pStyle w:val="NormalHanging12a"/>
        <w:widowControl/>
      </w:pPr>
      <w:r w:rsidRPr="001B1F9B">
        <w:t>55.</w:t>
      </w:r>
      <w:r w:rsidRPr="001B1F9B">
        <w:tab/>
        <w:t xml:space="preserve">panee merkille, että vuonna 2023 EUH käsitteli kymmenen oikeusasiamiehen tiedustelua, joista yhdeksän koski hallinnollisia menettelyjä ja yksi asiakirjojen saatavuutta koskevaa pyyntöä; panee merkille, että oikeusasiamies ei havainnut hallinnollisia epäkohtia tai osittaisia hallinnollisia epäkohtia eikä antanut </w:t>
      </w:r>
      <w:proofErr w:type="spellStart"/>
      <w:r w:rsidRPr="001B1F9B">
        <w:t>EUH:lle</w:t>
      </w:r>
      <w:proofErr w:type="spellEnd"/>
      <w:r w:rsidRPr="001B1F9B">
        <w:t xml:space="preserve"> yhtään suositusta;</w:t>
      </w:r>
    </w:p>
    <w:p w14:paraId="798A6929" w14:textId="77777777" w:rsidR="001B1F9B" w:rsidRPr="001B1F9B" w:rsidRDefault="001B1F9B" w:rsidP="001B1F9B">
      <w:pPr>
        <w:pStyle w:val="NormalHanging12a"/>
        <w:widowControl/>
        <w:rPr>
          <w:b/>
          <w:i/>
        </w:rPr>
      </w:pPr>
      <w:r w:rsidRPr="001B1F9B">
        <w:t>56.</w:t>
      </w:r>
      <w:r w:rsidRPr="001B1F9B">
        <w:rPr>
          <w:b/>
          <w:i/>
        </w:rPr>
        <w:tab/>
      </w:r>
      <w:r w:rsidRPr="001B1F9B">
        <w:t>panee merkille kaikki toimet, joilla pyritään lisäämään tietoisuutta ulkopuolisesta toiminnasta; muistuttaa parlamentin pyynnöstä hyväksyä itsenäisiä täytäntöönpanomääräyksiä ulkopuolisesta toiminnasta ja ulkopuolisista toimeksiannoista unionin imagon ja maineen suojelemiseksi erityisesti edustustojen päälliköiden tapauksessa;</w:t>
      </w:r>
    </w:p>
    <w:p w14:paraId="4DF1368A" w14:textId="77777777" w:rsidR="001B1F9B" w:rsidRPr="001B1F9B" w:rsidRDefault="001B1F9B" w:rsidP="001B1F9B">
      <w:pPr>
        <w:pStyle w:val="NormalHanging12a"/>
        <w:widowControl/>
        <w:rPr>
          <w:b/>
          <w:i/>
        </w:rPr>
      </w:pPr>
      <w:r w:rsidRPr="001B1F9B">
        <w:t>57.</w:t>
      </w:r>
      <w:r w:rsidRPr="001B1F9B">
        <w:tab/>
        <w:t xml:space="preserve">toteaa, että avoimuusrekisterin säännöt sitovat varapuheenjohtajaa / korkeaa edustajaa komission varapuheenjohtajana; korostaa, että vaikka EUH ei ole Euroopan unionista tehdyn sopimuksen 13 artiklassa tarkoitettu toimielin eikä sillä ole suoraa roolia unionin oikeudessa, sillä on kuitenkin tärkeä unionin oikeuteen liittyvä rooli, kun on kyse pakotteita koskevista päätöksistä ja kansainvälisiä kauppasopimuksia koskevista </w:t>
      </w:r>
      <w:r w:rsidRPr="001B1F9B">
        <w:lastRenderedPageBreak/>
        <w:t xml:space="preserve">neuvotteluista, joilla on huomattava sääntelyvaikutus; toteaa, että </w:t>
      </w:r>
      <w:proofErr w:type="spellStart"/>
      <w:r w:rsidRPr="001B1F9B">
        <w:t>EUH:n</w:t>
      </w:r>
      <w:proofErr w:type="spellEnd"/>
      <w:r w:rsidRPr="001B1F9B">
        <w:t xml:space="preserve"> olisi erittäin tärkeää hyväksyä avoimuustoimenpiteitä, ilmoittaa niistä avoimuusrekisterin hallintoneuvostolle ja liittyä rekisteriin; kehottaa </w:t>
      </w:r>
      <w:proofErr w:type="spellStart"/>
      <w:r w:rsidRPr="001B1F9B">
        <w:t>EUH:ta</w:t>
      </w:r>
      <w:proofErr w:type="spellEnd"/>
      <w:r w:rsidRPr="001B1F9B">
        <w:t xml:space="preserve"> julkaisemaan avoimuuden parantamiseksi kaikki tapaamisensa kaikenlaisten edunvalvontaorganisaatioiden kanssa, myös unionin edustustojen päälliköiden tapaamiset; pyytää, että parlamentille tiedotetaan kaikista </w:t>
      </w:r>
      <w:proofErr w:type="spellStart"/>
      <w:r w:rsidRPr="001B1F9B">
        <w:t>EUH:n</w:t>
      </w:r>
      <w:proofErr w:type="spellEnd"/>
      <w:r w:rsidRPr="001B1F9B">
        <w:t xml:space="preserve"> avoimuuden parantamiseksi toteuttamista uusista aloitteista; toteaa jälleen, että on tärkeää edelleen lujittaa unionin demokraattista valvontaa ja vaalia korkeatasoista vastuuvelvollisuutta ja avoimuutta toimittaessa kansalaisyhteiskunnan järjestöjen kanssa; pyytää unionin edustustoja varmistamaan, että kolmansien maiden kansalaisyhteiskunnan järjestöille ja työmarkkinaosapuolille myönnettyjä unionin varoja käytetään unionin arvojen, toimintapolitiikkojen ja varainhoitosääntöjen mukaisesti;</w:t>
      </w:r>
    </w:p>
    <w:p w14:paraId="39C634A9" w14:textId="77777777" w:rsidR="001B1F9B" w:rsidRPr="001B1F9B" w:rsidRDefault="001B1F9B" w:rsidP="001B1F9B">
      <w:pPr>
        <w:pStyle w:val="NormalHanging12a"/>
        <w:widowControl/>
        <w:rPr>
          <w:b/>
          <w:i/>
        </w:rPr>
      </w:pPr>
      <w:r w:rsidRPr="001B1F9B">
        <w:t>58.</w:t>
      </w:r>
      <w:r w:rsidRPr="001B1F9B">
        <w:tab/>
        <w:t xml:space="preserve">kehottaa </w:t>
      </w:r>
      <w:proofErr w:type="spellStart"/>
      <w:r w:rsidRPr="001B1F9B">
        <w:t>EUH:ta</w:t>
      </w:r>
      <w:proofErr w:type="spellEnd"/>
      <w:r w:rsidRPr="001B1F9B">
        <w:t xml:space="preserve"> liittymään EU:n avoimuusrekisteriin mukauttaakseen käytäntönsä parlamentin ja komission kanssa ja varmistaakseen, että puolustukseen ja diplomaattisiin asioihin liittyvät edunvalvontatoimet ja taloudelliset edut julkistetaan kaikilta osin;</w:t>
      </w:r>
    </w:p>
    <w:p w14:paraId="03DEF9C9" w14:textId="77777777" w:rsidR="001B1F9B" w:rsidRPr="001B1F9B" w:rsidRDefault="001B1F9B" w:rsidP="004B6813">
      <w:pPr>
        <w:pStyle w:val="NormalHanging12a"/>
        <w:keepNext/>
        <w:widowControl/>
        <w:ind w:left="0" w:firstLine="0"/>
        <w:rPr>
          <w:b/>
          <w:iCs/>
        </w:rPr>
      </w:pPr>
      <w:r w:rsidRPr="001B1F9B">
        <w:rPr>
          <w:b/>
          <w:iCs/>
        </w:rPr>
        <w:t>Digitalisaatio, kyberturvallisuus ja tietosuoja</w:t>
      </w:r>
    </w:p>
    <w:p w14:paraId="1C2144F3" w14:textId="77777777" w:rsidR="001B1F9B" w:rsidRPr="001B1F9B" w:rsidRDefault="001B1F9B" w:rsidP="001B1F9B">
      <w:pPr>
        <w:pStyle w:val="NormalHanging12a"/>
        <w:widowControl/>
      </w:pPr>
      <w:r w:rsidRPr="001B1F9B">
        <w:t>59.</w:t>
      </w:r>
      <w:r w:rsidRPr="001B1F9B">
        <w:tab/>
        <w:t>panee merkille, että IT-hankkeista ja -laitteista ja kyberturvallisuudesta aiheutuneet menot kasvoivat 19,7 miljoonasta eurosta vuonna 2022 aina 29,9 miljoonaan euroon vuonna 2023, mikä vastaa 52 prosentin lisäystä; toteaa, että EUH käynnisti vuonna 2023 merkittäviä digitalisaatiohankkeita, kuten HIVE-yhteistyöalustan kaikille käyttäjille päätoimipaikassa ja edustustoissa, ja otti käyttöön EC3IS-järjestelmän (</w:t>
      </w:r>
      <w:proofErr w:type="spellStart"/>
      <w:r w:rsidRPr="001B1F9B">
        <w:t>Corporate</w:t>
      </w:r>
      <w:proofErr w:type="spellEnd"/>
      <w:r w:rsidRPr="001B1F9B">
        <w:t xml:space="preserve"> </w:t>
      </w:r>
      <w:proofErr w:type="spellStart"/>
      <w:r w:rsidRPr="001B1F9B">
        <w:t>Classified</w:t>
      </w:r>
      <w:proofErr w:type="spellEnd"/>
      <w:r w:rsidRPr="001B1F9B">
        <w:t xml:space="preserve"> </w:t>
      </w:r>
      <w:proofErr w:type="spellStart"/>
      <w:r w:rsidRPr="001B1F9B">
        <w:t>Communications</w:t>
      </w:r>
      <w:proofErr w:type="spellEnd"/>
      <w:r w:rsidRPr="001B1F9B">
        <w:t xml:space="preserve"> and </w:t>
      </w:r>
      <w:proofErr w:type="spellStart"/>
      <w:r w:rsidRPr="001B1F9B">
        <w:t>Information</w:t>
      </w:r>
      <w:proofErr w:type="spellEnd"/>
      <w:r w:rsidRPr="001B1F9B">
        <w:t xml:space="preserve"> System) </w:t>
      </w:r>
      <w:proofErr w:type="spellStart"/>
      <w:r w:rsidRPr="001B1F9B">
        <w:t>EUH:n</w:t>
      </w:r>
      <w:proofErr w:type="spellEnd"/>
      <w:r w:rsidRPr="001B1F9B">
        <w:t xml:space="preserve"> päätoimipaikassa ennen sen asteittaista käyttöönottoa arkaluonteisissa edustustoissa ja sen liittämistä vastaaviin järjestelmiin komissiossa ja neuvostossa;</w:t>
      </w:r>
    </w:p>
    <w:p w14:paraId="435EE935" w14:textId="77777777" w:rsidR="001B1F9B" w:rsidRPr="001B1F9B" w:rsidRDefault="001B1F9B" w:rsidP="001B1F9B">
      <w:pPr>
        <w:pStyle w:val="NormalHanging12a"/>
        <w:widowControl/>
        <w:rPr>
          <w:b/>
          <w:i/>
        </w:rPr>
      </w:pPr>
      <w:r w:rsidRPr="001B1F9B">
        <w:t>60.</w:t>
      </w:r>
      <w:r w:rsidRPr="001B1F9B">
        <w:tab/>
        <w:t>panee merkille, että vuonna 2023 EUH ryhtyi ylläpitämään ja valvomaan tekoäly-ympäristöä, jotta voitaisiin ottaa käyttöön kattava tekoälyn hallinnointimalli; toteaa, että tämä tekninen toimenpide muodosti perustan generatiivisen tekoälyn käyttöä koskevien suuntaviivojen ja tekoälystrategian hyväksymiselle vuonna 2024 sekä konseptitodistusten suorittamiselle; pyytää, että parlamentille tiedotetaan tekoälystrategian kehittämisestä;</w:t>
      </w:r>
    </w:p>
    <w:p w14:paraId="2B25624F" w14:textId="77777777" w:rsidR="001B1F9B" w:rsidRPr="001B1F9B" w:rsidRDefault="001B1F9B" w:rsidP="001B1F9B">
      <w:pPr>
        <w:pStyle w:val="NormalHanging12a"/>
        <w:widowControl/>
        <w:rPr>
          <w:b/>
          <w:i/>
        </w:rPr>
      </w:pPr>
      <w:r w:rsidRPr="001B1F9B">
        <w:t>61.</w:t>
      </w:r>
      <w:r w:rsidRPr="001B1F9B">
        <w:tab/>
        <w:t xml:space="preserve">panee merkille, että osana vuonna 2022 hyväksytyn turvallisuus- ja puolustusalan strategisen kompassin täytäntöönpanoa EUH oli mukana hyväksymässä merkittäviä toimintapoliittisia asiakirjoja ja välineistöjä, jotka liittyivät muun muassa kyberpuolustukseen, kyberdiplomatiaan, hybridiuhkiin, ulkomaiseen häirintään ja tiedonmanipulointiin; panee merkille, että sisäisesti EUH paransi edelleen kyberturvallisuusvalmiuksiaan ottamalla palvelukseen erikoistunutta henkilöstöä ja tarjosi edelleen kybertietoisuutta lisääviä toimia eri yleisöille, kuten turvatoimien hallintaryhmälle, edustustojen jäsenille, uusille tulokkaille ja esihenkilöille; pyytää </w:t>
      </w:r>
      <w:proofErr w:type="spellStart"/>
      <w:r w:rsidRPr="001B1F9B">
        <w:t>EUH:ta</w:t>
      </w:r>
      <w:proofErr w:type="spellEnd"/>
      <w:r w:rsidRPr="001B1F9B">
        <w:t xml:space="preserve"> antamaan säännöllistä pakollista kyberturvallisuuskoulutusta koko henkilöstölle; kehottaa lisäämään entisestään unionin tukea Moldovalle disinformaation, hybridiuhkien ja kyberhyökkäysten torjuntaan; kehottaa unionin Moldovan-edustustoa lisäämään toimiaan edistääkseen ennakoivampaa ja vaikuttavampaa viestintästrategiaa, jossa käsitellään EU-jäsenyysnäkymiä ja johon sisältyy venäjänkielinen tiedottaminen;</w:t>
      </w:r>
    </w:p>
    <w:p w14:paraId="54393230" w14:textId="77777777" w:rsidR="001B1F9B" w:rsidRPr="001B1F9B" w:rsidRDefault="001B1F9B" w:rsidP="001B1F9B">
      <w:pPr>
        <w:pStyle w:val="NormalHanging12a"/>
        <w:widowControl/>
        <w:rPr>
          <w:b/>
          <w:i/>
        </w:rPr>
      </w:pPr>
      <w:r w:rsidRPr="001B1F9B">
        <w:lastRenderedPageBreak/>
        <w:t>62.</w:t>
      </w:r>
      <w:r w:rsidRPr="001B1F9B">
        <w:tab/>
        <w:t>suhtautuu myönteisesti Moldovassa toteutettavan EU:n kumppanuusoperaation (EUPM Moldova) käynnistämiseen; korostaa EUPM Moldova ‑operaation keskeistä roolia ja kehottaa EU:ta ja sen jäsenvaltioita jatkamaan operaation toimeksiantoa myös toukokuun 2025 jälkeen sekä lisäämään samalla resursseja sen vaikuttavuuden parantamiseksi;</w:t>
      </w:r>
    </w:p>
    <w:p w14:paraId="31472BD6" w14:textId="77777777" w:rsidR="001B1F9B" w:rsidRPr="001B1F9B" w:rsidRDefault="001B1F9B" w:rsidP="001B1F9B">
      <w:pPr>
        <w:pStyle w:val="NormalHanging12a"/>
        <w:widowControl/>
      </w:pPr>
      <w:r w:rsidRPr="001B1F9B">
        <w:t>63.</w:t>
      </w:r>
      <w:r w:rsidRPr="001B1F9B">
        <w:tab/>
        <w:t xml:space="preserve">panee huolestuneena merkille, että EUH kirjasi vuonna 2023 kyberhäiriötilanteiden ja -tapahtumien seurantaan tarkoitetun järjestelmän (SIEM) kautta yli 29 623 kyberhälytystä, joista 92 häiriötilannetta vahvistettiin kyberhyökkäyksiksi; toteaa, että neljällä kyberhyökkäyksellä oli vaikutusta </w:t>
      </w:r>
      <w:proofErr w:type="spellStart"/>
      <w:r w:rsidRPr="001B1F9B">
        <w:t>EUH:n</w:t>
      </w:r>
      <w:proofErr w:type="spellEnd"/>
      <w:r w:rsidRPr="001B1F9B">
        <w:t xml:space="preserve"> toimintaan ja vain yhdestä oli merkittäviä seurauksia; varoittaa, että EUH on erittäin todennäköinen kohde sellaisille hyvin resursoiduille toimijoille, myös ulkovaltojen tukemille toimijoille, jotka pyrkivät häiritsemään unionin toimielinten toimintaa; huomauttaa, että </w:t>
      </w:r>
      <w:proofErr w:type="spellStart"/>
      <w:r w:rsidRPr="001B1F9B">
        <w:t>EUH:n</w:t>
      </w:r>
      <w:proofErr w:type="spellEnd"/>
      <w:r w:rsidRPr="001B1F9B">
        <w:t xml:space="preserve"> turvaoperaatiokeskus on keskeinen toimija reaaliaikaisessa uhkien seurannassa ja järjestelmän haavoittuvuuksien tunnistamisessa; pyytää </w:t>
      </w:r>
      <w:proofErr w:type="spellStart"/>
      <w:r w:rsidRPr="001B1F9B">
        <w:t>EUH:ta</w:t>
      </w:r>
      <w:proofErr w:type="spellEnd"/>
      <w:r w:rsidRPr="001B1F9B">
        <w:t xml:space="preserve"> ottamaan käyttäjien kyberkurinalaisuuden ja kybertietoisuuden tarpeen jatkossakin huomioon keskeisinä seikkoina sen kyberturvallisuuskehyksessä; korostaa, että </w:t>
      </w:r>
      <w:proofErr w:type="spellStart"/>
      <w:r w:rsidRPr="001B1F9B">
        <w:t>EUH:n</w:t>
      </w:r>
      <w:proofErr w:type="spellEnd"/>
      <w:r w:rsidRPr="001B1F9B">
        <w:t xml:space="preserve"> on jatkossakin tärkeää asettaa etusijalle kyberturvallisuus ja hybridiuhkien vähentäminen ja tehdä tiivistä yhteistyötä muiden unionin toimielinten ja jäsenvaltioiden kanssa tällaisten uhkien tunnistamiseksi ja torjumiseksi;</w:t>
      </w:r>
    </w:p>
    <w:p w14:paraId="126986C3" w14:textId="77777777" w:rsidR="001B1F9B" w:rsidRPr="001B1F9B" w:rsidRDefault="001B1F9B" w:rsidP="001B1F9B">
      <w:pPr>
        <w:pStyle w:val="NormalHanging12a"/>
        <w:widowControl/>
      </w:pPr>
      <w:r w:rsidRPr="001B1F9B">
        <w:t>64.</w:t>
      </w:r>
      <w:r w:rsidRPr="001B1F9B">
        <w:tab/>
        <w:t xml:space="preserve">panee merkille, että EUH toteutti jatkotoimia yhden Euroopan tietosuojavaltuutetun tutkimuksen johdosta vuonna 2023, kun eräs henkilöstön jäsen oli esittänyt henkilötietojensa julkaisemista EU:n verkkohakemistossa koskevan pyynnön; toteaa, että eräs vuodesta 2018 vireillä ollut asia käsiteltiin vuonna 2023 ja saatiin päätökseen vuonna 2024 niin, että tulos oli </w:t>
      </w:r>
      <w:proofErr w:type="spellStart"/>
      <w:r w:rsidRPr="001B1F9B">
        <w:t>EUH:n</w:t>
      </w:r>
      <w:proofErr w:type="spellEnd"/>
      <w:r w:rsidRPr="001B1F9B">
        <w:t xml:space="preserve"> kannalta myönteinen; panee merkille </w:t>
      </w:r>
      <w:proofErr w:type="spellStart"/>
      <w:r w:rsidRPr="001B1F9B">
        <w:t>EUH:n</w:t>
      </w:r>
      <w:proofErr w:type="spellEnd"/>
      <w:r w:rsidRPr="001B1F9B">
        <w:t xml:space="preserve"> toteuttamat tietoisuutta lisäävät toimet ja sen antaman ohjeistuksen tasapuolisten toimintaedellytysten varmistamiseksi tietosuojan alalla koko sen verkostossa ja mainitsee esimerkkinä yhteisen oppaan, jossa käsitellään kolmansien osapuolten tekoälyvälineiden käyttöä sekä tietosuojan että kyberturvallisuuden näkökulmasta;</w:t>
      </w:r>
    </w:p>
    <w:p w14:paraId="7563AE65" w14:textId="77777777" w:rsidR="001B1F9B" w:rsidRPr="001B1F9B" w:rsidRDefault="001B1F9B" w:rsidP="001B1F9B">
      <w:pPr>
        <w:pStyle w:val="NormalHanging12a"/>
        <w:widowControl/>
        <w:rPr>
          <w:b/>
          <w:i/>
        </w:rPr>
      </w:pPr>
      <w:r w:rsidRPr="001B1F9B">
        <w:t>65.</w:t>
      </w:r>
      <w:r w:rsidRPr="001B1F9B">
        <w:tab/>
        <w:t xml:space="preserve">panee merkille, että ulkomaisen tiedonmanipuloinnin ja häirinnän torjunta pysyi </w:t>
      </w:r>
      <w:proofErr w:type="spellStart"/>
      <w:r w:rsidRPr="001B1F9B">
        <w:t>EUH:n</w:t>
      </w:r>
      <w:proofErr w:type="spellEnd"/>
      <w:r w:rsidRPr="001B1F9B">
        <w:t xml:space="preserve"> yhtenä painopistealueena vuonna 2023; on ilahtunut siitä, että ulkomaisen tiedonmanipuloinnin ja häirinnän torjuntavälineistö hyväksyttiin Eurooppa-neuvostossa joulukuussa 2023 tilannetietoisuuden, </w:t>
      </w:r>
      <w:proofErr w:type="spellStart"/>
      <w:r w:rsidRPr="001B1F9B">
        <w:t>resilienssin</w:t>
      </w:r>
      <w:proofErr w:type="spellEnd"/>
      <w:r w:rsidRPr="001B1F9B">
        <w:t xml:space="preserve"> kehittämisen, häiriöiden torjunnan ja diplomaattisten vastausten muodostamien pilarien pohjalta; panee merkille, että EUH lisäsi vuonna 2023 analyysivalmiuksiaan kerätäkseen näyttöä ulkomaisesta tiedonmanipuloinnista ja häirinnästä ja kehittääkseen reagointia lisääntyviin häiriötilanteisiin ja uhkiin, etenkin vuoden 2024 EU-vaalien edellä; toteaa, että EUH käynnisti myös uusia lippulaivahankkeita lisätäkseen tietoisuutta venäläisestä disinformaatiosta ja torjuakseen sitä, kuten noin 20,3 miljoonaa ihmistä vuonna 2023 tavoittaneen </w:t>
      </w:r>
      <w:proofErr w:type="spellStart"/>
      <w:r w:rsidRPr="001B1F9B">
        <w:t>EUvsDisinfo</w:t>
      </w:r>
      <w:proofErr w:type="spellEnd"/>
      <w:r w:rsidRPr="001B1F9B">
        <w:t xml:space="preserve">-aloitteen, ja luodakseen kestäviä kumppanuuksia niin, että ulkomaista tiedonmanipulointia ja häirintää voidaan torjua maailmanlaajuisesti; kehottaa </w:t>
      </w:r>
      <w:proofErr w:type="spellStart"/>
      <w:r w:rsidRPr="001B1F9B">
        <w:t>EUH:ta</w:t>
      </w:r>
      <w:proofErr w:type="spellEnd"/>
      <w:r w:rsidRPr="001B1F9B">
        <w:t xml:space="preserve"> yhdessä komission kanssa osoittamaan riittävät resurssit ulkomaisen tiedonmanipuloinnin ja häirinnän tehokkaaseen torjuntaan; kannattaa luvattua ”eurooppalaisen demokratian kilven” perustamista harhaanjohtavan verkkosisällön havaitsemiseksi, jäljittämiseksi ja poistamiseksi, jolloin vahvistetaan unionin kykyä torjua ulkomaista tiedonmanipulointia ja häirintää ja lisätään sen tukea demokratioiden suojelemiseksi kolmansissa maissa, erityisesti unionin naapurustossa; kehottaa </w:t>
      </w:r>
      <w:proofErr w:type="spellStart"/>
      <w:r w:rsidRPr="001B1F9B">
        <w:t>EUH:ta</w:t>
      </w:r>
      <w:proofErr w:type="spellEnd"/>
      <w:r w:rsidRPr="001B1F9B">
        <w:t xml:space="preserve"> ja kolmansissa maissa sijaitsevia unionin edustustoja vahvistamaan edelleen valmiuksiaan torjua ja vastustaa unionin YUTP:hen liittyvää disinformaatiota ja </w:t>
      </w:r>
      <w:r w:rsidRPr="001B1F9B">
        <w:lastRenderedPageBreak/>
        <w:t xml:space="preserve">propagandaa; kehottaa </w:t>
      </w:r>
      <w:proofErr w:type="spellStart"/>
      <w:r w:rsidRPr="001B1F9B">
        <w:t>EUH:ta</w:t>
      </w:r>
      <w:proofErr w:type="spellEnd"/>
      <w:r w:rsidRPr="001B1F9B">
        <w:t xml:space="preserve"> tehostamaan toimiaan kansalaisten voimaannuttamiseksi eri puolilla unionia ulkomaisen tiedonmanipuloinnin ja häirinnän torjumiseksi;</w:t>
      </w:r>
    </w:p>
    <w:p w14:paraId="0C264471" w14:textId="77777777" w:rsidR="001B1F9B" w:rsidRPr="001B1F9B" w:rsidRDefault="001B1F9B" w:rsidP="004B6813">
      <w:pPr>
        <w:pStyle w:val="NormalHanging12a"/>
        <w:keepNext/>
        <w:widowControl/>
        <w:ind w:left="0" w:firstLine="0"/>
        <w:rPr>
          <w:b/>
          <w:iCs/>
        </w:rPr>
      </w:pPr>
      <w:r w:rsidRPr="001B1F9B">
        <w:rPr>
          <w:b/>
          <w:iCs/>
        </w:rPr>
        <w:t>Kiinteistöt ja turvallisuus</w:t>
      </w:r>
    </w:p>
    <w:p w14:paraId="331C5E52" w14:textId="77777777" w:rsidR="001B1F9B" w:rsidRPr="001B1F9B" w:rsidRDefault="001B1F9B" w:rsidP="001B1F9B">
      <w:pPr>
        <w:pStyle w:val="NormalHanging12a"/>
        <w:widowControl/>
      </w:pPr>
      <w:r w:rsidRPr="001B1F9B">
        <w:t>66.</w:t>
      </w:r>
      <w:r w:rsidRPr="001B1F9B">
        <w:tab/>
        <w:t xml:space="preserve">toteaa, että kiinteistöihin ja niihin liittyviin kuluihin tarkoitettua budjettikohtaa 3 0 0 3 kasvatettiin vuoden 2023 aikana 19 miljoonalla eurolla mutta merkittäviä huoltotöitä lykättiin silti; on syvästi huolissaan siitä, että huolto- ja turvallisuustarpeiden kasautuminen aiheuttaa </w:t>
      </w:r>
      <w:proofErr w:type="spellStart"/>
      <w:r w:rsidRPr="001B1F9B">
        <w:t>EUH:lle</w:t>
      </w:r>
      <w:proofErr w:type="spellEnd"/>
      <w:r w:rsidRPr="001B1F9B">
        <w:t xml:space="preserve"> merkittäviä haasteita sen suhteen, miten hallinnoida edustustojen verkostoa turvallisesti ja tehokkaasti ja varmistaa huolenpitovelvollisuus edustustojen henkilöstöä kohtaan; pyytää </w:t>
      </w:r>
      <w:proofErr w:type="spellStart"/>
      <w:r w:rsidRPr="001B1F9B">
        <w:t>EUH:ta</w:t>
      </w:r>
      <w:proofErr w:type="spellEnd"/>
      <w:r w:rsidRPr="001B1F9B">
        <w:t xml:space="preserve"> laatimaan kiinteistöjen huoltoa ja turvallisuutta koskevia monivuotisia valmiussuunnitelmia;</w:t>
      </w:r>
    </w:p>
    <w:p w14:paraId="625B3D43" w14:textId="77777777" w:rsidR="001B1F9B" w:rsidRPr="001B1F9B" w:rsidRDefault="001B1F9B" w:rsidP="001B1F9B">
      <w:pPr>
        <w:pStyle w:val="NormalHanging12a"/>
        <w:widowControl/>
      </w:pPr>
      <w:r w:rsidRPr="001B1F9B">
        <w:t>67.</w:t>
      </w:r>
      <w:r w:rsidRPr="001B1F9B">
        <w:tab/>
        <w:t xml:space="preserve">toteaa, että EUH käyttää ja hallinnoi kiinteistöjä noin 87 618 neliömetrin edestä </w:t>
      </w:r>
      <w:proofErr w:type="spellStart"/>
      <w:r w:rsidRPr="001B1F9B">
        <w:t>EUH:n</w:t>
      </w:r>
      <w:proofErr w:type="spellEnd"/>
      <w:r w:rsidRPr="001B1F9B">
        <w:t xml:space="preserve"> päätoimipaikassa ja 379 300 neliömetrin edestä ympäri maailmaa ja sillä on 174 toimistorakennusta ja 152 asuntoa suurlähettiläille; panee merkille, että EUH esitti budjettivallan käyttäjälle vuonna 2023 työasiakirjan ja kuvasi siinä ostopolitiikkaansa, jonka osalta luvut ovat tällä hetkellä 22 prosenttia toimistorakennusten ja 20 prosenttia suurlähettiläiden asuntojen kohdalla, jolloin saadaan parasta vastinetta rahalle;</w:t>
      </w:r>
    </w:p>
    <w:p w14:paraId="614A2C7F" w14:textId="77777777" w:rsidR="001B1F9B" w:rsidRPr="001B1F9B" w:rsidRDefault="001B1F9B" w:rsidP="001B1F9B">
      <w:pPr>
        <w:pStyle w:val="NormalHanging12a"/>
        <w:widowControl/>
      </w:pPr>
      <w:r w:rsidRPr="001B1F9B">
        <w:t>68.</w:t>
      </w:r>
      <w:r w:rsidRPr="001B1F9B">
        <w:tab/>
        <w:t xml:space="preserve">toteaa, että huhtikuussa 2023 hyväksytyn unionin edustustojen kiinteistöjen ostopolitiikan ja </w:t>
      </w:r>
      <w:proofErr w:type="spellStart"/>
      <w:r w:rsidRPr="001B1F9B">
        <w:t>EUH:n</w:t>
      </w:r>
      <w:proofErr w:type="spellEnd"/>
      <w:r w:rsidRPr="001B1F9B">
        <w:t xml:space="preserve"> kiinteistöpolitiikkaa vuodeksi 2024 käsittelevän työasiakirjan tavoitteena on saada aikaan unionin talousarvion kannalta edullisin pitkän aikavälin ratkaisu; korostaa, että yhteenkään näistä asiakirjoista ei sisälly ideoita edustustojen lukumäärän vähentämisestä tai alueellisten keskusten perustamisesta; kehottaa </w:t>
      </w:r>
      <w:proofErr w:type="spellStart"/>
      <w:r w:rsidRPr="001B1F9B">
        <w:t>EUH:ta</w:t>
      </w:r>
      <w:proofErr w:type="spellEnd"/>
      <w:r w:rsidRPr="001B1F9B">
        <w:t xml:space="preserve"> tiedottamaan parlamentille mahdollisesta </w:t>
      </w:r>
      <w:proofErr w:type="spellStart"/>
      <w:r w:rsidRPr="001B1F9B">
        <w:t>tämänsuuntaisesta</w:t>
      </w:r>
      <w:proofErr w:type="spellEnd"/>
      <w:r w:rsidRPr="001B1F9B">
        <w:t xml:space="preserve"> tulevasta kehityksestä;</w:t>
      </w:r>
    </w:p>
    <w:p w14:paraId="7599F952" w14:textId="77777777" w:rsidR="001B1F9B" w:rsidRPr="001B1F9B" w:rsidRDefault="001B1F9B" w:rsidP="001B1F9B">
      <w:pPr>
        <w:pStyle w:val="NormalHanging12a"/>
        <w:widowControl/>
        <w:rPr>
          <w:b/>
          <w:i/>
        </w:rPr>
      </w:pPr>
      <w:r w:rsidRPr="001B1F9B">
        <w:t>69.</w:t>
      </w:r>
      <w:r w:rsidRPr="001B1F9B">
        <w:tab/>
        <w:t xml:space="preserve">kehottaa </w:t>
      </w:r>
      <w:proofErr w:type="spellStart"/>
      <w:r w:rsidRPr="001B1F9B">
        <w:t>EUH:ta</w:t>
      </w:r>
      <w:proofErr w:type="spellEnd"/>
      <w:r w:rsidRPr="001B1F9B">
        <w:t xml:space="preserve"> huolehtimaan siitä, että sen ympäri maailmaa sijaitsevista edustustoista koostuvassa tärkeässä verkostossa on riittävästi henkilöstöä, jotta voidaan parantaa sen kykyä luoda yhteyksiä kolmansiin maihin;</w:t>
      </w:r>
    </w:p>
    <w:p w14:paraId="2EFEC24A" w14:textId="77777777" w:rsidR="001B1F9B" w:rsidRPr="001B1F9B" w:rsidRDefault="001B1F9B" w:rsidP="001B1F9B">
      <w:pPr>
        <w:pStyle w:val="NormalHanging12a"/>
        <w:widowControl/>
      </w:pPr>
      <w:r w:rsidRPr="001B1F9B">
        <w:t>70.</w:t>
      </w:r>
      <w:r w:rsidRPr="001B1F9B">
        <w:tab/>
        <w:t xml:space="preserve">toteaa huolestuneena, että nämä talousarviorajoitteet saattavat johtaa siihen, että EU-maiden suurlähetystöjä suljetaan liikaa, ja viivästyttää turvallisuusjärjestelmien asentamista useissa unionin edustustoissa, mikä vaikeuttaa </w:t>
      </w:r>
      <w:proofErr w:type="spellStart"/>
      <w:r w:rsidRPr="001B1F9B">
        <w:t>EUH:n</w:t>
      </w:r>
      <w:proofErr w:type="spellEnd"/>
      <w:r w:rsidRPr="001B1F9B">
        <w:t xml:space="preserve"> kykyä toteuttaa toimeksiantoaan, puolustaa unionin arvoja ja varmistaa asianmukaisesti kaikkea edustustojen henkilöstöä koskeva huolenpitovelvollisuus; kehottaa jäsenvaltioita osoittamaan riittävästi rahoitusta </w:t>
      </w:r>
      <w:proofErr w:type="spellStart"/>
      <w:r w:rsidRPr="001B1F9B">
        <w:t>EUH:lle</w:t>
      </w:r>
      <w:proofErr w:type="spellEnd"/>
      <w:r w:rsidRPr="001B1F9B">
        <w:t xml:space="preserve"> ja komissiolle, jotta voidaan varmistaa, että unioni pitää edustustoverkostonsa ennallaan, sillä se kertoo unionin maailmanlaajuisesta sitoutumisesta;</w:t>
      </w:r>
    </w:p>
    <w:p w14:paraId="7E706254" w14:textId="77777777" w:rsidR="001B1F9B" w:rsidRPr="001B1F9B" w:rsidRDefault="001B1F9B" w:rsidP="001B1F9B">
      <w:pPr>
        <w:pStyle w:val="NormalHanging12a"/>
        <w:widowControl/>
      </w:pPr>
      <w:r w:rsidRPr="001B1F9B">
        <w:t>71.</w:t>
      </w:r>
      <w:r w:rsidRPr="001B1F9B">
        <w:tab/>
        <w:t xml:space="preserve">panee merkille, että EUH on vuodesta 2020 lähtien kehittänyt toimistohallintoa koskevia toimintaperiaatteitaan yhteisöllisten ja joustavien toimistokonseptien kehittämiseksi sekä </w:t>
      </w:r>
      <w:proofErr w:type="spellStart"/>
      <w:r w:rsidRPr="001B1F9B">
        <w:t>EUH:n</w:t>
      </w:r>
      <w:proofErr w:type="spellEnd"/>
      <w:r w:rsidRPr="001B1F9B">
        <w:t xml:space="preserve"> päätoimipaikassa että edustustoissa; huomauttaa, että EUH on alkanut peruskorjata </w:t>
      </w:r>
      <w:proofErr w:type="spellStart"/>
      <w:r w:rsidRPr="001B1F9B">
        <w:t>Schuman</w:t>
      </w:r>
      <w:proofErr w:type="spellEnd"/>
      <w:r w:rsidRPr="001B1F9B">
        <w:t xml:space="preserve">-rakennuskompleksia alkaen 6. ja 7. kerroksesta tehostaakseen toimistotilan käyttöä; panee myös merkille, että </w:t>
      </w:r>
      <w:proofErr w:type="spellStart"/>
      <w:r w:rsidRPr="001B1F9B">
        <w:t>EUH:n</w:t>
      </w:r>
      <w:proofErr w:type="spellEnd"/>
      <w:r w:rsidRPr="001B1F9B">
        <w:t xml:space="preserve"> kriisinhallintakeskus </w:t>
      </w:r>
      <w:proofErr w:type="spellStart"/>
      <w:r w:rsidRPr="001B1F9B">
        <w:t>Schuman</w:t>
      </w:r>
      <w:proofErr w:type="spellEnd"/>
      <w:r w:rsidRPr="001B1F9B">
        <w:t>-rakennuksessa saatiin valmiiksi vuonna 2023; toteaa, että edustustojen osalta yhteisöllinen työtilakonsepti otettiin käyttöön kuuden edustuston uusissa toimitiloissa;</w:t>
      </w:r>
    </w:p>
    <w:p w14:paraId="38791B5D" w14:textId="77777777" w:rsidR="001B1F9B" w:rsidRPr="001B1F9B" w:rsidRDefault="001B1F9B" w:rsidP="001B1F9B">
      <w:pPr>
        <w:pStyle w:val="NormalHanging12a"/>
        <w:widowControl/>
      </w:pPr>
      <w:r w:rsidRPr="001B1F9B">
        <w:t>72.</w:t>
      </w:r>
      <w:r w:rsidRPr="001B1F9B">
        <w:tab/>
        <w:t xml:space="preserve">pitää myönteisenä, että EUH keskittyy varmistamaan, että sen rakennukset ovat esteettömiä vammaisille ja liikuntarajoitteisille henkilöille; panee merkille, että </w:t>
      </w:r>
      <w:proofErr w:type="spellStart"/>
      <w:r w:rsidRPr="001B1F9B">
        <w:lastRenderedPageBreak/>
        <w:t>Belmont</w:t>
      </w:r>
      <w:proofErr w:type="spellEnd"/>
      <w:r w:rsidRPr="001B1F9B">
        <w:t xml:space="preserve">-rakennus Brysselissä täyttää jo esteettömille rakennuksille asetetut oikeudelliset vaatimukset ja että NEO-rakennuskompleksin saneerauksessa otetaan myös huomioon vammaisten ja liikuntarajoitteisten käyttäjien tarpeet; pitää myönteisenä, että esteetön rakentaminen on </w:t>
      </w:r>
      <w:proofErr w:type="spellStart"/>
      <w:r w:rsidRPr="001B1F9B">
        <w:t>EUH:n</w:t>
      </w:r>
      <w:proofErr w:type="spellEnd"/>
      <w:r w:rsidRPr="001B1F9B">
        <w:t xml:space="preserve"> valintamenettelyissä uusien toimistorakennusten keskeinen valintakriteeri edustustojen osalta;</w:t>
      </w:r>
    </w:p>
    <w:p w14:paraId="191B9987" w14:textId="77777777" w:rsidR="001B1F9B" w:rsidRPr="001B1F9B" w:rsidRDefault="001B1F9B" w:rsidP="004B6813">
      <w:pPr>
        <w:pStyle w:val="NormalHanging12a"/>
        <w:keepNext/>
        <w:widowControl/>
        <w:ind w:left="0" w:firstLine="0"/>
        <w:rPr>
          <w:b/>
          <w:iCs/>
        </w:rPr>
      </w:pPr>
      <w:r w:rsidRPr="001B1F9B">
        <w:rPr>
          <w:b/>
          <w:iCs/>
        </w:rPr>
        <w:t>Ympäristö ja kestävä kehitys</w:t>
      </w:r>
    </w:p>
    <w:p w14:paraId="52DD823E" w14:textId="77777777" w:rsidR="001B1F9B" w:rsidRPr="001B1F9B" w:rsidRDefault="001B1F9B" w:rsidP="001B1F9B">
      <w:pPr>
        <w:pStyle w:val="NormalHanging12a"/>
        <w:widowControl/>
      </w:pPr>
      <w:r w:rsidRPr="001B1F9B">
        <w:t>73.</w:t>
      </w:r>
      <w:r w:rsidRPr="001B1F9B">
        <w:tab/>
        <w:t xml:space="preserve">pitää myönteisenä, että EUH jatkoi vuonna 2023 ympäristöasioiden hallinta- ja auditointijärjestelmän (EMAS/EMS) käyttöönottoa varsinkin perustamalla ympäristöalan ohjauskomitean ja hyväksymällä ympäristöpolitiikan ja asiaa koskevan viestintästrategian, jossa korostetaan </w:t>
      </w:r>
      <w:proofErr w:type="spellStart"/>
      <w:r w:rsidRPr="001B1F9B">
        <w:t>EUH:n</w:t>
      </w:r>
      <w:proofErr w:type="spellEnd"/>
      <w:r w:rsidRPr="001B1F9B">
        <w:t xml:space="preserve"> sitoutumista ympäristökestävyyteen kiinteistöhallinnossa; toteaa, että EMAS-ohjauskomitea laati vuonna 2023 uusia tavoitteita, joiden tavoitteena on edelleen pienentää sen hiilijalanjälkeä vuoteen 2030 mennessä; panee merkille, että hyväksyttyihin toimenpiteisiin sisältyvät maakaasun käytön vähentäminen 35 prosentilla, paperin ja veden käytön ja jätteen synnyn puolittaminen, turistiluokassa tehtävien lyhyiden ja keskipitkien lentojen osuuden lisääminen virkamatkoilla ja ympäristöä säästävien julkisten hankintojen käytön parantaminen;</w:t>
      </w:r>
    </w:p>
    <w:p w14:paraId="16DA7931" w14:textId="77777777" w:rsidR="001B1F9B" w:rsidRPr="001B1F9B" w:rsidRDefault="001B1F9B" w:rsidP="001B1F9B">
      <w:pPr>
        <w:pStyle w:val="NormalHanging12a"/>
        <w:widowControl/>
      </w:pPr>
      <w:r w:rsidRPr="001B1F9B">
        <w:t>74.</w:t>
      </w:r>
      <w:r w:rsidRPr="001B1F9B">
        <w:tab/>
        <w:t>pitää myönteisenä, että EUH on alkanut sisällyttää uusiin yhteistilasopimuksiin kestävyyslausekkeita, joihin sisältyy sekä pakollisia toimia että vapaaehtoisia käytäntöjä; toteaa, että jo voimassa olevien yhteistilasopimusten osalta näissä sopimuksissa olisi nimenomaisten ympäristökestävyyslausekkeiden sisällyttämisen sijasta mainittava yleisenä periaatteena, että yhteistiloja isännöivät kumppanit noudattavat unionin toimistotilojen paikallisessa toimintaympäristössä sovellettavia menettelyjä ja käytäntöjä;</w:t>
      </w:r>
    </w:p>
    <w:p w14:paraId="5667F928" w14:textId="77777777" w:rsidR="001B1F9B" w:rsidRPr="001B1F9B" w:rsidRDefault="001B1F9B" w:rsidP="001B1F9B">
      <w:pPr>
        <w:pStyle w:val="NormalHanging12a"/>
        <w:widowControl/>
      </w:pPr>
      <w:r w:rsidRPr="001B1F9B">
        <w:t>75.</w:t>
      </w:r>
      <w:r w:rsidRPr="001B1F9B">
        <w:tab/>
        <w:t>huomauttaa, että EUH jatkoi vuonna 2023 työtä henkilöstön ympäristöystävällisempiä työmatkoja ja kestävämpää matkustusta koskevien toimintaperiaatteiden täytäntöönpanemiseksi ja että tältä pohjalta hyväksyttiin vuonna 2024 merkittäviä toimenpiteitä, kuten joukkoliikenteen kausilippujen korvausasteen nostaminen 90 prosenttiin kaikille henkilöstön jäsenille, jotka luopuvat pysäköintiluvasta, ja tavoite, jonka mukaan vähintään 60 prosenttia lentokoneella virkamatkojen aikana kuljetuista kilometreistä olisi kuljettava turistiluokassa;</w:t>
      </w:r>
    </w:p>
    <w:p w14:paraId="6DCE61C0" w14:textId="77777777" w:rsidR="001B1F9B" w:rsidRPr="001B1F9B" w:rsidRDefault="001B1F9B" w:rsidP="001B1F9B">
      <w:pPr>
        <w:pStyle w:val="NormalHanging12a"/>
        <w:widowControl/>
      </w:pPr>
      <w:r w:rsidRPr="001B1F9B">
        <w:t>76.</w:t>
      </w:r>
      <w:r w:rsidRPr="001B1F9B">
        <w:tab/>
        <w:t>korostaa vahvan poliittisen sitoutumisen, kahdenvälisen vipuvaikutuksen sekä julkisuus- ja kulttuuridiplomatian merkitystä unionin arvojen edistämisessä ja disinformaation torjunnassa; korostaa, että tarvitaan vakaata ja häiriönsietokykyistä ulkosuhdehallintoa sekä selkeää poliittista johtajuutta, jotta voidaan vastata nykyisiin haasteisiin ja varmistaa johdonmukaisuus unionin ulkopolitiikassa; kehottaa unionin edustustoja vahvistamaan tukea aidoille demokraattisille toimijoille ja kansalaisyhteiskunnalle Länsi-Balkanilla sekä tuomitsemaan jyrkästi ja julkisesti epäliberaalien ja epädemokraattisten toimijoiden toimet, jotka horjuttavat unionin etuja, ja varmistamaan, että IPA III -rahoitus pannaan täytäntöön unionin tavoitteiden mukaisesti; kehottaa alueella sijaitsevia unionin edustustoja soveltamaan uskottavampaa ja ansioihin perustuvaa lähestymistapaa, joka pohjautuu Kööpenhaminan kriteereihin, varsinkin oikeusvaltioperiaatteeseen, demokratiaan ja ihmisoikeuksien suojeluun, erityisesti kun otetaan huomioon joidenkin Länsi-Balkanin maiden vähäinen edistyminen;</w:t>
      </w:r>
    </w:p>
    <w:p w14:paraId="2188E402" w14:textId="77777777" w:rsidR="001B1F9B" w:rsidRPr="001B1F9B" w:rsidRDefault="001B1F9B" w:rsidP="001B1F9B">
      <w:pPr>
        <w:pStyle w:val="NormalHanging12a"/>
        <w:widowControl/>
      </w:pPr>
      <w:r w:rsidRPr="001B1F9B">
        <w:lastRenderedPageBreak/>
        <w:t>77.</w:t>
      </w:r>
      <w:r w:rsidRPr="001B1F9B">
        <w:tab/>
        <w:t xml:space="preserve">suhtautuu myönteisesti </w:t>
      </w:r>
      <w:proofErr w:type="spellStart"/>
      <w:r w:rsidRPr="001B1F9B">
        <w:t>EUH:n</w:t>
      </w:r>
      <w:proofErr w:type="spellEnd"/>
      <w:r w:rsidRPr="001B1F9B">
        <w:t xml:space="preserve"> erinomaiseen yhteistyöhön </w:t>
      </w:r>
      <w:proofErr w:type="spellStart"/>
      <w:r w:rsidRPr="001B1F9B">
        <w:t>OLAFin</w:t>
      </w:r>
      <w:proofErr w:type="spellEnd"/>
      <w:r w:rsidRPr="001B1F9B">
        <w:t xml:space="preserve">, </w:t>
      </w:r>
      <w:proofErr w:type="spellStart"/>
      <w:r w:rsidRPr="001B1F9B">
        <w:t>EPPOn</w:t>
      </w:r>
      <w:proofErr w:type="spellEnd"/>
      <w:r w:rsidRPr="001B1F9B">
        <w:t xml:space="preserve">, tilintarkastustuomioistuimen, Euroopan tietosuojavaltuutetun ja vastaavien elinten kanssa, mikä näkyy säännöllisissä kokouksissa ja tietojenvaihdossa; panee merkille, että erityiset työjärjestelyt saatiin valmiiksi kesäkuussa 2024; kehottaa tästä huolimatta </w:t>
      </w:r>
      <w:proofErr w:type="spellStart"/>
      <w:r w:rsidRPr="001B1F9B">
        <w:t>EUH:ta</w:t>
      </w:r>
      <w:proofErr w:type="spellEnd"/>
      <w:r w:rsidRPr="001B1F9B">
        <w:t xml:space="preserve"> vakiinnuttamaan jäsennellyn yhteistyön näiden elinten kanssa ja varmistamaan järjestelmälliset petosten havaitsemismekanismit unionin ulkoisten toimien rahoituksen osalta erityisesti korkean riskin konfliktialueilla ja hauraissa valtioissa;</w:t>
      </w:r>
    </w:p>
    <w:p w14:paraId="1B9FF1E0" w14:textId="77777777" w:rsidR="001B1F9B" w:rsidRPr="001B1F9B" w:rsidRDefault="001B1F9B" w:rsidP="004B6813">
      <w:pPr>
        <w:pStyle w:val="NormalHanging12a"/>
        <w:keepNext/>
        <w:widowControl/>
        <w:ind w:left="0" w:firstLine="0"/>
        <w:rPr>
          <w:b/>
          <w:iCs/>
        </w:rPr>
      </w:pPr>
      <w:r w:rsidRPr="001B1F9B">
        <w:rPr>
          <w:b/>
          <w:iCs/>
        </w:rPr>
        <w:t>Toimielinten välinen yhteistyö</w:t>
      </w:r>
    </w:p>
    <w:p w14:paraId="620EED59" w14:textId="77777777" w:rsidR="001B1F9B" w:rsidRPr="001B1F9B" w:rsidRDefault="001B1F9B" w:rsidP="001B1F9B">
      <w:pPr>
        <w:pStyle w:val="NormalHanging12a"/>
        <w:widowControl/>
      </w:pPr>
      <w:r w:rsidRPr="001B1F9B">
        <w:t>78.</w:t>
      </w:r>
      <w:r w:rsidRPr="001B1F9B">
        <w:tab/>
        <w:t>toteaa, että parlamentti, neuvosto ja EUH jatkoivat vuonna 2023 teknisiä keskustelujaan parlamentin ja neuvoston välillä yhteisen ulko- ja turvallisuuspolitiikan alalla vuonna 2002 tehdyn toimielinten välisen sopimuksen korvaamisesta; pitää valitettavana, että vuonna 2023 pidettiin yksi ainoa tekninen kokous, jonka jälkeen neuvosto ei pystynyt pääsemään sopimukseen esitetyistä kompromissiratkaisuista;</w:t>
      </w:r>
    </w:p>
    <w:p w14:paraId="71B45A67" w14:textId="77777777" w:rsidR="001B1F9B" w:rsidRPr="001B1F9B" w:rsidRDefault="001B1F9B" w:rsidP="001B1F9B">
      <w:pPr>
        <w:pStyle w:val="NormalHanging12a"/>
        <w:widowControl/>
      </w:pPr>
      <w:r w:rsidRPr="001B1F9B">
        <w:t>79.</w:t>
      </w:r>
      <w:r w:rsidRPr="001B1F9B">
        <w:tab/>
        <w:t xml:space="preserve">panee merkille, että EUH käynnisti vuonna 2023 neuvotteluprosessin työjärjestelystä Euroopan syyttäjänviraston kanssa ja että tätä koskeva sopimus allekirjoitettiin vuonna 2024; toteaa, että työjärjestelyssä otetaan huomioon </w:t>
      </w:r>
      <w:proofErr w:type="spellStart"/>
      <w:r w:rsidRPr="001B1F9B">
        <w:t>EUH:n</w:t>
      </w:r>
      <w:proofErr w:type="spellEnd"/>
      <w:r w:rsidRPr="001B1F9B">
        <w:t xml:space="preserve"> erityinen toimintaympäristö ja siinä painotetaan tietojen suojaamista, tietojen luottamuksellisuutta ja henkilöstön koskemattomuuden suojaamista;</w:t>
      </w:r>
    </w:p>
    <w:p w14:paraId="2EFD10EA" w14:textId="77777777" w:rsidR="001B1F9B" w:rsidRPr="001B1F9B" w:rsidRDefault="001B1F9B" w:rsidP="001B1F9B">
      <w:pPr>
        <w:pStyle w:val="NormalHanging12a"/>
        <w:widowControl/>
      </w:pPr>
      <w:r w:rsidRPr="001B1F9B">
        <w:t>80.</w:t>
      </w:r>
      <w:r w:rsidRPr="001B1F9B">
        <w:tab/>
        <w:t>panee merkille, että EUH varasi vuoden 2023 talousarviossaan 990,5 miljoonaa euroa Euroopan diplomaattikoulun käynnistämistä koskevaan pilottihankkeeseen, jossa 50 nuorelle diplomaatille jäsenvaltioista ja unionin toimielimistä annetaan unionin ulko- ja turvallisuuspolitiikkaan liittyvää koulutusta tavoitteena muodostaa aito eurooppalainen diplomaattikunta unionin ulkopolitiikan ja ulkoisten intressien edistämiseksi; kannustaa edistämään tämän aloitteen avulla yhtenäistä ja hyvin koulutettua eurooppalaista diplomaattikuntaa, joka voi tehokkaasti edustaa ja puolustaa unionin arvoja ja etuja maailmanpolitiikassa; korostaa, että on välttämätöntä parantaa Euroopan diplomaattikoulun näkyvyyttä kaikissa jäsenvaltioissa ja vahvistaa sen asemaa ja valmiuksia;</w:t>
      </w:r>
    </w:p>
    <w:p w14:paraId="3D7E9F46" w14:textId="77777777" w:rsidR="001B1F9B" w:rsidRPr="001B1F9B" w:rsidRDefault="001B1F9B" w:rsidP="001B1F9B">
      <w:pPr>
        <w:pStyle w:val="NormalHanging12a"/>
        <w:widowControl/>
      </w:pPr>
      <w:r w:rsidRPr="001B1F9B">
        <w:t>81.</w:t>
      </w:r>
      <w:r w:rsidRPr="001B1F9B">
        <w:tab/>
        <w:t xml:space="preserve">on ilahtunut siitä, että EUH lisäsi yhteistyötään Euroopan oikeusasiamiehen kanssa vuonna 2023 parantaakseen tietoisuutta hyvän hallinnon periaatteista henkilöstönsä keskuudessa; toteaa, että uuteen yhteistyömuotoon sisältyy se, että Euroopan oikeusasiamiehen toimisto kutsutaan esittelemään työtään </w:t>
      </w:r>
      <w:proofErr w:type="spellStart"/>
      <w:r w:rsidRPr="001B1F9B">
        <w:t>EUH:n</w:t>
      </w:r>
      <w:proofErr w:type="spellEnd"/>
      <w:r w:rsidRPr="001B1F9B">
        <w:t xml:space="preserve"> valmennusseminaareihin ja </w:t>
      </w:r>
      <w:proofErr w:type="spellStart"/>
      <w:r w:rsidRPr="001B1F9B">
        <w:t>EUH:n</w:t>
      </w:r>
      <w:proofErr w:type="spellEnd"/>
      <w:r w:rsidRPr="001B1F9B">
        <w:t xml:space="preserve"> vuotuisiin henkilöstöseminaareihin;</w:t>
      </w:r>
    </w:p>
    <w:p w14:paraId="3DB11819" w14:textId="77777777" w:rsidR="001B1F9B" w:rsidRPr="001B1F9B" w:rsidRDefault="001B1F9B" w:rsidP="004B6813">
      <w:pPr>
        <w:pStyle w:val="NormalHanging12a"/>
        <w:keepNext/>
        <w:widowControl/>
        <w:ind w:left="0" w:firstLine="0"/>
        <w:rPr>
          <w:b/>
          <w:iCs/>
        </w:rPr>
      </w:pPr>
      <w:r w:rsidRPr="001B1F9B">
        <w:rPr>
          <w:b/>
          <w:iCs/>
        </w:rPr>
        <w:t>Viestintä</w:t>
      </w:r>
    </w:p>
    <w:p w14:paraId="4DF63E7D" w14:textId="77777777" w:rsidR="001B1F9B" w:rsidRPr="001B1F9B" w:rsidRDefault="001B1F9B" w:rsidP="001B1F9B">
      <w:pPr>
        <w:pStyle w:val="NormalHanging12a"/>
        <w:widowControl/>
      </w:pPr>
      <w:r w:rsidRPr="001B1F9B">
        <w:t>82.</w:t>
      </w:r>
      <w:r w:rsidRPr="001B1F9B">
        <w:tab/>
        <w:t xml:space="preserve">panee merkille, että </w:t>
      </w:r>
      <w:proofErr w:type="spellStart"/>
      <w:r w:rsidRPr="001B1F9B">
        <w:t>EUH:lla</w:t>
      </w:r>
      <w:proofErr w:type="spellEnd"/>
      <w:r w:rsidRPr="001B1F9B">
        <w:t xml:space="preserve"> on eri budjettikohtiin jaettuina 22,2 miljoonan euron talousarviomäärärahat julkaisuja, tapahtumia, strategista viestintää, tiedotustoimia ja lehdistöä varten; pitää myönteisenä, että demokratian ja oikeusvaltion puolustaminen pysyi </w:t>
      </w:r>
      <w:proofErr w:type="spellStart"/>
      <w:r w:rsidRPr="001B1F9B">
        <w:t>EUH:n</w:t>
      </w:r>
      <w:proofErr w:type="spellEnd"/>
      <w:r w:rsidRPr="001B1F9B">
        <w:t xml:space="preserve"> yhtenä painopistealueena ja että se puuttui myös ulkomaiseen tiedonmanipulointiin ja häirintään lujittamalla toimintapolitiikkoja ja välineitä;</w:t>
      </w:r>
    </w:p>
    <w:p w14:paraId="7AC81F38" w14:textId="77777777" w:rsidR="001B1F9B" w:rsidRPr="001B1F9B" w:rsidRDefault="001B1F9B" w:rsidP="001B1F9B">
      <w:pPr>
        <w:pStyle w:val="NormalHanging12a"/>
        <w:widowControl/>
      </w:pPr>
      <w:r w:rsidRPr="001B1F9B">
        <w:t>83.</w:t>
      </w:r>
      <w:r w:rsidRPr="001B1F9B">
        <w:tab/>
        <w:t xml:space="preserve">panee merkille uskonnonvapauden loukkausten lisääntymisen maailmanlaajuisesti; kehottaa </w:t>
      </w:r>
      <w:proofErr w:type="spellStart"/>
      <w:r w:rsidRPr="001B1F9B">
        <w:t>EUH:ta</w:t>
      </w:r>
      <w:proofErr w:type="spellEnd"/>
      <w:r w:rsidRPr="001B1F9B">
        <w:t xml:space="preserve"> tarjoamaan henkilöstölleen tätä varten asianmukaiset välineet maissa, joissa uskonnonvapautta ei ole tai joissa uskonnonvapaus on paineen alaisena (myös koulutuksen avulla), jolloin tavoitteena on käydä keskusteluja tästä aiheesta </w:t>
      </w:r>
      <w:r w:rsidRPr="001B1F9B">
        <w:lastRenderedPageBreak/>
        <w:t>asiaankuuluvien viranomaisten kanssa kaikilla tasoilla maissa, joissa loukataan uskonnonvapautta, ja tehdä tästä sen ulkoisen toiminnan yksi keskeinen painopiste;</w:t>
      </w:r>
    </w:p>
    <w:p w14:paraId="6A629111" w14:textId="77777777" w:rsidR="001B1F9B" w:rsidRPr="001B1F9B" w:rsidRDefault="001B1F9B" w:rsidP="001B1F9B">
      <w:pPr>
        <w:pStyle w:val="NormalHanging12a"/>
        <w:widowControl/>
        <w:rPr>
          <w:b/>
          <w:i/>
        </w:rPr>
      </w:pPr>
      <w:r w:rsidRPr="001B1F9B">
        <w:t>84.</w:t>
      </w:r>
      <w:r w:rsidRPr="001B1F9B">
        <w:tab/>
        <w:t xml:space="preserve">panee merkille, että osana viestintätoimiaan EUH pyrkii tavoittamaan suuren yleisön julkisten tapahtumien, avointen ovien päivien ja vierailijaryhmien vastaanottamisen kautta; toteaa, että EUH käynnisti vuonna 2023 eri kanavilla useita aihekohtaisia viestintäkampanjoita, jotka koskivat Ukrainalle annettavaa tukea, Venäjän Ukrainaa vastaan aloittaman hyökkäyssodan seurauksia ja unionin arvojen kunnioittamista; pitää myönteisenä, että Ukraina pysyi </w:t>
      </w:r>
      <w:proofErr w:type="spellStart"/>
      <w:r w:rsidRPr="001B1F9B">
        <w:t>EUH:n</w:t>
      </w:r>
      <w:proofErr w:type="spellEnd"/>
      <w:r w:rsidRPr="001B1F9B">
        <w:t xml:space="preserve"> yhtenä keskeisenä painopisteenä; panee merkille, että vuonna 2023 EUH vahvisti läsnäoloaan sosiaalisessa mediassa ja kasvatti seuraajamääräänsä LinkedInissä 41,5 prosentilla, Instagramissa 13,8 prosentilla, Twitterissä 5,4 prosentilla ja Facebookissa 4,7 prosentilla; kehottaa </w:t>
      </w:r>
      <w:proofErr w:type="spellStart"/>
      <w:r w:rsidRPr="001B1F9B">
        <w:t>EUH:ta</w:t>
      </w:r>
      <w:proofErr w:type="spellEnd"/>
      <w:r w:rsidRPr="001B1F9B">
        <w:t xml:space="preserve"> tehostamaan tiedottamistaan unionin toimintapolitiikoista kolmansien maiden kansalaisille ja vahvistamaan koordinointitoimia, joilla pyritään lisäämään unionin rahoittamien hankkeiden näkyvyyttä erityisesti ehdokasmaissa, jotta voidaan torjua pahantahtoisten toimijoiden pyrkimyksiä heikentää unionin toimia;</w:t>
      </w:r>
    </w:p>
    <w:p w14:paraId="62641E67" w14:textId="77777777" w:rsidR="001B1F9B" w:rsidRPr="001B1F9B" w:rsidRDefault="001B1F9B" w:rsidP="001B1F9B">
      <w:pPr>
        <w:pStyle w:val="NormalHanging12a"/>
        <w:widowControl/>
      </w:pPr>
      <w:r w:rsidRPr="001B1F9B">
        <w:t>85.</w:t>
      </w:r>
      <w:r w:rsidRPr="001B1F9B">
        <w:tab/>
        <w:t>suhtautuu myönteisesti siihen, että EUH oli mukana vuoden 2024 EU-vaaleihin liittyneessä parlamentin omassa viestintäkampanjassa ja erityisesti kolmansissa maissa asuville 25–30 miljoonalle EU-kansalaiselle suunnatussa tiedotuskampanjassa, jossa heille tiedotettiin mahdollisista keinoista äänestää EU-vaaleissa, erityisesti edustustojen verkoston kautta; huomauttaa, että tämä kampanja tavoitti 11 miljoonaa vastaanottajaa 26 videokampanjallaan ja yli 2 000:lla sosiaalisen median postauksellaan;</w:t>
      </w:r>
    </w:p>
    <w:p w14:paraId="35EF3E78" w14:textId="77777777" w:rsidR="001B1F9B" w:rsidRPr="001B1F9B" w:rsidRDefault="001B1F9B" w:rsidP="001B1F9B">
      <w:pPr>
        <w:pStyle w:val="NormalHanging12a"/>
        <w:widowControl/>
      </w:pPr>
      <w:r w:rsidRPr="001B1F9B">
        <w:t>86.</w:t>
      </w:r>
      <w:r w:rsidRPr="001B1F9B">
        <w:tab/>
        <w:t xml:space="preserve">korostaa </w:t>
      </w:r>
      <w:proofErr w:type="spellStart"/>
      <w:r w:rsidRPr="001B1F9B">
        <w:t>EUH:n</w:t>
      </w:r>
      <w:proofErr w:type="spellEnd"/>
      <w:r w:rsidRPr="001B1F9B">
        <w:t xml:space="preserve"> panosta unionin kokonaisvaltaisiin pyrkimyksiin osoittaa horjumatonta tukea Ukrainalle #StandWithUkraine ‑kampanjalla ja vastaavilla aloitteilla sekä kohdennetuilla viestintähankkeilla, joista ovat esimerkkeinä </w:t>
      </w:r>
      <w:proofErr w:type="spellStart"/>
      <w:r w:rsidRPr="001B1F9B">
        <w:t>Faces</w:t>
      </w:r>
      <w:proofErr w:type="spellEnd"/>
      <w:r w:rsidRPr="001B1F9B">
        <w:t xml:space="preserve"> of </w:t>
      </w:r>
      <w:proofErr w:type="spellStart"/>
      <w:r w:rsidRPr="001B1F9B">
        <w:t>Ukraine</w:t>
      </w:r>
      <w:proofErr w:type="spellEnd"/>
      <w:r w:rsidRPr="001B1F9B">
        <w:t xml:space="preserve">, </w:t>
      </w:r>
      <w:proofErr w:type="spellStart"/>
      <w:r w:rsidRPr="001B1F9B">
        <w:t>Art</w:t>
      </w:r>
      <w:proofErr w:type="spellEnd"/>
      <w:r w:rsidRPr="001B1F9B">
        <w:t xml:space="preserve"> </w:t>
      </w:r>
      <w:proofErr w:type="spellStart"/>
      <w:r w:rsidRPr="001B1F9B">
        <w:t>vs</w:t>
      </w:r>
      <w:proofErr w:type="spellEnd"/>
      <w:r w:rsidRPr="001B1F9B">
        <w:t xml:space="preserve"> </w:t>
      </w:r>
      <w:proofErr w:type="spellStart"/>
      <w:r w:rsidRPr="001B1F9B">
        <w:t>War</w:t>
      </w:r>
      <w:proofErr w:type="spellEnd"/>
      <w:r w:rsidRPr="001B1F9B">
        <w:t xml:space="preserve"> ja </w:t>
      </w:r>
      <w:proofErr w:type="spellStart"/>
      <w:r w:rsidRPr="001B1F9B">
        <w:t>Share</w:t>
      </w:r>
      <w:proofErr w:type="spellEnd"/>
      <w:r w:rsidRPr="001B1F9B">
        <w:t xml:space="preserve"> </w:t>
      </w:r>
      <w:proofErr w:type="spellStart"/>
      <w:r w:rsidRPr="001B1F9B">
        <w:t>Your</w:t>
      </w:r>
      <w:proofErr w:type="spellEnd"/>
      <w:r w:rsidRPr="001B1F9B">
        <w:t xml:space="preserve"> </w:t>
      </w:r>
      <w:proofErr w:type="spellStart"/>
      <w:r w:rsidRPr="001B1F9B">
        <w:t>Light</w:t>
      </w:r>
      <w:proofErr w:type="spellEnd"/>
      <w:r w:rsidRPr="001B1F9B">
        <w:t>;</w:t>
      </w:r>
    </w:p>
    <w:p w14:paraId="363C4E65" w14:textId="77777777" w:rsidR="001B1F9B" w:rsidRPr="001B1F9B" w:rsidRDefault="001B1F9B" w:rsidP="001B1F9B">
      <w:pPr>
        <w:pStyle w:val="NormalHanging12a"/>
        <w:widowControl/>
      </w:pPr>
      <w:r w:rsidRPr="001B1F9B">
        <w:t>87.</w:t>
      </w:r>
      <w:r w:rsidRPr="001B1F9B">
        <w:tab/>
        <w:t>kannustaa edelleen unionin edustustoja tukemaan kolmansien maiden paikallisia toimijoita, kansalaisjärjestöjä ja työmarkkinaosapuolia ja tekemään yhteistyötä niiden kanssa, jotta voidaan edistää työmarkkinaosapuolten vuoropuhelua ja vuoropuhelua oikeusvaltioperiaatteesta, perusoikeuksista ja korruption torjunnasta; panee merkille, että vuonna 2023 kansalaisjärjestöille tarkoitetussa aihekohtaisessa ohjelmassa, jonka perusteella unionin kumppanuuksia solmitaan vastuuvelvollisten ja avointen järjestöjen kanssa, osoitettiin 50 miljoonaa euroa kansalaisyhteiskunnan toiminnan mahdollistavaa ympäristöä edistävälle unionin järjestelmälle, jossa seurataan ja edistetään kansalaistoimintaympäristöä 86 kumppanimaassa.</w:t>
      </w:r>
    </w:p>
    <w:p w14:paraId="1F675510" w14:textId="77777777" w:rsidR="00E365E1" w:rsidRPr="00690353" w:rsidRDefault="00E365E1" w:rsidP="001B1F9B">
      <w:pPr>
        <w:pStyle w:val="NormalHanging12a"/>
        <w:widowControl/>
      </w:pPr>
    </w:p>
    <w:sectPr w:rsidR="00E365E1" w:rsidRPr="00690353" w:rsidSect="001A370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30995" w14:textId="77777777" w:rsidR="0091318F" w:rsidRPr="001A370B" w:rsidRDefault="0091318F">
      <w:r w:rsidRPr="001A370B">
        <w:separator/>
      </w:r>
    </w:p>
  </w:endnote>
  <w:endnote w:type="continuationSeparator" w:id="0">
    <w:p w14:paraId="11F21F30" w14:textId="77777777" w:rsidR="0091318F" w:rsidRPr="001A370B" w:rsidRDefault="0091318F">
      <w:r w:rsidRPr="001A37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D206A" w14:textId="77777777" w:rsidR="00EB63AB" w:rsidRPr="001A370B" w:rsidRDefault="00EB63AB" w:rsidP="00334315">
    <w:pPr>
      <w:pStyle w:val="EPFooter"/>
    </w:pPr>
    <w:r w:rsidRPr="001A370B">
      <w:t>PE</w:t>
    </w:r>
    <w:r w:rsidRPr="001A370B">
      <w:rPr>
        <w:rStyle w:val="HideTWBExt"/>
      </w:rPr>
      <w:t>&lt;</w:t>
    </w:r>
    <w:proofErr w:type="spellStart"/>
    <w:r w:rsidRPr="001A370B">
      <w:rPr>
        <w:rStyle w:val="HideTWBExt"/>
      </w:rPr>
      <w:t>NoPE</w:t>
    </w:r>
    <w:proofErr w:type="spellEnd"/>
    <w:r w:rsidRPr="001A370B">
      <w:rPr>
        <w:rStyle w:val="HideTWBExt"/>
      </w:rPr>
      <w:t>&gt;</w:t>
    </w:r>
    <w:r w:rsidRPr="001A370B">
      <w:t>764.994</w:t>
    </w:r>
    <w:r w:rsidRPr="001A370B">
      <w:rPr>
        <w:rStyle w:val="HideTWBExt"/>
      </w:rPr>
      <w:t>&lt;/</w:t>
    </w:r>
    <w:proofErr w:type="spellStart"/>
    <w:r w:rsidRPr="001A370B">
      <w:rPr>
        <w:rStyle w:val="HideTWBExt"/>
      </w:rPr>
      <w:t>NoPE</w:t>
    </w:r>
    <w:proofErr w:type="spellEnd"/>
    <w:r w:rsidRPr="001A370B">
      <w:rPr>
        <w:rStyle w:val="HideTWBExt"/>
      </w:rPr>
      <w:t>&gt;&lt;Version&gt;</w:t>
    </w:r>
    <w:r w:rsidRPr="001A370B">
      <w:t>v03-00</w:t>
    </w:r>
    <w:r w:rsidRPr="001A370B">
      <w:rPr>
        <w:rStyle w:val="HideTWBExt"/>
      </w:rPr>
      <w:t>&lt;/Version&gt;</w:t>
    </w:r>
    <w:r w:rsidRPr="001A370B">
      <w:tab/>
    </w:r>
    <w:r w:rsidRPr="001A370B">
      <w:fldChar w:fldCharType="begin"/>
    </w:r>
    <w:r w:rsidRPr="001A370B">
      <w:instrText xml:space="preserve"> PAGE  \* MERGEFORMAT </w:instrText>
    </w:r>
    <w:r w:rsidRPr="001A370B">
      <w:fldChar w:fldCharType="separate"/>
    </w:r>
    <w:r w:rsidR="001A370B" w:rsidRPr="001A370B">
      <w:rPr>
        <w:noProof/>
      </w:rPr>
      <w:t>2</w:t>
    </w:r>
    <w:r w:rsidRPr="001A370B">
      <w:fldChar w:fldCharType="end"/>
    </w:r>
    <w:r w:rsidRPr="001A370B">
      <w:t>/</w:t>
    </w:r>
    <w:r w:rsidR="001A54E3">
      <w:fldChar w:fldCharType="begin"/>
    </w:r>
    <w:r w:rsidR="001A54E3">
      <w:instrText xml:space="preserve"> NUMPAGES  \* MERGEFORMAT </w:instrText>
    </w:r>
    <w:r w:rsidR="001A54E3">
      <w:fldChar w:fldCharType="separate"/>
    </w:r>
    <w:r w:rsidR="001A370B" w:rsidRPr="001A370B">
      <w:rPr>
        <w:noProof/>
      </w:rPr>
      <w:t>4</w:t>
    </w:r>
    <w:r w:rsidR="001A54E3">
      <w:rPr>
        <w:noProof/>
      </w:rPr>
      <w:fldChar w:fldCharType="end"/>
    </w:r>
    <w:r w:rsidRPr="001A370B">
      <w:tab/>
    </w:r>
    <w:r w:rsidRPr="001A370B">
      <w:rPr>
        <w:rStyle w:val="HideTWBExt"/>
      </w:rPr>
      <w:t>&lt;PathFdR&gt;</w:t>
    </w:r>
    <w:r w:rsidRPr="001A370B">
      <w:t>RR\1319792FI.docx</w:t>
    </w:r>
    <w:r w:rsidRPr="001A370B">
      <w:rPr>
        <w:rStyle w:val="HideTWBExt"/>
      </w:rPr>
      <w:t>&lt;/</w:t>
    </w:r>
    <w:proofErr w:type="spellStart"/>
    <w:r w:rsidRPr="001A370B">
      <w:rPr>
        <w:rStyle w:val="HideTWBExt"/>
      </w:rPr>
      <w:t>PathFdR</w:t>
    </w:r>
    <w:proofErr w:type="spellEnd"/>
    <w:r w:rsidRPr="001A370B">
      <w:rPr>
        <w:rStyle w:val="HideTWBExt"/>
      </w:rPr>
      <w:t>&gt;</w:t>
    </w:r>
  </w:p>
  <w:p w14:paraId="78416B54" w14:textId="77777777" w:rsidR="00EB63AB" w:rsidRPr="001A370B" w:rsidRDefault="00EB63AB" w:rsidP="00334315">
    <w:pPr>
      <w:pStyle w:val="EPFooter2"/>
    </w:pPr>
    <w:r w:rsidRPr="001A370B">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D7E09" w14:textId="77777777" w:rsidR="00EB63AB" w:rsidRPr="001A370B" w:rsidRDefault="00EB63AB" w:rsidP="00334315">
    <w:pPr>
      <w:pStyle w:val="EPFooter"/>
    </w:pPr>
    <w:r w:rsidRPr="001A370B">
      <w:rPr>
        <w:rStyle w:val="HideTWBExt"/>
      </w:rPr>
      <w:t>&lt;PathFdR&gt;</w:t>
    </w:r>
    <w:r w:rsidRPr="001A370B">
      <w:t>RR\1319792FI.docx</w:t>
    </w:r>
    <w:r w:rsidRPr="001A370B">
      <w:rPr>
        <w:rStyle w:val="HideTWBExt"/>
      </w:rPr>
      <w:t>&lt;/</w:t>
    </w:r>
    <w:proofErr w:type="spellStart"/>
    <w:r w:rsidRPr="001A370B">
      <w:rPr>
        <w:rStyle w:val="HideTWBExt"/>
      </w:rPr>
      <w:t>PathFdR</w:t>
    </w:r>
    <w:proofErr w:type="spellEnd"/>
    <w:r w:rsidRPr="001A370B">
      <w:rPr>
        <w:rStyle w:val="HideTWBExt"/>
      </w:rPr>
      <w:t>&gt;</w:t>
    </w:r>
    <w:r w:rsidRPr="001A370B">
      <w:tab/>
    </w:r>
    <w:r w:rsidRPr="001A370B">
      <w:tab/>
      <w:t>PE</w:t>
    </w:r>
    <w:r w:rsidRPr="001A370B">
      <w:rPr>
        <w:rStyle w:val="HideTWBExt"/>
      </w:rPr>
      <w:t>&lt;</w:t>
    </w:r>
    <w:proofErr w:type="spellStart"/>
    <w:r w:rsidRPr="001A370B">
      <w:rPr>
        <w:rStyle w:val="HideTWBExt"/>
      </w:rPr>
      <w:t>NoPE</w:t>
    </w:r>
    <w:proofErr w:type="spellEnd"/>
    <w:r w:rsidRPr="001A370B">
      <w:rPr>
        <w:rStyle w:val="HideTWBExt"/>
      </w:rPr>
      <w:t>&gt;</w:t>
    </w:r>
    <w:r w:rsidRPr="001A370B">
      <w:t>764.994</w:t>
    </w:r>
    <w:r w:rsidRPr="001A370B">
      <w:rPr>
        <w:rStyle w:val="HideTWBExt"/>
      </w:rPr>
      <w:t>&lt;/</w:t>
    </w:r>
    <w:proofErr w:type="spellStart"/>
    <w:r w:rsidRPr="001A370B">
      <w:rPr>
        <w:rStyle w:val="HideTWBExt"/>
      </w:rPr>
      <w:t>NoPE</w:t>
    </w:r>
    <w:proofErr w:type="spellEnd"/>
    <w:r w:rsidRPr="001A370B">
      <w:rPr>
        <w:rStyle w:val="HideTWBExt"/>
      </w:rPr>
      <w:t>&gt;&lt;Version&gt;</w:t>
    </w:r>
    <w:r w:rsidRPr="001A370B">
      <w:t>v03-00</w:t>
    </w:r>
    <w:r w:rsidRPr="001A370B">
      <w:rPr>
        <w:rStyle w:val="HideTWBExt"/>
      </w:rPr>
      <w:t>&lt;/Version&gt;</w:t>
    </w:r>
  </w:p>
  <w:p w14:paraId="1C98F9A3" w14:textId="77777777" w:rsidR="00EB63AB" w:rsidRPr="001A370B" w:rsidRDefault="00EB63AB" w:rsidP="00334315">
    <w:pPr>
      <w:pStyle w:val="EPFooter2"/>
    </w:pPr>
    <w:r w:rsidRPr="001A370B">
      <w:t>FI</w:t>
    </w:r>
    <w:r w:rsidRPr="001A370B">
      <w:tab/>
    </w:r>
    <w:r w:rsidRPr="001A370B">
      <w:rPr>
        <w:b w:val="0"/>
        <w:i/>
        <w:color w:val="C0C0C0"/>
        <w:sz w:val="22"/>
      </w:rPr>
      <w:t>Moninaisuudessaan yhtenäinen</w:t>
    </w:r>
    <w:r w:rsidRPr="001A370B">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559E6" w14:textId="77777777" w:rsidR="00064002" w:rsidRPr="001A370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084A2" w14:textId="77777777" w:rsidR="00064002" w:rsidRPr="001B1F9B" w:rsidRDefault="00064002" w:rsidP="001B1F9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0EA4D" w14:textId="77777777" w:rsidR="00064002" w:rsidRPr="001A37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619AF" w14:textId="77777777" w:rsidR="0091318F" w:rsidRPr="001A370B" w:rsidRDefault="0091318F">
      <w:r w:rsidRPr="001A370B">
        <w:separator/>
      </w:r>
    </w:p>
  </w:footnote>
  <w:footnote w:type="continuationSeparator" w:id="0">
    <w:p w14:paraId="5C2F1B12" w14:textId="77777777" w:rsidR="0091318F" w:rsidRPr="001A370B" w:rsidRDefault="0091318F">
      <w:r w:rsidRPr="001A370B">
        <w:continuationSeparator/>
      </w:r>
    </w:p>
  </w:footnote>
  <w:footnote w:id="1">
    <w:p w14:paraId="56C1C198" w14:textId="77777777" w:rsidR="00EB63AB" w:rsidRPr="001A370B" w:rsidRDefault="00EB63AB" w:rsidP="001A370B">
      <w:pPr>
        <w:pStyle w:val="FootnoteText"/>
        <w:ind w:left="567" w:hanging="567"/>
        <w:rPr>
          <w:sz w:val="24"/>
          <w:lang w:val="fi-FI"/>
        </w:rPr>
      </w:pPr>
      <w:r w:rsidRPr="001A370B">
        <w:rPr>
          <w:rStyle w:val="FootnoteReference"/>
          <w:sz w:val="24"/>
          <w:lang w:val="fi-FI"/>
        </w:rPr>
        <w:footnoteRef/>
      </w:r>
      <w:r w:rsidR="001A370B" w:rsidRPr="001A370B">
        <w:rPr>
          <w:sz w:val="24"/>
          <w:lang w:val="fi-FI"/>
        </w:rPr>
        <w:t xml:space="preserve"> </w:t>
      </w:r>
      <w:r w:rsidR="001A370B" w:rsidRPr="001A370B">
        <w:rPr>
          <w:sz w:val="24"/>
          <w:lang w:val="fi-FI"/>
        </w:rPr>
        <w:tab/>
      </w:r>
      <w:r w:rsidRPr="001A370B">
        <w:rPr>
          <w:sz w:val="24"/>
          <w:lang w:val="fi-FI"/>
        </w:rPr>
        <w:t xml:space="preserve">EUVL L 58, 23.2.2023, s. 1, ELI: </w:t>
      </w:r>
      <w:hyperlink r:id="rId1" w:tooltip="Linkki asiakirjaan sen ELI-tunnukseen perustuvan URI-osoitteen kautta." w:history="1">
        <w:r w:rsidRPr="001A370B">
          <w:rPr>
            <w:rStyle w:val="Hyperlink"/>
            <w:color w:val="0563C1"/>
            <w:sz w:val="24"/>
            <w:shd w:val="clear" w:color="auto" w:fill="FFFFFF"/>
            <w:lang w:val="fi-FI"/>
          </w:rPr>
          <w:t>http://data.europa.eu/eli/budget/2023/1/oj</w:t>
        </w:r>
      </w:hyperlink>
      <w:r w:rsidRPr="001A370B">
        <w:rPr>
          <w:sz w:val="24"/>
          <w:shd w:val="clear" w:color="auto" w:fill="FFFFFF"/>
          <w:lang w:val="fi-FI"/>
        </w:rPr>
        <w:t>.</w:t>
      </w:r>
    </w:p>
  </w:footnote>
  <w:footnote w:id="2">
    <w:p w14:paraId="622CC1E1" w14:textId="77777777" w:rsidR="00EB63AB" w:rsidRPr="001A370B" w:rsidRDefault="00EB63AB" w:rsidP="001A370B">
      <w:pPr>
        <w:pStyle w:val="FootnoteText"/>
        <w:ind w:left="567" w:hanging="567"/>
        <w:rPr>
          <w:sz w:val="24"/>
          <w:lang w:val="fi-FI"/>
        </w:rPr>
      </w:pPr>
      <w:r w:rsidRPr="001A370B">
        <w:rPr>
          <w:rStyle w:val="FootnoteReference"/>
          <w:sz w:val="24"/>
          <w:lang w:val="fi-FI"/>
        </w:rPr>
        <w:footnoteRef/>
      </w:r>
      <w:r w:rsidR="001A370B" w:rsidRPr="001A370B">
        <w:rPr>
          <w:sz w:val="24"/>
          <w:lang w:val="fi-FI"/>
        </w:rPr>
        <w:t xml:space="preserve"> </w:t>
      </w:r>
      <w:r w:rsidR="001A370B" w:rsidRPr="001A370B">
        <w:rPr>
          <w:sz w:val="24"/>
          <w:lang w:val="fi-FI"/>
        </w:rPr>
        <w:tab/>
      </w:r>
      <w:r w:rsidRPr="001A370B">
        <w:rPr>
          <w:sz w:val="24"/>
          <w:lang w:val="fi-FI"/>
        </w:rPr>
        <w:t xml:space="preserve">EUVL C, C/2024/5462, 10.10.2024, ELI: </w:t>
      </w:r>
      <w:hyperlink r:id="rId2" w:history="1">
        <w:r w:rsidRPr="001A370B">
          <w:rPr>
            <w:rStyle w:val="Hyperlink"/>
            <w:sz w:val="24"/>
            <w:lang w:val="fi-FI"/>
          </w:rPr>
          <w:t>http://data.europa.eu/eli/C/2024/5462/oj</w:t>
        </w:r>
      </w:hyperlink>
      <w:r w:rsidRPr="001A370B">
        <w:rPr>
          <w:sz w:val="24"/>
          <w:shd w:val="clear" w:color="auto" w:fill="FFFFFF"/>
          <w:lang w:val="fi-FI"/>
        </w:rPr>
        <w:t>.</w:t>
      </w:r>
    </w:p>
  </w:footnote>
  <w:footnote w:id="3">
    <w:p w14:paraId="6A16B086" w14:textId="77777777" w:rsidR="00EB63AB" w:rsidRPr="001A370B" w:rsidRDefault="00EB63AB" w:rsidP="001A370B">
      <w:pPr>
        <w:pStyle w:val="FootnoteText"/>
        <w:ind w:left="567" w:hanging="567"/>
        <w:rPr>
          <w:sz w:val="24"/>
          <w:lang w:val="fi-FI"/>
        </w:rPr>
      </w:pPr>
      <w:r w:rsidRPr="001A370B">
        <w:rPr>
          <w:rStyle w:val="FootnoteReference"/>
          <w:sz w:val="24"/>
          <w:lang w:val="fi-FI"/>
        </w:rPr>
        <w:footnoteRef/>
      </w:r>
      <w:r w:rsidR="001A370B" w:rsidRPr="001A370B">
        <w:rPr>
          <w:sz w:val="24"/>
          <w:lang w:val="fi-FI"/>
        </w:rPr>
        <w:t xml:space="preserve"> </w:t>
      </w:r>
      <w:r w:rsidR="001A370B" w:rsidRPr="001A370B">
        <w:rPr>
          <w:sz w:val="24"/>
          <w:lang w:val="fi-FI"/>
        </w:rPr>
        <w:tab/>
      </w:r>
      <w:r w:rsidRPr="001A370B">
        <w:rPr>
          <w:sz w:val="24"/>
          <w:lang w:val="fi-FI"/>
        </w:rPr>
        <w:t xml:space="preserve">EUVL C, C/2024/5882, 9.10.2024, ELI: </w:t>
      </w:r>
      <w:hyperlink r:id="rId3" w:history="1">
        <w:r w:rsidRPr="001A370B">
          <w:rPr>
            <w:rStyle w:val="Hyperlink"/>
            <w:sz w:val="24"/>
            <w:lang w:val="fi-FI"/>
          </w:rPr>
          <w:t>http://data.europa.eu/eli/C/2024/5882/oj</w:t>
        </w:r>
      </w:hyperlink>
      <w:r w:rsidRPr="001A370B">
        <w:rPr>
          <w:sz w:val="24"/>
          <w:shd w:val="clear" w:color="auto" w:fill="FFFFFF"/>
          <w:lang w:val="fi-FI"/>
        </w:rPr>
        <w:t>.</w:t>
      </w:r>
    </w:p>
  </w:footnote>
  <w:footnote w:id="4">
    <w:p w14:paraId="037EF214" w14:textId="77777777" w:rsidR="00EB63AB" w:rsidRPr="001A370B" w:rsidRDefault="00EB63AB" w:rsidP="001A370B">
      <w:pPr>
        <w:pStyle w:val="FootnoteText"/>
        <w:ind w:left="567" w:hanging="567"/>
        <w:rPr>
          <w:sz w:val="24"/>
          <w:lang w:val="fi-FI"/>
        </w:rPr>
      </w:pPr>
      <w:r w:rsidRPr="001A370B">
        <w:rPr>
          <w:rStyle w:val="FootnoteReference"/>
          <w:sz w:val="24"/>
          <w:lang w:val="fi-FI"/>
        </w:rPr>
        <w:footnoteRef/>
      </w:r>
      <w:r w:rsidR="001A370B" w:rsidRPr="001A370B">
        <w:rPr>
          <w:sz w:val="24"/>
          <w:lang w:val="fi-FI"/>
        </w:rPr>
        <w:t xml:space="preserve"> </w:t>
      </w:r>
      <w:r w:rsidR="001A370B" w:rsidRPr="001A370B">
        <w:rPr>
          <w:sz w:val="24"/>
          <w:lang w:val="fi-FI"/>
        </w:rPr>
        <w:tab/>
      </w:r>
      <w:r w:rsidRPr="001A370B">
        <w:rPr>
          <w:sz w:val="24"/>
          <w:lang w:val="fi-FI"/>
        </w:rPr>
        <w:t xml:space="preserve">EUVL C, C/2024/6041, 10.10.2024, ELI: </w:t>
      </w:r>
      <w:hyperlink r:id="rId4" w:history="1">
        <w:r w:rsidRPr="001A370B">
          <w:rPr>
            <w:rStyle w:val="Hyperlink"/>
            <w:sz w:val="24"/>
            <w:lang w:val="fi-FI"/>
          </w:rPr>
          <w:t>http://data.europa.eu/eli/C/2024/6041/oj</w:t>
        </w:r>
      </w:hyperlink>
      <w:r w:rsidRPr="001A370B">
        <w:rPr>
          <w:sz w:val="24"/>
          <w:shd w:val="clear" w:color="auto" w:fill="FFFFFF"/>
          <w:lang w:val="fi-FI"/>
        </w:rPr>
        <w:t>.</w:t>
      </w:r>
    </w:p>
  </w:footnote>
  <w:footnote w:id="5">
    <w:p w14:paraId="3819A43C" w14:textId="77777777" w:rsidR="00EB63AB" w:rsidRPr="001A370B" w:rsidRDefault="00EB63AB" w:rsidP="001A370B">
      <w:pPr>
        <w:pStyle w:val="FootnoteText"/>
        <w:ind w:left="567" w:hanging="567"/>
        <w:rPr>
          <w:sz w:val="24"/>
          <w:lang w:val="fi-FI"/>
        </w:rPr>
      </w:pPr>
      <w:r w:rsidRPr="001A370B">
        <w:rPr>
          <w:rStyle w:val="FootnoteReference"/>
          <w:sz w:val="24"/>
          <w:lang w:val="fi-FI"/>
        </w:rPr>
        <w:footnoteRef/>
      </w:r>
      <w:r w:rsidR="001A370B" w:rsidRPr="001A370B">
        <w:rPr>
          <w:sz w:val="24"/>
          <w:lang w:val="fi-FI"/>
        </w:rPr>
        <w:t xml:space="preserve"> </w:t>
      </w:r>
      <w:r w:rsidR="001A370B" w:rsidRPr="001A370B">
        <w:rPr>
          <w:sz w:val="24"/>
          <w:lang w:val="fi-FI"/>
        </w:rPr>
        <w:tab/>
      </w:r>
      <w:r w:rsidRPr="001A370B">
        <w:rPr>
          <w:sz w:val="24"/>
          <w:lang w:val="fi-FI"/>
        </w:rPr>
        <w:t xml:space="preserve">EUVL L 193, 30.7.2018, s. 1, ELI: </w:t>
      </w:r>
      <w:hyperlink r:id="rId5" w:history="1">
        <w:r w:rsidRPr="001A370B">
          <w:rPr>
            <w:rStyle w:val="Hyperlink"/>
            <w:sz w:val="24"/>
            <w:lang w:val="fi-FI"/>
          </w:rPr>
          <w:t>http://data.europa.eu/eli/reg/2018/1046/oj</w:t>
        </w:r>
      </w:hyperlink>
      <w:r w:rsidRPr="001A370B">
        <w:rPr>
          <w:sz w:val="24"/>
          <w:shd w:val="clear" w:color="auto" w:fill="FFFFFF"/>
          <w:lang w:val="fi-FI"/>
        </w:rPr>
        <w:t>.</w:t>
      </w:r>
    </w:p>
  </w:footnote>
  <w:footnote w:id="6">
    <w:p w14:paraId="4ABE69C3" w14:textId="77777777" w:rsidR="00EB63AB" w:rsidRPr="001A370B" w:rsidRDefault="00EB63AB" w:rsidP="001A370B">
      <w:pPr>
        <w:pStyle w:val="FootnoteText"/>
        <w:ind w:left="567" w:hanging="567"/>
        <w:rPr>
          <w:sz w:val="24"/>
          <w:szCs w:val="24"/>
          <w:lang w:val="fi-FI"/>
        </w:rPr>
      </w:pPr>
      <w:r w:rsidRPr="001A370B">
        <w:rPr>
          <w:rStyle w:val="FootnoteReference"/>
          <w:sz w:val="24"/>
          <w:lang w:val="fi-FI"/>
        </w:rPr>
        <w:footnoteRef/>
      </w:r>
      <w:r w:rsidR="001A370B" w:rsidRPr="001A370B">
        <w:rPr>
          <w:sz w:val="24"/>
          <w:lang w:val="fi-FI"/>
        </w:rPr>
        <w:t xml:space="preserve"> </w:t>
      </w:r>
      <w:r w:rsidR="001A370B" w:rsidRPr="001A370B">
        <w:rPr>
          <w:sz w:val="24"/>
          <w:lang w:val="fi-FI"/>
        </w:rPr>
        <w:tab/>
      </w:r>
      <w:r w:rsidRPr="001A370B">
        <w:rPr>
          <w:sz w:val="24"/>
          <w:lang w:val="fi-FI"/>
        </w:rPr>
        <w:t xml:space="preserve">EUVL L, 2024/2509, 26.9.2024, ELI: </w:t>
      </w:r>
      <w:hyperlink r:id="rId6" w:history="1">
        <w:r w:rsidRPr="001A370B">
          <w:rPr>
            <w:rStyle w:val="Hyperlink"/>
            <w:sz w:val="24"/>
            <w:lang w:val="fi-FI"/>
          </w:rPr>
          <w:t>http://data.europa.eu/eli/reg/2024/2509/oj</w:t>
        </w:r>
      </w:hyperlink>
      <w:r w:rsidRPr="001A370B">
        <w:rPr>
          <w:sz w:val="24"/>
          <w:shd w:val="clear" w:color="auto" w:fill="FFFFFF"/>
          <w:lang w:val="fi-FI"/>
        </w:rPr>
        <w:t>.</w:t>
      </w:r>
    </w:p>
  </w:footnote>
  <w:footnote w:id="7">
    <w:p w14:paraId="05EC4120" w14:textId="77777777" w:rsidR="00EB63AB" w:rsidRPr="001A370B" w:rsidRDefault="00EB63AB" w:rsidP="001A370B">
      <w:pPr>
        <w:pStyle w:val="FootnoteText"/>
        <w:ind w:left="567" w:hanging="567"/>
        <w:rPr>
          <w:sz w:val="24"/>
          <w:lang w:val="fi-FI"/>
        </w:rPr>
      </w:pPr>
      <w:r w:rsidRPr="001A370B">
        <w:rPr>
          <w:rStyle w:val="FootnoteReference"/>
          <w:sz w:val="24"/>
          <w:lang w:val="fi-FI"/>
        </w:rPr>
        <w:footnoteRef/>
      </w:r>
      <w:r w:rsidR="001A370B" w:rsidRPr="001A370B">
        <w:rPr>
          <w:sz w:val="24"/>
          <w:lang w:val="fi-FI"/>
        </w:rPr>
        <w:t xml:space="preserve"> </w:t>
      </w:r>
      <w:r w:rsidR="001A370B" w:rsidRPr="001A370B">
        <w:rPr>
          <w:sz w:val="24"/>
          <w:lang w:val="fi-FI"/>
        </w:rPr>
        <w:tab/>
      </w:r>
      <w:r w:rsidRPr="001A370B">
        <w:rPr>
          <w:sz w:val="24"/>
          <w:lang w:val="fi-FI"/>
        </w:rPr>
        <w:t xml:space="preserve">EUVL L 201, 3.8.2010, s. 30, ELI: </w:t>
      </w:r>
      <w:hyperlink r:id="rId7" w:history="1">
        <w:r w:rsidRPr="001A370B">
          <w:rPr>
            <w:rStyle w:val="Hyperlink"/>
            <w:sz w:val="24"/>
            <w:lang w:val="fi-FI"/>
          </w:rPr>
          <w:t>http://data.europa.eu/eli/dec/2010/427/oj</w:t>
        </w:r>
      </w:hyperlink>
      <w:r w:rsidRPr="001A370B">
        <w:rPr>
          <w:sz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2814F" w14:textId="77777777" w:rsidR="00064002" w:rsidRPr="001A370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3C529" w14:textId="77777777" w:rsidR="00064002" w:rsidRPr="001A370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D5DD7" w14:textId="77777777" w:rsidR="00064002" w:rsidRPr="001A37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5826962">
    <w:abstractNumId w:val="9"/>
  </w:num>
  <w:num w:numId="2" w16cid:durableId="803350596">
    <w:abstractNumId w:val="9"/>
  </w:num>
  <w:num w:numId="3" w16cid:durableId="1708796656">
    <w:abstractNumId w:val="7"/>
  </w:num>
  <w:num w:numId="4" w16cid:durableId="1272740845">
    <w:abstractNumId w:val="7"/>
  </w:num>
  <w:num w:numId="5" w16cid:durableId="548801416">
    <w:abstractNumId w:val="6"/>
  </w:num>
  <w:num w:numId="6" w16cid:durableId="1850439554">
    <w:abstractNumId w:val="6"/>
  </w:num>
  <w:num w:numId="7" w16cid:durableId="1267231335">
    <w:abstractNumId w:val="5"/>
  </w:num>
  <w:num w:numId="8" w16cid:durableId="1344163643">
    <w:abstractNumId w:val="5"/>
  </w:num>
  <w:num w:numId="9" w16cid:durableId="158544953">
    <w:abstractNumId w:val="4"/>
  </w:num>
  <w:num w:numId="10" w16cid:durableId="61100439">
    <w:abstractNumId w:val="4"/>
  </w:num>
  <w:num w:numId="11" w16cid:durableId="1485661855">
    <w:abstractNumId w:val="8"/>
  </w:num>
  <w:num w:numId="12" w16cid:durableId="2096435821">
    <w:abstractNumId w:val="8"/>
  </w:num>
  <w:num w:numId="13" w16cid:durableId="1528104667">
    <w:abstractNumId w:val="3"/>
  </w:num>
  <w:num w:numId="14" w16cid:durableId="541095028">
    <w:abstractNumId w:val="3"/>
  </w:num>
  <w:num w:numId="15" w16cid:durableId="850493185">
    <w:abstractNumId w:val="2"/>
  </w:num>
  <w:num w:numId="16" w16cid:durableId="1800412161">
    <w:abstractNumId w:val="2"/>
  </w:num>
  <w:num w:numId="17" w16cid:durableId="403189319">
    <w:abstractNumId w:val="1"/>
  </w:num>
  <w:num w:numId="18" w16cid:durableId="1434209197">
    <w:abstractNumId w:val="1"/>
  </w:num>
  <w:num w:numId="19" w16cid:durableId="1694065558">
    <w:abstractNumId w:val="0"/>
  </w:num>
  <w:num w:numId="20" w16cid:durableId="763578304">
    <w:abstractNumId w:val="0"/>
  </w:num>
  <w:num w:numId="21" w16cid:durableId="216088057">
    <w:abstractNumId w:val="9"/>
  </w:num>
  <w:num w:numId="22" w16cid:durableId="1706564624">
    <w:abstractNumId w:val="7"/>
  </w:num>
  <w:num w:numId="23" w16cid:durableId="1483934836">
    <w:abstractNumId w:val="6"/>
  </w:num>
  <w:num w:numId="24" w16cid:durableId="1820491365">
    <w:abstractNumId w:val="5"/>
  </w:num>
  <w:num w:numId="25" w16cid:durableId="610089591">
    <w:abstractNumId w:val="4"/>
  </w:num>
  <w:num w:numId="26" w16cid:durableId="1390686895">
    <w:abstractNumId w:val="8"/>
  </w:num>
  <w:num w:numId="27" w16cid:durableId="1394812975">
    <w:abstractNumId w:val="3"/>
  </w:num>
  <w:num w:numId="28" w16cid:durableId="1339192639">
    <w:abstractNumId w:val="2"/>
  </w:num>
  <w:num w:numId="29" w16cid:durableId="421414870">
    <w:abstractNumId w:val="1"/>
  </w:num>
  <w:num w:numId="30" w16cid:durableId="73286586">
    <w:abstractNumId w:val="0"/>
  </w:num>
  <w:num w:numId="31" w16cid:durableId="19547555">
    <w:abstractNumId w:val="9"/>
  </w:num>
  <w:num w:numId="32" w16cid:durableId="1357657546">
    <w:abstractNumId w:val="7"/>
  </w:num>
  <w:num w:numId="33" w16cid:durableId="379088363">
    <w:abstractNumId w:val="6"/>
  </w:num>
  <w:num w:numId="34" w16cid:durableId="280846934">
    <w:abstractNumId w:val="5"/>
  </w:num>
  <w:num w:numId="35" w16cid:durableId="2109230054">
    <w:abstractNumId w:val="4"/>
  </w:num>
  <w:num w:numId="36" w16cid:durableId="2103867822">
    <w:abstractNumId w:val="8"/>
  </w:num>
  <w:num w:numId="37" w16cid:durableId="428624593">
    <w:abstractNumId w:val="3"/>
  </w:num>
  <w:num w:numId="38" w16cid:durableId="1227915013">
    <w:abstractNumId w:val="2"/>
  </w:num>
  <w:num w:numId="39" w16cid:durableId="543757499">
    <w:abstractNumId w:val="1"/>
  </w:num>
  <w:num w:numId="40" w16cid:durableId="1316178212">
    <w:abstractNumId w:val="0"/>
  </w:num>
  <w:num w:numId="41" w16cid:durableId="708530045">
    <w:abstractNumId w:val="10"/>
  </w:num>
  <w:num w:numId="42" w16cid:durableId="1031757710">
    <w:abstractNumId w:val="10"/>
  </w:num>
  <w:num w:numId="43" w16cid:durableId="286206438">
    <w:abstractNumId w:val="10"/>
  </w:num>
  <w:num w:numId="44" w16cid:durableId="9977353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9/2025"/>
    <w:docVar w:name="dvlangue" w:val="FI"/>
    <w:docVar w:name="dvnumam" w:val="0"/>
    <w:docVar w:name="dvpe" w:val="764.994"/>
    <w:docVar w:name="dvrapporteur" w:val="Esittelijä: "/>
    <w:docVar w:name="dvtitre" w:val="1. Euroopan parlamentin päätös 7. toukokuuta 2025 vastuuvapauden myöntämisestä Euroopan unionin yleisen talousarvion toteuttamisesta varainhoitovuonna 2023, pääluokka X – Euroopan ulkosuhdehallinto(2024/2024(DEC))"/>
  </w:docVars>
  <w:rsids>
    <w:rsidRoot w:val="0091318F"/>
    <w:rsid w:val="00002272"/>
    <w:rsid w:val="00064002"/>
    <w:rsid w:val="000677B9"/>
    <w:rsid w:val="000831BA"/>
    <w:rsid w:val="000A42CC"/>
    <w:rsid w:val="000E7DD9"/>
    <w:rsid w:val="0010095E"/>
    <w:rsid w:val="001172C6"/>
    <w:rsid w:val="00125B37"/>
    <w:rsid w:val="00187494"/>
    <w:rsid w:val="0019535C"/>
    <w:rsid w:val="001A370B"/>
    <w:rsid w:val="001A54E3"/>
    <w:rsid w:val="001B1F9B"/>
    <w:rsid w:val="001F32AE"/>
    <w:rsid w:val="0020462B"/>
    <w:rsid w:val="002767FF"/>
    <w:rsid w:val="002B18FE"/>
    <w:rsid w:val="002B5493"/>
    <w:rsid w:val="00343214"/>
    <w:rsid w:val="00361C00"/>
    <w:rsid w:val="00395FA1"/>
    <w:rsid w:val="003E15D4"/>
    <w:rsid w:val="00411CCE"/>
    <w:rsid w:val="0041666E"/>
    <w:rsid w:val="00421060"/>
    <w:rsid w:val="004263C3"/>
    <w:rsid w:val="00471C19"/>
    <w:rsid w:val="004867E3"/>
    <w:rsid w:val="00494A28"/>
    <w:rsid w:val="004B6813"/>
    <w:rsid w:val="004C0004"/>
    <w:rsid w:val="004C5D52"/>
    <w:rsid w:val="0050519A"/>
    <w:rsid w:val="005072A1"/>
    <w:rsid w:val="00514517"/>
    <w:rsid w:val="00545827"/>
    <w:rsid w:val="00547D4C"/>
    <w:rsid w:val="00560270"/>
    <w:rsid w:val="005C2568"/>
    <w:rsid w:val="005F1B17"/>
    <w:rsid w:val="006037C0"/>
    <w:rsid w:val="006631B6"/>
    <w:rsid w:val="00680577"/>
    <w:rsid w:val="0069035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318F"/>
    <w:rsid w:val="00930C23"/>
    <w:rsid w:val="0093193B"/>
    <w:rsid w:val="009509D8"/>
    <w:rsid w:val="00950B64"/>
    <w:rsid w:val="00981893"/>
    <w:rsid w:val="00A1687D"/>
    <w:rsid w:val="00A43E52"/>
    <w:rsid w:val="00A4678D"/>
    <w:rsid w:val="00A778C7"/>
    <w:rsid w:val="00A90CAF"/>
    <w:rsid w:val="00AB441E"/>
    <w:rsid w:val="00AB6293"/>
    <w:rsid w:val="00AE0928"/>
    <w:rsid w:val="00AF3B82"/>
    <w:rsid w:val="00B12E95"/>
    <w:rsid w:val="00B22876"/>
    <w:rsid w:val="00B558F0"/>
    <w:rsid w:val="00BD48FE"/>
    <w:rsid w:val="00BD7BD8"/>
    <w:rsid w:val="00BE6ADC"/>
    <w:rsid w:val="00C05BFE"/>
    <w:rsid w:val="00C13249"/>
    <w:rsid w:val="00C23CD4"/>
    <w:rsid w:val="00C61C0C"/>
    <w:rsid w:val="00C941CB"/>
    <w:rsid w:val="00CC2357"/>
    <w:rsid w:val="00CF071A"/>
    <w:rsid w:val="00D058B8"/>
    <w:rsid w:val="00D56C11"/>
    <w:rsid w:val="00D834A0"/>
    <w:rsid w:val="00D872DF"/>
    <w:rsid w:val="00D91E21"/>
    <w:rsid w:val="00DA7FCD"/>
    <w:rsid w:val="00DB6C33"/>
    <w:rsid w:val="00E14D51"/>
    <w:rsid w:val="00E365E1"/>
    <w:rsid w:val="00E820A4"/>
    <w:rsid w:val="00EB006A"/>
    <w:rsid w:val="00EB4772"/>
    <w:rsid w:val="00EB63AB"/>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3BB8C"/>
  <w15:chartTrackingRefBased/>
  <w15:docId w15:val="{DFC6F0D5-ECA1-4DC8-ABC1-9EF34205E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7D4C"/>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B63A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B63AB"/>
    <w:pPr>
      <w:spacing w:before="480" w:after="240"/>
    </w:pPr>
  </w:style>
  <w:style w:type="paragraph" w:customStyle="1" w:styleId="PageHeading">
    <w:name w:val="PageHeading"/>
    <w:basedOn w:val="Normal"/>
    <w:rsid w:val="00EB63AB"/>
    <w:pPr>
      <w:keepNext/>
      <w:spacing w:after="480"/>
      <w:jc w:val="center"/>
    </w:pPr>
    <w:rPr>
      <w:rFonts w:ascii="Arial" w:hAnsi="Arial" w:cs="Arial"/>
      <w:b/>
    </w:rPr>
  </w:style>
  <w:style w:type="paragraph" w:customStyle="1" w:styleId="NormalBold">
    <w:name w:val="NormalBold"/>
    <w:basedOn w:val="Normal"/>
    <w:rsid w:val="00EB63AB"/>
    <w:rPr>
      <w:b/>
    </w:rPr>
  </w:style>
  <w:style w:type="paragraph" w:customStyle="1" w:styleId="NormalHanging12a">
    <w:name w:val="NormalHanging12a"/>
    <w:basedOn w:val="Normal"/>
    <w:link w:val="NormalHanging12aChar"/>
    <w:qFormat/>
    <w:rsid w:val="00EB63AB"/>
    <w:pPr>
      <w:spacing w:after="240"/>
      <w:ind w:left="567" w:hanging="567"/>
    </w:pPr>
  </w:style>
  <w:style w:type="paragraph" w:styleId="Header">
    <w:name w:val="header"/>
    <w:basedOn w:val="Normal"/>
    <w:link w:val="HeaderChar"/>
    <w:rsid w:val="00EB63AB"/>
    <w:pPr>
      <w:tabs>
        <w:tab w:val="center" w:pos="4513"/>
        <w:tab w:val="right" w:pos="9026"/>
      </w:tabs>
    </w:pPr>
  </w:style>
  <w:style w:type="character" w:customStyle="1" w:styleId="HeaderChar">
    <w:name w:val="Header Char"/>
    <w:basedOn w:val="DefaultParagraphFont"/>
    <w:link w:val="Header"/>
    <w:rsid w:val="00EB63AB"/>
    <w:rPr>
      <w:sz w:val="24"/>
      <w:lang w:val="fi-FI"/>
    </w:rPr>
  </w:style>
  <w:style w:type="paragraph" w:customStyle="1" w:styleId="EPFooter">
    <w:name w:val="EPFooter"/>
    <w:basedOn w:val="Normal"/>
    <w:rsid w:val="00EB63AB"/>
    <w:pPr>
      <w:tabs>
        <w:tab w:val="center" w:pos="4535"/>
        <w:tab w:val="right" w:pos="9071"/>
      </w:tabs>
      <w:spacing w:before="240" w:after="240"/>
    </w:pPr>
    <w:rPr>
      <w:color w:val="010000"/>
      <w:sz w:val="22"/>
    </w:rPr>
  </w:style>
  <w:style w:type="character" w:styleId="Hyperlink">
    <w:name w:val="Hyperlink"/>
    <w:basedOn w:val="DefaultParagraphFont"/>
    <w:rsid w:val="00EB63AB"/>
    <w:rPr>
      <w:color w:val="0563C1" w:themeColor="hyperlink"/>
      <w:u w:val="single"/>
    </w:rPr>
  </w:style>
  <w:style w:type="character" w:customStyle="1" w:styleId="NormalHanging12aChar">
    <w:name w:val="NormalHanging12a Char"/>
    <w:basedOn w:val="DefaultParagraphFont"/>
    <w:link w:val="NormalHanging12a"/>
    <w:locked/>
    <w:rsid w:val="00EB63AB"/>
    <w:rPr>
      <w:sz w:val="24"/>
      <w:lang w:val="fi-FI"/>
    </w:rPr>
  </w:style>
  <w:style w:type="paragraph" w:styleId="Footer">
    <w:name w:val="footer"/>
    <w:basedOn w:val="Normal"/>
    <w:link w:val="FooterChar"/>
    <w:rsid w:val="00547D4C"/>
    <w:pPr>
      <w:tabs>
        <w:tab w:val="center" w:pos="4513"/>
        <w:tab w:val="right" w:pos="9026"/>
      </w:tabs>
    </w:pPr>
  </w:style>
  <w:style w:type="character" w:customStyle="1" w:styleId="FooterChar">
    <w:name w:val="Footer Char"/>
    <w:basedOn w:val="DefaultParagraphFont"/>
    <w:link w:val="Footer"/>
    <w:rsid w:val="00547D4C"/>
    <w:rPr>
      <w:sz w:val="24"/>
      <w:lang w:val="fi-FI"/>
    </w:rPr>
  </w:style>
  <w:style w:type="character" w:styleId="CommentReference">
    <w:name w:val="annotation reference"/>
    <w:basedOn w:val="DefaultParagraphFont"/>
    <w:rsid w:val="0019535C"/>
    <w:rPr>
      <w:sz w:val="16"/>
      <w:szCs w:val="16"/>
    </w:rPr>
  </w:style>
  <w:style w:type="paragraph" w:styleId="CommentText">
    <w:name w:val="annotation text"/>
    <w:basedOn w:val="Normal"/>
    <w:link w:val="CommentTextChar"/>
    <w:rsid w:val="0019535C"/>
    <w:rPr>
      <w:sz w:val="20"/>
    </w:rPr>
  </w:style>
  <w:style w:type="character" w:customStyle="1" w:styleId="CommentTextChar">
    <w:name w:val="Comment Text Char"/>
    <w:basedOn w:val="DefaultParagraphFont"/>
    <w:link w:val="CommentText"/>
    <w:rsid w:val="0019535C"/>
    <w:rPr>
      <w:lang w:val="fi-FI"/>
    </w:rPr>
  </w:style>
  <w:style w:type="paragraph" w:styleId="CommentSubject">
    <w:name w:val="annotation subject"/>
    <w:basedOn w:val="CommentText"/>
    <w:next w:val="CommentText"/>
    <w:link w:val="CommentSubjectChar"/>
    <w:rsid w:val="0019535C"/>
    <w:rPr>
      <w:b/>
      <w:bCs/>
    </w:rPr>
  </w:style>
  <w:style w:type="character" w:customStyle="1" w:styleId="CommentSubjectChar">
    <w:name w:val="Comment Subject Char"/>
    <w:basedOn w:val="CommentTextChar"/>
    <w:link w:val="CommentSubject"/>
    <w:rsid w:val="0019535C"/>
    <w:rPr>
      <w:b/>
      <w:bCs/>
      <w:lang w:val="fi-FI"/>
    </w:rPr>
  </w:style>
  <w:style w:type="paragraph" w:styleId="Revision">
    <w:name w:val="Revision"/>
    <w:hidden/>
    <w:uiPriority w:val="99"/>
    <w:semiHidden/>
    <w:rsid w:val="0019535C"/>
    <w:rPr>
      <w:sz w:val="24"/>
      <w:lang w:val="fi-FI"/>
    </w:rPr>
  </w:style>
  <w:style w:type="paragraph" w:styleId="BalloonText">
    <w:name w:val="Balloon Text"/>
    <w:basedOn w:val="Normal"/>
    <w:link w:val="BalloonTextChar"/>
    <w:rsid w:val="0019535C"/>
    <w:rPr>
      <w:rFonts w:ascii="Segoe UI" w:hAnsi="Segoe UI" w:cs="Segoe UI"/>
      <w:sz w:val="18"/>
      <w:szCs w:val="18"/>
    </w:rPr>
  </w:style>
  <w:style w:type="character" w:customStyle="1" w:styleId="BalloonTextChar">
    <w:name w:val="Balloon Text Char"/>
    <w:basedOn w:val="DefaultParagraphFont"/>
    <w:link w:val="BalloonText"/>
    <w:rsid w:val="0019535C"/>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C0EFD-FE09-4165-9135-81A0D74D4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7269</Words>
  <Characters>62199</Characters>
  <Application>Microsoft Office Word</Application>
  <DocSecurity>0</DocSecurity>
  <Lines>518</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2025-12-03T14:38:00Z</dcterms:created>
  <dcterms:modified xsi:type="dcterms:W3CDTF">2025-12-03T14:38:00Z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P10_TA(2025)0086_</vt:lpwstr>
  </property>
  <property fmtid="{D5CDD505-2E9C-101B-9397-08002B2CF9AE}" pid="4" name="&lt;Type&gt;">
    <vt:lpwstr>RR</vt:lpwstr>
  </property>
</Properties>
</file>