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0641" w14:paraId="4C754ED2" w14:textId="77777777" w:rsidTr="0010095E">
        <w:trPr>
          <w:trHeight w:hRule="exact" w:val="1418"/>
        </w:trPr>
        <w:tc>
          <w:tcPr>
            <w:tcW w:w="6804" w:type="dxa"/>
            <w:shd w:val="clear" w:color="auto" w:fill="auto"/>
            <w:vAlign w:val="center"/>
          </w:tcPr>
          <w:p w14:paraId="143354E2" w14:textId="77777777" w:rsidR="00751A4A" w:rsidRPr="00F00641" w:rsidRDefault="00D7503F" w:rsidP="0010095E">
            <w:pPr>
              <w:pStyle w:val="EPName"/>
            </w:pPr>
            <w:r w:rsidRPr="00F00641">
              <w:t>Eiropas Parlaments</w:t>
            </w:r>
          </w:p>
          <w:p w14:paraId="104C26E4" w14:textId="77777777" w:rsidR="00751A4A" w:rsidRPr="00F00641" w:rsidRDefault="005F1B17" w:rsidP="005F1B17">
            <w:pPr>
              <w:pStyle w:val="EPTerm"/>
              <w:rPr>
                <w:rStyle w:val="HideTWBExt"/>
                <w:noProof w:val="0"/>
                <w:vanish w:val="0"/>
                <w:color w:val="auto"/>
              </w:rPr>
            </w:pPr>
            <w:r w:rsidRPr="00F00641">
              <w:t>2024</w:t>
            </w:r>
            <w:r w:rsidR="00817416" w:rsidRPr="00F00641">
              <w:t>-202</w:t>
            </w:r>
            <w:r w:rsidRPr="00F00641">
              <w:t>9</w:t>
            </w:r>
          </w:p>
        </w:tc>
        <w:tc>
          <w:tcPr>
            <w:tcW w:w="2268" w:type="dxa"/>
            <w:shd w:val="clear" w:color="auto" w:fill="auto"/>
          </w:tcPr>
          <w:p w14:paraId="547CA290" w14:textId="77777777" w:rsidR="00751A4A" w:rsidRPr="00F00641" w:rsidRDefault="00187494" w:rsidP="0010095E">
            <w:pPr>
              <w:pStyle w:val="EPLogo"/>
            </w:pPr>
            <w:r w:rsidRPr="00F00641">
              <w:rPr>
                <w:noProof/>
                <w:lang w:val="en-GB"/>
              </w:rPr>
              <w:drawing>
                <wp:inline distT="0" distB="0" distL="0" distR="0" wp14:anchorId="5EB08C64" wp14:editId="3606CB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5DA654" w14:textId="77777777" w:rsidR="00D058B8" w:rsidRPr="00F00641" w:rsidRDefault="00D058B8" w:rsidP="004C5D52">
      <w:pPr>
        <w:pStyle w:val="LineTop"/>
      </w:pPr>
    </w:p>
    <w:p w14:paraId="62C2CEC3" w14:textId="77777777" w:rsidR="00680577" w:rsidRPr="00F00641" w:rsidRDefault="00D7503F" w:rsidP="00680577">
      <w:pPr>
        <w:pStyle w:val="EPBodyTA1"/>
      </w:pPr>
      <w:r w:rsidRPr="00F00641">
        <w:t>PIEŅEMTIE TEKSTI</w:t>
      </w:r>
    </w:p>
    <w:p w14:paraId="6682FE68" w14:textId="77777777" w:rsidR="00D058B8" w:rsidRPr="00F00641" w:rsidRDefault="00D058B8" w:rsidP="00D058B8">
      <w:pPr>
        <w:pStyle w:val="LineBottom"/>
      </w:pPr>
    </w:p>
    <w:p w14:paraId="4A66C761" w14:textId="77777777" w:rsidR="00D7503F" w:rsidRPr="00F00641" w:rsidRDefault="00D7503F" w:rsidP="00D7503F">
      <w:pPr>
        <w:pStyle w:val="ATHeading1"/>
      </w:pPr>
      <w:bookmarkStart w:id="0" w:name="TANumber"/>
      <w:r w:rsidRPr="00F00641">
        <w:t>P10_TA(2025)</w:t>
      </w:r>
      <w:bookmarkEnd w:id="0"/>
      <w:r w:rsidR="008A6321" w:rsidRPr="00F00641">
        <w:t>0086</w:t>
      </w:r>
    </w:p>
    <w:p w14:paraId="63FBA7C8" w14:textId="77777777" w:rsidR="00D7503F" w:rsidRPr="00F00641" w:rsidRDefault="00D7503F" w:rsidP="00D7503F">
      <w:pPr>
        <w:pStyle w:val="ATHeading2"/>
      </w:pPr>
      <w:bookmarkStart w:id="1" w:name="title"/>
      <w:r w:rsidRPr="00F00641">
        <w:t>ES 2023. finanšu gada vispārējā budžeta izpildes apstiprināšana — Eiropas Ārējās darbības dienests</w:t>
      </w:r>
      <w:bookmarkEnd w:id="1"/>
    </w:p>
    <w:p w14:paraId="486091CD" w14:textId="77777777" w:rsidR="00D7503F" w:rsidRPr="00F00641" w:rsidRDefault="00D7503F" w:rsidP="00D7503F">
      <w:pPr>
        <w:rPr>
          <w:i/>
          <w:vanish/>
        </w:rPr>
      </w:pPr>
      <w:r w:rsidRPr="00F00641">
        <w:rPr>
          <w:i/>
        </w:rPr>
        <w:fldChar w:fldCharType="begin"/>
      </w:r>
      <w:r w:rsidRPr="00F00641">
        <w:rPr>
          <w:i/>
        </w:rPr>
        <w:instrText xml:space="preserve"> TC"(</w:instrText>
      </w:r>
      <w:bookmarkStart w:id="2" w:name="DocNumber"/>
      <w:r w:rsidRPr="00F00641">
        <w:rPr>
          <w:i/>
        </w:rPr>
        <w:instrText>A10-0069/2025</w:instrText>
      </w:r>
      <w:bookmarkEnd w:id="2"/>
      <w:r w:rsidRPr="00F00641">
        <w:rPr>
          <w:i/>
        </w:rPr>
        <w:instrText xml:space="preserve"> - Referents: Joachim </w:instrText>
      </w:r>
      <w:proofErr w:type="spellStart"/>
      <w:r w:rsidRPr="00F00641">
        <w:rPr>
          <w:i/>
        </w:rPr>
        <w:instrText>Stanisław</w:instrText>
      </w:r>
      <w:proofErr w:type="spellEnd"/>
      <w:r w:rsidRPr="00F00641">
        <w:rPr>
          <w:i/>
        </w:rPr>
        <w:instrText xml:space="preserve"> </w:instrText>
      </w:r>
      <w:proofErr w:type="spellStart"/>
      <w:r w:rsidRPr="00F00641">
        <w:rPr>
          <w:i/>
        </w:rPr>
        <w:instrText>Brudziński</w:instrText>
      </w:r>
      <w:proofErr w:type="spellEnd"/>
      <w:r w:rsidRPr="00F00641">
        <w:rPr>
          <w:i/>
        </w:rPr>
        <w:instrText xml:space="preserve">)"\l3 \n&gt; \* MERGEFORMAT </w:instrText>
      </w:r>
      <w:r w:rsidRPr="00F00641">
        <w:rPr>
          <w:i/>
        </w:rPr>
        <w:fldChar w:fldCharType="end"/>
      </w:r>
    </w:p>
    <w:p w14:paraId="3BC63FC3" w14:textId="77777777" w:rsidR="00D7503F" w:rsidRPr="00F00641" w:rsidRDefault="00D7503F" w:rsidP="00D7503F">
      <w:pPr>
        <w:rPr>
          <w:vanish/>
        </w:rPr>
      </w:pPr>
      <w:bookmarkStart w:id="3" w:name="Commission"/>
      <w:r w:rsidRPr="00F00641">
        <w:rPr>
          <w:vanish/>
        </w:rPr>
        <w:t>Budžeta kontroles komiteja</w:t>
      </w:r>
      <w:bookmarkEnd w:id="3"/>
    </w:p>
    <w:p w14:paraId="3F88F0F5" w14:textId="77777777" w:rsidR="00D7503F" w:rsidRPr="00F00641" w:rsidRDefault="00D7503F" w:rsidP="00D7503F">
      <w:pPr>
        <w:rPr>
          <w:vanish/>
        </w:rPr>
      </w:pPr>
      <w:bookmarkStart w:id="4" w:name="PE"/>
      <w:r w:rsidRPr="00F00641">
        <w:rPr>
          <w:vanish/>
        </w:rPr>
        <w:t>PE764.994</w:t>
      </w:r>
      <w:bookmarkEnd w:id="4"/>
    </w:p>
    <w:p w14:paraId="0390CE09" w14:textId="77777777" w:rsidR="00E81D90" w:rsidRPr="00F00641" w:rsidRDefault="00CA4E8F" w:rsidP="00471478">
      <w:pPr>
        <w:pStyle w:val="ATHeading3"/>
      </w:pPr>
      <w:bookmarkStart w:id="5" w:name="Sujet"/>
      <w:r w:rsidRPr="00F00641">
        <w:t xml:space="preserve">1. </w:t>
      </w:r>
      <w:r w:rsidR="00D7503F" w:rsidRPr="00F00641">
        <w:t xml:space="preserve">Eiropas Parlamenta 2025. gada </w:t>
      </w:r>
      <w:r w:rsidR="00471478" w:rsidRPr="00F00641">
        <w:t>7</w:t>
      </w:r>
      <w:r w:rsidR="00D7503F" w:rsidRPr="00F00641">
        <w:t xml:space="preserve">. </w:t>
      </w:r>
      <w:r w:rsidR="00471478" w:rsidRPr="00F00641">
        <w:t>maija</w:t>
      </w:r>
      <w:r w:rsidR="00D7503F" w:rsidRPr="00F00641">
        <w:t xml:space="preserve"> lēmums par Eiropas Savienības 2023. finanšu gada vispārējā budžeta izpildes apstiprināšanu, X iedaļa — Eiropas Ārējās darbības dienests</w:t>
      </w:r>
      <w:bookmarkEnd w:id="5"/>
      <w:r w:rsidR="00D7503F" w:rsidRPr="00F00641">
        <w:t xml:space="preserve"> </w:t>
      </w:r>
      <w:bookmarkStart w:id="6" w:name="References"/>
      <w:r w:rsidR="00D7503F" w:rsidRPr="00F00641">
        <w:t>(2024/2024(DEC))</w:t>
      </w:r>
      <w:bookmarkStart w:id="7" w:name="TextBodyBegin"/>
      <w:bookmarkEnd w:id="6"/>
      <w:bookmarkEnd w:id="7"/>
    </w:p>
    <w:p w14:paraId="653CD961" w14:textId="77777777" w:rsidR="00E81D90" w:rsidRPr="00F00641" w:rsidRDefault="00E81D90" w:rsidP="00E81D90">
      <w:pPr>
        <w:pStyle w:val="EPComma"/>
      </w:pPr>
      <w:r w:rsidRPr="00F00641">
        <w:rPr>
          <w:i/>
        </w:rPr>
        <w:t>Eiropas Parlaments</w:t>
      </w:r>
      <w:r w:rsidRPr="00F00641">
        <w:t>,</w:t>
      </w:r>
    </w:p>
    <w:p w14:paraId="4B05B6DA" w14:textId="77777777" w:rsidR="00725A5E" w:rsidRPr="00725A5E" w:rsidRDefault="00E81D90" w:rsidP="00725A5E">
      <w:pPr>
        <w:spacing w:after="240"/>
        <w:ind w:left="567" w:hanging="567"/>
        <w:rPr>
          <w:kern w:val="2"/>
          <w14:ligatures w14:val="standardContextual"/>
        </w:rPr>
      </w:pPr>
      <w:r w:rsidRPr="00F00641">
        <w:t>–</w:t>
      </w:r>
      <w:r w:rsidRPr="00F00641">
        <w:tab/>
      </w:r>
      <w:r w:rsidR="00725A5E" w:rsidRPr="00725A5E">
        <w:rPr>
          <w:kern w:val="2"/>
          <w14:ligatures w14:val="standardContextual"/>
        </w:rPr>
        <w:t>ņemot vērā Eiropas Savienības 2023. finanšu gada vispārējo budžetu</w:t>
      </w:r>
      <w:r w:rsidR="00725A5E" w:rsidRPr="00725A5E">
        <w:rPr>
          <w:kern w:val="2"/>
          <w:vertAlign w:val="superscript"/>
          <w14:ligatures w14:val="standardContextual"/>
        </w:rPr>
        <w:footnoteReference w:id="1"/>
      </w:r>
      <w:r w:rsidR="00725A5E" w:rsidRPr="00725A5E">
        <w:rPr>
          <w:kern w:val="2"/>
          <w14:ligatures w14:val="standardContextual"/>
        </w:rPr>
        <w:t>,</w:t>
      </w:r>
    </w:p>
    <w:p w14:paraId="3544A8F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Eiropas Savienības konsolidētos pārskatus par 2023. finanšu gadu (COM(2024)0272 – C10</w:t>
      </w:r>
      <w:r w:rsidRPr="00725A5E">
        <w:rPr>
          <w:kern w:val="2"/>
          <w14:ligatures w14:val="standardContextual"/>
        </w:rPr>
        <w:noBreakHyphen/>
        <w:t>0072/2024)</w:t>
      </w:r>
      <w:r w:rsidRPr="00725A5E">
        <w:rPr>
          <w:kern w:val="2"/>
          <w:vertAlign w:val="superscript"/>
          <w14:ligatures w14:val="standardContextual"/>
        </w:rPr>
        <w:footnoteReference w:id="2"/>
      </w:r>
      <w:r w:rsidRPr="00725A5E">
        <w:rPr>
          <w:kern w:val="2"/>
          <w14:ligatures w14:val="standardContextual"/>
        </w:rPr>
        <w:t>,</w:t>
      </w:r>
    </w:p>
    <w:p w14:paraId="261277B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Eiropas Ārējās darbības dienesta 2023. gada darbības pārskatu un tā ziņojumu par budžeta un finanšu pārvaldību 2023. gadā,</w:t>
      </w:r>
    </w:p>
    <w:p w14:paraId="2D87E14E"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Revīzijas palātas pārskatu par budžeta izpildi 2023. finanšu gadā un iestāžu atbildes</w:t>
      </w:r>
      <w:r w:rsidRPr="00725A5E">
        <w:rPr>
          <w:kern w:val="2"/>
          <w:vertAlign w:val="superscript"/>
          <w14:ligatures w14:val="standardContextual"/>
        </w:rPr>
        <w:footnoteReference w:id="3"/>
      </w:r>
      <w:r w:rsidRPr="00725A5E">
        <w:rPr>
          <w:kern w:val="2"/>
          <w14:ligatures w14:val="standardContextual"/>
        </w:rPr>
        <w:t>,</w:t>
      </w:r>
    </w:p>
    <w:p w14:paraId="50DB32CB"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deklarāciju</w:t>
      </w:r>
      <w:r w:rsidRPr="00725A5E">
        <w:rPr>
          <w:kern w:val="2"/>
          <w:vertAlign w:val="superscript"/>
          <w14:ligatures w14:val="standardContextual"/>
        </w:rPr>
        <w:footnoteReference w:id="4"/>
      </w:r>
      <w:r w:rsidRPr="00725A5E">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04387E3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Līguma par Eiropas Savienības darbību 314. panta 10. punktu, kā arī 317. līdz 319. pantu,</w:t>
      </w:r>
    </w:p>
    <w:p w14:paraId="064E25F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 xml:space="preserve">ņemot vērā Eiropas Parlamenta un Padomes 2018. gada 18. jūlija Regulu (ES, </w:t>
      </w:r>
      <w:r w:rsidRPr="00725A5E">
        <w:rPr>
          <w:iCs/>
          <w:kern w:val="2"/>
          <w14:ligatures w14:val="standardContextual"/>
        </w:rPr>
        <w:t>Euratom</w:t>
      </w:r>
      <w:r w:rsidRPr="00725A5E">
        <w:rPr>
          <w:kern w:val="2"/>
          <w14:ligatures w14:val="standardContextual"/>
        </w:rPr>
        <w:t xml:space="preserve">) 2018/1046 par finanšu noteikumiem, ko piemēro Savienības vispārējam budžetam, ar kuru groza Regulas (ES) Nr. 1296/2013, (ES) Nr. 1301/2013, (ES) Nr. 1303/2013, (ES) </w:t>
      </w:r>
      <w:r w:rsidRPr="00725A5E">
        <w:rPr>
          <w:kern w:val="2"/>
          <w14:ligatures w14:val="standardContextual"/>
        </w:rPr>
        <w:lastRenderedPageBreak/>
        <w:t xml:space="preserve">Nr. 1304/2013, (ES) Nr. 1309/2013, (ES) Nr. 1316/2013, (ES) Nr. 223/2014, (ES) Nr. 283/2014 un Lēmumu Nr. 541/2014/ES un atceļ Regulu (ES, </w:t>
      </w:r>
      <w:r w:rsidRPr="00725A5E">
        <w:rPr>
          <w:iCs/>
          <w:kern w:val="2"/>
          <w14:ligatures w14:val="standardContextual"/>
        </w:rPr>
        <w:t>Euratom</w:t>
      </w:r>
      <w:r w:rsidRPr="00725A5E">
        <w:rPr>
          <w:kern w:val="2"/>
          <w14:ligatures w14:val="standardContextual"/>
        </w:rPr>
        <w:t>) Nr. 966/2012</w:t>
      </w:r>
      <w:r w:rsidRPr="00725A5E">
        <w:rPr>
          <w:kern w:val="2"/>
          <w:vertAlign w:val="superscript"/>
          <w14:ligatures w14:val="standardContextual"/>
        </w:rPr>
        <w:footnoteReference w:id="5"/>
      </w:r>
      <w:r w:rsidRPr="00725A5E">
        <w:rPr>
          <w:kern w:val="2"/>
          <w14:ligatures w14:val="standardContextual"/>
        </w:rPr>
        <w:t>, un jo īpaši tās 59., 118., 260. līdz 263. pantu,</w:t>
      </w:r>
    </w:p>
    <w:p w14:paraId="7F12905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 xml:space="preserve">ņemot vērā Eiropas Parlamenta un Padomes 2024. gada 23. septembra Regulu (ES, </w:t>
      </w:r>
      <w:r w:rsidRPr="00725A5E">
        <w:rPr>
          <w:iCs/>
          <w:kern w:val="2"/>
          <w14:ligatures w14:val="standardContextual"/>
        </w:rPr>
        <w:t>Euratom</w:t>
      </w:r>
      <w:r w:rsidRPr="00725A5E">
        <w:rPr>
          <w:kern w:val="2"/>
          <w14:ligatures w14:val="standardContextual"/>
        </w:rPr>
        <w:t>) 2024/2509 par finanšu noteikumiem, ko piemēro Savienības vispārējam budžetam</w:t>
      </w:r>
      <w:r w:rsidRPr="00725A5E">
        <w:rPr>
          <w:kern w:val="2"/>
          <w:vertAlign w:val="superscript"/>
          <w14:ligatures w14:val="standardContextual"/>
        </w:rPr>
        <w:footnoteReference w:id="6"/>
      </w:r>
      <w:r w:rsidRPr="00725A5E">
        <w:rPr>
          <w:kern w:val="2"/>
          <w14:ligatures w14:val="standardContextual"/>
        </w:rPr>
        <w:t>, un jo īpaši tās 59., 118., 266. līdz 269. pantu,</w:t>
      </w:r>
    </w:p>
    <w:p w14:paraId="0637B11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Padomes 2010. gada 26. jūlija Lēmumu 2010/427/ES, ar ko nosaka Eiropas Ārējās darbības dienesta organizatorisko struktūru un darbību</w:t>
      </w:r>
      <w:r w:rsidRPr="00725A5E">
        <w:rPr>
          <w:kern w:val="2"/>
          <w:vertAlign w:val="superscript"/>
          <w14:ligatures w14:val="standardContextual"/>
        </w:rPr>
        <w:footnoteReference w:id="7"/>
      </w:r>
      <w:r w:rsidRPr="00725A5E">
        <w:rPr>
          <w:kern w:val="2"/>
          <w14:ligatures w14:val="standardContextual"/>
        </w:rPr>
        <w:t>, un jo īpaši tā 8. pantu,</w:t>
      </w:r>
    </w:p>
    <w:p w14:paraId="2190CF31"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Reglamenta 102. pantu un V pielikumu,</w:t>
      </w:r>
    </w:p>
    <w:p w14:paraId="4B694180"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Ārlietu komitejas atzinumu,</w:t>
      </w:r>
    </w:p>
    <w:p w14:paraId="200295E8"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Budžeta kontroles komitejas ziņojumu (A10</w:t>
      </w:r>
      <w:r w:rsidRPr="00725A5E">
        <w:rPr>
          <w:kern w:val="2"/>
          <w14:ligatures w14:val="standardContextual"/>
        </w:rPr>
        <w:noBreakHyphen/>
        <w:t>0069/2025),</w:t>
      </w:r>
    </w:p>
    <w:p w14:paraId="1E3DA6EC"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1.</w:t>
      </w:r>
      <w:r w:rsidRPr="00725A5E">
        <w:rPr>
          <w:kern w:val="2"/>
          <w14:ligatures w14:val="standardContextual"/>
        </w:rPr>
        <w:tab/>
        <w:t>sniedz Savienības Augstajai pārstāvei ārlietās un drošības politikas jautājumos apstiprinājumu par Eiropas Ārējās darbības dienesta 2023. finanšu gada budžeta izpildi;</w:t>
      </w:r>
    </w:p>
    <w:p w14:paraId="3E3963B5"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w:t>
      </w:r>
      <w:r w:rsidRPr="00725A5E">
        <w:rPr>
          <w:kern w:val="2"/>
          <w14:ligatures w14:val="standardContextual"/>
        </w:rPr>
        <w:tab/>
        <w:t>izklāsta savus konstatējumus turpmāk tekstā iekļautajā rezolūcijā;</w:t>
      </w:r>
    </w:p>
    <w:p w14:paraId="3AB2E488"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w:t>
      </w:r>
      <w:r w:rsidRPr="00725A5E">
        <w:rPr>
          <w:kern w:val="2"/>
          <w14:ligatures w14:val="standardContextual"/>
        </w:rPr>
        <w:tab/>
        <w:t xml:space="preserve">uzdod priekšsēdētājai šo lēmumu un rezolūciju, kas ir tā neatņemama daļa, nosūtīt Eiropas Ārējās darbības dienestam, Padomei, Komisijai, Revīzijas palātai, Eiropas </w:t>
      </w:r>
      <w:proofErr w:type="spellStart"/>
      <w:r w:rsidRPr="00725A5E">
        <w:rPr>
          <w:kern w:val="2"/>
          <w14:ligatures w14:val="standardContextual"/>
        </w:rPr>
        <w:t>Ombudam</w:t>
      </w:r>
      <w:proofErr w:type="spellEnd"/>
      <w:r w:rsidRPr="00725A5E">
        <w:rPr>
          <w:kern w:val="2"/>
          <w14:ligatures w14:val="standardContextual"/>
        </w:rPr>
        <w:t xml:space="preserve"> un Eiropas Datu aizsardzības uzraudzītājam un nodrošināt to publicēšanu </w:t>
      </w:r>
      <w:r w:rsidRPr="00725A5E">
        <w:rPr>
          <w:i/>
          <w:kern w:val="2"/>
          <w14:ligatures w14:val="standardContextual"/>
        </w:rPr>
        <w:t>Eiropas Savienības Oficiālajā Vēstnesī</w:t>
      </w:r>
      <w:r w:rsidRPr="00725A5E">
        <w:rPr>
          <w:kern w:val="2"/>
          <w14:ligatures w14:val="standardContextual"/>
        </w:rPr>
        <w:t xml:space="preserve"> (L sērijā).</w:t>
      </w:r>
    </w:p>
    <w:p w14:paraId="7BF5FDB5" w14:textId="77777777" w:rsidR="00725A5E" w:rsidRPr="00725A5E" w:rsidRDefault="00725A5E" w:rsidP="00725A5E">
      <w:pPr>
        <w:widowControl/>
        <w:rPr>
          <w:rFonts w:eastAsia="Aptos"/>
          <w:szCs w:val="24"/>
          <w:lang w:eastAsia="en-US"/>
        </w:rPr>
        <w:sectPr w:rsidR="00725A5E" w:rsidRPr="00725A5E" w:rsidSect="00725A5E">
          <w:footnotePr>
            <w:numRestart w:val="eachSect"/>
          </w:footnotePr>
          <w:pgSz w:w="11906" w:h="16838"/>
          <w:pgMar w:top="1440" w:right="1440" w:bottom="1440" w:left="1440" w:header="708" w:footer="708" w:gutter="0"/>
          <w:cols w:space="720"/>
        </w:sectPr>
      </w:pPr>
    </w:p>
    <w:p w14:paraId="271313D3" w14:textId="77777777" w:rsidR="00725A5E" w:rsidRPr="00725A5E" w:rsidRDefault="00725A5E" w:rsidP="00725A5E">
      <w:pPr>
        <w:pStyle w:val="ATHeading3"/>
      </w:pPr>
      <w:r w:rsidRPr="00725A5E">
        <w:lastRenderedPageBreak/>
        <w:t>2. Eiropas Parlamenta 2025. gada 7. maija rezolūcija ar konstatējumiem, kas ir neatņemama daļa no lēmuma par Eiropas Savienības 2023. finanšu gada vispārējā budžeta izpildes apstiprināšanu, X iedaļa – Eiropas Ārējās darbības dienests (2024/2024(DEC))</w:t>
      </w:r>
    </w:p>
    <w:p w14:paraId="21EC3DED" w14:textId="63707C91" w:rsidR="00725A5E" w:rsidRPr="00725A5E" w:rsidRDefault="00725A5E" w:rsidP="00725A5E">
      <w:pPr>
        <w:spacing w:before="480" w:after="240"/>
        <w:rPr>
          <w:kern w:val="2"/>
          <w14:ligatures w14:val="standardContextual"/>
        </w:rPr>
      </w:pPr>
      <w:r w:rsidRPr="00F00641">
        <w:rPr>
          <w:i/>
        </w:rPr>
        <w:t>Eiropas Parlaments</w:t>
      </w:r>
      <w:r w:rsidRPr="00725A5E">
        <w:rPr>
          <w:kern w:val="2"/>
          <w14:ligatures w14:val="standardContextual"/>
        </w:rPr>
        <w:t>,</w:t>
      </w:r>
    </w:p>
    <w:p w14:paraId="7F107061"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lēmumu par Eiropas Savienības 2023. finanšu gada vispārējā budžeta izpildes apstiprināšanu, X iedaļa – Eiropas Ārējās darbības dienests,</w:t>
      </w:r>
    </w:p>
    <w:p w14:paraId="34B43DC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Reglamenta 102. pantu un V pielikumu,</w:t>
      </w:r>
    </w:p>
    <w:p w14:paraId="01B32E4D"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Ārlietu komitejas atzinumu,</w:t>
      </w:r>
    </w:p>
    <w:p w14:paraId="5203F120"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w:t>
      </w:r>
      <w:r w:rsidRPr="00725A5E">
        <w:rPr>
          <w:kern w:val="2"/>
          <w14:ligatures w14:val="standardContextual"/>
        </w:rPr>
        <w:tab/>
        <w:t>ņemot vērā Budžeta kontroles komitejas ziņojumu (A10-0069/2025),</w:t>
      </w:r>
    </w:p>
    <w:p w14:paraId="7C463875"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A.</w:t>
      </w:r>
      <w:r w:rsidRPr="00725A5E">
        <w:rPr>
          <w:kern w:val="2"/>
          <w14:ligatures w14:val="standardContextual"/>
        </w:rPr>
        <w:tab/>
        <w:t xml:space="preserve">tā kā saistībā ar budžeta izpildes apstiprināšanas procedūru budžeta izpildes </w:t>
      </w:r>
      <w:proofErr w:type="spellStart"/>
      <w:r w:rsidRPr="00725A5E">
        <w:rPr>
          <w:kern w:val="2"/>
          <w14:ligatures w14:val="standardContextual"/>
        </w:rPr>
        <w:t>apstiprinātājiestāde</w:t>
      </w:r>
      <w:proofErr w:type="spellEnd"/>
      <w:r w:rsidRPr="00725A5E">
        <w:rPr>
          <w:kern w:val="2"/>
          <w14:ligatures w14:val="standardContextual"/>
        </w:rPr>
        <w:t xml:space="preserve"> vēlas uzsvērt, ka ir īpaši svarīgi vēl vairāk pastiprināt Savienības iestāžu demokrātisko leģitimitāti, uzlabojot </w:t>
      </w:r>
      <w:proofErr w:type="spellStart"/>
      <w:r w:rsidRPr="00725A5E">
        <w:rPr>
          <w:kern w:val="2"/>
          <w14:ligatures w14:val="standardContextual"/>
        </w:rPr>
        <w:t>pārredzamību</w:t>
      </w:r>
      <w:proofErr w:type="spellEnd"/>
      <w:r w:rsidRPr="00725A5E">
        <w:rPr>
          <w:kern w:val="2"/>
          <w14:ligatures w14:val="standardContextual"/>
        </w:rPr>
        <w:t xml:space="preserve"> un </w:t>
      </w:r>
      <w:proofErr w:type="spellStart"/>
      <w:r w:rsidRPr="00725A5E">
        <w:rPr>
          <w:kern w:val="2"/>
          <w14:ligatures w14:val="standardContextual"/>
        </w:rPr>
        <w:t>pārskatatbildību</w:t>
      </w:r>
      <w:proofErr w:type="spellEnd"/>
      <w:r w:rsidRPr="00725A5E">
        <w:rPr>
          <w:kern w:val="2"/>
          <w14:ligatures w14:val="standardContextual"/>
        </w:rPr>
        <w:t xml:space="preserve"> un īstenojot uz sniegumu balstītas budžeta izstrādes koncepciju un cilvēkresursu labu pārvaldību;</w:t>
      </w:r>
    </w:p>
    <w:p w14:paraId="2CF0DD90"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B.</w:t>
      </w:r>
      <w:r w:rsidRPr="00725A5E">
        <w:rPr>
          <w:kern w:val="2"/>
          <w14:ligatures w14:val="standardContextual"/>
        </w:rPr>
        <w:tab/>
        <w:t>tā kā Eiropas Ārējās darbības dienests ir atbildīgs par savas galvenās mītnes, kas atrodas Briselē, administratīvo izdevumu pārvaldību un par 144 Savienības delegāciju un biroju tīklu;</w:t>
      </w:r>
    </w:p>
    <w:p w14:paraId="2F7096EF"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C.</w:t>
      </w:r>
      <w:r w:rsidRPr="00725A5E">
        <w:rPr>
          <w:kern w:val="2"/>
          <w14:ligatures w14:val="standardContextual"/>
        </w:rPr>
        <w:tab/>
        <w:t>tā kā EĀDD atbildība tika paplašināta, lai tā aptvertu Komisijas personāla administratīvo pārvaldību delegācijās, noslēdzot vairākas pakalpojumu līmeņa vienošanās;</w:t>
      </w:r>
    </w:p>
    <w:p w14:paraId="0D5B1C7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D.</w:t>
      </w:r>
      <w:r w:rsidRPr="00725A5E">
        <w:rPr>
          <w:kern w:val="2"/>
          <w14:ligatures w14:val="standardContextual"/>
        </w:rPr>
        <w:tab/>
        <w:t>tā kā delegāciju uzdevums ir pārstāvēt Savienību un tās pilsoņus visā pasaulē, veidojot tīklus un partnerības, un popularizēt Savienības vērtības;</w:t>
      </w:r>
    </w:p>
    <w:p w14:paraId="7B5F4882"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E.</w:t>
      </w:r>
      <w:r w:rsidRPr="00725A5E">
        <w:rPr>
          <w:kern w:val="2"/>
          <w14:ligatures w14:val="standardContextual"/>
        </w:rPr>
        <w:tab/>
        <w:t>tā kā EĀDD īpatnība joprojām sakņojas tā būtībā un izcelsmē, kā tas bija tad, kad to izveidoja, apvienojot darbiniekus no Padomes un Eiropas Komisijas bijušajiem ārējo attiecību departamentiem un integrējot dalībvalstu diplomātus;</w:t>
      </w:r>
    </w:p>
    <w:p w14:paraId="116D902D"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F.</w:t>
      </w:r>
      <w:r w:rsidRPr="00725A5E">
        <w:rPr>
          <w:kern w:val="2"/>
          <w14:ligatures w14:val="standardContextual"/>
        </w:rPr>
        <w:tab/>
        <w:t>tā kā saskaņā ar EĀDD iekšējiem noteikumiem EĀDD ģenerālsekretārs darbojas kā institūcijas deleģētais kredītrīkotājs un tā kā par līdzekļu pārvaldību atbildīgajam ģenerāldirektoram ir galvenā pastarpināti deleģētā kredītrīkotāja loma;</w:t>
      </w:r>
    </w:p>
    <w:p w14:paraId="3340C605"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G.</w:t>
      </w:r>
      <w:r w:rsidRPr="00725A5E">
        <w:rPr>
          <w:kern w:val="2"/>
          <w14:ligatures w14:val="standardContextual"/>
        </w:rPr>
        <w:tab/>
        <w:t xml:space="preserve">tā kā pilnvaras, kas ar šiem Civildienesta noteikumiem piešķirtas </w:t>
      </w:r>
      <w:proofErr w:type="spellStart"/>
      <w:r w:rsidRPr="00725A5E">
        <w:rPr>
          <w:kern w:val="2"/>
          <w14:ligatures w14:val="standardContextual"/>
        </w:rPr>
        <w:t>iecēlējinstitūcijai</w:t>
      </w:r>
      <w:proofErr w:type="spellEnd"/>
      <w:r w:rsidRPr="00725A5E">
        <w:rPr>
          <w:kern w:val="2"/>
          <w14:ligatures w14:val="standardContextual"/>
        </w:rPr>
        <w:t>, attiecībā uz EĀDD darbiniekiem īsteno</w:t>
      </w:r>
      <w:r w:rsidRPr="00725A5E">
        <w:rPr>
          <w:kern w:val="2"/>
          <w:szCs w:val="24"/>
          <w14:ligatures w14:val="standardContextual"/>
        </w:rPr>
        <w:t xml:space="preserve"> </w:t>
      </w:r>
      <w:r w:rsidRPr="00725A5E">
        <w:rPr>
          <w:color w:val="000000"/>
          <w:kern w:val="2"/>
          <w:szCs w:val="24"/>
          <w:shd w:val="clear" w:color="auto" w:fill="F8F8F8"/>
          <w14:ligatures w14:val="standardContextual"/>
        </w:rPr>
        <w:t xml:space="preserve">Komisijas priekšsēdētājas vietnieks / </w:t>
      </w:r>
      <w:r w:rsidRPr="00725A5E">
        <w:rPr>
          <w:kern w:val="2"/>
          <w:szCs w:val="24"/>
          <w14:ligatures w14:val="standardContextual"/>
        </w:rPr>
        <w:t>Savienības Augstais pārstāvis ārlietās un drošības politikas jautājumos (“Komisijas priekšsēdētājas vietnieks / Augstais pārstāvis”)</w:t>
      </w:r>
      <w:r w:rsidRPr="00725A5E">
        <w:rPr>
          <w:kern w:val="2"/>
          <w14:ligatures w14:val="standardContextual"/>
        </w:rPr>
        <w:t>;</w:t>
      </w:r>
    </w:p>
    <w:p w14:paraId="56F98615"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H.</w:t>
      </w:r>
      <w:r w:rsidRPr="00725A5E">
        <w:rPr>
          <w:kern w:val="2"/>
          <w14:ligatures w14:val="standardContextual"/>
        </w:rPr>
        <w:tab/>
        <w:t>tā kā budžeta izpildi reglamentē Finanšu regula un EĀDD budžeta izpildes iekšējie noteikumi,</w:t>
      </w:r>
    </w:p>
    <w:p w14:paraId="3D99AC6B"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1.</w:t>
      </w:r>
      <w:r w:rsidRPr="00725A5E">
        <w:rPr>
          <w:kern w:val="2"/>
          <w14:ligatures w14:val="standardContextual"/>
        </w:rPr>
        <w:tab/>
        <w:t xml:space="preserve">norāda, ka EĀDD budžets ietilpst DFS 7. izdevumu kategorijā “Eiropas publiskā pārvalde”, kuras kopējais apjoms 2023. gadā bija 12,3 miljardi EUR (6,4 % no </w:t>
      </w:r>
      <w:r w:rsidRPr="00725A5E">
        <w:rPr>
          <w:kern w:val="2"/>
          <w14:ligatures w14:val="standardContextual"/>
        </w:rPr>
        <w:lastRenderedPageBreak/>
        <w:t>Savienības kopējā budžeta); norāda, ka EĀDD budžets aptuveni 1,1 miljardu EUR apmērā veido aptuveni 9,2 % no Savienības kopējiem administratīvajiem izdevumiem;</w:t>
      </w:r>
    </w:p>
    <w:p w14:paraId="4B78681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w:t>
      </w:r>
      <w:r w:rsidRPr="00725A5E">
        <w:rPr>
          <w:kern w:val="2"/>
          <w14:ligatures w14:val="standardContextual"/>
        </w:rPr>
        <w:tab/>
        <w:t>norāda, ka Eiropas Revīzijas palāta (“Revīzijas palāta”) savā 2023. finanšu gada pārskatā kategorijā “Administrācija” ir pārbaudījusi 70 darījumus, kas ir par 10 darījumiem vairāk nekā 2022. gadā; turklāt norāda, ka Revīzijas palāta raksta, ka administratīvie izdevumi ietver izdevumus par cilvēkresursiem, tai skaitā izdevumus par pensijām, kas 2023. gadā veidoja aptuveni 70 % no kopējiem administratīvajiem izdevumiem, un izdevumus par ēkām, iekārtām, enerģiju, komunikācijām un informācijas tehnoloģijām, un ka tās daudzu gadu darbs liecina, ka kopumā šie izdevumi ir zema riska izdevumi;</w:t>
      </w:r>
    </w:p>
    <w:p w14:paraId="653D8D9F"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w:t>
      </w:r>
      <w:r w:rsidRPr="00725A5E">
        <w:rPr>
          <w:kern w:val="2"/>
          <w14:ligatures w14:val="standardContextual"/>
        </w:rPr>
        <w:tab/>
        <w:t>norāda, ka no 70 pārbaudītajiem darījumiem 21 darījumā (30 %) tika konstatētas kļūdas, taču Revīzijas palāta, pamatojoties uz piecām izmērītām kļūdām, lēš, ka kļūdu līmenis ir zemāks par būtiskuma slieksni;</w:t>
      </w:r>
    </w:p>
    <w:p w14:paraId="056EFC1C"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4.</w:t>
      </w:r>
      <w:r w:rsidRPr="00725A5E">
        <w:rPr>
          <w:kern w:val="2"/>
          <w14:ligatures w14:val="standardContextual"/>
        </w:rPr>
        <w:tab/>
        <w:t>ar bažām norāda, ka Revīzijas palāta savā pārskatā par 2023. finanšu gadu konstatēja skaitļos izsakāmu kļūdu 1 no 13 pārbaudītajiem maksājumiem un formulēja 6 skaitļos neizsakāmus konstatējumus par EĀDD; norāda, ka skaitļos izsakāmā kļūda tika konstatēta saistībā ar to, ka nebija derīgas iepirkuma procedūras, pirms tika parakstīts nomas līgums ES delegācijai; norāda, ka 2023. gadā EĀDD veica pasākumus, kas novērstu divas skaitļos izsakāmas kļūdas, ko Revīzijas palāta konstatēja savā 2022. gada pārskatā, un veica pasākumus, kas ļautu turpmāk izvairīties no šādām problēmām;</w:t>
      </w:r>
    </w:p>
    <w:p w14:paraId="0DCA6E81" w14:textId="77777777" w:rsidR="00725A5E" w:rsidRPr="00725A5E" w:rsidRDefault="00725A5E" w:rsidP="00725A5E">
      <w:pPr>
        <w:spacing w:after="240"/>
        <w:ind w:left="567" w:hanging="567"/>
        <w:rPr>
          <w:b/>
          <w:iCs/>
          <w:kern w:val="2"/>
          <w14:ligatures w14:val="standardContextual"/>
        </w:rPr>
      </w:pPr>
      <w:r w:rsidRPr="00725A5E">
        <w:rPr>
          <w:b/>
          <w:iCs/>
          <w:kern w:val="2"/>
          <w14:ligatures w14:val="standardContextual"/>
        </w:rPr>
        <w:t>Budžeta un finanšu pārvaldība</w:t>
      </w:r>
    </w:p>
    <w:p w14:paraId="29FE0469"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5.</w:t>
      </w:r>
      <w:r w:rsidRPr="00725A5E">
        <w:rPr>
          <w:kern w:val="2"/>
          <w14:ligatures w14:val="standardContextual"/>
        </w:rPr>
        <w:tab/>
        <w:t>norāda, ka EĀDD 2023. gada galīgais budžets bija 821 900 280 EUR, proti, par 4,45 % vairāk nekā 2022. gadā; norāda, ka EĀDD rīcībā bija arī 259,7 miljoni EUR (ieskaitot piešķirtos ieņēmumus un pārnestās summas), kurus Komisija bija piešķīrusi Savienības delegācijās strādājošā Komisijas personāla administratīvo izmaksu segšanai; norāda, ka EĀDD saņēma arī papildu fiksētas summas iemaksas, lai segtu delegācijās strādājošo Eiropas Attīstības fonda darbinieku kopējās izmaksas, kā arī citas summas, kas saņemtas saskaņā ar kopīgas atrašanās vietas nolīgumiem un citiem nolīgumiem; norāda, ka tādējādi kopējā budžeta summa, ko EĀDD pārvaldīja 2023. gadā, bija 1 198,2 miljoni EUR (saistību apropriācijas), kas ir par 4,8 % vairāk nekā iepriekšējā gadā;</w:t>
      </w:r>
    </w:p>
    <w:p w14:paraId="10FBF6CE" w14:textId="77777777" w:rsidR="00725A5E" w:rsidRPr="00725A5E" w:rsidRDefault="00725A5E" w:rsidP="00725A5E">
      <w:pPr>
        <w:spacing w:after="240"/>
        <w:ind w:left="567" w:hanging="567"/>
        <w:rPr>
          <w:b/>
          <w:kern w:val="2"/>
          <w14:ligatures w14:val="standardContextual"/>
        </w:rPr>
      </w:pPr>
      <w:r w:rsidRPr="00725A5E">
        <w:rPr>
          <w:kern w:val="2"/>
          <w14:ligatures w14:val="standardContextual"/>
        </w:rPr>
        <w:t>6.</w:t>
      </w:r>
      <w:r w:rsidRPr="00725A5E">
        <w:rPr>
          <w:kern w:val="2"/>
          <w14:ligatures w14:val="standardContextual"/>
        </w:rPr>
        <w:tab/>
        <w:t>norāda, ka 2023. gadā saistību apropriāciju budžeta izpildes līmenis bija 100 %, savukārt maksājumu izpildes līmenis bija 91,9 % salīdzinājumā ar 90,6 % 2022. gadā; norāda, ka vidējais maksājuma veikšanas laiks bija 13,57 dienas, tomēr norāda, ka 8,63 % no kopējās summas tika samaksāti novēloti, kā rezultātā 2023. gadā tika veikti novēloti procentu maksājumi 50 253,91 EUR apmērā; mudina EĀDD laikus samaksāt savas saistības;</w:t>
      </w:r>
      <w:r w:rsidRPr="00725A5E">
        <w:rPr>
          <w:color w:val="FF0000"/>
          <w:kern w:val="2"/>
          <w14:ligatures w14:val="standardContextual"/>
        </w:rPr>
        <w:t xml:space="preserve"> </w:t>
      </w:r>
      <w:r w:rsidRPr="00725A5E">
        <w:rPr>
          <w:kern w:val="2"/>
          <w14:ligatures w14:val="standardContextual"/>
        </w:rPr>
        <w:t xml:space="preserve">mudina EĀDD turpināt centienus uzlabot elektronisko maksājumu skaitu un darba plūsmu </w:t>
      </w:r>
      <w:proofErr w:type="spellStart"/>
      <w:r w:rsidRPr="00725A5E">
        <w:rPr>
          <w:kern w:val="2"/>
          <w14:ligatures w14:val="standardContextual"/>
        </w:rPr>
        <w:t>digitalizāciju</w:t>
      </w:r>
      <w:proofErr w:type="spellEnd"/>
      <w:r w:rsidRPr="00725A5E">
        <w:rPr>
          <w:kern w:val="2"/>
          <w14:ligatures w14:val="standardContextual"/>
        </w:rPr>
        <w:t>, it īpaši delegācijās;</w:t>
      </w:r>
    </w:p>
    <w:p w14:paraId="2D37FB5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w:t>
      </w:r>
      <w:r w:rsidRPr="00725A5E">
        <w:rPr>
          <w:kern w:val="2"/>
          <w14:ligatures w14:val="standardContextual"/>
        </w:rPr>
        <w:tab/>
        <w:t xml:space="preserve">atzīmē, ka EĀDD informēja budžeta lēmējinstitūciju par diviem budžeta pārvietojumiem saskaņā ar Finanšu regulas 29. panta 1. punktu un veica 11 autonomus pārvietojumus saskaņā ar 29. panta 4. punktu par kopējo summu 55,7 miljoni EUR; norāda, ka pārvietojumu galvenais mērķis bija par 18,97 miljoniem EUR palielināt budžeta pozīciju 3 0 0 3 attiecībā uz ēkām un saistītajām izmaksām delegācijās un par 5,6 miljoniem EUR palielināt budžeta pozīciju 3 0 0 1 attiecībā uz ārštata darbiniekiem </w:t>
      </w:r>
      <w:r w:rsidRPr="00725A5E">
        <w:rPr>
          <w:kern w:val="2"/>
          <w14:ligatures w14:val="standardContextual"/>
        </w:rPr>
        <w:lastRenderedPageBreak/>
        <w:t>un ārējiem pakalpojumiem delegācijās; norāda, ka pēc pārvietojumiem EĀDD galvenās mītnes galīgais budžets bija 327,8 miljoni EUR un delegāciju galīgais budžets – 494,1 miljons EUR;</w:t>
      </w:r>
    </w:p>
    <w:p w14:paraId="57B18BB9"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8.</w:t>
      </w:r>
      <w:r w:rsidRPr="00725A5E">
        <w:rPr>
          <w:kern w:val="2"/>
          <w14:ligatures w14:val="standardContextual"/>
        </w:rPr>
        <w:tab/>
        <w:t xml:space="preserve">norāda, ka 2023. gadā EĀDD </w:t>
      </w:r>
      <w:proofErr w:type="spellStart"/>
      <w:r w:rsidRPr="00725A5E">
        <w:rPr>
          <w:kern w:val="2"/>
          <w14:ligatures w14:val="standardContextual"/>
        </w:rPr>
        <w:t>saskārās</w:t>
      </w:r>
      <w:proofErr w:type="spellEnd"/>
      <w:r w:rsidRPr="00725A5E">
        <w:rPr>
          <w:kern w:val="2"/>
          <w14:ligatures w14:val="standardContextual"/>
        </w:rPr>
        <w:t xml:space="preserve"> ar pieaugošām politiskām un finansiālām problēmām, kā arī problēmām cilvēktiesību un tiesiskuma jomā; norāda, ka Krievijas agresijas karš pret Ukrainu un tā ģeopolitiskās sekas joprojām bija svarīgs jautājums 2023. gadā, kā rezultātā EĀDD nodrošināja plašu atbalstu Ukrainai, izdarīja spiedienu uz Krieviju un turpinās globāla mēroga iesaisti nolūkā risināt kara plašākās sekas, tai skaitā īstenojot rīcības plānu attiecībā uz ģeopolitiskajām sekām, ko rada Krievijas agresija pret Ukrainu; atzīst EĀDD lomu pierādījumu vākšanā pret ES sankcionētiem Krievijas valsts atbalstītiem kanāliem un personām, kas iesaistītas dezinformācijas izplatīšanā un manipulācijā ar informāciju ar mērķi attaisnot Krievijas agresijas karu; uzsver, ka ir jānodrošina pienācīgi resursi EĀDD Stratēģiskās komunikācijas un prognozēšanas nodaļai, lai efektīvi apkarotu dezinformācijas kampaņas, ko autoritāri un neliberāli režīmi izmanto kā stratēģiskus instrumentus; aicina EĀDD pastiprināt Savienības delegācijas Austrumu partnerības valstīs, lai atbalstītu tās valstis, kuras smagi </w:t>
      </w:r>
      <w:proofErr w:type="spellStart"/>
      <w:r w:rsidRPr="00725A5E">
        <w:rPr>
          <w:kern w:val="2"/>
          <w14:ligatures w14:val="standardContextual"/>
        </w:rPr>
        <w:t>skārusi</w:t>
      </w:r>
      <w:proofErr w:type="spellEnd"/>
      <w:r w:rsidRPr="00725A5E">
        <w:rPr>
          <w:kern w:val="2"/>
          <w14:ligatures w14:val="standardContextual"/>
        </w:rPr>
        <w:t xml:space="preserve"> Krievijas militārā agresija pret Ukrainu; norāda, ka Komisijas priekšsēdētāja vietnieka / Augstā pārstāvja pakļautībā pārvaldītā Eiropas Miera mehānisma finanšu maksimālais apjoms tika palielināts no 5,6 miljoniem EUR līdz vairāk nekā 12 miljoniem EUR 2023. gadā; aicina EĀDD sadarboties ar Paplašināšanās un austrumu </w:t>
      </w:r>
      <w:proofErr w:type="spellStart"/>
      <w:r w:rsidRPr="00725A5E">
        <w:rPr>
          <w:kern w:val="2"/>
          <w14:ligatures w14:val="standardContextual"/>
        </w:rPr>
        <w:t>kaimiņreģiona</w:t>
      </w:r>
      <w:proofErr w:type="spellEnd"/>
      <w:r w:rsidRPr="00725A5E">
        <w:rPr>
          <w:kern w:val="2"/>
          <w14:ligatures w14:val="standardContextual"/>
        </w:rPr>
        <w:t xml:space="preserve"> ģenerāldirektorātu, lai nodrošinātu mehānisma finansēto projektu efektīvu uzraudzību un pārraudzību; norāda, ka sakarā ar Izraēlas un Palestīnas konfliktu, kas atkal uzliesmoja pēc “</w:t>
      </w:r>
      <w:proofErr w:type="spellStart"/>
      <w:r w:rsidRPr="00725A5E">
        <w:rPr>
          <w:kern w:val="2"/>
          <w14:ligatures w14:val="standardContextual"/>
        </w:rPr>
        <w:t>Hamās</w:t>
      </w:r>
      <w:proofErr w:type="spellEnd"/>
      <w:r w:rsidRPr="00725A5E">
        <w:rPr>
          <w:kern w:val="2"/>
          <w14:ligatures w14:val="standardContextual"/>
        </w:rPr>
        <w:t xml:space="preserve">” uzbrukuma 2023. gada 7. oktobrī, EĀDD bija jāiesaistās intensīvos diplomātiskajos centienos, jārosina Savienības iestādes mudināt reģionālo </w:t>
      </w:r>
      <w:proofErr w:type="spellStart"/>
      <w:r w:rsidRPr="00725A5E">
        <w:rPr>
          <w:kern w:val="2"/>
          <w14:ligatures w14:val="standardContextual"/>
        </w:rPr>
        <w:t>deeskalāciju</w:t>
      </w:r>
      <w:proofErr w:type="spellEnd"/>
      <w:r w:rsidRPr="00725A5E">
        <w:rPr>
          <w:kern w:val="2"/>
          <w14:ligatures w14:val="standardContextual"/>
        </w:rPr>
        <w:t>, reaģēt uz humānās palīdzības vajadzībām un atbalstīt reģionālā miera centienus; uzsver, ka Savienības un EĀDD palīdzībai ir jāatbilst plašākiem cilvēktiesību un miera mērķiem reģionā, paredzot stingrus aizsardzības pasākumus, lai nodrošinātu, ka ar līdzekļiem ne tieši, ne netieši netiek atbalstītas teroristiskas vai vardarbīgas darbības; uzsver, ka Savienības finansējuma sniegšanu Gazas atjaunošanai vajadzētu sākt tikai pēc tam, kad tiks atbrīvoti visi “</w:t>
      </w:r>
      <w:proofErr w:type="spellStart"/>
      <w:r w:rsidRPr="00725A5E">
        <w:rPr>
          <w:kern w:val="2"/>
          <w14:ligatures w14:val="standardContextual"/>
        </w:rPr>
        <w:t>Hamās</w:t>
      </w:r>
      <w:proofErr w:type="spellEnd"/>
      <w:r w:rsidRPr="00725A5E">
        <w:rPr>
          <w:kern w:val="2"/>
          <w14:ligatures w14:val="standardContextual"/>
        </w:rPr>
        <w:t xml:space="preserve">” sagūstītie ķīlnieki; uzsver, cik svarīga ir </w:t>
      </w:r>
      <w:proofErr w:type="spellStart"/>
      <w:r w:rsidRPr="00725A5E">
        <w:rPr>
          <w:kern w:val="2"/>
          <w14:ligatures w14:val="standardContextual"/>
        </w:rPr>
        <w:t>pārredzamība</w:t>
      </w:r>
      <w:proofErr w:type="spellEnd"/>
      <w:r w:rsidRPr="00725A5E">
        <w:rPr>
          <w:kern w:val="2"/>
          <w14:ligatures w14:val="standardContextual"/>
        </w:rPr>
        <w:t xml:space="preserve"> finanšu resursu piešķiršanā trešās valstīs, lai nodrošinātu </w:t>
      </w:r>
      <w:proofErr w:type="spellStart"/>
      <w:r w:rsidRPr="00725A5E">
        <w:rPr>
          <w:kern w:val="2"/>
          <w14:ligatures w14:val="standardContextual"/>
        </w:rPr>
        <w:t>pārskatatbildību</w:t>
      </w:r>
      <w:proofErr w:type="spellEnd"/>
      <w:r w:rsidRPr="00725A5E">
        <w:rPr>
          <w:kern w:val="2"/>
          <w14:ligatures w14:val="standardContextual"/>
        </w:rPr>
        <w:t xml:space="preserve"> par Savienības budžeta un jauno finanšu instrumentu izmantošanu;</w:t>
      </w:r>
    </w:p>
    <w:p w14:paraId="514A199D"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9.</w:t>
      </w:r>
      <w:r w:rsidRPr="00725A5E">
        <w:rPr>
          <w:b/>
          <w:i/>
          <w:kern w:val="2"/>
          <w14:ligatures w14:val="standardContextual"/>
        </w:rPr>
        <w:tab/>
      </w:r>
      <w:r w:rsidRPr="00725A5E">
        <w:rPr>
          <w:kern w:val="2"/>
          <w14:ligatures w14:val="standardContextual"/>
        </w:rPr>
        <w:t>mudina EĀDD cieši sadarboties ar Komisiju nolūkā nodrošināt, lai jebkādas potenciālas nākotnes rīcības, kas attiektos uz Krievijas Federāciju, darba kārtībā tiktu iekļauta Rumānijas nacionālo bagātību un vairāku citu dalībvalstu nacionālā mantojuma restitūcija pilnā apmērā;</w:t>
      </w:r>
    </w:p>
    <w:p w14:paraId="22C57AF9" w14:textId="77777777" w:rsidR="00725A5E" w:rsidRPr="00725A5E" w:rsidRDefault="00725A5E" w:rsidP="00725A5E">
      <w:pPr>
        <w:spacing w:after="240"/>
        <w:ind w:left="567" w:hanging="567"/>
        <w:rPr>
          <w:bCs/>
          <w:kern w:val="2"/>
          <w:szCs w:val="24"/>
          <w14:ligatures w14:val="standardContextual"/>
        </w:rPr>
      </w:pPr>
      <w:r w:rsidRPr="00725A5E">
        <w:rPr>
          <w:kern w:val="2"/>
          <w14:ligatures w14:val="standardContextual"/>
        </w:rPr>
        <w:t>10.</w:t>
      </w:r>
      <w:r w:rsidRPr="00725A5E">
        <w:rPr>
          <w:kern w:val="2"/>
          <w14:ligatures w14:val="standardContextual"/>
        </w:rPr>
        <w:tab/>
        <w:t xml:space="preserve">atgādina, ka ir pastāv apgalvojumi par </w:t>
      </w:r>
      <w:r w:rsidRPr="00725A5E">
        <w:rPr>
          <w:i/>
          <w:iCs/>
          <w:kern w:val="2"/>
          <w14:ligatures w14:val="standardContextual"/>
        </w:rPr>
        <w:t>UNRWA</w:t>
      </w:r>
      <w:r w:rsidRPr="00725A5E">
        <w:rPr>
          <w:kern w:val="2"/>
          <w14:ligatures w14:val="standardContextual"/>
        </w:rPr>
        <w:t xml:space="preserve"> darbinieku iesaistīšanos “</w:t>
      </w:r>
      <w:proofErr w:type="spellStart"/>
      <w:r w:rsidRPr="00725A5E">
        <w:rPr>
          <w:kern w:val="2"/>
          <w14:ligatures w14:val="standardContextual"/>
        </w:rPr>
        <w:t>Hamās</w:t>
      </w:r>
      <w:proofErr w:type="spellEnd"/>
      <w:r w:rsidRPr="00725A5E">
        <w:rPr>
          <w:kern w:val="2"/>
          <w14:ligatures w14:val="standardContextual"/>
        </w:rPr>
        <w:t xml:space="preserve">” teroristu uzbrukumos Izraēlai 2023. gada 7. oktobrī Gazā; norāda, ka, reaģējot uz šiem apgalvojumiem, </w:t>
      </w:r>
      <w:r w:rsidRPr="00725A5E">
        <w:rPr>
          <w:i/>
          <w:iCs/>
          <w:kern w:val="2"/>
          <w14:ligatures w14:val="standardContextual"/>
        </w:rPr>
        <w:t>UNRWA</w:t>
      </w:r>
      <w:r w:rsidRPr="00725A5E">
        <w:rPr>
          <w:kern w:val="2"/>
          <w14:ligatures w14:val="standardContextual"/>
        </w:rPr>
        <w:t xml:space="preserve"> oficiāli atlaida no darba deviņus darbiniekus; uzsver, ka Komisija ir sadarbojusies ar </w:t>
      </w:r>
      <w:r w:rsidRPr="00725A5E">
        <w:rPr>
          <w:i/>
          <w:iCs/>
          <w:kern w:val="2"/>
          <w14:ligatures w14:val="standardContextual"/>
        </w:rPr>
        <w:t>UNRWA</w:t>
      </w:r>
      <w:r w:rsidRPr="00725A5E">
        <w:rPr>
          <w:kern w:val="2"/>
          <w14:ligatures w14:val="standardContextual"/>
        </w:rPr>
        <w:t>, lai uzlabotu kontroles sistēmas saskaņā ar ANO Iekšējās pārraudzības dienestu biroja (</w:t>
      </w:r>
      <w:r w:rsidRPr="00725A5E">
        <w:rPr>
          <w:i/>
          <w:iCs/>
          <w:kern w:val="2"/>
          <w14:ligatures w14:val="standardContextual"/>
        </w:rPr>
        <w:t>OIOS</w:t>
      </w:r>
      <w:r w:rsidRPr="00725A5E">
        <w:rPr>
          <w:kern w:val="2"/>
          <w14:ligatures w14:val="standardContextual"/>
        </w:rPr>
        <w:t xml:space="preserve">) ieteikumiem, tostarp personāla pārbaudi un iekšējās izmeklēšanas un ētikas sistēmu stiprināšanu; uzsver, ka, ņemot vērā Parlamenta atkārtoti paustās bažas par Savienības finansējuma ļaunprātīgu izmantošanu, ar Savienības atbalstu nekādā gadījumā nevajadzētu finansēt terorismu; mudina turpināt modrību, lai nodrošinātu, ka nodokļu maksātāju nauda netiek ļaunprātīgi izmantota; uzsver kontroles nozīmi, lai nodrošinātu, ka Savienības līdzekļu saņēmēji ievēro Savienības noteikumus un starptautiskās tiesības, kā arī to, ka ir vajadzīgi spēcīgāki </w:t>
      </w:r>
      <w:r w:rsidRPr="00725A5E">
        <w:rPr>
          <w:kern w:val="2"/>
          <w14:ligatures w14:val="standardContextual"/>
        </w:rPr>
        <w:lastRenderedPageBreak/>
        <w:t xml:space="preserve">pasākumi, lai novērstu Savienības finansiālā atbalsta ļaunprātīgu izmantošanu; mudina EĀDD pastiprināt centienus aizsargāt Savienības finansējumu un uzraudzīt to starpposma mērķu īstenošanu, kas izklāstīti 2024. gada aprīļa nolīgumā starp komisāru </w:t>
      </w:r>
      <w:r w:rsidRPr="00725A5E">
        <w:rPr>
          <w:i/>
          <w:iCs/>
          <w:kern w:val="2"/>
          <w14:ligatures w14:val="standardContextual"/>
        </w:rPr>
        <w:t xml:space="preserve">O. </w:t>
      </w:r>
      <w:proofErr w:type="spellStart"/>
      <w:r w:rsidRPr="00725A5E">
        <w:rPr>
          <w:i/>
          <w:iCs/>
          <w:kern w:val="2"/>
          <w14:ligatures w14:val="standardContextual"/>
        </w:rPr>
        <w:t>Várhelyi</w:t>
      </w:r>
      <w:proofErr w:type="spellEnd"/>
      <w:r w:rsidRPr="00725A5E">
        <w:rPr>
          <w:kern w:val="2"/>
          <w14:ligatures w14:val="standardContextual"/>
        </w:rPr>
        <w:t xml:space="preserve"> un </w:t>
      </w:r>
      <w:r w:rsidRPr="00725A5E">
        <w:rPr>
          <w:i/>
          <w:iCs/>
          <w:kern w:val="2"/>
          <w14:ligatures w14:val="standardContextual"/>
        </w:rPr>
        <w:t>UNRWA</w:t>
      </w:r>
      <w:r w:rsidRPr="00725A5E">
        <w:rPr>
          <w:kern w:val="2"/>
          <w14:ligatures w14:val="standardContextual"/>
        </w:rPr>
        <w:t xml:space="preserve"> </w:t>
      </w:r>
      <w:proofErr w:type="spellStart"/>
      <w:r w:rsidRPr="00725A5E">
        <w:rPr>
          <w:kern w:val="2"/>
          <w14:ligatures w14:val="standardContextual"/>
        </w:rPr>
        <w:t>ģenerālkomisāru</w:t>
      </w:r>
      <w:proofErr w:type="spellEnd"/>
      <w:r w:rsidRPr="00725A5E">
        <w:rPr>
          <w:kern w:val="2"/>
          <w14:ligatures w14:val="standardContextual"/>
        </w:rPr>
        <w:t xml:space="preserve"> </w:t>
      </w:r>
      <w:r w:rsidRPr="00725A5E">
        <w:rPr>
          <w:i/>
          <w:iCs/>
          <w:kern w:val="2"/>
          <w14:ligatures w14:val="standardContextual"/>
        </w:rPr>
        <w:t xml:space="preserve">P. </w:t>
      </w:r>
      <w:proofErr w:type="spellStart"/>
      <w:r w:rsidRPr="00725A5E">
        <w:rPr>
          <w:i/>
          <w:iCs/>
          <w:kern w:val="2"/>
          <w14:ligatures w14:val="standardContextual"/>
        </w:rPr>
        <w:t>Lazzarini</w:t>
      </w:r>
      <w:proofErr w:type="spellEnd"/>
      <w:r w:rsidRPr="00725A5E">
        <w:rPr>
          <w:kern w:val="2"/>
          <w14:ligatures w14:val="standardContextual"/>
        </w:rPr>
        <w:t xml:space="preserve">, kas ietver noteikumus par Savienības revīziju veikšanu un </w:t>
      </w:r>
      <w:r w:rsidRPr="00725A5E">
        <w:rPr>
          <w:i/>
          <w:iCs/>
          <w:kern w:val="2"/>
          <w14:ligatures w14:val="standardContextual"/>
        </w:rPr>
        <w:t>UNRWA</w:t>
      </w:r>
      <w:r w:rsidRPr="00725A5E">
        <w:rPr>
          <w:kern w:val="2"/>
          <w14:ligatures w14:val="standardContextual"/>
        </w:rPr>
        <w:t xml:space="preserve"> iekšējās uzraudzības pastiprināšanu; uzsver, ka Palestīniešu pašpārvaldei ir jāsaskaņo visi izglītojošie materiāli ar </w:t>
      </w:r>
      <w:r w:rsidRPr="00725A5E">
        <w:rPr>
          <w:i/>
          <w:kern w:val="2"/>
          <w14:ligatures w14:val="standardContextual"/>
        </w:rPr>
        <w:t>UNESCO</w:t>
      </w:r>
      <w:r w:rsidRPr="00725A5E">
        <w:rPr>
          <w:kern w:val="2"/>
          <w14:ligatures w14:val="standardContextual"/>
        </w:rPr>
        <w:t xml:space="preserve"> standartiem, jo īpaši svītrojot jebkādu saturu, kurā ietverts antisemītisms vai kūdīšana uz vardarbību; uzsver, ka Savienības finansiālais atbalsts Palestīniešu pašpārvaldei izglītības jomā būtu jāsniedz ar nosacījumu, ka tiek ievēroti šie standarti; mudina EĀDD atbalstīt diplomātiskos centienus rast visaptverošu un ilgtspējīgu risinājumu Izraēlas un palestīniešu konfliktam un informēt Parlamentu par visām norisēm Savienības sadarbībā ar Palestīniešu pašpārvaldi;</w:t>
      </w:r>
    </w:p>
    <w:p w14:paraId="0D0B5B42"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11.</w:t>
      </w:r>
      <w:r w:rsidRPr="00725A5E">
        <w:rPr>
          <w:kern w:val="2"/>
          <w14:ligatures w14:val="standardContextual"/>
        </w:rPr>
        <w:tab/>
        <w:t>norāda, ka attiecībā uz 2023. gadu EĀDD ziņoja par būtiskiem budžeta ierobežojumiem, kas izraisīja krasus samazinājumus un budžeta optimizāciju nolūkā pielāgoties inflācijai trešās valstīs, svārstībām vietējās valūtās, cenu, it īpaši biroja telpu nomas, IT, drošības un enerģijas cenu, pieaugumu, kas EĀDD pakļāva daudz augstākām darbības izmaksām ārvalstīs, tādējādi ietekmējot tā spēju efektīvi darboties un pildīt rūpības pienākumu attiecībā uz delegācijās norīkotajiem darbiniekiem; pauž nožēlu, ka budžeta ierobežojumu dēļ EĀDD atlika infrastruktūras uzturēšanu, atlika vai atcēla drošības izdevumus delegācijās un samazināja budžeta amata vietas, piemēram, samazināja komandējumu un reprezentācijas, biroja piederumu un mācību kursu budžetu; pauž nožēlu, ka budžeta apsvērumu dēļ EĀDD bija jādod priekšroka darbinieku dalībai vēlēšanu novērošanas misijās, nevis cita veida misijās, piemēram, turpmākas uzraudzības misijās; uzsver nepieciešamību izveidot ES diplomātisko dienestu;</w:t>
      </w:r>
    </w:p>
    <w:p w14:paraId="07B89A51" w14:textId="77777777" w:rsidR="00725A5E" w:rsidRPr="00725A5E" w:rsidRDefault="00725A5E" w:rsidP="00725A5E">
      <w:pPr>
        <w:spacing w:after="240"/>
        <w:ind w:left="567" w:hanging="567"/>
        <w:rPr>
          <w:b/>
          <w:i/>
          <w:kern w:val="2"/>
          <w:szCs w:val="24"/>
          <w14:ligatures w14:val="standardContextual"/>
        </w:rPr>
      </w:pPr>
      <w:r w:rsidRPr="00725A5E">
        <w:rPr>
          <w:kern w:val="2"/>
          <w14:ligatures w14:val="standardContextual"/>
        </w:rPr>
        <w:t>12.</w:t>
      </w:r>
      <w:r w:rsidRPr="00725A5E">
        <w:rPr>
          <w:kern w:val="2"/>
          <w14:ligatures w14:val="standardContextual"/>
        </w:rPr>
        <w:tab/>
        <w:t>norāda, ka 2023. gadā EĀDD gan EĀDD galvenajā mītnē, gan delegācijās kopumā uzsāka 28 atklātas publiskā iepirkuma procedūras, 27 konkursa procedūras ar sarunām, 14 sarunu procedūras, iepriekš nepublicējot paziņojumu par līgumu, 6 slēgtas procedūras un 2 sarunu procedūras par vidējas vērtības būvdarbu līgumiem, kuras bija sekmīgas un kuru rezultātā līguma slēgšanas tiesības tika piešķirtas vidēji 52 % gadījumu; norāda, ka Savienības iepirkuma noteikumu augstie standarti un sarežģītība varētu būt viens no iemesliem salīdzinoši lielajam nesekmīgo iepirkuma procedūru skaitam, jo šo noteikumu piemērošana pretendentiem varētu būt sarežģīta, it īpaši trešās valstīs; prasa EĀDD izpētīt iemeslus, kāpēc iepirkuma procedūru skaits ir salīdzinoši liels, un ierosināt risinājumus, lai nodrošinātu to efektīvu īstenošanu, vienlaikus saglabājot Savienības noteiktos standartus; pauž nožēlu par to, ka Finanšu regulas pārstrādātajā redakcijā ir vienkāršoti iepirkuma noteikumi attiecībā uz ārējām darbībām; uzsver, ka iepirkuma noteikumi ir paredzēti, lai nodrošinātu, ka finansētie projekti saglabā augstus standartus un nav pakļauti krāpšanas riskam; aicina EĀDD vienmēr censties panākt pēc iespējas augstāku pārbaudes līmeni jebkurā konkursa procedūrā; uzskata, ka tas, ka trešās valstīs trūkst zināšanu par augstajiem Savienības iepirkuma noteikumu standartiem, nekad nedrīkst būt aizbildinājums vai attaisnojums prasību pazemināšanai;</w:t>
      </w:r>
    </w:p>
    <w:p w14:paraId="5004D6C3" w14:textId="77777777" w:rsidR="00725A5E" w:rsidRPr="00725A5E" w:rsidRDefault="00725A5E" w:rsidP="00725A5E">
      <w:pPr>
        <w:spacing w:after="240"/>
        <w:ind w:left="567" w:hanging="567"/>
        <w:rPr>
          <w:kern w:val="2"/>
          <w:szCs w:val="23"/>
          <w14:ligatures w14:val="standardContextual"/>
        </w:rPr>
      </w:pPr>
      <w:r w:rsidRPr="00725A5E">
        <w:rPr>
          <w:kern w:val="2"/>
          <w14:ligatures w14:val="standardContextual"/>
        </w:rPr>
        <w:t>13.</w:t>
      </w:r>
      <w:r w:rsidRPr="00725A5E">
        <w:rPr>
          <w:kern w:val="2"/>
          <w14:ligatures w14:val="standardContextual"/>
        </w:rPr>
        <w:tab/>
        <w:t xml:space="preserve">atzinīgi vērtē to, ka Savienības delegāciju kopīgu atrašanās vietu ar dalībvalstīm un citiem ES partneriem skaits 2023. gada beigās bija 138 šādas vietas, kas ir par 12 vietām vairāk nekā 2022. gadā; norāda, ka no kopīgu atrašanās vietu kopējā skaita 2023. gadā 42 nolīgumi tika noslēgti starp dalībvalstīm un partnervalstīm, 91 – ar citiem Savienības partneriem un 5 bija reversās kopīgās atrašanās vietas; norāda, ka 2023. gadā kopīgas </w:t>
      </w:r>
      <w:r w:rsidRPr="00725A5E">
        <w:rPr>
          <w:kern w:val="2"/>
          <w14:ligatures w14:val="standardContextual"/>
        </w:rPr>
        <w:lastRenderedPageBreak/>
        <w:t>atrašanās vietas veidoja 8 % no kopējās biroju platības Savienības delegācijās un tajās bija iesaistīta vairāk nekā puse Savienības delegāciju (75), ko var uzskatīt par piemēru sekmīgai EĀDD ēku pārvaldības optimizācijai, kā arī par rādītāju pieaugošajai partneru interesei par kopīgu telpu izmantošanu trešās valstīs un kopīgas atrašanās vietas nozīmei diplomātiskajās lietās;</w:t>
      </w:r>
    </w:p>
    <w:p w14:paraId="64AFDFAA" w14:textId="77777777" w:rsidR="00725A5E" w:rsidRPr="00725A5E" w:rsidRDefault="00725A5E" w:rsidP="00725A5E">
      <w:pPr>
        <w:spacing w:after="240"/>
        <w:ind w:left="567" w:hanging="567"/>
        <w:rPr>
          <w:bCs/>
          <w:iCs/>
          <w:kern w:val="2"/>
          <w14:ligatures w14:val="standardContextual"/>
        </w:rPr>
      </w:pPr>
      <w:r w:rsidRPr="00725A5E">
        <w:rPr>
          <w:kern w:val="2"/>
          <w14:ligatures w14:val="standardContextual"/>
        </w:rPr>
        <w:t>14.</w:t>
      </w:r>
      <w:r w:rsidRPr="00725A5E">
        <w:rPr>
          <w:kern w:val="2"/>
          <w14:ligatures w14:val="standardContextual"/>
        </w:rPr>
        <w:tab/>
        <w:t xml:space="preserve">norāda, ka komandējumu budžets 2023. gadā bija 18 948 650 EUR, t. i., nedaudz – par 1,46 % – lielāks nekā iepriekšējā gadā, un ka tā mērķis bija kompensēt inflācijas radīto izmaksu pieaugumu, taču tas bija nepietiekams salīdzinājumā ar ceļa izdevumu faktisko pieaugumu 2023. gadā; pauž nožēlu, ka EĀDD nav atsevišķas budžeta pozīcijas Komisijas priekšsēdētājas vietnieka / Augstā pārstāvja komandējumiem un braucieniem un ka Komisijas priekšsēdētājas vietnieka / Augstā pārstāvja komandējumu un braucienu izmaksas dala EĀDD un Komisija atkarībā no komandējuma mērķa; visbeidzot norāda, ka EĀDD 2023. gadā sedza 6 Komisijas priekšsēdētājas vietnieka / Augstā pārstāvja komandējumu izmaksas 2 995,14 EUR apmērā, kā arī gaisa taksometru izmaksas 288 145 EUR apmērā, kas atbilst 51 % samazinājumam salīdzinājumā ar 2022. gadu, kad gaisa taksometru izmaksas veidoja 588 103 EUR; uzsver, ka Savienības iestāžu vadītājiem būtu jākalpo par labu piemēru sabiedrībai un iedzīvotājiem, jo īpaši, izmantojot Savienības resursus savu pienākumu veikšanai; uzsver, ka lidojumu iespējas būtu jāizvēlas, pamatojoties uz pareizas finanšu pārvaldības kritērijiem, ar nosacījumu, ka šādas alternatīvas ir pieejamas un atbilst sanāksmju darba kārtībai un vietai; uzsver, ka </w:t>
      </w:r>
      <w:proofErr w:type="spellStart"/>
      <w:r w:rsidRPr="00725A5E">
        <w:rPr>
          <w:kern w:val="2"/>
          <w14:ligatures w14:val="standardContextual"/>
        </w:rPr>
        <w:t>pārredzamībai</w:t>
      </w:r>
      <w:proofErr w:type="spellEnd"/>
      <w:r w:rsidRPr="00725A5E">
        <w:rPr>
          <w:kern w:val="2"/>
          <w14:ligatures w14:val="standardContextual"/>
        </w:rPr>
        <w:t xml:space="preserve"> un pareizai finanšu pārvaldībai Savienības publisko līdzekļu izmantošanā arī turpmāk jābūt visu Savienības iestāžu pamatprincipam;</w:t>
      </w:r>
    </w:p>
    <w:p w14:paraId="4A245B0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15.</w:t>
      </w:r>
      <w:r w:rsidRPr="00725A5E">
        <w:rPr>
          <w:kern w:val="2"/>
          <w14:ligatures w14:val="standardContextual"/>
        </w:rPr>
        <w:tab/>
        <w:t>uzsver, ka šie samazinājumi var negatīvi ietekmēt ārlietu instrumentu, piemēram, Kaimiņattiecību, attīstības sadarbības un starptautiskās sadarbības instrumenta “Eiropa pasaulē” (</w:t>
      </w:r>
      <w:r w:rsidRPr="00725A5E">
        <w:rPr>
          <w:i/>
          <w:iCs/>
          <w:kern w:val="2"/>
          <w14:ligatures w14:val="standardContextual"/>
        </w:rPr>
        <w:t>NDICI</w:t>
      </w:r>
      <w:r w:rsidRPr="00725A5E">
        <w:rPr>
          <w:kern w:val="2"/>
          <w14:ligatures w14:val="standardContextual"/>
        </w:rPr>
        <w:t xml:space="preserve"> – “Eiropa pasaulē”) un </w:t>
      </w:r>
      <w:proofErr w:type="spellStart"/>
      <w:r w:rsidRPr="00725A5E">
        <w:rPr>
          <w:i/>
          <w:iCs/>
          <w:kern w:val="2"/>
          <w14:ligatures w14:val="standardContextual"/>
        </w:rPr>
        <w:t>Global</w:t>
      </w:r>
      <w:proofErr w:type="spellEnd"/>
      <w:r w:rsidRPr="00725A5E">
        <w:rPr>
          <w:i/>
          <w:iCs/>
          <w:kern w:val="2"/>
          <w14:ligatures w14:val="standardContextual"/>
        </w:rPr>
        <w:t xml:space="preserve"> </w:t>
      </w:r>
      <w:proofErr w:type="spellStart"/>
      <w:r w:rsidRPr="00725A5E">
        <w:rPr>
          <w:i/>
          <w:iCs/>
          <w:kern w:val="2"/>
          <w14:ligatures w14:val="standardContextual"/>
        </w:rPr>
        <w:t>Gateway</w:t>
      </w:r>
      <w:proofErr w:type="spellEnd"/>
      <w:r w:rsidRPr="00725A5E">
        <w:rPr>
          <w:kern w:val="2"/>
          <w14:ligatures w14:val="standardContextual"/>
        </w:rPr>
        <w:t>, īstenošanu; uzsver, ka ir jānodrošina pienācīgi resursi EĀDD Stratēģiskās komunikācijas un prognozēšanas nodaļai, lai arī turpmāk efektīvi apkarotu dezinformācijas kampaņas, ko autoritāri un neliberāli režīmi izmanto kā stratēģiskus instrumentus; šajā sakarībā atzinīgi vērtē paziņojumu par Stratēģiskās komunikācijas un informācijas manipulācijas apkarošanas darba grupas izveidi Komisijas Komunikācijas ģenerāldirektorātā;</w:t>
      </w:r>
    </w:p>
    <w:p w14:paraId="6FC4959F"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16.</w:t>
      </w:r>
      <w:r w:rsidRPr="00725A5E">
        <w:rPr>
          <w:kern w:val="2"/>
          <w14:ligatures w14:val="standardContextual"/>
        </w:rPr>
        <w:tab/>
        <w:t>uzstāj uz to, ka ir jāpalielina budžets kopējās ārpolitikas un drošības politikas (KĀDP) darbībām un citiem piemērotiem instrumentiem miera nodrošināšanai, reaģēšanai uz konfliktiem un krīzēm, kā arī IT un drošības protokoliem, lai Savienības darbības un spējas būtu pilnībā atbilstīgas, ņemot vērā problēmas un konfliktus visā pasaulē;</w:t>
      </w:r>
    </w:p>
    <w:p w14:paraId="63ACE78D" w14:textId="77777777" w:rsidR="00725A5E" w:rsidRPr="00725A5E" w:rsidRDefault="00725A5E" w:rsidP="00725A5E">
      <w:pPr>
        <w:spacing w:after="240"/>
        <w:ind w:left="567" w:hanging="567"/>
        <w:rPr>
          <w:b/>
          <w:iCs/>
          <w:kern w:val="2"/>
          <w14:ligatures w14:val="standardContextual"/>
        </w:rPr>
      </w:pPr>
      <w:r w:rsidRPr="00725A5E">
        <w:rPr>
          <w:b/>
          <w:iCs/>
          <w:kern w:val="2"/>
          <w14:ligatures w14:val="standardContextual"/>
        </w:rPr>
        <w:t>Iekšējā pārvaldība, sniegums un iekšējā kontrole</w:t>
      </w:r>
    </w:p>
    <w:p w14:paraId="7B3BF08C"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17.</w:t>
      </w:r>
      <w:r w:rsidRPr="00725A5E">
        <w:rPr>
          <w:kern w:val="2"/>
          <w14:ligatures w14:val="standardContextual"/>
        </w:rPr>
        <w:tab/>
        <w:t xml:space="preserve">norāda, ka pēc iekšējās reorganizācijas EĀDD 2023. gada oktobrī izveidoja jaunu korporatīvās pārvaldības dienestu, ko veido trīs nodaļas, kuras atbild par pārbaudēm, iekšējo revīziju un plānošanu, ziņošanu un atbilstību, kas ļautu EĀDD panākt lielāku </w:t>
      </w:r>
      <w:proofErr w:type="spellStart"/>
      <w:r w:rsidRPr="00725A5E">
        <w:rPr>
          <w:kern w:val="2"/>
          <w14:ligatures w14:val="standardContextual"/>
        </w:rPr>
        <w:t>pārskatatbildību</w:t>
      </w:r>
      <w:proofErr w:type="spellEnd"/>
      <w:r w:rsidRPr="00725A5E">
        <w:rPr>
          <w:kern w:val="2"/>
          <w14:ligatures w14:val="standardContextual"/>
        </w:rPr>
        <w:t>, labāku pārvaldību un darbību uzraudzību; atzinīgi vērtē to, ka tika izveidota arī Korporatīvās pārvaldības padome, kas EĀDD nodrošinātu saskaņotību korporatīvās pārvaldības jautājumos; turklāt norāda, ka EĀDD izveidoja Miera, drošības un aizsardzības vadības direktorātu (</w:t>
      </w:r>
      <w:r w:rsidRPr="00725A5E">
        <w:rPr>
          <w:i/>
          <w:kern w:val="2"/>
          <w14:ligatures w14:val="standardContextual"/>
        </w:rPr>
        <w:t>MD PSD</w:t>
      </w:r>
      <w:r w:rsidRPr="00725A5E">
        <w:rPr>
          <w:kern w:val="2"/>
          <w14:ligatures w14:val="standardContextual"/>
        </w:rPr>
        <w:t xml:space="preserve">), Miera, partnerības un krīžu pārvarēšanas direktorātu un divas jaunas nodaļas, kas nodarbojas ar </w:t>
      </w:r>
      <w:proofErr w:type="spellStart"/>
      <w:r w:rsidRPr="00725A5E">
        <w:rPr>
          <w:kern w:val="2"/>
          <w14:ligatures w14:val="standardContextual"/>
        </w:rPr>
        <w:t>hibrīddraudu</w:t>
      </w:r>
      <w:proofErr w:type="spellEnd"/>
      <w:r w:rsidRPr="00725A5E">
        <w:rPr>
          <w:kern w:val="2"/>
          <w14:ligatures w14:val="standardContextual"/>
        </w:rPr>
        <w:t xml:space="preserve"> un </w:t>
      </w:r>
      <w:proofErr w:type="spellStart"/>
      <w:r w:rsidRPr="00725A5E">
        <w:rPr>
          <w:kern w:val="2"/>
          <w14:ligatures w14:val="standardContextual"/>
        </w:rPr>
        <w:t>kiberdrošības</w:t>
      </w:r>
      <w:proofErr w:type="spellEnd"/>
      <w:r w:rsidRPr="00725A5E">
        <w:rPr>
          <w:kern w:val="2"/>
          <w14:ligatures w14:val="standardContextual"/>
        </w:rPr>
        <w:t>, kā arī jūras drošības jautājumiem nolūkā labāk atbalstīt Savienības darbu drošības un aizsardzības jautājumos;</w:t>
      </w:r>
    </w:p>
    <w:p w14:paraId="45883361"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lastRenderedPageBreak/>
        <w:t>18.</w:t>
      </w:r>
      <w:r w:rsidRPr="00725A5E">
        <w:rPr>
          <w:kern w:val="2"/>
          <w14:ligatures w14:val="standardContextual"/>
        </w:rPr>
        <w:tab/>
        <w:t>norāda, ka 2023. gadā Korporatīvās pārvaldības dienests veica pārvaldības procesu un politikas atbilstības pārbaudi; atzinīgi vērtē to, ka šā procesa ietvaros EĀDD atjaunināja Revīzijas progresa komitejas nolikumu, pārskatīja savu iekšējās kontroles sistēmu, gada pārvaldības plānu un riska pārvaldības sistēmu;</w:t>
      </w:r>
    </w:p>
    <w:p w14:paraId="1527E848"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19.</w:t>
      </w:r>
      <w:r w:rsidRPr="00725A5E">
        <w:rPr>
          <w:kern w:val="2"/>
          <w14:ligatures w14:val="standardContextual"/>
        </w:rPr>
        <w:tab/>
        <w:t>norāda, ka saskaņā ar EĀDD 2023. gada revīzijas plānu 2023. gadā tika pabeigtas trīs revīzijas, proti, revīzija par izņēmumu un neatbilstību reģistra pārvaldību un divas revīzijas par vietējo darbinieku algu pārvaldību un vietējo darbinieku un līdzvērtīgu vietējo darbinieku pieņemšanu darbā un pārvaldību; ar lielām bažām turklāt norāda, ka organizatoriskās pārstrukturēšanas un atbilstošas darbinieku mainības dēļ iekšējās revīzijas funkcijā 2023. gadā nebija iespējams sākt plānotu drošības revīziju un ka šāda revīzija tiks atkārtoti izvērtēta 2025.–2027. gada stratēģiskā daudzgadu iekšējās revīzijas plāna sagatavošanas ietvaros; uzsver, ka ir svarīgi rūpīgi un regulāri veikt iekšējās revīzijas; pauž dziļas bažas, ka 2023. gadā joprojām nebija izpildīti 4 kritiski svarīgi un 49 ļoti svarīgi revīzijas ieteikumi saistībā ar pabeigtām revīzijām; prasa informēt Parlamentu par ieteikumu īstenošanu;</w:t>
      </w:r>
    </w:p>
    <w:p w14:paraId="3706D60B"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20.</w:t>
      </w:r>
      <w:r w:rsidRPr="00725A5E">
        <w:rPr>
          <w:kern w:val="2"/>
          <w14:ligatures w14:val="standardContextual"/>
        </w:rPr>
        <w:tab/>
        <w:t xml:space="preserve">norāda, ka 2023. gada decembrī Revīzijas palāta pēc revīzijas par EĀDD koordinācijas lomu pieņēma galīgo ziņojumu, kura mērķis bija novērtēt, vai koordinācija, it īpaši attiecībā uz informācijas pārvaldību, personāla komplektēšanu un ziņošanu gan iekšēji, gan ar Komisiju un Padomi, ir efektīva; norāda, ka 2023. gadā daži no revīzijas ieteikumiem jau bija iekļauti pašreizējās iniciatīvās, piemēram, pilnvarojuma vēstuļu nosūtīšana </w:t>
      </w:r>
      <w:proofErr w:type="spellStart"/>
      <w:r w:rsidRPr="00725A5E">
        <w:rPr>
          <w:kern w:val="2"/>
          <w14:ligatures w14:val="standardContextual"/>
        </w:rPr>
        <w:t>jaunieceltajiem</w:t>
      </w:r>
      <w:proofErr w:type="spellEnd"/>
      <w:r w:rsidRPr="00725A5E">
        <w:rPr>
          <w:kern w:val="2"/>
          <w14:ligatures w14:val="standardContextual"/>
        </w:rPr>
        <w:t xml:space="preserve"> vēstniekiem pirms pienākumu pildīšanas uzsākšanas un EĀDD kopš 2019. gada veiktie centieni īstenot savu informācijas pārvaldības stratēģiju; aicina EĀDD pilnībā īstenot Revīzijas palātas ziņojuma ieteikumus, lai novērstu konstatētās nepilnības informācijas pārvaldībā gan galvenajās mītnēs, gan ES delegācijās trešās valstīs, kā arī Komisijas priekšsēdētājas vietnieka / Augstā pārstāvja birojā; aicina informēt Parlamentu par turpmākajiem pasākumiem saistībā ar Revīzijas palātas ieteikumiem;</w:t>
      </w:r>
    </w:p>
    <w:p w14:paraId="1C4E2D3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21.</w:t>
      </w:r>
      <w:r w:rsidRPr="00725A5E">
        <w:rPr>
          <w:kern w:val="2"/>
          <w14:ligatures w14:val="standardContextual"/>
        </w:rPr>
        <w:tab/>
        <w:t xml:space="preserve">norāda, ka, pamatojoties uz 2023. gadā delegācijās veiktajām 26 pārbaudēm, par galvenajām problēmām delegācijās tika atzīta drošība, ēkas un administratīvais slogs; norāda, ka EĀDD delegācijās ir ieviesis drošības riska pārvaldības pasākumus, pamatojoties uz starptautiskiem standartiem un </w:t>
      </w:r>
      <w:proofErr w:type="spellStart"/>
      <w:r w:rsidRPr="00725A5E">
        <w:rPr>
          <w:kern w:val="2"/>
          <w14:ligatures w14:val="standardContextual"/>
        </w:rPr>
        <w:t>paraugpraksi</w:t>
      </w:r>
      <w:proofErr w:type="spellEnd"/>
      <w:r w:rsidRPr="00725A5E">
        <w:rPr>
          <w:kern w:val="2"/>
          <w14:ligatures w14:val="standardContextual"/>
        </w:rPr>
        <w:t>; norāda, ka 2023. gadā EĀDD pārbaudes dienests formulēja piecus kritiskus ieteikumus, kas visi bija saistīti ar trīs delegāciju pārvaldību; norāda, ka visos gadījumos ieteikumi tika īstenoti, palielinot EĀDD centrālo dienestu pārraudzību un atbalstu; atzinīgi vērtē EĀDD izstrādāto instrumentu kopumu reaģēšanai uz iekšējās pārvaldības situācijām;</w:t>
      </w:r>
    </w:p>
    <w:p w14:paraId="7E28E91F"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22.</w:t>
      </w:r>
      <w:r w:rsidRPr="00725A5E">
        <w:rPr>
          <w:kern w:val="2"/>
          <w14:ligatures w14:val="standardContextual"/>
        </w:rPr>
        <w:tab/>
        <w:t>norāda, ka 2023. gadā trīs Savienības delegācijas (Centrālāfrikas Republika, Sjerraleone un Sīrija) savās ticamības deklarācijās iesniedza atrunas, galvenokārt par Komisijas pārvaldītajām darbības budžeta pozīcijām; uzsver, ka šīm atrunām nebija būtiskas finansiālas ietekmes uz EĀDD atbildībā esošo administratīvo budžetu;</w:t>
      </w:r>
    </w:p>
    <w:p w14:paraId="0284442D"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23.</w:t>
      </w:r>
      <w:r w:rsidRPr="00725A5E">
        <w:rPr>
          <w:kern w:val="2"/>
          <w14:ligatures w14:val="standardContextual"/>
        </w:rPr>
        <w:tab/>
        <w:t>aicina EĀDD un Komisiju cieši sadarboties ar Eiropas Parlamenta biroju Vašingtonā un Savienības delegāciju Amerikas Savienotajās Valstīs, lai apzinātu, finansētu un īstenotu iniciatīvas, kuru mērķis ir stiprināt transatlantiskās attiecības, tostarp apmaiņas programmas gan Eiropas Savienības, gan ASV publiskajās iestādēs strādājošajiem speciālistiem;</w:t>
      </w:r>
    </w:p>
    <w:p w14:paraId="273813D8"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24.</w:t>
      </w:r>
      <w:r w:rsidRPr="00725A5E">
        <w:rPr>
          <w:kern w:val="2"/>
          <w14:ligatures w14:val="standardContextual"/>
        </w:rPr>
        <w:tab/>
        <w:t xml:space="preserve">aicina EĀDD un Savienības delegācijas pastiprināt demokrātijas stāvokļa uzraudzību </w:t>
      </w:r>
      <w:r w:rsidRPr="00725A5E">
        <w:rPr>
          <w:kern w:val="2"/>
          <w14:ligatures w14:val="standardContextual"/>
        </w:rPr>
        <w:lastRenderedPageBreak/>
        <w:t>dažādās valstīs un palielināt loģistikas un tehnoloģisko atbalstu cilvēktiesību aizstāvjiem un pirmiedzīvotājiem, īpašu uzmanību pievēršot sievietēm;</w:t>
      </w:r>
    </w:p>
    <w:p w14:paraId="2D5E005E"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25.</w:t>
      </w:r>
      <w:r w:rsidRPr="00725A5E">
        <w:rPr>
          <w:kern w:val="2"/>
          <w14:ligatures w14:val="standardContextual"/>
        </w:rPr>
        <w:tab/>
        <w:t xml:space="preserve">atgādina, ka ir ļoti svarīgi vēl vairāk stiprināt mūsu atbalstu cilvēktiesībām, demokrātijai un attīstībai trešās valstīs, izmantojot </w:t>
      </w:r>
      <w:r w:rsidRPr="00725A5E">
        <w:rPr>
          <w:i/>
          <w:iCs/>
          <w:kern w:val="2"/>
          <w14:ligatures w14:val="standardContextual"/>
        </w:rPr>
        <w:t>NDICI</w:t>
      </w:r>
      <w:r w:rsidRPr="00725A5E">
        <w:rPr>
          <w:kern w:val="2"/>
          <w14:ligatures w14:val="standardContextual"/>
        </w:rPr>
        <w:t xml:space="preserve"> – “Eiropa pasaulē”, jo demokrātijas pasaule ir drošāka pasaule; uzsver – ņemot vērā pašreizējo straujo tehnoloģisko progresu un ģeopolitisko konkurenci, būtu vēl vairāk jāpalielina resursi ES digitālajai diplomātijai; uzskata, ka “zaļā diplomātija” un zaļā pārkārtošanās kā viena no Savienības prioritātēm būtu jāstiprina attiecībā uz </w:t>
      </w:r>
      <w:proofErr w:type="spellStart"/>
      <w:r w:rsidRPr="00725A5E">
        <w:rPr>
          <w:kern w:val="2"/>
          <w14:ligatures w14:val="standardContextual"/>
        </w:rPr>
        <w:t>trešām</w:t>
      </w:r>
      <w:proofErr w:type="spellEnd"/>
      <w:r w:rsidRPr="00725A5E">
        <w:rPr>
          <w:kern w:val="2"/>
          <w14:ligatures w14:val="standardContextual"/>
        </w:rPr>
        <w:t xml:space="preserve"> valstīm, izmantojot Savienības ārējo darbību; uzsver, ka EĀDD ir jāuzņemas galvenā loma miera un stabilitātes veicināšanā Tuvajos Austrumos, jāpalielina finansējums humānās palīdzības sniegšanai Libānā, Gazā un Sīrijā un jāstiprina cilvēktiesību uzraudzība; uzsver finansiālo atbalstu Tuvajos Austrumos, Persijas līča valstīs un Āfrikā izvietotajām EĀDD delegācijām, lai nodrošinātu, ka tās var turpināt īstenot Savienības ārējo darbību reģionā;</w:t>
      </w:r>
    </w:p>
    <w:p w14:paraId="0A40D7C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26.</w:t>
      </w:r>
      <w:r w:rsidRPr="00725A5E">
        <w:rPr>
          <w:kern w:val="2"/>
          <w14:ligatures w14:val="standardContextual"/>
        </w:rPr>
        <w:tab/>
        <w:t>norāda, ka Revīzijas palātas Īpašajā ziņojumā 14/2023 ir konstatēti trūkumi metodikā, ko Komisija un EĀDD izmanto finansējuma piešķiršanai partnervalstīm, un uzraudzības sistēmas izveidē, un ieteikts Komisijai un EĀDD būtiski uzlabot finansējuma piešķiršanas metodiku un Savienības atbalsta ietekmes novērtējumu, koncentrēties uz plānošanas procesa tvērumu un vienkāršot un konsekventi izmantot rādītājus daudzgadu indikatīvajās programmās;</w:t>
      </w:r>
    </w:p>
    <w:p w14:paraId="74A3185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27.</w:t>
      </w:r>
      <w:r w:rsidRPr="00725A5E">
        <w:rPr>
          <w:kern w:val="2"/>
          <w14:ligatures w14:val="standardContextual"/>
        </w:rPr>
        <w:tab/>
        <w:t>atzinīgi vērtē pirmā ES īpašā pārstāvja Persijas līča reģionā iecelšanu;</w:t>
      </w:r>
    </w:p>
    <w:p w14:paraId="2FEA28D6"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28.</w:t>
      </w:r>
      <w:r w:rsidRPr="00725A5E">
        <w:rPr>
          <w:kern w:val="2"/>
          <w14:ligatures w14:val="standardContextual"/>
        </w:rPr>
        <w:tab/>
        <w:t>uzsver, ka nesenie notikumi, jo īpaši Krievijas pilna mēroga iebrukums Ukrainā un tās naidīgie centieni ietekmēt demokrātiskos procesus Eiropā, kā arī pieaugošā nestabilitāte Tuvajos Austrumos ir izvirzījuši Savienības ārpolitiku un tās īstenošanu dalībvalstu un iestāžu risināmo jautājumu priekšplānā; uzsver EĀDD un tā delegāciju centrālo lomu Savienības ārpolitikas īstenošanā un cīņā pret ārvalstu īstenotu informācijas manipulāciju un iejaukšanos (</w:t>
      </w:r>
      <w:r w:rsidRPr="00725A5E">
        <w:rPr>
          <w:i/>
          <w:iCs/>
          <w:kern w:val="2"/>
          <w14:ligatures w14:val="standardContextual"/>
        </w:rPr>
        <w:t>FIMI</w:t>
      </w:r>
      <w:r w:rsidRPr="00725A5E">
        <w:rPr>
          <w:kern w:val="2"/>
          <w14:ligatures w14:val="standardContextual"/>
        </w:rPr>
        <w:t xml:space="preserve">); uzsver EĀDD nozīmi Savienības attiecībās ar 25–30 miljoniem Savienības pilsoņu, kas dzīvo ārpus Savienības; atzīst, ka EĀDD budžetu, kas jau tā strukturāli nav pietiekami finansēts, salīdzinājumā ar citām Savienības iestādēm nesamērīgi ietekmēja inflācijas līmeņa pieaugums un pēc tā sekojošā enerģētikas krīze, ko izraisīja Krievijas agresijas karš Ukrainā, un pauž bažas par šo negatīvo ietekmi uz EĀDD un Savienības iestāžu sniegumu un par rīcības trūkumu, lai labotu pašreizējo budžeta situāciju, kas var nopietni ietekmēt Savienības attiecības ar </w:t>
      </w:r>
      <w:proofErr w:type="spellStart"/>
      <w:r w:rsidRPr="00725A5E">
        <w:rPr>
          <w:kern w:val="2"/>
          <w14:ligatures w14:val="standardContextual"/>
        </w:rPr>
        <w:t>trešām</w:t>
      </w:r>
      <w:proofErr w:type="spellEnd"/>
      <w:r w:rsidRPr="00725A5E">
        <w:rPr>
          <w:kern w:val="2"/>
          <w14:ligatures w14:val="standardContextual"/>
        </w:rPr>
        <w:t xml:space="preserve"> valstīm;</w:t>
      </w:r>
    </w:p>
    <w:p w14:paraId="452D623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29.</w:t>
      </w:r>
      <w:r w:rsidRPr="00725A5E">
        <w:rPr>
          <w:kern w:val="2"/>
          <w14:ligatures w14:val="standardContextual"/>
        </w:rPr>
        <w:tab/>
        <w:t>atzinīgi vērtē Ukrainai sniegto nelokāmo atbalstu, cita starpā izmantojot civilo ES padomdevēju misiju (</w:t>
      </w:r>
      <w:r w:rsidRPr="00725A5E">
        <w:rPr>
          <w:i/>
          <w:iCs/>
          <w:kern w:val="2"/>
          <w14:ligatures w14:val="standardContextual"/>
        </w:rPr>
        <w:t>EUAM</w:t>
      </w:r>
      <w:r w:rsidRPr="00725A5E">
        <w:rPr>
          <w:kern w:val="2"/>
          <w14:ligatures w14:val="standardContextual"/>
        </w:rPr>
        <w:t xml:space="preserve"> </w:t>
      </w:r>
      <w:proofErr w:type="spellStart"/>
      <w:r w:rsidRPr="00725A5E">
        <w:rPr>
          <w:kern w:val="2"/>
          <w14:ligatures w14:val="standardContextual"/>
        </w:rPr>
        <w:t>Ukraine</w:t>
      </w:r>
      <w:proofErr w:type="spellEnd"/>
      <w:r w:rsidRPr="00725A5E">
        <w:rPr>
          <w:kern w:val="2"/>
          <w14:ligatures w14:val="standardContextual"/>
        </w:rPr>
        <w:t>) un apmācot Ukrainas karavīrus ES militārās palīdzības misijas (</w:t>
      </w:r>
      <w:r w:rsidRPr="00725A5E">
        <w:rPr>
          <w:i/>
          <w:iCs/>
          <w:kern w:val="2"/>
          <w14:ligatures w14:val="standardContextual"/>
        </w:rPr>
        <w:t>EUMAM</w:t>
      </w:r>
      <w:r w:rsidRPr="00725A5E">
        <w:rPr>
          <w:kern w:val="2"/>
          <w14:ligatures w14:val="standardContextual"/>
        </w:rPr>
        <w:t>) ietvaros;</w:t>
      </w:r>
    </w:p>
    <w:p w14:paraId="791D0ACD"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30.</w:t>
      </w:r>
      <w:r w:rsidRPr="00725A5E">
        <w:rPr>
          <w:kern w:val="2"/>
          <w14:ligatures w14:val="standardContextual"/>
        </w:rPr>
        <w:tab/>
        <w:t xml:space="preserve">uzsver, ka Savienībai ir jāpalielina finansējums nolūkā papildināt īpašo Savienības ārpolitikas darbību budžeta pozīciju, jo īpaši attiecībā uz dzimumu līdztiesību un Sieviešu, miera un drošības (SMD) programmu, lai nodrošinātu konsekventu finansējumu iniciatīvām, kas veicina </w:t>
      </w:r>
      <w:proofErr w:type="spellStart"/>
      <w:r w:rsidRPr="00725A5E">
        <w:rPr>
          <w:kern w:val="2"/>
          <w14:ligatures w14:val="standardContextual"/>
        </w:rPr>
        <w:t>dzimumvērīgu</w:t>
      </w:r>
      <w:proofErr w:type="spellEnd"/>
      <w:r w:rsidRPr="00725A5E">
        <w:rPr>
          <w:kern w:val="2"/>
          <w14:ligatures w14:val="standardContextual"/>
        </w:rPr>
        <w:t xml:space="preserve"> līderību, aizsargā sieviešu tiesības un apkaro seksuālu un ar dzimumu saistītu vardarbību konfliktu un </w:t>
      </w:r>
      <w:proofErr w:type="spellStart"/>
      <w:r w:rsidRPr="00725A5E">
        <w:rPr>
          <w:kern w:val="2"/>
          <w14:ligatures w14:val="standardContextual"/>
        </w:rPr>
        <w:t>pēckonflikta</w:t>
      </w:r>
      <w:proofErr w:type="spellEnd"/>
      <w:r w:rsidRPr="00725A5E">
        <w:rPr>
          <w:kern w:val="2"/>
          <w14:ligatures w14:val="standardContextual"/>
        </w:rPr>
        <w:t xml:space="preserve"> apstākļos; uzsver, ka šāds finansējums ir būtisks, lai atbalstītu vietējās pilsoniskās sabiedrības organizācijas, sniegtu uz izdzīvojušajiem vērstu atbalstu un integrētu </w:t>
      </w:r>
      <w:proofErr w:type="spellStart"/>
      <w:r w:rsidRPr="00725A5E">
        <w:rPr>
          <w:kern w:val="2"/>
          <w14:ligatures w14:val="standardContextual"/>
        </w:rPr>
        <w:t>dzimumperspektīvu</w:t>
      </w:r>
      <w:proofErr w:type="spellEnd"/>
      <w:r w:rsidRPr="00725A5E">
        <w:rPr>
          <w:kern w:val="2"/>
          <w14:ligatures w14:val="standardContextual"/>
        </w:rPr>
        <w:t xml:space="preserve"> Savienības diplomātiskajos un drošības centienos;</w:t>
      </w:r>
    </w:p>
    <w:p w14:paraId="6A34573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lastRenderedPageBreak/>
        <w:t>31.</w:t>
      </w:r>
      <w:r w:rsidRPr="00725A5E">
        <w:rPr>
          <w:kern w:val="2"/>
          <w14:ligatures w14:val="standardContextual"/>
        </w:rPr>
        <w:tab/>
        <w:t>uzsver, ka Dzimumu līdztiesības rīcības plānā (</w:t>
      </w:r>
      <w:r w:rsidRPr="00725A5E">
        <w:rPr>
          <w:i/>
          <w:iCs/>
          <w:kern w:val="2"/>
          <w14:ligatures w14:val="standardContextual"/>
        </w:rPr>
        <w:t>GAP</w:t>
      </w:r>
      <w:r w:rsidRPr="00725A5E">
        <w:rPr>
          <w:kern w:val="2"/>
          <w14:ligatures w14:val="standardContextual"/>
        </w:rPr>
        <w:t xml:space="preserve">) III ir noteikts, ka 85 % jauno Savienības darbību ir jāveicina dzimumu līdztiesība un pilnvērtīgu iespēju nodrošināšana sievietēm un meitenēm; aicina EĀDD paātrināt virzību uz </w:t>
      </w:r>
      <w:r w:rsidRPr="00725A5E">
        <w:rPr>
          <w:i/>
          <w:iCs/>
          <w:kern w:val="2"/>
          <w14:ligatures w14:val="standardContextual"/>
        </w:rPr>
        <w:t>GAP</w:t>
      </w:r>
      <w:r w:rsidRPr="00725A5E">
        <w:rPr>
          <w:kern w:val="2"/>
          <w14:ligatures w14:val="standardContextual"/>
        </w:rPr>
        <w:t xml:space="preserve"> III mērķiem, savā ikdienas darbā jēgpilni koncentrējoties uz </w:t>
      </w:r>
      <w:r w:rsidRPr="00725A5E">
        <w:rPr>
          <w:i/>
          <w:iCs/>
          <w:kern w:val="2"/>
          <w14:ligatures w14:val="standardContextual"/>
        </w:rPr>
        <w:t>GAP</w:t>
      </w:r>
      <w:r w:rsidRPr="00725A5E">
        <w:rPr>
          <w:kern w:val="2"/>
          <w14:ligatures w14:val="standardContextual"/>
        </w:rPr>
        <w:t xml:space="preserve"> III galvenajām iesaistes jomām, tostarp ar dzimumu saistītas vardarbības izbeigšanu, seksuālās un reproduktīvās veselības un tiesību, ekonomisko un sociālo tiesību un pilnvērtīgu iespēju nodrošināšanas, vienlīdzīgas līdzdalības un līderības veicināšanu; norāda, ka </w:t>
      </w:r>
      <w:r w:rsidRPr="00725A5E">
        <w:rPr>
          <w:i/>
          <w:iCs/>
          <w:kern w:val="2"/>
          <w14:ligatures w14:val="standardContextual"/>
        </w:rPr>
        <w:t>GAP</w:t>
      </w:r>
      <w:r w:rsidRPr="00725A5E">
        <w:rPr>
          <w:kern w:val="2"/>
          <w14:ligatures w14:val="standardContextual"/>
        </w:rPr>
        <w:t xml:space="preserve"> III termiņš beigsies 2027. gadā, un mudina EĀDD šajā nolūkā izstrādāt vērienīgāku </w:t>
      </w:r>
      <w:r w:rsidRPr="00725A5E">
        <w:rPr>
          <w:i/>
          <w:iCs/>
          <w:kern w:val="2"/>
          <w14:ligatures w14:val="standardContextual"/>
        </w:rPr>
        <w:t>GAP</w:t>
      </w:r>
      <w:r w:rsidRPr="00725A5E">
        <w:rPr>
          <w:kern w:val="2"/>
          <w14:ligatures w14:val="standardContextual"/>
        </w:rPr>
        <w:t xml:space="preserve"> IV, kas nodrošinās ciešāku saikni starp sieviešu tiesībām un pilnvērtīgu iespēju nodrošināšanu sievietēm un Savienības ārpolitiku un drošības politiku, un kas būtu gatavs īstenošanai no 2028. gada;</w:t>
      </w:r>
    </w:p>
    <w:p w14:paraId="7503368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32.</w:t>
      </w:r>
      <w:r w:rsidRPr="00725A5E">
        <w:rPr>
          <w:kern w:val="2"/>
          <w14:ligatures w14:val="standardContextual"/>
        </w:rPr>
        <w:tab/>
        <w:t xml:space="preserve">uzsver bērnu ārkārtīgi neaizsargāto situāciju pasaulē, jo īpaši bruņotos konfliktos; pauž nopietnas bažas par desmitiem tūkstošu bērnu, kurus 2023. gadā skāra bruņoti konflikti visā pasaulē un kuri cieta no šausmīgas vardarbības un kuru </w:t>
      </w:r>
      <w:proofErr w:type="spellStart"/>
      <w:r w:rsidRPr="00725A5E">
        <w:rPr>
          <w:kern w:val="2"/>
          <w14:ligatures w14:val="standardContextual"/>
        </w:rPr>
        <w:t>pamattiesības</w:t>
      </w:r>
      <w:proofErr w:type="spellEnd"/>
      <w:r w:rsidRPr="00725A5E">
        <w:rPr>
          <w:kern w:val="2"/>
          <w14:ligatures w14:val="standardContextual"/>
        </w:rPr>
        <w:t xml:space="preserve"> tika pārkāptas; aicina EĀDD savā darbībā koncentrēties uz bērnu tiesībām;</w:t>
      </w:r>
    </w:p>
    <w:p w14:paraId="1750509C"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33.</w:t>
      </w:r>
      <w:r w:rsidRPr="00725A5E">
        <w:rPr>
          <w:kern w:val="2"/>
          <w14:ligatures w14:val="standardContextual"/>
        </w:rPr>
        <w:tab/>
        <w:t xml:space="preserve">atgādina par sieviešu tiesību un </w:t>
      </w:r>
      <w:r w:rsidRPr="00725A5E">
        <w:rPr>
          <w:i/>
          <w:iCs/>
          <w:kern w:val="2"/>
          <w14:ligatures w14:val="standardContextual"/>
        </w:rPr>
        <w:t>LGBTQI+</w:t>
      </w:r>
      <w:r w:rsidRPr="00725A5E">
        <w:rPr>
          <w:kern w:val="2"/>
          <w14:ligatures w14:val="standardContextual"/>
        </w:rPr>
        <w:t xml:space="preserve"> tiesību smago stāvokli daudzviet pasaulē; uzsver steidzamo nepieciešamību uzlabot šo tiesību aizsardzību; uzsver EĀDD centrālo lomu cilvēktiesību veicināšanā visā pasaulē; aicina EĀDD pastiprināt centienus šajā jomā;</w:t>
      </w:r>
    </w:p>
    <w:p w14:paraId="7F31298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34.</w:t>
      </w:r>
      <w:r w:rsidRPr="00725A5E">
        <w:rPr>
          <w:kern w:val="2"/>
          <w14:ligatures w14:val="standardContextual"/>
        </w:rPr>
        <w:tab/>
        <w:t>uzskata, ka vēlēšanu novērošanas misija ir praktisks un efektīvs ārpolitikas instruments, kam joprojām ir būtiska nozīme Savienības demokrātijas atbalsta politikā un stratēģijās; aicina Savienību nodrošināt pietiekamus resursus ES vēlēšanu novērošanas misijām, lai to darbības jomā ietilptu arī vēlēšanas kandidātvalstīs un kaimiņvalstīs;</w:t>
      </w:r>
    </w:p>
    <w:p w14:paraId="1C138E2B" w14:textId="77777777" w:rsidR="00725A5E" w:rsidRPr="00725A5E" w:rsidRDefault="00725A5E" w:rsidP="00725A5E">
      <w:pPr>
        <w:spacing w:after="240"/>
        <w:ind w:left="567" w:hanging="567"/>
        <w:rPr>
          <w:b/>
          <w:iCs/>
          <w:kern w:val="2"/>
          <w14:ligatures w14:val="standardContextual"/>
        </w:rPr>
      </w:pPr>
      <w:r w:rsidRPr="00725A5E">
        <w:rPr>
          <w:b/>
          <w:iCs/>
          <w:kern w:val="2"/>
          <w14:ligatures w14:val="standardContextual"/>
        </w:rPr>
        <w:t xml:space="preserve">Cilvēkresursi, līdztiesība un darbinieku </w:t>
      </w:r>
      <w:proofErr w:type="spellStart"/>
      <w:r w:rsidRPr="00725A5E">
        <w:rPr>
          <w:b/>
          <w:iCs/>
          <w:kern w:val="2"/>
          <w14:ligatures w14:val="standardContextual"/>
        </w:rPr>
        <w:t>labbūtība</w:t>
      </w:r>
      <w:proofErr w:type="spellEnd"/>
    </w:p>
    <w:p w14:paraId="3541C4FD"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35.</w:t>
      </w:r>
      <w:r w:rsidRPr="00725A5E">
        <w:rPr>
          <w:kern w:val="2"/>
          <w14:ligatures w14:val="standardContextual"/>
        </w:rPr>
        <w:tab/>
        <w:t>norāda, ka 2023. gada beigās štatu saraksta aizpildījums bija 96,7 %; norāda, ka EĀDD nodarbināja kopumā 2 812 darbiniekus, tai skaitā 1 245 ierēdņus, 450 pagaidu darbiniekus, 603 līgumdarbiniekus un 514 norīkotos valstu ekspertus (NVE); norāda, ka no kopējā EĀDD centrālajā birojā vai delegācijās nodarbināto ierēdņu un pagaidu darbinieku skaita 62,5 % bija administratori, 32,8 % – asistenti un 4,8 % – sekretāri;</w:t>
      </w:r>
    </w:p>
    <w:p w14:paraId="372EEEAF"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36.</w:t>
      </w:r>
      <w:r w:rsidRPr="00725A5E">
        <w:rPr>
          <w:kern w:val="2"/>
          <w14:ligatures w14:val="standardContextual"/>
        </w:rPr>
        <w:tab/>
        <w:t>norāda, ka 2023. gada beigās EĀDD kopumā strādāja 5 252 darbinieki, kurus tieši nodarbināja EĀDD vai ārējie līgumslēdzēji, no kuriem 46,2 % strādāja EĀDD centrālajos dienestos un 53,8 % – delegācijās; norāda, ka no kopējā EĀDD strādājošo skaita 46,5 % bija štata darbinieki vai ārējie līgumslēdzēji; norāda, ka lielākais skaits ārštata darbinieku, kurus nodarbina ārējs līgumslēdzējs, bet kuri strādā EĀDD telpās, sniedz pakalpojumus informācijas tehnoloģiju, drošības un drošuma, kā arī medicīniskās aprūpes jomā;</w:t>
      </w:r>
    </w:p>
    <w:p w14:paraId="1E87821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37.</w:t>
      </w:r>
      <w:r w:rsidRPr="00725A5E">
        <w:rPr>
          <w:kern w:val="2"/>
          <w14:ligatures w14:val="standardContextual"/>
        </w:rPr>
        <w:tab/>
        <w:t>norāda, ka 2023. gadā budžeta lēmējinstitūcija piešķīra EĀDD 36 pilnas slodzes ekvivalentus, tai skaitā 31 līgumdarbinieku un 5 dalīto izmaksu NVE; norāda, ka papildu resursi tika piešķirti krīzes pārvarēšanas funkcijām, Stratēģiskā kompasa īstenošanai un citām EĀDD prioritātēm; norāda, ka 2023. gada beigās EĀDD tika papildus piešķirti 20 neapmaksāti NVE militārās plānošanas un īstenošanas centra struktūrām;</w:t>
      </w:r>
    </w:p>
    <w:p w14:paraId="4F95C5DA"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38.</w:t>
      </w:r>
      <w:r w:rsidRPr="00725A5E">
        <w:rPr>
          <w:kern w:val="2"/>
          <w14:ligatures w14:val="standardContextual"/>
        </w:rPr>
        <w:tab/>
        <w:t xml:space="preserve">norāda, ka 2023. gada beigās EĀDD štata darbinieku vidū bija 52,7 % vīriešu un 47,3 % </w:t>
      </w:r>
      <w:r w:rsidRPr="00725A5E">
        <w:rPr>
          <w:kern w:val="2"/>
          <w14:ligatures w14:val="standardContextual"/>
        </w:rPr>
        <w:lastRenderedPageBreak/>
        <w:t>sieviešu, kas liecina par nelielu sieviešu pārstāvības pieaugumu salīdzinājumā ar 2022. gadu, kad 46,8 % darbinieku bija sievietes; atzinīgi vērtē pieticīgo progresu dzimumu līdzsvara jomā augstākajā vadībā, kur sieviešu pārstāvība palielinājās no 6,3 % 2022. gadā līdz 7,6 % 2023. gadā, un vidējā līmeņa vadībā, kur tā palielinājās no 30,1 % 2022. gadā līdz 30,4 % 2023. gadā; aicina EĀDD pastiprināt centienus, lai panāktu būtiskāku un redzamāku dzimumu līdzsvaru visos organizācijas līmeņos;</w:t>
      </w:r>
    </w:p>
    <w:p w14:paraId="3FD429D1"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39.</w:t>
      </w:r>
      <w:r w:rsidRPr="00725A5E">
        <w:rPr>
          <w:kern w:val="2"/>
          <w14:ligatures w14:val="standardContextual"/>
        </w:rPr>
        <w:tab/>
        <w:t xml:space="preserve">atzinīgi vērtē to, ka Komisijas priekšsēdētājas vietnieks / Augstais pārstāvis un Komisija 2023. gada beigās publicēja </w:t>
      </w:r>
      <w:proofErr w:type="spellStart"/>
      <w:r w:rsidRPr="00725A5E">
        <w:rPr>
          <w:kern w:val="2"/>
          <w14:ligatures w14:val="standardContextual"/>
        </w:rPr>
        <w:t>vidusposma</w:t>
      </w:r>
      <w:proofErr w:type="spellEnd"/>
      <w:r w:rsidRPr="00725A5E">
        <w:rPr>
          <w:kern w:val="2"/>
          <w14:ligatures w14:val="standardContextual"/>
        </w:rPr>
        <w:t xml:space="preserve"> ziņojumu par ES Dzimumu līdztiesības rīcības plāna (</w:t>
      </w:r>
      <w:r w:rsidRPr="00725A5E">
        <w:rPr>
          <w:i/>
          <w:iCs/>
          <w:kern w:val="2"/>
          <w14:ligatures w14:val="standardContextual"/>
        </w:rPr>
        <w:t>GAP III</w:t>
      </w:r>
      <w:r w:rsidRPr="00725A5E">
        <w:rPr>
          <w:kern w:val="2"/>
          <w14:ligatures w14:val="standardContextual"/>
        </w:rPr>
        <w:t xml:space="preserve">) īstenošanu, kā arī lēmumu pagarināt tā grafiku līdz 2027. gadam, lai to saskaņotu ar daudzgadu finanšu shēmu (DFS); atzīst </w:t>
      </w:r>
      <w:r w:rsidRPr="00725A5E">
        <w:rPr>
          <w:i/>
          <w:iCs/>
          <w:kern w:val="2"/>
          <w14:ligatures w14:val="standardContextual"/>
        </w:rPr>
        <w:t>GAP III</w:t>
      </w:r>
      <w:r w:rsidRPr="00725A5E">
        <w:rPr>
          <w:kern w:val="2"/>
          <w14:ligatures w14:val="standardContextual"/>
        </w:rPr>
        <w:t xml:space="preserve"> nozīmi, veicinot dzimumu līdztiesību, kas ir stratēģiska prioritāte ES ārējā darbībā, un palielinot tās lomu šajā jomā; atzinīgi vērtē to, ka 2023. gada beigās Savienības vēstnieka dzimumu līdztiesības un dažādības jautājumos komanda rīkoja pirmās līderu mācības augstākā līmeņa vadītājiem par </w:t>
      </w:r>
      <w:proofErr w:type="spellStart"/>
      <w:r w:rsidRPr="00725A5E">
        <w:rPr>
          <w:kern w:val="2"/>
          <w14:ligatures w14:val="standardContextual"/>
        </w:rPr>
        <w:t>dzimumvērīgu</w:t>
      </w:r>
      <w:proofErr w:type="spellEnd"/>
      <w:r w:rsidRPr="00725A5E">
        <w:rPr>
          <w:kern w:val="2"/>
          <w14:ligatures w14:val="standardContextual"/>
        </w:rPr>
        <w:t xml:space="preserve"> līderību (</w:t>
      </w:r>
      <w:r w:rsidRPr="00725A5E">
        <w:rPr>
          <w:i/>
          <w:iCs/>
          <w:kern w:val="2"/>
          <w14:ligatures w14:val="standardContextual"/>
        </w:rPr>
        <w:t>GRL</w:t>
      </w:r>
      <w:r w:rsidRPr="00725A5E">
        <w:rPr>
          <w:kern w:val="2"/>
          <w14:ligatures w14:val="standardContextual"/>
        </w:rPr>
        <w:t>);</w:t>
      </w:r>
    </w:p>
    <w:p w14:paraId="495506CD"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40.</w:t>
      </w:r>
      <w:r w:rsidRPr="00725A5E">
        <w:rPr>
          <w:kern w:val="2"/>
          <w14:ligatures w14:val="standardContextual"/>
        </w:rPr>
        <w:tab/>
        <w:t xml:space="preserve">atzinīgi vērtē pirmo EĀDD ziņojumu par </w:t>
      </w:r>
      <w:r w:rsidRPr="00725A5E">
        <w:rPr>
          <w:i/>
          <w:iCs/>
          <w:kern w:val="2"/>
          <w14:ligatures w14:val="standardContextual"/>
        </w:rPr>
        <w:t>FIMI</w:t>
      </w:r>
      <w:r w:rsidRPr="00725A5E">
        <w:rPr>
          <w:kern w:val="2"/>
          <w14:ligatures w14:val="standardContextual"/>
        </w:rPr>
        <w:t xml:space="preserve"> darbībām, kas vērstas pret </w:t>
      </w:r>
      <w:r w:rsidRPr="00725A5E">
        <w:rPr>
          <w:i/>
          <w:iCs/>
          <w:kern w:val="2"/>
          <w14:ligatures w14:val="standardContextual"/>
        </w:rPr>
        <w:t>LGBTIQA+</w:t>
      </w:r>
      <w:r w:rsidRPr="00725A5E">
        <w:rPr>
          <w:kern w:val="2"/>
          <w14:ligatures w14:val="standardContextual"/>
        </w:rPr>
        <w:t xml:space="preserve"> personām un kuru mērķis ir uzlabot izpratni par </w:t>
      </w:r>
      <w:r w:rsidRPr="00725A5E">
        <w:rPr>
          <w:i/>
          <w:iCs/>
          <w:kern w:val="2"/>
          <w14:ligatures w14:val="standardContextual"/>
        </w:rPr>
        <w:t>FIMI</w:t>
      </w:r>
      <w:r w:rsidRPr="00725A5E">
        <w:rPr>
          <w:kern w:val="2"/>
          <w14:ligatures w14:val="standardContextual"/>
        </w:rPr>
        <w:t xml:space="preserve"> taktiku un veicināt sadarbību, tostarp ar </w:t>
      </w:r>
      <w:r w:rsidRPr="00725A5E">
        <w:rPr>
          <w:i/>
          <w:iCs/>
          <w:kern w:val="2"/>
          <w14:ligatures w14:val="standardContextual"/>
        </w:rPr>
        <w:t>ENISA</w:t>
      </w:r>
      <w:r w:rsidRPr="00725A5E">
        <w:rPr>
          <w:kern w:val="2"/>
          <w14:ligatures w14:val="standardContextual"/>
        </w:rPr>
        <w:t xml:space="preserve">, lai aizsargātu </w:t>
      </w:r>
      <w:r w:rsidRPr="00725A5E">
        <w:rPr>
          <w:i/>
          <w:iCs/>
          <w:kern w:val="2"/>
          <w14:ligatures w14:val="standardContextual"/>
        </w:rPr>
        <w:t>LGBTIQA+</w:t>
      </w:r>
      <w:r w:rsidRPr="00725A5E">
        <w:rPr>
          <w:kern w:val="2"/>
          <w14:ligatures w14:val="standardContextual"/>
        </w:rPr>
        <w:t xml:space="preserve"> kopienu; pauž bažas par </w:t>
      </w:r>
      <w:r w:rsidRPr="00725A5E">
        <w:rPr>
          <w:i/>
          <w:iCs/>
          <w:kern w:val="2"/>
          <w14:ligatures w14:val="standardContextual"/>
        </w:rPr>
        <w:t>LGBTIQ+</w:t>
      </w:r>
      <w:r w:rsidRPr="00725A5E">
        <w:rPr>
          <w:kern w:val="2"/>
          <w14:ligatures w14:val="standardContextual"/>
        </w:rPr>
        <w:t xml:space="preserve"> tiesību stāvokli visā pasaulē, kā arī par aizvien lielāku vēršanos pret dzimumu līdztiesību, sieviešu tiesībām un seksuālo un reproduktīvo veselību un tiesībām jaunattīstības valstīs; aicina Komisiju un EĀDD novērst šos trūkumus un par prioritāti noteikt mērķtiecīgu atbalstu pilsoniskās sabiedrības organizācijām, kas iestājas par šīm tiesībām;</w:t>
      </w:r>
    </w:p>
    <w:p w14:paraId="5DF2B21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41.</w:t>
      </w:r>
      <w:r w:rsidRPr="00725A5E">
        <w:rPr>
          <w:kern w:val="2"/>
          <w14:ligatures w14:val="standardContextual"/>
        </w:rPr>
        <w:tab/>
        <w:t>norāda, ka 2023. gada jūlijā pieņemtajā lēmumā Komisijas priekšsēdētājas vietnieks / Augstais pārstāvis precizēja, ka EĀDD pagaidu darbinieku un līgumdarbinieku darbā pieņemšanas maksimālais ilgums ir 8 gadi 13 gadu atsauces periodā vai – ārkārtas apstākļos un dienesta interesēs – 10 gadi 15 gadu atsauces periodā un ka minimālais laikposms starp secīgām darbā pieņemšanas reizēm attiecībā uz pagaidu darbiniekiem, kuri norīkoti darbā no dalībvalstu diplomātiskajiem dienestiem, ir 2 gadi no viņu pēdējā līguma izbeigšanas;</w:t>
      </w:r>
    </w:p>
    <w:p w14:paraId="42A6674E"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42.</w:t>
      </w:r>
      <w:r w:rsidRPr="00725A5E">
        <w:rPr>
          <w:kern w:val="2"/>
          <w14:ligatures w14:val="standardContextual"/>
        </w:rPr>
        <w:tab/>
        <w:t>norāda, ka 2023. gada beigās 1 695 ierēdņu un pagaidu darbinieku vidū bija 863 vīrietis (51 %) un 832 sievietes (49 %), kas ir nedaudz vairāk nekā 2022. gadā; norāda, ka 57,4 % līgumdarbinieku bija sievietes, kas ir nedaudz vairāk nekā 2022. gadā; tomēr pauž nožēlu, ka sievietes joprojām ir īpaši nepietiekami pārstāvētas vadošos amatos, gan galvenajā mītnē, gan arī delegācijās, savukārt AST amatos sieviešu pārstāvība ir pārmērīga; aicina EĀDD publicēt vidējās un augstākās vadības amatu sadalījumu pēc dzimuma un valstspiederības; aicina EĀDD risināt šo jautājumu, vienlaikus ievērojot kandidātu kompetenci un nopelnus; atzinīgi vērtē to, ka 2023. gada rotācija piedāvāja 42 vadošos amatus delegācijās un par 12 % palielināja vēstnieču sieviešu skaitu, savukārt 2023. gadā 35,50 % no tām bija sievietes (salīdzinājumā ar 31,70 %), kas tomēr joprojām ir nepietiekami pārstāvētas;</w:t>
      </w:r>
    </w:p>
    <w:p w14:paraId="04D60477" w14:textId="77777777" w:rsidR="00725A5E" w:rsidRPr="00725A5E" w:rsidRDefault="00725A5E" w:rsidP="00725A5E">
      <w:pPr>
        <w:spacing w:after="240"/>
        <w:ind w:left="567" w:hanging="567"/>
        <w:rPr>
          <w:kern w:val="2"/>
          <w:szCs w:val="24"/>
          <w14:ligatures w14:val="standardContextual"/>
        </w:rPr>
      </w:pPr>
      <w:r w:rsidRPr="00725A5E">
        <w:rPr>
          <w:kern w:val="2"/>
          <w14:ligatures w14:val="standardContextual"/>
        </w:rPr>
        <w:t>43.</w:t>
      </w:r>
      <w:r w:rsidRPr="00725A5E">
        <w:rPr>
          <w:kern w:val="2"/>
          <w14:ligatures w14:val="standardContextual"/>
        </w:rPr>
        <w:tab/>
        <w:t xml:space="preserve">konstatē, ka, lai gan visas dalībvalstis ir pārstāvētas EĀDD darbinieku vidū, tomēr joprojām pastāv zināma nelīdzsvarotība, jo Beļģija ir visvairāk pārstāvētā dalībvalsts, kas veido 12,1 % kopējā EĀDD nodarbināto darbinieku skaita; norāda, ka ievērojama ģeogrāfiskā nelīdzsvarotība ir koncentrēta arī starp rietumu un austrumu dalībvalstīm; norāda arī to, ka attiecībā uz vadītāju amatiem Itālija ir visvairāk pārstāvētā dalībvalsts, proti, 15 % no visiem vadošajiem amatiem ieņem itāļi; norāda, ka Savienības vēstnieku </w:t>
      </w:r>
      <w:r w:rsidRPr="00725A5E">
        <w:rPr>
          <w:kern w:val="2"/>
          <w14:ligatures w14:val="standardContextual"/>
        </w:rPr>
        <w:lastRenderedPageBreak/>
        <w:t xml:space="preserve">vidū, kuru kopējais skaits ir 141, joprojām nav 3 dalībvalstu </w:t>
      </w:r>
      <w:proofErr w:type="spellStart"/>
      <w:r w:rsidRPr="00725A5E">
        <w:rPr>
          <w:kern w:val="2"/>
          <w14:ligatures w14:val="standardContextual"/>
        </w:rPr>
        <w:t>valstspiederīgo</w:t>
      </w:r>
      <w:proofErr w:type="spellEnd"/>
      <w:r w:rsidRPr="00725A5E">
        <w:rPr>
          <w:kern w:val="2"/>
          <w14:ligatures w14:val="standardContextual"/>
        </w:rPr>
        <w:t xml:space="preserve"> (Ungārija, Luksemburga un Malta), savukārt dalībvalstis ar lielāko vēstnieku skaitu ir Francija ar 22 vēstniekiem, Spānija ar Itālija ar 16, Vācija ar 12 un Beļģija ar 10 vēstniekiem, un tas nozīmē, ka šo 5 valstu </w:t>
      </w:r>
      <w:proofErr w:type="spellStart"/>
      <w:r w:rsidRPr="00725A5E">
        <w:rPr>
          <w:kern w:val="2"/>
          <w14:ligatures w14:val="standardContextual"/>
        </w:rPr>
        <w:t>valstspiederīgie</w:t>
      </w:r>
      <w:proofErr w:type="spellEnd"/>
      <w:r w:rsidRPr="00725A5E">
        <w:rPr>
          <w:kern w:val="2"/>
          <w14:ligatures w14:val="standardContextual"/>
        </w:rPr>
        <w:t xml:space="preserve"> ieņem 54 % no visām vēstnieku amata vietām; atkārtoti un stingri aicina EĀDD turpināt nodrošināt saprātīgu ģeogrāfisko līdzsvaru organizācijā un visos līmeņos; atkārtoti pauž bažas arī par dzimumu līdzsvaru; norāda, ka sievietes ir īpaši nepietiekami pārstāvētas vadošos amatos, lai gan jo īpaši AST amatos viņas ir pārmērīgi pārstāvētas; aicina EĀDD publicēt vidējās un augstākās vadības amatu sadalījumu pēc dzimuma un valstspiederības; aicina EĀDD risināt šo jautājumu, vienlaikus ievērojot kandidātu kompetenci un nopelnus;</w:t>
      </w:r>
    </w:p>
    <w:p w14:paraId="2175F6A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44.</w:t>
      </w:r>
      <w:r w:rsidRPr="00725A5E">
        <w:rPr>
          <w:kern w:val="2"/>
          <w14:ligatures w14:val="standardContextual"/>
        </w:rPr>
        <w:tab/>
        <w:t>norāda, ka 2023. gadā tika organizēta plaša 52 vadošo amata vietu rotācija delegācijās; atzinīgi vērtē EĀDD centienus palielināt dalībvalstu informētību par nepieciešamību piesaistīt plašu kandidātu loku publicētajiem amatiem un ierosināt kvalificētus kandidātus Savienības vēstnieka amata vietām;</w:t>
      </w:r>
    </w:p>
    <w:p w14:paraId="4583A7E7"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45.</w:t>
      </w:r>
      <w:r w:rsidRPr="00725A5E">
        <w:rPr>
          <w:kern w:val="2"/>
          <w14:ligatures w14:val="standardContextual"/>
        </w:rPr>
        <w:tab/>
        <w:t xml:space="preserve">ar gandarījumu norāda, ka 2023. gadā EĀDD pieņēma Daudzveidības un iekļaušanas programmu 2023.–2025. gadam – sīki izstrādātu rīcības plānu, kas veicinātu drošu un </w:t>
      </w:r>
      <w:proofErr w:type="spellStart"/>
      <w:r w:rsidRPr="00725A5E">
        <w:rPr>
          <w:kern w:val="2"/>
          <w14:ligatures w14:val="standardContextual"/>
        </w:rPr>
        <w:t>cieņpilnu</w:t>
      </w:r>
      <w:proofErr w:type="spellEnd"/>
      <w:r w:rsidRPr="00725A5E">
        <w:rPr>
          <w:kern w:val="2"/>
          <w14:ligatures w14:val="standardContextual"/>
        </w:rPr>
        <w:t xml:space="preserve"> darba vidi un pilnīgas neiecietības pieeju pret aizskarošu izturēšanos; norāda, ka par abiem dokumentiem notika apspriešanās ar darbinieku pārstāvjiem, darbinieku apvienībām un Apvienoto vienlīdzīgu iespēju komiteju, kas tika pārdēvēta par Apvienoto daudzveidības un integrācijas komiteju; norāda, ka rīcības plānā ir iekļauti preventīvi pasākumi pret aizskarošu izturēšanos, piemēram, obligāts e–mācību apmācības kurss visiem darbiniekiem par aizskarošas izturēšanās atpazīšanu un novēršanu darbā un obligāta vadības apmācība par to, kā izveidot no aizskarošas izturēšanās brīvu darba vidi; aicina EĀDD turpināt regulāri apmācīt vadošos un nevadošos darbiniekus par jautājumiem, kas saistīti ar daudzveidību, taisnīgumu, iekļaušanu un piederību;</w:t>
      </w:r>
    </w:p>
    <w:p w14:paraId="66CD16D7"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46.</w:t>
      </w:r>
      <w:r w:rsidRPr="00725A5E">
        <w:rPr>
          <w:kern w:val="2"/>
          <w14:ligatures w14:val="standardContextual"/>
        </w:rPr>
        <w:tab/>
        <w:t xml:space="preserve">ar bažām konstatē, ka 2023. gadā EĀDD saņēma trīs palīdzības pieprasījumus saistībā ar apgalvojumiem par psiholoģisku uzmākšanos, kurā bija iesaistīti divi ierēdņi, kā rezultātā tika sāktas divas administratīvas izmeklēšanas, no kurām viena joprojām turpinās, bet otra tika slēgta, piemērojot disciplinārsodu; norāda, ka saskaņā ar neoficiālo procedūru EĀDD </w:t>
      </w:r>
      <w:proofErr w:type="spellStart"/>
      <w:r w:rsidRPr="00725A5E">
        <w:rPr>
          <w:kern w:val="2"/>
          <w14:ligatures w14:val="standardContextual"/>
        </w:rPr>
        <w:t>mediācijas</w:t>
      </w:r>
      <w:proofErr w:type="spellEnd"/>
      <w:r w:rsidRPr="00725A5E">
        <w:rPr>
          <w:kern w:val="2"/>
          <w14:ligatures w14:val="standardContextual"/>
        </w:rPr>
        <w:t xml:space="preserve"> dienests izskatīja 28 lietas saistībā ar apgalvojumiem par psiholoģisku uzmākšanos un 10 seksuālas uzmākšanās gadījumus un ka konfidenciālie padomnieki 2023. gadā izskatīja 21 gadījumu saistībā ar apgalvojumiem par psiholoģisku uzmākšanos un 6 seksuālas uzmākšanās gadījumus; norāda, ka 2023. gadā EĀDD sagatavoja lēmumu par aizskarošas izturēšanās novēršanu pret vietējiem darbiniekiem delegācijās, kas tika pieņemts 2024. gada jūnijā; atzinīgi vērtē EĀDD centienus stiprināt aizskarošas izturēšanās novēršanas politiku, tostarp ieviest obligātus e-mācību moduļus, lai palielinātu informētību, un izveidot Stambulas konvencijas darba grupu, kuras mērķis ir noteikt pasākumus, lai nodrošinātu drošāku darba vietu visiem; tomēr pauž nopietnas bažas par pastāvīgi lielo aizskarošas izturēšanās gadījumu skaitu; aicina EĀDD īstenot stingrākus profilakses pasākumus, atbalstu cietušajiem, stingrus disciplināros pasākumus, lai nodrošinātu pilnīgu neiecietību pret aizskarošu izturēšanos un drošu darba vidi;</w:t>
      </w:r>
    </w:p>
    <w:p w14:paraId="64F232B6"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47.</w:t>
      </w:r>
      <w:r w:rsidRPr="00725A5E">
        <w:rPr>
          <w:kern w:val="2"/>
          <w14:ligatures w14:val="standardContextual"/>
        </w:rPr>
        <w:tab/>
        <w:t xml:space="preserve">norāda, ka 2023. gadā EĀDD veica vairākus pasākumus, kas nodrošinātu darbinieku fizisko un garīgo </w:t>
      </w:r>
      <w:proofErr w:type="spellStart"/>
      <w:r w:rsidRPr="00725A5E">
        <w:rPr>
          <w:kern w:val="2"/>
          <w14:ligatures w14:val="standardContextual"/>
        </w:rPr>
        <w:t>labbūtību</w:t>
      </w:r>
      <w:proofErr w:type="spellEnd"/>
      <w:r w:rsidRPr="00725A5E">
        <w:rPr>
          <w:kern w:val="2"/>
          <w14:ligatures w14:val="standardContextual"/>
        </w:rPr>
        <w:t xml:space="preserve">, tai skaitā sistemātiski veica visu darbinieku veselības pārbaudi pirms norīkošanas delegācijā, sniedza psiholoģisko atbalstu un īstenoja izpratnes veicināšanas pasākumus; norāda, ka 2023. gada oktobrī tika pieņemti divi </w:t>
      </w:r>
      <w:r w:rsidRPr="00725A5E">
        <w:rPr>
          <w:kern w:val="2"/>
          <w14:ligatures w14:val="standardContextual"/>
        </w:rPr>
        <w:lastRenderedPageBreak/>
        <w:t>lēmumi par darba laiku un elastīgu darba režīmu; pamatojoties uz tiem elastīgs darba laiks kļuva par standarta darba laika režīmu EĀDD galvenajā mītnē un delegācijās visiem darbiniekiem, izņemot vadītājus; turklāt norāda, ka minētie lēmumi atļauj tāldarbu līdz divām dienām nedēļā EĀDD galvenajā mītnē, vienu dienu nedēļā delegācijās un 10 dienas gadā ārpus darba vietas visiem; norāda, ka ārkārtas tāldarbs ilgāku laiku joprojām ir iespējams krīžu, medicīnisku vai citu sevišķi svarīgu iemeslu dēļ;</w:t>
      </w:r>
    </w:p>
    <w:p w14:paraId="3A904C9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48.</w:t>
      </w:r>
      <w:r w:rsidRPr="00725A5E">
        <w:rPr>
          <w:kern w:val="2"/>
          <w14:ligatures w14:val="standardContextual"/>
        </w:rPr>
        <w:tab/>
        <w:t xml:space="preserve">pauž bažas par to, ka EĀDD darbinieku skaits, kuri ir ilgstošā slimības atvaļinājumā ilgāk par 50 dienām, ir pieaudzis no 111 darbiniekiem 2022. gadā līdz 171 darbiniekam 2023. gadā, kas atbilst pieaugumam par 54 %; norāda, ka Medicīniskais dienests īstenoja vairākus pasākumus izdegšanas riska novēršanai, piemēram, 2023. gada decembrī pieņēma darbā psihiatru un medicīniskais dienests sistemātiskāk sekoja līdzi slimības atvaļinājumam, sniedza psiholoģisko atbalstu un konsultācijas gan personālam, gan vadītājiem, īstenoja informētības veicināšanas pasākumus un izveidoja pirmās palīdzības sniedzēju tīklu garīgās veselības jomā; uzsver, ka vadītājiem ir jānodrošina taisnīgs uzdevumu sadalījums un jāīsteno norādījumi un elastīgs darba režīms; aicina EĀDD īstenot </w:t>
      </w:r>
      <w:proofErr w:type="spellStart"/>
      <w:r w:rsidRPr="00725A5E">
        <w:rPr>
          <w:kern w:val="2"/>
          <w14:ligatures w14:val="standardContextual"/>
        </w:rPr>
        <w:t>proaktīvu</w:t>
      </w:r>
      <w:proofErr w:type="spellEnd"/>
      <w:r w:rsidRPr="00725A5E">
        <w:rPr>
          <w:kern w:val="2"/>
          <w14:ligatures w14:val="standardContextual"/>
        </w:rPr>
        <w:t xml:space="preserve"> pieeju, lai novērstu ilgtermiņa slimības un izdegšanu, par prioritāti nosakot darbinieku garīgo labklājību, izmantojot efektīvus atbalsta pasākumus;</w:t>
      </w:r>
    </w:p>
    <w:p w14:paraId="4CD6A926"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49.</w:t>
      </w:r>
      <w:r w:rsidRPr="00725A5E">
        <w:rPr>
          <w:kern w:val="2"/>
          <w14:ligatures w14:val="standardContextual"/>
        </w:rPr>
        <w:tab/>
        <w:t>pieņem zināšanai, ka budžeta ierobežojumu dēļ tika samazināts nodarbināto praktikantu skaits; aicina EĀDD sniegt informāciju par praktikantu darba apstākļiem un atalgojumu galvenajā mītnē un delegācijās;</w:t>
      </w:r>
    </w:p>
    <w:p w14:paraId="6223F969" w14:textId="77777777" w:rsidR="00725A5E" w:rsidRPr="00725A5E" w:rsidRDefault="00725A5E" w:rsidP="00725A5E">
      <w:pPr>
        <w:spacing w:after="240"/>
        <w:ind w:left="567" w:hanging="567"/>
        <w:rPr>
          <w:b/>
          <w:iCs/>
          <w:kern w:val="2"/>
          <w14:ligatures w14:val="standardContextual"/>
        </w:rPr>
      </w:pPr>
      <w:r w:rsidRPr="00725A5E">
        <w:rPr>
          <w:b/>
          <w:iCs/>
          <w:kern w:val="2"/>
          <w14:ligatures w14:val="standardContextual"/>
        </w:rPr>
        <w:t xml:space="preserve">Ētikas regulējums un </w:t>
      </w:r>
      <w:proofErr w:type="spellStart"/>
      <w:r w:rsidRPr="00725A5E">
        <w:rPr>
          <w:b/>
          <w:iCs/>
          <w:kern w:val="2"/>
          <w14:ligatures w14:val="standardContextual"/>
        </w:rPr>
        <w:t>pārredzamība</w:t>
      </w:r>
      <w:proofErr w:type="spellEnd"/>
    </w:p>
    <w:p w14:paraId="19240C7C"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50.</w:t>
      </w:r>
      <w:r w:rsidRPr="00725A5E">
        <w:rPr>
          <w:kern w:val="2"/>
          <w14:ligatures w14:val="standardContextual"/>
        </w:rPr>
        <w:tab/>
        <w:t xml:space="preserve">norāda, ka 2023. gadā EĀDD uzlaboja savu ētikas satvaru, izdodot jaunus norādījumus aizliegt vai ierobežot komandējumus, kuru izmaksas daļēji vai pilnībā sedz no ārējiem avotiem nolūkā izvairīties no interešu konflikta riska, nosūtot visiem darbiniekiem atgādinājumu par ētiku; norāda, ka EĀDD pievērsa uzmanību arī īpašu mācību kursu organizēšanai par ētiku, interešu konfliktiem, iekšējo kontroli un krāpšanas apkarošanu, kas paredzēti un pielāgoti dažādām auditorijām EĀDD galvenajā mītnē un delegācijās; turklāt norāda, ka 2022. gadā pieņemtos 16 “profesionālās uzvedības principus” turpināja izplatīt jaunajiem darbiniekiem un plaši popularizēt, it īpaši kursos “Ētika un integritāte” un “Uzmākšanās novēršanas politika”; aicina EĀDD pastāvīgi informēt Parlamentu par jebkādām turpmākām izmaiņām tā ētikas satvarā; aicina EĀDD nodrošināt regulāru obligātu apmācību par ētiku, tostarp MI ētisku izmantošanu, un </w:t>
      </w:r>
      <w:proofErr w:type="spellStart"/>
      <w:r w:rsidRPr="00725A5E">
        <w:rPr>
          <w:kern w:val="2"/>
          <w14:ligatures w14:val="standardContextual"/>
        </w:rPr>
        <w:t>pārskatatbildību</w:t>
      </w:r>
      <w:proofErr w:type="spellEnd"/>
      <w:r w:rsidRPr="00725A5E">
        <w:rPr>
          <w:kern w:val="2"/>
          <w14:ligatures w14:val="standardContextual"/>
        </w:rPr>
        <w:t>;</w:t>
      </w:r>
    </w:p>
    <w:p w14:paraId="16FFB4A3"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51.</w:t>
      </w:r>
      <w:r w:rsidRPr="00725A5E">
        <w:rPr>
          <w:kern w:val="2"/>
          <w14:ligatures w14:val="standardContextual"/>
        </w:rPr>
        <w:tab/>
        <w:t xml:space="preserve">atzinīgi vērtē to, ka EĀDD 2023. gada oktobrī pieņēma jaunu stratēģiju krāpšanas apkarošanai, kas attiecas uz visiem EĀDD galvenās mītnes un delegāciju darbiniekiem; stratēģija izstrādāta, rūpīgi pārskatot ar krāpšanu saistītos riskus, un to oficiāli apstiprināja </w:t>
      </w:r>
      <w:r w:rsidRPr="00725A5E">
        <w:rPr>
          <w:i/>
          <w:kern w:val="2"/>
          <w14:ligatures w14:val="standardContextual"/>
        </w:rPr>
        <w:t>OLAF</w:t>
      </w:r>
      <w:r w:rsidRPr="00725A5E">
        <w:rPr>
          <w:kern w:val="2"/>
          <w14:ligatures w14:val="standardContextual"/>
        </w:rPr>
        <w:t xml:space="preserve">; atzinīgi vērtē to, ka EĀDD veltīja īpašas pūles personāla apmācībai un konsultēšanai, it īpaši ar 2022. gada decembrī izveidotās krāpšanas apkarošanas nodaļas starpniecību; norāda, ka EĀDD darbinieki, kas norīkoti darbā Savienības delegācijās, aktīvi piedalījās vairākos darbsemināros un semināros par informētību par krāpšanu un krāpšanas novēršanu, ka Savienības delegācijā jaunie darbinieki pirms stāšanās amatā sistemātiski saņēma apmācību par minētajiem jautājumiem un ka ar krāpšanas apkarošanu saistītā </w:t>
      </w:r>
      <w:proofErr w:type="spellStart"/>
      <w:r w:rsidRPr="00725A5E">
        <w:rPr>
          <w:kern w:val="2"/>
          <w14:ligatures w14:val="standardContextual"/>
        </w:rPr>
        <w:t>intraneta</w:t>
      </w:r>
      <w:proofErr w:type="spellEnd"/>
      <w:r w:rsidRPr="00725A5E">
        <w:rPr>
          <w:kern w:val="2"/>
          <w14:ligatures w14:val="standardContextual"/>
        </w:rPr>
        <w:t xml:space="preserve"> lapa tika vēl vairāk pārveidota, lai atvieglotu ziņošanu par iespējamiem krāpšanas gadījumiem un nodrošinātu plašākas iespējas apmācībai par krāpšanas apkarošanu;</w:t>
      </w:r>
      <w:r w:rsidRPr="00725A5E">
        <w:rPr>
          <w:b/>
          <w:i/>
          <w:kern w:val="2"/>
          <w14:ligatures w14:val="standardContextual"/>
        </w:rPr>
        <w:t xml:space="preserve"> </w:t>
      </w:r>
      <w:r w:rsidRPr="00725A5E">
        <w:rPr>
          <w:kern w:val="2"/>
          <w14:ligatures w14:val="standardContextual"/>
        </w:rPr>
        <w:t xml:space="preserve">prasa EĀDD veikt obligātu regulāru apmācību </w:t>
      </w:r>
      <w:r w:rsidRPr="00725A5E">
        <w:rPr>
          <w:kern w:val="2"/>
          <w14:ligatures w14:val="standardContextual"/>
        </w:rPr>
        <w:lastRenderedPageBreak/>
        <w:t>visiem darbiniekiem, lai informētu par krāpšanu un novērstu krāpšanu;</w:t>
      </w:r>
    </w:p>
    <w:p w14:paraId="6AC17E8B"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52.</w:t>
      </w:r>
      <w:r w:rsidRPr="00725A5E">
        <w:rPr>
          <w:kern w:val="2"/>
          <w14:ligatures w14:val="standardContextual"/>
        </w:rPr>
        <w:tab/>
        <w:t>norāda, ka EĀDD 2023. gadā nesaņēma nevienu trauksmes celšanas gadījumu; ar gandarījumu norāda, ka 2023. gadā EĀDD sāka izstrādāt īpašu trauksmes cēlēju aizsardzības politiku saskaņā ar jauno krāpšanas apkarošanas stratēģiju; aicina informēt Parlamentu par tās pieņemšanu, kas paredzēta 2025. gadā, un par tās īstenošanu visā dienestā;</w:t>
      </w:r>
    </w:p>
    <w:p w14:paraId="1C20969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53.</w:t>
      </w:r>
      <w:r w:rsidRPr="00725A5E">
        <w:rPr>
          <w:kern w:val="2"/>
          <w14:ligatures w14:val="standardContextual"/>
        </w:rPr>
        <w:tab/>
        <w:t>norāda, ka 2023. gadā EĀDD saņēma piecus apliecinājumus par interešu konfliktiem, kuri tika izskatīti saskaņā ar piemērojamajiem noteikumiem; norāda, ka gadījumā, kas saistīts ar novērtēšanas komitejas locekli iepirkuma procedūrā, pastarpināti deleģētais kredītrīkotājs secināja, ka pastāv potenciāls interešu konflikts, un atbrīvoja darbinieku no novērtēšanas komitejas locekļa pienākumiem;</w:t>
      </w:r>
    </w:p>
    <w:p w14:paraId="293D7DD0"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54.</w:t>
      </w:r>
      <w:r w:rsidRPr="00725A5E">
        <w:rPr>
          <w:kern w:val="2"/>
          <w14:ligatures w14:val="standardContextual"/>
        </w:rPr>
        <w:tab/>
        <w:t xml:space="preserve">ar bažām norāda, ka </w:t>
      </w:r>
      <w:r w:rsidRPr="00725A5E">
        <w:rPr>
          <w:i/>
          <w:kern w:val="2"/>
          <w14:ligatures w14:val="standardContextual"/>
        </w:rPr>
        <w:t>OLAF</w:t>
      </w:r>
      <w:r w:rsidRPr="00725A5E">
        <w:rPr>
          <w:kern w:val="2"/>
          <w14:ligatures w14:val="standardContextual"/>
        </w:rPr>
        <w:t xml:space="preserve"> 2023. gadā sāka astoņas izmeklēšanas, kas joprojām turpinās, par iespējamiem pārkāpumiem saistībā ar iepirkuma procedūrām un līgumu, dotāciju nolīgumu īstenošanu vai iespējamiem pārkāpumiem saistībā ar cilvēkresursu jautājumiem; norāda, ka 2023. gadā uzsāktās lietas attiecas uz ierēdņiem, pagaidu darbiniekiem un vietējiem darbiniekiem gan EĀDD galvenajā mītnē, gan delegācijās; aicina pastāvīgi informēt Parlamentu par turpmākajiem pasākumiem saistībā ar minētajām izmeklēšanām; norāda, ka astoņas vecākas lietas, kurās bija iesaistīti bijušie un esošie darbinieki, tika slēgtas, un piecos gadījumos tika sniegti ieteikumi veikt turpmākus pasākumus; norāda, ka EĀDD regulāri sazinās ar </w:t>
      </w:r>
      <w:r w:rsidRPr="00725A5E">
        <w:rPr>
          <w:i/>
          <w:kern w:val="2"/>
          <w14:ligatures w14:val="standardContextual"/>
        </w:rPr>
        <w:t>OLAF</w:t>
      </w:r>
      <w:r w:rsidRPr="00725A5E">
        <w:rPr>
          <w:kern w:val="2"/>
          <w14:ligatures w14:val="standardContextual"/>
        </w:rPr>
        <w:t xml:space="preserve"> ar tā krāpšanas apkarošanas vienības starpniecību un nodrošina </w:t>
      </w:r>
      <w:r w:rsidRPr="00725A5E">
        <w:rPr>
          <w:i/>
          <w:kern w:val="2"/>
          <w14:ligatures w14:val="standardContextual"/>
        </w:rPr>
        <w:t>OLAF</w:t>
      </w:r>
      <w:r w:rsidRPr="00725A5E">
        <w:rPr>
          <w:kern w:val="2"/>
          <w14:ligatures w14:val="standardContextual"/>
        </w:rPr>
        <w:t xml:space="preserve"> ieteikumu savlaicīgu izpildi; prasa informēt Parlamentu par ieteikumu īstenošanu;</w:t>
      </w:r>
    </w:p>
    <w:p w14:paraId="37106A6E"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55.</w:t>
      </w:r>
      <w:r w:rsidRPr="00725A5E">
        <w:rPr>
          <w:kern w:val="2"/>
          <w14:ligatures w14:val="standardContextual"/>
        </w:rPr>
        <w:tab/>
        <w:t xml:space="preserve">norāda, ka 2023. gadā EĀDD izskatīja desmit </w:t>
      </w:r>
      <w:proofErr w:type="spellStart"/>
      <w:r w:rsidRPr="00725A5E">
        <w:rPr>
          <w:kern w:val="2"/>
          <w14:ligatures w14:val="standardContextual"/>
        </w:rPr>
        <w:t>Ombuda</w:t>
      </w:r>
      <w:proofErr w:type="spellEnd"/>
      <w:r w:rsidRPr="00725A5E">
        <w:rPr>
          <w:kern w:val="2"/>
          <w14:ligatures w14:val="standardContextual"/>
        </w:rPr>
        <w:t xml:space="preserve"> pieprasījumus, no kuriem deviņi bija saistīti ar administratīvajām lietām un viens – ar pieprasījumu par piekļuvi dokumentiem; norāda, ka </w:t>
      </w:r>
      <w:proofErr w:type="spellStart"/>
      <w:r w:rsidRPr="00725A5E">
        <w:rPr>
          <w:kern w:val="2"/>
          <w14:ligatures w14:val="standardContextual"/>
        </w:rPr>
        <w:t>Ombuds</w:t>
      </w:r>
      <w:proofErr w:type="spellEnd"/>
      <w:r w:rsidRPr="00725A5E">
        <w:rPr>
          <w:kern w:val="2"/>
          <w14:ligatures w14:val="standardContextual"/>
        </w:rPr>
        <w:t xml:space="preserve"> nekonstatēja administratīvas kļūmes vai daļējas administratīvas kļūmes un nesniedza nekādus ieteikumus EĀDD;</w:t>
      </w:r>
    </w:p>
    <w:p w14:paraId="0BCFDDF3"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56</w:t>
      </w:r>
      <w:r w:rsidRPr="00725A5E">
        <w:rPr>
          <w:b/>
          <w:i/>
          <w:kern w:val="2"/>
          <w14:ligatures w14:val="standardContextual"/>
        </w:rPr>
        <w:t>.</w:t>
      </w:r>
      <w:r w:rsidRPr="00725A5E">
        <w:rPr>
          <w:b/>
          <w:i/>
          <w:kern w:val="2"/>
          <w14:ligatures w14:val="standardContextual"/>
        </w:rPr>
        <w:tab/>
      </w:r>
      <w:r w:rsidRPr="00725A5E">
        <w:rPr>
          <w:kern w:val="2"/>
          <w14:ligatures w14:val="standardContextual"/>
        </w:rPr>
        <w:t>pieņem zināšanai visas darbības, kas veiktas, lai palielinātu informētību par ārējām darbībām; atgādina Parlamenta prasību pieņemt patstāvīgus īstenošanas noteikumus par ārējām darbībām un uzdevumiem, lai aizsargātu Savienības tēlu un reputāciju, jo īpaši delegāciju vadītāju gadījumā;</w:t>
      </w:r>
    </w:p>
    <w:p w14:paraId="40825A8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57.</w:t>
      </w:r>
      <w:r w:rsidRPr="00725A5E">
        <w:rPr>
          <w:kern w:val="2"/>
          <w14:ligatures w14:val="standardContextual"/>
        </w:rPr>
        <w:tab/>
        <w:t xml:space="preserve">norāda, ka Komisijas priekšsēdētājas vietniekam / Augstajam pārstāvim kā Komisijas priekšsēdētājas vietniekam ir saistoši </w:t>
      </w:r>
      <w:proofErr w:type="spellStart"/>
      <w:r w:rsidRPr="00725A5E">
        <w:rPr>
          <w:kern w:val="2"/>
          <w14:ligatures w14:val="standardContextual"/>
        </w:rPr>
        <w:t>Pārredzamības</w:t>
      </w:r>
      <w:proofErr w:type="spellEnd"/>
      <w:r w:rsidRPr="00725A5E">
        <w:rPr>
          <w:kern w:val="2"/>
          <w14:ligatures w14:val="standardContextual"/>
        </w:rPr>
        <w:t xml:space="preserve"> reģistra noteikumi; uzsver – lai gan EĀDD nav iestāde Līguma par Eiropas Savienību 13. panta nozīmē un tam Savienības tiesību aktos nav paredzēta tieša loma, tam tomēr ir būtiska nozīme Savienības tiesību aktos attiecībā uz lēmumiem par sankcijām un sarunām par starptautiskajiem tirdzniecības nolīgumiem, kuriem ir ievērojama regulatīva ietekme; norāda, ka būtu ļoti svarīgi, lai EĀDD pieņemtu </w:t>
      </w:r>
      <w:proofErr w:type="spellStart"/>
      <w:r w:rsidRPr="00725A5E">
        <w:rPr>
          <w:kern w:val="2"/>
          <w14:ligatures w14:val="standardContextual"/>
        </w:rPr>
        <w:t>pārredzamības</w:t>
      </w:r>
      <w:proofErr w:type="spellEnd"/>
      <w:r w:rsidRPr="00725A5E">
        <w:rPr>
          <w:kern w:val="2"/>
          <w14:ligatures w14:val="standardContextual"/>
        </w:rPr>
        <w:t xml:space="preserve"> pasākumus un paziņotu par tiem </w:t>
      </w:r>
      <w:proofErr w:type="spellStart"/>
      <w:r w:rsidRPr="00725A5E">
        <w:rPr>
          <w:kern w:val="2"/>
          <w14:ligatures w14:val="standardContextual"/>
        </w:rPr>
        <w:t>Pārredzamības</w:t>
      </w:r>
      <w:proofErr w:type="spellEnd"/>
      <w:r w:rsidRPr="00725A5E">
        <w:rPr>
          <w:kern w:val="2"/>
          <w14:ligatures w14:val="standardContextual"/>
        </w:rPr>
        <w:t xml:space="preserve"> reģistra valdei un pievienotos reģistram; aicina EĀDD publicēt informāciju par visām sanāksmēm ar visu veidu lobēšanas organizācijām, tai skaitā par sanāksmēm ar Savienības delegāciju vadītājiem, </w:t>
      </w:r>
      <w:proofErr w:type="spellStart"/>
      <w:r w:rsidRPr="00725A5E">
        <w:rPr>
          <w:kern w:val="2"/>
          <w14:ligatures w14:val="standardContextual"/>
        </w:rPr>
        <w:t>pārredzamības</w:t>
      </w:r>
      <w:proofErr w:type="spellEnd"/>
      <w:r w:rsidRPr="00725A5E">
        <w:rPr>
          <w:kern w:val="2"/>
          <w14:ligatures w14:val="standardContextual"/>
        </w:rPr>
        <w:t xml:space="preserve"> uzlabošanas nolūkā; aicina informēt Parlamentu par visām jaunajām EĀDD iniciatīvām </w:t>
      </w:r>
      <w:proofErr w:type="spellStart"/>
      <w:r w:rsidRPr="00725A5E">
        <w:rPr>
          <w:kern w:val="2"/>
          <w14:ligatures w14:val="standardContextual"/>
        </w:rPr>
        <w:t>pārredzamības</w:t>
      </w:r>
      <w:proofErr w:type="spellEnd"/>
      <w:r w:rsidRPr="00725A5E">
        <w:rPr>
          <w:kern w:val="2"/>
          <w14:ligatures w14:val="standardContextual"/>
        </w:rPr>
        <w:t xml:space="preserve"> uzlabošanai; atkārtoti uzsver, ka ir svarīgi vēl vairāk stiprināt Savienības demokrātisko kontroli un ievērot augstus </w:t>
      </w:r>
      <w:proofErr w:type="spellStart"/>
      <w:r w:rsidRPr="00725A5E">
        <w:rPr>
          <w:kern w:val="2"/>
          <w14:ligatures w14:val="standardContextual"/>
        </w:rPr>
        <w:t>pārskatatbildības</w:t>
      </w:r>
      <w:proofErr w:type="spellEnd"/>
      <w:r w:rsidRPr="00725A5E">
        <w:rPr>
          <w:kern w:val="2"/>
          <w14:ligatures w14:val="standardContextual"/>
        </w:rPr>
        <w:t xml:space="preserve"> un </w:t>
      </w:r>
      <w:proofErr w:type="spellStart"/>
      <w:r w:rsidRPr="00725A5E">
        <w:rPr>
          <w:kern w:val="2"/>
          <w14:ligatures w14:val="standardContextual"/>
        </w:rPr>
        <w:t>pārredzamības</w:t>
      </w:r>
      <w:proofErr w:type="spellEnd"/>
      <w:r w:rsidRPr="00725A5E">
        <w:rPr>
          <w:kern w:val="2"/>
          <w14:ligatures w14:val="standardContextual"/>
        </w:rPr>
        <w:t xml:space="preserve"> standartus, sadarbojoties ar pilsoniskās sabiedrības organizācijām; aicina Savienības delegācijas nodrošināt, ka Savienības līdzekļi, kas piešķirti pilsoniskās sabiedrības organizācijām un sociālajiem </w:t>
      </w:r>
      <w:r w:rsidRPr="00725A5E">
        <w:rPr>
          <w:kern w:val="2"/>
          <w14:ligatures w14:val="standardContextual"/>
        </w:rPr>
        <w:lastRenderedPageBreak/>
        <w:t>partneriem trešās valstīs, tiek izmantoti saskaņā ar Savienības vērtībām, politiku un finanšu noteikumiem;</w:t>
      </w:r>
    </w:p>
    <w:p w14:paraId="63D840DD"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58.</w:t>
      </w:r>
      <w:r w:rsidRPr="00725A5E">
        <w:rPr>
          <w:kern w:val="2"/>
          <w14:ligatures w14:val="standardContextual"/>
        </w:rPr>
        <w:tab/>
        <w:t xml:space="preserve">mudina EĀDD pievienoties ES </w:t>
      </w:r>
      <w:proofErr w:type="spellStart"/>
      <w:r w:rsidRPr="00725A5E">
        <w:rPr>
          <w:kern w:val="2"/>
          <w14:ligatures w14:val="standardContextual"/>
        </w:rPr>
        <w:t>Pārredzamības</w:t>
      </w:r>
      <w:proofErr w:type="spellEnd"/>
      <w:r w:rsidRPr="00725A5E">
        <w:rPr>
          <w:kern w:val="2"/>
          <w14:ligatures w14:val="standardContextual"/>
        </w:rPr>
        <w:t xml:space="preserve"> reģistram, lai saskaņotu savu praksi ar Parlamentu un Komisiju, nodrošinot lobēšanas darbību un finansiālo interešu pilnīgu atklāšanu saistībā ar aizsardzību un diplomātiskiem jautājumiem;</w:t>
      </w:r>
    </w:p>
    <w:p w14:paraId="7A3D4B3A" w14:textId="77777777" w:rsidR="00725A5E" w:rsidRPr="00725A5E" w:rsidRDefault="00725A5E" w:rsidP="00725A5E">
      <w:pPr>
        <w:spacing w:after="240"/>
        <w:ind w:left="567" w:hanging="567"/>
        <w:rPr>
          <w:b/>
          <w:iCs/>
          <w:kern w:val="2"/>
          <w14:ligatures w14:val="standardContextual"/>
        </w:rPr>
      </w:pPr>
      <w:proofErr w:type="spellStart"/>
      <w:r w:rsidRPr="00725A5E">
        <w:rPr>
          <w:b/>
          <w:iCs/>
          <w:kern w:val="2"/>
          <w14:ligatures w14:val="standardContextual"/>
        </w:rPr>
        <w:t>Digitalizācija</w:t>
      </w:r>
      <w:proofErr w:type="spellEnd"/>
      <w:r w:rsidRPr="00725A5E">
        <w:rPr>
          <w:b/>
          <w:iCs/>
          <w:kern w:val="2"/>
          <w14:ligatures w14:val="standardContextual"/>
        </w:rPr>
        <w:t xml:space="preserve">, </w:t>
      </w:r>
      <w:proofErr w:type="spellStart"/>
      <w:r w:rsidRPr="00725A5E">
        <w:rPr>
          <w:b/>
          <w:iCs/>
          <w:kern w:val="2"/>
          <w14:ligatures w14:val="standardContextual"/>
        </w:rPr>
        <w:t>kiberdrošība</w:t>
      </w:r>
      <w:proofErr w:type="spellEnd"/>
      <w:r w:rsidRPr="00725A5E">
        <w:rPr>
          <w:b/>
          <w:iCs/>
          <w:kern w:val="2"/>
          <w14:ligatures w14:val="standardContextual"/>
        </w:rPr>
        <w:t xml:space="preserve"> un datu aizsardzība</w:t>
      </w:r>
    </w:p>
    <w:p w14:paraId="1C7BF452"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59.</w:t>
      </w:r>
      <w:r w:rsidRPr="00725A5E">
        <w:rPr>
          <w:kern w:val="2"/>
          <w14:ligatures w14:val="standardContextual"/>
        </w:rPr>
        <w:tab/>
        <w:t xml:space="preserve">norāda, ka izdevumi IT projektiem, aprīkojumam un </w:t>
      </w:r>
      <w:proofErr w:type="spellStart"/>
      <w:r w:rsidRPr="00725A5E">
        <w:rPr>
          <w:kern w:val="2"/>
          <w14:ligatures w14:val="standardContextual"/>
        </w:rPr>
        <w:t>kiberdrošībai</w:t>
      </w:r>
      <w:proofErr w:type="spellEnd"/>
      <w:r w:rsidRPr="00725A5E">
        <w:rPr>
          <w:kern w:val="2"/>
          <w14:ligatures w14:val="standardContextual"/>
        </w:rPr>
        <w:t xml:space="preserve"> pieauga no 19,7 miljoniem EUR 2022. gadā līdz 29,9 miljoniem EUR 2023. gadā, kas atbilst 52 % pieaugumam; norāda, ka 2023. gadā EĀDD uzsāka svarīgus </w:t>
      </w:r>
      <w:proofErr w:type="spellStart"/>
      <w:r w:rsidRPr="00725A5E">
        <w:rPr>
          <w:kern w:val="2"/>
          <w14:ligatures w14:val="standardContextual"/>
        </w:rPr>
        <w:t>digitalizācijas</w:t>
      </w:r>
      <w:proofErr w:type="spellEnd"/>
      <w:r w:rsidRPr="00725A5E">
        <w:rPr>
          <w:kern w:val="2"/>
          <w14:ligatures w14:val="standardContextual"/>
        </w:rPr>
        <w:t xml:space="preserve"> projektus, piemēram, sadarbības platformu “HIVE” visiem lietotājiem galvenajā mītnē un delegācijās, un ieviesa savu korporatīvo klasificēto sakaru un informācijas sistēmu (</w:t>
      </w:r>
      <w:r w:rsidRPr="00725A5E">
        <w:rPr>
          <w:i/>
          <w:kern w:val="2"/>
          <w14:ligatures w14:val="standardContextual"/>
        </w:rPr>
        <w:t>EC3IS</w:t>
      </w:r>
      <w:r w:rsidRPr="00725A5E">
        <w:rPr>
          <w:kern w:val="2"/>
          <w14:ligatures w14:val="standardContextual"/>
        </w:rPr>
        <w:t xml:space="preserve">) EĀDD galvenajā mītnē, pirms tā pakāpeniski tiks ieviesta </w:t>
      </w:r>
      <w:proofErr w:type="spellStart"/>
      <w:r w:rsidRPr="00725A5E">
        <w:rPr>
          <w:kern w:val="2"/>
          <w14:ligatures w14:val="standardContextual"/>
        </w:rPr>
        <w:t>sensitīvās</w:t>
      </w:r>
      <w:proofErr w:type="spellEnd"/>
      <w:r w:rsidRPr="00725A5E">
        <w:rPr>
          <w:kern w:val="2"/>
          <w14:ligatures w14:val="standardContextual"/>
        </w:rPr>
        <w:t xml:space="preserve"> delegācijās un savienota ar attiecīgajām Komisijas un Padomes sistēmām;</w:t>
      </w:r>
    </w:p>
    <w:p w14:paraId="5A58B831"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60.</w:t>
      </w:r>
      <w:r w:rsidRPr="00725A5E">
        <w:rPr>
          <w:kern w:val="2"/>
          <w14:ligatures w14:val="standardContextual"/>
        </w:rPr>
        <w:tab/>
        <w:t>norāda, ka 2023. gadā EĀDD sāka mitināt un kontrolēt MI vidi, kas ļautu ieviest pilnīgu MI pārvaldības modeli; norāda, ka šis tehniskais posms radīja pamatu tam, lai 2024. gadā tiktu pieņemtas pamatnostādnes par ģeneratīva MI izmantošanu un MI stratēģija, kā arī koncepcijas pierādījumu izmantošanai; prasa informēt Parlamentu par MI stratēģijas izstrādāšanu;</w:t>
      </w:r>
    </w:p>
    <w:p w14:paraId="189F17CE"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61.</w:t>
      </w:r>
      <w:r w:rsidRPr="00725A5E">
        <w:rPr>
          <w:kern w:val="2"/>
          <w14:ligatures w14:val="standardContextual"/>
        </w:rPr>
        <w:tab/>
        <w:t xml:space="preserve">norāda, ka, īstenojot 2022. gadā pieņemto Stratēģisko kompasu drošībai un aizsardzībai, EĀDD bija iesaistīts svarīgu politikas dokumentu un instrumentu kopumu pieņemšanā, kas cita starpā saistīti ar </w:t>
      </w:r>
      <w:proofErr w:type="spellStart"/>
      <w:r w:rsidRPr="00725A5E">
        <w:rPr>
          <w:kern w:val="2"/>
          <w14:ligatures w14:val="standardContextual"/>
        </w:rPr>
        <w:t>kiberaizsardzību</w:t>
      </w:r>
      <w:proofErr w:type="spellEnd"/>
      <w:r w:rsidRPr="00725A5E">
        <w:rPr>
          <w:kern w:val="2"/>
          <w14:ligatures w14:val="standardContextual"/>
        </w:rPr>
        <w:t xml:space="preserve">, </w:t>
      </w:r>
      <w:proofErr w:type="spellStart"/>
      <w:r w:rsidRPr="00725A5E">
        <w:rPr>
          <w:kern w:val="2"/>
          <w14:ligatures w14:val="standardContextual"/>
        </w:rPr>
        <w:t>kiberdiplomātiju</w:t>
      </w:r>
      <w:proofErr w:type="spellEnd"/>
      <w:r w:rsidRPr="00725A5E">
        <w:rPr>
          <w:kern w:val="2"/>
          <w14:ligatures w14:val="standardContextual"/>
        </w:rPr>
        <w:t xml:space="preserve">, </w:t>
      </w:r>
      <w:proofErr w:type="spellStart"/>
      <w:r w:rsidRPr="00725A5E">
        <w:rPr>
          <w:kern w:val="2"/>
          <w14:ligatures w14:val="standardContextual"/>
        </w:rPr>
        <w:t>hibrīddraudiem</w:t>
      </w:r>
      <w:proofErr w:type="spellEnd"/>
      <w:r w:rsidRPr="00725A5E">
        <w:rPr>
          <w:kern w:val="2"/>
          <w14:ligatures w14:val="standardContextual"/>
        </w:rPr>
        <w:t xml:space="preserve">, ārvalstu iejaukšanos un manipulāciju ar informāciju; norāda, ka EĀDD iekšēji turpināja uzlabot savas </w:t>
      </w:r>
      <w:proofErr w:type="spellStart"/>
      <w:r w:rsidRPr="00725A5E">
        <w:rPr>
          <w:kern w:val="2"/>
          <w14:ligatures w14:val="standardContextual"/>
        </w:rPr>
        <w:t>kiberdrošības</w:t>
      </w:r>
      <w:proofErr w:type="spellEnd"/>
      <w:r w:rsidRPr="00725A5E">
        <w:rPr>
          <w:kern w:val="2"/>
          <w14:ligatures w14:val="standardContextual"/>
        </w:rPr>
        <w:t xml:space="preserve"> spējas, pieņemot darbā specializētus darbiniekus, un nodrošināt </w:t>
      </w:r>
      <w:proofErr w:type="spellStart"/>
      <w:r w:rsidRPr="00725A5E">
        <w:rPr>
          <w:kern w:val="2"/>
          <w14:ligatures w14:val="standardContextual"/>
        </w:rPr>
        <w:t>kiberizpratnes</w:t>
      </w:r>
      <w:proofErr w:type="spellEnd"/>
      <w:r w:rsidRPr="00725A5E">
        <w:rPr>
          <w:kern w:val="2"/>
          <w14:ligatures w14:val="standardContextual"/>
        </w:rPr>
        <w:t xml:space="preserve"> veicināšanas pasākumus dažādām auditorijām, tai skaitā drošības pārvaldības komandai, delegāciju locekļiem, </w:t>
      </w:r>
      <w:proofErr w:type="spellStart"/>
      <w:r w:rsidRPr="00725A5E">
        <w:rPr>
          <w:kern w:val="2"/>
          <w14:ligatures w14:val="standardContextual"/>
        </w:rPr>
        <w:t>jaunpienācējiem</w:t>
      </w:r>
      <w:proofErr w:type="spellEnd"/>
      <w:r w:rsidRPr="00725A5E">
        <w:rPr>
          <w:kern w:val="2"/>
          <w14:ligatures w14:val="standardContextual"/>
        </w:rPr>
        <w:t xml:space="preserve"> un vadītājiem; prasa EĀDD nodrošināt regulāru obligātu </w:t>
      </w:r>
      <w:proofErr w:type="spellStart"/>
      <w:r w:rsidRPr="00725A5E">
        <w:rPr>
          <w:kern w:val="2"/>
          <w14:ligatures w14:val="standardContextual"/>
        </w:rPr>
        <w:t>kiberdrošības</w:t>
      </w:r>
      <w:proofErr w:type="spellEnd"/>
      <w:r w:rsidRPr="00725A5E">
        <w:rPr>
          <w:kern w:val="2"/>
          <w14:ligatures w14:val="standardContextual"/>
        </w:rPr>
        <w:t xml:space="preserve"> apmācību visiem darbiniekiem;</w:t>
      </w:r>
      <w:r w:rsidRPr="00725A5E">
        <w:rPr>
          <w:color w:val="FF0000"/>
          <w:kern w:val="2"/>
          <w14:ligatures w14:val="standardContextual"/>
        </w:rPr>
        <w:t xml:space="preserve"> </w:t>
      </w:r>
      <w:r w:rsidRPr="00725A5E">
        <w:rPr>
          <w:kern w:val="2"/>
          <w14:ligatures w14:val="standardContextual"/>
        </w:rPr>
        <w:t xml:space="preserve">tāpat aicina palielināt Savienības atbalstu Moldovai dezinformācijas, </w:t>
      </w:r>
      <w:proofErr w:type="spellStart"/>
      <w:r w:rsidRPr="00725A5E">
        <w:rPr>
          <w:kern w:val="2"/>
          <w14:ligatures w14:val="standardContextual"/>
        </w:rPr>
        <w:t>hibrīddraudu</w:t>
      </w:r>
      <w:proofErr w:type="spellEnd"/>
      <w:r w:rsidRPr="00725A5E">
        <w:rPr>
          <w:kern w:val="2"/>
          <w14:ligatures w14:val="standardContextual"/>
        </w:rPr>
        <w:t xml:space="preserve"> un kiberuzbrukumu apkarošanā; aicina Savienības delegāciju Moldovā pastiprināt centienus, lai veicinātu </w:t>
      </w:r>
      <w:proofErr w:type="spellStart"/>
      <w:r w:rsidRPr="00725A5E">
        <w:rPr>
          <w:kern w:val="2"/>
          <w14:ligatures w14:val="standardContextual"/>
        </w:rPr>
        <w:t>proaktīvāku</w:t>
      </w:r>
      <w:proofErr w:type="spellEnd"/>
      <w:r w:rsidRPr="00725A5E">
        <w:rPr>
          <w:kern w:val="2"/>
          <w14:ligatures w14:val="standardContextual"/>
        </w:rPr>
        <w:t xml:space="preserve"> un efektīvāku komunikācijas stratēģiju attiecībā uz Eiropas perspektīvu, tostarp saziņu krievu valodā;</w:t>
      </w:r>
    </w:p>
    <w:p w14:paraId="2A60F1CF"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62.</w:t>
      </w:r>
      <w:r w:rsidRPr="00725A5E">
        <w:rPr>
          <w:kern w:val="2"/>
          <w14:ligatures w14:val="standardContextual"/>
        </w:rPr>
        <w:tab/>
        <w:t>atzinīgi vērtē ES partnerības misijas Moldovā (</w:t>
      </w:r>
      <w:r w:rsidRPr="00725A5E">
        <w:rPr>
          <w:i/>
          <w:iCs/>
          <w:kern w:val="2"/>
          <w14:ligatures w14:val="standardContextual"/>
        </w:rPr>
        <w:t>EUPM Moldova</w:t>
      </w:r>
      <w:r w:rsidRPr="00725A5E">
        <w:rPr>
          <w:kern w:val="2"/>
          <w14:ligatures w14:val="standardContextual"/>
        </w:rPr>
        <w:t xml:space="preserve">) izveidi; uzsver </w:t>
      </w:r>
      <w:r w:rsidRPr="00725A5E">
        <w:rPr>
          <w:i/>
          <w:iCs/>
          <w:kern w:val="2"/>
          <w14:ligatures w14:val="standardContextual"/>
        </w:rPr>
        <w:t>EUPM Moldova</w:t>
      </w:r>
      <w:r w:rsidRPr="00725A5E">
        <w:rPr>
          <w:kern w:val="2"/>
          <w14:ligatures w14:val="standardContextual"/>
        </w:rPr>
        <w:t xml:space="preserve"> būtisko nozīmi un aicina ES un tās dalībvalstis pagarināt misijas pilnvaras pēc 2025. gada maija, vienlaikus palielinot resursus misijas efektivitātes uzlabošanai;</w:t>
      </w:r>
    </w:p>
    <w:p w14:paraId="64295FF9"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63.</w:t>
      </w:r>
      <w:r w:rsidRPr="00725A5E">
        <w:rPr>
          <w:kern w:val="2"/>
          <w14:ligatures w14:val="standardContextual"/>
        </w:rPr>
        <w:tab/>
        <w:t>ar bažām norāda, ka 2023. gadā EĀDD, izmantojot drošības incidentu un notikumu uzraudzības sistēmu (</w:t>
      </w:r>
      <w:r w:rsidRPr="00725A5E">
        <w:rPr>
          <w:i/>
          <w:iCs/>
          <w:kern w:val="2"/>
          <w14:ligatures w14:val="standardContextual"/>
        </w:rPr>
        <w:t>SIEM</w:t>
      </w:r>
      <w:r w:rsidRPr="00725A5E">
        <w:rPr>
          <w:kern w:val="2"/>
          <w14:ligatures w14:val="standardContextual"/>
        </w:rPr>
        <w:t xml:space="preserve">), ir reģistrējis vairāk nekā 29 623 </w:t>
      </w:r>
      <w:proofErr w:type="spellStart"/>
      <w:r w:rsidRPr="00725A5E">
        <w:rPr>
          <w:kern w:val="2"/>
          <w14:ligatures w14:val="standardContextual"/>
        </w:rPr>
        <w:t>kiberziņojumus</w:t>
      </w:r>
      <w:proofErr w:type="spellEnd"/>
      <w:r w:rsidRPr="00725A5E">
        <w:rPr>
          <w:kern w:val="2"/>
          <w14:ligatures w14:val="standardContextual"/>
        </w:rPr>
        <w:t>, no kuriem 92 incidenti tika apstiprināti kā kiberuzbrukumi; norāda, ka četri kiberuzbrukumi ietekmēja EĀDD operācijas un tikai vienam bija būtiskas sekas; brīdina, ka EĀDD, ļoti iespējams, ir mērķis dalībniekiem, kuriem ir pienācīgi resursi, tostarp tiem, kurus sponsorē ārvalstis un kuri cenšas sagraut Savienības iestādes; norāda, ka EĀDD Drošības operāciju centram (</w:t>
      </w:r>
      <w:r w:rsidRPr="00725A5E">
        <w:rPr>
          <w:i/>
          <w:kern w:val="2"/>
          <w14:ligatures w14:val="standardContextual"/>
        </w:rPr>
        <w:t>SOC</w:t>
      </w:r>
      <w:r w:rsidRPr="00725A5E">
        <w:rPr>
          <w:kern w:val="2"/>
          <w14:ligatures w14:val="standardContextual"/>
        </w:rPr>
        <w:t xml:space="preserve">) ir būtiska nozīme reāllaika draudu uzraudzībā un sistēmas ievainojamību apzināšanā; prasa EĀDD arī turpmāk apsvērt lietotāju </w:t>
      </w:r>
      <w:proofErr w:type="spellStart"/>
      <w:r w:rsidRPr="00725A5E">
        <w:rPr>
          <w:kern w:val="2"/>
          <w14:ligatures w14:val="standardContextual"/>
        </w:rPr>
        <w:t>kiberdisciplīnas</w:t>
      </w:r>
      <w:proofErr w:type="spellEnd"/>
      <w:r w:rsidRPr="00725A5E">
        <w:rPr>
          <w:kern w:val="2"/>
          <w14:ligatures w14:val="standardContextual"/>
        </w:rPr>
        <w:t xml:space="preserve"> un </w:t>
      </w:r>
      <w:proofErr w:type="spellStart"/>
      <w:r w:rsidRPr="00725A5E">
        <w:rPr>
          <w:kern w:val="2"/>
          <w14:ligatures w14:val="standardContextual"/>
        </w:rPr>
        <w:t>kiberdrošības</w:t>
      </w:r>
      <w:proofErr w:type="spellEnd"/>
      <w:r w:rsidRPr="00725A5E">
        <w:rPr>
          <w:kern w:val="2"/>
          <w14:ligatures w14:val="standardContextual"/>
        </w:rPr>
        <w:t xml:space="preserve"> izpratnes nepieciešamību kā galvenos elementus savā </w:t>
      </w:r>
      <w:proofErr w:type="spellStart"/>
      <w:r w:rsidRPr="00725A5E">
        <w:rPr>
          <w:kern w:val="2"/>
          <w14:ligatures w14:val="standardContextual"/>
        </w:rPr>
        <w:t>kiberdrošības</w:t>
      </w:r>
      <w:proofErr w:type="spellEnd"/>
      <w:r w:rsidRPr="00725A5E">
        <w:rPr>
          <w:kern w:val="2"/>
          <w14:ligatures w14:val="standardContextual"/>
        </w:rPr>
        <w:t xml:space="preserve"> sistēmā; uzsver, ka ir svarīgi, lai EĀDD turpinātu piešķirt prioritāti </w:t>
      </w:r>
      <w:proofErr w:type="spellStart"/>
      <w:r w:rsidRPr="00725A5E">
        <w:rPr>
          <w:kern w:val="2"/>
          <w14:ligatures w14:val="standardContextual"/>
        </w:rPr>
        <w:t>kiberdrošībai</w:t>
      </w:r>
      <w:proofErr w:type="spellEnd"/>
      <w:r w:rsidRPr="00725A5E">
        <w:rPr>
          <w:kern w:val="2"/>
          <w14:ligatures w14:val="standardContextual"/>
        </w:rPr>
        <w:t xml:space="preserve"> un </w:t>
      </w:r>
      <w:proofErr w:type="spellStart"/>
      <w:r w:rsidRPr="00725A5E">
        <w:rPr>
          <w:kern w:val="2"/>
          <w14:ligatures w14:val="standardContextual"/>
        </w:rPr>
        <w:t>hibrīddraudu</w:t>
      </w:r>
      <w:proofErr w:type="spellEnd"/>
      <w:r w:rsidRPr="00725A5E">
        <w:rPr>
          <w:kern w:val="2"/>
          <w14:ligatures w14:val="standardContextual"/>
        </w:rPr>
        <w:t xml:space="preserve"> mazināšanai, vienlaikus cieši sadarbojoties ar </w:t>
      </w:r>
      <w:r w:rsidRPr="00725A5E">
        <w:rPr>
          <w:kern w:val="2"/>
          <w14:ligatures w14:val="standardContextual"/>
        </w:rPr>
        <w:lastRenderedPageBreak/>
        <w:t>citām Savienības iestādēm un dalībvalstīm, lai identificētu un apkarotu šādus apdraudējumus;</w:t>
      </w:r>
    </w:p>
    <w:p w14:paraId="2253C221" w14:textId="77777777" w:rsidR="00725A5E" w:rsidRPr="00725A5E" w:rsidRDefault="00725A5E" w:rsidP="00725A5E">
      <w:pPr>
        <w:spacing w:after="240"/>
        <w:ind w:left="567" w:hanging="567"/>
        <w:rPr>
          <w:kern w:val="2"/>
          <w:szCs w:val="23"/>
          <w14:ligatures w14:val="standardContextual"/>
        </w:rPr>
      </w:pPr>
      <w:r w:rsidRPr="00725A5E">
        <w:rPr>
          <w:kern w:val="2"/>
          <w14:ligatures w14:val="standardContextual"/>
        </w:rPr>
        <w:t>64.</w:t>
      </w:r>
      <w:r w:rsidRPr="00725A5E">
        <w:rPr>
          <w:kern w:val="2"/>
          <w14:ligatures w14:val="standardContextual"/>
        </w:rPr>
        <w:tab/>
        <w:t xml:space="preserve">norāda, ka EĀDD 2023. gadā veica turpmākus pasākumus saistībā ar vienu Eiropas Datu aizsardzības uzraudzītāja pieprasījumu pēc kāda darbinieka lūguma par viņa/viņas personas datu publicēšanu ES tiešsaistes direktorijā; norāda, ka lieta, kas tiek izskatīta kopš 2018. gada, tika izskatīta 2023. gadā un slēgta 2024. gadā, un tās iznākums EĀDD bija pozitīvs; ņem vērā izpratnes veicināšanas pasākumus un norādījumus, ko EĀDD izdevis, lai nodrošinātu vienlīdzīgus konkurences apstākļus datu aizsardzības jomā visā tā tīklā, it īpaši kopīgo rokasgrāmatu par trešo personu MI rīku izmantošanu no datu aizsardzības un </w:t>
      </w:r>
      <w:proofErr w:type="spellStart"/>
      <w:r w:rsidRPr="00725A5E">
        <w:rPr>
          <w:kern w:val="2"/>
          <w14:ligatures w14:val="standardContextual"/>
        </w:rPr>
        <w:t>kiberdrošības</w:t>
      </w:r>
      <w:proofErr w:type="spellEnd"/>
      <w:r w:rsidRPr="00725A5E">
        <w:rPr>
          <w:kern w:val="2"/>
          <w14:ligatures w14:val="standardContextual"/>
        </w:rPr>
        <w:t xml:space="preserve"> divkāršās perspektīvas;</w:t>
      </w:r>
    </w:p>
    <w:p w14:paraId="024B2A55"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65.</w:t>
      </w:r>
      <w:r w:rsidRPr="00725A5E">
        <w:rPr>
          <w:kern w:val="2"/>
          <w14:ligatures w14:val="standardContextual"/>
        </w:rPr>
        <w:tab/>
        <w:t xml:space="preserve">norāda, ka 2023. gadā EĀDD prioritāte joprojām bija cīņa pret </w:t>
      </w:r>
      <w:r w:rsidRPr="00725A5E">
        <w:rPr>
          <w:i/>
          <w:iCs/>
          <w:kern w:val="2"/>
          <w14:ligatures w14:val="standardContextual"/>
        </w:rPr>
        <w:t>FIMI</w:t>
      </w:r>
      <w:r w:rsidRPr="00725A5E">
        <w:rPr>
          <w:kern w:val="2"/>
          <w14:ligatures w14:val="standardContextual"/>
        </w:rPr>
        <w:t xml:space="preserve">; atzinīgi vērtē to, ka Eiropadome 2023. gada decembrī apstiprināja </w:t>
      </w:r>
      <w:r w:rsidRPr="00725A5E">
        <w:rPr>
          <w:i/>
          <w:kern w:val="2"/>
          <w14:ligatures w14:val="standardContextual"/>
        </w:rPr>
        <w:t>FIMI</w:t>
      </w:r>
      <w:r w:rsidRPr="00725A5E">
        <w:rPr>
          <w:kern w:val="2"/>
          <w14:ligatures w14:val="standardContextual"/>
        </w:rPr>
        <w:t xml:space="preserve"> rīkkopu, pamatojoties uz tādiem pīlāriem kā situācijas apzināšanās, noturības veidošana, traucējumi un diplomātiska reakcija; norāda, ka 2023. gadā EĀDD palielināja savas analītiskās spējas vākt </w:t>
      </w:r>
      <w:r w:rsidRPr="00725A5E">
        <w:rPr>
          <w:i/>
          <w:kern w:val="2"/>
          <w14:ligatures w14:val="standardContextual"/>
        </w:rPr>
        <w:t>FIMI</w:t>
      </w:r>
      <w:r w:rsidRPr="00725A5E">
        <w:rPr>
          <w:kern w:val="2"/>
          <w14:ligatures w14:val="standardContextual"/>
        </w:rPr>
        <w:t xml:space="preserve"> pierādījumus un veidot atbildes reakciju uz arvien pieaugošo incidentu un draudu skaitu, it īpaši gatavojoties 2024. gada Eiropas Parlamenta vēlēšanām; norāda, ka EĀDD ir arī uzsācis jaunus </w:t>
      </w:r>
      <w:proofErr w:type="spellStart"/>
      <w:r w:rsidRPr="00725A5E">
        <w:rPr>
          <w:kern w:val="2"/>
          <w14:ligatures w14:val="standardContextual"/>
        </w:rPr>
        <w:t>pamatprojektus</w:t>
      </w:r>
      <w:proofErr w:type="spellEnd"/>
      <w:r w:rsidRPr="00725A5E">
        <w:rPr>
          <w:kern w:val="2"/>
          <w14:ligatures w14:val="standardContextual"/>
        </w:rPr>
        <w:t xml:space="preserve">, kuru mērķis ir palielināt informētību un apkarot Krievijas dezinformāciju, piemēram, iniciatīvu </w:t>
      </w:r>
      <w:proofErr w:type="spellStart"/>
      <w:r w:rsidRPr="00725A5E">
        <w:rPr>
          <w:i/>
          <w:iCs/>
          <w:kern w:val="2"/>
          <w14:ligatures w14:val="standardContextual"/>
        </w:rPr>
        <w:t>EUvsDisinfo</w:t>
      </w:r>
      <w:proofErr w:type="spellEnd"/>
      <w:r w:rsidRPr="00725A5E">
        <w:rPr>
          <w:kern w:val="2"/>
          <w14:ligatures w14:val="standardContextual"/>
        </w:rPr>
        <w:t xml:space="preserve">, kas 2023. gadā sasniedza aptuveni 20,3 miljonus cilvēku, un izveidot ilgtspējīgas partnerības </w:t>
      </w:r>
      <w:r w:rsidRPr="00725A5E">
        <w:rPr>
          <w:i/>
          <w:iCs/>
          <w:kern w:val="2"/>
          <w14:ligatures w14:val="standardContextual"/>
        </w:rPr>
        <w:t>FIMI</w:t>
      </w:r>
      <w:r w:rsidRPr="00725A5E">
        <w:rPr>
          <w:kern w:val="2"/>
          <w14:ligatures w14:val="standardContextual"/>
        </w:rPr>
        <w:t xml:space="preserve"> apkarošanai visā pasaulē; aicina EĀDD kopā ar Komisiju atvēlēt pietiekamus resursus efektīvai cīņai pret </w:t>
      </w:r>
      <w:r w:rsidRPr="00725A5E">
        <w:rPr>
          <w:i/>
          <w:iCs/>
          <w:kern w:val="2"/>
          <w14:ligatures w14:val="standardContextual"/>
        </w:rPr>
        <w:t>FIMI</w:t>
      </w:r>
      <w:r w:rsidRPr="00725A5E">
        <w:rPr>
          <w:kern w:val="2"/>
          <w14:ligatures w14:val="standardContextual"/>
        </w:rPr>
        <w:t xml:space="preserve">; atbalsta solīto “Eiropas demokrātijas vairoga” izveidi, lai atklātu, izsekotu un dzēstu maldinošu tiešsaistes saturu, tādējādi stiprinot Savienības spēju cīnīties pret </w:t>
      </w:r>
      <w:r w:rsidRPr="00725A5E">
        <w:rPr>
          <w:i/>
          <w:iCs/>
          <w:kern w:val="2"/>
          <w14:ligatures w14:val="standardContextual"/>
        </w:rPr>
        <w:t>FIMI</w:t>
      </w:r>
      <w:r w:rsidRPr="00725A5E">
        <w:rPr>
          <w:kern w:val="2"/>
          <w14:ligatures w14:val="standardContextual"/>
        </w:rPr>
        <w:t xml:space="preserve"> un palielinot atbalstu demokrātijas aizsardzībai trešās valstīs, jo īpaši Savienības kaimiņvalstīs; aicina EĀDD un Savienības delegācijas trešās valstīs vēl vairāk stiprināt savas attiecīgās spējas cīņā pret dezinformāciju un propagandu, kas saistīta ar ES KĀDP un; aicina EĀDD pastiprināt centienus, lai dotu iespēju iedzīvotājiem no visas Savienības cīnīties pret ārvalstu īstenotu informācijas manipulāciju un iejaukšanos;</w:t>
      </w:r>
    </w:p>
    <w:p w14:paraId="18A3B727" w14:textId="77777777" w:rsidR="00725A5E" w:rsidRPr="00725A5E" w:rsidRDefault="00725A5E" w:rsidP="00725A5E">
      <w:pPr>
        <w:spacing w:after="240"/>
        <w:ind w:left="567" w:hanging="567"/>
        <w:rPr>
          <w:b/>
          <w:iCs/>
          <w:kern w:val="2"/>
          <w14:ligatures w14:val="standardContextual"/>
        </w:rPr>
      </w:pPr>
      <w:r w:rsidRPr="00725A5E">
        <w:rPr>
          <w:b/>
          <w:iCs/>
          <w:kern w:val="2"/>
          <w14:ligatures w14:val="standardContextual"/>
        </w:rPr>
        <w:t>Ēkas un drošība</w:t>
      </w:r>
    </w:p>
    <w:p w14:paraId="5BB6167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66.</w:t>
      </w:r>
      <w:r w:rsidRPr="00725A5E">
        <w:rPr>
          <w:kern w:val="2"/>
          <w14:ligatures w14:val="standardContextual"/>
        </w:rPr>
        <w:tab/>
        <w:t>norāda, ka 2023. gadā budžeta pozīcija 3 0 0 3 attiecībā uz ēkām un saistītajām izmaksām tika palielināta par 19 miljoniem EUR, taču svarīgi uzturēšanas darbi tomēr tika atlikti; pauž dziļas bažas par to, ka uzturēšanas un drošības vajadzību uzkrāšanās rada ievērojamas problēmas EĀDD attiecībā uz to, kā droši un efektīvi pārvaldīt delegāciju tīklu un pildīt rūpības pienākumu attiecībā uz delegācijās norīkotajiem darbiniekiem; prasa EĀDD izstrādāt daudzgadu ārkārtas rīcības plānus ēku uzturēšanai un drošībai;</w:t>
      </w:r>
    </w:p>
    <w:p w14:paraId="7388555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67.</w:t>
      </w:r>
      <w:r w:rsidRPr="00725A5E">
        <w:rPr>
          <w:kern w:val="2"/>
          <w14:ligatures w14:val="standardContextual"/>
        </w:rPr>
        <w:tab/>
        <w:t>norāda, ka EĀDD aizņem un pārvalda nekustamo īpašumu, kura platība ir aptuveni 87 618 m</w:t>
      </w:r>
      <w:r w:rsidRPr="00725A5E">
        <w:rPr>
          <w:kern w:val="2"/>
          <w:vertAlign w:val="superscript"/>
          <w14:ligatures w14:val="standardContextual"/>
        </w:rPr>
        <w:t>2</w:t>
      </w:r>
      <w:r w:rsidRPr="00725A5E">
        <w:rPr>
          <w:kern w:val="2"/>
          <w14:ligatures w14:val="standardContextual"/>
        </w:rPr>
        <w:t xml:space="preserve"> EĀDD galvenajā mītnē un 379 300 m</w:t>
      </w:r>
      <w:r w:rsidRPr="00725A5E">
        <w:rPr>
          <w:kern w:val="2"/>
          <w:vertAlign w:val="superscript"/>
          <w14:ligatures w14:val="standardContextual"/>
        </w:rPr>
        <w:t>2</w:t>
      </w:r>
      <w:r w:rsidRPr="00725A5E">
        <w:rPr>
          <w:kern w:val="2"/>
          <w14:ligatures w14:val="standardContextual"/>
        </w:rPr>
        <w:t xml:space="preserve"> visā pasaulē ar 174 biroju ēkām un 152 vēstnieku rezidencēm; norāda, ka 2023. gadā EĀDD iesniedza budžeta lēmējinstitūcijai darba dokumentu, kurā izklāstīta tā iegādes politika, kas pašlaik ir 22 % no biroju ēkām un 20 % no vēstnieku rezidencēm, tādējādi panākot vislabāko cenas un vērtības attiecību;</w:t>
      </w:r>
    </w:p>
    <w:p w14:paraId="503E54A7"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68.</w:t>
      </w:r>
      <w:r w:rsidRPr="00725A5E">
        <w:rPr>
          <w:kern w:val="2"/>
          <w14:ligatures w14:val="standardContextual"/>
        </w:rPr>
        <w:tab/>
        <w:t xml:space="preserve">norāda, ka 2023. gada aprīļa dokuments par nekustamā īpašuma iegādes politiku Savienības delegācijām un darba dokuments par EĀDD nekustamā īpašuma politiku 2024. gadam ir izstrādāti ar mērķi ir panākt Savienības budžetam visizdevīgāko </w:t>
      </w:r>
      <w:r w:rsidRPr="00725A5E">
        <w:rPr>
          <w:kern w:val="2"/>
          <w14:ligatures w14:val="standardContextual"/>
        </w:rPr>
        <w:lastRenderedPageBreak/>
        <w:t>ilgtermiņa risinājumu; uzsver, ka nevienā no šiem dokumentiem nav iekļautas idejas par delegāciju skaita samazināšanu vai reģionālo centru izveidi; mudina EĀDD informēt Parlamentu par jebkādām iespējamām turpmākām norisēm šajā virzienā;</w:t>
      </w:r>
    </w:p>
    <w:p w14:paraId="02425C1E"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69.</w:t>
      </w:r>
      <w:r w:rsidRPr="00725A5E">
        <w:rPr>
          <w:kern w:val="2"/>
          <w14:ligatures w14:val="standardContextual"/>
        </w:rPr>
        <w:tab/>
        <w:t xml:space="preserve">aicina EĀDD saglabāt savu svarīgo delegāciju tīklu visā pasaulē ar pietiekamu darbinieku skaitu, lai uzlabotu tā spēju sazināties ar </w:t>
      </w:r>
      <w:proofErr w:type="spellStart"/>
      <w:r w:rsidRPr="00725A5E">
        <w:rPr>
          <w:kern w:val="2"/>
          <w14:ligatures w14:val="standardContextual"/>
        </w:rPr>
        <w:t>trešām</w:t>
      </w:r>
      <w:proofErr w:type="spellEnd"/>
      <w:r w:rsidRPr="00725A5E">
        <w:rPr>
          <w:kern w:val="2"/>
          <w14:ligatures w14:val="standardContextual"/>
        </w:rPr>
        <w:t xml:space="preserve"> valstīm;</w:t>
      </w:r>
    </w:p>
    <w:p w14:paraId="46D4AF62"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70.</w:t>
      </w:r>
      <w:r w:rsidRPr="00725A5E">
        <w:rPr>
          <w:kern w:val="2"/>
          <w14:ligatures w14:val="standardContextual"/>
        </w:rPr>
        <w:tab/>
        <w:t>ar bažām norāda, ka šādu budžeta ierobežojumu dēļ varētu tikt slēgts pārmērīgi liels skaits Savienības vēstniecību un uz vēlāku laiku atlikta drošības iekārtu uzstādīšana vairākās Savienības delegācijās, apgrūtinot EĀDD spēju īstenot savas pilnvaras un aizsargāt ES vērtības un pienācīgi nodrošināt pienākumu rūpēties par visiem delegāciju darbiniekiem; mudina dalībvalstis pietiekami finansēt EĀDD un Komisiju, lai nodrošinātu, ka Savienība nemainīgi saglabā savu delegāciju tīklu, tādējādi apliecinot savu globālo iesaisti;</w:t>
      </w:r>
    </w:p>
    <w:p w14:paraId="68591D31"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71.</w:t>
      </w:r>
      <w:r w:rsidRPr="00725A5E">
        <w:rPr>
          <w:kern w:val="2"/>
          <w14:ligatures w14:val="standardContextual"/>
        </w:rPr>
        <w:tab/>
        <w:t xml:space="preserve">norāda, ka EĀDD kopš 2020. gada izstrādā savu biroju pārvaldības politiku ar mērķi pāriet uz </w:t>
      </w:r>
      <w:proofErr w:type="spellStart"/>
      <w:r w:rsidRPr="00725A5E">
        <w:rPr>
          <w:kern w:val="2"/>
          <w14:ligatures w14:val="standardContextual"/>
        </w:rPr>
        <w:t>sadarbīgu</w:t>
      </w:r>
      <w:proofErr w:type="spellEnd"/>
      <w:r w:rsidRPr="00725A5E">
        <w:rPr>
          <w:kern w:val="2"/>
          <w14:ligatures w14:val="standardContextual"/>
        </w:rPr>
        <w:t xml:space="preserve"> un elastīgu biroju pārvaldības modeli gan EĀDD galvenajā mītnē, gan arī delegācijās; norāda, ka EĀDD ir uzsācis Šūmaņa ēkas kompleksa renovāciju, sākot ar 6. un 7. stāvu, nolūkā panākt biroja telpu efektīvāku izmantošanu; turklāt norāda, ka EĀDD krīzes reaģēšanas centra izveide </w:t>
      </w:r>
      <w:proofErr w:type="spellStart"/>
      <w:r w:rsidRPr="00725A5E">
        <w:rPr>
          <w:i/>
          <w:kern w:val="2"/>
          <w14:ligatures w14:val="standardContextual"/>
        </w:rPr>
        <w:t>Schuman</w:t>
      </w:r>
      <w:proofErr w:type="spellEnd"/>
      <w:r w:rsidRPr="00725A5E">
        <w:rPr>
          <w:kern w:val="2"/>
          <w14:ligatures w14:val="standardContextual"/>
        </w:rPr>
        <w:t xml:space="preserve"> ēkā tika pabeigta 2023. gadā; norāda, ka sešu delegāciju jaunajās telpās tika īstenota sadarbības telpu koncepcija;</w:t>
      </w:r>
    </w:p>
    <w:p w14:paraId="3DC1C26F"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72.</w:t>
      </w:r>
      <w:r w:rsidRPr="00725A5E">
        <w:rPr>
          <w:kern w:val="2"/>
          <w14:ligatures w14:val="standardContextual"/>
        </w:rPr>
        <w:tab/>
        <w:t xml:space="preserve">atzinīgi vērtē EĀDD centienus nodrošināt, ka tā ēkas ir pieejamas personām ar invaliditāti un ierobežotu mobilitāti; norāda, ka </w:t>
      </w:r>
      <w:proofErr w:type="spellStart"/>
      <w:r w:rsidRPr="00725A5E">
        <w:rPr>
          <w:kern w:val="2"/>
          <w14:ligatures w14:val="standardContextual"/>
        </w:rPr>
        <w:t>Belmonta</w:t>
      </w:r>
      <w:proofErr w:type="spellEnd"/>
      <w:r w:rsidRPr="00725A5E">
        <w:rPr>
          <w:kern w:val="2"/>
          <w14:ligatures w14:val="standardContextual"/>
        </w:rPr>
        <w:t xml:space="preserve"> ēka Briselē jau atbilst juridiskajām prasībām attiecībā uz ēkām bez šķēršļiem un ka NEO ēku kompleksa renovācijā ir ņemtas vērā arī lietotāju ar invaliditāti un ierobežotām pārvietošanās spējām vajadzības; atzinīgi vērtē to, ka attiecībā uz delegācijām EĀDD atlases procedūrās kā galvenais atlases kritērijs jaunām biroju ēkām ir paredzēta būvniecība bez šķēršļiem;</w:t>
      </w:r>
    </w:p>
    <w:p w14:paraId="4D4CE9CD" w14:textId="77777777" w:rsidR="00725A5E" w:rsidRPr="00725A5E" w:rsidRDefault="00725A5E" w:rsidP="00725A5E">
      <w:pPr>
        <w:spacing w:after="240"/>
        <w:ind w:left="567" w:hanging="567"/>
        <w:rPr>
          <w:b/>
          <w:iCs/>
          <w:kern w:val="2"/>
          <w14:ligatures w14:val="standardContextual"/>
        </w:rPr>
      </w:pPr>
      <w:r w:rsidRPr="00725A5E">
        <w:rPr>
          <w:b/>
          <w:iCs/>
          <w:kern w:val="2"/>
          <w14:ligatures w14:val="standardContextual"/>
        </w:rPr>
        <w:t>Vide un ilgtspēja</w:t>
      </w:r>
    </w:p>
    <w:p w14:paraId="1AB23045"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73.</w:t>
      </w:r>
      <w:r w:rsidRPr="00725A5E">
        <w:rPr>
          <w:kern w:val="2"/>
          <w14:ligatures w14:val="standardContextual"/>
        </w:rPr>
        <w:tab/>
        <w:t>atzinīgi vērtē to, ka 2023. gadā EĀDD turpināja īstenot vides vadības un audita sistēmu (</w:t>
      </w:r>
      <w:r w:rsidRPr="00725A5E">
        <w:rPr>
          <w:i/>
          <w:iCs/>
          <w:kern w:val="2"/>
          <w14:ligatures w14:val="standardContextual"/>
        </w:rPr>
        <w:t>EMAS/EMS</w:t>
      </w:r>
      <w:r w:rsidRPr="00725A5E">
        <w:rPr>
          <w:kern w:val="2"/>
          <w14:ligatures w14:val="standardContextual"/>
        </w:rPr>
        <w:t>), it īpaši izveidojot Vides vadības komiteju un pieņemot vides politiku un attiecīgu komunikācijas stratēģiju, kurā uzsvērta EĀDD apņemšanās nodrošināt vides ilgtspēju nekustamā īpašuma pārvaldībā; norāda, ka EMAS koordinācijas komiteja 2023. gadā strādāja pie jauniem mērķiem, proti, līdz 2030. gadam vēl vairāk samazināt savu oglekļa pēdu; norāda, ka apstiprinātie pasākumi ietver dabasgāzes izmantošanas samazināšanu par 35 %, papīra, ūdens un atkritumu ražošanas izmantošanas samazināšanu uz pusi, tuvsatiksmes un vidēja attāluma lidojumu īpatsvara palielināšanu komandējumiem ekonomiskajā klasē un zaļā publiskā iepirkuma labāku izmantošanu;</w:t>
      </w:r>
    </w:p>
    <w:p w14:paraId="40F295E4"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74.</w:t>
      </w:r>
      <w:r w:rsidRPr="00725A5E">
        <w:rPr>
          <w:kern w:val="2"/>
          <w14:ligatures w14:val="standardContextual"/>
        </w:rPr>
        <w:tab/>
        <w:t>atzinīgi vērtē to, ka EĀDD ir sācis jaunajos nolīgumos par kopīgu atrašanās vietu ieviest ilgtspējas klauzulas, kas ietver gan obligātas darbības, gan brīvprātīgu praksi; norāda, ka attiecībā uz spēkā jau esošajiem nolīgumiem par kopīgas atrašanās vietu tā vietā, lai iekļautu skaidras vides ilgtspējas klauzulas, šādos nolīgumos kā visaptverošs princips ir minēts, ka visi kopīgā atrašanās vietā mitinātie partneri ievēro procedūras un praksi, kas piemērojama Savienības biroju telpu vietējā kontekstā;</w:t>
      </w:r>
    </w:p>
    <w:p w14:paraId="356D28F7"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75.</w:t>
      </w:r>
      <w:r w:rsidRPr="00725A5E">
        <w:rPr>
          <w:kern w:val="2"/>
          <w14:ligatures w14:val="standardContextual"/>
        </w:rPr>
        <w:tab/>
        <w:t xml:space="preserve">norāda, ka 2023. gadā EĀDD turpināja darbu pie videi nekaitīgākas </w:t>
      </w:r>
      <w:proofErr w:type="spellStart"/>
      <w:r w:rsidRPr="00725A5E">
        <w:rPr>
          <w:kern w:val="2"/>
          <w14:ligatures w14:val="standardContextual"/>
        </w:rPr>
        <w:t>svārstsatismes</w:t>
      </w:r>
      <w:proofErr w:type="spellEnd"/>
      <w:r w:rsidRPr="00725A5E">
        <w:rPr>
          <w:kern w:val="2"/>
          <w14:ligatures w14:val="standardContextual"/>
        </w:rPr>
        <w:t xml:space="preserve"> un </w:t>
      </w:r>
      <w:r w:rsidRPr="00725A5E">
        <w:rPr>
          <w:kern w:val="2"/>
          <w14:ligatures w14:val="standardContextual"/>
        </w:rPr>
        <w:lastRenderedPageBreak/>
        <w:t>ilgtspējīgākas darbinieku pārvietošanās politikas īstenošanas, kā rezultātā 2024. gadā tika pieņemti svarīgi pasākumi, piemēram, sabiedriskā transporta abonementa izdevumu atmaksāšanas likmes palielināšana līdz 90 % visiem darbiniekiem, kas atsakās no autostāvvietas izmantošanas, un noteikts mērķis panākt, lai vismaz 60 % no komandējumu laikā ar lidmašīnu nobrauktajiem kilometriem ietilptu ekonomiskās klases kategorijā;</w:t>
      </w:r>
    </w:p>
    <w:p w14:paraId="37C95D1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76.</w:t>
      </w:r>
      <w:r w:rsidRPr="00725A5E">
        <w:rPr>
          <w:kern w:val="2"/>
          <w14:ligatures w14:val="standardContextual"/>
        </w:rPr>
        <w:tab/>
        <w:t xml:space="preserve">uzsver spēcīgas politiskās iesaistes, divpusējas ietekmes, publiskās un kultūras diplomātijas nozīmi Savienības vērtību veicināšanā un dezinformācijas apkarošanā; uzsver nepieciešamību attīstīt stabilu un noturīgu ārējo dienestu ar skaidru politisko vadību, lai risinātu pašreizējās problēmas un nodrošinātu Savienības ārpolitikas saskaņotību; aicina Savienības delegācijas stiprināt atbalstu patiesiem demokrātiskiem dalībniekiem un pilsoniskajai sabiedrībai </w:t>
      </w:r>
      <w:proofErr w:type="spellStart"/>
      <w:r w:rsidRPr="00725A5E">
        <w:rPr>
          <w:kern w:val="2"/>
          <w14:ligatures w14:val="standardContextual"/>
        </w:rPr>
        <w:t>Rietumbalkānos</w:t>
      </w:r>
      <w:proofErr w:type="spellEnd"/>
      <w:r w:rsidRPr="00725A5E">
        <w:rPr>
          <w:kern w:val="2"/>
          <w14:ligatures w14:val="standardContextual"/>
        </w:rPr>
        <w:t xml:space="preserve">, kā arī stingri un publiski nosodīt neliberālu un nedemokrātisku dalībnieku darbības, kas ir pretrunā Savienības interesēm, un nodrošināt, ka </w:t>
      </w:r>
      <w:r w:rsidRPr="00725A5E">
        <w:rPr>
          <w:i/>
          <w:iCs/>
          <w:kern w:val="2"/>
          <w14:ligatures w14:val="standardContextual"/>
        </w:rPr>
        <w:t>IPA III</w:t>
      </w:r>
      <w:r w:rsidRPr="00725A5E">
        <w:rPr>
          <w:kern w:val="2"/>
          <w14:ligatures w14:val="standardContextual"/>
        </w:rPr>
        <w:t xml:space="preserve"> finansējuma īstenošana atbilst Savienības mērķiem;</w:t>
      </w:r>
      <w:r w:rsidRPr="00725A5E">
        <w:rPr>
          <w:b/>
          <w:i/>
          <w:kern w:val="2"/>
          <w14:ligatures w14:val="standardContextual"/>
        </w:rPr>
        <w:t xml:space="preserve"> </w:t>
      </w:r>
      <w:r w:rsidRPr="00725A5E">
        <w:rPr>
          <w:kern w:val="2"/>
          <w14:ligatures w14:val="standardContextual"/>
        </w:rPr>
        <w:t xml:space="preserve">aicina Savienības delegācijas reģionā piemērot uzticamāku un vairāk uz nopelniem balstītu pieeju, kuras pamatā ir Kopenhāgenas kritēriji, jo īpaši attiecībā uz tiesiskumu, demokrātiju un cilvēktiesību aizsardzību, sevišķi ņemot vērā dažu </w:t>
      </w:r>
      <w:proofErr w:type="spellStart"/>
      <w:r w:rsidRPr="00725A5E">
        <w:rPr>
          <w:kern w:val="2"/>
          <w14:ligatures w14:val="standardContextual"/>
        </w:rPr>
        <w:t>Rietumbalkānu</w:t>
      </w:r>
      <w:proofErr w:type="spellEnd"/>
      <w:r w:rsidRPr="00725A5E">
        <w:rPr>
          <w:kern w:val="2"/>
          <w14:ligatures w14:val="standardContextual"/>
        </w:rPr>
        <w:t xml:space="preserve"> valstu ierobežoto progresu;</w:t>
      </w:r>
    </w:p>
    <w:p w14:paraId="4305925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77.</w:t>
      </w:r>
      <w:r w:rsidRPr="00725A5E">
        <w:rPr>
          <w:kern w:val="2"/>
          <w14:ligatures w14:val="standardContextual"/>
        </w:rPr>
        <w:tab/>
        <w:t xml:space="preserve">atzinīgi vērtē EĀDD lielisko sadarbību ar tādām struktūrām kā </w:t>
      </w:r>
      <w:r w:rsidRPr="00725A5E">
        <w:rPr>
          <w:i/>
          <w:iCs/>
          <w:kern w:val="2"/>
          <w14:ligatures w14:val="standardContextual"/>
        </w:rPr>
        <w:t>OLAF</w:t>
      </w:r>
      <w:r w:rsidRPr="00725A5E">
        <w:rPr>
          <w:kern w:val="2"/>
          <w14:ligatures w14:val="standardContextual"/>
        </w:rPr>
        <w:t xml:space="preserve">, </w:t>
      </w:r>
      <w:r w:rsidRPr="00725A5E">
        <w:rPr>
          <w:i/>
          <w:iCs/>
          <w:kern w:val="2"/>
          <w14:ligatures w14:val="standardContextual"/>
        </w:rPr>
        <w:t>EPPO</w:t>
      </w:r>
      <w:r w:rsidRPr="00725A5E">
        <w:rPr>
          <w:kern w:val="2"/>
          <w14:ligatures w14:val="standardContextual"/>
        </w:rPr>
        <w:t xml:space="preserve">, Revīzijas palāta un EDAU, kas atspoguļojas regulārās sanāksmēs un informācijas apmaiņā; norāda, ka 2024. ada jūnijā tika noslēgta īpaša darba kārtība; tomēr aicina EĀDD </w:t>
      </w:r>
      <w:proofErr w:type="spellStart"/>
      <w:r w:rsidRPr="00725A5E">
        <w:rPr>
          <w:kern w:val="2"/>
          <w14:ligatures w14:val="standardContextual"/>
        </w:rPr>
        <w:t>institucionalizēt</w:t>
      </w:r>
      <w:proofErr w:type="spellEnd"/>
      <w:r w:rsidRPr="00725A5E">
        <w:rPr>
          <w:kern w:val="2"/>
          <w14:ligatures w14:val="standardContextual"/>
        </w:rPr>
        <w:t xml:space="preserve"> strukturētu sadarbību ar šīm struktūrām, nodrošinot sistemātiskus krāpšanas atklāšanas mehānismus Savienības ārējās darbības finansējumam, jo īpaši augsta riska konfliktu zonās un nestabilās valstīs;</w:t>
      </w:r>
    </w:p>
    <w:p w14:paraId="47CB58DD" w14:textId="77777777" w:rsidR="00725A5E" w:rsidRPr="00725A5E" w:rsidRDefault="00725A5E" w:rsidP="00725A5E">
      <w:pPr>
        <w:spacing w:after="240"/>
        <w:ind w:left="567" w:hanging="567"/>
        <w:rPr>
          <w:b/>
          <w:iCs/>
          <w:kern w:val="2"/>
          <w14:ligatures w14:val="standardContextual"/>
        </w:rPr>
      </w:pPr>
      <w:r w:rsidRPr="00725A5E">
        <w:rPr>
          <w:b/>
          <w:iCs/>
          <w:kern w:val="2"/>
          <w14:ligatures w14:val="standardContextual"/>
        </w:rPr>
        <w:t>Iestāžu sadarbība</w:t>
      </w:r>
    </w:p>
    <w:p w14:paraId="5F1CE08A"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78.</w:t>
      </w:r>
      <w:r w:rsidRPr="00725A5E">
        <w:rPr>
          <w:kern w:val="2"/>
          <w14:ligatures w14:val="standardContextual"/>
        </w:rPr>
        <w:tab/>
        <w:t>norāda, ka 2023. gadā Parlaments, Padome un EĀDD turpināja tehniskās diskusijas par to, lai aizstātu 2002. gada institucionālo nolīgumu starp Parlamentu un Padomi kopējās ārpolitikas un drošības politikas jomā; pauž nožēlu par to, ka 2023. gadā notika viena tehniskā sanāksme, pēc kuras Padome nespēja panākt vienošanos par ierosinātajiem kompromisa risinājumiem;</w:t>
      </w:r>
    </w:p>
    <w:p w14:paraId="71DEE832"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79.</w:t>
      </w:r>
      <w:r w:rsidRPr="00725A5E">
        <w:rPr>
          <w:kern w:val="2"/>
          <w14:ligatures w14:val="standardContextual"/>
        </w:rPr>
        <w:tab/>
        <w:t>norāda, ka 2023. gadā EĀDD sāka sarunu procesu par darba vienošanos ar Eiropas Prokuratūru, kas tika parakstīta 2024. gadā; norāda, ka darba vienošanās paredz ņemt vērā EĀDD darbības īpašo kontekstu, liekot uzsvaru uz informācijas aizsardzību, informācijas konfidencialitāti un darbinieku imunitātes aizsardzību;</w:t>
      </w:r>
    </w:p>
    <w:p w14:paraId="0F7EACBF" w14:textId="77777777" w:rsidR="00725A5E" w:rsidRPr="00725A5E" w:rsidRDefault="00725A5E" w:rsidP="00725A5E">
      <w:pPr>
        <w:spacing w:after="240"/>
        <w:ind w:left="567" w:hanging="567"/>
        <w:rPr>
          <w:b/>
          <w:bCs/>
          <w:i/>
          <w:iCs/>
          <w:kern w:val="2"/>
          <w14:ligatures w14:val="standardContextual"/>
        </w:rPr>
      </w:pPr>
      <w:r w:rsidRPr="00725A5E">
        <w:rPr>
          <w:kern w:val="2"/>
          <w14:ligatures w14:val="standardContextual"/>
        </w:rPr>
        <w:t>80.</w:t>
      </w:r>
      <w:r w:rsidRPr="00725A5E">
        <w:rPr>
          <w:kern w:val="2"/>
          <w14:ligatures w14:val="standardContextual"/>
        </w:rPr>
        <w:tab/>
        <w:t xml:space="preserve">norāda, ka savā 2023. gada budžetā EĀDD ir atvēlējis 990,5 miljonus EUR izmēģinājuma projektam par Eiropas Diplomātijas akadēmijas izveidi, kurā 50 jaunākie diplomāti no dalībvalstīm un Savienības iestādēm tiek apmācīti par Savienības ārpolitiku un drošības politiku ar mērķi izveidot patiesu Eiropas diplomātisko korpusu Savienības ārpolitikas un ārējo interešu veicināšanai; atbalsta šo iniciatīvu kā soli ceļā uz saliedēta un labi apmācīta Eiropas diplomātiskā korpusa izveidi, kas var efektīvi pārstāvēt un aizstāvēt Savienības vērtības un intereses pasaules mērogā; uzsver, ka ir jāuzlabo Eiropas Diplomātijas akadēmijas </w:t>
      </w:r>
      <w:proofErr w:type="spellStart"/>
      <w:r w:rsidRPr="00725A5E">
        <w:rPr>
          <w:kern w:val="2"/>
          <w14:ligatures w14:val="standardContextual"/>
        </w:rPr>
        <w:t>pamanāmība</w:t>
      </w:r>
      <w:proofErr w:type="spellEnd"/>
      <w:r w:rsidRPr="00725A5E">
        <w:rPr>
          <w:kern w:val="2"/>
          <w14:ligatures w14:val="standardContextual"/>
        </w:rPr>
        <w:t xml:space="preserve"> visās dalībvalstīs un jāstiprina tās loma un spējas;</w:t>
      </w:r>
    </w:p>
    <w:p w14:paraId="09B5C221"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81.</w:t>
      </w:r>
      <w:r w:rsidRPr="00725A5E">
        <w:rPr>
          <w:kern w:val="2"/>
          <w14:ligatures w14:val="standardContextual"/>
        </w:rPr>
        <w:tab/>
        <w:t xml:space="preserve">atzinīgi vērtē to, ka EĀDD 2023. gadā paplašināja sadarbību ar Eiropas </w:t>
      </w:r>
      <w:proofErr w:type="spellStart"/>
      <w:r w:rsidRPr="00725A5E">
        <w:rPr>
          <w:kern w:val="2"/>
          <w14:ligatures w14:val="standardContextual"/>
        </w:rPr>
        <w:t>Ombudu</w:t>
      </w:r>
      <w:proofErr w:type="spellEnd"/>
      <w:r w:rsidRPr="00725A5E">
        <w:rPr>
          <w:kern w:val="2"/>
          <w14:ligatures w14:val="standardContextual"/>
        </w:rPr>
        <w:t xml:space="preserve"> nolūkā </w:t>
      </w:r>
      <w:r w:rsidRPr="00725A5E">
        <w:rPr>
          <w:kern w:val="2"/>
          <w14:ligatures w14:val="standardContextual"/>
        </w:rPr>
        <w:lastRenderedPageBreak/>
        <w:t xml:space="preserve">uzlabot savu darbinieku informētību par labas pārvaldības principiem; norāda, ka jaunais sadarbības līmenis ietver aicinājumu Eiropas </w:t>
      </w:r>
      <w:proofErr w:type="spellStart"/>
      <w:r w:rsidRPr="00725A5E">
        <w:rPr>
          <w:kern w:val="2"/>
          <w14:ligatures w14:val="standardContextual"/>
        </w:rPr>
        <w:t>Ombuda</w:t>
      </w:r>
      <w:proofErr w:type="spellEnd"/>
      <w:r w:rsidRPr="00725A5E">
        <w:rPr>
          <w:kern w:val="2"/>
          <w14:ligatures w14:val="standardContextual"/>
        </w:rPr>
        <w:t xml:space="preserve"> birojam iepazīstināt ar savu darbu EĀDD semināros, kas tiek rīkoti pirms darbinieku norīkošanas, un EĀDD ikgadējos darbinieku semināros;</w:t>
      </w:r>
    </w:p>
    <w:p w14:paraId="1CE51BF2" w14:textId="77777777" w:rsidR="00725A5E" w:rsidRPr="00725A5E" w:rsidRDefault="00725A5E" w:rsidP="00725A5E">
      <w:pPr>
        <w:spacing w:after="240"/>
        <w:ind w:left="567" w:hanging="567"/>
        <w:rPr>
          <w:b/>
          <w:i/>
          <w:kern w:val="2"/>
          <w14:ligatures w14:val="standardContextual"/>
        </w:rPr>
      </w:pPr>
      <w:r w:rsidRPr="00725A5E">
        <w:rPr>
          <w:b/>
          <w:iCs/>
          <w:kern w:val="2"/>
          <w14:ligatures w14:val="standardContextual"/>
        </w:rPr>
        <w:t>Komunikācija</w:t>
      </w:r>
    </w:p>
    <w:p w14:paraId="1C6DCFFC" w14:textId="77777777" w:rsidR="00725A5E" w:rsidRPr="00725A5E" w:rsidRDefault="00725A5E" w:rsidP="00725A5E">
      <w:pPr>
        <w:spacing w:after="240"/>
        <w:ind w:left="567" w:hanging="567"/>
        <w:rPr>
          <w:color w:val="000000"/>
          <w:kern w:val="2"/>
          <w:szCs w:val="23"/>
          <w14:ligatures w14:val="standardContextual"/>
        </w:rPr>
      </w:pPr>
      <w:r w:rsidRPr="00725A5E">
        <w:rPr>
          <w:kern w:val="2"/>
          <w14:ligatures w14:val="standardContextual"/>
        </w:rPr>
        <w:t>82.</w:t>
      </w:r>
      <w:r w:rsidRPr="00725A5E">
        <w:rPr>
          <w:kern w:val="2"/>
          <w14:ligatures w14:val="standardContextual"/>
        </w:rPr>
        <w:tab/>
        <w:t>norāda, ka EĀDD budžeta piešķīrums ir 22,2 miljoni EUR, kas sadalīts pa dažādām budžeta pozīcijām, kuras aptver publikācijas, pasākumus, stratēģisko komunikāciju, informēšanas pasākumus un presi; atzinīgi vērtē to, ka demokrātijas un tiesiskuma aizstāvēšana joprojām ir EĀDD prioritāte, arī vēršoties pret ārvalstu manipulācijām ar informāciju un iejaukšanos, izmantojot pastiprinātu politiku un instrumentus</w:t>
      </w:r>
      <w:r w:rsidRPr="00725A5E">
        <w:rPr>
          <w:color w:val="000000"/>
          <w:kern w:val="2"/>
          <w14:ligatures w14:val="standardContextual"/>
        </w:rPr>
        <w:t>;</w:t>
      </w:r>
    </w:p>
    <w:p w14:paraId="3BD0AB72"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83.</w:t>
      </w:r>
      <w:r w:rsidRPr="00725A5E">
        <w:rPr>
          <w:kern w:val="2"/>
          <w14:ligatures w14:val="standardContextual"/>
        </w:rPr>
        <w:tab/>
        <w:t>norāda uz reliģijas brīvības pārkāpumu skaita pieaugumu visā pasaulē; aicina EĀDD, ņemot to vērā, pienācīgi aprīkot savus darbiniekus valstīs, kurās nav reliģijas brīvības vai kurās reliģijas brīvība ir pakļauta spiedienam (tostarp izmantojot apmācības kursus); lai sāktu diskusijas par šo jautājumu ar attiecīgajām iestādēm visos līmeņos valstīs, kurās tiek pārkāpta reliģijas brīvība; un padarīt to par vienu no galvenajiem ārējās darbības virzieniem;</w:t>
      </w:r>
    </w:p>
    <w:p w14:paraId="4F4E1765" w14:textId="77777777" w:rsidR="00725A5E" w:rsidRPr="00725A5E" w:rsidRDefault="00725A5E" w:rsidP="00725A5E">
      <w:pPr>
        <w:spacing w:after="240"/>
        <w:ind w:left="567" w:hanging="567"/>
        <w:rPr>
          <w:b/>
          <w:i/>
          <w:kern w:val="2"/>
          <w14:ligatures w14:val="standardContextual"/>
        </w:rPr>
      </w:pPr>
      <w:r w:rsidRPr="00725A5E">
        <w:rPr>
          <w:kern w:val="2"/>
          <w14:ligatures w14:val="standardContextual"/>
        </w:rPr>
        <w:t>84.</w:t>
      </w:r>
      <w:r w:rsidRPr="00725A5E">
        <w:rPr>
          <w:kern w:val="2"/>
          <w14:ligatures w14:val="standardContextual"/>
        </w:rPr>
        <w:tab/>
        <w:t xml:space="preserve">norāda, ka EĀDD komunikācijas pasākumu ietvaros uzrunā plašu sabiedrību, rīkojot publiskus pasākumus, atvērto durvju dienas un uzņemot apmeklētāju grupas; norāda, ka 2023. gadā EĀDD dažādos kanālos sāka vairākas tematiskas komunikācijas kampaņas par atbalstu Ukrainai, Krievijas agresijas kara pret Ukrainu sekām un Savienības vērtību ievērošanu; atzinīgi vērtē to, ka Ukraina joprojām ir EĀDD galvenā prioritāte; norāda, ka 2023. gadā EĀDD konsolidēja savu klātbūtni sociālajos medijos un palielināja sekotāju skaitu par 41,5 % </w:t>
      </w:r>
      <w:proofErr w:type="spellStart"/>
      <w:r w:rsidRPr="00725A5E">
        <w:rPr>
          <w:i/>
          <w:iCs/>
          <w:kern w:val="2"/>
          <w14:ligatures w14:val="standardContextual"/>
        </w:rPr>
        <w:t>LinkedIn</w:t>
      </w:r>
      <w:proofErr w:type="spellEnd"/>
      <w:r w:rsidRPr="00725A5E">
        <w:rPr>
          <w:kern w:val="2"/>
          <w14:ligatures w14:val="standardContextual"/>
        </w:rPr>
        <w:t xml:space="preserve">, par 13,8 % </w:t>
      </w:r>
      <w:proofErr w:type="spellStart"/>
      <w:r w:rsidRPr="00725A5E">
        <w:rPr>
          <w:i/>
          <w:iCs/>
          <w:kern w:val="2"/>
          <w14:ligatures w14:val="standardContextual"/>
        </w:rPr>
        <w:t>Instagram</w:t>
      </w:r>
      <w:proofErr w:type="spellEnd"/>
      <w:r w:rsidRPr="00725A5E">
        <w:rPr>
          <w:kern w:val="2"/>
          <w14:ligatures w14:val="standardContextual"/>
        </w:rPr>
        <w:t xml:space="preserve">, par 5,4 % </w:t>
      </w:r>
      <w:proofErr w:type="spellStart"/>
      <w:r w:rsidRPr="00725A5E">
        <w:rPr>
          <w:i/>
          <w:iCs/>
          <w:kern w:val="2"/>
          <w14:ligatures w14:val="standardContextual"/>
        </w:rPr>
        <w:t>Twitter</w:t>
      </w:r>
      <w:proofErr w:type="spellEnd"/>
      <w:r w:rsidRPr="00725A5E">
        <w:rPr>
          <w:kern w:val="2"/>
          <w14:ligatures w14:val="standardContextual"/>
        </w:rPr>
        <w:t xml:space="preserve"> un par 4,7 % </w:t>
      </w:r>
      <w:proofErr w:type="spellStart"/>
      <w:r w:rsidRPr="00725A5E">
        <w:rPr>
          <w:i/>
          <w:iCs/>
          <w:kern w:val="2"/>
          <w14:ligatures w14:val="standardContextual"/>
        </w:rPr>
        <w:t>Facebook</w:t>
      </w:r>
      <w:proofErr w:type="spellEnd"/>
      <w:r w:rsidRPr="00725A5E">
        <w:rPr>
          <w:kern w:val="2"/>
          <w14:ligatures w14:val="standardContextual"/>
        </w:rPr>
        <w:t xml:space="preserve">; mudina EĀDD uzlabot saziņu ar trešo valstu pilsoņiem par Savienības politiku un pastiprināt koordinācijas centienus, kuru mērķis ir palielināt Savienības finansēto projektu </w:t>
      </w:r>
      <w:proofErr w:type="spellStart"/>
      <w:r w:rsidRPr="00725A5E">
        <w:rPr>
          <w:kern w:val="2"/>
          <w14:ligatures w14:val="standardContextual"/>
        </w:rPr>
        <w:t>pamanāmību</w:t>
      </w:r>
      <w:proofErr w:type="spellEnd"/>
      <w:r w:rsidRPr="00725A5E">
        <w:rPr>
          <w:kern w:val="2"/>
          <w14:ligatures w14:val="standardContextual"/>
        </w:rPr>
        <w:t>, jo īpaši kandidātvalstīs, lai vērstos pret ļaunprātīgu dalībnieku mēģinājumiem graut Savienības centienus;</w:t>
      </w:r>
    </w:p>
    <w:p w14:paraId="01E45583"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85.</w:t>
      </w:r>
      <w:r w:rsidRPr="00725A5E">
        <w:rPr>
          <w:kern w:val="2"/>
          <w14:ligatures w14:val="standardContextual"/>
        </w:rPr>
        <w:tab/>
        <w:t>atzinīgi vērtē EĀDD iesaistīšanos Parlamenta iestāžu komunikācijas kampaņā saistībā ar 2024. gada Eiropas vēlēšanām, it īpaši informācijas kampaņā, kas vērsta uz 25–30 miljoniem Eiropas pilsoņu, kuri dzīvo trešās valstīs, par iespējamiem balsošanas veidiem Eiropas vēlēšanās, it īpaši izmantojot delegāciju tīklu; norāda, ka šī kampaņa sasniedza 11 miljonus adresātu, izmantojot 26 video kampaņas un vairāk nekā 2000 ierakstu sociālajos medijos;</w:t>
      </w:r>
    </w:p>
    <w:p w14:paraId="2FB13192"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86.</w:t>
      </w:r>
      <w:r w:rsidRPr="00725A5E">
        <w:rPr>
          <w:kern w:val="2"/>
          <w14:ligatures w14:val="standardContextual"/>
        </w:rPr>
        <w:tab/>
        <w:t xml:space="preserve">uzsver EĀDD ieguldījumu Savienības visaptverošajos centienos apliecināt nelokāmu atbalstu Ukrainai ar tādām iniciatīvām kā kampaņa </w:t>
      </w:r>
      <w:r w:rsidRPr="00725A5E">
        <w:rPr>
          <w:i/>
          <w:iCs/>
          <w:kern w:val="2"/>
          <w14:ligatures w14:val="standardContextual"/>
        </w:rPr>
        <w:t>#StandWithUkraine</w:t>
      </w:r>
      <w:r w:rsidRPr="00725A5E">
        <w:rPr>
          <w:kern w:val="2"/>
          <w14:ligatures w14:val="standardContextual"/>
        </w:rPr>
        <w:t xml:space="preserve"> un mērķtiecīgi komunikācijas projekti, piemēram, </w:t>
      </w:r>
      <w:proofErr w:type="spellStart"/>
      <w:r w:rsidRPr="00725A5E">
        <w:rPr>
          <w:i/>
          <w:kern w:val="2"/>
          <w14:ligatures w14:val="standardContextual"/>
        </w:rPr>
        <w:t>Faces</w:t>
      </w:r>
      <w:proofErr w:type="spellEnd"/>
      <w:r w:rsidRPr="00725A5E">
        <w:rPr>
          <w:i/>
          <w:kern w:val="2"/>
          <w14:ligatures w14:val="standardContextual"/>
        </w:rPr>
        <w:t xml:space="preserve"> </w:t>
      </w:r>
      <w:proofErr w:type="spellStart"/>
      <w:r w:rsidRPr="00725A5E">
        <w:rPr>
          <w:i/>
          <w:kern w:val="2"/>
          <w14:ligatures w14:val="standardContextual"/>
        </w:rPr>
        <w:t>of</w:t>
      </w:r>
      <w:proofErr w:type="spellEnd"/>
      <w:r w:rsidRPr="00725A5E">
        <w:rPr>
          <w:i/>
          <w:kern w:val="2"/>
          <w14:ligatures w14:val="standardContextual"/>
        </w:rPr>
        <w:t xml:space="preserve"> </w:t>
      </w:r>
      <w:proofErr w:type="spellStart"/>
      <w:r w:rsidRPr="00725A5E">
        <w:rPr>
          <w:i/>
          <w:kern w:val="2"/>
          <w14:ligatures w14:val="standardContextual"/>
        </w:rPr>
        <w:t>Ukraine</w:t>
      </w:r>
      <w:proofErr w:type="spellEnd"/>
      <w:r w:rsidRPr="00725A5E">
        <w:rPr>
          <w:kern w:val="2"/>
          <w14:ligatures w14:val="standardContextual"/>
        </w:rPr>
        <w:t xml:space="preserve">, </w:t>
      </w:r>
      <w:r w:rsidRPr="00725A5E">
        <w:rPr>
          <w:i/>
          <w:kern w:val="2"/>
          <w14:ligatures w14:val="standardContextual"/>
        </w:rPr>
        <w:t xml:space="preserve">Art </w:t>
      </w:r>
      <w:proofErr w:type="spellStart"/>
      <w:r w:rsidRPr="00725A5E">
        <w:rPr>
          <w:i/>
          <w:kern w:val="2"/>
          <w14:ligatures w14:val="standardContextual"/>
        </w:rPr>
        <w:t>vs</w:t>
      </w:r>
      <w:proofErr w:type="spellEnd"/>
      <w:r w:rsidRPr="00725A5E">
        <w:rPr>
          <w:i/>
          <w:kern w:val="2"/>
          <w14:ligatures w14:val="standardContextual"/>
        </w:rPr>
        <w:t xml:space="preserve"> </w:t>
      </w:r>
      <w:proofErr w:type="spellStart"/>
      <w:r w:rsidRPr="00725A5E">
        <w:rPr>
          <w:i/>
          <w:kern w:val="2"/>
          <w14:ligatures w14:val="standardContextual"/>
        </w:rPr>
        <w:t>War</w:t>
      </w:r>
      <w:proofErr w:type="spellEnd"/>
      <w:r w:rsidRPr="00725A5E">
        <w:rPr>
          <w:kern w:val="2"/>
          <w14:ligatures w14:val="standardContextual"/>
        </w:rPr>
        <w:t xml:space="preserve"> un </w:t>
      </w:r>
      <w:proofErr w:type="spellStart"/>
      <w:r w:rsidRPr="00725A5E">
        <w:rPr>
          <w:i/>
          <w:kern w:val="2"/>
          <w14:ligatures w14:val="standardContextual"/>
        </w:rPr>
        <w:t>Share</w:t>
      </w:r>
      <w:proofErr w:type="spellEnd"/>
      <w:r w:rsidRPr="00725A5E">
        <w:rPr>
          <w:i/>
          <w:kern w:val="2"/>
          <w14:ligatures w14:val="standardContextual"/>
        </w:rPr>
        <w:t xml:space="preserve"> </w:t>
      </w:r>
      <w:proofErr w:type="spellStart"/>
      <w:r w:rsidRPr="00725A5E">
        <w:rPr>
          <w:i/>
          <w:kern w:val="2"/>
          <w14:ligatures w14:val="standardContextual"/>
        </w:rPr>
        <w:t>Your</w:t>
      </w:r>
      <w:proofErr w:type="spellEnd"/>
      <w:r w:rsidRPr="00725A5E">
        <w:rPr>
          <w:i/>
          <w:kern w:val="2"/>
          <w14:ligatures w14:val="standardContextual"/>
        </w:rPr>
        <w:t xml:space="preserve"> </w:t>
      </w:r>
      <w:proofErr w:type="spellStart"/>
      <w:r w:rsidRPr="00725A5E">
        <w:rPr>
          <w:i/>
          <w:kern w:val="2"/>
          <w14:ligatures w14:val="standardContextual"/>
        </w:rPr>
        <w:t>Light</w:t>
      </w:r>
      <w:proofErr w:type="spellEnd"/>
      <w:r w:rsidRPr="00725A5E">
        <w:rPr>
          <w:kern w:val="2"/>
          <w14:ligatures w14:val="standardContextual"/>
        </w:rPr>
        <w:t>;</w:t>
      </w:r>
    </w:p>
    <w:p w14:paraId="3BC7839C" w14:textId="77777777" w:rsidR="00725A5E" w:rsidRPr="00725A5E" w:rsidRDefault="00725A5E" w:rsidP="00725A5E">
      <w:pPr>
        <w:spacing w:after="240"/>
        <w:ind w:left="567" w:hanging="567"/>
        <w:rPr>
          <w:kern w:val="2"/>
          <w14:ligatures w14:val="standardContextual"/>
        </w:rPr>
      </w:pPr>
      <w:r w:rsidRPr="00725A5E">
        <w:rPr>
          <w:kern w:val="2"/>
          <w14:ligatures w14:val="standardContextual"/>
        </w:rPr>
        <w:t>87.</w:t>
      </w:r>
      <w:r w:rsidRPr="00725A5E">
        <w:rPr>
          <w:kern w:val="2"/>
          <w14:ligatures w14:val="standardContextual"/>
        </w:rPr>
        <w:tab/>
        <w:t xml:space="preserve">atkārtoti mudina Savienības delegācijas palīdzēt vietējiem dalībniekiem, pilsoniskās sabiedrības organizācijām un sociālajiem partneriem trešās valstīs un sadarboties ar tiem, lai stimulētu sociālo dialogu un dialogu par tiesiskumu, </w:t>
      </w:r>
      <w:proofErr w:type="spellStart"/>
      <w:r w:rsidRPr="00725A5E">
        <w:rPr>
          <w:kern w:val="2"/>
          <w14:ligatures w14:val="standardContextual"/>
        </w:rPr>
        <w:t>pamattiesībām</w:t>
      </w:r>
      <w:proofErr w:type="spellEnd"/>
      <w:r w:rsidRPr="00725A5E">
        <w:rPr>
          <w:kern w:val="2"/>
          <w14:ligatures w14:val="standardContextual"/>
        </w:rPr>
        <w:t xml:space="preserve"> un cīņu pret korupciju; norāda, ka 2023. gadā saskaņā ar pilsoniskās sabiedrības organizācijām paredzēto tematisko programmu, pamatojoties uz kuru tiek noslēgtas Savienības partnerības ar atbildīgām un pārredzamām organizācijām, 50 miljoni EUR tika piešķirti Savienības sistēmai, kas nodrošinātu pilsoniskajai sabiedrībai labvēlīgu vidi un kas uzrauga un veicina pilsonisko telpu 86 partnervalstīs.</w:t>
      </w:r>
    </w:p>
    <w:sectPr w:rsidR="00725A5E" w:rsidRPr="00725A5E" w:rsidSect="00725A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53CB3" w14:textId="77777777" w:rsidR="00D7503F" w:rsidRPr="0042693D" w:rsidRDefault="00D7503F">
      <w:r w:rsidRPr="0042693D">
        <w:separator/>
      </w:r>
    </w:p>
  </w:endnote>
  <w:endnote w:type="continuationSeparator" w:id="0">
    <w:p w14:paraId="7E2D3E4C" w14:textId="77777777" w:rsidR="00D7503F" w:rsidRPr="0042693D" w:rsidRDefault="00D7503F">
      <w:r w:rsidRPr="004269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15457" w14:textId="77777777" w:rsidR="00064002" w:rsidRPr="004269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D9D" w14:textId="77777777" w:rsidR="00064002" w:rsidRPr="004269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3FE95" w14:textId="77777777" w:rsidR="00064002" w:rsidRPr="004269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36891" w14:textId="77777777" w:rsidR="00D7503F" w:rsidRPr="0042693D" w:rsidRDefault="00D7503F">
      <w:r w:rsidRPr="0042693D">
        <w:separator/>
      </w:r>
    </w:p>
  </w:footnote>
  <w:footnote w:type="continuationSeparator" w:id="0">
    <w:p w14:paraId="175842F8" w14:textId="77777777" w:rsidR="00D7503F" w:rsidRPr="0042693D" w:rsidRDefault="00D7503F">
      <w:r w:rsidRPr="0042693D">
        <w:continuationSeparator/>
      </w:r>
    </w:p>
  </w:footnote>
  <w:footnote w:id="1">
    <w:p w14:paraId="72F0A0A2" w14:textId="77777777" w:rsidR="00725A5E" w:rsidRDefault="00725A5E" w:rsidP="00725A5E">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t xml:space="preserve">OV L 58, 23.2.2023., 1. lpp., ELI: </w:t>
      </w:r>
      <w:hyperlink r:id="rId1" w:tooltip="Nodrošina piekļuvi šim dokumentam, izmantojot tā ELI URI." w:history="1">
        <w:r>
          <w:rPr>
            <w:rStyle w:val="Hyperlink1"/>
            <w:sz w:val="24"/>
            <w:shd w:val="clear" w:color="auto" w:fill="FFFFFF"/>
            <w:lang w:val="lv-LV"/>
          </w:rPr>
          <w:t>http://data.europa.eu/eli/budget/2023/1/oj</w:t>
        </w:r>
      </w:hyperlink>
      <w:r>
        <w:rPr>
          <w:sz w:val="24"/>
          <w:shd w:val="clear" w:color="auto" w:fill="FFFFFF"/>
          <w:lang w:val="lv-LV"/>
        </w:rPr>
        <w:t>.</w:t>
      </w:r>
    </w:p>
  </w:footnote>
  <w:footnote w:id="2">
    <w:p w14:paraId="144F5BF8" w14:textId="77777777" w:rsidR="00725A5E" w:rsidRDefault="00725A5E" w:rsidP="00725A5E">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C/2024/5462, 10.10.2024., ELI: </w:t>
      </w:r>
      <w:hyperlink r:id="rId2" w:history="1">
        <w:r>
          <w:rPr>
            <w:rStyle w:val="Hyperlink1"/>
            <w:sz w:val="24"/>
            <w:lang w:val="lv-LV"/>
          </w:rPr>
          <w:t>http://data.europa.eu/eli/C/2024/5462/oj</w:t>
        </w:r>
      </w:hyperlink>
      <w:r>
        <w:rPr>
          <w:sz w:val="24"/>
          <w:shd w:val="clear" w:color="auto" w:fill="FFFFFF"/>
          <w:lang w:val="lv-LV"/>
        </w:rPr>
        <w:t>.</w:t>
      </w:r>
    </w:p>
  </w:footnote>
  <w:footnote w:id="3">
    <w:p w14:paraId="4387E8F9" w14:textId="77777777" w:rsidR="00725A5E" w:rsidRDefault="00725A5E" w:rsidP="00725A5E">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C/2024/5882, 9.10.2024., ELI: </w:t>
      </w:r>
      <w:hyperlink r:id="rId3" w:history="1">
        <w:r>
          <w:rPr>
            <w:rStyle w:val="Hyperlink1"/>
            <w:sz w:val="24"/>
            <w:lang w:val="lv-LV"/>
          </w:rPr>
          <w:t>http://data.europa.eu/eli/C/2024/5882/oj</w:t>
        </w:r>
      </w:hyperlink>
      <w:r>
        <w:rPr>
          <w:sz w:val="24"/>
          <w:shd w:val="clear" w:color="auto" w:fill="FFFFFF"/>
          <w:lang w:val="lv-LV"/>
        </w:rPr>
        <w:t>.</w:t>
      </w:r>
    </w:p>
  </w:footnote>
  <w:footnote w:id="4">
    <w:p w14:paraId="500174EB" w14:textId="77777777" w:rsidR="00725A5E" w:rsidRDefault="00725A5E" w:rsidP="00725A5E">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4" w:history="1">
        <w:r>
          <w:rPr>
            <w:rStyle w:val="Hyperlink1"/>
            <w:sz w:val="24"/>
            <w:lang w:val="lv-LV"/>
          </w:rPr>
          <w:t>http://data.europa.eu/eli/C/2024/6041/oj</w:t>
        </w:r>
      </w:hyperlink>
      <w:r>
        <w:rPr>
          <w:sz w:val="24"/>
          <w:shd w:val="clear" w:color="auto" w:fill="FFFFFF"/>
          <w:lang w:val="lv-LV"/>
        </w:rPr>
        <w:t>.</w:t>
      </w:r>
    </w:p>
  </w:footnote>
  <w:footnote w:id="5">
    <w:p w14:paraId="62EF3AC1" w14:textId="77777777" w:rsidR="00725A5E" w:rsidRDefault="00725A5E" w:rsidP="00725A5E">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5" w:history="1">
        <w:r>
          <w:rPr>
            <w:rStyle w:val="Hyperlink1"/>
            <w:sz w:val="24"/>
            <w:lang w:val="lv-LV"/>
          </w:rPr>
          <w:t>http://data.europa.eu/eli/reg/2018/1046/oj</w:t>
        </w:r>
      </w:hyperlink>
      <w:r>
        <w:rPr>
          <w:sz w:val="24"/>
          <w:shd w:val="clear" w:color="auto" w:fill="FFFFFF"/>
          <w:lang w:val="lv-LV"/>
        </w:rPr>
        <w:t>.</w:t>
      </w:r>
    </w:p>
  </w:footnote>
  <w:footnote w:id="6">
    <w:p w14:paraId="0EADE0B9" w14:textId="77777777" w:rsidR="00725A5E" w:rsidRDefault="00725A5E" w:rsidP="00725A5E">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6" w:history="1">
        <w:r>
          <w:rPr>
            <w:rStyle w:val="Hyperlink1"/>
            <w:sz w:val="24"/>
            <w:lang w:val="lv-LV"/>
          </w:rPr>
          <w:t>http://data.europa.eu/eli/reg/2024/2509/oj</w:t>
        </w:r>
      </w:hyperlink>
      <w:r>
        <w:rPr>
          <w:sz w:val="24"/>
          <w:shd w:val="clear" w:color="auto" w:fill="FFFFFF"/>
          <w:lang w:val="lv-LV"/>
        </w:rPr>
        <w:t>.</w:t>
      </w:r>
    </w:p>
  </w:footnote>
  <w:footnote w:id="7">
    <w:p w14:paraId="3F92CE2F" w14:textId="77777777" w:rsidR="00725A5E" w:rsidRDefault="00725A5E" w:rsidP="00725A5E">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201, 3.8.2010., 30. lpp., ELI: </w:t>
      </w:r>
      <w:hyperlink r:id="rId7" w:history="1">
        <w:r>
          <w:rPr>
            <w:rStyle w:val="Hyperlink1"/>
            <w:sz w:val="24"/>
            <w:lang w:val="lv-LV"/>
          </w:rPr>
          <w:t>http://data.europa.eu/eli/dec/2010/427/oj</w:t>
        </w:r>
      </w:hyperlink>
      <w:r>
        <w:rPr>
          <w:sz w:val="24"/>
          <w:shd w:val="clear" w:color="auto" w:fill="FFFFFF"/>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5529" w14:textId="77777777" w:rsidR="00064002" w:rsidRPr="004269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EC1C" w14:textId="77777777" w:rsidR="00064002" w:rsidRPr="004269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D2B5" w14:textId="77777777" w:rsidR="00064002" w:rsidRPr="004269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7538585">
    <w:abstractNumId w:val="9"/>
  </w:num>
  <w:num w:numId="2" w16cid:durableId="322661409">
    <w:abstractNumId w:val="9"/>
  </w:num>
  <w:num w:numId="3" w16cid:durableId="578953136">
    <w:abstractNumId w:val="7"/>
  </w:num>
  <w:num w:numId="4" w16cid:durableId="457987900">
    <w:abstractNumId w:val="7"/>
  </w:num>
  <w:num w:numId="5" w16cid:durableId="563682594">
    <w:abstractNumId w:val="6"/>
  </w:num>
  <w:num w:numId="6" w16cid:durableId="1444616858">
    <w:abstractNumId w:val="6"/>
  </w:num>
  <w:num w:numId="7" w16cid:durableId="1317105593">
    <w:abstractNumId w:val="5"/>
  </w:num>
  <w:num w:numId="8" w16cid:durableId="60906821">
    <w:abstractNumId w:val="5"/>
  </w:num>
  <w:num w:numId="9" w16cid:durableId="548568381">
    <w:abstractNumId w:val="4"/>
  </w:num>
  <w:num w:numId="10" w16cid:durableId="529608668">
    <w:abstractNumId w:val="4"/>
  </w:num>
  <w:num w:numId="11" w16cid:durableId="285548121">
    <w:abstractNumId w:val="8"/>
  </w:num>
  <w:num w:numId="12" w16cid:durableId="1312715390">
    <w:abstractNumId w:val="8"/>
  </w:num>
  <w:num w:numId="13" w16cid:durableId="1079014695">
    <w:abstractNumId w:val="3"/>
  </w:num>
  <w:num w:numId="14" w16cid:durableId="761803772">
    <w:abstractNumId w:val="3"/>
  </w:num>
  <w:num w:numId="15" w16cid:durableId="642269872">
    <w:abstractNumId w:val="2"/>
  </w:num>
  <w:num w:numId="16" w16cid:durableId="1364087550">
    <w:abstractNumId w:val="2"/>
  </w:num>
  <w:num w:numId="17" w16cid:durableId="537354682">
    <w:abstractNumId w:val="1"/>
  </w:num>
  <w:num w:numId="18" w16cid:durableId="690257866">
    <w:abstractNumId w:val="1"/>
  </w:num>
  <w:num w:numId="19" w16cid:durableId="68893452">
    <w:abstractNumId w:val="0"/>
  </w:num>
  <w:num w:numId="20" w16cid:durableId="1423801470">
    <w:abstractNumId w:val="0"/>
  </w:num>
  <w:num w:numId="21" w16cid:durableId="716391521">
    <w:abstractNumId w:val="9"/>
  </w:num>
  <w:num w:numId="22" w16cid:durableId="2055041139">
    <w:abstractNumId w:val="7"/>
  </w:num>
  <w:num w:numId="23" w16cid:durableId="1414089042">
    <w:abstractNumId w:val="6"/>
  </w:num>
  <w:num w:numId="24" w16cid:durableId="1291476878">
    <w:abstractNumId w:val="5"/>
  </w:num>
  <w:num w:numId="25" w16cid:durableId="1791509505">
    <w:abstractNumId w:val="4"/>
  </w:num>
  <w:num w:numId="26" w16cid:durableId="1733432044">
    <w:abstractNumId w:val="8"/>
  </w:num>
  <w:num w:numId="27" w16cid:durableId="681278370">
    <w:abstractNumId w:val="3"/>
  </w:num>
  <w:num w:numId="28" w16cid:durableId="735973694">
    <w:abstractNumId w:val="2"/>
  </w:num>
  <w:num w:numId="29" w16cid:durableId="33238054">
    <w:abstractNumId w:val="1"/>
  </w:num>
  <w:num w:numId="30" w16cid:durableId="147981639">
    <w:abstractNumId w:val="0"/>
  </w:num>
  <w:num w:numId="31" w16cid:durableId="645863042">
    <w:abstractNumId w:val="9"/>
  </w:num>
  <w:num w:numId="32" w16cid:durableId="298728171">
    <w:abstractNumId w:val="7"/>
  </w:num>
  <w:num w:numId="33" w16cid:durableId="2004624199">
    <w:abstractNumId w:val="6"/>
  </w:num>
  <w:num w:numId="34" w16cid:durableId="1071586303">
    <w:abstractNumId w:val="5"/>
  </w:num>
  <w:num w:numId="35" w16cid:durableId="167331238">
    <w:abstractNumId w:val="4"/>
  </w:num>
  <w:num w:numId="36" w16cid:durableId="1225722280">
    <w:abstractNumId w:val="8"/>
  </w:num>
  <w:num w:numId="37" w16cid:durableId="767311353">
    <w:abstractNumId w:val="3"/>
  </w:num>
  <w:num w:numId="38" w16cid:durableId="1193569944">
    <w:abstractNumId w:val="2"/>
  </w:num>
  <w:num w:numId="39" w16cid:durableId="1515344685">
    <w:abstractNumId w:val="1"/>
  </w:num>
  <w:num w:numId="40" w16cid:durableId="558516927">
    <w:abstractNumId w:val="0"/>
  </w:num>
  <w:num w:numId="41" w16cid:durableId="1458791708">
    <w:abstractNumId w:val="10"/>
  </w:num>
  <w:num w:numId="42" w16cid:durableId="1678650121">
    <w:abstractNumId w:val="10"/>
  </w:num>
  <w:num w:numId="43" w16cid:durableId="1976376092">
    <w:abstractNumId w:val="10"/>
  </w:num>
  <w:num w:numId="44" w16cid:durableId="14024809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LV"/>
    <w:docVar w:name="dvnumam" w:val="0"/>
    <w:docVar w:name="dvpe" w:val="764.994"/>
    <w:docVar w:name="dvrapporteur" w:val="Referents: "/>
    <w:docVar w:name="dvtitre" w:val="Eiropas Parlamenta 2025. gada XX. XXX lēmums par Eiropas Savienības 2023. finanšu gada vispārējā budžeta izpildes apstiprināšanu, X iedaļa — Eiropas Ārējās darbības dienests(2024/2024(DEC))"/>
  </w:docVars>
  <w:rsids>
    <w:rsidRoot w:val="00D7503F"/>
    <w:rsid w:val="00002272"/>
    <w:rsid w:val="00064002"/>
    <w:rsid w:val="000677B9"/>
    <w:rsid w:val="000831BA"/>
    <w:rsid w:val="000A42CC"/>
    <w:rsid w:val="000E64DE"/>
    <w:rsid w:val="000E7DD9"/>
    <w:rsid w:val="0010095E"/>
    <w:rsid w:val="00125B37"/>
    <w:rsid w:val="00187494"/>
    <w:rsid w:val="001F32AE"/>
    <w:rsid w:val="002767FF"/>
    <w:rsid w:val="002B18FE"/>
    <w:rsid w:val="002B5493"/>
    <w:rsid w:val="00343214"/>
    <w:rsid w:val="00361C00"/>
    <w:rsid w:val="00395FA1"/>
    <w:rsid w:val="003E15D4"/>
    <w:rsid w:val="00411CCE"/>
    <w:rsid w:val="00412A06"/>
    <w:rsid w:val="0041666E"/>
    <w:rsid w:val="00421060"/>
    <w:rsid w:val="0042693D"/>
    <w:rsid w:val="0047147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5A5E"/>
    <w:rsid w:val="00731ADD"/>
    <w:rsid w:val="00734777"/>
    <w:rsid w:val="00747932"/>
    <w:rsid w:val="00751A4A"/>
    <w:rsid w:val="00756632"/>
    <w:rsid w:val="00762C74"/>
    <w:rsid w:val="00786EC0"/>
    <w:rsid w:val="007D1690"/>
    <w:rsid w:val="007E22AD"/>
    <w:rsid w:val="007F2FC7"/>
    <w:rsid w:val="00817416"/>
    <w:rsid w:val="00842779"/>
    <w:rsid w:val="00865F67"/>
    <w:rsid w:val="00881A7B"/>
    <w:rsid w:val="008840E5"/>
    <w:rsid w:val="00887B3E"/>
    <w:rsid w:val="008A6321"/>
    <w:rsid w:val="008C2AC6"/>
    <w:rsid w:val="00930C23"/>
    <w:rsid w:val="0093193B"/>
    <w:rsid w:val="009472DC"/>
    <w:rsid w:val="009509D8"/>
    <w:rsid w:val="00950B64"/>
    <w:rsid w:val="00981893"/>
    <w:rsid w:val="00A1687D"/>
    <w:rsid w:val="00A43E52"/>
    <w:rsid w:val="00A4678D"/>
    <w:rsid w:val="00A57B8F"/>
    <w:rsid w:val="00A778C7"/>
    <w:rsid w:val="00AB441E"/>
    <w:rsid w:val="00AB6293"/>
    <w:rsid w:val="00AE0928"/>
    <w:rsid w:val="00AF3B82"/>
    <w:rsid w:val="00B12E95"/>
    <w:rsid w:val="00B22876"/>
    <w:rsid w:val="00B37163"/>
    <w:rsid w:val="00B558F0"/>
    <w:rsid w:val="00BD48FE"/>
    <w:rsid w:val="00BD7BD8"/>
    <w:rsid w:val="00BE6ADC"/>
    <w:rsid w:val="00C05BFE"/>
    <w:rsid w:val="00C23CD4"/>
    <w:rsid w:val="00C61C0C"/>
    <w:rsid w:val="00C808C0"/>
    <w:rsid w:val="00C941CB"/>
    <w:rsid w:val="00CA4E8F"/>
    <w:rsid w:val="00CC2357"/>
    <w:rsid w:val="00CE5635"/>
    <w:rsid w:val="00CF071A"/>
    <w:rsid w:val="00D058B8"/>
    <w:rsid w:val="00D56C11"/>
    <w:rsid w:val="00D7503F"/>
    <w:rsid w:val="00D834A0"/>
    <w:rsid w:val="00D872DF"/>
    <w:rsid w:val="00D91E21"/>
    <w:rsid w:val="00DA7FCD"/>
    <w:rsid w:val="00E365E1"/>
    <w:rsid w:val="00E81D90"/>
    <w:rsid w:val="00E820A4"/>
    <w:rsid w:val="00EB006A"/>
    <w:rsid w:val="00EB4772"/>
    <w:rsid w:val="00EC4BEA"/>
    <w:rsid w:val="00ED169E"/>
    <w:rsid w:val="00ED4235"/>
    <w:rsid w:val="00F00641"/>
    <w:rsid w:val="00F04346"/>
    <w:rsid w:val="00F075DC"/>
    <w:rsid w:val="00F149E9"/>
    <w:rsid w:val="00F5134D"/>
    <w:rsid w:val="00F674F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B0BBE"/>
  <w15:chartTrackingRefBased/>
  <w15:docId w15:val="{E6619134-EE4F-4125-8834-913A6F15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1D9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1D90"/>
    <w:pPr>
      <w:spacing w:before="480" w:after="240"/>
    </w:pPr>
  </w:style>
  <w:style w:type="paragraph" w:customStyle="1" w:styleId="PageHeading">
    <w:name w:val="PageHeading"/>
    <w:basedOn w:val="Normal"/>
    <w:rsid w:val="00E81D90"/>
    <w:pPr>
      <w:keepNext/>
      <w:spacing w:after="480"/>
      <w:jc w:val="center"/>
    </w:pPr>
    <w:rPr>
      <w:rFonts w:ascii="Arial" w:hAnsi="Arial" w:cs="Arial"/>
      <w:b/>
    </w:rPr>
  </w:style>
  <w:style w:type="paragraph" w:customStyle="1" w:styleId="NormalBold">
    <w:name w:val="NormalBold"/>
    <w:basedOn w:val="Normal"/>
    <w:rsid w:val="00E81D90"/>
    <w:rPr>
      <w:b/>
    </w:rPr>
  </w:style>
  <w:style w:type="paragraph" w:customStyle="1" w:styleId="NormalHanging12a">
    <w:name w:val="NormalHanging12a"/>
    <w:basedOn w:val="Normal"/>
    <w:link w:val="NormalHanging12aChar"/>
    <w:qFormat/>
    <w:rsid w:val="00E81D90"/>
    <w:pPr>
      <w:spacing w:after="240"/>
      <w:ind w:left="567" w:hanging="567"/>
    </w:pPr>
  </w:style>
  <w:style w:type="paragraph" w:customStyle="1" w:styleId="CoverNormal24a">
    <w:name w:val="CoverNormal24a"/>
    <w:basedOn w:val="Normal"/>
    <w:rsid w:val="00E81D90"/>
    <w:pPr>
      <w:spacing w:after="480"/>
      <w:ind w:left="1417"/>
    </w:pPr>
  </w:style>
  <w:style w:type="paragraph" w:customStyle="1" w:styleId="CoverNormal">
    <w:name w:val="CoverNormal"/>
    <w:basedOn w:val="Normal"/>
    <w:rsid w:val="00E81D90"/>
    <w:pPr>
      <w:ind w:left="1418"/>
    </w:pPr>
  </w:style>
  <w:style w:type="paragraph" w:styleId="Header">
    <w:name w:val="header"/>
    <w:basedOn w:val="Normal"/>
    <w:link w:val="HeaderChar"/>
    <w:rsid w:val="00E81D90"/>
    <w:pPr>
      <w:tabs>
        <w:tab w:val="center" w:pos="4513"/>
        <w:tab w:val="right" w:pos="9026"/>
      </w:tabs>
    </w:pPr>
  </w:style>
  <w:style w:type="character" w:customStyle="1" w:styleId="HeaderChar">
    <w:name w:val="Header Char"/>
    <w:basedOn w:val="DefaultParagraphFont"/>
    <w:link w:val="Header"/>
    <w:rsid w:val="00E81D90"/>
    <w:rPr>
      <w:sz w:val="24"/>
      <w:lang w:val="lv-LV"/>
    </w:rPr>
  </w:style>
  <w:style w:type="paragraph" w:customStyle="1" w:styleId="EPFooter">
    <w:name w:val="EPFooter"/>
    <w:basedOn w:val="Normal"/>
    <w:rsid w:val="00E81D90"/>
    <w:pPr>
      <w:tabs>
        <w:tab w:val="center" w:pos="4535"/>
        <w:tab w:val="right" w:pos="9071"/>
      </w:tabs>
      <w:spacing w:before="240" w:after="240"/>
    </w:pPr>
    <w:rPr>
      <w:color w:val="010000"/>
      <w:sz w:val="22"/>
    </w:rPr>
  </w:style>
  <w:style w:type="character" w:styleId="Hyperlink">
    <w:name w:val="Hyperlink"/>
    <w:basedOn w:val="DefaultParagraphFont"/>
    <w:rsid w:val="00E81D90"/>
    <w:rPr>
      <w:color w:val="0563C1" w:themeColor="hyperlink"/>
      <w:u w:val="single"/>
    </w:rPr>
  </w:style>
  <w:style w:type="character" w:customStyle="1" w:styleId="NormalHanging12aChar">
    <w:name w:val="NormalHanging12a Char"/>
    <w:basedOn w:val="DefaultParagraphFont"/>
    <w:link w:val="NormalHanging12a"/>
    <w:locked/>
    <w:rsid w:val="00E81D90"/>
    <w:rPr>
      <w:sz w:val="24"/>
      <w:lang w:val="lv-LV"/>
    </w:rPr>
  </w:style>
  <w:style w:type="paragraph" w:customStyle="1" w:styleId="Normal24a">
    <w:name w:val="Normal24a"/>
    <w:basedOn w:val="Normal"/>
    <w:rsid w:val="00E81D90"/>
    <w:pPr>
      <w:spacing w:after="480"/>
    </w:pPr>
  </w:style>
  <w:style w:type="paragraph" w:customStyle="1" w:styleId="Footprint12b">
    <w:name w:val="Footprint12b"/>
    <w:basedOn w:val="Normal"/>
    <w:rsid w:val="00E81D90"/>
    <w:pPr>
      <w:spacing w:before="240"/>
    </w:pPr>
    <w:rPr>
      <w:szCs w:val="24"/>
    </w:rPr>
  </w:style>
  <w:style w:type="paragraph" w:customStyle="1" w:styleId="Normal12a">
    <w:name w:val="Normal12a"/>
    <w:basedOn w:val="Normal"/>
    <w:rsid w:val="00E81D90"/>
    <w:pPr>
      <w:spacing w:after="240"/>
    </w:pPr>
  </w:style>
  <w:style w:type="paragraph" w:customStyle="1" w:styleId="PageHeadingNotTOC">
    <w:name w:val="PageHeadingNotTOC"/>
    <w:basedOn w:val="Normal"/>
    <w:rsid w:val="00E81D90"/>
    <w:pPr>
      <w:keepNext/>
      <w:spacing w:after="480"/>
      <w:jc w:val="center"/>
    </w:pPr>
    <w:rPr>
      <w:rFonts w:ascii="Arial" w:hAnsi="Arial" w:cs="Arial"/>
      <w:b/>
    </w:rPr>
  </w:style>
  <w:style w:type="paragraph" w:styleId="BalloonText">
    <w:name w:val="Balloon Text"/>
    <w:basedOn w:val="Normal"/>
    <w:link w:val="BalloonTextChar"/>
    <w:rsid w:val="00471478"/>
    <w:rPr>
      <w:rFonts w:ascii="Segoe UI" w:hAnsi="Segoe UI" w:cs="Segoe UI"/>
      <w:sz w:val="18"/>
      <w:szCs w:val="18"/>
    </w:rPr>
  </w:style>
  <w:style w:type="character" w:customStyle="1" w:styleId="BalloonTextChar">
    <w:name w:val="Balloon Text Char"/>
    <w:basedOn w:val="DefaultParagraphFont"/>
    <w:link w:val="BalloonText"/>
    <w:rsid w:val="00471478"/>
    <w:rPr>
      <w:rFonts w:ascii="Segoe UI" w:hAnsi="Segoe UI" w:cs="Segoe UI"/>
      <w:sz w:val="18"/>
      <w:szCs w:val="18"/>
      <w:lang w:val="lv-LV"/>
    </w:rPr>
  </w:style>
  <w:style w:type="paragraph" w:styleId="CommentText">
    <w:name w:val="annotation text"/>
    <w:basedOn w:val="Normal"/>
    <w:link w:val="CommentTextChar"/>
    <w:uiPriority w:val="99"/>
    <w:unhideWhenUsed/>
    <w:rsid w:val="00725A5E"/>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725A5E"/>
    <w:rPr>
      <w:rFonts w:eastAsia="Aptos"/>
      <w:kern w:val="2"/>
      <w:lang w:eastAsia="en-US"/>
      <w14:ligatures w14:val="standardContextual"/>
    </w:rPr>
  </w:style>
  <w:style w:type="character" w:styleId="CommentReference">
    <w:name w:val="annotation reference"/>
    <w:basedOn w:val="DefaultParagraphFont"/>
    <w:uiPriority w:val="99"/>
    <w:unhideWhenUsed/>
    <w:rsid w:val="00725A5E"/>
    <w:rPr>
      <w:sz w:val="16"/>
      <w:szCs w:val="16"/>
    </w:rPr>
  </w:style>
  <w:style w:type="character" w:customStyle="1" w:styleId="Hyperlink1">
    <w:name w:val="Hyperlink1"/>
    <w:basedOn w:val="DefaultParagraphFont"/>
    <w:rsid w:val="00725A5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11211">
      <w:bodyDiv w:val="1"/>
      <w:marLeft w:val="0"/>
      <w:marRight w:val="0"/>
      <w:marTop w:val="0"/>
      <w:marBottom w:val="0"/>
      <w:divBdr>
        <w:top w:val="none" w:sz="0" w:space="0" w:color="auto"/>
        <w:left w:val="none" w:sz="0" w:space="0" w:color="auto"/>
        <w:bottom w:val="none" w:sz="0" w:space="0" w:color="auto"/>
        <w:right w:val="none" w:sz="0" w:space="0" w:color="auto"/>
      </w:divBdr>
    </w:div>
    <w:div w:id="871070018">
      <w:bodyDiv w:val="1"/>
      <w:marLeft w:val="0"/>
      <w:marRight w:val="0"/>
      <w:marTop w:val="0"/>
      <w:marBottom w:val="0"/>
      <w:divBdr>
        <w:top w:val="none" w:sz="0" w:space="0" w:color="auto"/>
        <w:left w:val="none" w:sz="0" w:space="0" w:color="auto"/>
        <w:bottom w:val="none" w:sz="0" w:space="0" w:color="auto"/>
        <w:right w:val="none" w:sz="0" w:space="0" w:color="auto"/>
      </w:divBdr>
    </w:div>
    <w:div w:id="142772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F9811-D09B-49D0-96CE-22614DBC3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8105</Words>
  <Characters>53668</Characters>
  <Application>Microsoft Office Word</Application>
  <DocSecurity>0</DocSecurity>
  <Lines>447</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2025-12-02T13:55:00Z</dcterms:created>
  <dcterms:modified xsi:type="dcterms:W3CDTF">2025-12-02T13:55:00Z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P10_TA(2025)0086_</vt:lpwstr>
  </property>
  <property fmtid="{D5CDD505-2E9C-101B-9397-08002B2CF9AE}" pid="4" name="&lt;Type&gt;">
    <vt:lpwstr>RR</vt:lpwstr>
  </property>
</Properties>
</file>