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62AE" w14:paraId="37A52EA7" w14:textId="77777777" w:rsidTr="0010095E">
        <w:trPr>
          <w:trHeight w:hRule="exact" w:val="1418"/>
        </w:trPr>
        <w:tc>
          <w:tcPr>
            <w:tcW w:w="6804" w:type="dxa"/>
            <w:shd w:val="clear" w:color="auto" w:fill="auto"/>
            <w:vAlign w:val="center"/>
          </w:tcPr>
          <w:p w14:paraId="3377CFB5" w14:textId="77777777" w:rsidR="00751A4A" w:rsidRPr="005662AE" w:rsidRDefault="00B463CD" w:rsidP="0010095E">
            <w:pPr>
              <w:pStyle w:val="EPName"/>
            </w:pPr>
            <w:r w:rsidRPr="005662AE">
              <w:t>Parlamentul European</w:t>
            </w:r>
          </w:p>
          <w:p w14:paraId="166822B5" w14:textId="77777777" w:rsidR="00751A4A" w:rsidRPr="005662AE" w:rsidRDefault="005F1B17" w:rsidP="005F1B17">
            <w:pPr>
              <w:pStyle w:val="EPTerm"/>
              <w:rPr>
                <w:rStyle w:val="HideTWBExt"/>
                <w:noProof w:val="0"/>
                <w:vanish w:val="0"/>
                <w:color w:val="auto"/>
              </w:rPr>
            </w:pPr>
            <w:r w:rsidRPr="005662AE">
              <w:t>2024</w:t>
            </w:r>
            <w:r w:rsidR="00817416" w:rsidRPr="005662AE">
              <w:t>-202</w:t>
            </w:r>
            <w:r w:rsidRPr="005662AE">
              <w:t>9</w:t>
            </w:r>
          </w:p>
        </w:tc>
        <w:tc>
          <w:tcPr>
            <w:tcW w:w="2268" w:type="dxa"/>
            <w:shd w:val="clear" w:color="auto" w:fill="auto"/>
          </w:tcPr>
          <w:p w14:paraId="340825F6" w14:textId="77777777" w:rsidR="00751A4A" w:rsidRPr="005662AE" w:rsidRDefault="00187494" w:rsidP="0010095E">
            <w:pPr>
              <w:pStyle w:val="EPLogo"/>
            </w:pPr>
            <w:r w:rsidRPr="005662AE">
              <w:rPr>
                <w:noProof/>
                <w:lang w:val="en-GB"/>
              </w:rPr>
              <w:drawing>
                <wp:inline distT="0" distB="0" distL="0" distR="0" wp14:anchorId="0E109238" wp14:editId="2CC6181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FB7FCD" w14:textId="77777777" w:rsidR="00D058B8" w:rsidRPr="005662AE" w:rsidRDefault="00D058B8" w:rsidP="004C5D52">
      <w:pPr>
        <w:pStyle w:val="LineTop"/>
      </w:pPr>
    </w:p>
    <w:p w14:paraId="0962D216" w14:textId="77777777" w:rsidR="00680577" w:rsidRPr="005662AE" w:rsidRDefault="00B463CD" w:rsidP="00680577">
      <w:pPr>
        <w:pStyle w:val="EPBodyTA1"/>
      </w:pPr>
      <w:r w:rsidRPr="005662AE">
        <w:t>TEXTE ADOPTATE</w:t>
      </w:r>
    </w:p>
    <w:p w14:paraId="2F225E13" w14:textId="77777777" w:rsidR="00D058B8" w:rsidRPr="005662AE" w:rsidRDefault="00D058B8" w:rsidP="00D058B8">
      <w:pPr>
        <w:pStyle w:val="LineBottom"/>
      </w:pPr>
    </w:p>
    <w:p w14:paraId="547FCEB3" w14:textId="77777777" w:rsidR="00B463CD" w:rsidRPr="005662AE" w:rsidRDefault="00B463CD" w:rsidP="00B463CD">
      <w:pPr>
        <w:pStyle w:val="ATHeading1"/>
      </w:pPr>
      <w:bookmarkStart w:id="0" w:name="TANumber"/>
      <w:r w:rsidRPr="005662AE">
        <w:t>P10_TA(2025)00</w:t>
      </w:r>
      <w:bookmarkEnd w:id="0"/>
      <w:r w:rsidR="004910EE" w:rsidRPr="005662AE">
        <w:t>86</w:t>
      </w:r>
    </w:p>
    <w:p w14:paraId="46299406" w14:textId="77777777" w:rsidR="00B463CD" w:rsidRPr="005662AE" w:rsidRDefault="00B463CD" w:rsidP="00B463CD">
      <w:pPr>
        <w:pStyle w:val="ATHeading2"/>
      </w:pPr>
      <w:bookmarkStart w:id="1" w:name="title"/>
      <w:r w:rsidRPr="005662AE">
        <w:t>Descărcarea de gestiune 2023: Bugetul general al UE - Serviciul European de Acțiune Externă</w:t>
      </w:r>
      <w:bookmarkEnd w:id="1"/>
    </w:p>
    <w:p w14:paraId="442092B4" w14:textId="77777777" w:rsidR="00B463CD" w:rsidRPr="005662AE" w:rsidRDefault="00B463CD" w:rsidP="00B463CD">
      <w:pPr>
        <w:rPr>
          <w:i/>
          <w:vanish/>
        </w:rPr>
      </w:pPr>
      <w:r w:rsidRPr="005662AE">
        <w:rPr>
          <w:i/>
        </w:rPr>
        <w:fldChar w:fldCharType="begin"/>
      </w:r>
      <w:r w:rsidRPr="005662AE">
        <w:rPr>
          <w:i/>
        </w:rPr>
        <w:instrText xml:space="preserve"> TC"(</w:instrText>
      </w:r>
      <w:bookmarkStart w:id="2" w:name="DocNumber"/>
      <w:r w:rsidRPr="005662AE">
        <w:rPr>
          <w:i/>
        </w:rPr>
        <w:instrText>A10-0069/2025</w:instrText>
      </w:r>
      <w:bookmarkEnd w:id="2"/>
      <w:r w:rsidRPr="005662AE">
        <w:rPr>
          <w:i/>
        </w:rPr>
        <w:instrText xml:space="preserve"> - Raportor: Joachim </w:instrText>
      </w:r>
      <w:proofErr w:type="spellStart"/>
      <w:r w:rsidRPr="005662AE">
        <w:rPr>
          <w:i/>
        </w:rPr>
        <w:instrText>Stanisław</w:instrText>
      </w:r>
      <w:proofErr w:type="spellEnd"/>
      <w:r w:rsidRPr="005662AE">
        <w:rPr>
          <w:i/>
        </w:rPr>
        <w:instrText xml:space="preserve"> </w:instrText>
      </w:r>
      <w:proofErr w:type="spellStart"/>
      <w:r w:rsidRPr="005662AE">
        <w:rPr>
          <w:i/>
        </w:rPr>
        <w:instrText>Brudziński</w:instrText>
      </w:r>
      <w:proofErr w:type="spellEnd"/>
      <w:r w:rsidRPr="005662AE">
        <w:rPr>
          <w:i/>
        </w:rPr>
        <w:instrText xml:space="preserve">)"\l3 \n&gt; \* MERGEFORMAT </w:instrText>
      </w:r>
      <w:r w:rsidRPr="005662AE">
        <w:rPr>
          <w:i/>
        </w:rPr>
        <w:fldChar w:fldCharType="end"/>
      </w:r>
    </w:p>
    <w:p w14:paraId="30A8EC24" w14:textId="77777777" w:rsidR="00B463CD" w:rsidRPr="005662AE" w:rsidRDefault="00B463CD" w:rsidP="00B463CD">
      <w:pPr>
        <w:rPr>
          <w:vanish/>
        </w:rPr>
      </w:pPr>
      <w:bookmarkStart w:id="3" w:name="Commission"/>
      <w:r w:rsidRPr="005662AE">
        <w:rPr>
          <w:vanish/>
        </w:rPr>
        <w:t>Comisia pentru control bugetar</w:t>
      </w:r>
      <w:bookmarkEnd w:id="3"/>
    </w:p>
    <w:p w14:paraId="5B77F85E" w14:textId="77777777" w:rsidR="00B463CD" w:rsidRDefault="00B463CD" w:rsidP="00B463CD">
      <w:pPr>
        <w:rPr>
          <w:vanish/>
        </w:rPr>
      </w:pPr>
      <w:bookmarkStart w:id="4" w:name="PE"/>
      <w:r w:rsidRPr="005662AE">
        <w:rPr>
          <w:vanish/>
        </w:rPr>
        <w:t>PE764.994</w:t>
      </w:r>
      <w:bookmarkEnd w:id="4"/>
    </w:p>
    <w:p w14:paraId="485B5F8D" w14:textId="77777777" w:rsidR="0017767A" w:rsidRPr="0017767A" w:rsidRDefault="0017767A" w:rsidP="0017767A">
      <w:pPr>
        <w:pStyle w:val="ATHeading3"/>
      </w:pPr>
      <w:r w:rsidRPr="0017767A">
        <w:t>1. Decizia Parlamentului European din 7 mai 2025 privind descărcarea de gestiune pentru execuția bugetului general al Uniunii Europene aferent exercițiului financiar 2023, secțiunea X – Serviciul European de Acțiune Externă (2024/2024(DEC))</w:t>
      </w:r>
    </w:p>
    <w:p w14:paraId="746D6F99" w14:textId="27DADCF5" w:rsidR="0017767A" w:rsidRPr="0017767A" w:rsidRDefault="0017767A" w:rsidP="0017767A">
      <w:pPr>
        <w:spacing w:before="480" w:after="240"/>
        <w:rPr>
          <w:i/>
          <w:kern w:val="2"/>
          <w14:ligatures w14:val="standardContextual"/>
        </w:rPr>
      </w:pPr>
      <w:r w:rsidRPr="0017767A">
        <w:rPr>
          <w:i/>
          <w:kern w:val="2"/>
          <w14:ligatures w14:val="standardContextual"/>
        </w:rPr>
        <w:t xml:space="preserve">Parlamentul </w:t>
      </w:r>
      <w:r>
        <w:rPr>
          <w:i/>
          <w:kern w:val="2"/>
          <w14:ligatures w14:val="standardContextual"/>
        </w:rPr>
        <w:t>E</w:t>
      </w:r>
      <w:r w:rsidRPr="0017767A">
        <w:rPr>
          <w:i/>
          <w:kern w:val="2"/>
          <w14:ligatures w14:val="standardContextual"/>
        </w:rPr>
        <w:t>uropean,</w:t>
      </w:r>
    </w:p>
    <w:p w14:paraId="255F3672"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bugetul general al Uniunii Europene aferent exercițiului financiar 2023</w:t>
      </w:r>
      <w:r w:rsidRPr="0017767A">
        <w:rPr>
          <w:kern w:val="2"/>
          <w:vertAlign w:val="superscript"/>
          <w14:ligatures w14:val="standardContextual"/>
        </w:rPr>
        <w:footnoteReference w:id="1"/>
      </w:r>
      <w:r w:rsidRPr="0017767A">
        <w:rPr>
          <w:kern w:val="2"/>
          <w14:ligatures w14:val="standardContextual"/>
        </w:rPr>
        <w:t>,</w:t>
      </w:r>
    </w:p>
    <w:p w14:paraId="50B8829D" w14:textId="0C58D1F8"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 xml:space="preserve">având în vedere conturile anuale consolidate ale Uniunii Europene pentru exercițiul financiar 2023 </w:t>
      </w:r>
      <w:r w:rsidR="000048CE">
        <w:rPr>
          <w:kern w:val="2"/>
          <w14:ligatures w14:val="standardContextual"/>
        </w:rPr>
        <w:t>(</w:t>
      </w:r>
      <w:r w:rsidRPr="0017767A">
        <w:rPr>
          <w:kern w:val="2"/>
          <w14:ligatures w14:val="standardContextual"/>
        </w:rPr>
        <w:t>COM(2024)0272 – C10</w:t>
      </w:r>
      <w:r w:rsidRPr="0017767A">
        <w:rPr>
          <w:kern w:val="2"/>
          <w14:ligatures w14:val="standardContextual"/>
        </w:rPr>
        <w:noBreakHyphen/>
        <w:t>0072/2024</w:t>
      </w:r>
      <w:r w:rsidR="000048CE">
        <w:rPr>
          <w:kern w:val="2"/>
          <w14:ligatures w14:val="standardContextual"/>
        </w:rPr>
        <w:t>)</w:t>
      </w:r>
      <w:r w:rsidRPr="0017767A">
        <w:rPr>
          <w:kern w:val="2"/>
          <w:vertAlign w:val="superscript"/>
          <w14:ligatures w14:val="standardContextual"/>
        </w:rPr>
        <w:footnoteReference w:id="2"/>
      </w:r>
      <w:r w:rsidRPr="0017767A">
        <w:rPr>
          <w:kern w:val="2"/>
          <w14:ligatures w14:val="standardContextual"/>
        </w:rPr>
        <w:t>,</w:t>
      </w:r>
    </w:p>
    <w:p w14:paraId="51779AA6"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raportul anual de activitate pentru 2023 al Serviciului European de Acțiune Externă și raportul anual al acestuia privind gestiunea bugetară și financiară pentru exercițiul financiar 2023,</w:t>
      </w:r>
    </w:p>
    <w:p w14:paraId="7474B56F"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Raportul anual al Curții de Conturi referitor la execuția bugetului privind exercițiul financiar 2023, însoțit de răspunsurile instituțiilor</w:t>
      </w:r>
      <w:r w:rsidRPr="0017767A">
        <w:rPr>
          <w:kern w:val="2"/>
          <w:vertAlign w:val="superscript"/>
          <w14:ligatures w14:val="standardContextual"/>
        </w:rPr>
        <w:footnoteReference w:id="3"/>
      </w:r>
      <w:r w:rsidRPr="0017767A">
        <w:rPr>
          <w:kern w:val="2"/>
          <w14:ligatures w14:val="standardContextual"/>
        </w:rPr>
        <w:t>,</w:t>
      </w:r>
    </w:p>
    <w:p w14:paraId="3C614914"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declarația de asigurare</w:t>
      </w:r>
      <w:r w:rsidRPr="0017767A">
        <w:rPr>
          <w:kern w:val="2"/>
          <w:vertAlign w:val="superscript"/>
          <w14:ligatures w14:val="standardContextual"/>
        </w:rPr>
        <w:footnoteReference w:id="4"/>
      </w:r>
      <w:r w:rsidRPr="0017767A">
        <w:rPr>
          <w:kern w:val="2"/>
          <w14:ligatures w14:val="standardContextual"/>
        </w:rPr>
        <w:t xml:space="preserve"> privind fiabilitatea conturilor și legalitatea și regularitatea operațiunilor subiacente întocmită de Curtea de Conturi pentru exercițiul 2023 în temeiul articolului 287 din Tratatul privind funcționarea Uniunii Europene,</w:t>
      </w:r>
    </w:p>
    <w:p w14:paraId="7B3D5183"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articolul 314 alineatul (10) și articolele 317, 318 și 319 din Tratatul privind funcționarea Uniunii Europene,</w:t>
      </w:r>
    </w:p>
    <w:p w14:paraId="7A6D1934"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 xml:space="preserve">având în vedere Regulamentul (UE, Euratom) 2018/1046 al Parlamentului European și al Consiliului din 18 iulie 2018 privind normele financiare aplicabile bugetului general </w:t>
      </w:r>
      <w:r w:rsidRPr="0017767A">
        <w:rPr>
          <w:kern w:val="2"/>
          <w14:ligatures w14:val="standardContextual"/>
        </w:rPr>
        <w:lastRenderedPageBreak/>
        <w:t>al Uniunii, de modificare a Regulamentelor (UE) nr. 1296/2013, (UE) nr. 1301/2013, (UE) nr. 1303/2013, (UE) nr. 1304/2013, (UE) nr. 1309/2013, (UE) nr. 1316/2013, (UE) nr. 223/2014, (UE) nr. 283/2014 și a Deciziei nr. 541/2014/UE și de abrogare a Regulamentului (UE, Euratom) nr. 966/2012</w:t>
      </w:r>
      <w:r w:rsidRPr="0017767A">
        <w:rPr>
          <w:kern w:val="2"/>
          <w:vertAlign w:val="superscript"/>
          <w14:ligatures w14:val="standardContextual"/>
        </w:rPr>
        <w:footnoteReference w:id="5"/>
      </w:r>
      <w:r w:rsidRPr="0017767A">
        <w:rPr>
          <w:kern w:val="2"/>
          <w14:ligatures w14:val="standardContextual"/>
        </w:rPr>
        <w:t>, în special articolele 59, 118, 260 și 263,</w:t>
      </w:r>
    </w:p>
    <w:p w14:paraId="466CE19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Regulamentul (UE, Euratom) 2024/2509 al Parlamentului European și al Consiliului din 23 septembrie 2024 privind normele financiare aplicabile bugetului general al Uniunii</w:t>
      </w:r>
      <w:r w:rsidRPr="0017767A">
        <w:rPr>
          <w:kern w:val="2"/>
          <w:vertAlign w:val="superscript"/>
          <w14:ligatures w14:val="standardContextual"/>
        </w:rPr>
        <w:footnoteReference w:id="6"/>
      </w:r>
      <w:r w:rsidRPr="0017767A">
        <w:rPr>
          <w:kern w:val="2"/>
          <w14:ligatures w14:val="standardContextual"/>
        </w:rPr>
        <w:t>, în special articolele 59, 118 și 266 la 269,</w:t>
      </w:r>
    </w:p>
    <w:p w14:paraId="5A1747E1"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Decizia 2010/427/UE a Consiliului din 26 iulie 2010 privind organizarea și funcționarea Serviciului European de Acțiune Externă</w:t>
      </w:r>
      <w:r w:rsidRPr="0017767A">
        <w:rPr>
          <w:kern w:val="2"/>
          <w:vertAlign w:val="superscript"/>
          <w14:ligatures w14:val="standardContextual"/>
        </w:rPr>
        <w:footnoteReference w:id="7"/>
      </w:r>
      <w:r w:rsidRPr="0017767A">
        <w:rPr>
          <w:kern w:val="2"/>
          <w14:ligatures w14:val="standardContextual"/>
        </w:rPr>
        <w:t>, în special articolul 8,</w:t>
      </w:r>
    </w:p>
    <w:p w14:paraId="4A2D5D6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articolul 102 și anexa V la Regulamentul său de procedură,</w:t>
      </w:r>
    </w:p>
    <w:p w14:paraId="49650A04"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avizul Comisiei pentru afaceri externe,</w:t>
      </w:r>
    </w:p>
    <w:p w14:paraId="443E0DE0"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w:t>
      </w:r>
      <w:r w:rsidRPr="0017767A">
        <w:rPr>
          <w:kern w:val="2"/>
          <w14:ligatures w14:val="standardContextual"/>
        </w:rPr>
        <w:tab/>
        <w:t>având în vedere raportul Comisiei pentru control bugetar (A10-0069/2025),</w:t>
      </w:r>
    </w:p>
    <w:p w14:paraId="1BA71CB9"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1.</w:t>
      </w:r>
      <w:r w:rsidRPr="0017767A">
        <w:rPr>
          <w:kern w:val="2"/>
          <w14:ligatures w14:val="standardContextual"/>
        </w:rPr>
        <w:tab/>
        <w:t>acordă Înaltei Reprezentante a Uniunii pentru afaceri externe și politica de securitate descărcarea de gestiune pentru execuția bugetului Serviciului European de Acțiune Externă aferent exercițiului financiar 2023;</w:t>
      </w:r>
    </w:p>
    <w:p w14:paraId="7505B095"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w:t>
      </w:r>
      <w:r w:rsidRPr="0017767A">
        <w:rPr>
          <w:kern w:val="2"/>
          <w14:ligatures w14:val="standardContextual"/>
        </w:rPr>
        <w:tab/>
        <w:t>își prezintă observațiile în cadrul rezoluției de mai jos;</w:t>
      </w:r>
    </w:p>
    <w:p w14:paraId="765439FD" w14:textId="1B3D5E33" w:rsidR="0017767A" w:rsidRDefault="0017767A" w:rsidP="0017767A">
      <w:pPr>
        <w:spacing w:after="240"/>
        <w:ind w:left="567" w:hanging="567"/>
        <w:rPr>
          <w:kern w:val="2"/>
          <w14:ligatures w14:val="standardContextual"/>
        </w:rPr>
      </w:pPr>
      <w:r w:rsidRPr="0017767A">
        <w:rPr>
          <w:kern w:val="2"/>
          <w14:ligatures w14:val="standardContextual"/>
        </w:rPr>
        <w:t>3.</w:t>
      </w:r>
      <w:r w:rsidRPr="0017767A">
        <w:rPr>
          <w:kern w:val="2"/>
          <w14:ligatures w14:val="standardContextual"/>
        </w:rPr>
        <w:tab/>
        <w:t xml:space="preserve">încredințează </w:t>
      </w:r>
      <w:r w:rsidR="000048CE">
        <w:rPr>
          <w:kern w:val="2"/>
          <w14:ligatures w14:val="standardContextual"/>
        </w:rPr>
        <w:t>P</w:t>
      </w:r>
      <w:r w:rsidRPr="0017767A">
        <w:rPr>
          <w:kern w:val="2"/>
          <w14:ligatures w14:val="standardContextual"/>
        </w:rPr>
        <w:t xml:space="preserve">reședintei sarcina de a transmite prezenta decizie împreună cu rezoluția Parlamentului, ca parte integrantă a acesteia, Serviciului European de Acțiune Externă, Consiliului, Comisiei și Curții de Conturi, Ombudsmanului European și Autorității Europene pentru Protecția Datelor și de a asigura publicarea acestora în </w:t>
      </w:r>
      <w:r w:rsidRPr="0017767A">
        <w:rPr>
          <w:i/>
          <w:kern w:val="2"/>
          <w14:ligatures w14:val="standardContextual"/>
        </w:rPr>
        <w:t>Jurnalul Oficial al Uniunii Europene</w:t>
      </w:r>
      <w:r w:rsidRPr="0017767A">
        <w:rPr>
          <w:kern w:val="2"/>
          <w14:ligatures w14:val="standardContextual"/>
        </w:rPr>
        <w:t xml:space="preserve"> (seria L).</w:t>
      </w:r>
    </w:p>
    <w:p w14:paraId="588C9643" w14:textId="77777777" w:rsidR="0017767A" w:rsidRPr="0017767A" w:rsidRDefault="0017767A" w:rsidP="0017767A">
      <w:pPr>
        <w:spacing w:after="240"/>
        <w:ind w:left="567" w:hanging="567"/>
        <w:rPr>
          <w:kern w:val="2"/>
          <w14:ligatures w14:val="standardContextual"/>
        </w:rPr>
      </w:pPr>
    </w:p>
    <w:p w14:paraId="1841947A" w14:textId="77777777" w:rsidR="0017767A" w:rsidRPr="0017767A" w:rsidRDefault="0017767A" w:rsidP="0017767A">
      <w:pPr>
        <w:widowControl/>
        <w:jc w:val="both"/>
        <w:rPr>
          <w:rFonts w:eastAsia="Aptos"/>
          <w:kern w:val="2"/>
          <w:szCs w:val="24"/>
          <w:lang w:eastAsia="en-US"/>
          <w14:ligatures w14:val="standardContextual"/>
        </w:rPr>
        <w:sectPr w:rsidR="0017767A" w:rsidRPr="0017767A" w:rsidSect="000048CE">
          <w:footnotePr>
            <w:numRestart w:val="eachSect"/>
          </w:footnotePr>
          <w:pgSz w:w="11906" w:h="16838"/>
          <w:pgMar w:top="1134" w:right="1418" w:bottom="1418" w:left="1418" w:header="709" w:footer="709" w:gutter="0"/>
          <w:cols w:space="708"/>
          <w:docGrid w:linePitch="360"/>
        </w:sectPr>
      </w:pPr>
    </w:p>
    <w:p w14:paraId="26E9BFA6" w14:textId="77777777" w:rsidR="0017767A" w:rsidRPr="0017767A" w:rsidRDefault="0017767A" w:rsidP="0017767A">
      <w:pPr>
        <w:pStyle w:val="ATHeading3"/>
      </w:pPr>
      <w:r w:rsidRPr="0017767A">
        <w:lastRenderedPageBreak/>
        <w:t>2. Rezoluția Parlamentului European din 7 mai 2025 conținând observațiile care fac parte integrantă din decizia privind descărcarea de gestiune pentru execuția bugetului general al Uniunii Europene aferent exercițiului financiar 2023, secțiunea X – Serviciul European de Acțiune Externă (2024/2024(DEC))</w:t>
      </w:r>
    </w:p>
    <w:p w14:paraId="706A070A" w14:textId="42C3321D" w:rsidR="0017767A" w:rsidRPr="0017767A" w:rsidRDefault="0017767A" w:rsidP="0017767A">
      <w:pPr>
        <w:spacing w:before="480" w:after="240"/>
        <w:rPr>
          <w:i/>
          <w:kern w:val="2"/>
          <w14:ligatures w14:val="standardContextual"/>
        </w:rPr>
      </w:pPr>
      <w:r w:rsidRPr="0017767A">
        <w:rPr>
          <w:i/>
          <w:kern w:val="2"/>
          <w14:ligatures w14:val="standardContextual"/>
        </w:rPr>
        <w:t xml:space="preserve">Parlamentul </w:t>
      </w:r>
      <w:r>
        <w:rPr>
          <w:i/>
          <w:kern w:val="2"/>
          <w14:ligatures w14:val="standardContextual"/>
        </w:rPr>
        <w:t>E</w:t>
      </w:r>
      <w:r w:rsidRPr="0017767A">
        <w:rPr>
          <w:i/>
          <w:kern w:val="2"/>
          <w14:ligatures w14:val="standardContextual"/>
        </w:rPr>
        <w:t>uropean,</w:t>
      </w:r>
    </w:p>
    <w:p w14:paraId="2E9CEC44" w14:textId="6F00D305" w:rsidR="0017767A" w:rsidRPr="0017767A" w:rsidRDefault="000048CE" w:rsidP="0017767A">
      <w:pPr>
        <w:spacing w:after="240"/>
        <w:ind w:left="567" w:hanging="567"/>
        <w:rPr>
          <w:kern w:val="2"/>
          <w14:ligatures w14:val="standardContextual"/>
        </w:rPr>
      </w:pPr>
      <w:r w:rsidRPr="005662AE">
        <w:t>–</w:t>
      </w:r>
      <w:r w:rsidR="0017767A" w:rsidRPr="0017767A">
        <w:rPr>
          <w:kern w:val="2"/>
          <w14:ligatures w14:val="standardContextual"/>
        </w:rPr>
        <w:tab/>
        <w:t>având în vedere Decizia sa privind descărcarea de gestiune pentru execuția bugetului general al Uniunii Europene aferent exercițiului financiar 2023, secțiunea X – Serviciul European de Acțiune Externă,</w:t>
      </w:r>
    </w:p>
    <w:p w14:paraId="5520BA41" w14:textId="3C279528" w:rsidR="0017767A" w:rsidRPr="0017767A" w:rsidRDefault="000048CE" w:rsidP="0017767A">
      <w:pPr>
        <w:spacing w:after="240"/>
        <w:ind w:left="567" w:hanging="567"/>
        <w:rPr>
          <w:kern w:val="2"/>
          <w14:ligatures w14:val="standardContextual"/>
        </w:rPr>
      </w:pPr>
      <w:r w:rsidRPr="005662AE">
        <w:t>–</w:t>
      </w:r>
      <w:r w:rsidR="0017767A" w:rsidRPr="0017767A">
        <w:rPr>
          <w:kern w:val="2"/>
          <w14:ligatures w14:val="standardContextual"/>
        </w:rPr>
        <w:tab/>
        <w:t>având în vedere articolul 102 și anexa V la Regulamentul său de procedură,</w:t>
      </w:r>
    </w:p>
    <w:p w14:paraId="63962960" w14:textId="7A6B0905" w:rsidR="0017767A" w:rsidRPr="0017767A" w:rsidRDefault="000048CE" w:rsidP="0017767A">
      <w:pPr>
        <w:spacing w:after="240"/>
        <w:ind w:left="567" w:hanging="567"/>
        <w:rPr>
          <w:kern w:val="2"/>
          <w14:ligatures w14:val="standardContextual"/>
        </w:rPr>
      </w:pPr>
      <w:r w:rsidRPr="005662AE">
        <w:t>–</w:t>
      </w:r>
      <w:r w:rsidR="0017767A" w:rsidRPr="0017767A">
        <w:rPr>
          <w:kern w:val="2"/>
          <w14:ligatures w14:val="standardContextual"/>
        </w:rPr>
        <w:tab/>
        <w:t>având în vedere avizul Comisiei pentru afaceri externe,</w:t>
      </w:r>
    </w:p>
    <w:p w14:paraId="12BE38F2" w14:textId="3476B1D6" w:rsidR="0017767A" w:rsidRPr="0017767A" w:rsidRDefault="000048CE" w:rsidP="0017767A">
      <w:pPr>
        <w:spacing w:after="240"/>
        <w:ind w:left="567" w:hanging="567"/>
        <w:rPr>
          <w:kern w:val="2"/>
          <w14:ligatures w14:val="standardContextual"/>
        </w:rPr>
      </w:pPr>
      <w:r w:rsidRPr="005662AE">
        <w:t>–</w:t>
      </w:r>
      <w:r w:rsidR="0017767A" w:rsidRPr="0017767A">
        <w:rPr>
          <w:kern w:val="2"/>
          <w14:ligatures w14:val="standardContextual"/>
        </w:rPr>
        <w:tab/>
        <w:t>având în vedere raportul Comisiei pentru control bugetar (A10-0069/2025),</w:t>
      </w:r>
    </w:p>
    <w:p w14:paraId="269B5310"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A.</w:t>
      </w:r>
      <w:r w:rsidRPr="0017767A">
        <w:rPr>
          <w:kern w:val="2"/>
          <w14:ligatures w14:val="standardContextual"/>
        </w:rPr>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14:paraId="2FCE5AAA"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B.</w:t>
      </w:r>
      <w:r w:rsidRPr="0017767A">
        <w:rPr>
          <w:kern w:val="2"/>
          <w14:ligatures w14:val="standardContextual"/>
        </w:rPr>
        <w:tab/>
        <w:t>întrucât Serviciul European de Acțiune Externă (SEAE) are competența de a gestiona cheltuielile administrative ale sediului său central de la Bruxelles și ale rețelei alcătuite din cele 144 de delegații și birouri ale Uniunii;</w:t>
      </w:r>
    </w:p>
    <w:p w14:paraId="1A78FB09"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C.</w:t>
      </w:r>
      <w:r w:rsidRPr="0017767A">
        <w:rPr>
          <w:kern w:val="2"/>
          <w14:ligatures w14:val="standardContextual"/>
        </w:rPr>
        <w:tab/>
        <w:t xml:space="preserve">întrucât responsabilitatea SEAE a fost extinsă pentru a include gestionarea administrativă a personalului delegațiilor Comisiei printr-o serie de acorduri privind nivelul serviciilor (Service </w:t>
      </w:r>
      <w:proofErr w:type="spellStart"/>
      <w:r w:rsidRPr="0017767A">
        <w:rPr>
          <w:kern w:val="2"/>
          <w14:ligatures w14:val="standardContextual"/>
        </w:rPr>
        <w:t>Level</w:t>
      </w:r>
      <w:proofErr w:type="spellEnd"/>
      <w:r w:rsidRPr="0017767A">
        <w:rPr>
          <w:kern w:val="2"/>
          <w14:ligatures w14:val="standardContextual"/>
        </w:rPr>
        <w:t xml:space="preserve"> Agreement – SLA),</w:t>
      </w:r>
    </w:p>
    <w:p w14:paraId="2E43427D"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D.</w:t>
      </w:r>
      <w:r w:rsidRPr="0017767A">
        <w:rPr>
          <w:kern w:val="2"/>
          <w14:ligatures w14:val="standardContextual"/>
        </w:rPr>
        <w:tab/>
        <w:t>întrucât rolul delegațiilor este de a reprezenta Uniunea și cetățenii săi din întreaga lume prin dezvoltarea de rețele și parteneriate și de a promova valorile Uniunii;</w:t>
      </w:r>
    </w:p>
    <w:p w14:paraId="655A946B"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E.</w:t>
      </w:r>
      <w:r w:rsidRPr="0017767A">
        <w:rPr>
          <w:kern w:val="2"/>
          <w14:ligatures w14:val="standardContextual"/>
        </w:rPr>
        <w:tab/>
        <w:t>întrucât particularitatea SEAE constă în originea și natura sa, astfel cum era la momentul formării sale prin fuzionarea personalului aparținând departamentelor de relații externe ale Consiliului și Comisiei, în care au fost integrați diplomați din statele membre;</w:t>
      </w:r>
    </w:p>
    <w:p w14:paraId="5EFCB2FF"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F.</w:t>
      </w:r>
      <w:r w:rsidRPr="0017767A">
        <w:rPr>
          <w:kern w:val="2"/>
          <w14:ligatures w14:val="standardContextual"/>
        </w:rPr>
        <w:tab/>
        <w:t xml:space="preserve">întrucât, în conformitate cu normele interne ale SEAE, Secretarul General al SEAE acționează ca ordonator de credite delegat al instituției, iar directorul general pentru gestionarea resurselor are rolul de ordonator de credite </w:t>
      </w:r>
      <w:proofErr w:type="spellStart"/>
      <w:r w:rsidRPr="0017767A">
        <w:rPr>
          <w:kern w:val="2"/>
          <w14:ligatures w14:val="standardContextual"/>
        </w:rPr>
        <w:t>subdelegat</w:t>
      </w:r>
      <w:proofErr w:type="spellEnd"/>
      <w:r w:rsidRPr="0017767A">
        <w:rPr>
          <w:kern w:val="2"/>
          <w14:ligatures w14:val="standardContextual"/>
        </w:rPr>
        <w:t xml:space="preserve"> principal;</w:t>
      </w:r>
    </w:p>
    <w:p w14:paraId="1F6BD095"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G.</w:t>
      </w:r>
      <w:r w:rsidRPr="0017767A">
        <w:rPr>
          <w:kern w:val="2"/>
          <w14:ligatures w14:val="standardContextual"/>
        </w:rPr>
        <w:tab/>
        <w:t>întrucât competențele conferite prin Statutul funcționarilor autorității împuternicite să facă numiri sunt exercitate de Vicepreședinta Comisiei/Înalta Reprezentantă a Uniunii pentru afaceri externe și politica de securitate („Vicepreședinta/Înalta Reprezentantă”) în ceea ce privește personalul SEAE;</w:t>
      </w:r>
    </w:p>
    <w:p w14:paraId="062DA5D8"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H.</w:t>
      </w:r>
      <w:r w:rsidRPr="0017767A">
        <w:rPr>
          <w:kern w:val="2"/>
          <w14:ligatures w14:val="standardContextual"/>
        </w:rPr>
        <w:tab/>
        <w:t>întrucât execuția bugetară este reglementată de Regulamentul financiar și de normele interne de execuție a bugetului ale SEAE,</w:t>
      </w:r>
    </w:p>
    <w:p w14:paraId="20400E69"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lastRenderedPageBreak/>
        <w:t>1.</w:t>
      </w:r>
      <w:r w:rsidRPr="0017767A">
        <w:rPr>
          <w:kern w:val="2"/>
          <w14:ligatures w14:val="standardContextual"/>
        </w:rPr>
        <w:tab/>
        <w:t>observă că bugetul SEAE se încadrează la rubrica 7 din CFM, „Administrația publică europeană”, care s-a ridicat la 12,3 miliarde EUR în 2023 (reprezentând 6,4 % din bugetul total al Uniunii); ia act de faptul că bugetul de aproximativ 1,1 miliarde EUR al SEAE reprezintă aproximativ 9,2 % din cheltuielile administrative totale ale Uniunii;</w:t>
      </w:r>
    </w:p>
    <w:p w14:paraId="54759BCC"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w:t>
      </w:r>
      <w:r w:rsidRPr="0017767A">
        <w:rPr>
          <w:kern w:val="2"/>
          <w14:ligatures w14:val="standardContextual"/>
        </w:rPr>
        <w:tab/>
        <w:t>constată că în Raportul său anual pentru exercițiul financiar 2023, Curtea de Conturi (denumită în continuare „Curtea”) a examinat un eșantion de 70 de operațiuni de la rubrica „Administrație”, cu zece mai mult decât în 2022; observă totodată că Curtea indică că cheltuielile administrative cuprind cheltuieli cu resursele umane, inclusiv cheltuieli cu pensiile, care, în 2023, au reprezentat aproximativ 70 % din cheltuielile administrative totale, precum și cheltuieli cu clădirile, echipamentele, energia, comunicațiile și tehnologia informației și că activitatea pe care a desfășurat-o de-a lungul mai multor ani indică faptul că, în general, aceste cheltuieli prezintă riscuri scăzute;</w:t>
      </w:r>
    </w:p>
    <w:p w14:paraId="3EE6D02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w:t>
      </w:r>
      <w:r w:rsidRPr="0017767A">
        <w:rPr>
          <w:kern w:val="2"/>
          <w14:ligatures w14:val="standardContextual"/>
        </w:rPr>
        <w:tab/>
        <w:t>constată că 21 (30 %) dintre cele 70 de operațiuni au conținut erori, însă Curtea, pe baza celor cinci erori care au fost cuantificate, estimează că nivelul de eroare este sub pragul de semnificație;</w:t>
      </w:r>
    </w:p>
    <w:p w14:paraId="37CC495A"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4.</w:t>
      </w:r>
      <w:r w:rsidRPr="0017767A">
        <w:rPr>
          <w:kern w:val="2"/>
          <w14:ligatures w14:val="standardContextual"/>
        </w:rPr>
        <w:tab/>
        <w:t>ia act cu îngrijorare de faptul că, în raportul său anual pentru exercițiul financiar 2023, Curtea a constatat o eroare cuantificabilă la una dintre cele 13 plăți examinate și a identificat șase constatări necuantificabile cu privire la SEAE; observă că eroarea cuantificabilă era legată de absența unei proceduri de achiziții valabile înainte de semnarea unui contract de închiriere pentru o delegație a Uniunii; ia act de faptul că, în 2023, SEAE a luat măsuri pentru a corecta cele două erori cuantificabile constatate de Curte în raportul său anual pe 2022 și pentru a evita astfel de probleme în viitor;</w:t>
      </w:r>
    </w:p>
    <w:p w14:paraId="3326CBBA"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t>Gestiunea bugetară și financiară</w:t>
      </w:r>
    </w:p>
    <w:p w14:paraId="726263BA"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5.</w:t>
      </w:r>
      <w:r w:rsidRPr="0017767A">
        <w:rPr>
          <w:kern w:val="2"/>
          <w14:ligatures w14:val="standardContextual"/>
        </w:rPr>
        <w:tab/>
        <w:t xml:space="preserve">ia act de faptul că bugetul final al SEAE pentru 2023 a fost de 821 900 280 EUR, ceea ce reprezintă o creștere de 4,45 % față de 2022; observă că, SEAE a dispus și de o sumă de 259,7 milioane EUR (inclusiv venituri alocate și sume reportate) din partea Comisiei pentru a acoperi costurile administrative aferente personalului Comisiei care lucrează în cadrul delegațiilor Uniunii; remarcă, de asemenea, că SEAE a primit contribuții fixe suplimentare pentru a acoperi costurile comune ale personalului Fondului european de dezvoltare în delegații și în </w:t>
      </w:r>
      <w:proofErr w:type="spellStart"/>
      <w:r w:rsidRPr="0017767A">
        <w:rPr>
          <w:kern w:val="2"/>
          <w14:ligatures w14:val="standardContextual"/>
        </w:rPr>
        <w:t>coamplasări</w:t>
      </w:r>
      <w:proofErr w:type="spellEnd"/>
      <w:r w:rsidRPr="0017767A">
        <w:rPr>
          <w:kern w:val="2"/>
          <w14:ligatures w14:val="standardContextual"/>
        </w:rPr>
        <w:t xml:space="preserve">, precum și alte sume primite în temeiul acordurilor de </w:t>
      </w:r>
      <w:proofErr w:type="spellStart"/>
      <w:r w:rsidRPr="0017767A">
        <w:rPr>
          <w:kern w:val="2"/>
          <w14:ligatures w14:val="standardContextual"/>
        </w:rPr>
        <w:t>coamplasare</w:t>
      </w:r>
      <w:proofErr w:type="spellEnd"/>
      <w:r w:rsidRPr="0017767A">
        <w:rPr>
          <w:kern w:val="2"/>
          <w14:ligatures w14:val="standardContextual"/>
        </w:rPr>
        <w:t xml:space="preserve"> și al altor acorduri; constată că suma bugetară totală gestionată de SEAE în 2023 s-a ridicat, prin urmare, la 1 198,2 milioane EUR (credite de angajament), ceea ce a reprezentat o creștere de 4,8 % față de exercițiul precedent;</w:t>
      </w:r>
    </w:p>
    <w:p w14:paraId="4398C983" w14:textId="77777777" w:rsidR="0017767A" w:rsidRPr="0017767A" w:rsidRDefault="0017767A" w:rsidP="0017767A">
      <w:pPr>
        <w:spacing w:after="240"/>
        <w:ind w:left="567" w:hanging="567"/>
        <w:rPr>
          <w:b/>
          <w:kern w:val="2"/>
          <w14:ligatures w14:val="standardContextual"/>
        </w:rPr>
      </w:pPr>
      <w:r w:rsidRPr="0017767A">
        <w:rPr>
          <w:kern w:val="2"/>
          <w14:ligatures w14:val="standardContextual"/>
        </w:rPr>
        <w:t>6.</w:t>
      </w:r>
      <w:r w:rsidRPr="0017767A">
        <w:rPr>
          <w:kern w:val="2"/>
          <w14:ligatures w14:val="standardContextual"/>
        </w:rPr>
        <w:tab/>
        <w:t>observă că, în 2023, rata de execuție bugetară a creditelor de angajament a fost de 100 %, în timp ce rata de execuție a plăților a fost de 91,9 %, comparativ cu 90,6 % în 2022; ia act de faptul că termenul mediu de plată a fost de 13,57 zile, dar remarcă totuși că 8,63 % din suma totală a fost plătită cu întârziere, ceea ce a dus la plata unor dobânzi de întârziere în valoare de 50 253,91 EUR în 2023; îndeamnă SEAE să își plătească angajamentele la timp;</w:t>
      </w:r>
      <w:r w:rsidRPr="0017767A">
        <w:rPr>
          <w:color w:val="FF0000"/>
          <w:kern w:val="2"/>
          <w14:ligatures w14:val="standardContextual"/>
        </w:rPr>
        <w:t xml:space="preserve"> </w:t>
      </w:r>
      <w:r w:rsidRPr="0017767A">
        <w:rPr>
          <w:kern w:val="2"/>
          <w14:ligatures w14:val="standardContextual"/>
        </w:rPr>
        <w:t>solicită SEAE să își continue eforturile pentru a îmbunătăți numărul de plăți electronice și a digitaliza fluxurile de lucru, în special în delegații;</w:t>
      </w:r>
    </w:p>
    <w:p w14:paraId="577772A4"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w:t>
      </w:r>
      <w:r w:rsidRPr="0017767A">
        <w:rPr>
          <w:kern w:val="2"/>
          <w14:ligatures w14:val="standardContextual"/>
        </w:rPr>
        <w:tab/>
        <w:t xml:space="preserve">observă că SEAE a informat autoritatea bugetară cu privire la două transferuri bugetare în conformitate cu articolul 29 alineatul (1) din Regulamentul financiar și a efectuat 11 transferuri autonome în conformitate cu articolul 29 alineatul (4), în valoare totală de </w:t>
      </w:r>
      <w:r w:rsidRPr="0017767A">
        <w:rPr>
          <w:kern w:val="2"/>
          <w14:ligatures w14:val="standardContextual"/>
        </w:rPr>
        <w:lastRenderedPageBreak/>
        <w:t>55,7 milioane EUR; ia act de faptul că scopul principal al transferurilor a fost de a majora linia bugetară 3 0 0 3 privind clădirile și costurile asociate din delegații cu 18,97 milioane EUR și linia bugetară 3 0 0 1 privind personalul extern și serviciile externe din delegații cu 5,6 milioane EUR; constată că, în urma transferurilor, bugetul final pentru sediul SEAE s-a ridicat la 327,8 milioane EUR, iar bugetul final pentru delegații s-a ridicat la 494,1 milioane EUR;</w:t>
      </w:r>
    </w:p>
    <w:p w14:paraId="1C75E56E"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8.</w:t>
      </w:r>
      <w:r w:rsidRPr="0017767A">
        <w:rPr>
          <w:kern w:val="2"/>
          <w14:ligatures w14:val="standardContextual"/>
        </w:rPr>
        <w:tab/>
        <w:t xml:space="preserve">remarcă că, în 2023, SEAE s-a confruntat cu provocări politice și financiare tot mai mari, precum și cu provocări în ceea ce privește drepturile omului și statul de drept; observă că războiul de agresiune al Rusiei împotriva Ucrainei și consecințele sale geopolitice au continuat să fie o problemă majoră în 2023, ceea ce a determinat SEAE să asigure un sprijin larg pentru Ucraina, să exercite presiuni asupra Rusiei și să își continue acțiunile de sensibilizare la nivel mondial pentru a face față consecințelor mai ample ale războiului, cum ar fi punerea în aplicare a Planului de acțiune privind consecințele geopolitice ale agresiunii Rusiei împotriva Ucrainei; recunoaște rolul SEAE în colectarea de probe împotriva canalelor mass-media ruse susținute de stat și sancționate de UE și a persoanelor implicate în răspândirea dezinformării și manipularea informațiilor pentru a justifica războiul de agresiune al Rusiei; subliniază necesitatea de a furniza resurse adecvate diviziei de comunicare strategică și analiză prospectivă a SEAE pentru a combate în mod eficace campaniile de dezinformare desfășurate ca instrumente strategice de regimurile autoritare și </w:t>
      </w:r>
      <w:proofErr w:type="spellStart"/>
      <w:r w:rsidRPr="0017767A">
        <w:rPr>
          <w:kern w:val="2"/>
          <w14:ligatures w14:val="standardContextual"/>
        </w:rPr>
        <w:t>iliberale</w:t>
      </w:r>
      <w:proofErr w:type="spellEnd"/>
      <w:r w:rsidRPr="0017767A">
        <w:rPr>
          <w:kern w:val="2"/>
          <w14:ligatures w14:val="standardContextual"/>
        </w:rPr>
        <w:t xml:space="preserve">; invită SEAE să consolideze delegațiile Uniunii în țările Parteneriatului estic pentru a sprijini țările puternic afectate de agresiunea militară a Rusiei împotriva Ucrainei; constată că plafonul financiar al Instrumentului european pentru pace gestionat sub autoritatea Vicepreședintei/Înaltei Reprezentante a fost majorat de la 5,6 milioane EUR la peste 12 milioane EUR în 2023; invită SEAE să colaboreze cu Direcția Generală Extindere și Vecinătate Estică pentru a asigura supravegherea și monitorizarea eficace a proiectelor finanțate de Instrument; ia act de faptul că reluarea conflictului dintre Israel și Palestina în urma atacului </w:t>
      </w:r>
      <w:proofErr w:type="spellStart"/>
      <w:r w:rsidRPr="0017767A">
        <w:rPr>
          <w:kern w:val="2"/>
          <w14:ligatures w14:val="standardContextual"/>
        </w:rPr>
        <w:t>Hamas</w:t>
      </w:r>
      <w:proofErr w:type="spellEnd"/>
      <w:r w:rsidRPr="0017767A">
        <w:rPr>
          <w:kern w:val="2"/>
          <w14:ligatures w14:val="standardContextual"/>
        </w:rPr>
        <w:t xml:space="preserve"> din 7 octombrie 2023 a impus SEAE să se implice în eforturi diplomatice intense, să încurajeze instituțiile Uniunii să îndemne la detensionare regională, să răspundă nevoilor umanitare și să sprijine eforturile de pace regionale; subliniază că asistența Uniunii și a SEAE trebuie să se alinieze la obiectivele mai ample în materie de drepturi ale omului și pace din regiune și să fie însoțită de garanții solide pentru a se asigura că fondurile nu sprijină, direct sau indirect, activitățile teroriste sau violente; subliniază că finanțarea Uniunii pentru reconstrucția Fâșiei Gaza ar trebui să înceapă numai după eliberarea tuturor ostaticilor reținuți de </w:t>
      </w:r>
      <w:proofErr w:type="spellStart"/>
      <w:r w:rsidRPr="0017767A">
        <w:rPr>
          <w:kern w:val="2"/>
          <w14:ligatures w14:val="standardContextual"/>
        </w:rPr>
        <w:t>Hamas</w:t>
      </w:r>
      <w:proofErr w:type="spellEnd"/>
      <w:r w:rsidRPr="0017767A">
        <w:rPr>
          <w:kern w:val="2"/>
          <w14:ligatures w14:val="standardContextual"/>
        </w:rPr>
        <w:t>; subliniază importanța transparenței în alocarea resurselor financiare în țările terțe pentru a asigura responsabilitatea în utilizarea bugetului Uniunii și a noilor instrumente financiare;</w:t>
      </w:r>
    </w:p>
    <w:p w14:paraId="71EF7D5B"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9.</w:t>
      </w:r>
      <w:r w:rsidRPr="0017767A">
        <w:rPr>
          <w:b/>
          <w:i/>
          <w:kern w:val="2"/>
          <w14:ligatures w14:val="standardContextual"/>
        </w:rPr>
        <w:tab/>
      </w:r>
      <w:r w:rsidRPr="0017767A">
        <w:rPr>
          <w:kern w:val="2"/>
          <w14:ligatures w14:val="standardContextual"/>
        </w:rPr>
        <w:t>îndeamnă SEAE să colaboreze îndeaproape cu Comisia pentru a se asigura că pe ordinea de zi a oricăror eventuale acțiuni viitoare privind Federația Rusă se află restituirea completă a tezaurului național al României și a patrimoniului național al altor state membre;</w:t>
      </w:r>
    </w:p>
    <w:p w14:paraId="0BA90871" w14:textId="77777777" w:rsidR="0017767A" w:rsidRPr="0017767A" w:rsidRDefault="0017767A" w:rsidP="0017767A">
      <w:pPr>
        <w:spacing w:after="240"/>
        <w:ind w:left="567" w:hanging="567"/>
        <w:rPr>
          <w:bCs/>
          <w:kern w:val="2"/>
          <w:szCs w:val="24"/>
          <w14:ligatures w14:val="standardContextual"/>
        </w:rPr>
      </w:pPr>
      <w:r w:rsidRPr="0017767A">
        <w:rPr>
          <w:kern w:val="2"/>
          <w14:ligatures w14:val="standardContextual"/>
        </w:rPr>
        <w:t>10.</w:t>
      </w:r>
      <w:r w:rsidRPr="0017767A">
        <w:rPr>
          <w:kern w:val="2"/>
          <w14:ligatures w14:val="standardContextual"/>
        </w:rPr>
        <w:tab/>
        <w:t xml:space="preserve">reamintește că au existat acuzații privind implicarea angajaților UNRWA în Gaza în atacurile teroriste ale </w:t>
      </w:r>
      <w:proofErr w:type="spellStart"/>
      <w:r w:rsidRPr="0017767A">
        <w:rPr>
          <w:kern w:val="2"/>
          <w14:ligatures w14:val="standardContextual"/>
        </w:rPr>
        <w:t>Hamas</w:t>
      </w:r>
      <w:proofErr w:type="spellEnd"/>
      <w:r w:rsidRPr="0017767A">
        <w:rPr>
          <w:kern w:val="2"/>
          <w14:ligatures w14:val="standardContextual"/>
        </w:rPr>
        <w:t xml:space="preserve"> împotriva Israelului din 7 octombrie 2023; constată că, drept răspuns la aceste acuzații, UNRWA a reziliat oficial contractul de muncă a nouă angajați; subliniază că Comisia a colaborat cu UNRWA pentru a îmbunătăți sistemele de control, în conformitate cu recomandările Biroului serviciilor de supraveghere internă al ONU (OIOS), inclusiv pentru a evalua situația personalului și a consolida cadrele interne de anchetă și de etică; subliniază că, în urma preocupărilor exprimate în repetate </w:t>
      </w:r>
      <w:r w:rsidRPr="0017767A">
        <w:rPr>
          <w:kern w:val="2"/>
          <w14:ligatures w14:val="standardContextual"/>
        </w:rPr>
        <w:lastRenderedPageBreak/>
        <w:t xml:space="preserve">rânduri de Parlament cu privire la utilizarea abuzivă a finanțării din partea Uniunii, ajutorul din partea Uniunii nu ar trebui în niciun caz să servească la finanțarea terorismului; cere să se mențină vigilența pentru a garanta că banii contribuabililor nu sunt utilizați în mod abuziv; subliniază importanța controalelor pentru a garanta că normele Uniunii și a dreptului internațional sunt respectate de către beneficiarii fondurilor Uniunii, precum și necesitatea de a consolida măsurile pentru a preveni utilizarea abuzivă a sprijinului financiar din partea Uniunii; încurajează SEAE să își intensifice eforturile pentru a proteja finanțarea din partea Uniunii și să monitorizeze punerea în aplicare a jaloanelor prezentate în acordul dintre comisarul </w:t>
      </w:r>
      <w:proofErr w:type="spellStart"/>
      <w:r w:rsidRPr="0017767A">
        <w:rPr>
          <w:kern w:val="2"/>
          <w14:ligatures w14:val="standardContextual"/>
        </w:rPr>
        <w:t>Várhelyi</w:t>
      </w:r>
      <w:proofErr w:type="spellEnd"/>
      <w:r w:rsidRPr="0017767A">
        <w:rPr>
          <w:kern w:val="2"/>
          <w14:ligatures w14:val="standardContextual"/>
        </w:rPr>
        <w:t xml:space="preserve"> și comisarul general al UNRWA, </w:t>
      </w:r>
      <w:proofErr w:type="spellStart"/>
      <w:r w:rsidRPr="0017767A">
        <w:rPr>
          <w:kern w:val="2"/>
          <w14:ligatures w14:val="standardContextual"/>
        </w:rPr>
        <w:t>Lazzarini</w:t>
      </w:r>
      <w:proofErr w:type="spellEnd"/>
      <w:r w:rsidRPr="0017767A">
        <w:rPr>
          <w:kern w:val="2"/>
          <w14:ligatures w14:val="standardContextual"/>
        </w:rPr>
        <w:t>, din aprilie 2024, care include dispoziții privind efectuarea de audituri ale Uniunii și consolidarea supravegherii interne în cadrul UNRWA; subliniază că este necesar ca Autoritatea Palestiniană să alinieze toate materialele educaționale la standardele UNESCO, în special eliminând orice conținut cu caracter antisemit sau care incită la violență; subliniază că sprijinul financiar al Uniunii pentru Autoritatea Palestiniană în domeniul educației ar trebui acordat cu condiția ca aceste standarde să fie respectate; încurajează SEAE să sprijine eforturile diplomatice pentru a găsi o soluție cuprinzătoare și sustenabilă la conflictul israeliano-palestinian și să informeze Parlamentul cu privire la orice evoluție a cooperării Uniunii cu Autoritatea Palestiniană;</w:t>
      </w:r>
    </w:p>
    <w:p w14:paraId="6EB59E9B"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11.</w:t>
      </w:r>
      <w:r w:rsidRPr="0017767A">
        <w:rPr>
          <w:kern w:val="2"/>
          <w14:ligatures w14:val="standardContextual"/>
        </w:rPr>
        <w:tab/>
        <w:t>constată că SEAE a raportat constrângeri bugetare considerabile în 2023, care au condus la reduceri drastice și la optimizarea bugetului pentru a îi permite să facă față inflației din țările terțe, fluctuațiilor monedelor locale și creșterii prețurilor, în special a costurilor de închiriere a birourilor, a costurilor legate de tehnologia informației și securitate, precum și a prețurilor la energie; acest fapt a expus SEAE la costuri de funcționare mult mai mari în țări străine, afectând astfel capacitatea sa de a funcționa în mod eficace și de a-și îndeplini obligația de diligență față de personalul detașat în delegații; regretă că, drept urmare a presiunilor bugetare, SEAE a amânat întreținerea infrastructurii, a suspendat sau a anulat cheltuielile de securitate în delegații și a efectuat reduceri la posturi bugetare, cum ar fi reduceri ale bugetului pentru misiuni și reprezentare, materiale de birou și cursuri de formare; regretă că, din motive bugetare, SEAE a trebuit să acorde prioritate participării personalului la misiunile de observare a alegerilor în detrimentul altor tipuri de misiuni, cum ar fi misiunile de monitorizare; subliniază necesitatea înființării unui serviciu diplomatic al UE;</w:t>
      </w:r>
    </w:p>
    <w:p w14:paraId="48928C0E" w14:textId="77777777" w:rsidR="0017767A" w:rsidRPr="0017767A" w:rsidRDefault="0017767A" w:rsidP="0017767A">
      <w:pPr>
        <w:spacing w:after="240"/>
        <w:ind w:left="567" w:hanging="567"/>
        <w:rPr>
          <w:b/>
          <w:i/>
          <w:kern w:val="2"/>
          <w:szCs w:val="24"/>
          <w14:ligatures w14:val="standardContextual"/>
        </w:rPr>
      </w:pPr>
      <w:r w:rsidRPr="0017767A">
        <w:rPr>
          <w:kern w:val="2"/>
          <w14:ligatures w14:val="standardContextual"/>
        </w:rPr>
        <w:t>12.</w:t>
      </w:r>
      <w:r w:rsidRPr="0017767A">
        <w:rPr>
          <w:kern w:val="2"/>
          <w14:ligatures w14:val="standardContextual"/>
        </w:rPr>
        <w:tab/>
        <w:t xml:space="preserve">ia act de faptul că, în 2023, SEAE, atât la sediul său, cât și în delegații, a lansat în total 28 de proceduri deschise de achiziții publice, 27 de proceduri competitive cu negocieri, 14 proceduri negociate fără publicarea prealabilă a unui anunț de participare, 6 proceduri restrânse și două proceduri negociate pentru contracte de lucrări cu valoare medie, care au avut succes și au condus la atribuirea unui contract în 52 % din cazuri în medie; constată că standardele ridicate și complexitatea normelor Uniunii în materie de achiziții publice ar putea fi unul dintre motivele pentru care un număr relativ mare de proceduri de achiziții publice eșuează, deoarece aplicarea acestor norme ar putea fi dificilă pentru ofertanți, în special în țările terțe; solicită SEAE să investigheze motivele care stau la baza numărului relativ ridicat de proceduri de achiziții publice eșuate și să propună soluții pentru a asigura punerea lor efectivă în aplicare, menținând în același timp standardele stabilite de Uniune; regretă că, în ceea ce privește acțiunile externe, normele privind achizițiile publice au fost simplificate cu ocazia reformării Regulamentului financiar; subliniază că normele privind achizițiile publice sunt menite să garanteze că proiectele finanțate mențin standarde ridicate și nu sunt predispuse la fraudă; invită SEAE să depună întotdeauna eforturi pentru a garanta cel mai înalt nivel </w:t>
      </w:r>
      <w:r w:rsidRPr="0017767A">
        <w:rPr>
          <w:kern w:val="2"/>
          <w14:ligatures w14:val="standardContextual"/>
        </w:rPr>
        <w:lastRenderedPageBreak/>
        <w:t>de control în toate procedurile de licitație; consideră că lipsa de familiarizare în țările terțe cu standardele ridicate ale normelor Uniunii în materie de achiziții publice nu ar trebui să servească niciodată drept pretext sau scuză pentru a reduce exigențele;</w:t>
      </w:r>
    </w:p>
    <w:p w14:paraId="3913D6B8" w14:textId="77777777" w:rsidR="0017767A" w:rsidRPr="0017767A" w:rsidRDefault="0017767A" w:rsidP="0017767A">
      <w:pPr>
        <w:spacing w:after="240"/>
        <w:ind w:left="567" w:hanging="567"/>
        <w:rPr>
          <w:kern w:val="2"/>
          <w:szCs w:val="23"/>
          <w14:ligatures w14:val="standardContextual"/>
        </w:rPr>
      </w:pPr>
      <w:r w:rsidRPr="0017767A">
        <w:rPr>
          <w:kern w:val="2"/>
          <w14:ligatures w14:val="standardContextual"/>
        </w:rPr>
        <w:t>13.</w:t>
      </w:r>
      <w:r w:rsidRPr="0017767A">
        <w:rPr>
          <w:kern w:val="2"/>
          <w14:ligatures w14:val="standardContextual"/>
        </w:rPr>
        <w:tab/>
        <w:t xml:space="preserve">salută faptul că numărul de proiecte de </w:t>
      </w:r>
      <w:proofErr w:type="spellStart"/>
      <w:r w:rsidRPr="0017767A">
        <w:rPr>
          <w:kern w:val="2"/>
          <w14:ligatures w14:val="standardContextual"/>
        </w:rPr>
        <w:t>coamplasare</w:t>
      </w:r>
      <w:proofErr w:type="spellEnd"/>
      <w:r w:rsidRPr="0017767A">
        <w:rPr>
          <w:kern w:val="2"/>
          <w14:ligatures w14:val="standardContextual"/>
        </w:rPr>
        <w:t xml:space="preserve"> cu statele membre și cu alți parteneri ai Uniunii în cadrul delegațiilor Uniunii a fost de 138 la sfârșitul anului 2023, cu 12 mai mult decât în 2022; ia act de faptul că, din numărul total de proiecte de </w:t>
      </w:r>
      <w:proofErr w:type="spellStart"/>
      <w:r w:rsidRPr="0017767A">
        <w:rPr>
          <w:kern w:val="2"/>
          <w14:ligatures w14:val="standardContextual"/>
        </w:rPr>
        <w:t>coamplasare</w:t>
      </w:r>
      <w:proofErr w:type="spellEnd"/>
      <w:r w:rsidRPr="0017767A">
        <w:rPr>
          <w:kern w:val="2"/>
          <w14:ligatures w14:val="standardContextual"/>
        </w:rPr>
        <w:t xml:space="preserve"> în 2023, 42 au fost încheiate cu state membre și țări partenere, 91 cu alți parteneri ai Uniunii și cinci au fost </w:t>
      </w:r>
      <w:proofErr w:type="spellStart"/>
      <w:r w:rsidRPr="0017767A">
        <w:rPr>
          <w:kern w:val="2"/>
          <w14:ligatures w14:val="standardContextual"/>
        </w:rPr>
        <w:t>coamplasări</w:t>
      </w:r>
      <w:proofErr w:type="spellEnd"/>
      <w:r w:rsidRPr="0017767A">
        <w:rPr>
          <w:kern w:val="2"/>
          <w14:ligatures w14:val="standardContextual"/>
        </w:rPr>
        <w:t xml:space="preserve"> „inverse” (și anume, delegația UE era găzduită în clădirea statului partener); observă că, în 2023, </w:t>
      </w:r>
      <w:proofErr w:type="spellStart"/>
      <w:r w:rsidRPr="0017767A">
        <w:rPr>
          <w:kern w:val="2"/>
          <w14:ligatures w14:val="standardContextual"/>
        </w:rPr>
        <w:t>coamplasările</w:t>
      </w:r>
      <w:proofErr w:type="spellEnd"/>
      <w:r w:rsidRPr="0017767A">
        <w:rPr>
          <w:kern w:val="2"/>
          <w14:ligatures w14:val="standardContextual"/>
        </w:rPr>
        <w:t xml:space="preserve"> au reprezentat 8 % din suprafața totală a birourilor din delegațiile Uniunii și au vizat mai mult de jumătate din delegațiile Uniunii (75), ceea ce se poate considera un exemplu de optimizare cu succes a gestionării clădirilor SEAE, dar și un indicator al interesului sporit al partenerilor de a împărți sedii în țări terțe și al importanței </w:t>
      </w:r>
      <w:proofErr w:type="spellStart"/>
      <w:r w:rsidRPr="0017767A">
        <w:rPr>
          <w:kern w:val="2"/>
          <w14:ligatures w14:val="standardContextual"/>
        </w:rPr>
        <w:t>coamplasării</w:t>
      </w:r>
      <w:proofErr w:type="spellEnd"/>
      <w:r w:rsidRPr="0017767A">
        <w:rPr>
          <w:kern w:val="2"/>
          <w14:ligatures w14:val="standardContextual"/>
        </w:rPr>
        <w:t xml:space="preserve"> în afacerile diplomatice;</w:t>
      </w:r>
    </w:p>
    <w:p w14:paraId="49211E52" w14:textId="77777777" w:rsidR="0017767A" w:rsidRPr="0017767A" w:rsidRDefault="0017767A" w:rsidP="0017767A">
      <w:pPr>
        <w:spacing w:after="240"/>
        <w:ind w:left="567" w:hanging="567"/>
        <w:rPr>
          <w:bCs/>
          <w:iCs/>
          <w:kern w:val="2"/>
          <w14:ligatures w14:val="standardContextual"/>
        </w:rPr>
      </w:pPr>
      <w:r w:rsidRPr="0017767A">
        <w:rPr>
          <w:kern w:val="2"/>
          <w14:ligatures w14:val="standardContextual"/>
        </w:rPr>
        <w:t>14.</w:t>
      </w:r>
      <w:r w:rsidRPr="0017767A">
        <w:rPr>
          <w:kern w:val="2"/>
          <w14:ligatures w14:val="standardContextual"/>
        </w:rPr>
        <w:tab/>
        <w:t>constată că bugetul pentru misiuni a fost de 18 948 650 EUR în 2023, ceea ce reprezintă o creștere limitată de 1,46 % față de exercițiul precedent, scopul acesteia fiind de a compensa creșterea costurilor cauzată de inflație, dar a fost insuficientă în comparație cu creșterea reală a costurilor de deplasare în 2023; regretă că SEAE nu are o linie bugetară separată pentru misiuni și deplasări pentru Vicepreședintă/Înalta Reprezentantă și că misiunile și cheltuielile de deplasare pentru Vicepreședintă/Înalta Reprezentantă sunt împărțite între SEAE și Comisie, în funcție de scopul misiunii; remarcă, în sfârșit, că, în 2023, SEAE a cheltuit 2 995,14 EUR pentru șase misiuni ale Vicepreședintei/Înalte Reprezentante și 288 145 EUR pentru închirierea aeronavelor în regim de taxi, ceea ce corespunde unei scăderi de 51 % față de 2022, când costurile pentru închirierea aeronavelor în regim de taxi au fost de 588 103 EUR; subliniază că liderii instituțiilor Uniunii ar trebui să fie un bun exemplu pentru public și cetățeni, în special atunci când utilizează resursele Uniunii în îndeplinirea sarcinilor lor; subliniază că opțiunile de zbor ar trebui alese pe baza unor criterii de bună gestiune financiară, cu condiția ca astfel de alternative să fie disponibile și în conformitate cu ordinea de zi și locul de desfășurare a reuniunilor; subliniază că transparența și buna gestiune financiară în utilizarea fondurilor publice ale Uniunii trebuie să rămână un principiu de bază pentru toate instituțiile Uniunii;</w:t>
      </w:r>
    </w:p>
    <w:p w14:paraId="16950296"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15.</w:t>
      </w:r>
      <w:r w:rsidRPr="0017767A">
        <w:rPr>
          <w:kern w:val="2"/>
          <w14:ligatures w14:val="standardContextual"/>
        </w:rPr>
        <w:tab/>
        <w:t xml:space="preserve">subliniază impactul negativ pe care reducerile îl pot avea asupra punerii în aplicare a instrumentelor de afaceri externe, cum ar fi Instrumentul de vecinătate, cooperare pentru dezvoltare și cooperare internațională – „Europa globală” (IVCDCI – Europa globală) și Global Gateway; subliniază necesitatea de a furniza resurse adecvate diviziei de comunicare strategică și analiză prospectivă a SEAE pentru a continua să combată în mod eficace campaniile de dezinformare desfășurate ca instrumente strategice de regimurile autoritare și </w:t>
      </w:r>
      <w:proofErr w:type="spellStart"/>
      <w:r w:rsidRPr="0017767A">
        <w:rPr>
          <w:kern w:val="2"/>
          <w14:ligatures w14:val="standardContextual"/>
        </w:rPr>
        <w:t>iliberale</w:t>
      </w:r>
      <w:proofErr w:type="spellEnd"/>
      <w:r w:rsidRPr="0017767A">
        <w:rPr>
          <w:kern w:val="2"/>
          <w14:ligatures w14:val="standardContextual"/>
        </w:rPr>
        <w:t>; salută, în acest sens, anunțul privind crearea Grupului operativ pentru comunicare strategică și combaterea manipulării informațiilor în cadrul Direcției Generale Comunicare</w:t>
      </w:r>
      <w:r w:rsidRPr="0017767A" w:rsidDel="00BE6D9C">
        <w:rPr>
          <w:kern w:val="2"/>
          <w14:ligatures w14:val="standardContextual"/>
        </w:rPr>
        <w:t xml:space="preserve"> </w:t>
      </w:r>
      <w:r w:rsidRPr="0017767A">
        <w:rPr>
          <w:kern w:val="2"/>
          <w14:ligatures w14:val="standardContextual"/>
        </w:rPr>
        <w:t>a Comisiei;</w:t>
      </w:r>
    </w:p>
    <w:p w14:paraId="6D910350"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16.</w:t>
      </w:r>
      <w:r w:rsidRPr="0017767A">
        <w:rPr>
          <w:kern w:val="2"/>
          <w14:ligatures w14:val="standardContextual"/>
        </w:rPr>
        <w:tab/>
        <w:t>insistă asupra majorării bugetare pentru acțiunile din domeniul politicii externe și de securitate comune (PESC) și pentru alte instrumente adecvate de pace, răspuns la conflicte și crize, precum și pentru protocoalele informatice și de securitate, cu scopul de a corela pe deplin activitățile și capacitățile Uniunii cu provocările și conflictele actuale din întreaga lume;</w:t>
      </w:r>
    </w:p>
    <w:p w14:paraId="6F39178F"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lastRenderedPageBreak/>
        <w:t>Gestiunea internă, performanța și controlul intern</w:t>
      </w:r>
    </w:p>
    <w:p w14:paraId="7C49C0C2"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17.</w:t>
      </w:r>
      <w:r w:rsidRPr="0017767A">
        <w:rPr>
          <w:kern w:val="2"/>
          <w14:ligatures w14:val="standardContextual"/>
        </w:rPr>
        <w:tab/>
        <w:t>ia act de faptul că, în urma unei reorganizări interne, în octombrie 2023, SEAE a creat un nou serviciu de guvernanță internă alcătuit din trei divizii responsabile cu inspecțiile, auditul intern, planificarea, raportarea și conformitatea, pentru a permite SEAE să ajungă la un nivel mai ridicat de responsabilitate, o mai bună gestionare și o mai bună monitorizare a activităților; salută faptul că a fost înființat, de asemenea, un consiliu de guvernanță internă pentru a asigura coerența aspectelor legate de gestionarea internă din cadrul SEAE; constată, de asemenea, că SEAE a creat Direcția executivă pentru pace, securitate și apărare (MD PSD), Direcția pentru pace, parteneriat și gestionarea crizelor și două noi divizii dedicate amenințărilor hibride și cibernetice și securității maritime pentru a sprijini mai bine activitatea Uniunii în materie de securitate și apărare;</w:t>
      </w:r>
    </w:p>
    <w:p w14:paraId="3474BD66"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18.</w:t>
      </w:r>
      <w:r w:rsidRPr="0017767A">
        <w:rPr>
          <w:kern w:val="2"/>
          <w14:ligatures w14:val="standardContextual"/>
        </w:rPr>
        <w:tab/>
        <w:t>ia act de faptul că, în 2023, serviciul de guvernanță internă a efectuat o verificare a adecvării proceselor și politicilor de guvernanță; salută faptul că, în cadrul acestui proces, SEAE a actualizat Carta Comitetului de monitorizare a auditurilor, a revizuit cadrul său de control intern, planul său de gestionare anual și cadrul său de gestionare a riscurilor;</w:t>
      </w:r>
    </w:p>
    <w:p w14:paraId="7D92D3AF"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19.</w:t>
      </w:r>
      <w:r w:rsidRPr="0017767A">
        <w:rPr>
          <w:kern w:val="2"/>
          <w14:ligatures w14:val="standardContextual"/>
        </w:rPr>
        <w:tab/>
        <w:t>observă că, în conformitate cu planul de audit al SEAE pentru 2023, în 2023 au fost finalizate trei audituri, și anume un audit privind gestionarea registrului de excepții și cazuri de neconformitate și două audituri privind gestionarea salariilor agenților locali și recrutarea și gestionarea agenților locali și a personalului local echivalent; constată, de asemenea, cu mare îngrijorare că, din cauza unei restructurări organizaționale și a rotației corespunzătoare a personalului din cadrul funcției de audit intern, în 2023 nu a putut fi lansat un audit planificat privind securitatea și că acest audit va fi reevaluat în cadrul pregătirii planului strategic multianual de audit intern pentru perioada 2025-2027; subliniază că este important să se efectueze audituri interne cu diligență și cu regularitate; regretă profund că, în 2023, au rămas deschise patru recomandări de audit critice și 49 de recomandări de audit foarte importante legate de auditurile finalizate; solicită ca Parlamentul să fie informat cu privire la punerea în aplicare a recomandărilor;</w:t>
      </w:r>
    </w:p>
    <w:p w14:paraId="04CFD46B"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20.</w:t>
      </w:r>
      <w:r w:rsidRPr="0017767A">
        <w:rPr>
          <w:kern w:val="2"/>
          <w14:ligatures w14:val="standardContextual"/>
        </w:rPr>
        <w:tab/>
        <w:t>ia act de faptul că, în decembrie 2023, Curtea și-a adoptat raportul final în urma auditului său privind rolul de coordonare al SEAE, al cărui scop era de a evalua dacă coordonarea, în special în ceea ce privește gestionarea informațiilor, personalul și raportarea, atât la nivel intern, cât și cu Comisia și Consiliul, a fost eficace; observă că, în 2023, unele dintre recomandările de audit fuseseră deja acoperite de inițiativele în curs, cum ar fi trimiterea de scrisori de misiune ambasadorilor nou-numiți înainte de preluarea funcției și eforturile depuse de SEAE începând din 2019 pentru a-și pune în aplicare strategia de gestionare a informațiilor; invită SEAE să pună pe deplin în aplicare recomandările din raportul Curții pentru a remedia deficiențele identificate în gestionarea informațiilor, atât la sediul său central, cât și în delegațiile Uniunii în țări din afara UE, precum și în cadrul cabinetului Vicepreședintei/Înaltei Reprezentante; solicită ca Parlamentul să fie informat cu privire la acțiunile întreprinse în urma recomandărilor Curții;</w:t>
      </w:r>
    </w:p>
    <w:p w14:paraId="3414B974"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21.</w:t>
      </w:r>
      <w:r w:rsidRPr="0017767A">
        <w:rPr>
          <w:kern w:val="2"/>
          <w14:ligatures w14:val="standardContextual"/>
        </w:rPr>
        <w:tab/>
        <w:t xml:space="preserve">constată că, pe baza celor 26 de inspecții efectuate în delegații în 2023, securitatea, clădirile și sarcina administrativă au fost identificate ca fiind principalele provocări pentru delegații; observă că SEAE a instituit măsuri de gestionare a riscurilor de securitate în delegații pe baza standardelor internaționale și a celor mai bune practici; ia </w:t>
      </w:r>
      <w:r w:rsidRPr="0017767A">
        <w:rPr>
          <w:kern w:val="2"/>
          <w14:ligatures w14:val="standardContextual"/>
        </w:rPr>
        <w:lastRenderedPageBreak/>
        <w:t>act de faptul că, în 2023, serviciul de inspecție al SEAE a formulat cinci recomandări critice, toate referitoare la gestionarea a trei delegații; observă că, în toate cazurile, s-a dat curs recomandărilor prin creșterea supravegherii și a sprijinului din partea sediului SEAE; salută setul de instrumente elaborat de SEAE pentru a răspunde situațiilor legate de gestiunea internă;</w:t>
      </w:r>
    </w:p>
    <w:p w14:paraId="1A1B73E8"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22.</w:t>
      </w:r>
      <w:r w:rsidRPr="0017767A">
        <w:rPr>
          <w:kern w:val="2"/>
          <w14:ligatures w14:val="standardContextual"/>
        </w:rPr>
        <w:tab/>
        <w:t>ia act de faptul că, în 2023, trei delegații ale Uniunii (Republica Centrafricană, Sierra Leone și Siria) au formulat rezerve în declarațiile lor de asigurare, în principal în ceea ce privește liniile bugetare operaționale gestionate de Comisie; subliniază că aceste rezerve nu au avut un impact financiar substanțial asupra bugetului administrativ aflat sub responsabilitatea SEAE;</w:t>
      </w:r>
    </w:p>
    <w:p w14:paraId="2A3A39D0"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23.</w:t>
      </w:r>
      <w:r w:rsidRPr="0017767A">
        <w:rPr>
          <w:kern w:val="2"/>
          <w14:ligatures w14:val="standardContextual"/>
        </w:rPr>
        <w:tab/>
        <w:t>invită SEAE și Comisia să colaboreze îndeaproape cu biroul de legătură al Parlamentului European de la Washington, D.C., și cu delegația Uniunii în Statele Unite pentru a identifica, a finanța și a pune în aplicare inițiative menite să consolideze relația transatlantică, inclusiv programe de schimb pentru profesioniștii care lucrează în instituțiile publice atât din UE, cât și din SUA;</w:t>
      </w:r>
    </w:p>
    <w:p w14:paraId="16C8B2B0"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24.</w:t>
      </w:r>
      <w:r w:rsidRPr="0017767A">
        <w:rPr>
          <w:kern w:val="2"/>
          <w14:ligatures w14:val="standardContextual"/>
        </w:rPr>
        <w:tab/>
        <w:t>solicită SEAE și delegațiilor Uniunii să intensifice monitorizarea situației democrației în diferitele țări și sprijinul logistic și tehnologic oferit apărătorilor drepturilor omului și persoanelor indigene, în special femeilor;</w:t>
      </w:r>
    </w:p>
    <w:p w14:paraId="2C7BC069"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25.</w:t>
      </w:r>
      <w:r w:rsidRPr="0017767A">
        <w:rPr>
          <w:kern w:val="2"/>
          <w14:ligatures w14:val="standardContextual"/>
        </w:rPr>
        <w:tab/>
        <w:t>reamintește că este esențial să ne consolidăm și mai mult sprijinul pentru drepturile omului, democrație și dezvoltare în țările terțe prin intermediul IVCDCI – Europa globală, deoarece o lume a democrațiilor este o lume mai sigură; subliniază că resursele pentru diplomația digitală a UE ar trebui sporite în continuare, având în vedere contextul actual al progreselor tehnologice rapide și al concurenței geopolitice; insistă că „diplomația verde” și tranziția verde, ca priorități ale Uniunii, ar trebui consolidate în relație cu țările terțe prin acțiunea externă a Uniunii; subliniază că SEAE trebuie să joace un rol central în promovarea păcii și a stabilității în Orientul Mijlociu, să majoreze finanțarea pentru a asigura ajutorul umanitar în Liban, Gaza și Siria și să consolideze monitorizarea drepturilor omului; evidențiază sprijinul financiar acordat delegațiilor SEAE desfășurate în Orientul Mijlociu, în țările din Golf și în Africa pentru a se asigura că acestea pot continua să pună în aplicare acțiunea externă a Uniunii în regiune;</w:t>
      </w:r>
    </w:p>
    <w:p w14:paraId="22915802"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26.</w:t>
      </w:r>
      <w:r w:rsidRPr="0017767A">
        <w:rPr>
          <w:kern w:val="2"/>
          <w14:ligatures w14:val="standardContextual"/>
        </w:rPr>
        <w:tab/>
        <w:t>constată că raportul special 14/2023 al Curții a constatat deficiențe în metodologiile utilizate de Comisie și de SEAE pentru alocarea de fonduri țărilor partenere și în stabilirea cadrului de monitorizare și a recomandat Comisiei și SEAE să îmbunătățească în special metodologia de alocare a finanțării și evaluarea impactului sprijinului Uniunii, să focalizeze domeniul de aplicare al procesului de programare și să simplifice și să utilizeze în mod consecvent indicatorii în programele indicative multianuale;</w:t>
      </w:r>
    </w:p>
    <w:p w14:paraId="3CEA12BA"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27.</w:t>
      </w:r>
      <w:r w:rsidRPr="0017767A">
        <w:rPr>
          <w:kern w:val="2"/>
          <w14:ligatures w14:val="standardContextual"/>
        </w:rPr>
        <w:tab/>
        <w:t>salută numirea primului Reprezentant Special al UE pentru regiunea Golfului;</w:t>
      </w:r>
    </w:p>
    <w:p w14:paraId="7ADD46C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28.</w:t>
      </w:r>
      <w:r w:rsidRPr="0017767A">
        <w:rPr>
          <w:kern w:val="2"/>
          <w14:ligatures w14:val="standardContextual"/>
        </w:rPr>
        <w:tab/>
        <w:t xml:space="preserve">subliniază că evenimentele recente, în special invadarea pe scară largă a Ucrainei de către Rusia și încercările sale ostile de a influența procesele democratice din Europa, precum și instabilitatea tot mai mare din Orientul Mijlociu, au adus politica externă a Uniunii și punerea sa în aplicare în fruntea preocupărilor statelor membre și ale instituțiilor; subliniază rolul central pe care îl joacă SEAE și delegațiile sale în desfășurarea politicii externe a Uniunii și în combaterea acțiunilor străine de manipulare a informațiilor și a ingerințelor străine (FIMI); subliniază importanța SEAE pentru </w:t>
      </w:r>
      <w:r w:rsidRPr="0017767A">
        <w:rPr>
          <w:kern w:val="2"/>
          <w14:ligatures w14:val="standardContextual"/>
        </w:rPr>
        <w:lastRenderedPageBreak/>
        <w:t>relațiile Uniunii cu cei 25-30 de milioane de cetățeni ai Uniunii care locuiesc în afara Uniunii; recunoaște că bugetul SEAE, deja subfinanțat din punct de vedere structural, a fost afectat în mod disproporționat în comparație cu alte instituții ale Uniunii de ratele mai ridicate ale inflației și de criza energetică ulterioară cauzată de războiul de agresiune al Rusiei împotriva Ucrainei și este preocupat de aceste consecințe negative pentru SEAE și pentru performanța instituțiilor Uniunii și de lipsa de acțiune pentru a remedia situația bugetară actuală, care poate avea un impact grav asupra relațiilor Uniunii cu țările terțe;</w:t>
      </w:r>
    </w:p>
    <w:p w14:paraId="15F13F00"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29.</w:t>
      </w:r>
      <w:r w:rsidRPr="0017767A">
        <w:rPr>
          <w:kern w:val="2"/>
          <w14:ligatures w14:val="standardContextual"/>
        </w:rPr>
        <w:tab/>
        <w:t>salută sprijinul ferm acordat Ucrainei, inclusiv prin intermediul misiunii civile de consiliere a UE (EUAM Ucraina) și instruirea soldaților ucraineni în cadrul misiunii de asistență militară a UE (EUMAM);</w:t>
      </w:r>
    </w:p>
    <w:p w14:paraId="630A9C78"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30.</w:t>
      </w:r>
      <w:r w:rsidRPr="0017767A">
        <w:rPr>
          <w:kern w:val="2"/>
          <w14:ligatures w14:val="standardContextual"/>
        </w:rPr>
        <w:tab/>
        <w:t>subliniază că Uniunea trebuie să majoreze finanțarea pentru a consolida linia bugetară specifică din cadrul acțiunilor de politică externă ale Uniunii, în special pentru egalitatea de gen și Agenda privind femeile, pacea și securitatea (FPS), pentru a asigura finanțarea solidă a inițiativelor care promovează o conducere care ia în considerare dimensiunea de gen, protejează drepturile femeilor și combat violența sexuală și bazată pe gen în situații de conflict și post-conflict; subliniază că o astfel de finanțare este esențială pentru sprijinirea organizațiilor locale ale societății civile, pentru a oferi sprijin centrat pe supraviețuitori și pentru a integra perspectivele de gen în eforturile diplomatice și de securitate ale Uniunii;</w:t>
      </w:r>
    </w:p>
    <w:p w14:paraId="29218DA6"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31.</w:t>
      </w:r>
      <w:r w:rsidRPr="0017767A">
        <w:rPr>
          <w:kern w:val="2"/>
          <w14:ligatures w14:val="standardContextual"/>
        </w:rPr>
        <w:tab/>
        <w:t>subliniază că Planul de acțiune pentru egalitatea de gen (GAP) III prevede că 85 % din noile acțiuni ale Uniunii trebuie să contribuie la egalitatea de gen și la capacitarea femeilor și a fetelor; invită SEAE să accelereze progresele în direcția atingerii obiectivelor GAP III, concentrându-se în mod semnificativ, în activitatea sa de zi cu zi, pe domeniile-cheie de implicare ale GAP III, inclusiv eradicarea violenței de gen, promovarea sănătății și a drepturilor sexuale și reproductive, a drepturilor economice și sociale și a capacitării, participarea și conducerea egale; ia act de faptul că GAP III va expira în 2027 și îndeamnă SEAE să elaboreze în acest scop un GAP IV mai ambițios, care să asigure o legătură mai strânsă între drepturile și capacitarea femeilor și politica externă și de securitate a Uniunii, gata de punere în aplicare începând din 2028;</w:t>
      </w:r>
    </w:p>
    <w:p w14:paraId="0743DBEB"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32.</w:t>
      </w:r>
      <w:r w:rsidRPr="0017767A">
        <w:rPr>
          <w:kern w:val="2"/>
          <w14:ligatures w14:val="standardContextual"/>
        </w:rPr>
        <w:tab/>
        <w:t>subliniază situația extrem de vulnerabilă a copiilor în lume, în special în conflictele armate; își exprimă profunda îngrijorare față de zecile de mii de copii care au fost afectați de conflicte armate în întreaga lume și care au suferit abuzuri îngrozitoare și încălcări ale celor mai elementare drepturi în 2023; invită SEAE să plaseze drepturile copiilor în centrul eforturilor sale;</w:t>
      </w:r>
    </w:p>
    <w:p w14:paraId="51588C34"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33.</w:t>
      </w:r>
      <w:r w:rsidRPr="0017767A">
        <w:rPr>
          <w:kern w:val="2"/>
          <w14:ligatures w14:val="standardContextual"/>
        </w:rPr>
        <w:tab/>
        <w:t>reamintește situația dificilă a drepturilor femeilor și a drepturilor LGBTQI+ în multe părți ale lumii; subliniază nevoia urgentă de a proteja mai bine aceste drepturi; subliniază rolul central al SEAE în promovarea drepturilor omului în întreaga lume; invită SEAE să își intensifice eforturile în acest sens;</w:t>
      </w:r>
    </w:p>
    <w:p w14:paraId="4D078BD2"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34.</w:t>
      </w:r>
      <w:r w:rsidRPr="0017767A">
        <w:rPr>
          <w:kern w:val="2"/>
          <w14:ligatures w14:val="standardContextual"/>
        </w:rPr>
        <w:tab/>
        <w:t>consideră că misiunea de observare a alegerilor este un instrument practic și eficient de politică externă, care rămâne un element central al politicilor și strategiilor Uniunii de sprijinire a democrației; invită Uniunea să asigure resurse adecvate pentru misiunile UE de observare a alegerilor, în vederea extinderii acestora și la alegerile din țările candidate și din țările învecinate;</w:t>
      </w:r>
    </w:p>
    <w:p w14:paraId="358BC477"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lastRenderedPageBreak/>
        <w:t>Resursele umane, egalitatea și starea de bine a personalului</w:t>
      </w:r>
    </w:p>
    <w:p w14:paraId="4DFCE684"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35.</w:t>
      </w:r>
      <w:r w:rsidRPr="0017767A">
        <w:rPr>
          <w:kern w:val="2"/>
          <w14:ligatures w14:val="standardContextual"/>
        </w:rPr>
        <w:tab/>
        <w:t>constată că, la sfârșitul anului 2023, rata de ocupare a schemei de personal era de 96,7 %; ia act de faptul că SEAE avea în total 2 812 angajați, dintre care 1 245 de funcționari, 450 de agenți temporari, 603 agenți contractuali și 514 experți naționali detașați; observă că, din numărul total de funcționari și agenți temporari angajați de SEAE, fie la sediul său, fie în delegații, 62,5 % erau administratori, 32,8 % erau asistenți, iar 4,8 % erau secretari;</w:t>
      </w:r>
    </w:p>
    <w:p w14:paraId="7A243542"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36.</w:t>
      </w:r>
      <w:r w:rsidRPr="0017767A">
        <w:rPr>
          <w:kern w:val="2"/>
          <w14:ligatures w14:val="standardContextual"/>
        </w:rPr>
        <w:tab/>
        <w:t>ia act de faptul că, la sfârșitul anului 2023, în cadrul SEAE lucrau în total 5 252 de persoane, angajate fie direct de SEAE, fie prin contractanți externi, dintre care 46,2 % lucrau la sediul SEAE și 53,8 % în delegații; constată că, din numărul total de persoane care lucrau în cadrul SEAE, 46,5 % erau angajați nestatutari sau contractanți externi; ia act de faptul că majoritatea personalului extern angajat de un contractant extern, dar care lucrează la sediul SEAE, furnizează servicii în domeniul tehnologiei informației, al securității și siguranței și al îngrijirii medicale;</w:t>
      </w:r>
    </w:p>
    <w:p w14:paraId="5A1C26FA"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37.</w:t>
      </w:r>
      <w:r w:rsidRPr="0017767A">
        <w:rPr>
          <w:kern w:val="2"/>
          <w14:ligatures w14:val="standardContextual"/>
        </w:rPr>
        <w:tab/>
        <w:t>remarcă că, în 2023, SEAE a primit 36 de angajați în echivalent normă întreagă din partea autorității bugetare, din care 31 erau agenți contractuali și cinci experți naționali detașați cu costuri partajate; observă că au fost alocate resurse suplimentare funcțiilor de gestionare a crizelor, punerii în aplicare a Busolei strategice și altor priorități ale SEAE; constată că, la sfârșitul anului 2023, SEAE a primit încă 20 de experți naționali detașați fără costuri pentru structurile Capacității militare de planificare și conducere;</w:t>
      </w:r>
    </w:p>
    <w:p w14:paraId="0510245C"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38.</w:t>
      </w:r>
      <w:r w:rsidRPr="0017767A">
        <w:rPr>
          <w:kern w:val="2"/>
          <w14:ligatures w14:val="standardContextual"/>
        </w:rPr>
        <w:tab/>
        <w:t>constată că, la sfârșitul anului 2023, personalul statutar al SEAE era format din 52,7 % bărbați și 47,3 % femei, ceea ce reflectă o ușoară creștere a reprezentării femeilor în comparație cu 2022, când 46,8 % dintre angajați erau femei; salută progresele modeste înregistrate în ceea ce privește echilibrul de gen în conducerea superioară, unde reprezentarea femeilor a crescut de la 6,3 % în 2022 la 7,6 % în 2023, și în conducerea medie, unde a crescut de la 30,1 % în 2022 la 30,4 % în 2023; invită SEAE să își intensifice eforturile pentru a realiza un echilibru de gen mai substanțial și mai vizibil la toate nivelurile organizației;</w:t>
      </w:r>
    </w:p>
    <w:p w14:paraId="574F813D"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39.</w:t>
      </w:r>
      <w:r w:rsidRPr="0017767A">
        <w:rPr>
          <w:kern w:val="2"/>
          <w14:ligatures w14:val="standardContextual"/>
        </w:rPr>
        <w:tab/>
        <w:t>salută publicarea raportului intermediar privind punerea în aplicare a Planului de acțiune al UE pentru egalitatea de gen (GAP III) de către Vicepreședintă/Înalta Reprezentantă și Comisie la sfârșitul anului 2023, precum și decizia de a prelungi calendarul acestuia până în 2027 pentru a se alinia la cadrul financiar multianual (CFM); recunoaște importanța GAP III în promovarea egalității de gen ca prioritate strategică în acțiunea externă a Uniunii și în consolidarea rolului său în acest domeniu; salută organizarea, la sfârșitul anului 2023, de către echipa ambasadoarei pentru gen și diversitate, a primelor cursuri de formare executivă privind o conducere care ia în considerare dimensiunea de gen (GRL) pentru personalul de conducere de nivel superior;</w:t>
      </w:r>
    </w:p>
    <w:p w14:paraId="201DD442"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40.</w:t>
      </w:r>
      <w:r w:rsidRPr="0017767A">
        <w:rPr>
          <w:kern w:val="2"/>
          <w14:ligatures w14:val="standardContextual"/>
        </w:rPr>
        <w:tab/>
        <w:t>salută primul raport al SEAE privind acțiunile FIMI care vizează persoanele LGBTIQA+, menite să îmbunătățească înțelegerea tacticilor FIMI și să încurajeze cooperarea, inclusiv cu ENISA, pentru a proteja comunitatea LGBTIQA+; își exprimă îngrijorarea cu privire la situația pe plan mondial a drepturilor persoanelor LGBTIQ+ și opunerea în creștere față de egalitatea de gen, drepturile femeilor și sănătatea sexuală și reproductivă și drepturile aferente în țările în curs de dezvoltare; invită Comisia și SEAE să abordeze aceste regrese și să acorde prioritate sprijinului specific acordat organizațiilor societății civile care pledează pentru aceste drepturi;</w:t>
      </w:r>
    </w:p>
    <w:p w14:paraId="3364AC50"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lastRenderedPageBreak/>
        <w:t>41.</w:t>
      </w:r>
      <w:r w:rsidRPr="0017767A">
        <w:rPr>
          <w:kern w:val="2"/>
          <w14:ligatures w14:val="standardContextual"/>
        </w:rPr>
        <w:tab/>
        <w:t>a act de faptul că, în decizia sa adoptată în iulie 2023, Vicepreședinta/Înalta Reprezentantă a precizat faptul că durata maximă a angajării de către SEAE a agenților temporari și contractuali era de opt ani într-o perioadă de referință de 13 ani sau, în circumstanțe excepționale și în interesul serviciului, de 10 ani într-o perioadă de referință de 15 ani și că intervalul minim de timp dintre angajările succesive pentru agenții temporari detașați din serviciile diplomatice naționale ale statelor membre era de doi ani de la încetarea ultimului lor contract;</w:t>
      </w:r>
    </w:p>
    <w:p w14:paraId="383345B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42.</w:t>
      </w:r>
      <w:r w:rsidRPr="0017767A">
        <w:rPr>
          <w:kern w:val="2"/>
          <w14:ligatures w14:val="standardContextual"/>
        </w:rPr>
        <w:tab/>
        <w:t>observă că, la sfârșitul anului 2023, dintre cei 1 695 de funcționari și agenți temporari, 863 (51 %) erau bărbați și 832 (49 %) erau femei, ceea ce reprezintă o ușoară creștere față de 2022; constată că 57,4 % dintre agenții contractuali erau femei, ceea ce reprezintă o ușoară creștere față de 2022; cu toate acestea, regretă că femeile sunt încă în mod evident subreprezentate în posturile de conducere, atât la sediu, cât și în delegații, și sunt suprareprezentate în principal în posturile AST; invită SEAE să publice defalcarea pe gen și naționalitate a posturilor de conducere de nivel mediu și superior; solicită SEAE să soluționeze această problemă, respectând în același timp competențele și meritele candidaților; se bucură că exercițiul de rotație din 2023 a oferit 42 de posturi de conducere în delegații și a dus la o creștere cu 12 % a numărului de ambasadoare, femeile reprezentând 35,50 % în 2023 (de la 31,70 %), ceea ce continuă să fie totuși o subreprezentare;</w:t>
      </w:r>
    </w:p>
    <w:p w14:paraId="2206505A" w14:textId="77777777" w:rsidR="0017767A" w:rsidRPr="0017767A" w:rsidRDefault="0017767A" w:rsidP="0017767A">
      <w:pPr>
        <w:spacing w:after="240"/>
        <w:ind w:left="567" w:hanging="567"/>
        <w:rPr>
          <w:kern w:val="2"/>
          <w:szCs w:val="24"/>
          <w14:ligatures w14:val="standardContextual"/>
        </w:rPr>
      </w:pPr>
      <w:r w:rsidRPr="0017767A">
        <w:rPr>
          <w:kern w:val="2"/>
          <w14:ligatures w14:val="standardContextual"/>
        </w:rPr>
        <w:t>43.</w:t>
      </w:r>
      <w:r w:rsidRPr="0017767A">
        <w:rPr>
          <w:kern w:val="2"/>
          <w14:ligatures w14:val="standardContextual"/>
        </w:rPr>
        <w:tab/>
        <w:t>observă că, deși toate statele membre sunt reprezentate în cadrul personalului SEAE, persistă dezechilibre semnificative, Belgia fiind statul membru cel mai suprareprezentat, cu 12,1 % din totalul personalului angajat de SEAE; subliniază că un dezechilibru geografic semnificativ este, de asemenea, prezent între statele membre din vest și din est; constată, de asemenea, că, în rândul cadrelor de conducere, Italia este statul membru cel mai suprareprezentat, 15 % din toate posturile de conducere fiind ocupate de italieni; remarcă faptul că, dintre cele 141 de posturi de ambasadori ai Uniunii, trei state membre nu ocupă niciunul (Ungaria, Luxemburg și Malta), în timp ce statele membre cu cei mai mulți ambasadori sunt Franța cu 22, Spania și Italia cu 16, Germania cu 12 și Belgia cu 10, ceea ce înseamnă că aceste cinci țări dețin 54 % din toate posturile de ambasador; își reiterează cu fermitate apelul adresat SEAE de a continua să asigure un echilibru geografic solid în întreaga sa organizație și la toate nivelurile; își reiterează, de asemenea, îngrijorarea cu privire la echilibrul de gen; constată că femeile sunt în mod evident subreprezentate în posturile de conducere, însă sunt suprareprezentate în principal în posturile AST; invită SEAE să publice defalcarea pe gen și naționalitate a posturilor de conducere de nivel mediu și superior; solicită SEAE să soluționeze această problemă, respectând în același timp competențele și meritele candidaților;</w:t>
      </w:r>
    </w:p>
    <w:p w14:paraId="6745627C"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44.</w:t>
      </w:r>
      <w:r w:rsidRPr="0017767A">
        <w:rPr>
          <w:kern w:val="2"/>
          <w14:ligatures w14:val="standardContextual"/>
        </w:rPr>
        <w:tab/>
        <w:t>ia act de faptul că, în 2023, a fost organizat un exercițiu major de rotație a 52 de posturi de conducere în delegații; salută eforturile depuse de SEAE pentru a sensibiliza statele membre cu privire la necesitatea de a atrage o gamă largă de candidați pentru posturile publicate și de a propune candidați calificați pentru posturile de ambasadori ai Uniunii;</w:t>
      </w:r>
    </w:p>
    <w:p w14:paraId="6BE02E6C"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45.</w:t>
      </w:r>
      <w:r w:rsidRPr="0017767A">
        <w:rPr>
          <w:kern w:val="2"/>
          <w14:ligatures w14:val="standardContextual"/>
        </w:rPr>
        <w:tab/>
        <w:t xml:space="preserve">observă cu satisfacție că, în 2023, SEAE și-a adoptat Agenda pentru diversitate și incluziune 2023-2025, un plan de acțiune detaliat pentru a promova un mediu de lucru sigur și respectuos și o abordare de toleranță zero față de hărțuire; ia act de faptul că reprezentanții personalului, asociațiile personalului și Comitetul mixt pentru egalitatea de șanse, care a fost redenumit Comitetul mixt pentru diversitate și incluziune, au fost consultați cu privire la ambele documente; constată că planul de acțiune conține măsuri de prevenire a hărțuirii, cum ar fi un curs obligatoriu de formare online pentru întregul </w:t>
      </w:r>
      <w:r w:rsidRPr="0017767A">
        <w:rPr>
          <w:kern w:val="2"/>
          <w14:ligatures w14:val="standardContextual"/>
        </w:rPr>
        <w:lastRenderedPageBreak/>
        <w:t>personal privind „Recunoașterea și combaterea hărțuirii la locul de muncă” și o formare obligatorie pentru personalul de conducere pe tema „Modalități de creare a unui mediu de lucru fără hărțuire”; invită SEAE să continue formarea periodică a personalului de conducere și a personalului fără funcții de conducere cu privire la aspecte legate de diversitate, echitate, incluziune și apartenență;</w:t>
      </w:r>
    </w:p>
    <w:p w14:paraId="1261DD59"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46.</w:t>
      </w:r>
      <w:r w:rsidRPr="0017767A">
        <w:rPr>
          <w:kern w:val="2"/>
          <w14:ligatures w14:val="standardContextual"/>
        </w:rPr>
        <w:tab/>
        <w:t>observă că, în 2023, SEAE a primit trei cereri de asistență pentru acuzații de hărțuire psihologică implicând doi funcționari, ceea ce a condus la două anchete administrative, dintre care una este încă în curs, iar cealaltă a fost închisă cu o sancțiune disciplinară; ia act de faptul că, în cadrul procedurii informale, serviciul de mediere al SEAE a tratat 28 de cazuri care au implicat acuzații de hărțuire psihologică și 10 cazuri de hărțuire sexuală și că consilierii confidențiali au tratat 21 de cazuri de acuzații de hărțuire psihologică și șase cazuri de hărțuire sexuală în 2023; constată că, în 2023, SEAE a pregătit o decizie privind combaterea hărțuirii pentru personalul local din delegații, care a fost adoptată în iunie 2024; recunoaște eforturile depuse de SEAE pentru a-și consolida politicile de combatere a hărțuirii, inclusiv introducerea unor module obligatorii de învățare online pentru a crește gradul de conștientizare și înființarea unui „Grup operativ pentru Convenția de la Istanbul”, menit să identifice măsuri de asigurare a unui loc de muncă mai sigur pentru toți; cu toate acestea, își exprimă profunda îngrijorare cu privire la numărul constant ridicat de cazuri de hărțuire; invită SEAE să pună în aplicare măsuri de prevenire mai ferme, sprijin pentru victime, măsuri disciplinare stricte pentru a asigura o toleranță zero față de hărțuire și un mediu de lucru sigur;</w:t>
      </w:r>
    </w:p>
    <w:p w14:paraId="4F75596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47.</w:t>
      </w:r>
      <w:r w:rsidRPr="0017767A">
        <w:rPr>
          <w:kern w:val="2"/>
          <w14:ligatures w14:val="standardContextual"/>
        </w:rPr>
        <w:tab/>
        <w:t>observă că, în 2023, SEAE a luat mai multe măsuri pentru a asigura starea de bine fizică și mentală a personalului său, printre care un control sistematic al stării de sănătate a întregului personal înainte de a fi detașat într-o delegație, sprijin psihologic și acțiuni de sensibilizare; ia act de faptul că, în octombrie 2023, au fost adoptate două decizii privind timpul de lucru și formulele flexibile de lucru, în urma cărora programul de lucru flexibil a devenit regimul de timp de lucru implicit la sediul SEAE și în delegații pentru întregul personal, cu excepția membrilor personalului de conducere; constată, de asemenea, că aceste decizii autorizează munca de la distanță până la două zile pe săptămână la sediul SEAE, o zi pe săptămână în delegații și 10 zile pe an departe de locul de muncă pentru întregul personal; observă că munca de la distanță excepțională pentru o perioadă mai lungă a rămas posibilă în caz de criză, din motive medicale sau din alte motive imperative;</w:t>
      </w:r>
    </w:p>
    <w:p w14:paraId="63F3957D"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48.</w:t>
      </w:r>
      <w:r w:rsidRPr="0017767A">
        <w:rPr>
          <w:kern w:val="2"/>
          <w14:ligatures w14:val="standardContextual"/>
        </w:rPr>
        <w:tab/>
        <w:t xml:space="preserve">este preocupat de faptul că numărul angajaților aflați în concediu medical de lungă durată, pentru o perioadă mai mare de 50 de zile, a crescut de la 111 angajați în 2022 la 171 în 2023, ceea ce reprezintă o creștere de 54 %; ia act de faptul că serviciul medical a pus în aplicare mai multe măsuri pentru a preveni riscul de epuizare, cum ar fi recrutarea unui psihiatru în decembrie 2023 și o monitorizare mai sistematică a concediului medical de către serviciul medical, sprijin psihologic și îndrumare atât pentru personal, cât și pentru membrii personalului de conducere, activități de sensibilizare și crearea unei rețele de prim ajutor în domeniul sănătății mintale; subliniază necesitatea ca membrii personalului de conducere să asigure o alocare echitabilă a sarcinilor și să pună în aplicare orientări și formule flexibile de lucru; invită SEAE să adopte o abordare </w:t>
      </w:r>
      <w:proofErr w:type="spellStart"/>
      <w:r w:rsidRPr="0017767A">
        <w:rPr>
          <w:kern w:val="2"/>
          <w14:ligatures w14:val="standardContextual"/>
        </w:rPr>
        <w:t>proactivă</w:t>
      </w:r>
      <w:proofErr w:type="spellEnd"/>
      <w:r w:rsidRPr="0017767A">
        <w:rPr>
          <w:kern w:val="2"/>
          <w14:ligatures w14:val="standardContextual"/>
        </w:rPr>
        <w:t xml:space="preserve"> pentru a preveni bolile de lungă durată și epuizarea, acordând prioritate stării de bine mentale a personalului său prin măsuri de sprijin eficace;</w:t>
      </w:r>
    </w:p>
    <w:p w14:paraId="12BACAC8"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lastRenderedPageBreak/>
        <w:t>49.</w:t>
      </w:r>
      <w:r w:rsidRPr="0017767A">
        <w:rPr>
          <w:kern w:val="2"/>
          <w14:ligatures w14:val="standardContextual"/>
        </w:rPr>
        <w:tab/>
        <w:t>ia act de faptul că, din cauza constrângerilor bugetare, numărul stagiarilor angajați a fost redus; invită SEAE să furnizeze informații cu privire la condițiile de muncă și remunerarea stagiarilor de la sediul central și din delegații;</w:t>
      </w:r>
    </w:p>
    <w:p w14:paraId="2302237D"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t>Cadrul etic și transparența</w:t>
      </w:r>
    </w:p>
    <w:p w14:paraId="24183B2B"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50.</w:t>
      </w:r>
      <w:r w:rsidRPr="0017767A">
        <w:rPr>
          <w:kern w:val="2"/>
          <w14:ligatures w14:val="standardContextual"/>
        </w:rPr>
        <w:tab/>
        <w:t>observă că, în 2023, SEAE și-a îmbunătățit cadrul etic prin emiterea de noi instrucțiuni pentru a interzice sau a limita misiunile cu costuri plătite parțial sau integral din surse externe, cu scopul de a evita riscurile de conflicte de interese, trimițând o atenționare privind etica întregului personal; ia act de faptul că SEAE s-a axat, de asemenea, pe organizarea de cursuri de formare specifice privind etica, conflictele de interese, controlul intern și combaterea fraudei, orientate și adaptate diferitelor categorii de public din sediul SEAE și din delegații; constată, de asemenea, că cele 16 „principii ale comportamentului profesional” adoptate în 2022 au continuat să fie distribuite noilor angajați și promovate pe scară largă, în special cu ocazia cursurilor privind „Etica și integritatea” și „Politica de combatere a hărțuirii”; solicită SEAE să informeze Parlamentul cu privire la orice nouă evoluție a cadrului său etic; invită SEAE să ofere periodic cursuri de formare obligatorii privind etica, inclusiv utilizarea etică a IA și responsabilitatea;</w:t>
      </w:r>
    </w:p>
    <w:p w14:paraId="50A2A268"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51.</w:t>
      </w:r>
      <w:r w:rsidRPr="0017767A">
        <w:rPr>
          <w:kern w:val="2"/>
          <w14:ligatures w14:val="standardContextual"/>
        </w:rPr>
        <w:tab/>
        <w:t>salută faptul că, în octombrie 2023, SEAE a adoptat o nouă strategie antifraudă, aplicabilă întregului personal de la sediul SEAE și din delegații, care a fost rezultatul unui proces de revizuire aprofundată a riscurilor legate de fraudă și a fost aprobat în mod oficial de OLAF; salută faptul că SEAE a depus eforturi deosebite pentru formarea și îndrumarea personalului, în special prin celula antifraudă înființată în decembrie 2022; observă că personalul SEAE detașat în delegațiile Uniunii a participat activ la o serie de ateliere și seminare privind sensibilizarea la fraudă și prevenirea acesteia, că personalul repartizat recent într-o delegație a Uniunii a beneficiat în mod sistematic de formare cu privire la aceste aspecte înainte de a își prelua postul și că pagina de intranet referitoare la combaterea fraudei a fost actualizată cu scopul de a facilita raportarea eventualelor cazuri de fraudă și de a oferi o gamă mai largă de posibilități de formare în domeniul combaterii fraudei;</w:t>
      </w:r>
      <w:r w:rsidRPr="0017767A">
        <w:rPr>
          <w:bCs/>
          <w:iCs/>
          <w:kern w:val="2"/>
          <w14:ligatures w14:val="standardContextual"/>
        </w:rPr>
        <w:t xml:space="preserve"> </w:t>
      </w:r>
      <w:r w:rsidRPr="0017767A">
        <w:rPr>
          <w:kern w:val="2"/>
          <w14:ligatures w14:val="standardContextual"/>
        </w:rPr>
        <w:t>solicită SEAE să organizeze cursuri periodice obligatorii de sensibilizare cu privire la fraudă și prevenirea acesteia pentru întregul personal;</w:t>
      </w:r>
    </w:p>
    <w:p w14:paraId="0A3D5C0E"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52.</w:t>
      </w:r>
      <w:r w:rsidRPr="0017767A">
        <w:rPr>
          <w:kern w:val="2"/>
          <w14:ligatures w14:val="standardContextual"/>
        </w:rPr>
        <w:tab/>
        <w:t>constată că SEAE nu a primit niciun caz de avertizare în interes public în 2023; constată cu satisfacție că, în 2023, SEAE a început să elaboreze o politică specifică de protecție a avertizorilor, în conformitate cu noua strategie antifraudă; solicită ca Parlamentul să fie informat cu privire la adoptarea sa, programată pentru 2025, și la punerea sa în aplicare la nivelul întregului serviciu;</w:t>
      </w:r>
    </w:p>
    <w:p w14:paraId="6F014A9E"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53.</w:t>
      </w:r>
      <w:r w:rsidRPr="0017767A">
        <w:rPr>
          <w:kern w:val="2"/>
          <w14:ligatures w14:val="standardContextual"/>
        </w:rPr>
        <w:tab/>
        <w:t xml:space="preserve">observă că, în 2023, SEAE a primit cinci declarații privind conflictele de interese, care au fost tratate în conformitate cu normele aplicabile; ia act de faptul că, într-un caz referitor la un membru al unei comisii de evaluare din cadrul unei proceduri de achiziții publice, ordonatorul de credite </w:t>
      </w:r>
      <w:proofErr w:type="spellStart"/>
      <w:r w:rsidRPr="0017767A">
        <w:rPr>
          <w:kern w:val="2"/>
          <w14:ligatures w14:val="standardContextual"/>
        </w:rPr>
        <w:t>subdelegat</w:t>
      </w:r>
      <w:proofErr w:type="spellEnd"/>
      <w:r w:rsidRPr="0017767A">
        <w:rPr>
          <w:kern w:val="2"/>
          <w14:ligatures w14:val="standardContextual"/>
        </w:rPr>
        <w:t xml:space="preserve"> a concluzionat că exista un potențial conflict de interese și a eliberat angajatul în cauză din funcția de membru al comisiei de evaluare;</w:t>
      </w:r>
    </w:p>
    <w:p w14:paraId="1F987ED2"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54.</w:t>
      </w:r>
      <w:r w:rsidRPr="0017767A">
        <w:rPr>
          <w:kern w:val="2"/>
          <w14:ligatures w14:val="standardContextual"/>
        </w:rPr>
        <w:tab/>
        <w:t xml:space="preserve">constată cu îngrijorare că OLAF a deschis opt investigații în 2023, care sunt încă în curs, cu privire la posibile abateri în contextul procedurilor de achiziții publice și al executării contractelor și a acordurilor de grant sau la posibile nereguli în materie de resurse umane; ia act de faptul că cazurile deschise în 2023 au vizat funcționari, agenți </w:t>
      </w:r>
      <w:r w:rsidRPr="0017767A">
        <w:rPr>
          <w:kern w:val="2"/>
          <w14:ligatures w14:val="standardContextual"/>
        </w:rPr>
        <w:lastRenderedPageBreak/>
        <w:t>temporari și agenți locali atât la sediul SEAE, cât și în delegații; solicită ca Parlamentul să fie informat cu privire la acțiunile întreprinse în urma acestor investigații; observă că opt cazuri mai vechi care implică foști și actuali membri ai personalului au fost închise, cu recomandări de a lua măsuri suplimentare în cinci cazuri; ia act de faptul că SEAE este în contact periodic cu OLAF prin intermediul celulei sale antifraudă și garantează că se dă curs în timp util recomandărilor OLAF; solicită ca Parlamentul să fie informat cu privire la punerea în aplicare a recomandărilor;</w:t>
      </w:r>
    </w:p>
    <w:p w14:paraId="3845F5A9"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55.</w:t>
      </w:r>
      <w:r w:rsidRPr="0017767A">
        <w:rPr>
          <w:kern w:val="2"/>
          <w14:ligatures w14:val="standardContextual"/>
        </w:rPr>
        <w:tab/>
        <w:t>observă că, în 2023, SEAE a gestionat 10 cereri din partea Ombudsmanului, dintre care nouă cazuri au vizat proceduri administrative și cinci cazuri au vizat accesul la documente; ia act de faptul că Ombudsmanul nu a identificat niciun caz de administrare defectuoasă sau de administrare defectuoasă parțială și nu a adresat nicio recomandare SEAE;</w:t>
      </w:r>
    </w:p>
    <w:p w14:paraId="6EEE3726"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56</w:t>
      </w:r>
      <w:r w:rsidRPr="0017767A">
        <w:rPr>
          <w:b/>
          <w:i/>
          <w:kern w:val="2"/>
          <w14:ligatures w14:val="standardContextual"/>
        </w:rPr>
        <w:t>.</w:t>
      </w:r>
      <w:r w:rsidRPr="0017767A">
        <w:rPr>
          <w:b/>
          <w:i/>
          <w:kern w:val="2"/>
          <w14:ligatures w14:val="standardContextual"/>
        </w:rPr>
        <w:tab/>
      </w:r>
      <w:r w:rsidRPr="0017767A">
        <w:rPr>
          <w:kern w:val="2"/>
          <w14:ligatures w14:val="standardContextual"/>
        </w:rPr>
        <w:t>ia act de toate activitățile întreprinse pentru a crește gradul de conștientizare cu privire la activitățile externe; reamintește solicitarea Parlamentului de a se adopta dispoziții de punere în aplicare de sine stătătoare privind activitățile și misiunile externe, pentru a proteja imaginea și reputația Uniunii, în special în cazul șefilor de delegații;</w:t>
      </w:r>
    </w:p>
    <w:p w14:paraId="43C69614"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57.</w:t>
      </w:r>
      <w:r w:rsidRPr="0017767A">
        <w:rPr>
          <w:kern w:val="2"/>
          <w14:ligatures w14:val="standardContextual"/>
        </w:rPr>
        <w:tab/>
        <w:t>constată că, în calitatea sa de vicepreședinte al Comisiei, Vicepreședinta/Înalta Reprezentantă are obligația de a respecta normele registrului de transparență; subliniază că, deși SEAE nu este o instituție în sensul articolului 13 din Tratatul privind Uniunea Europeană și nu are un rol direct în legislația Uniunii, acesta are totuși un rol important legat de legislația Uniunii în ceea ce privește deciziile referitoare la sancțiuni și la negocierea acordurilor comerciale internaționale, care au un impact normativ considerabil; consideră că ar fi foarte pertinent ca SEAE să adopte măsuri de transparență, să le notifice Consiliului de administrație al registrului de transparență și să adere la registru; invită SEAE să publice toate reuniunile cu organizațiile de lobby de toate tipurile, inclusiv cele ale șefilor delegațiilor Uniunii, pentru a îmbunătăți transparența; solicită ca Parlamentul să fie informat cu privire la orice nouă inițiativă a SEAE de a îmbunătăți transparența; reiterează că este important să se consolideze și mai mult controlul democratic al Uniunii și să se respecte standarde ridicate de responsabilitate și transparență în interacțiunile cu organizațiile societății civile; solicită delegațiilor Uniunii să se asigure că fondurile UE acordate organizațiilor societății civile și partenerilor sociali din țările terțe sunt utilizate în conformitate cu valorile, politicile și normele financiare ale Uniunii;</w:t>
      </w:r>
    </w:p>
    <w:p w14:paraId="34785F0C"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58.</w:t>
      </w:r>
      <w:r w:rsidRPr="0017767A">
        <w:rPr>
          <w:kern w:val="2"/>
          <w14:ligatures w14:val="standardContextual"/>
        </w:rPr>
        <w:tab/>
        <w:t>îndeamnă SEAE să adere la registrul de transparență al UE pentru a-și alinia practicile la cele ale Parlamentului și ale Comisiei, asigurând că toate informațiile despre activitățile de lobby și interesele financiare legate de apărare și chestiuni diplomatice sunt făcute publice;</w:t>
      </w:r>
    </w:p>
    <w:p w14:paraId="08E32AC7"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t>Digitalizarea, securitatea cibernetică și protecția datelor</w:t>
      </w:r>
    </w:p>
    <w:p w14:paraId="0DECB87D"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59.</w:t>
      </w:r>
      <w:r w:rsidRPr="0017767A">
        <w:rPr>
          <w:kern w:val="2"/>
          <w14:ligatures w14:val="standardContextual"/>
        </w:rPr>
        <w:tab/>
        <w:t xml:space="preserve">constată că cheltuielile pentru proiecte informatice, echipamente și securitate cibernetică au crescut de la 19,7 milioane EUR în 2022 la 29,9 milioane EUR în 2023, ceea ce corespunde unei creșteri de 52 %; observă că, în 2023, SEAE a lansat proiecte importante de digitalizare, cum ar fi platforma sa de colaborare „HIVE” pentru toți utilizatorii de la sediu și din delegații, și a implementat sistemul său intern de informații și comunicații clasificate (EC3IS) la sediul SEAE, înainte ca acesta să fie implementat treptat în delegații sensibile și interconectat cu sistemele corespunzătoare din cadrul </w:t>
      </w:r>
      <w:r w:rsidRPr="0017767A">
        <w:rPr>
          <w:kern w:val="2"/>
          <w14:ligatures w14:val="standardContextual"/>
        </w:rPr>
        <w:lastRenderedPageBreak/>
        <w:t>Comisiei și al Consiliului;</w:t>
      </w:r>
    </w:p>
    <w:p w14:paraId="4D6E3C9F"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60.</w:t>
      </w:r>
      <w:r w:rsidRPr="0017767A">
        <w:rPr>
          <w:kern w:val="2"/>
          <w14:ligatures w14:val="standardContextual"/>
        </w:rPr>
        <w:tab/>
        <w:t>ia act de faptul că, în 2023, SEAE a început să găzduiască și să controleze un mediu de IA, cu scopul de a pune în aplicare un model complet de guvernanță a IA; constată că această etapă tehnică a stabilit bazele pentru adoptarea orientărilor privind utilizarea IA generative și a unei strategii privind IA în 2024, precum și pentru validarea conceptului; solicită ca Parlamentul să fie informat cu privire la dezvoltarea strategiei în domeniul IA;</w:t>
      </w:r>
    </w:p>
    <w:p w14:paraId="191875DB"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61.</w:t>
      </w:r>
      <w:r w:rsidRPr="0017767A">
        <w:rPr>
          <w:kern w:val="2"/>
          <w14:ligatures w14:val="standardContextual"/>
        </w:rPr>
        <w:tab/>
        <w:t>ia act de faptul că, în cadrul punerii în aplicare a Busolei strategice pentru securitate și apărare, adoptată în 2022, SEAE a participat la adoptarea unor documente de politică și seturi de instrumente importante legate, printre altele, de apărarea cibernetică, diplomația cibernetică, amenințările hibride, ingerințele străine și manipularea informațiilor; observă că, pe plan intern, SEAE a continuat să își îmbunătățească capacitățile în materie de securitate cibernetică prin recrutarea de personal specializat, precum și să ofere activități de informare în domeniul securității cibernetice unor diferite categorii de public, cum ar fi echipa de gestionare a securității, membrii delegațiilor, personalul nou-venit și personalul de conducere; solicită SEAE să asigure periodic cursuri obligatorii de formare în materie de securitate cibernetică pentru întregul personal;</w:t>
      </w:r>
      <w:r w:rsidRPr="0017767A">
        <w:rPr>
          <w:color w:val="FF0000"/>
          <w:kern w:val="2"/>
          <w14:ligatures w14:val="standardContextual"/>
        </w:rPr>
        <w:t xml:space="preserve"> </w:t>
      </w:r>
      <w:r w:rsidRPr="0017767A">
        <w:rPr>
          <w:kern w:val="2"/>
          <w14:ligatures w14:val="standardContextual"/>
        </w:rPr>
        <w:t xml:space="preserve">solicită, de asemenea, ca Uniunea să ofere mai mult sprijin Moldovei pentru combaterea dezinformării, a amenințărilor hibride și a atacurilor cibernetice; invită delegația Uniunii în Moldova să își intensifice eforturile pentru a promova o strategie de comunicare mai </w:t>
      </w:r>
      <w:proofErr w:type="spellStart"/>
      <w:r w:rsidRPr="0017767A">
        <w:rPr>
          <w:kern w:val="2"/>
          <w14:ligatures w14:val="standardContextual"/>
        </w:rPr>
        <w:t>proactivă</w:t>
      </w:r>
      <w:proofErr w:type="spellEnd"/>
      <w:r w:rsidRPr="0017767A">
        <w:rPr>
          <w:kern w:val="2"/>
          <w14:ligatures w14:val="standardContextual"/>
        </w:rPr>
        <w:t xml:space="preserve"> și mai eficace în ceea ce privește perspectiva europeană, inclusiv prin activități de informare în limba rusă;</w:t>
      </w:r>
    </w:p>
    <w:p w14:paraId="5A6E2115"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62.</w:t>
      </w:r>
      <w:r w:rsidRPr="0017767A">
        <w:rPr>
          <w:kern w:val="2"/>
          <w14:ligatures w14:val="standardContextual"/>
        </w:rPr>
        <w:tab/>
        <w:t>salută instituirea misiunii de parteneriat a UE în Republica Moldova (EUPM Moldova); subliniază rolul esențial al EUPM Moldova și invită UE și statele sale membre să extindă mandatul misiunii după luna mai 2025, alocând în același timp mai multe resurse pentru a-i crește eficacitatea;</w:t>
      </w:r>
    </w:p>
    <w:p w14:paraId="4DF80A41"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63.</w:t>
      </w:r>
      <w:r w:rsidRPr="0017767A">
        <w:rPr>
          <w:kern w:val="2"/>
          <w14:ligatures w14:val="standardContextual"/>
        </w:rPr>
        <w:tab/>
        <w:t>constată cu îngrijorare că, în 2023, SEAE a înregistrat peste 29 623 de alerte cibernetice prin intermediul monitorizării incidentelor și evenimentelor de securitate (SIEM), dintre care 92 de incidente au fost confirmate ca atacuri cibernetice; constată că patru atacuri cibernetice au avut un impact asupra operațiunilor SEAE și doar unul a avut consecințe semnificative; avertizează că SEAE este o țintă foarte probabilă a unor actori care dispun de resurse importante, inclusiv a celor sponsorizați de state străine, care încearcă să perturbe instituțiile Uniunii; ia act de faptul că centrul de operațiuni de securitate al SEAE este un actor-cheie în gestionarea monitorizării amenințărilor în timp real și identificarea vulnerabilităților sistemului; solicită SEAE să continue să țină seama de necesitatea de a promova disciplina cibernetică și de a informa utilizatorii în domeniul securității cibernetice ca elemente-cheie în cadrul său de securitate cibernetică; subliniază că este important ca SEAE să continue să acorde prioritate securității cibernetice și atenuării amenințărilor hibride, colaborând îndeaproape cu alte instituții ale Uniunii și cu statele membre pentru a identifica și a contracara astfel de amenințări;</w:t>
      </w:r>
    </w:p>
    <w:p w14:paraId="3FAE4178" w14:textId="77777777" w:rsidR="0017767A" w:rsidRPr="0017767A" w:rsidRDefault="0017767A" w:rsidP="0017767A">
      <w:pPr>
        <w:spacing w:after="240"/>
        <w:ind w:left="567" w:hanging="567"/>
        <w:rPr>
          <w:kern w:val="2"/>
          <w:szCs w:val="23"/>
          <w14:ligatures w14:val="standardContextual"/>
        </w:rPr>
      </w:pPr>
      <w:r w:rsidRPr="0017767A">
        <w:rPr>
          <w:kern w:val="2"/>
          <w14:ligatures w14:val="standardContextual"/>
        </w:rPr>
        <w:t>64.</w:t>
      </w:r>
      <w:r w:rsidRPr="0017767A">
        <w:rPr>
          <w:kern w:val="2"/>
          <w14:ligatures w14:val="standardContextual"/>
        </w:rPr>
        <w:tab/>
        <w:t xml:space="preserve">ia act de faptul că SEAE a dat curs unei anchete a Autorității Europene pentru Protecția Datelor din 2023, în urma unei cereri din partea unui membru al personalului cu privire la publicarea datelor sale cu caracter personal în anuarul online al UE; observă că o cauză pendinte din 2018 a fost tratată în 2023 și închisă în 2024, cu un rezultat pozitiv pentru SEAE; ia act de activitățile de informare și de orientările emise de SEAE pentru a asigura condiții de concurență echitabile în domeniul protecției datelor în întreaga sa </w:t>
      </w:r>
      <w:r w:rsidRPr="0017767A">
        <w:rPr>
          <w:kern w:val="2"/>
          <w14:ligatures w14:val="standardContextual"/>
        </w:rPr>
        <w:lastRenderedPageBreak/>
        <w:t>rețea, în special de ghidul comun privind utilizarea instrumentelor de IA ale terților din dubla perspectivă a protecției datelor și a securității cibernetice;</w:t>
      </w:r>
    </w:p>
    <w:p w14:paraId="1B127AFA"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65.</w:t>
      </w:r>
      <w:r w:rsidRPr="0017767A">
        <w:rPr>
          <w:kern w:val="2"/>
          <w14:ligatures w14:val="standardContextual"/>
        </w:rPr>
        <w:tab/>
        <w:t xml:space="preserve">observă că lupta împotriva FIMI a rămas o prioritate pentru SEAE în 2023; salută faptul că setul de instrumente privind FIMI a fost aprobat de Consiliul European în decembrie 2023, pe baza unor piloni precum conștientizarea situației, consolidarea rezilienței, răspunsul la perturbări și răspunsurile diplomatice; ia act de faptul că, în 2023, SEAE și-a extins capacitatea analitică de a colecta dovezi privind acțiunile străine de manipulare a informațiilor și ingerințele străine și de a răspunde la un număr tot mai mare de incidente și amenințări, în special în perioada premergătoare alegerilor europene din 2024; constată că SEAE a lansat, de asemenea, noi proiecte emblematice pentru a sensibiliza publicul cu privire la dezinformarea rusă și a o combate, cum ar fi inițiativa </w:t>
      </w:r>
      <w:proofErr w:type="spellStart"/>
      <w:r w:rsidRPr="0017767A">
        <w:rPr>
          <w:kern w:val="2"/>
          <w14:ligatures w14:val="standardContextual"/>
        </w:rPr>
        <w:t>EUvsDisinfo</w:t>
      </w:r>
      <w:proofErr w:type="spellEnd"/>
      <w:r w:rsidRPr="0017767A">
        <w:rPr>
          <w:kern w:val="2"/>
          <w14:ligatures w14:val="standardContextual"/>
        </w:rPr>
        <w:t>, care a ajuns la aproximativ 20,3 milioane de persoane în 2023, precum și pentru a crea parteneriate sustenabile în scopul de a combate acțiunile străine de manipulare a informațiilor și ingerințele străine la nivel mondial; invită SEAE ca, împreună cu Comisia, să aloce resurse adecvate pentru a combate în mod eficace FIMI; sprijină instituirea promisă a unui „scut european pentru democrație” pentru a detecta, urmări și elimina conținutul online înșelător, crescând astfel capacitatea Uniunii de a combate FIMI și îmbunătățind sprijinul său pentru protejarea democrațiilor din țări terțe, în special în vecinătatea Uniunii; invită SEAE și delegațiile Uniunii din țările terțe să își consolideze mai mult capacitățile de combatere și contracarare a dezinformării și a propagandei legate de PESC a Uniunii; invită SEAE să își intensifice eforturile pentru a le oferi cetățenilor din întreaga Uniune mijloacele necesare pentru a putea lupta împotriva acțiunilor străine de manipulare a informațiilor și a ingerințelor străine;</w:t>
      </w:r>
    </w:p>
    <w:p w14:paraId="2F048F41"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t>Clădirile și securitatea</w:t>
      </w:r>
    </w:p>
    <w:p w14:paraId="5CF8808F"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66.</w:t>
      </w:r>
      <w:r w:rsidRPr="0017767A">
        <w:rPr>
          <w:kern w:val="2"/>
          <w14:ligatures w14:val="standardContextual"/>
        </w:rPr>
        <w:tab/>
        <w:t>observă că, în cursul exercițiului 2023, linia bugetară 3 0 0 3 privind clădirile și costurile conexe a fost majorată cu 19 milioane EUR, dar că s-au amânat totuși lucrări importante de întreținere; este profund preocupat de faptul că acumularea nevoilor de întreținere și de securitate reprezintă provocări considerabile pentru SEAE în ceea ce privește modul de a gestiona cu eficacitate și în siguranță rețeaua delegațiilor și de a își îndeplini obligația de diligență față de personalul delegațiilor; solicită SEAE să elaboreze planuri multianuale pentru situații neprevăzute în legătură cu întreținerea și securitatea clădirilor;</w:t>
      </w:r>
    </w:p>
    <w:p w14:paraId="4468E6E2"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67.</w:t>
      </w:r>
      <w:r w:rsidRPr="0017767A">
        <w:rPr>
          <w:kern w:val="2"/>
          <w14:ligatures w14:val="standardContextual"/>
        </w:rPr>
        <w:tab/>
        <w:t>ia act de faptul că SEAE ocupă și gestionează bunuri imobiliare care acoperă aproximativ 87 618 m</w:t>
      </w:r>
      <w:r w:rsidRPr="0017767A">
        <w:rPr>
          <w:kern w:val="2"/>
          <w:vertAlign w:val="superscript"/>
          <w14:ligatures w14:val="standardContextual"/>
        </w:rPr>
        <w:t>2</w:t>
      </w:r>
      <w:r w:rsidRPr="0017767A">
        <w:rPr>
          <w:kern w:val="2"/>
          <w14:ligatures w14:val="standardContextual"/>
        </w:rPr>
        <w:t xml:space="preserve"> la sediul SEAE și 379 300 m</w:t>
      </w:r>
      <w:r w:rsidRPr="0017767A">
        <w:rPr>
          <w:kern w:val="2"/>
          <w:vertAlign w:val="superscript"/>
          <w14:ligatures w14:val="standardContextual"/>
        </w:rPr>
        <w:t>2</w:t>
      </w:r>
      <w:r w:rsidRPr="0017767A">
        <w:rPr>
          <w:kern w:val="2"/>
          <w14:ligatures w14:val="standardContextual"/>
        </w:rPr>
        <w:t xml:space="preserve"> în întreaga lume, care cuprind 174 de clădiri de birouri și 152 de reședințe pentru ambasadori; constată că, în 2023, SEAE a prezentat autorității bugetare un document de lucru care prezintă politica sa de achiziții, în cadrul căreia au fost achiziționate până în prezent 22 % din clădirile de birouri și 20 % din locuințele ambasadorilor, obținând astfel cel mai bun raport calitate-preț;</w:t>
      </w:r>
    </w:p>
    <w:p w14:paraId="076E4C63"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68.</w:t>
      </w:r>
      <w:r w:rsidRPr="0017767A">
        <w:rPr>
          <w:kern w:val="2"/>
          <w14:ligatures w14:val="standardContextual"/>
        </w:rPr>
        <w:tab/>
        <w:t>ia act de faptul că politica de achiziționare de bunuri imobile pentru delegațiile Uniunii din aprilie 2023 și documentul de lucru privind politica imobiliară a SEAE pentru 2024 vizează să ajungă la cea mai avantajoasă soluție pe termen lung pentru bugetul Uniunii; subliniază că niciunul dintre aceste documente nu include idei cu privire la reducerea numărului de delegații sau la crearea de centre regionale; îndeamnă SEAE să informeze Parlamentul cu privire la eventuale evoluții viitoare în această direcție;</w:t>
      </w:r>
    </w:p>
    <w:p w14:paraId="2D75351A"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lastRenderedPageBreak/>
        <w:t>69.</w:t>
      </w:r>
      <w:r w:rsidRPr="0017767A">
        <w:rPr>
          <w:kern w:val="2"/>
          <w14:ligatures w14:val="standardContextual"/>
        </w:rPr>
        <w:tab/>
        <w:t>invită SEAE să continue să își doteze rețeaua importantă de delegații din întreaga lume cu personal suficient pentru a-și îmbunătăți capacitatea de a dialoga cu țările terțe;</w:t>
      </w:r>
    </w:p>
    <w:p w14:paraId="0482F6B3"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70.</w:t>
      </w:r>
      <w:r w:rsidRPr="0017767A">
        <w:rPr>
          <w:kern w:val="2"/>
          <w14:ligatures w14:val="standardContextual"/>
        </w:rPr>
        <w:tab/>
        <w:t>constată cu îngrijorare că aceste constrângeri bugetare ar putea conduce la închideri excesive ale ambasadelor UE și la amânarea instalațiilor de securitate într-o serie de delegații ale Uniunii, afectând capacitatea SEAE de a-și îndeplini mandatul, de a apăra valorile Uniunii și de a asigura în mod corespunzător obligația de diligență pentru întregul personal din delegații; îndeamnă statele membre să ofere o finanțare suficientă SEAE și Comisiei pentru a se asigura că Uniunea își menține rețeaua de delegații fără a fi afectată, ca un semnal al angajamentului său la nivel mondial;</w:t>
      </w:r>
    </w:p>
    <w:p w14:paraId="2F3ED2BF"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71.</w:t>
      </w:r>
      <w:r w:rsidRPr="0017767A">
        <w:rPr>
          <w:kern w:val="2"/>
          <w14:ligatures w14:val="standardContextual"/>
        </w:rPr>
        <w:tab/>
        <w:t xml:space="preserve">constată că, începând din 2020, SEAE își dezvoltă politica de gestionare a birourilor în direcția unor concepte de birouri </w:t>
      </w:r>
      <w:proofErr w:type="spellStart"/>
      <w:r w:rsidRPr="0017767A">
        <w:rPr>
          <w:kern w:val="2"/>
          <w14:ligatures w14:val="standardContextual"/>
        </w:rPr>
        <w:t>colaborative</w:t>
      </w:r>
      <w:proofErr w:type="spellEnd"/>
      <w:r w:rsidRPr="0017767A">
        <w:rPr>
          <w:kern w:val="2"/>
          <w14:ligatures w14:val="standardContextual"/>
        </w:rPr>
        <w:t xml:space="preserve"> și flexibile, atât la sediul central al SEAE, cât și în delegații; ia act de faptul că SEAE a început să renoveze complexul imobiliar Schuman, începând cu etajele 6 și 7, în scopul de a utiliza mai eficient spațiul de birouri; observă, de asemenea, că centrul de răspuns la criză al SEAE din clădirea Schuman a fost finalizat în 2023; ia act de faptul că, în delegații, conceptul de spațiu </w:t>
      </w:r>
      <w:proofErr w:type="spellStart"/>
      <w:r w:rsidRPr="0017767A">
        <w:rPr>
          <w:kern w:val="2"/>
          <w14:ligatures w14:val="standardContextual"/>
        </w:rPr>
        <w:t>colaborativ</w:t>
      </w:r>
      <w:proofErr w:type="spellEnd"/>
      <w:r w:rsidRPr="0017767A">
        <w:rPr>
          <w:kern w:val="2"/>
          <w14:ligatures w14:val="standardContextual"/>
        </w:rPr>
        <w:t xml:space="preserve"> a fost pus în aplicare în noile sedii ale șase delegații;</w:t>
      </w:r>
    </w:p>
    <w:p w14:paraId="1827B930"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72.</w:t>
      </w:r>
      <w:r w:rsidRPr="0017767A">
        <w:rPr>
          <w:kern w:val="2"/>
          <w14:ligatures w14:val="standardContextual"/>
        </w:rPr>
        <w:tab/>
        <w:t xml:space="preserve">apreciază că SEAE depune eforturi pentru a garanta că clădirile sale sunt accesibile persoanelor cu dizabilități și cu mobilitate redusă; ia act de faptul că clădirea </w:t>
      </w:r>
      <w:proofErr w:type="spellStart"/>
      <w:r w:rsidRPr="0017767A">
        <w:rPr>
          <w:kern w:val="2"/>
          <w14:ligatures w14:val="standardContextual"/>
        </w:rPr>
        <w:t>Belmont</w:t>
      </w:r>
      <w:proofErr w:type="spellEnd"/>
      <w:r w:rsidRPr="0017767A">
        <w:rPr>
          <w:kern w:val="2"/>
          <w14:ligatures w14:val="standardContextual"/>
        </w:rPr>
        <w:t xml:space="preserve"> din Bruxelles îndeplinește deja cerințele legale pentru clădirile accesibile persoanelor cu handicap, și că renovarea complexului clădirii NEO răspunde, de asemenea, nevoilor utilizatorilor cu dizabilități și cu mobilitate redusă; salută faptul că, pentru delegații, procedurile de selecție ale SEAE prevăd construirea fără bariere drept un criteriu esențial de selecție pentru noile clădiri de birouri;</w:t>
      </w:r>
    </w:p>
    <w:p w14:paraId="46F82B12"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t>Mediu și sustenabilitate</w:t>
      </w:r>
    </w:p>
    <w:p w14:paraId="39993A11"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73.</w:t>
      </w:r>
      <w:r w:rsidRPr="0017767A">
        <w:rPr>
          <w:kern w:val="2"/>
          <w14:ligatures w14:val="standardContextual"/>
        </w:rPr>
        <w:tab/>
        <w:t>salută faptul că, în 2023, SEAE a continuat să pună în aplicare sistemul de management de mediu și audit (EMAS/EMS), în special prin înființarea unui comitet director pentru mediu și prin adoptarea unei politici de mediu și a unei strategii de comunicare pertinente care evidențiază angajamentul SEAE față de sustenabilitatea din punctul de vederea al mediului în gestionarea proprietăților imobiliare; ia act de faptul că comitetul director EMAS a lucrat la noi obiective în 2023, cu scopul de a-și reduce și mai mult amprenta de carbon până în 2030; observă că măsurile aprobate includ reducerea cu 35 % a utilizării gazelor naturale, reducerea la jumătate a utilizării hârtiei și a apei, precum și a producerii de deșeuri, creșterea ponderii zborurilor în clasa economică pe distanțe scurte și medii pentru misiuni și o mai bună utilizare a achizițiilor publice ecologice;</w:t>
      </w:r>
    </w:p>
    <w:p w14:paraId="46556090"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74.</w:t>
      </w:r>
      <w:r w:rsidRPr="0017767A">
        <w:rPr>
          <w:kern w:val="2"/>
          <w14:ligatures w14:val="standardContextual"/>
        </w:rPr>
        <w:tab/>
        <w:t xml:space="preserve">salută faptul că SEAE a început să introducă clauze de sustenabilitate în noile acorduri de </w:t>
      </w:r>
      <w:proofErr w:type="spellStart"/>
      <w:r w:rsidRPr="0017767A">
        <w:rPr>
          <w:kern w:val="2"/>
          <w14:ligatures w14:val="standardContextual"/>
        </w:rPr>
        <w:t>coamplasare</w:t>
      </w:r>
      <w:proofErr w:type="spellEnd"/>
      <w:r w:rsidRPr="0017767A">
        <w:rPr>
          <w:kern w:val="2"/>
          <w14:ligatures w14:val="standardContextual"/>
        </w:rPr>
        <w:t xml:space="preserve">, incluzând atât acțiuni obligatorii, cât și practici voluntare; constată că, în ceea ce privește acordurile de </w:t>
      </w:r>
      <w:proofErr w:type="spellStart"/>
      <w:r w:rsidRPr="0017767A">
        <w:rPr>
          <w:kern w:val="2"/>
          <w14:ligatures w14:val="standardContextual"/>
        </w:rPr>
        <w:t>coamplasare</w:t>
      </w:r>
      <w:proofErr w:type="spellEnd"/>
      <w:r w:rsidRPr="0017767A">
        <w:rPr>
          <w:kern w:val="2"/>
          <w14:ligatures w14:val="standardContextual"/>
        </w:rPr>
        <w:t xml:space="preserve"> deja în vigoare, în loc să includă clauze explicite de sustenabilitate a mediului, aceste acorduri menționează ca principiu general faptul că orice partener găzduit în </w:t>
      </w:r>
      <w:proofErr w:type="spellStart"/>
      <w:r w:rsidRPr="0017767A">
        <w:rPr>
          <w:kern w:val="2"/>
          <w14:ligatures w14:val="standardContextual"/>
        </w:rPr>
        <w:t>coamplasare</w:t>
      </w:r>
      <w:proofErr w:type="spellEnd"/>
      <w:r w:rsidRPr="0017767A">
        <w:rPr>
          <w:kern w:val="2"/>
          <w14:ligatures w14:val="standardContextual"/>
        </w:rPr>
        <w:t xml:space="preserve"> respectă procedurile și practicile aplicabile în contextul local al sediilor Uniunii;</w:t>
      </w:r>
    </w:p>
    <w:p w14:paraId="54664B9A"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75.</w:t>
      </w:r>
      <w:r w:rsidRPr="0017767A">
        <w:rPr>
          <w:kern w:val="2"/>
          <w14:ligatures w14:val="standardContextual"/>
        </w:rPr>
        <w:tab/>
        <w:t xml:space="preserve">observă că, în 2023, SEAE a continuat să lucreze la punerea în aplicare a unei politici în favoarea unor deplasări mai ecologice între domiciliu și locul de muncă și a unor călătorii mai sustenabile pentru personal, ceea ce a dus la adoptarea unor măsuri </w:t>
      </w:r>
      <w:r w:rsidRPr="0017767A">
        <w:rPr>
          <w:kern w:val="2"/>
          <w14:ligatures w14:val="standardContextual"/>
        </w:rPr>
        <w:lastRenderedPageBreak/>
        <w:t>importante în 2024, cum ar fi creșterea ratei de rambursare a abonamentelor la transportul public la 90 % pentru toți membrii personalului care renunță la accesul la parcare și obiectivul ca cel puțin 60 % din numărul de kilometri parcurși cu avionul în timpul misiunilor să fie la clasa economică;</w:t>
      </w:r>
    </w:p>
    <w:p w14:paraId="736F443C"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76.</w:t>
      </w:r>
      <w:r w:rsidRPr="0017767A">
        <w:rPr>
          <w:kern w:val="2"/>
          <w14:ligatures w14:val="standardContextual"/>
        </w:rPr>
        <w:tab/>
        <w:t xml:space="preserve">subliniază importanța unui angajament politic puternic, a influenței bilaterale, a diplomației publice și culturale pentru a promova valorile Uniunii și a combate dezinformarea; subliniază necesitatea unui serviciu extern robust și </w:t>
      </w:r>
      <w:proofErr w:type="spellStart"/>
      <w:r w:rsidRPr="0017767A">
        <w:rPr>
          <w:kern w:val="2"/>
          <w14:ligatures w14:val="standardContextual"/>
        </w:rPr>
        <w:t>rezilient</w:t>
      </w:r>
      <w:proofErr w:type="spellEnd"/>
      <w:r w:rsidRPr="0017767A">
        <w:rPr>
          <w:kern w:val="2"/>
          <w14:ligatures w14:val="standardContextual"/>
        </w:rPr>
        <w:t xml:space="preserve">, cu o conducere politică clară, pentru a face față provocărilor actuale și a asigura coerența politicii externe a Uniunii; cere delegațiilor Uniunii să consolideze sprijinul acordat actorilor democratici veritabili și societății civile din Balcanii de Vest și să condamne, în același timp, cu fermitate și în mod public acțiunile actorilor </w:t>
      </w:r>
      <w:proofErr w:type="spellStart"/>
      <w:r w:rsidRPr="0017767A">
        <w:rPr>
          <w:kern w:val="2"/>
          <w14:ligatures w14:val="standardContextual"/>
        </w:rPr>
        <w:t>iliberali</w:t>
      </w:r>
      <w:proofErr w:type="spellEnd"/>
      <w:r w:rsidRPr="0017767A">
        <w:rPr>
          <w:kern w:val="2"/>
          <w14:ligatures w14:val="standardContextual"/>
        </w:rPr>
        <w:t xml:space="preserve"> și nedemocratici care subminează interesele Uniunii și să se asigure că punerea în aplicare a finanțării IPA III este în conformitate cu obiectivele UE;</w:t>
      </w:r>
      <w:r w:rsidRPr="0017767A">
        <w:rPr>
          <w:bCs/>
          <w:iCs/>
          <w:kern w:val="2"/>
          <w14:ligatures w14:val="standardContextual"/>
        </w:rPr>
        <w:t xml:space="preserve"> </w:t>
      </w:r>
      <w:r w:rsidRPr="0017767A">
        <w:rPr>
          <w:kern w:val="2"/>
          <w14:ligatures w14:val="standardContextual"/>
        </w:rPr>
        <w:t>invită delegațiile Uniunii din regiune să aplice o abordare mai credibilă și în funcție de merite, bazată pe criteriile de la Copenhaga, mai cu seamă în ceea ce privește statul de drept, democrația și protecția drepturilor omului, în special având în vedere progresele limitate înregistrate de unele țări în Balcanii de Vest;</w:t>
      </w:r>
    </w:p>
    <w:p w14:paraId="0E99A43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77.</w:t>
      </w:r>
      <w:r w:rsidRPr="0017767A">
        <w:rPr>
          <w:kern w:val="2"/>
          <w14:ligatures w14:val="standardContextual"/>
        </w:rPr>
        <w:tab/>
        <w:t>salută cooperarea excelentă a SEAE cu organisme precum OLAF, EPPO, Curtea și AEPD, care se reflectă prin schimburi de informații și reuniuni periodice; ia act de faptul că în iunie 2024 au fost încheiate acorduri de lucru specifice; invită totuși SEAE să instituționalizeze cooperarea structurată cu aceste organisme, asigurând mecanisme sistematice de detectare a fraudei în finanțarea acțiunii externe a Uniunii, în special în zonele de conflict cu risc ridicat și în statele fragile;</w:t>
      </w:r>
    </w:p>
    <w:p w14:paraId="373D938B"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t>Cooperare interinstituțională</w:t>
      </w:r>
    </w:p>
    <w:p w14:paraId="505212DD"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78.</w:t>
      </w:r>
      <w:r w:rsidRPr="0017767A">
        <w:rPr>
          <w:kern w:val="2"/>
          <w14:ligatures w14:val="standardContextual"/>
        </w:rPr>
        <w:tab/>
        <w:t>constată că, în 2023, Parlamentul, Consiliul și SEAE și-au continuat discuțiile tehnice privind înlocuirea acordului instituțional din 2002 dintre Parlament și Consiliu în domeniul politicii externe și de securitate comune; regretă că în 2023 a avut loc o unică reuniune tehnică, în urma căreia Consiliul nu a reușit să ajungă la un acord cu privire la soluțiile de compromis propuse;</w:t>
      </w:r>
    </w:p>
    <w:p w14:paraId="77AA7A2E"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79.</w:t>
      </w:r>
      <w:r w:rsidRPr="0017767A">
        <w:rPr>
          <w:kern w:val="2"/>
          <w14:ligatures w14:val="standardContextual"/>
        </w:rPr>
        <w:tab/>
        <w:t>ia act de faptul că, în 2023, SEAE a deschis procesul de negociere pentru un acord de lucru cu Parchetul European, care a fost semnat în 2024; observă că acordul de lucru ține seama de contextul special în care funcționează SEAE, punând accentul pe protecția informațiilor, confidențialitatea informațiilor și protecția imunității personalului;</w:t>
      </w:r>
    </w:p>
    <w:p w14:paraId="621E2501" w14:textId="77777777" w:rsidR="0017767A" w:rsidRPr="0017767A" w:rsidRDefault="0017767A" w:rsidP="0017767A">
      <w:pPr>
        <w:spacing w:after="240"/>
        <w:ind w:left="567" w:hanging="567"/>
        <w:rPr>
          <w:b/>
          <w:bCs/>
          <w:i/>
          <w:iCs/>
          <w:kern w:val="2"/>
          <w14:ligatures w14:val="standardContextual"/>
        </w:rPr>
      </w:pPr>
      <w:r w:rsidRPr="0017767A">
        <w:rPr>
          <w:kern w:val="2"/>
          <w14:ligatures w14:val="standardContextual"/>
        </w:rPr>
        <w:t>80.</w:t>
      </w:r>
      <w:r w:rsidRPr="0017767A">
        <w:rPr>
          <w:kern w:val="2"/>
          <w14:ligatures w14:val="standardContextual"/>
        </w:rPr>
        <w:tab/>
        <w:t>constată că, în bugetul său pe 2023, SEAE a alocat 990,5 milioane EUR pentru un proiect-pilot care vizează crearea Academiei diplomatice europene, în cadrul căreia 50 de diplomați debutanți din statele membre și din instituțiile Uniunii vor fi formați în domeniul politicilor externe și de securitate ale Uniunii, cu scopul de a construi un adevărat corp diplomatic european pentru a promova politica externă și interesele externe ale Uniunii; încurajează această inițiativă, care constituie un pas către formarea unui corp diplomatic european coerent și bine pregătit, care să poată reprezenta și apăra în mod eficace valorile și interesele Uniunii pe scena mondială; subliniază necesitatea de a îmbunătăți vizibilitatea Academiei Diplomatice Europene în toate statele membre și de a consolida rolul și capacitățile acesteia;</w:t>
      </w:r>
    </w:p>
    <w:p w14:paraId="397E7F9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lastRenderedPageBreak/>
        <w:t>81.</w:t>
      </w:r>
      <w:r w:rsidRPr="0017767A">
        <w:rPr>
          <w:kern w:val="2"/>
          <w14:ligatures w14:val="standardContextual"/>
        </w:rPr>
        <w:tab/>
        <w:t>salută faptul că SEAE și-a intensificat cooperarea cu Ombudsmanul European în 2023 pentru a îmbunătăți gradul de informare în rândul personalului său cu privire la principiile bunei administrări; ia act de faptul că în contextul noului nivel de cooperare, Biroul Ombudsmanului European este invitat să își prezinte activitatea cu ocazia seminarelor SEAE premergătoare detașării și a seminarelor anuale ale personalului SEAE;</w:t>
      </w:r>
    </w:p>
    <w:p w14:paraId="44F190BB" w14:textId="77777777" w:rsidR="0017767A" w:rsidRPr="0017767A" w:rsidRDefault="0017767A" w:rsidP="0017767A">
      <w:pPr>
        <w:spacing w:after="240"/>
        <w:ind w:left="567" w:hanging="567"/>
        <w:rPr>
          <w:b/>
          <w:i/>
          <w:kern w:val="2"/>
          <w14:ligatures w14:val="standardContextual"/>
        </w:rPr>
      </w:pPr>
      <w:r w:rsidRPr="0017767A">
        <w:rPr>
          <w:b/>
          <w:i/>
          <w:kern w:val="2"/>
          <w14:ligatures w14:val="standardContextual"/>
        </w:rPr>
        <w:t>Comunicare</w:t>
      </w:r>
    </w:p>
    <w:p w14:paraId="024A3DB7" w14:textId="77777777" w:rsidR="0017767A" w:rsidRPr="0017767A" w:rsidRDefault="0017767A" w:rsidP="0017767A">
      <w:pPr>
        <w:spacing w:after="240"/>
        <w:ind w:left="567" w:hanging="567"/>
        <w:rPr>
          <w:color w:val="000000"/>
          <w:kern w:val="2"/>
          <w:szCs w:val="23"/>
          <w14:ligatures w14:val="standardContextual"/>
        </w:rPr>
      </w:pPr>
      <w:r w:rsidRPr="0017767A">
        <w:rPr>
          <w:kern w:val="2"/>
          <w14:ligatures w14:val="standardContextual"/>
        </w:rPr>
        <w:t>82.</w:t>
      </w:r>
      <w:r w:rsidRPr="0017767A">
        <w:rPr>
          <w:kern w:val="2"/>
          <w14:ligatures w14:val="standardContextual"/>
        </w:rPr>
        <w:tab/>
        <w:t>constată că SEAE dispune de o alocare bugetară de 22,2 milioane EUR, repartizată între diferite linii bugetare care acoperă publicațiile, evenimentele, comunicarea strategică, activitățile de informare și presa; salută faptul că apărarea democrației și a statului de drept a rămas o prioritate pentru SEAE, inclusiv prin vizarea acțiunilor străine de manipulare a informațiilor și a ingerințelor străine prin politici și instrumente consolidate;</w:t>
      </w:r>
    </w:p>
    <w:p w14:paraId="752E388B"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83.</w:t>
      </w:r>
      <w:r w:rsidRPr="0017767A">
        <w:rPr>
          <w:kern w:val="2"/>
          <w14:ligatures w14:val="standardContextual"/>
        </w:rPr>
        <w:tab/>
        <w:t>subliniază creșterea numărului de încălcări ale libertății religioase la nivel mondial; invită SEAE să își pregătească în mod adecvat personalul în acest sens în țările în care nu există libertate religioasă sau în care libertatea religioasă este supusă unor presiuni (inclusiv prin cursuri de formare), cu scopul a lansa discuții pe această temă cu autoritățile competente de la toate nivelurile din țările în care libertatea religioasă este încălcată solicită ca acest aspect să devină un element esențial al acțiunii sale externe;</w:t>
      </w:r>
    </w:p>
    <w:p w14:paraId="093C2D01" w14:textId="77777777" w:rsidR="0017767A" w:rsidRPr="0017767A" w:rsidRDefault="0017767A" w:rsidP="0017767A">
      <w:pPr>
        <w:spacing w:after="240"/>
        <w:ind w:left="567" w:hanging="567"/>
        <w:rPr>
          <w:b/>
          <w:i/>
          <w:kern w:val="2"/>
          <w14:ligatures w14:val="standardContextual"/>
        </w:rPr>
      </w:pPr>
      <w:r w:rsidRPr="0017767A">
        <w:rPr>
          <w:kern w:val="2"/>
          <w14:ligatures w14:val="standardContextual"/>
        </w:rPr>
        <w:t>84.</w:t>
      </w:r>
      <w:r w:rsidRPr="0017767A">
        <w:rPr>
          <w:kern w:val="2"/>
          <w14:ligatures w14:val="standardContextual"/>
        </w:rPr>
        <w:tab/>
        <w:t xml:space="preserve">ia act de faptul că, în cadrul activităților sale de comunicare, SEAE se adresează publicului larg prin evenimente publice, prin zilele porților deschise și primind grupuri de vizitatori; observă că, în 2023, SEAE a lansat mai multe campanii de comunicare tematică pe diferite canale cu privire la sprijinul acordat Ucrainei, la consecințele războiului de agresiune al Rusiei împotriva Ucrainei și la respectarea valorilor Uniunii; salută faptul că Ucraina a rămas o prioritate absolută pentru SEAE; ia act de faptul că, în 2023, SEAE și-a consolidat prezența pe platformele de comunicare socială, iar numărul de abonați a crescut cu 41,5 % pe </w:t>
      </w:r>
      <w:proofErr w:type="spellStart"/>
      <w:r w:rsidRPr="0017767A">
        <w:rPr>
          <w:kern w:val="2"/>
          <w14:ligatures w14:val="standardContextual"/>
        </w:rPr>
        <w:t>LinkedIn</w:t>
      </w:r>
      <w:proofErr w:type="spellEnd"/>
      <w:r w:rsidRPr="0017767A">
        <w:rPr>
          <w:kern w:val="2"/>
          <w14:ligatures w14:val="standardContextual"/>
        </w:rPr>
        <w:t xml:space="preserve">, cu 13,8 % pe </w:t>
      </w:r>
      <w:proofErr w:type="spellStart"/>
      <w:r w:rsidRPr="0017767A">
        <w:rPr>
          <w:kern w:val="2"/>
          <w14:ligatures w14:val="standardContextual"/>
        </w:rPr>
        <w:t>Instagram</w:t>
      </w:r>
      <w:proofErr w:type="spellEnd"/>
      <w:r w:rsidRPr="0017767A">
        <w:rPr>
          <w:kern w:val="2"/>
          <w14:ligatures w14:val="standardContextual"/>
        </w:rPr>
        <w:t xml:space="preserve">, cu 5,4 % pe </w:t>
      </w:r>
      <w:proofErr w:type="spellStart"/>
      <w:r w:rsidRPr="0017767A">
        <w:rPr>
          <w:kern w:val="2"/>
          <w14:ligatures w14:val="standardContextual"/>
        </w:rPr>
        <w:t>Twitter</w:t>
      </w:r>
      <w:proofErr w:type="spellEnd"/>
      <w:r w:rsidRPr="0017767A">
        <w:rPr>
          <w:kern w:val="2"/>
          <w14:ligatures w14:val="standardContextual"/>
        </w:rPr>
        <w:t xml:space="preserve"> și cu 4,7 % pe Facebook; îndeamnă SEAE să își îmbunătățească comunicarea legată de politicile Uniunii în rândul cetățenilor din țările terțe și să intensifice eforturile de coordonare menite să crească vizibilitatea proiectelor finanțate de Uniune, în special în țările candidate, pentru a contracara încercările actorilor rău-intenționați de a submina eforturile Uniunii;</w:t>
      </w:r>
    </w:p>
    <w:p w14:paraId="6497372F"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85.</w:t>
      </w:r>
      <w:r w:rsidRPr="0017767A">
        <w:rPr>
          <w:kern w:val="2"/>
          <w14:ligatures w14:val="standardContextual"/>
        </w:rPr>
        <w:tab/>
        <w:t>salută implicarea SEAE în campania de comunicare instituțională a Parlamentului pentru alegerile europene din 2024, în special în campania de informare care îi viza pe cei 25-30 de milioane de cetățeni europeni care locuiesc în țări terțe cu privire la posibile modalități de vot la alegerile europene, în special prin intermediul rețelei delegațiilor; ia act de faptul că această campanie a ajuns la 11 milioane de destinatari, prin intermediul a 26 de campanii video și a peste 2 000 de publicații pe platformele de comunicare socială;</w:t>
      </w:r>
    </w:p>
    <w:p w14:paraId="182CEC47"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86.</w:t>
      </w:r>
      <w:r w:rsidRPr="0017767A">
        <w:rPr>
          <w:kern w:val="2"/>
          <w14:ligatures w14:val="standardContextual"/>
        </w:rPr>
        <w:tab/>
        <w:t xml:space="preserve">subliniază contribuția SEAE la eforturile generale ale Uniunii de a demonstra un sprijin ferm pentru Ucraina prin inițiative precum campania #StandWithUkraine și proiecte de comunicare specifice, cum ar fi </w:t>
      </w:r>
      <w:proofErr w:type="spellStart"/>
      <w:r w:rsidRPr="0017767A">
        <w:rPr>
          <w:kern w:val="2"/>
          <w14:ligatures w14:val="standardContextual"/>
        </w:rPr>
        <w:t>Faces</w:t>
      </w:r>
      <w:proofErr w:type="spellEnd"/>
      <w:r w:rsidRPr="0017767A">
        <w:rPr>
          <w:kern w:val="2"/>
          <w14:ligatures w14:val="standardContextual"/>
        </w:rPr>
        <w:t xml:space="preserve"> of </w:t>
      </w:r>
      <w:proofErr w:type="spellStart"/>
      <w:r w:rsidRPr="0017767A">
        <w:rPr>
          <w:kern w:val="2"/>
          <w14:ligatures w14:val="standardContextual"/>
        </w:rPr>
        <w:t>Ukraine</w:t>
      </w:r>
      <w:proofErr w:type="spellEnd"/>
      <w:r w:rsidRPr="0017767A">
        <w:rPr>
          <w:kern w:val="2"/>
          <w14:ligatures w14:val="standardContextual"/>
        </w:rPr>
        <w:t xml:space="preserve">, </w:t>
      </w:r>
      <w:proofErr w:type="spellStart"/>
      <w:r w:rsidRPr="0017767A">
        <w:rPr>
          <w:kern w:val="2"/>
          <w14:ligatures w14:val="standardContextual"/>
        </w:rPr>
        <w:t>Art</w:t>
      </w:r>
      <w:proofErr w:type="spellEnd"/>
      <w:r w:rsidRPr="0017767A">
        <w:rPr>
          <w:kern w:val="2"/>
          <w14:ligatures w14:val="standardContextual"/>
        </w:rPr>
        <w:t xml:space="preserve"> </w:t>
      </w:r>
      <w:proofErr w:type="spellStart"/>
      <w:r w:rsidRPr="0017767A">
        <w:rPr>
          <w:kern w:val="2"/>
          <w14:ligatures w14:val="standardContextual"/>
        </w:rPr>
        <w:t>vs</w:t>
      </w:r>
      <w:proofErr w:type="spellEnd"/>
      <w:r w:rsidRPr="0017767A">
        <w:rPr>
          <w:kern w:val="2"/>
          <w14:ligatures w14:val="standardContextual"/>
        </w:rPr>
        <w:t xml:space="preserve"> War și </w:t>
      </w:r>
      <w:proofErr w:type="spellStart"/>
      <w:r w:rsidRPr="0017767A">
        <w:rPr>
          <w:kern w:val="2"/>
          <w14:ligatures w14:val="standardContextual"/>
        </w:rPr>
        <w:t>Share</w:t>
      </w:r>
      <w:proofErr w:type="spellEnd"/>
      <w:r w:rsidRPr="0017767A">
        <w:rPr>
          <w:kern w:val="2"/>
          <w14:ligatures w14:val="standardContextual"/>
        </w:rPr>
        <w:t xml:space="preserve"> </w:t>
      </w:r>
      <w:proofErr w:type="spellStart"/>
      <w:r w:rsidRPr="0017767A">
        <w:rPr>
          <w:kern w:val="2"/>
          <w14:ligatures w14:val="standardContextual"/>
        </w:rPr>
        <w:t>Your</w:t>
      </w:r>
      <w:proofErr w:type="spellEnd"/>
      <w:r w:rsidRPr="0017767A">
        <w:rPr>
          <w:kern w:val="2"/>
          <w14:ligatures w14:val="standardContextual"/>
        </w:rPr>
        <w:t xml:space="preserve"> </w:t>
      </w:r>
      <w:proofErr w:type="spellStart"/>
      <w:r w:rsidRPr="0017767A">
        <w:rPr>
          <w:kern w:val="2"/>
          <w14:ligatures w14:val="standardContextual"/>
        </w:rPr>
        <w:t>Light</w:t>
      </w:r>
      <w:proofErr w:type="spellEnd"/>
      <w:r w:rsidRPr="0017767A">
        <w:rPr>
          <w:kern w:val="2"/>
          <w14:ligatures w14:val="standardContextual"/>
        </w:rPr>
        <w:t>;</w:t>
      </w:r>
    </w:p>
    <w:p w14:paraId="0E713058" w14:textId="77777777" w:rsidR="0017767A" w:rsidRPr="0017767A" w:rsidRDefault="0017767A" w:rsidP="0017767A">
      <w:pPr>
        <w:spacing w:after="240"/>
        <w:ind w:left="567" w:hanging="567"/>
        <w:rPr>
          <w:kern w:val="2"/>
          <w14:ligatures w14:val="standardContextual"/>
        </w:rPr>
      </w:pPr>
      <w:r w:rsidRPr="0017767A">
        <w:rPr>
          <w:kern w:val="2"/>
          <w14:ligatures w14:val="standardContextual"/>
        </w:rPr>
        <w:t>87.</w:t>
      </w:r>
      <w:r w:rsidRPr="0017767A">
        <w:rPr>
          <w:kern w:val="2"/>
          <w14:ligatures w14:val="standardContextual"/>
        </w:rPr>
        <w:tab/>
        <w:t xml:space="preserve">încurajează în continuare delegațiile Uniunii să promoveze și să colaboreze cu actorii locali, cu organizațiile societății civile și cu partenerii sociali din țările terțe pentru a </w:t>
      </w:r>
      <w:r w:rsidRPr="0017767A">
        <w:rPr>
          <w:kern w:val="2"/>
          <w14:ligatures w14:val="standardContextual"/>
        </w:rPr>
        <w:lastRenderedPageBreak/>
        <w:t>stimula dialogul social și dialogul privind statul de drept, drepturile fundamentale și combaterea corupției; ia act de faptul că, în 2023, în cadrul programului tematic pentru organizațiile societății civile, pe baza căruia se încheie parteneriate ale Uniunii cu organizații responsabile și transparente, 50 de milioane EUR au fost alocate sistemului Uniunii pentru un mediu favorabil societății civile, care monitorizează și promovează spațiul civic în 86 de țări partenere.</w:t>
      </w:r>
    </w:p>
    <w:p w14:paraId="22C706C4" w14:textId="77777777" w:rsidR="0017767A" w:rsidRPr="005662AE" w:rsidRDefault="0017767A" w:rsidP="00B463CD">
      <w:pPr>
        <w:rPr>
          <w:vanish/>
        </w:rPr>
      </w:pPr>
    </w:p>
    <w:sectPr w:rsidR="0017767A" w:rsidRPr="005662AE" w:rsidSect="001776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761AC" w14:textId="77777777" w:rsidR="00B463CD" w:rsidRPr="00A9330D" w:rsidRDefault="00B463CD">
      <w:r w:rsidRPr="00A9330D">
        <w:separator/>
      </w:r>
    </w:p>
  </w:endnote>
  <w:endnote w:type="continuationSeparator" w:id="0">
    <w:p w14:paraId="140487EE" w14:textId="77777777" w:rsidR="00B463CD" w:rsidRPr="00A9330D" w:rsidRDefault="00B463CD">
      <w:r w:rsidRPr="00A933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E2060" w14:textId="77777777" w:rsidR="00064002" w:rsidRPr="00A9330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22C1B" w14:textId="77777777" w:rsidR="00064002" w:rsidRPr="00A9330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36423" w14:textId="77777777" w:rsidR="00064002" w:rsidRPr="00A933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95EF9" w14:textId="77777777" w:rsidR="00B463CD" w:rsidRPr="00A9330D" w:rsidRDefault="00B463CD">
      <w:r w:rsidRPr="00A9330D">
        <w:separator/>
      </w:r>
    </w:p>
  </w:footnote>
  <w:footnote w:type="continuationSeparator" w:id="0">
    <w:p w14:paraId="5B440B2C" w14:textId="77777777" w:rsidR="00B463CD" w:rsidRPr="00A9330D" w:rsidRDefault="00B463CD">
      <w:r w:rsidRPr="00A9330D">
        <w:continuationSeparator/>
      </w:r>
    </w:p>
  </w:footnote>
  <w:footnote w:id="1">
    <w:p w14:paraId="12F912A0" w14:textId="77777777" w:rsidR="0017767A" w:rsidRPr="00665ED4" w:rsidRDefault="0017767A" w:rsidP="0017767A">
      <w:pPr>
        <w:pStyle w:val="FootnoteText"/>
        <w:ind w:left="567" w:hanging="567"/>
        <w:rPr>
          <w:sz w:val="24"/>
          <w:lang w:val="ro-RO"/>
        </w:rPr>
      </w:pPr>
      <w:r w:rsidRPr="00665ED4">
        <w:rPr>
          <w:rStyle w:val="FootnoteReference"/>
          <w:sz w:val="24"/>
        </w:rPr>
        <w:footnoteRef/>
      </w:r>
      <w:r w:rsidRPr="005671E0">
        <w:rPr>
          <w:sz w:val="24"/>
          <w:lang w:val="ro-RO"/>
        </w:rPr>
        <w:tab/>
        <w:t xml:space="preserve">JO L 58, 23.2.2023, p. 1, ELI: </w:t>
      </w:r>
      <w:hyperlink r:id="rId1" w:tooltip="Gives access to this document through its ELI URI." w:history="1">
        <w:r w:rsidRPr="005671E0">
          <w:rPr>
            <w:rStyle w:val="Hyperlink1"/>
            <w:sz w:val="24"/>
            <w:shd w:val="clear" w:color="auto" w:fill="FFFFFF"/>
            <w:lang w:val="ro-RO"/>
          </w:rPr>
          <w:t>http://data.europa.eu/eli/budget/2023/1/oj</w:t>
        </w:r>
      </w:hyperlink>
      <w:r w:rsidRPr="005671E0">
        <w:rPr>
          <w:sz w:val="24"/>
          <w:shd w:val="clear" w:color="auto" w:fill="FFFFFF"/>
          <w:lang w:val="ro-RO"/>
        </w:rPr>
        <w:t>.</w:t>
      </w:r>
    </w:p>
  </w:footnote>
  <w:footnote w:id="2">
    <w:p w14:paraId="784C3832" w14:textId="77777777" w:rsidR="0017767A" w:rsidRPr="00665ED4" w:rsidRDefault="0017767A" w:rsidP="0017767A">
      <w:pPr>
        <w:pStyle w:val="FootnoteText"/>
        <w:ind w:left="567" w:hanging="567"/>
        <w:rPr>
          <w:sz w:val="24"/>
          <w:lang w:val="ro-RO"/>
        </w:rPr>
      </w:pPr>
      <w:r w:rsidRPr="00665ED4">
        <w:rPr>
          <w:rStyle w:val="FootnoteReference"/>
          <w:sz w:val="24"/>
        </w:rPr>
        <w:footnoteRef/>
      </w:r>
      <w:r w:rsidRPr="005671E0">
        <w:rPr>
          <w:sz w:val="24"/>
          <w:lang w:val="ro-RO"/>
        </w:rPr>
        <w:tab/>
        <w:t xml:space="preserve">JO C, C/2024/5462, 10.10.2024, ELI: </w:t>
      </w:r>
      <w:hyperlink r:id="rId2" w:history="1">
        <w:r w:rsidRPr="005671E0">
          <w:rPr>
            <w:rStyle w:val="Hyperlink1"/>
            <w:sz w:val="24"/>
            <w:lang w:val="ro-RO"/>
          </w:rPr>
          <w:t>http://data.europa.eu/eli/C/2024/5462/oj</w:t>
        </w:r>
      </w:hyperlink>
      <w:r w:rsidRPr="005671E0">
        <w:rPr>
          <w:sz w:val="24"/>
          <w:shd w:val="clear" w:color="auto" w:fill="FFFFFF"/>
          <w:lang w:val="ro-RO"/>
        </w:rPr>
        <w:t>.</w:t>
      </w:r>
    </w:p>
  </w:footnote>
  <w:footnote w:id="3">
    <w:p w14:paraId="1F14DF96" w14:textId="77777777" w:rsidR="0017767A" w:rsidRPr="00665ED4" w:rsidRDefault="0017767A" w:rsidP="0017767A">
      <w:pPr>
        <w:pStyle w:val="FootnoteText"/>
        <w:ind w:left="567" w:hanging="567"/>
        <w:rPr>
          <w:sz w:val="24"/>
          <w:lang w:val="ro-RO"/>
        </w:rPr>
      </w:pPr>
      <w:r w:rsidRPr="00665ED4">
        <w:rPr>
          <w:rStyle w:val="FootnoteReference"/>
          <w:sz w:val="24"/>
        </w:rPr>
        <w:footnoteRef/>
      </w:r>
      <w:r w:rsidRPr="005671E0">
        <w:rPr>
          <w:sz w:val="24"/>
          <w:lang w:val="ro-RO"/>
        </w:rPr>
        <w:tab/>
        <w:t xml:space="preserve">JO C, C/2024/5882, 9.10.2024, ELI: </w:t>
      </w:r>
      <w:hyperlink r:id="rId3" w:history="1">
        <w:r w:rsidRPr="005671E0">
          <w:rPr>
            <w:rStyle w:val="Hyperlink1"/>
            <w:sz w:val="24"/>
            <w:lang w:val="ro-RO"/>
          </w:rPr>
          <w:t>http://data.europa.eu/eli/C/2024/5882/oj</w:t>
        </w:r>
      </w:hyperlink>
      <w:r w:rsidRPr="005671E0">
        <w:rPr>
          <w:sz w:val="24"/>
          <w:shd w:val="clear" w:color="auto" w:fill="FFFFFF"/>
          <w:lang w:val="ro-RO"/>
        </w:rPr>
        <w:t>.</w:t>
      </w:r>
    </w:p>
  </w:footnote>
  <w:footnote w:id="4">
    <w:p w14:paraId="7ED2360F" w14:textId="77777777" w:rsidR="0017767A" w:rsidRPr="00665ED4" w:rsidRDefault="0017767A" w:rsidP="0017767A">
      <w:pPr>
        <w:pStyle w:val="FootnoteText"/>
        <w:ind w:left="567" w:hanging="567"/>
        <w:rPr>
          <w:sz w:val="24"/>
          <w:lang w:val="ro-RO"/>
        </w:rPr>
      </w:pPr>
      <w:r w:rsidRPr="00665ED4">
        <w:rPr>
          <w:rStyle w:val="FootnoteReference"/>
          <w:sz w:val="24"/>
        </w:rPr>
        <w:footnoteRef/>
      </w:r>
      <w:r w:rsidRPr="005671E0">
        <w:rPr>
          <w:sz w:val="24"/>
          <w:lang w:val="ro-RO"/>
        </w:rPr>
        <w:tab/>
        <w:t xml:space="preserve">JO C, C/2024/6041, 10.10.2024, ELI: </w:t>
      </w:r>
      <w:hyperlink r:id="rId4" w:history="1">
        <w:r w:rsidRPr="005671E0">
          <w:rPr>
            <w:rStyle w:val="Hyperlink1"/>
            <w:sz w:val="24"/>
            <w:lang w:val="ro-RO"/>
          </w:rPr>
          <w:t>http://data.europa.eu/eli/C/2024/6041/oj</w:t>
        </w:r>
      </w:hyperlink>
      <w:r w:rsidRPr="005671E0">
        <w:rPr>
          <w:sz w:val="24"/>
          <w:shd w:val="clear" w:color="auto" w:fill="FFFFFF"/>
          <w:lang w:val="ro-RO"/>
        </w:rPr>
        <w:t>.</w:t>
      </w:r>
    </w:p>
  </w:footnote>
  <w:footnote w:id="5">
    <w:p w14:paraId="6170E2F8" w14:textId="77777777" w:rsidR="0017767A" w:rsidRPr="00665ED4" w:rsidRDefault="0017767A" w:rsidP="0017767A">
      <w:pPr>
        <w:pStyle w:val="FootnoteText"/>
        <w:ind w:left="567" w:hanging="567"/>
        <w:rPr>
          <w:sz w:val="24"/>
          <w:lang w:val="ro-RO"/>
        </w:rPr>
      </w:pPr>
      <w:r w:rsidRPr="00665ED4">
        <w:rPr>
          <w:rStyle w:val="FootnoteReference"/>
          <w:sz w:val="24"/>
        </w:rPr>
        <w:footnoteRef/>
      </w:r>
      <w:r w:rsidRPr="005671E0">
        <w:rPr>
          <w:sz w:val="24"/>
          <w:lang w:val="ro-RO"/>
        </w:rPr>
        <w:tab/>
        <w:t xml:space="preserve">JO L 193, 30.7.2018, p. 1, ELI: </w:t>
      </w:r>
      <w:hyperlink r:id="rId5" w:history="1">
        <w:r w:rsidRPr="005671E0">
          <w:rPr>
            <w:rStyle w:val="Hyperlink1"/>
            <w:sz w:val="24"/>
            <w:lang w:val="ro-RO"/>
          </w:rPr>
          <w:t>http://data.europa.eu/eli/reg/2018/1046/oj</w:t>
        </w:r>
      </w:hyperlink>
      <w:r w:rsidRPr="005671E0">
        <w:rPr>
          <w:sz w:val="24"/>
          <w:shd w:val="clear" w:color="auto" w:fill="FFFFFF"/>
          <w:lang w:val="ro-RO"/>
        </w:rPr>
        <w:t>.</w:t>
      </w:r>
    </w:p>
  </w:footnote>
  <w:footnote w:id="6">
    <w:p w14:paraId="42C0384F" w14:textId="77777777" w:rsidR="0017767A" w:rsidRPr="00665ED4" w:rsidRDefault="0017767A" w:rsidP="0017767A">
      <w:pPr>
        <w:pStyle w:val="FootnoteText"/>
        <w:ind w:left="567" w:hanging="567"/>
        <w:rPr>
          <w:sz w:val="24"/>
          <w:szCs w:val="24"/>
          <w:lang w:val="ro-RO"/>
        </w:rPr>
      </w:pPr>
      <w:r w:rsidRPr="00665ED4">
        <w:rPr>
          <w:rStyle w:val="FootnoteReference"/>
          <w:sz w:val="24"/>
        </w:rPr>
        <w:footnoteRef/>
      </w:r>
      <w:r w:rsidRPr="005671E0">
        <w:rPr>
          <w:sz w:val="24"/>
          <w:lang w:val="ro-RO"/>
        </w:rPr>
        <w:tab/>
        <w:t xml:space="preserve">JO L, 2024/2509, 26.9.2024, ELI: </w:t>
      </w:r>
      <w:hyperlink r:id="rId6" w:history="1">
        <w:r w:rsidRPr="005671E0">
          <w:rPr>
            <w:rStyle w:val="Hyperlink1"/>
            <w:sz w:val="24"/>
            <w:lang w:val="ro-RO"/>
          </w:rPr>
          <w:t>http://data.europa.eu/eli/reg/2024/2509/oj</w:t>
        </w:r>
      </w:hyperlink>
      <w:r w:rsidRPr="005671E0">
        <w:rPr>
          <w:sz w:val="24"/>
          <w:shd w:val="clear" w:color="auto" w:fill="FFFFFF"/>
          <w:lang w:val="ro-RO"/>
        </w:rPr>
        <w:t>.</w:t>
      </w:r>
    </w:p>
  </w:footnote>
  <w:footnote w:id="7">
    <w:p w14:paraId="633CFDF9" w14:textId="77777777" w:rsidR="0017767A" w:rsidRPr="00665ED4" w:rsidRDefault="0017767A" w:rsidP="0017767A">
      <w:pPr>
        <w:pStyle w:val="FootnoteText"/>
        <w:ind w:left="567" w:hanging="567"/>
        <w:rPr>
          <w:sz w:val="24"/>
          <w:lang w:val="ro-RO"/>
        </w:rPr>
      </w:pPr>
      <w:r w:rsidRPr="00665ED4">
        <w:rPr>
          <w:rStyle w:val="FootnoteReference"/>
          <w:sz w:val="24"/>
        </w:rPr>
        <w:footnoteRef/>
      </w:r>
      <w:r w:rsidRPr="005671E0">
        <w:rPr>
          <w:sz w:val="24"/>
          <w:lang w:val="ro-RO"/>
        </w:rPr>
        <w:tab/>
        <w:t xml:space="preserve">JO L 201, 3.8.2010, p. 30, ELI: </w:t>
      </w:r>
      <w:hyperlink r:id="rId7" w:history="1">
        <w:r w:rsidRPr="005671E0">
          <w:rPr>
            <w:rStyle w:val="Hyperlink1"/>
            <w:sz w:val="24"/>
            <w:lang w:val="ro-RO"/>
          </w:rPr>
          <w:t>http://data.europa.eu/eli/dec/2010/427/oj</w:t>
        </w:r>
      </w:hyperlink>
      <w:r w:rsidRPr="005671E0">
        <w:rPr>
          <w:sz w:val="24"/>
          <w:shd w:val="clear" w:color="auto" w:fill="FFFFFF"/>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AC26B" w14:textId="77777777" w:rsidR="00064002" w:rsidRPr="00A9330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FF15" w14:textId="77777777" w:rsidR="00064002" w:rsidRPr="00A9330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BBC4" w14:textId="77777777" w:rsidR="00064002" w:rsidRPr="00A933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abstractNum w:abstractNumId="14" w15:restartNumberingAfterBreak="0">
    <w:nsid w:val="59BE2930"/>
    <w:multiLevelType w:val="hybridMultilevel"/>
    <w:tmpl w:val="60A056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377A82"/>
    <w:multiLevelType w:val="hybridMultilevel"/>
    <w:tmpl w:val="932ED088"/>
    <w:lvl w:ilvl="0" w:tplc="9266E52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4077239">
    <w:abstractNumId w:val="9"/>
  </w:num>
  <w:num w:numId="2" w16cid:durableId="1324357940">
    <w:abstractNumId w:val="9"/>
  </w:num>
  <w:num w:numId="3" w16cid:durableId="848056861">
    <w:abstractNumId w:val="7"/>
  </w:num>
  <w:num w:numId="4" w16cid:durableId="1064717483">
    <w:abstractNumId w:val="7"/>
  </w:num>
  <w:num w:numId="5" w16cid:durableId="561066647">
    <w:abstractNumId w:val="6"/>
  </w:num>
  <w:num w:numId="6" w16cid:durableId="1421877559">
    <w:abstractNumId w:val="6"/>
  </w:num>
  <w:num w:numId="7" w16cid:durableId="1134636213">
    <w:abstractNumId w:val="5"/>
  </w:num>
  <w:num w:numId="8" w16cid:durableId="1718316533">
    <w:abstractNumId w:val="5"/>
  </w:num>
  <w:num w:numId="9" w16cid:durableId="909968400">
    <w:abstractNumId w:val="4"/>
  </w:num>
  <w:num w:numId="10" w16cid:durableId="692148698">
    <w:abstractNumId w:val="4"/>
  </w:num>
  <w:num w:numId="11" w16cid:durableId="1034038781">
    <w:abstractNumId w:val="8"/>
  </w:num>
  <w:num w:numId="12" w16cid:durableId="1697461348">
    <w:abstractNumId w:val="8"/>
  </w:num>
  <w:num w:numId="13" w16cid:durableId="1633290679">
    <w:abstractNumId w:val="3"/>
  </w:num>
  <w:num w:numId="14" w16cid:durableId="1482621880">
    <w:abstractNumId w:val="3"/>
  </w:num>
  <w:num w:numId="15" w16cid:durableId="1605185987">
    <w:abstractNumId w:val="2"/>
  </w:num>
  <w:num w:numId="16" w16cid:durableId="1977685812">
    <w:abstractNumId w:val="2"/>
  </w:num>
  <w:num w:numId="17" w16cid:durableId="862591951">
    <w:abstractNumId w:val="1"/>
  </w:num>
  <w:num w:numId="18" w16cid:durableId="774322918">
    <w:abstractNumId w:val="1"/>
  </w:num>
  <w:num w:numId="19" w16cid:durableId="1268394104">
    <w:abstractNumId w:val="0"/>
  </w:num>
  <w:num w:numId="20" w16cid:durableId="640619598">
    <w:abstractNumId w:val="0"/>
  </w:num>
  <w:num w:numId="21" w16cid:durableId="1565525412">
    <w:abstractNumId w:val="9"/>
  </w:num>
  <w:num w:numId="22" w16cid:durableId="1161502342">
    <w:abstractNumId w:val="7"/>
  </w:num>
  <w:num w:numId="23" w16cid:durableId="309595331">
    <w:abstractNumId w:val="6"/>
  </w:num>
  <w:num w:numId="24" w16cid:durableId="1845438166">
    <w:abstractNumId w:val="5"/>
  </w:num>
  <w:num w:numId="25" w16cid:durableId="2057391599">
    <w:abstractNumId w:val="4"/>
  </w:num>
  <w:num w:numId="26" w16cid:durableId="1483229871">
    <w:abstractNumId w:val="8"/>
  </w:num>
  <w:num w:numId="27" w16cid:durableId="1125193988">
    <w:abstractNumId w:val="3"/>
  </w:num>
  <w:num w:numId="28" w16cid:durableId="551229451">
    <w:abstractNumId w:val="2"/>
  </w:num>
  <w:num w:numId="29" w16cid:durableId="1517843849">
    <w:abstractNumId w:val="1"/>
  </w:num>
  <w:num w:numId="30" w16cid:durableId="1108115325">
    <w:abstractNumId w:val="0"/>
  </w:num>
  <w:num w:numId="31" w16cid:durableId="242030002">
    <w:abstractNumId w:val="9"/>
  </w:num>
  <w:num w:numId="32" w16cid:durableId="2025597315">
    <w:abstractNumId w:val="7"/>
  </w:num>
  <w:num w:numId="33" w16cid:durableId="688798082">
    <w:abstractNumId w:val="6"/>
  </w:num>
  <w:num w:numId="34" w16cid:durableId="1198859307">
    <w:abstractNumId w:val="5"/>
  </w:num>
  <w:num w:numId="35" w16cid:durableId="2132547703">
    <w:abstractNumId w:val="4"/>
  </w:num>
  <w:num w:numId="36" w16cid:durableId="954210861">
    <w:abstractNumId w:val="8"/>
  </w:num>
  <w:num w:numId="37" w16cid:durableId="894240433">
    <w:abstractNumId w:val="3"/>
  </w:num>
  <w:num w:numId="38" w16cid:durableId="704066532">
    <w:abstractNumId w:val="2"/>
  </w:num>
  <w:num w:numId="39" w16cid:durableId="1989049868">
    <w:abstractNumId w:val="1"/>
  </w:num>
  <w:num w:numId="40" w16cid:durableId="1069494816">
    <w:abstractNumId w:val="0"/>
  </w:num>
  <w:num w:numId="41" w16cid:durableId="2144806675">
    <w:abstractNumId w:val="10"/>
  </w:num>
  <w:num w:numId="42" w16cid:durableId="289551764">
    <w:abstractNumId w:val="10"/>
  </w:num>
  <w:num w:numId="43" w16cid:durableId="216165775">
    <w:abstractNumId w:val="10"/>
  </w:num>
  <w:num w:numId="44" w16cid:durableId="1137069919">
    <w:abstractNumId w:val="12"/>
  </w:num>
  <w:num w:numId="45" w16cid:durableId="165829407">
    <w:abstractNumId w:val="13"/>
  </w:num>
  <w:num w:numId="46" w16cid:durableId="1333947215">
    <w:abstractNumId w:val="11"/>
  </w:num>
  <w:num w:numId="47" w16cid:durableId="40400109">
    <w:abstractNumId w:val="15"/>
  </w:num>
  <w:num w:numId="48" w16cid:durableId="6644320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9/2025"/>
    <w:docVar w:name="dvlangue" w:val="RO"/>
    <w:docVar w:name="dvnumam" w:val="0"/>
    <w:docVar w:name="dvpe" w:val="764.994"/>
    <w:docVar w:name="dvrapporteur" w:val="Raportor: "/>
    <w:docVar w:name="dvtitre" w:val="Decizia Parlamentului European din 7 mai 2025 privind descărcarea de gestiune pentru execuția bugetului general al Uniunii Europene aferent exercițiului financiar 2023, secțiunea X - Serviciul European de Acțiune Externă(2024/2024(DEC))"/>
  </w:docVars>
  <w:rsids>
    <w:rsidRoot w:val="00B463CD"/>
    <w:rsid w:val="00002272"/>
    <w:rsid w:val="000048CE"/>
    <w:rsid w:val="00064002"/>
    <w:rsid w:val="00065ED5"/>
    <w:rsid w:val="000677B9"/>
    <w:rsid w:val="000831BA"/>
    <w:rsid w:val="000A42CC"/>
    <w:rsid w:val="000E7DD9"/>
    <w:rsid w:val="0010095E"/>
    <w:rsid w:val="00125B37"/>
    <w:rsid w:val="0017767A"/>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10EE"/>
    <w:rsid w:val="00494A28"/>
    <w:rsid w:val="004C0004"/>
    <w:rsid w:val="004C0A1A"/>
    <w:rsid w:val="004C5D52"/>
    <w:rsid w:val="00504101"/>
    <w:rsid w:val="0050519A"/>
    <w:rsid w:val="005072A1"/>
    <w:rsid w:val="00514517"/>
    <w:rsid w:val="00545827"/>
    <w:rsid w:val="00560270"/>
    <w:rsid w:val="005662AE"/>
    <w:rsid w:val="005B1132"/>
    <w:rsid w:val="005C2568"/>
    <w:rsid w:val="005E0AE6"/>
    <w:rsid w:val="005F1B17"/>
    <w:rsid w:val="006037C0"/>
    <w:rsid w:val="006631B6"/>
    <w:rsid w:val="00680577"/>
    <w:rsid w:val="00697C90"/>
    <w:rsid w:val="006F74FA"/>
    <w:rsid w:val="00731ADD"/>
    <w:rsid w:val="00734777"/>
    <w:rsid w:val="00743F3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330D"/>
    <w:rsid w:val="00AB441E"/>
    <w:rsid w:val="00AB6293"/>
    <w:rsid w:val="00AC34DC"/>
    <w:rsid w:val="00AE0928"/>
    <w:rsid w:val="00AF3B82"/>
    <w:rsid w:val="00B12E95"/>
    <w:rsid w:val="00B22876"/>
    <w:rsid w:val="00B463CD"/>
    <w:rsid w:val="00B558F0"/>
    <w:rsid w:val="00B9221D"/>
    <w:rsid w:val="00BD48FE"/>
    <w:rsid w:val="00BD7BD8"/>
    <w:rsid w:val="00BE1335"/>
    <w:rsid w:val="00BE6ADC"/>
    <w:rsid w:val="00BF05A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7C2ED"/>
  <w15:chartTrackingRefBased/>
  <w15:docId w15:val="{F10DCD4F-317F-4FDB-A645-8960A32C8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B1132"/>
    <w:rPr>
      <w:b/>
      <w:kern w:val="28"/>
      <w:sz w:val="28"/>
      <w:lang w:val="fr-FR" w:eastAsia="fr-FR"/>
    </w:rPr>
  </w:style>
  <w:style w:type="character" w:customStyle="1" w:styleId="Heading2Char">
    <w:name w:val="Heading 2 Char"/>
    <w:basedOn w:val="DefaultParagraphFont"/>
    <w:link w:val="Heading2"/>
    <w:semiHidden/>
    <w:rsid w:val="005B1132"/>
    <w:rPr>
      <w:sz w:val="24"/>
      <w:lang w:val="fr-FR" w:eastAsia="fr-FR"/>
    </w:rPr>
  </w:style>
  <w:style w:type="character" w:customStyle="1" w:styleId="Heading3Char">
    <w:name w:val="Heading 3 Char"/>
    <w:basedOn w:val="DefaultParagraphFont"/>
    <w:link w:val="Heading3"/>
    <w:semiHidden/>
    <w:rsid w:val="005B1132"/>
    <w:rPr>
      <w:rFonts w:ascii="Arial" w:hAnsi="Arial"/>
      <w:sz w:val="24"/>
      <w:lang w:val="fr-FR" w:eastAsia="fr-FR"/>
    </w:rPr>
  </w:style>
  <w:style w:type="character" w:customStyle="1" w:styleId="Heading4Char">
    <w:name w:val="Heading 4 Char"/>
    <w:basedOn w:val="DefaultParagraphFont"/>
    <w:link w:val="Heading4"/>
    <w:semiHidden/>
    <w:rsid w:val="005B1132"/>
    <w:rPr>
      <w:sz w:val="24"/>
      <w:lang w:val="en-US" w:eastAsia="fr-FR"/>
    </w:rPr>
  </w:style>
  <w:style w:type="character" w:customStyle="1" w:styleId="Heading5Char">
    <w:name w:val="Heading 5 Char"/>
    <w:basedOn w:val="DefaultParagraphFont"/>
    <w:link w:val="Heading5"/>
    <w:semiHidden/>
    <w:rsid w:val="005B1132"/>
    <w:rPr>
      <w:sz w:val="24"/>
      <w:lang w:val="en-US" w:eastAsia="fr-FR"/>
    </w:rPr>
  </w:style>
  <w:style w:type="character" w:customStyle="1" w:styleId="Heading6Char">
    <w:name w:val="Heading 6 Char"/>
    <w:basedOn w:val="DefaultParagraphFont"/>
    <w:link w:val="Heading6"/>
    <w:semiHidden/>
    <w:rsid w:val="005B1132"/>
    <w:rPr>
      <w:i/>
      <w:sz w:val="22"/>
      <w:lang w:val="ro-RO"/>
    </w:rPr>
  </w:style>
  <w:style w:type="character" w:customStyle="1" w:styleId="Heading7Char">
    <w:name w:val="Heading 7 Char"/>
    <w:basedOn w:val="DefaultParagraphFont"/>
    <w:link w:val="Heading7"/>
    <w:semiHidden/>
    <w:rsid w:val="005B1132"/>
    <w:rPr>
      <w:rFonts w:ascii="Arial" w:hAnsi="Arial"/>
      <w:sz w:val="24"/>
      <w:lang w:val="ro-RO"/>
    </w:rPr>
  </w:style>
  <w:style w:type="character" w:customStyle="1" w:styleId="Heading8Char">
    <w:name w:val="Heading 8 Char"/>
    <w:basedOn w:val="DefaultParagraphFont"/>
    <w:link w:val="Heading8"/>
    <w:semiHidden/>
    <w:rsid w:val="005B1132"/>
    <w:rPr>
      <w:rFonts w:ascii="Arial" w:hAnsi="Arial"/>
      <w:i/>
      <w:sz w:val="24"/>
      <w:lang w:val="ro-RO"/>
    </w:rPr>
  </w:style>
  <w:style w:type="character" w:customStyle="1" w:styleId="Heading9Char">
    <w:name w:val="Heading 9 Char"/>
    <w:basedOn w:val="DefaultParagraphFont"/>
    <w:link w:val="Heading9"/>
    <w:semiHidden/>
    <w:rsid w:val="005B1132"/>
    <w:rPr>
      <w:rFonts w:ascii="Arial" w:hAnsi="Arial"/>
      <w:b/>
      <w:i/>
      <w:sz w:val="18"/>
      <w:lang w:val="ro-RO"/>
    </w:rPr>
  </w:style>
  <w:style w:type="paragraph" w:styleId="TOCHeading">
    <w:name w:val="TOC Heading"/>
    <w:basedOn w:val="Normal"/>
    <w:next w:val="Normal"/>
    <w:unhideWhenUsed/>
    <w:qFormat/>
    <w:rsid w:val="005B1132"/>
    <w:pPr>
      <w:widowControl/>
      <w:spacing w:after="240"/>
    </w:pPr>
    <w:rPr>
      <w:lang w:val="en-GB"/>
    </w:rPr>
  </w:style>
  <w:style w:type="paragraph" w:customStyle="1" w:styleId="EPFooter2">
    <w:name w:val="EPFooter2"/>
    <w:basedOn w:val="Normal"/>
    <w:next w:val="Normal"/>
    <w:rsid w:val="005B113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B1132"/>
    <w:pPr>
      <w:spacing w:before="480" w:after="240"/>
    </w:pPr>
  </w:style>
  <w:style w:type="paragraph" w:customStyle="1" w:styleId="TOCPage">
    <w:name w:val="TOC Page"/>
    <w:basedOn w:val="Normal"/>
    <w:next w:val="TOC1"/>
    <w:rsid w:val="005B1132"/>
    <w:pPr>
      <w:keepNext/>
      <w:spacing w:after="240"/>
      <w:jc w:val="right"/>
    </w:pPr>
    <w:rPr>
      <w:rFonts w:ascii="Arial" w:hAnsi="Arial"/>
      <w:b/>
    </w:rPr>
  </w:style>
  <w:style w:type="paragraph" w:customStyle="1" w:styleId="PageHeading">
    <w:name w:val="PageHeading"/>
    <w:basedOn w:val="Normal"/>
    <w:rsid w:val="005B1132"/>
    <w:pPr>
      <w:keepNext/>
      <w:spacing w:after="480"/>
      <w:jc w:val="center"/>
    </w:pPr>
    <w:rPr>
      <w:rFonts w:ascii="Arial" w:hAnsi="Arial" w:cs="Arial"/>
      <w:b/>
    </w:rPr>
  </w:style>
  <w:style w:type="paragraph" w:customStyle="1" w:styleId="NormalBold">
    <w:name w:val="NormalBold"/>
    <w:basedOn w:val="Normal"/>
    <w:rsid w:val="005B1132"/>
    <w:rPr>
      <w:b/>
    </w:rPr>
  </w:style>
  <w:style w:type="paragraph" w:customStyle="1" w:styleId="NormalHanging12a">
    <w:name w:val="NormalHanging12a"/>
    <w:basedOn w:val="Normal"/>
    <w:link w:val="NormalHanging12aChar"/>
    <w:qFormat/>
    <w:rsid w:val="005B1132"/>
    <w:pPr>
      <w:spacing w:after="240"/>
      <w:ind w:left="567" w:hanging="567"/>
    </w:pPr>
  </w:style>
  <w:style w:type="paragraph" w:customStyle="1" w:styleId="CoverNormal24a">
    <w:name w:val="CoverNormal24a"/>
    <w:basedOn w:val="Normal"/>
    <w:rsid w:val="005B1132"/>
    <w:pPr>
      <w:spacing w:after="480"/>
      <w:ind w:left="1417"/>
    </w:pPr>
  </w:style>
  <w:style w:type="paragraph" w:customStyle="1" w:styleId="CoverNormal">
    <w:name w:val="CoverNormal"/>
    <w:basedOn w:val="Normal"/>
    <w:rsid w:val="005B1132"/>
    <w:pPr>
      <w:ind w:left="1418"/>
    </w:pPr>
  </w:style>
  <w:style w:type="paragraph" w:customStyle="1" w:styleId="CoverReference">
    <w:name w:val="CoverReference"/>
    <w:basedOn w:val="Normal"/>
    <w:rsid w:val="005B1132"/>
    <w:pPr>
      <w:spacing w:before="1080"/>
      <w:jc w:val="right"/>
    </w:pPr>
    <w:rPr>
      <w:rFonts w:ascii="Arial" w:hAnsi="Arial" w:cs="Arial"/>
      <w:b/>
    </w:rPr>
  </w:style>
  <w:style w:type="paragraph" w:customStyle="1" w:styleId="CoverDocType24a">
    <w:name w:val="CoverDocType24a"/>
    <w:basedOn w:val="Normal"/>
    <w:rsid w:val="005B1132"/>
    <w:pPr>
      <w:spacing w:after="480"/>
      <w:ind w:left="1418"/>
    </w:pPr>
    <w:rPr>
      <w:rFonts w:ascii="Arial" w:hAnsi="Arial"/>
      <w:b/>
      <w:sz w:val="48"/>
    </w:rPr>
  </w:style>
  <w:style w:type="paragraph" w:customStyle="1" w:styleId="CoverDate">
    <w:name w:val="CoverDate"/>
    <w:basedOn w:val="Normal"/>
    <w:rsid w:val="005B1132"/>
    <w:pPr>
      <w:spacing w:before="240" w:after="1200"/>
    </w:pPr>
  </w:style>
  <w:style w:type="paragraph" w:styleId="Header">
    <w:name w:val="header"/>
    <w:basedOn w:val="Normal"/>
    <w:link w:val="HeaderChar"/>
    <w:rsid w:val="005B1132"/>
    <w:pPr>
      <w:tabs>
        <w:tab w:val="center" w:pos="4513"/>
        <w:tab w:val="right" w:pos="9026"/>
      </w:tabs>
    </w:pPr>
  </w:style>
  <w:style w:type="character" w:customStyle="1" w:styleId="HeaderChar">
    <w:name w:val="Header Char"/>
    <w:basedOn w:val="DefaultParagraphFont"/>
    <w:link w:val="Header"/>
    <w:rsid w:val="005B1132"/>
    <w:rPr>
      <w:sz w:val="24"/>
      <w:lang w:val="ro-RO"/>
    </w:rPr>
  </w:style>
  <w:style w:type="paragraph" w:customStyle="1" w:styleId="EPBody">
    <w:name w:val="EPBody"/>
    <w:basedOn w:val="Normal"/>
    <w:rsid w:val="005B1132"/>
    <w:pPr>
      <w:jc w:val="center"/>
    </w:pPr>
    <w:rPr>
      <w:rFonts w:ascii="Arial" w:hAnsi="Arial" w:cs="Arial"/>
      <w:i/>
      <w:sz w:val="22"/>
      <w:szCs w:val="22"/>
    </w:rPr>
  </w:style>
  <w:style w:type="paragraph" w:customStyle="1" w:styleId="EPFooter">
    <w:name w:val="EPFooter"/>
    <w:basedOn w:val="Normal"/>
    <w:rsid w:val="005B1132"/>
    <w:pPr>
      <w:tabs>
        <w:tab w:val="center" w:pos="4535"/>
        <w:tab w:val="right" w:pos="9071"/>
      </w:tabs>
      <w:spacing w:before="240" w:after="240"/>
    </w:pPr>
    <w:rPr>
      <w:color w:val="010000"/>
      <w:sz w:val="22"/>
    </w:rPr>
  </w:style>
  <w:style w:type="character" w:styleId="Hyperlink">
    <w:name w:val="Hyperlink"/>
    <w:basedOn w:val="DefaultParagraphFont"/>
    <w:rsid w:val="005B1132"/>
    <w:rPr>
      <w:color w:val="0563C1" w:themeColor="hyperlink"/>
      <w:u w:val="single"/>
    </w:rPr>
  </w:style>
  <w:style w:type="character" w:customStyle="1" w:styleId="NormalHanging12aChar">
    <w:name w:val="NormalHanging12a Char"/>
    <w:basedOn w:val="DefaultParagraphFont"/>
    <w:link w:val="NormalHanging12a"/>
    <w:locked/>
    <w:rsid w:val="005B1132"/>
    <w:rPr>
      <w:sz w:val="24"/>
      <w:lang w:val="ro-RO"/>
    </w:rPr>
  </w:style>
  <w:style w:type="character" w:styleId="CommentReference">
    <w:name w:val="annotation reference"/>
    <w:basedOn w:val="DefaultParagraphFont"/>
    <w:uiPriority w:val="99"/>
    <w:rsid w:val="005B1132"/>
    <w:rPr>
      <w:sz w:val="16"/>
      <w:szCs w:val="16"/>
    </w:rPr>
  </w:style>
  <w:style w:type="paragraph" w:styleId="CommentText">
    <w:name w:val="annotation text"/>
    <w:basedOn w:val="Normal"/>
    <w:link w:val="CommentTextChar"/>
    <w:uiPriority w:val="99"/>
    <w:rsid w:val="005B1132"/>
    <w:rPr>
      <w:sz w:val="20"/>
    </w:rPr>
  </w:style>
  <w:style w:type="character" w:customStyle="1" w:styleId="CommentTextChar">
    <w:name w:val="Comment Text Char"/>
    <w:basedOn w:val="DefaultParagraphFont"/>
    <w:link w:val="CommentText"/>
    <w:uiPriority w:val="99"/>
    <w:rsid w:val="005B1132"/>
    <w:rPr>
      <w:lang w:val="ro-RO"/>
    </w:rPr>
  </w:style>
  <w:style w:type="paragraph" w:styleId="CommentSubject">
    <w:name w:val="annotation subject"/>
    <w:basedOn w:val="CommentText"/>
    <w:next w:val="CommentText"/>
    <w:link w:val="CommentSubjectChar"/>
    <w:unhideWhenUsed/>
    <w:rsid w:val="005B1132"/>
    <w:rPr>
      <w:b/>
      <w:bCs/>
    </w:rPr>
  </w:style>
  <w:style w:type="character" w:customStyle="1" w:styleId="CommentSubjectChar">
    <w:name w:val="Comment Subject Char"/>
    <w:basedOn w:val="CommentTextChar"/>
    <w:link w:val="CommentSubject"/>
    <w:rsid w:val="005B1132"/>
    <w:rPr>
      <w:b/>
      <w:bCs/>
      <w:lang w:val="ro-RO"/>
    </w:rPr>
  </w:style>
  <w:style w:type="paragraph" w:styleId="BalloonText">
    <w:name w:val="Balloon Text"/>
    <w:basedOn w:val="Normal"/>
    <w:link w:val="BalloonTextChar"/>
    <w:unhideWhenUsed/>
    <w:rsid w:val="005B1132"/>
    <w:rPr>
      <w:rFonts w:ascii="Segoe UI" w:hAnsi="Segoe UI" w:cs="Segoe UI"/>
      <w:sz w:val="18"/>
      <w:szCs w:val="18"/>
    </w:rPr>
  </w:style>
  <w:style w:type="character" w:customStyle="1" w:styleId="BalloonTextChar">
    <w:name w:val="Balloon Text Char"/>
    <w:basedOn w:val="DefaultParagraphFont"/>
    <w:link w:val="BalloonText"/>
    <w:rsid w:val="005B1132"/>
    <w:rPr>
      <w:rFonts w:ascii="Segoe UI" w:hAnsi="Segoe UI" w:cs="Segoe UI"/>
      <w:sz w:val="18"/>
      <w:szCs w:val="18"/>
      <w:lang w:val="ro-RO"/>
    </w:rPr>
  </w:style>
  <w:style w:type="character" w:styleId="FollowedHyperlink">
    <w:name w:val="FollowedHyperlink"/>
    <w:basedOn w:val="DefaultParagraphFont"/>
    <w:rsid w:val="005B1132"/>
    <w:rPr>
      <w:color w:val="954F72" w:themeColor="followedHyperlink"/>
      <w:u w:val="single"/>
    </w:rPr>
  </w:style>
  <w:style w:type="paragraph" w:customStyle="1" w:styleId="Normal24a">
    <w:name w:val="Normal24a"/>
    <w:basedOn w:val="Normal"/>
    <w:rsid w:val="005B1132"/>
    <w:pPr>
      <w:spacing w:after="480"/>
    </w:pPr>
  </w:style>
  <w:style w:type="paragraph" w:customStyle="1" w:styleId="NormalBoldCenter">
    <w:name w:val="NormalBoldCenter"/>
    <w:basedOn w:val="Normal"/>
    <w:rsid w:val="005B1132"/>
    <w:pPr>
      <w:jc w:val="center"/>
    </w:pPr>
    <w:rPr>
      <w:b/>
    </w:rPr>
  </w:style>
  <w:style w:type="paragraph" w:customStyle="1" w:styleId="Footprint12b">
    <w:name w:val="Footprint12b"/>
    <w:basedOn w:val="Normal"/>
    <w:rsid w:val="005B1132"/>
    <w:pPr>
      <w:spacing w:before="240"/>
    </w:pPr>
    <w:rPr>
      <w:szCs w:val="24"/>
    </w:rPr>
  </w:style>
  <w:style w:type="paragraph" w:customStyle="1" w:styleId="NormalSingle">
    <w:name w:val="NormalSingle"/>
    <w:basedOn w:val="Normal"/>
    <w:qFormat/>
    <w:rsid w:val="005B1132"/>
    <w:rPr>
      <w:szCs w:val="24"/>
    </w:rPr>
  </w:style>
  <w:style w:type="paragraph" w:customStyle="1" w:styleId="Normal12a">
    <w:name w:val="Normal12a"/>
    <w:basedOn w:val="Normal"/>
    <w:rsid w:val="005B1132"/>
    <w:pPr>
      <w:spacing w:after="240"/>
    </w:pPr>
  </w:style>
  <w:style w:type="paragraph" w:customStyle="1" w:styleId="PageHeadingNotTOC">
    <w:name w:val="PageHeadingNotTOC"/>
    <w:basedOn w:val="Normal"/>
    <w:rsid w:val="005B1132"/>
    <w:pPr>
      <w:keepNext/>
      <w:spacing w:after="480"/>
      <w:jc w:val="center"/>
    </w:pPr>
    <w:rPr>
      <w:rFonts w:ascii="Arial" w:hAnsi="Arial" w:cs="Arial"/>
      <w:b/>
    </w:rPr>
  </w:style>
  <w:style w:type="paragraph" w:customStyle="1" w:styleId="RollCallSymbols14pt">
    <w:name w:val="RollCallSymbols14pt"/>
    <w:basedOn w:val="Normal"/>
    <w:rsid w:val="005B113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B1132"/>
    <w:pPr>
      <w:tabs>
        <w:tab w:val="center" w:pos="284"/>
        <w:tab w:val="left" w:pos="426"/>
      </w:tabs>
    </w:pPr>
    <w:rPr>
      <w:snapToGrid w:val="0"/>
      <w:lang w:eastAsia="en-US"/>
    </w:rPr>
  </w:style>
  <w:style w:type="paragraph" w:customStyle="1" w:styleId="RollCallVotes">
    <w:name w:val="RollCallVotes"/>
    <w:basedOn w:val="Normal"/>
    <w:rsid w:val="005B1132"/>
    <w:pPr>
      <w:spacing w:before="120" w:after="120"/>
      <w:jc w:val="center"/>
    </w:pPr>
    <w:rPr>
      <w:b/>
      <w:bCs/>
      <w:snapToGrid w:val="0"/>
      <w:sz w:val="16"/>
      <w:lang w:eastAsia="en-US"/>
    </w:rPr>
  </w:style>
  <w:style w:type="paragraph" w:customStyle="1" w:styleId="RollCallTable">
    <w:name w:val="RollCallTable"/>
    <w:basedOn w:val="Normal"/>
    <w:rsid w:val="005B1132"/>
    <w:pPr>
      <w:spacing w:before="120" w:after="120"/>
    </w:pPr>
    <w:rPr>
      <w:snapToGrid w:val="0"/>
      <w:sz w:val="16"/>
      <w:lang w:eastAsia="en-US"/>
    </w:rPr>
  </w:style>
  <w:style w:type="paragraph" w:styleId="Footer">
    <w:name w:val="footer"/>
    <w:basedOn w:val="Normal"/>
    <w:link w:val="FooterChar"/>
    <w:rsid w:val="005B1132"/>
    <w:pPr>
      <w:tabs>
        <w:tab w:val="center" w:pos="4513"/>
        <w:tab w:val="right" w:pos="9026"/>
      </w:tabs>
    </w:pPr>
  </w:style>
  <w:style w:type="character" w:customStyle="1" w:styleId="FooterChar">
    <w:name w:val="Footer Char"/>
    <w:basedOn w:val="DefaultParagraphFont"/>
    <w:link w:val="Footer"/>
    <w:rsid w:val="005B1132"/>
    <w:rPr>
      <w:sz w:val="24"/>
      <w:lang w:val="ro-RO"/>
    </w:rPr>
  </w:style>
  <w:style w:type="paragraph" w:customStyle="1" w:styleId="Normal12">
    <w:name w:val="Normal12"/>
    <w:basedOn w:val="Normal"/>
    <w:next w:val="Normal"/>
    <w:rsid w:val="005B1132"/>
    <w:pPr>
      <w:spacing w:after="240"/>
    </w:pPr>
    <w:rPr>
      <w:snapToGrid w:val="0"/>
      <w:lang w:eastAsia="en-US"/>
    </w:rPr>
  </w:style>
  <w:style w:type="character" w:customStyle="1" w:styleId="Hyperlink1">
    <w:name w:val="Hyperlink1"/>
    <w:basedOn w:val="DefaultParagraphFont"/>
    <w:rsid w:val="0017767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49879-B356-4DEA-9D98-ECE10E548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10625</Words>
  <Characters>59656</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Laura-Mirona</cp:lastModifiedBy>
  <cp:revision>2</cp:revision>
  <cp:lastPrinted>2004-11-19T15:42:00Z</cp:lastPrinted>
  <dcterms:created xsi:type="dcterms:W3CDTF">2025-12-05T12:04:00Z</dcterms:created>
  <dcterms:modified xsi:type="dcterms:W3CDTF">2025-12-05T12:04:00Z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P10_TA(2025)0086_</vt:lpwstr>
  </property>
  <property fmtid="{D5CDD505-2E9C-101B-9397-08002B2CF9AE}" pid="4" name="&lt;Type&gt;">
    <vt:lpwstr>RR</vt:lpwstr>
  </property>
</Properties>
</file>