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51FC1" w14:paraId="2923DCF5" w14:textId="77777777">
        <w:trPr>
          <w:trHeight w:hRule="exact" w:val="1418"/>
        </w:trPr>
        <w:tc>
          <w:tcPr>
            <w:tcW w:w="6804" w:type="dxa"/>
            <w:shd w:val="clear" w:color="auto" w:fill="auto"/>
            <w:vAlign w:val="center"/>
          </w:tcPr>
          <w:p w14:paraId="6DDF7D42" w14:textId="77777777" w:rsidR="00D51FC1" w:rsidRDefault="004605A6">
            <w:pPr>
              <w:pStyle w:val="EPName"/>
            </w:pPr>
            <w:r>
              <w:t>Európsky parlament</w:t>
            </w:r>
          </w:p>
          <w:p w14:paraId="31D53A86" w14:textId="77777777" w:rsidR="00D51FC1" w:rsidRDefault="004605A6">
            <w:pPr>
              <w:pStyle w:val="EPTerm"/>
              <w:rPr>
                <w:rStyle w:val="HideTWBExt"/>
                <w:noProof w:val="0"/>
                <w:vanish w:val="0"/>
                <w:color w:val="auto"/>
              </w:rPr>
            </w:pPr>
            <w:r>
              <w:t>2024-2029</w:t>
            </w:r>
          </w:p>
        </w:tc>
        <w:tc>
          <w:tcPr>
            <w:tcW w:w="2268" w:type="dxa"/>
            <w:shd w:val="clear" w:color="auto" w:fill="auto"/>
          </w:tcPr>
          <w:p w14:paraId="5C32EFBC" w14:textId="77777777" w:rsidR="00D51FC1" w:rsidRDefault="004605A6">
            <w:pPr>
              <w:pStyle w:val="EPLogo"/>
            </w:pPr>
            <w:r>
              <w:rPr>
                <w:noProof/>
                <w:lang w:val="en-GB"/>
              </w:rPr>
              <w:drawing>
                <wp:inline distT="0" distB="0" distL="0" distR="0" wp14:anchorId="3B980D7F" wp14:editId="534A96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E07ECA" w14:textId="77777777" w:rsidR="00D51FC1" w:rsidRDefault="00D51FC1">
      <w:pPr>
        <w:pStyle w:val="LineTop"/>
      </w:pPr>
    </w:p>
    <w:p w14:paraId="426CF8C7" w14:textId="77777777" w:rsidR="00D51FC1" w:rsidRDefault="004605A6">
      <w:pPr>
        <w:pStyle w:val="EPBodyTA1"/>
      </w:pPr>
      <w:r>
        <w:t>PRIJATÉ TEXTY</w:t>
      </w:r>
    </w:p>
    <w:p w14:paraId="6990CB9F" w14:textId="77777777" w:rsidR="00D51FC1" w:rsidRDefault="00D51FC1">
      <w:pPr>
        <w:pStyle w:val="LineBottom"/>
      </w:pPr>
    </w:p>
    <w:p w14:paraId="72E09117" w14:textId="77777777" w:rsidR="00D51FC1" w:rsidRDefault="004605A6">
      <w:pPr>
        <w:pStyle w:val="ATHeading1"/>
      </w:pPr>
      <w:bookmarkStart w:id="0" w:name="TANumber"/>
      <w:r>
        <w:t>P10_TA(2025)0086</w:t>
      </w:r>
      <w:bookmarkEnd w:id="0"/>
    </w:p>
    <w:p w14:paraId="2C2B02A3" w14:textId="77777777" w:rsidR="00D51FC1" w:rsidRDefault="004605A6">
      <w:pPr>
        <w:pStyle w:val="ATHeading2"/>
      </w:pPr>
      <w:bookmarkStart w:id="1" w:name="title"/>
      <w:r>
        <w:t>Absolutórium za rok 2023: všeobecný rozpočet EÚ – Európska služba pre vonkajšiu činnosť</w:t>
      </w:r>
      <w:bookmarkEnd w:id="1"/>
    </w:p>
    <w:p w14:paraId="0910F49F" w14:textId="77777777" w:rsidR="00D51FC1" w:rsidRDefault="004605A6">
      <w:pPr>
        <w:rPr>
          <w:i/>
          <w:vanish/>
        </w:rPr>
      </w:pPr>
      <w:r>
        <w:rPr>
          <w:i/>
        </w:rPr>
        <w:fldChar w:fldCharType="begin"/>
      </w:r>
      <w:r>
        <w:rPr>
          <w:i/>
        </w:rPr>
        <w:instrText xml:space="preserve"> TC"(</w:instrText>
      </w:r>
      <w:bookmarkStart w:id="2" w:name="DocNumber"/>
      <w:r>
        <w:rPr>
          <w:i/>
        </w:rPr>
        <w:instrText>A10-0069/2025</w:instrText>
      </w:r>
      <w:bookmarkEnd w:id="2"/>
      <w:r>
        <w:rPr>
          <w:i/>
        </w:rPr>
        <w:instrText xml:space="preserve"> - Spravodajca: Joachim Stanisław Brudziński)"\l3 \n&gt; \* MERGEFORMAT </w:instrText>
      </w:r>
      <w:r>
        <w:rPr>
          <w:i/>
        </w:rPr>
        <w:fldChar w:fldCharType="end"/>
      </w:r>
    </w:p>
    <w:p w14:paraId="6A851D39" w14:textId="77777777" w:rsidR="00D51FC1" w:rsidRDefault="004605A6">
      <w:pPr>
        <w:rPr>
          <w:vanish/>
        </w:rPr>
      </w:pPr>
      <w:bookmarkStart w:id="3" w:name="Commission"/>
      <w:r>
        <w:rPr>
          <w:vanish/>
        </w:rPr>
        <w:t>Výbor pre kontrolu rozpočtu</w:t>
      </w:r>
      <w:bookmarkEnd w:id="3"/>
    </w:p>
    <w:p w14:paraId="0FBF0D05" w14:textId="77777777" w:rsidR="00D51FC1" w:rsidRDefault="004605A6">
      <w:pPr>
        <w:rPr>
          <w:vanish/>
        </w:rPr>
      </w:pPr>
      <w:bookmarkStart w:id="4" w:name="PE"/>
      <w:r>
        <w:rPr>
          <w:vanish/>
        </w:rPr>
        <w:t>PE764.994</w:t>
      </w:r>
      <w:bookmarkEnd w:id="4"/>
    </w:p>
    <w:p w14:paraId="2F632F37" w14:textId="77777777" w:rsidR="00D51FC1" w:rsidRDefault="004605A6">
      <w:pPr>
        <w:pStyle w:val="ATHeading3"/>
      </w:pPr>
      <w:bookmarkStart w:id="5" w:name="Sujet"/>
      <w:r>
        <w:t>1. Rozhodnutie Európskeho parlamentu zo 7. mája 2025 o absolutóriu za plnenie všeobecného rozpočtu Európskej únie za rozpočtový rok 2023, oddiel X – Európska služba pre vonkajšiu činnosť</w:t>
      </w:r>
      <w:bookmarkEnd w:id="5"/>
      <w:r>
        <w:t xml:space="preserve"> </w:t>
      </w:r>
      <w:bookmarkStart w:id="6" w:name="References"/>
      <w:r>
        <w:t>(2024/2024(DEC))</w:t>
      </w:r>
      <w:bookmarkEnd w:id="6"/>
    </w:p>
    <w:p w14:paraId="0B1725E1" w14:textId="77777777" w:rsidR="00D51FC1" w:rsidRDefault="004605A6">
      <w:pPr>
        <w:pStyle w:val="EPComma"/>
      </w:pPr>
      <w:bookmarkStart w:id="7" w:name="TextBodyBegin"/>
      <w:bookmarkEnd w:id="7"/>
      <w:r>
        <w:rPr>
          <w:i/>
        </w:rPr>
        <w:t>Európsky parlament</w:t>
      </w:r>
      <w:r>
        <w:t>,</w:t>
      </w:r>
    </w:p>
    <w:p w14:paraId="5B9B5BC7"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všeobecný rozpočet Európskej únie na rozpočtový rok 2023</w:t>
      </w:r>
      <w:r w:rsidRPr="004605A6">
        <w:rPr>
          <w:kern w:val="2"/>
          <w:vertAlign w:val="superscript"/>
          <w14:ligatures w14:val="standardContextual"/>
        </w:rPr>
        <w:footnoteReference w:id="1"/>
      </w:r>
      <w:r w:rsidRPr="004605A6">
        <w:rPr>
          <w:kern w:val="2"/>
          <w14:ligatures w14:val="standardContextual"/>
        </w:rPr>
        <w:t>,</w:t>
      </w:r>
    </w:p>
    <w:p w14:paraId="721CBECD" w14:textId="50885968"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 xml:space="preserve">so zreteľom na konsolidovanú ročnú účtovnú závierku Európskej únie za rozpočtový rok 2023 </w:t>
      </w:r>
      <w:r>
        <w:rPr>
          <w:kern w:val="2"/>
          <w14:ligatures w14:val="standardContextual"/>
        </w:rPr>
        <w:t>(</w:t>
      </w:r>
      <w:r w:rsidRPr="004605A6">
        <w:rPr>
          <w:kern w:val="2"/>
          <w14:ligatures w14:val="standardContextual"/>
        </w:rPr>
        <w:t>COM(2024)0272 – C10</w:t>
      </w:r>
      <w:r w:rsidRPr="004605A6">
        <w:rPr>
          <w:kern w:val="2"/>
          <w14:ligatures w14:val="standardContextual"/>
        </w:rPr>
        <w:noBreakHyphen/>
        <w:t>0072/2024</w:t>
      </w:r>
      <w:r>
        <w:rPr>
          <w:kern w:val="2"/>
          <w14:ligatures w14:val="standardContextual"/>
        </w:rPr>
        <w:t>)</w:t>
      </w:r>
      <w:r w:rsidRPr="004605A6">
        <w:rPr>
          <w:kern w:val="2"/>
          <w:vertAlign w:val="superscript"/>
          <w14:ligatures w14:val="standardContextual"/>
        </w:rPr>
        <w:footnoteReference w:id="2"/>
      </w:r>
      <w:r w:rsidRPr="004605A6">
        <w:rPr>
          <w:kern w:val="2"/>
          <w14:ligatures w14:val="standardContextual"/>
        </w:rPr>
        <w:t>,</w:t>
      </w:r>
    </w:p>
    <w:p w14:paraId="53D0B2B0"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výročnú správu o činnosti Európskej služby pre vonkajšiu činnosť za rok 2023 a jej správu o rozpočtovom a finančnom riadení za rozpočtový rok 2023,</w:t>
      </w:r>
    </w:p>
    <w:p w14:paraId="0863D94A"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výročnú správu Dvora audítorov o plnení rozpočtu za rozpočtový rok 2023 spolu s odpoveďami inštitúcií</w:t>
      </w:r>
      <w:r w:rsidRPr="004605A6">
        <w:rPr>
          <w:kern w:val="2"/>
          <w:vertAlign w:val="superscript"/>
          <w14:ligatures w14:val="standardContextual"/>
        </w:rPr>
        <w:footnoteReference w:id="3"/>
      </w:r>
      <w:r w:rsidRPr="004605A6">
        <w:rPr>
          <w:kern w:val="2"/>
          <w14:ligatures w14:val="standardContextual"/>
        </w:rPr>
        <w:t>,</w:t>
      </w:r>
    </w:p>
    <w:p w14:paraId="7993AD11"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vyhlásenie o vierohodnosti</w:t>
      </w:r>
      <w:r w:rsidRPr="004605A6">
        <w:rPr>
          <w:kern w:val="2"/>
          <w:vertAlign w:val="superscript"/>
          <w14:ligatures w14:val="standardContextual"/>
        </w:rPr>
        <w:footnoteReference w:id="4"/>
      </w:r>
      <w:r w:rsidRPr="004605A6">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163666E"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článok 314 ods. 10 a články 317, 318 a 319 Zmluvy o fungovaní Európskej únie,</w:t>
      </w:r>
    </w:p>
    <w:p w14:paraId="4D5D4A2D"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 xml:space="preserve">so zreteľom na nariadenie Európskeho parlamentu a Rady (EÚ, </w:t>
      </w:r>
      <w:proofErr w:type="spellStart"/>
      <w:r w:rsidRPr="004605A6">
        <w:rPr>
          <w:kern w:val="2"/>
          <w14:ligatures w14:val="standardContextual"/>
        </w:rPr>
        <w:t>Euratom</w:t>
      </w:r>
      <w:proofErr w:type="spellEnd"/>
      <w:r w:rsidRPr="004605A6">
        <w:rPr>
          <w:kern w:val="2"/>
          <w14:ligatures w14:val="standardContextual"/>
        </w:rPr>
        <w:t xml:space="preserve">) 2018/1046 z 18. júla 2018 o rozpočtových pravidlách, ktoré sa vzťahujú na všeobecný rozpočet Únie, o zmene nariadení (EÚ) č. 1296/2013, (EÚ) č. 1301/2013, (EÚ) č. 1303/2013, </w:t>
      </w:r>
      <w:r w:rsidRPr="004605A6">
        <w:rPr>
          <w:kern w:val="2"/>
          <w14:ligatures w14:val="standardContextual"/>
        </w:rPr>
        <w:lastRenderedPageBreak/>
        <w:t xml:space="preserve">(EÚ) č. 1304/2013, (EÚ) č. 1309/2013, (EÚ) č. 1316/2013, (EÚ) 223/2014, (EÚ) č. 283/2014 a rozhodnutia č. 541/2014/EÚ a o zrušení nariadenia (EÚ, </w:t>
      </w:r>
      <w:proofErr w:type="spellStart"/>
      <w:r w:rsidRPr="004605A6">
        <w:rPr>
          <w:kern w:val="2"/>
          <w14:ligatures w14:val="standardContextual"/>
        </w:rPr>
        <w:t>Euratom</w:t>
      </w:r>
      <w:proofErr w:type="spellEnd"/>
      <w:r w:rsidRPr="004605A6">
        <w:rPr>
          <w:kern w:val="2"/>
          <w14:ligatures w14:val="standardContextual"/>
        </w:rPr>
        <w:t>) č. 966/2012</w:t>
      </w:r>
      <w:r w:rsidRPr="004605A6">
        <w:rPr>
          <w:kern w:val="2"/>
          <w:vertAlign w:val="superscript"/>
          <w14:ligatures w14:val="standardContextual"/>
        </w:rPr>
        <w:footnoteReference w:id="5"/>
      </w:r>
      <w:r w:rsidRPr="004605A6">
        <w:rPr>
          <w:kern w:val="2"/>
          <w14:ligatures w14:val="standardContextual"/>
        </w:rPr>
        <w:t>, a najmä na jeho články 59, 118 a 260 až 263,</w:t>
      </w:r>
    </w:p>
    <w:p w14:paraId="0EF36D61"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 xml:space="preserve">so zreteľom na nariadenie Európskeho parlamentu a Rady (EÚ, </w:t>
      </w:r>
      <w:proofErr w:type="spellStart"/>
      <w:r w:rsidRPr="004605A6">
        <w:rPr>
          <w:kern w:val="2"/>
          <w14:ligatures w14:val="standardContextual"/>
        </w:rPr>
        <w:t>Euratom</w:t>
      </w:r>
      <w:proofErr w:type="spellEnd"/>
      <w:r w:rsidRPr="004605A6">
        <w:rPr>
          <w:kern w:val="2"/>
          <w14:ligatures w14:val="standardContextual"/>
        </w:rPr>
        <w:t>) 2024/2509 z 23. septembra 2024 o rozpočtových pravidlách, ktoré sa vzťahujú na všeobecný rozpočet Únie</w:t>
      </w:r>
      <w:r w:rsidRPr="004605A6">
        <w:rPr>
          <w:kern w:val="2"/>
          <w:vertAlign w:val="superscript"/>
          <w14:ligatures w14:val="standardContextual"/>
        </w:rPr>
        <w:footnoteReference w:id="6"/>
      </w:r>
      <w:r w:rsidRPr="004605A6">
        <w:rPr>
          <w:kern w:val="2"/>
          <w14:ligatures w14:val="standardContextual"/>
        </w:rPr>
        <w:t>, a najmä na jeho články 59, 118 a 266 až 269,</w:t>
      </w:r>
    </w:p>
    <w:p w14:paraId="2BB7CB3A"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rozhodnutie Rady 2010/427/EÚ z 26. júla 2010 o organizácii a fungovaní Európskej služby pre vonkajšiu činnosť</w:t>
      </w:r>
      <w:r w:rsidRPr="004605A6">
        <w:rPr>
          <w:kern w:val="2"/>
          <w:vertAlign w:val="superscript"/>
          <w14:ligatures w14:val="standardContextual"/>
        </w:rPr>
        <w:footnoteReference w:id="7"/>
      </w:r>
      <w:r w:rsidRPr="004605A6">
        <w:rPr>
          <w:kern w:val="2"/>
          <w14:ligatures w14:val="standardContextual"/>
        </w:rPr>
        <w:t>, a najmä na jeho článok 8,</w:t>
      </w:r>
    </w:p>
    <w:p w14:paraId="44FC3142"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článok 102 a prílohu V k rokovaciemu poriadku,</w:t>
      </w:r>
    </w:p>
    <w:p w14:paraId="19FA8BDE"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stanovisko Výboru pre zahraničné veci,</w:t>
      </w:r>
    </w:p>
    <w:p w14:paraId="3BD483CA"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w:t>
      </w:r>
      <w:r w:rsidRPr="004605A6">
        <w:rPr>
          <w:kern w:val="2"/>
          <w14:ligatures w14:val="standardContextual"/>
        </w:rPr>
        <w:tab/>
        <w:t>so zreteľom na správu Výboru pre kontrolu rozpočtu (A10-0069/2025),</w:t>
      </w:r>
    </w:p>
    <w:p w14:paraId="62D0A270"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1.</w:t>
      </w:r>
      <w:r w:rsidRPr="004605A6">
        <w:rPr>
          <w:kern w:val="2"/>
          <w14:ligatures w14:val="standardContextual"/>
        </w:rPr>
        <w:tab/>
        <w:t>udeľuje vysokej predstaviteľke Únie pre zahraničné veci a bezpečnostnú politiku absolutórium za plnenie rozpočtu Európskej služby pre vonkajšiu činnosť za rozpočtový rok 2023;</w:t>
      </w:r>
    </w:p>
    <w:p w14:paraId="78F49C85"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2.</w:t>
      </w:r>
      <w:r w:rsidRPr="004605A6">
        <w:rPr>
          <w:kern w:val="2"/>
          <w14:ligatures w14:val="standardContextual"/>
        </w:rPr>
        <w:tab/>
        <w:t>uvádza svoje poznámky v priloženom uznesení;</w:t>
      </w:r>
    </w:p>
    <w:p w14:paraId="5B25817E" w14:textId="77777777" w:rsidR="004605A6" w:rsidRPr="004605A6" w:rsidRDefault="004605A6" w:rsidP="004605A6">
      <w:pPr>
        <w:spacing w:after="240"/>
        <w:ind w:left="567" w:hanging="567"/>
        <w:rPr>
          <w:kern w:val="2"/>
          <w14:ligatures w14:val="standardContextual"/>
        </w:rPr>
      </w:pPr>
      <w:r w:rsidRPr="004605A6">
        <w:rPr>
          <w:kern w:val="2"/>
          <w14:ligatures w14:val="standardContextual"/>
        </w:rPr>
        <w:t>3.</w:t>
      </w:r>
      <w:r w:rsidRPr="004605A6">
        <w:rPr>
          <w:kern w:val="2"/>
          <w14:ligatures w14:val="standardContextual"/>
        </w:rPr>
        <w:tab/>
        <w:t xml:space="preserve">poveruje svoju predsedníčku, aby postúpila toto rozhodnutie a uznesenie, ktoré je jeho neoddeliteľnou súčasťou, Európskej službe pre vonkajšiu činnosť, Rade, Komisii, Dvoru audítorov, európskemu ombudsmanovi a európskemu dozornému úradníkovi pre ochranu údajov a aby zabezpečila ich uverejnenie v </w:t>
      </w:r>
      <w:r w:rsidRPr="004605A6">
        <w:rPr>
          <w:i/>
          <w:kern w:val="2"/>
          <w14:ligatures w14:val="standardContextual"/>
        </w:rPr>
        <w:t>Úradnom vestníku Európskej únie</w:t>
      </w:r>
      <w:r w:rsidRPr="004605A6">
        <w:rPr>
          <w:kern w:val="2"/>
          <w14:ligatures w14:val="standardContextual"/>
        </w:rPr>
        <w:t xml:space="preserve"> (v sérii L).</w:t>
      </w:r>
    </w:p>
    <w:p w14:paraId="48E59D42" w14:textId="77777777" w:rsidR="004605A6" w:rsidRPr="004605A6" w:rsidRDefault="004605A6" w:rsidP="004605A6">
      <w:pPr>
        <w:widowControl/>
        <w:rPr>
          <w:rFonts w:eastAsia="Aptos"/>
          <w:kern w:val="2"/>
          <w:szCs w:val="24"/>
          <w:lang w:eastAsia="en-US"/>
          <w14:ligatures w14:val="standardContextual"/>
        </w:rPr>
        <w:sectPr w:rsidR="004605A6" w:rsidRPr="004605A6" w:rsidSect="004605A6">
          <w:footnotePr>
            <w:numRestart w:val="eachSect"/>
          </w:footnotePr>
          <w:pgSz w:w="11906" w:h="16838"/>
          <w:pgMar w:top="1440" w:right="1440" w:bottom="1440" w:left="1440" w:header="708" w:footer="708" w:gutter="0"/>
          <w:cols w:space="708"/>
          <w:docGrid w:linePitch="360"/>
        </w:sectPr>
      </w:pPr>
    </w:p>
    <w:p w14:paraId="2BCEC8B1" w14:textId="77777777" w:rsidR="004605A6" w:rsidRPr="004605A6" w:rsidRDefault="004605A6" w:rsidP="004605A6">
      <w:pPr>
        <w:pStyle w:val="ATHeading3"/>
      </w:pPr>
      <w:r w:rsidRPr="004605A6">
        <w:lastRenderedPageBreak/>
        <w:t>2. Uznesenie Európskeho parlamentu zo 7. mája 2025 s poznámkami, ktoré je neoddeliteľnou súčasťou rozhodnutia o absolutóriu za plnenie všeobecného rozpočtu Európskej únie za rozpočtový rok 2023, oddiel X – Európska služba pre vonkajšiu činnosť (2024/2024(DEC))</w:t>
      </w:r>
    </w:p>
    <w:p w14:paraId="36F5EE5E" w14:textId="36106186" w:rsidR="004605A6" w:rsidRPr="004605A6" w:rsidRDefault="004605A6" w:rsidP="004605A6">
      <w:pPr>
        <w:spacing w:before="480" w:after="240"/>
      </w:pPr>
      <w:r>
        <w:rPr>
          <w:i/>
        </w:rPr>
        <w:t>Európsky parlament</w:t>
      </w:r>
      <w:r w:rsidRPr="004605A6">
        <w:t>,</w:t>
      </w:r>
    </w:p>
    <w:p w14:paraId="13C64B3E" w14:textId="77777777" w:rsidR="004605A6" w:rsidRPr="004605A6" w:rsidRDefault="004605A6" w:rsidP="004605A6">
      <w:pPr>
        <w:spacing w:after="240"/>
        <w:ind w:left="567" w:hanging="567"/>
      </w:pPr>
      <w:r w:rsidRPr="004605A6">
        <w:t>–</w:t>
      </w:r>
      <w:r w:rsidRPr="004605A6">
        <w:tab/>
        <w:t>so zreteľom na svoje rozhodnutie o absolutóriu za plnenie všeobecného rozpočtu Európskej únie za rozpočtový rok 2023, oddiel X – Európska služba pre vonkajšiu činnosť,</w:t>
      </w:r>
    </w:p>
    <w:p w14:paraId="39413AC1" w14:textId="77777777" w:rsidR="004605A6" w:rsidRPr="004605A6" w:rsidRDefault="004605A6" w:rsidP="004605A6">
      <w:pPr>
        <w:spacing w:after="240"/>
        <w:ind w:left="567" w:hanging="567"/>
      </w:pPr>
      <w:r w:rsidRPr="004605A6">
        <w:t>–</w:t>
      </w:r>
      <w:r w:rsidRPr="004605A6">
        <w:tab/>
        <w:t>so zreteľom na článok 102 a prílohu V k rokovaciemu poriadku,</w:t>
      </w:r>
    </w:p>
    <w:p w14:paraId="1677BE8E" w14:textId="77777777" w:rsidR="004605A6" w:rsidRPr="004605A6" w:rsidRDefault="004605A6" w:rsidP="004605A6">
      <w:pPr>
        <w:spacing w:after="240"/>
        <w:ind w:left="567" w:hanging="567"/>
      </w:pPr>
      <w:r w:rsidRPr="004605A6">
        <w:t>–</w:t>
      </w:r>
      <w:r w:rsidRPr="004605A6">
        <w:tab/>
        <w:t>so zreteľom na stanovisko Výboru pre zahraničné veci,</w:t>
      </w:r>
    </w:p>
    <w:p w14:paraId="0AD60928" w14:textId="77777777" w:rsidR="004605A6" w:rsidRPr="004605A6" w:rsidRDefault="004605A6" w:rsidP="004605A6">
      <w:pPr>
        <w:spacing w:after="240"/>
        <w:ind w:left="567" w:hanging="567"/>
      </w:pPr>
      <w:r w:rsidRPr="004605A6">
        <w:t>–</w:t>
      </w:r>
      <w:r w:rsidRPr="004605A6">
        <w:tab/>
        <w:t>so zreteľom na správu Výboru pre kontrolu rozpočtu (A10-0069/2025),</w:t>
      </w:r>
    </w:p>
    <w:p w14:paraId="502A0684" w14:textId="77777777" w:rsidR="004605A6" w:rsidRPr="004605A6" w:rsidRDefault="004605A6" w:rsidP="004605A6">
      <w:pPr>
        <w:spacing w:after="240"/>
        <w:ind w:left="567" w:hanging="567"/>
      </w:pPr>
      <w:r w:rsidRPr="004605A6">
        <w:t>A.</w:t>
      </w:r>
      <w:r w:rsidRPr="004605A6">
        <w:tab/>
        <w:t>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a dobrého riadenia ľudských zdrojov;</w:t>
      </w:r>
    </w:p>
    <w:p w14:paraId="7748DEA0" w14:textId="77777777" w:rsidR="004605A6" w:rsidRPr="004605A6" w:rsidRDefault="004605A6" w:rsidP="004605A6">
      <w:pPr>
        <w:spacing w:after="240"/>
        <w:ind w:left="567" w:hanging="567"/>
      </w:pPr>
      <w:r w:rsidRPr="004605A6">
        <w:t>B.</w:t>
      </w:r>
      <w:r w:rsidRPr="004605A6">
        <w:tab/>
        <w:t>keďže Európska služba pre vonkajšiu činnosť (ďalej len „ESVČ“) je zodpovedná za riadenie administratívnych výdavkov svojho ústredia v Bruseli a za sieť 144 delegácií a úradov Únie;</w:t>
      </w:r>
    </w:p>
    <w:p w14:paraId="419196D0" w14:textId="77777777" w:rsidR="004605A6" w:rsidRPr="004605A6" w:rsidRDefault="004605A6" w:rsidP="004605A6">
      <w:pPr>
        <w:spacing w:after="240"/>
        <w:ind w:left="567" w:hanging="567"/>
      </w:pPr>
      <w:r w:rsidRPr="004605A6">
        <w:t>C.</w:t>
      </w:r>
      <w:r w:rsidRPr="004605A6">
        <w:tab/>
        <w:t>keďže zodpovednosť ESVČ sa rozšírila na administratívne riadenie zamestnancov Komisie v delegáciách prostredníctvom série dohôd o úrovni poskytovaných služieb (</w:t>
      </w:r>
      <w:r w:rsidRPr="004605A6">
        <w:rPr>
          <w:szCs w:val="24"/>
        </w:rPr>
        <w:t xml:space="preserve">Service Level </w:t>
      </w:r>
      <w:proofErr w:type="spellStart"/>
      <w:r w:rsidRPr="004605A6">
        <w:rPr>
          <w:szCs w:val="24"/>
        </w:rPr>
        <w:t>Arrangements</w:t>
      </w:r>
      <w:proofErr w:type="spellEnd"/>
      <w:r w:rsidRPr="004605A6">
        <w:rPr>
          <w:szCs w:val="24"/>
        </w:rPr>
        <w:t xml:space="preserve"> – </w:t>
      </w:r>
      <w:r w:rsidRPr="004605A6">
        <w:t>SLA);</w:t>
      </w:r>
    </w:p>
    <w:p w14:paraId="0953789E" w14:textId="77777777" w:rsidR="004605A6" w:rsidRPr="004605A6" w:rsidRDefault="004605A6" w:rsidP="004605A6">
      <w:pPr>
        <w:spacing w:after="240"/>
        <w:ind w:left="567" w:hanging="567"/>
      </w:pPr>
      <w:r w:rsidRPr="004605A6">
        <w:t>D.</w:t>
      </w:r>
      <w:r w:rsidRPr="004605A6">
        <w:tab/>
        <w:t>keďže úlohou delegácií je zastupovať Úniu a jej občanov na celom svete prostredníctvom sietí a partnerstiev a podporovať hodnoty Únie;</w:t>
      </w:r>
    </w:p>
    <w:p w14:paraId="6246EAB6" w14:textId="77777777" w:rsidR="004605A6" w:rsidRPr="004605A6" w:rsidRDefault="004605A6" w:rsidP="004605A6">
      <w:pPr>
        <w:spacing w:after="240"/>
        <w:ind w:left="567" w:hanging="567"/>
      </w:pPr>
      <w:r w:rsidRPr="004605A6">
        <w:t>E.</w:t>
      </w:r>
      <w:r w:rsidRPr="004605A6">
        <w:tab/>
        <w:t>keďže osobitosť ESVČ je naďalej v jej povahe a pôvode, ako to bolo v čase, keď bola vytvorená zlúčením zamestnancov bývalých oddelení vonkajších vzťahov Rady a Komisie, do ktorých boli začlenení diplomati z členských štátov;</w:t>
      </w:r>
    </w:p>
    <w:p w14:paraId="55A7337D" w14:textId="77777777" w:rsidR="004605A6" w:rsidRPr="004605A6" w:rsidRDefault="004605A6" w:rsidP="004605A6">
      <w:pPr>
        <w:spacing w:after="240"/>
        <w:ind w:left="567" w:hanging="567"/>
      </w:pPr>
      <w:r w:rsidRPr="004605A6">
        <w:t>F.</w:t>
      </w:r>
      <w:r w:rsidRPr="004605A6">
        <w:tab/>
        <w:t xml:space="preserve">keďže podľa vnútorných pravidiel ESVČ pôsobí generálny tajomník ESVČ pre inštitúciu ako povoľujúci úradník vymenovaný delegovaním a generálny riaditeľ pre riadenie zdrojov má úlohu hlavného povoľujúceho úradníka vymenovaného </w:t>
      </w:r>
      <w:proofErr w:type="spellStart"/>
      <w:r w:rsidRPr="004605A6">
        <w:t>subdelegovaním</w:t>
      </w:r>
      <w:proofErr w:type="spellEnd"/>
      <w:r w:rsidRPr="004605A6">
        <w:t>;</w:t>
      </w:r>
    </w:p>
    <w:p w14:paraId="0A6F276B" w14:textId="77777777" w:rsidR="004605A6" w:rsidRPr="004605A6" w:rsidRDefault="004605A6" w:rsidP="004605A6">
      <w:pPr>
        <w:spacing w:after="240"/>
        <w:ind w:left="567" w:hanging="567"/>
      </w:pPr>
      <w:r w:rsidRPr="004605A6">
        <w:t>G.</w:t>
      </w:r>
      <w:r w:rsidRPr="004605A6">
        <w:tab/>
        <w:t>keďže právomoci zverené služobným poriadkom menovaciemu orgánu, pokiaľ ide o zamestnancov ESVČ, vykonáva vysoký predstaviteľ Únie pre zahraničné veci a bezpečnostnú politiku/podpredseda Komisie (ďalej len „VP/PK“);</w:t>
      </w:r>
    </w:p>
    <w:p w14:paraId="6547E1A6" w14:textId="77777777" w:rsidR="004605A6" w:rsidRPr="004605A6" w:rsidRDefault="004605A6" w:rsidP="004605A6">
      <w:pPr>
        <w:spacing w:after="240"/>
        <w:ind w:left="567" w:hanging="567"/>
      </w:pPr>
      <w:r w:rsidRPr="004605A6">
        <w:t>H.</w:t>
      </w:r>
      <w:r w:rsidRPr="004605A6">
        <w:tab/>
        <w:t>keďže plnenie rozpočtu sa riadi nariadením o rozpočtových pravidlách a vnútornými pravidlami plnenia rozpočtu ESVČ;</w:t>
      </w:r>
    </w:p>
    <w:p w14:paraId="11A89CD6" w14:textId="77777777" w:rsidR="004605A6" w:rsidRPr="004605A6" w:rsidRDefault="004605A6" w:rsidP="004605A6">
      <w:pPr>
        <w:spacing w:after="240"/>
        <w:ind w:left="567" w:hanging="567"/>
      </w:pPr>
      <w:r w:rsidRPr="004605A6">
        <w:t>1.</w:t>
      </w:r>
      <w:r w:rsidRPr="004605A6">
        <w:tab/>
        <w:t xml:space="preserve">konštatuje, že rozpočet ESVČ patrí do okruhu 7 VFR „Európska verejná správa“, ktorý mal v roku 2023 výšku 12,3 miliardy EUR (6,4 % celkového rozpočtu Únie); </w:t>
      </w:r>
      <w:r w:rsidRPr="004605A6">
        <w:lastRenderedPageBreak/>
        <w:t>konštatuje, že rozpočet ESVČ vo výške približne 1,1 miliardy EUR predstavuje zhruba 9,2 % celkových administratívnych výdavkov Únie;</w:t>
      </w:r>
    </w:p>
    <w:p w14:paraId="0C957711" w14:textId="77777777" w:rsidR="004605A6" w:rsidRPr="004605A6" w:rsidRDefault="004605A6" w:rsidP="004605A6">
      <w:pPr>
        <w:spacing w:after="240"/>
        <w:ind w:left="567" w:hanging="567"/>
      </w:pPr>
      <w:r w:rsidRPr="004605A6">
        <w:t>2.</w:t>
      </w:r>
      <w:r w:rsidRPr="004605A6">
        <w:tab/>
        <w:t>poznamenáva, že Dvor audítorov vo výročnej správe za rozpočtový rok 2023 preskúmal vzorku 70 transakcií v oddiele Administratíva, teda o 10 viac než v roku 2022; ďalej konštatuje, že podľa Dvora audítorov administratívne výdavky zahŕňajú výdavky na ľudské zdroje vrátane výdavkov na dôchodky, ktoré v roku 2023 predstavovali približne 70 % celkových administratívnych výdavkov, a výdavky na budovy, zariadenie, energetiku, komunikáciu a informačné technológie, a že z jeho práce počas mnohých rokov vyplýva, že tieto výdavky sú celkovo nízkorizikové;</w:t>
      </w:r>
    </w:p>
    <w:p w14:paraId="5D0578ED" w14:textId="77777777" w:rsidR="004605A6" w:rsidRPr="004605A6" w:rsidRDefault="004605A6" w:rsidP="004605A6">
      <w:pPr>
        <w:spacing w:after="240"/>
        <w:ind w:left="567" w:hanging="567"/>
      </w:pPr>
      <w:r w:rsidRPr="004605A6">
        <w:t>3.</w:t>
      </w:r>
      <w:r w:rsidRPr="004605A6">
        <w:tab/>
        <w:t>konštatuje, že 21 (30 %) zo 70 operácií obsahovalo chyby, ale že Dvor audítorov na základe piatich vyčíslených chýb odhaduje, že chybovosť bola pod prahom významnosti;</w:t>
      </w:r>
    </w:p>
    <w:p w14:paraId="35FD0D51" w14:textId="77777777" w:rsidR="004605A6" w:rsidRPr="004605A6" w:rsidRDefault="004605A6" w:rsidP="004605A6">
      <w:pPr>
        <w:spacing w:after="240"/>
        <w:ind w:left="567" w:hanging="567"/>
      </w:pPr>
      <w:r w:rsidRPr="004605A6">
        <w:t>4.</w:t>
      </w:r>
      <w:r w:rsidRPr="004605A6">
        <w:tab/>
        <w:t>so znepokojením konštatuje, že Dvor audítorov vo svojej výročnej správe za rozpočtový rok 2023 zistil v jednej z 13 preskúmaných platieb vyčísliteľnú chybu a uviedol šesť nevyčísliteľných zistení týkajúcich sa ESVČ; konštatuje, že k vyčísliteľnej chybe došlo v dôsledku toho, že pred podpísaním zmluvy o nájme pre delegáciu Únie neprebehol platný postup verejného obstarávania; konštatuje, že v roku 2023 ESVČ prijala opatrenia na riešenie dvoch vyčísliteľných chýb, ktoré Dvor audítorov zistil vo svojej výročnej správe za rok 2022, a prijala opatrenia na zabránenie takýmto problémom v budúcnosti;</w:t>
      </w:r>
    </w:p>
    <w:p w14:paraId="47F4A182" w14:textId="77777777" w:rsidR="004605A6" w:rsidRPr="004605A6" w:rsidRDefault="004605A6" w:rsidP="004605A6">
      <w:pPr>
        <w:spacing w:after="240"/>
        <w:ind w:left="567" w:hanging="567"/>
        <w:rPr>
          <w:b/>
          <w:i/>
        </w:rPr>
      </w:pPr>
      <w:r w:rsidRPr="004605A6">
        <w:rPr>
          <w:b/>
          <w:i/>
        </w:rPr>
        <w:t>Rozpočtové a finančné riadenie</w:t>
      </w:r>
    </w:p>
    <w:p w14:paraId="0EE4E434" w14:textId="77777777" w:rsidR="004605A6" w:rsidRPr="004605A6" w:rsidRDefault="004605A6" w:rsidP="004605A6">
      <w:pPr>
        <w:spacing w:after="240"/>
        <w:ind w:left="567" w:hanging="567"/>
      </w:pPr>
      <w:r w:rsidRPr="004605A6">
        <w:t>5.</w:t>
      </w:r>
      <w:r w:rsidRPr="004605A6">
        <w:tab/>
        <w:t>konštatuje, že konečný rozpočet ESVČ na rok 2023 bol 821 900 280 EUR, čo v porovnaní s rokom 2022 predstavuje zvýšenie o 4,45 %; poznamenáva, že ESVČ disponovala aj sumou 259,7 milióna EUR (vrátane pripísaných príjmov a prenesených súm) od Komisie na pokrytie administratívnych nákladov na zamestnancov Komisie pracujúcich v delegáciách Únie; ďalej konštatuje, že ESVČ dostala dodatočné príspevky v pevnej výške na pokrytie spoločných nákladov na zamestnancov Európskeho rozvojového fondu v delegáciách a spoločných priestoroch, ako aj ďalšie sumy prijaté na základe dohôd o spoločnom využívaní zariadení a iných zmlúv; konštatuje, že celková rozpočtová suma spravovaná ESVČ v roku 2023 preto predstavovala 1 198,2 milióna EUR (viazané rozpočtové prostriedky), čo v porovnaní s predchádzajúcim rokom predstavovalo zvýšenie o 4,8 %;</w:t>
      </w:r>
    </w:p>
    <w:p w14:paraId="7E13488C" w14:textId="77777777" w:rsidR="004605A6" w:rsidRPr="004605A6" w:rsidRDefault="004605A6" w:rsidP="004605A6">
      <w:pPr>
        <w:spacing w:after="240"/>
        <w:ind w:left="567" w:hanging="567"/>
        <w:rPr>
          <w:b/>
        </w:rPr>
      </w:pPr>
      <w:r w:rsidRPr="004605A6">
        <w:t>6.</w:t>
      </w:r>
      <w:r w:rsidRPr="004605A6">
        <w:tab/>
        <w:t>konštatuje, že v roku 2023 bola miera plnenia viazaných rozpočtových prostriedkov na úrovni 100 %, zatiaľ čo miera plnenia platieb bola 91,9 % v porovnaní s 90,6 % v roku 2022; konštatuje, že priemerný čas splatnosti bol 13,57 dňa, avšak napriek tomu bolo 8,63 % celkovej sumy vyplatených neskoro, čo v roku 2023 viedlo k úrokom z omeškania vo výške 50 253,91 EUR; naliehavo žiada ESVČ, aby svoje záväzky uhrádzala včas;</w:t>
      </w:r>
      <w:r w:rsidRPr="004605A6">
        <w:rPr>
          <w:color w:val="FF0000"/>
        </w:rPr>
        <w:t xml:space="preserve"> </w:t>
      </w:r>
      <w:r w:rsidRPr="004605A6">
        <w:t>naliehavo žiada ESVČ, aby sa aj naďalej usilovala zvyšovať počet elektronických platieb a digitalizovať pracovné postupy, najmä v delegáciách;</w:t>
      </w:r>
    </w:p>
    <w:p w14:paraId="44D322C3" w14:textId="77777777" w:rsidR="004605A6" w:rsidRPr="004605A6" w:rsidRDefault="004605A6" w:rsidP="004605A6">
      <w:pPr>
        <w:spacing w:after="240"/>
        <w:ind w:left="567" w:hanging="567"/>
      </w:pPr>
      <w:r w:rsidRPr="004605A6">
        <w:t>7.</w:t>
      </w:r>
      <w:r w:rsidRPr="004605A6">
        <w:tab/>
        <w:t xml:space="preserve">konštatuje, že ESVČ informovala rozpočtový orgán o dvoch rozpočtových presunoch v súlade s článkom 29 ods. 1 nariadenia o rozpočtových pravidlách a uskutočnila 11 autonómnych presunov v súlade s článkom 29 ods. 4 v celkovej hodnote 55,7 milióna EUR; konštatuje, že hlavným účelom presunov bolo zvýšiť rozpočtový riadok 3 0 0 3 týkajúci sa budov a súvisiacich nákladov v delegáciách o 18,97 milióna EUR </w:t>
      </w:r>
      <w:r w:rsidRPr="004605A6">
        <w:lastRenderedPageBreak/>
        <w:t>a rozpočtový riadok 3 0 0 1 týkajúci sa externých zamestnancov a externých služieb v delegáciách o 5,6 milióna EUR; konštatuje, že v nadväznosti na presuny predstavoval konečný rozpočet ústredia ESVČ 327,8 milióna EUR a konečný rozpočet pre delegácie 494,1 milióna EUR;</w:t>
      </w:r>
    </w:p>
    <w:p w14:paraId="72E96F13" w14:textId="77777777" w:rsidR="004605A6" w:rsidRPr="004605A6" w:rsidRDefault="004605A6" w:rsidP="004605A6">
      <w:pPr>
        <w:spacing w:after="240"/>
        <w:ind w:left="567" w:hanging="567"/>
      </w:pPr>
      <w:r w:rsidRPr="004605A6">
        <w:t>8.</w:t>
      </w:r>
      <w:r w:rsidRPr="004605A6">
        <w:tab/>
        <w:t xml:space="preserve">konštatuje, že v roku 2023 ESVČ čelila rastúcim politickým a finančným výzvam, ako aj výzvam v oblasti ľudských práv a právneho štátu; konštatuje, že útočná vojna Ruska proti Ukrajine a jej geopolitické dôsledky boli v roku 2023 naďalej kľúčovou otázkou, ktorá viedla ESVČ k zabezpečovaniu širokej podpory Ukrajine, vyvíjaniu tlaku na Rusko a pokračovaniu v činnostiach v oblasti globálneho dosahu s cieľom riešiť širšie dôsledky vojny vrátane vykonávania akčného plánu o geopolitických dôsledkoch ruskej agresie voči Ukrajine; uznáva úlohu ESVČ pri zhromažďovaní dôkazov proti subjektom a jednotlivcom podporovaným ruským štátom, ktorí sú zapojení do šírenia dezinformácií a manipulácie s informáciami s cieľom odôvodniť útočnú vojnu Ruska, na ktorých EÚ uvalila sankcie; zdôrazňuje, že treba poskytovať primerané zdroje oddeleniu strategickej komunikácie a výhľadu ESVČ, aby mohlo účinne bojovať proti dezinformačným kampaniam, ktoré autoritárske a neliberálne režimy využívajú ako strategické nástroje; vyzýva ESVČ, aby posilnila delegácie Únie v krajinách Východného partnerstva s cieľom podporiť tie krajiny, ktoré sú výrazne postihnuté vojenskou agresiou Ruska voči Ukrajine; konštatuje, že finančný strop Európskeho mierového nástroja spravovaného VP/PK sa v roku 2023 zvýšil z 5,6 milióna EUR na viac ako 12 miliónov EUR; vyzýva ESVČ, aby spolupracovala s Generálnym riaditeľstvom pre rozširovanie a východné susedstvo s cieľom zabezpečiť účinný dohľad a monitorovanie projektov financovaných z tohto nástroja; konštatuje, že v súvislosti s izraelsko-palestínskym konfliktom, ktorý sa znovu rozhorel po útoku </w:t>
      </w:r>
      <w:proofErr w:type="spellStart"/>
      <w:r w:rsidRPr="004605A6">
        <w:t>Hamasu</w:t>
      </w:r>
      <w:proofErr w:type="spellEnd"/>
      <w:r w:rsidRPr="004605A6">
        <w:t xml:space="preserve"> 7. októbra 2023, bola ESVČ nútená vyvinúť intenzívne diplomatické úsilie, nabádať inštitúcie Únie, aby naliehali na zmiernenie napätia v regióne, reagovať na humanitárne potreby a podporovať regionálne mierové úsilie; zdôrazňuje, že pomoc Únie a ESVČ musí byť v súlade so širšími cieľmi v oblasti ľudských práv a mieru v regióne a musia byť pritom zavedené silné záruky, aby sa zabezpečilo, že finančné prostriedky nebudú priamo ani nepriamo podporovať teroristické ani násilné činnosti; žiada, aby sa finančné prostriedky Únie na obnovu Gazy začali uvoľňovať až po prepustení všetkých rukojemníkov, ktorých unieslo hnutie </w:t>
      </w:r>
      <w:proofErr w:type="spellStart"/>
      <w:r w:rsidRPr="004605A6">
        <w:t>Hamas</w:t>
      </w:r>
      <w:proofErr w:type="spellEnd"/>
      <w:r w:rsidRPr="004605A6">
        <w:t>; zdôrazňuje význam transparentnosti pri prideľovaní finančných zdrojov v tretích krajinách s cieľom zabezpečiť zodpovednosť za využívanie rozpočtu Únie a nových finančných nástrojov;</w:t>
      </w:r>
    </w:p>
    <w:p w14:paraId="00571CC0" w14:textId="77777777" w:rsidR="004605A6" w:rsidRPr="004605A6" w:rsidRDefault="004605A6" w:rsidP="004605A6">
      <w:pPr>
        <w:spacing w:after="240"/>
        <w:ind w:left="567" w:hanging="567"/>
      </w:pPr>
      <w:r w:rsidRPr="004605A6">
        <w:t>9.</w:t>
      </w:r>
      <w:r w:rsidRPr="004605A6">
        <w:rPr>
          <w:b/>
          <w:i/>
        </w:rPr>
        <w:tab/>
      </w:r>
      <w:r w:rsidRPr="004605A6">
        <w:t>naliehavo žiada ESVČ, aby úzko spolupracovala s Komisiou s cieľom zabezpečiť, aby v programe akýchkoľvek prípadných budúcich opatrení vo vzťahu k Ruskej federácii bolo plné navrátenie rumunského národného pokladu spolu s národným dedičstvom ďalších členských štátov;</w:t>
      </w:r>
    </w:p>
    <w:p w14:paraId="28F69425" w14:textId="77777777" w:rsidR="004605A6" w:rsidRPr="004605A6" w:rsidRDefault="004605A6" w:rsidP="004605A6">
      <w:pPr>
        <w:spacing w:after="240"/>
        <w:ind w:left="567" w:hanging="567"/>
        <w:rPr>
          <w:bCs/>
          <w:szCs w:val="24"/>
        </w:rPr>
      </w:pPr>
      <w:r w:rsidRPr="004605A6">
        <w:t>10.</w:t>
      </w:r>
      <w:r w:rsidRPr="004605A6">
        <w:tab/>
        <w:t xml:space="preserve">pripomína tvrdenia o účasti zamestnancov UNRWA v Gaze na teroristických útokoch </w:t>
      </w:r>
      <w:proofErr w:type="spellStart"/>
      <w:r w:rsidRPr="004605A6">
        <w:t>Hamasu</w:t>
      </w:r>
      <w:proofErr w:type="spellEnd"/>
      <w:r w:rsidRPr="004605A6">
        <w:t xml:space="preserve"> proti Izraelu 7. októbra 2023; konštatuje, že v reakcii na tieto obvinenia UNRWA formálne ukončila pracovný pomer s deviatimi zamestnancami; zdôrazňuje, že Komisia spolupracuje s UNRWA na zlepšovaní systémov kontroly v súlade s odporúčaniami Úradu OSN pre služby vnútorného dohľadu (OIOS) vrátane preverovania zamestnancov a posilňovania vnútorných vyšetrovacích a etických rámcov; zdôrazňuje, že vzhľadom na obavy, ktoré opakovane vyjadril Európsky parlament v súvislosti so zneužívaním finančných prostriedkov Únie, by sa žiadna pomoc Únie nemala za žiadnych okolností používať na financovanie terorizmu; naliehavo vyzýva na neustálu ostražitosť, aby nedochádzalo k zneužívaniu peňazí </w:t>
      </w:r>
      <w:r w:rsidRPr="004605A6">
        <w:lastRenderedPageBreak/>
        <w:t xml:space="preserve">daňových poplatníkov; zdôrazňuje význam kontrol na zabezpečenie dodržiavania pravidiel Únie a medzinárodného práva príjemcami finančných prostriedkov Únie, ako aj potrebu prísnejších opatrení na predchádzanie zneužívaniu finančnej podpory Únie; nabáda ESVČ, aby zintenzívnila úsilie o ochranu finančných prostriedkov Únie a monitorovala plnenie míľnikov uvedených v dohode medzi komisárom </w:t>
      </w:r>
      <w:proofErr w:type="spellStart"/>
      <w:r w:rsidRPr="004605A6">
        <w:t>Várhelyim</w:t>
      </w:r>
      <w:proofErr w:type="spellEnd"/>
      <w:r w:rsidRPr="004605A6">
        <w:t xml:space="preserve"> a generálnym komisárom UNRWA </w:t>
      </w:r>
      <w:proofErr w:type="spellStart"/>
      <w:r w:rsidRPr="004605A6">
        <w:t>Lazzarinim</w:t>
      </w:r>
      <w:proofErr w:type="spellEnd"/>
      <w:r w:rsidRPr="004605A6">
        <w:t xml:space="preserve"> z apríla 2024, ktorá obsahuje ustanovenia o vykonávaní auditov Únie a posilnení vnútorného dohľadu v UNRWA; zdôrazňuje, že je potrebné, aby Palestínska samospráva zosúladila všetky vzdelávacie materiály s normami </w:t>
      </w:r>
      <w:proofErr w:type="spellStart"/>
      <w:r w:rsidRPr="004605A6">
        <w:t>Unesco</w:t>
      </w:r>
      <w:proofErr w:type="spellEnd"/>
      <w:r w:rsidRPr="004605A6">
        <w:t>, a najmä odstránila akýkoľvek obsah, ktorý zahŕňa antisemitizmus alebo podnecovanie k násiliu; zdôrazňuje, že finančná podpora Únie pre Palestínsku samosprávu v oblasti vzdelávania by sa mala poskytovať pod podmienkou splnenia týchto predpokladov; nabáda ESVČ, aby podporovala diplomatické úsilie o komplexné a udržateľné riešenie izraelsko-palestínskeho konfliktu a aby informovala Európsky parlament o akomkoľvek vývoji spolupráce Únie s Palestínskou samosprávou;</w:t>
      </w:r>
    </w:p>
    <w:p w14:paraId="169E113C" w14:textId="77777777" w:rsidR="004605A6" w:rsidRPr="004605A6" w:rsidRDefault="004605A6" w:rsidP="004605A6">
      <w:pPr>
        <w:spacing w:after="240"/>
        <w:ind w:left="567" w:hanging="567"/>
      </w:pPr>
      <w:r w:rsidRPr="004605A6">
        <w:t>11.</w:t>
      </w:r>
      <w:r w:rsidRPr="004605A6">
        <w:tab/>
        <w:t>konštatuje, že ESVČ oznámila v súvislosti s rokom 2023 významné rozpočtové obmedzenia, ktoré viedli k drastickým škrtom a optimalizácii rozpočtu s cieľom vyrovnať sa s infláciou v tretích krajinách, výkyvmi v miestnych menách, zvyšovaním cien, najmä nákladov na prenájom kancelárskych priestorov, IT, bezpečnosti a cien energie, čo ESVČ spôsobilo oveľa vyššie prevádzkové náklady v cudzích krajinách a ovplyvnilo jej schopnosť účinne fungovať a plniť svoju povinnosť starostlivosti o zamestnancov vyslaných do delegácií; vyjadruje poľutovanie nad tým, že v dôsledku rozpočtových tlakov ESVČ odložila na neskôr údržbu infraštruktúry, odložila alebo zrušila výdavky na bezpečnosť v delegáciách a znížila financovanie v niektorých rozpočtových riadkoch, ako je rozpočet na služobné cesty a reprezentáciu, kancelárske potreby a kurzy odbornej prípravy; vyjadruje poľutovanie nad tým, že ESVČ musela z rozpočtových dôvodov uprednostniť účasť zamestnancov na volebných pozorovateľských misiách pred inými druhmi služobných ciest, ako sú misie nadväzujúce na predchádzajúce návštevy; zdôrazňuje, že je potrebné zriadiť diplomatickú službu EÚ;</w:t>
      </w:r>
    </w:p>
    <w:p w14:paraId="4907D8BA" w14:textId="77777777" w:rsidR="004605A6" w:rsidRPr="004605A6" w:rsidRDefault="004605A6" w:rsidP="004605A6">
      <w:pPr>
        <w:spacing w:after="240"/>
        <w:ind w:left="567" w:hanging="567"/>
        <w:rPr>
          <w:b/>
          <w:i/>
          <w:szCs w:val="24"/>
        </w:rPr>
      </w:pPr>
      <w:r w:rsidRPr="004605A6">
        <w:t>12.</w:t>
      </w:r>
      <w:r w:rsidRPr="004605A6">
        <w:tab/>
        <w:t>konštatuje, že v roku 2023 ESVČ začala vo svojom ústredí, ako aj v delegáciách celkovo 28 otvorených postupov verejného obstarávania, 27 súťažných konaní s rokovaním, 14 rokovacích konaní bez predchádzajúceho uverejnenia oznámenia o vyhlásení verejného obstarávania, šesť užších súťaží a dve rokovacie konania pre zákazky na práce so strednou hodnotou, ktoré boli všetky úspešné a v priemere v 52 % prípadov viedli k zadaniu zákazky; konštatuje, že jedným z dôvodov relatívne vysokého počtu neúspešných postupov verejného obstarávania môžu byť prísne normy a zložitosť pravidiel Únie v oblasti verejného obstarávania, keďže uplatňovanie týchto pravidiel môže byť pre uchádzačov náročné, najmä v tretích krajinách; žiada ESVČ, aby preskúmala dôvody relatívne vysokého počtu neúspešných postupov verejného obstarávania a navrhla riešenia na zabezpečenie ich účinného vykonávania pri zachovaní noriem stanovených Úniou; vyjadruje poľutovanie nad tým, že v prípade vonkajších činností sa v prepracovanom znení nariadenia o rozpočtových pravidlách zjednodušili pravidlá verejného obstarávania; zdôrazňuje, že cieľom pravidiel verejného obstarávania je zabezpečiť, aby boli financované projekty v súlade s prísnymi normami a neboli náchylné na podvody; vyzýva ESVČ, aby sa vždy usilovala o čo najprísnejšiu úroveň kontroly pri každom postupe verejného obstarávania; domnieva sa, že nedostatočná znalosť prísnych pravidiel Únie v oblasti verejného obstarávania v tretích krajinách by nikdy nemala byť zámienkou ani výhovorkou na znižovanie latky;</w:t>
      </w:r>
    </w:p>
    <w:p w14:paraId="4D123EAC" w14:textId="77777777" w:rsidR="004605A6" w:rsidRPr="004605A6" w:rsidRDefault="004605A6" w:rsidP="004605A6">
      <w:pPr>
        <w:spacing w:after="240"/>
        <w:ind w:left="567" w:hanging="567"/>
        <w:rPr>
          <w:szCs w:val="23"/>
        </w:rPr>
      </w:pPr>
      <w:r w:rsidRPr="004605A6">
        <w:lastRenderedPageBreak/>
        <w:t>13.</w:t>
      </w:r>
      <w:r w:rsidRPr="004605A6">
        <w:tab/>
        <w:t>víta, že ku koncu roka 2023 sa využívalo 138 spoločných priestorov s členskými štátmi a inými partnermi Únie v delegáciách Únie, t. j. o 12 viac ako v roku 2022; konštatuje, že z celkového počtu dohôd o spoločnom využívaní priestorov v roku 2023 bolo 42 uzavretých s členskými štátmi a partnerskými krajinami, 91 s inými partnermi z Únie a v piatich prípadoch bola ESVČ hosťom v priestoroch partnera; konštatuje, že v roku 2023 spoločné priestory predstavovali 8 % celkovej kancelárskej plochy v delegáciách Únie a zahŕňali viac ako polovicu delegácií Únie (75), čo možno považovať za príklad úspešnej optimalizácie správy budov ESVČ, ale aj za ukazovateľ zvýšeného záujmu partnerov o spoločné využívanie priestorov v tretích krajinách a význam spoločného využívania priestorov v oblasti diplomacie;</w:t>
      </w:r>
    </w:p>
    <w:p w14:paraId="4FFB23ED" w14:textId="77777777" w:rsidR="004605A6" w:rsidRPr="004605A6" w:rsidRDefault="004605A6" w:rsidP="004605A6">
      <w:pPr>
        <w:spacing w:after="240"/>
        <w:ind w:left="567" w:hanging="567"/>
        <w:rPr>
          <w:bCs/>
          <w:iCs/>
        </w:rPr>
      </w:pPr>
      <w:r w:rsidRPr="004605A6">
        <w:t>14.</w:t>
      </w:r>
      <w:r w:rsidRPr="004605A6">
        <w:tab/>
        <w:t>konštatuje, že rozpočet na služobné cesty v roku 2023 dosahoval 18 948 650 EUR, čo v porovnaní s predchádzajúcim rokom predstavovalo mierne zvýšenie o 1,46 % s cieľom kompenzovať zvýšenie nákladov v dôsledku inflácie, ale v porovnaní so skutočným nárastom cestovných nákladov v roku 2023 bolo toto zvýšenie nedostatočné; vyjadruje poľutovanie nad tým, že ESVČ nemá samostatný rozpočtový riadok na služobné cesty a cesty VP/PK a že služobné cesty a cestovné náklady VP/PK sa delia medzi ESVČ a Komisiu v závislosti od účelu služobnej cesty; napokon konštatuje, že v roku 2023 dosiahli náklady ESVČ na šesť služobných ciest VP/PK výšku 2 995,14 EUR a náklady na letecké taxíky výšku 288 145 EUR, čo predstavuje zníženie o 51 % v porovnaní s rokom 2022, keď boli náklady na letecké taxíky vo výške 588 103 EUR; podčiarkuje, že vedúci predstavitelia inštitúcií Únie by mali byť dobrým príkladom pre verejnosť a občanov, najmä keď využívajú zdroje Únie pri plnení svojich povinností; zdôrazňuje, že letové možnosti by sa mali vyberať na základe kritérií správneho finančného riadenia za predpokladu, že takéto alternatívy sú k dispozícii, a v súlade s programom a miestom konania schôdzí; zdôrazňuje, že transparentnosť a správne finančné riadenie pri využívaní verejných prostriedkov Únie musia zostať základnou zásadou všetkých inštitúcií Únie;</w:t>
      </w:r>
    </w:p>
    <w:p w14:paraId="709E13F6" w14:textId="77777777" w:rsidR="004605A6" w:rsidRPr="004605A6" w:rsidRDefault="004605A6" w:rsidP="004605A6">
      <w:pPr>
        <w:spacing w:after="240"/>
        <w:ind w:left="567" w:hanging="567"/>
      </w:pPr>
      <w:r w:rsidRPr="004605A6">
        <w:t>15.</w:t>
      </w:r>
      <w:r w:rsidRPr="004605A6">
        <w:tab/>
        <w:t>zdôrazňuje možný negatívny vplyv týchto škrtov na vykonávanie nástrojov v oblasti vonkajších záležitostí, ako sú Nástroj susedstva a rozvojovej a medzinárodnej spolupráce – Globálna Európa (NDICI – Globálna Európa) a </w:t>
      </w:r>
      <w:proofErr w:type="spellStart"/>
      <w:r w:rsidRPr="004605A6">
        <w:t>Global</w:t>
      </w:r>
      <w:proofErr w:type="spellEnd"/>
      <w:r w:rsidRPr="004605A6">
        <w:t xml:space="preserve"> </w:t>
      </w:r>
      <w:proofErr w:type="spellStart"/>
      <w:r w:rsidRPr="004605A6">
        <w:t>Gateway</w:t>
      </w:r>
      <w:proofErr w:type="spellEnd"/>
      <w:r w:rsidRPr="004605A6">
        <w:t>; zdôrazňuje, že treba poskytovať primerané zdroje oddeleniu strategickej komunikácie a výhľadu ESVČ, aby mohlo naďalej účinne bojovať proti dezinformačným kampaniam, ktoré autoritárske a neliberálne režimy využívajú ako strategické nástroje; v tejto súvislosti víta oznámenie o vytvorení pracovnej skupiny pre strategickú komunikáciu a boj proti manipulácii s informáciami v rámci Generálneho riaditeľstva Komisie pre komunikáciu;</w:t>
      </w:r>
    </w:p>
    <w:p w14:paraId="7B70AE8A" w14:textId="77777777" w:rsidR="004605A6" w:rsidRPr="004605A6" w:rsidRDefault="004605A6" w:rsidP="004605A6">
      <w:pPr>
        <w:spacing w:after="240"/>
        <w:ind w:left="567" w:hanging="567"/>
      </w:pPr>
      <w:r w:rsidRPr="004605A6">
        <w:t>16.</w:t>
      </w:r>
      <w:r w:rsidRPr="004605A6">
        <w:tab/>
        <w:t>trvá na zvýšení rozpočtu na činnosti v rámci spoločnej zahraničnej a bezpečnostnej politiky (SZBP) a iné vhodné nástroje mieru a reakcie na konflikty a krízy, ako aj IT a bezpečnostné protokoly, aby sa činnosti a kapacity Únie plne prispôsobili súčasným výzvam a konfliktom na celom svete;</w:t>
      </w:r>
    </w:p>
    <w:p w14:paraId="2CE4CCCF" w14:textId="77777777" w:rsidR="004605A6" w:rsidRPr="004605A6" w:rsidRDefault="004605A6" w:rsidP="004605A6">
      <w:pPr>
        <w:spacing w:after="240"/>
        <w:ind w:left="567" w:hanging="567"/>
        <w:rPr>
          <w:b/>
          <w:i/>
        </w:rPr>
      </w:pPr>
      <w:r w:rsidRPr="004605A6">
        <w:rPr>
          <w:b/>
          <w:i/>
        </w:rPr>
        <w:t>Vnútorné riadenie, výkonnosť a vnútorná kontrola</w:t>
      </w:r>
    </w:p>
    <w:p w14:paraId="6091F198" w14:textId="77777777" w:rsidR="004605A6" w:rsidRPr="004605A6" w:rsidRDefault="004605A6" w:rsidP="004605A6">
      <w:pPr>
        <w:spacing w:after="240"/>
        <w:ind w:left="567" w:hanging="567"/>
      </w:pPr>
      <w:r w:rsidRPr="004605A6">
        <w:t>17.</w:t>
      </w:r>
      <w:r w:rsidRPr="004605A6">
        <w:tab/>
        <w:t xml:space="preserve">konštatuje, že po vnútornej reorganizácii bol v ESVČ v októbri 2023 vytvorený nový útvar správy a riadenia, ktorý pozostáva z troch oddelení zodpovedných za inšpekcie, vnútorný audit a plánovanie, podávanie správ a dodržiavanie predpisov, aby ESVČ mohla dosiahnuť väčšiu zodpovednosť, lepšie riadenie a lepšie monitorovanie činností; víta aj zriadenie rady pre správu a riadenie s cieľom zabezpečiť celistvosť podnikového </w:t>
      </w:r>
      <w:r w:rsidRPr="004605A6">
        <w:lastRenderedPageBreak/>
        <w:t>riadenia ESVČ; ďalej konštatuje, že ESVČ vytvorila riaditeľstvo pre mier, bezpečnosť a obranu, riaditeľstvo pre mier, partnerstvo a krízové riadenie a dve nové oddelenia venované „hybridným hrozbám a kybernetickej bezpečnosti“ a „námornej bezpečnosti“ s cieľom lepšie podporovať prácu Únie v otázkach bezpečnosti a obrany;</w:t>
      </w:r>
    </w:p>
    <w:p w14:paraId="59EE5099" w14:textId="77777777" w:rsidR="004605A6" w:rsidRPr="004605A6" w:rsidRDefault="004605A6" w:rsidP="004605A6">
      <w:pPr>
        <w:spacing w:after="240"/>
        <w:ind w:left="567" w:hanging="567"/>
      </w:pPr>
      <w:r w:rsidRPr="004605A6">
        <w:t>18.</w:t>
      </w:r>
      <w:r w:rsidRPr="004605A6">
        <w:tab/>
        <w:t>konštatuje, že v roku 2023 útvar správy a riadenia spoločnosti vykonal kontrolu vhodnosti procesov a politík správy a riadenia; víta, že ESVČ v rámci tohto procesu aktualizovala chartu výboru pre pokrok v oblasti auditu, zrevidovala svoj rámec vnútornej kontroly, ročný plán riadenia a rámec riadenia rizík;</w:t>
      </w:r>
    </w:p>
    <w:p w14:paraId="2696EB81" w14:textId="77777777" w:rsidR="004605A6" w:rsidRPr="004605A6" w:rsidRDefault="004605A6" w:rsidP="004605A6">
      <w:pPr>
        <w:spacing w:after="240"/>
        <w:ind w:left="567" w:hanging="567"/>
        <w:rPr>
          <w:b/>
          <w:i/>
        </w:rPr>
      </w:pPr>
      <w:r w:rsidRPr="004605A6">
        <w:t>19.</w:t>
      </w:r>
      <w:r w:rsidRPr="004605A6">
        <w:tab/>
        <w:t>konštatuje, že v súlade s plánom auditu ESVČ na rok 2023 boli v roku 2023 dokončené tri audity, konkrétne audit riadenia registra výnimiek a nesúladu a dva audity týkajúce sa riadenia platov miestnych zástupcov a náboru a riadenia miestnych zástupcov a rovnocenných miestnych zamestnancov; ďalej s veľkým znepokojením konštatuje, že z dôvodu organizačnej reštrukturalizácie a s tým súvisiacej fluktuácie zamestnancov v oddelení vnútorného auditu sa v roku 2023 nemohol začať plánovaný audit bezpečnosti a že takýto audit sa opäť posúdi v rámci prípravy viacročného strategického plánu vnútorného auditu na roky 2025 – 2027; zdôrazňuje význam dôsledného a pravidelného vykonávania vnútorných auditov; vyjadruje hlboké poľutovanie nad tým, že v roku 2023 zostali nedoriešené štyri kritické a 49 veľmi dôležitých audítorských odporúčaní týkajúcich sa dokončených auditov; žiada, aby bol Európsky parlament informovaný o vykonávaní odporúčaní;</w:t>
      </w:r>
    </w:p>
    <w:p w14:paraId="06D57940" w14:textId="77777777" w:rsidR="004605A6" w:rsidRPr="004605A6" w:rsidRDefault="004605A6" w:rsidP="004605A6">
      <w:pPr>
        <w:spacing w:after="240"/>
        <w:ind w:left="567" w:hanging="567"/>
      </w:pPr>
      <w:r w:rsidRPr="004605A6">
        <w:t>20.</w:t>
      </w:r>
      <w:r w:rsidRPr="004605A6">
        <w:tab/>
        <w:t>konštatuje, že v decembri 2023 vydal Dvor audítorov záverečnú správu z auditu koordinačnej úlohy ESVČ, v rámci ktorej sa posudzovala účinnosť internej koordinácie a koordinácie s Komisiou a Radou, najmä pokiaľ ide o riadenie informácií, personálne obsadenie a podávanie správ; konštatuje, že v roku 2023 boli niektoré odporúčania auditu už predmetom prebiehajúcich iniciatív – napríklad zasielanie poverovacích listov novovymenovaným veľvyslancom pred nástupom do funkcie a úsilie v oblasti vykonávania stratégie riadenia informácií, ktoré ESVČ vyvíja od roku 2019; vyzýva ESVČ, aby v plnej miere vykonala odporúčania uvedené v správe Dvora audítorov s cieľom odstrániť zistené nedostatky v riadení informácií, a to vo svojom ústredí a v delegáciách Únie v tretích krajinách, ako aj v kancelárii vysokej predstaviteľky/podpredsedníčky Komisie; žiada, aby bol Európsky parlament informovaný o opatreniach prijatých v nadväznosti na odporúčania Dvora audítorov;</w:t>
      </w:r>
    </w:p>
    <w:p w14:paraId="4699475E" w14:textId="77777777" w:rsidR="004605A6" w:rsidRPr="004605A6" w:rsidRDefault="004605A6" w:rsidP="004605A6">
      <w:pPr>
        <w:spacing w:after="240"/>
        <w:ind w:left="567" w:hanging="567"/>
      </w:pPr>
      <w:r w:rsidRPr="004605A6">
        <w:t>21.</w:t>
      </w:r>
      <w:r w:rsidRPr="004605A6">
        <w:tab/>
        <w:t>konštatuje, že na základe 26 inšpekcií vykonaných v delegáciách v roku 2023 bola za hlavné výzvy pre delegácie označená bezpečnosť, budovy a administratívna záťaž; konštatuje, že ESVČ zaviedla opatrenia na riadenie bezpečnostných rizík v delegáciách na základe medzinárodných noriem a najlepších postupov; konštatuje, že v roku 2023 inšpekčný útvar ESVČ sformuloval päť kritických odporúčaní, pričom všetky sa týkali riadenia troch delegácií; konštatuje, že vo všetkých prípadoch sa odporúčania riešili zvýšeným dohľadom a väčšou podporou ústredia ESVČ; víta súbor nástrojov, ktorý vypracovala ESVČ s cieľom reagovať na situácie vnútorného riadenia;</w:t>
      </w:r>
    </w:p>
    <w:p w14:paraId="0153C70E" w14:textId="77777777" w:rsidR="004605A6" w:rsidRPr="004605A6" w:rsidRDefault="004605A6" w:rsidP="004605A6">
      <w:pPr>
        <w:spacing w:after="240"/>
        <w:ind w:left="567" w:hanging="567"/>
      </w:pPr>
      <w:r w:rsidRPr="004605A6">
        <w:t>22.</w:t>
      </w:r>
      <w:r w:rsidRPr="004605A6">
        <w:tab/>
        <w:t>konštatuje, že v roku 2023 predložili tri delegácie Únie (Stredoafrická republika, Sierra Leone a Sýria) vo svojich vyhláseniach o vierohodnosti výhrady, najmä pokiaľ ide o operačné rozpočtové riadky spravované Komisiou; zdôrazňuje, že tieto výhrady nemali významný finančný vplyv na administratívny rozpočet, za ktorý zodpovedá ESVČ;</w:t>
      </w:r>
    </w:p>
    <w:p w14:paraId="060818C4" w14:textId="77777777" w:rsidR="004605A6" w:rsidRPr="004605A6" w:rsidRDefault="004605A6" w:rsidP="004605A6">
      <w:pPr>
        <w:spacing w:after="240"/>
        <w:ind w:left="567" w:hanging="567"/>
        <w:rPr>
          <w:b/>
          <w:i/>
        </w:rPr>
      </w:pPr>
      <w:r w:rsidRPr="004605A6">
        <w:lastRenderedPageBreak/>
        <w:t>23.</w:t>
      </w:r>
      <w:r w:rsidRPr="004605A6">
        <w:tab/>
        <w:t>vyzýva ESVČ a Komisiu, aby úzko spolupracovali so styčnou kanceláriou Európskeho parlamentu vo Washingtone D. C. a s delegáciou Únie v Spojených štátoch amerických s cieľom identifikovať, financovať a vykonávať iniciatívy zamerané na posilnenie transatlantických vzťahov vrátane výmenných programov pre odborníkov pracujúcich vo verejných inštitúciách v EÚ aj v USA;</w:t>
      </w:r>
    </w:p>
    <w:p w14:paraId="7FAABEEA" w14:textId="77777777" w:rsidR="004605A6" w:rsidRPr="004605A6" w:rsidRDefault="004605A6" w:rsidP="004605A6">
      <w:pPr>
        <w:spacing w:after="240"/>
        <w:ind w:left="567" w:hanging="567"/>
        <w:rPr>
          <w:b/>
          <w:i/>
        </w:rPr>
      </w:pPr>
      <w:r w:rsidRPr="004605A6">
        <w:t>24.</w:t>
      </w:r>
      <w:r w:rsidRPr="004605A6">
        <w:tab/>
        <w:t>vyzýva ESVČ a delegácie Únie, aby zintenzívnili monitorovanie stavu demokracie v rôznych krajinách a posilnili logistickú a technologickú podporu obhajcov ľudských práv a pôvodných obyvateľov s osobitným zameraním na ženy;</w:t>
      </w:r>
    </w:p>
    <w:p w14:paraId="546B06AF" w14:textId="77777777" w:rsidR="004605A6" w:rsidRPr="004605A6" w:rsidRDefault="004605A6" w:rsidP="004605A6">
      <w:pPr>
        <w:spacing w:after="240"/>
        <w:ind w:left="567" w:hanging="567"/>
      </w:pPr>
      <w:r w:rsidRPr="004605A6">
        <w:t>25.</w:t>
      </w:r>
      <w:r w:rsidRPr="004605A6">
        <w:tab/>
        <w:t>pripomína, že je nevyhnutné ďalej posilňovať našu podporu ľudských práv, demokracie a rozvoja v tretích krajinách nástrojom NDICI – Globálna Európa, pretože svet demokracie je bezpečnejším svetom; zdôrazňuje, že vzhľadom na súčasný rýchly technologický pokrok a geopolitickú konkurenciu by sa mali ďalej zvyšovať zdroje pre digitálnu diplomaciu EÚ; trvá na tom, že „zelená diplomacia“ a zelená transformácia, by sa ako priority Únie mali vo vzťahu k tretím krajinám posilňovať prostredníctvom vonkajšej činnosti EÚ; zdôrazňuje, že je potrebné, aby ESVČ mala ústrednú úlohu pri podpore mieru a stability na Blízkom východe, aby zvýšila finančné prostriedky na zabezpečenie humanitárnej pomoci v Libanone, Gaze a Sýrii a aby posilnila monitorovanie ľudských práv; zdôrazňuje potrebu finančnej podpory delegáciám ESVČ na Blízkom východe, v krajinách Perzského zálivu a v Afrike, aby mohli pokračovať vo vykonávaní vonkajšej činnosti EÚ v regióne;</w:t>
      </w:r>
    </w:p>
    <w:p w14:paraId="28EC42EA" w14:textId="77777777" w:rsidR="004605A6" w:rsidRPr="004605A6" w:rsidRDefault="004605A6" w:rsidP="004605A6">
      <w:pPr>
        <w:spacing w:after="240"/>
        <w:ind w:left="567" w:hanging="567"/>
      </w:pPr>
      <w:r w:rsidRPr="004605A6">
        <w:t>26.</w:t>
      </w:r>
      <w:r w:rsidRPr="004605A6">
        <w:tab/>
        <w:t>konštatuje, že osobitná správa Dvora audítorov č. 14/2023 odhalila nedostatky v metodikách používaných Komisiou a ESVČ na prideľovanie finančných prostriedkov partnerským krajinám, ako aj v nastavení monitorovacieho rámca a odporučila, aby Komisia a ESVČ zlepšili metodiku prideľovania finančných prostriedkov a posudzovania vplyvu podpory Únie, proces programovania prispôsobili konkrétnym cieľom a zjednodušili a jednotne využívali ukazovatele viacročných orientačných programov;</w:t>
      </w:r>
    </w:p>
    <w:p w14:paraId="0ACFCE99" w14:textId="77777777" w:rsidR="004605A6" w:rsidRPr="004605A6" w:rsidRDefault="004605A6" w:rsidP="004605A6">
      <w:pPr>
        <w:spacing w:after="240"/>
        <w:ind w:left="567" w:hanging="567"/>
      </w:pPr>
      <w:r w:rsidRPr="004605A6">
        <w:t>27.</w:t>
      </w:r>
      <w:r w:rsidRPr="004605A6">
        <w:tab/>
        <w:t>víta vymenovanie prvého osobitného zástupcu EÚ pre oblasť Perzského zálivu;</w:t>
      </w:r>
    </w:p>
    <w:p w14:paraId="613570E9" w14:textId="77777777" w:rsidR="004605A6" w:rsidRPr="004605A6" w:rsidRDefault="004605A6" w:rsidP="004605A6">
      <w:pPr>
        <w:spacing w:after="240"/>
        <w:ind w:left="567" w:hanging="567"/>
      </w:pPr>
      <w:r w:rsidRPr="004605A6">
        <w:t>28.</w:t>
      </w:r>
      <w:r w:rsidRPr="004605A6">
        <w:tab/>
        <w:t xml:space="preserve">zdôrazňuje, že nedávne udalosti, najmä komplexná vojenská invázia Ruska na Ukrajinu a nepriateľské pokusy Ruska ovplyvňovať demokratické procesy v Európe, ako aj rastúca nestabilita na Blízkom východe spôsobili, že zahraničná politika Únie a jej vykonávanie stoja v popredí záujmu členských štátov a inštitúcií EÚ; pripomína ústrednú úlohu ESVČ a jej delegácií pri vykonávaní vonkajšej činnosti Únie a v boji proti zahraničnej manipulácii s informáciami a zahraničnému zasahovaniu; podčiarkuje význam ESVČ pre vzťahy Únie s 25 až 30 miliónmi občanov Únie žijúcich mimo EÚ; uznáva, že rozpočet ESVČ, ktorý už je štrukturálne </w:t>
      </w:r>
      <w:proofErr w:type="spellStart"/>
      <w:r w:rsidRPr="004605A6">
        <w:t>podfinancovaný</w:t>
      </w:r>
      <w:proofErr w:type="spellEnd"/>
      <w:r w:rsidRPr="004605A6">
        <w:t>, bol v porovnaní s inými inštitúciami EÚ neprimerane ovplyvnený vyššou mierou inflácie a následnou energetickou krízou spôsobenou vojnou Ruska na Ukrajine, a vyjadruje znepokojenie nad týmito negatívnymi dôsledkami pre ESVČ a výkonnosť inštitúcií EÚ a nad nedostatkom opatrení na nápravu súčasnej rozpočtovej situácie, ktorý môže vážne ovplyvniť vzťahy Únie s tretími krajinami;</w:t>
      </w:r>
    </w:p>
    <w:p w14:paraId="5A3996B9" w14:textId="77777777" w:rsidR="004605A6" w:rsidRPr="004605A6" w:rsidRDefault="004605A6" w:rsidP="004605A6">
      <w:pPr>
        <w:spacing w:after="240"/>
        <w:ind w:left="567" w:hanging="567"/>
      </w:pPr>
      <w:r w:rsidRPr="004605A6">
        <w:t>29.</w:t>
      </w:r>
      <w:r w:rsidRPr="004605A6">
        <w:tab/>
        <w:t xml:space="preserve">víta neochvejnú podporu poskytovanú Ukrajine, a to aj prostredníctvom civilnej poradnej misie EÚ (EUAM </w:t>
      </w:r>
      <w:proofErr w:type="spellStart"/>
      <w:r w:rsidRPr="004605A6">
        <w:t>Ukraine</w:t>
      </w:r>
      <w:proofErr w:type="spellEnd"/>
      <w:r w:rsidRPr="004605A6">
        <w:t>) a výcviku ukrajinských vojakov v rámci vojenskej pomocnej misie EÚ (EUMAM);</w:t>
      </w:r>
    </w:p>
    <w:p w14:paraId="6E582F9D" w14:textId="77777777" w:rsidR="004605A6" w:rsidRPr="004605A6" w:rsidRDefault="004605A6" w:rsidP="004605A6">
      <w:pPr>
        <w:spacing w:after="240"/>
        <w:ind w:left="567" w:hanging="567"/>
      </w:pPr>
      <w:r w:rsidRPr="004605A6">
        <w:lastRenderedPageBreak/>
        <w:t>30.</w:t>
      </w:r>
      <w:r w:rsidRPr="004605A6">
        <w:tab/>
        <w:t xml:space="preserve">zdôrazňuje, že Únia musí zvýšiť finančné prostriedky na posilnenie osobitného rozpočtového riadku v rámci opatrení zahraničnej politiky EÚ, najmä v oblasti rodovej rovnosti a programu zameraného na ženy, mier a bezpečnosť, s cieľom zabezpečiť konzistentné financovanie iniciatív, ktoré podporujú rodovo </w:t>
      </w:r>
      <w:proofErr w:type="spellStart"/>
      <w:r w:rsidRPr="004605A6">
        <w:t>responzívne</w:t>
      </w:r>
      <w:proofErr w:type="spellEnd"/>
      <w:r w:rsidRPr="004605A6">
        <w:t xml:space="preserve"> </w:t>
      </w:r>
      <w:proofErr w:type="spellStart"/>
      <w:r w:rsidRPr="004605A6">
        <w:t>líderstvo</w:t>
      </w:r>
      <w:proofErr w:type="spellEnd"/>
      <w:r w:rsidRPr="004605A6">
        <w:t>, chránia práva žien a bojujú proti sexuálnemu a rodovo motivovanému násiliu počas konfliktov a po nich; zdôrazňuje, že takéto financovanie je nevyhnutné na podporu miestnych organizácií občianskej spoločnosti, poskytovanie podpory zameranej na obete a začlenenie rodového hľadiska do diplomatického a bezpečnostného úsilia EÚ;</w:t>
      </w:r>
    </w:p>
    <w:p w14:paraId="48279644" w14:textId="77777777" w:rsidR="004605A6" w:rsidRPr="004605A6" w:rsidRDefault="004605A6" w:rsidP="004605A6">
      <w:pPr>
        <w:spacing w:after="240"/>
        <w:ind w:left="567" w:hanging="567"/>
      </w:pPr>
      <w:r w:rsidRPr="004605A6">
        <w:t>31.</w:t>
      </w:r>
      <w:r w:rsidRPr="004605A6">
        <w:tab/>
        <w:t>zdôrazňuje, že v akčnom pláne pre rodovú rovnosť (ďalej len „GAP“) III sa stanovuje, že 85 % nových opatrení Únie musí prispievať k rodovej rovnosti a posilňovaniu postavenia žien a dievčat; vyzýva ESVČ, aby urýchlila dosahovanie cieľov akčného plánu GAP III tým, že sa vo svojej každodennej práci zmysluplne zameria na kľúčové oblasti angažovanosti GAP III vrátane ukončenia rodovo motivovaného násilia, podpory sexuálneho a reprodukčného zdravia a práv, hospodárskych a sociálnych práv a posilnenia postavenia, rovnocennej účasti a </w:t>
      </w:r>
      <w:proofErr w:type="spellStart"/>
      <w:r w:rsidRPr="004605A6">
        <w:t>líderstva</w:t>
      </w:r>
      <w:proofErr w:type="spellEnd"/>
      <w:r w:rsidRPr="004605A6">
        <w:t>; konštatuje, že platnosť akčného plánu GAP III sa skončí v roku 2027, a preto naliehavo vyzýva ESVČ, aby vypracovala ambicióznejší akčný plán GAP IV, ktorým sa zabezpečí silnejšie prepojenie medzi právami a posilnením postavenia žien a zahraničnou a bezpečnostnou politikou Únie a ktorý bude pripravený na vykonávanie od roku 2028;</w:t>
      </w:r>
    </w:p>
    <w:p w14:paraId="31BC8ED6" w14:textId="77777777" w:rsidR="004605A6" w:rsidRPr="004605A6" w:rsidRDefault="004605A6" w:rsidP="004605A6">
      <w:pPr>
        <w:spacing w:after="240"/>
        <w:ind w:left="567" w:hanging="567"/>
      </w:pPr>
      <w:r w:rsidRPr="004605A6">
        <w:t>32.</w:t>
      </w:r>
      <w:r w:rsidRPr="004605A6">
        <w:tab/>
        <w:t xml:space="preserve">zdôrazňuje mimoriadnu zraniteľnosť detí vo svete, najmä v ozbrojených konfliktoch; vyjadruje vážne znepokojenie nad desiatkami tisícov detí, ktoré boli v roku 2023 postihnuté ozbrojenými konfliktmi na celom svete a vystavené ohavnému zneužívaniu a porušovaniu svojich </w:t>
      </w:r>
      <w:proofErr w:type="spellStart"/>
      <w:r w:rsidRPr="004605A6">
        <w:t>najzákladnejších</w:t>
      </w:r>
      <w:proofErr w:type="spellEnd"/>
      <w:r w:rsidRPr="004605A6">
        <w:t xml:space="preserve"> práv; vyzýva ESVČ, aby svoje úsilie zamerala na práva detí;</w:t>
      </w:r>
    </w:p>
    <w:p w14:paraId="29C0834E" w14:textId="77777777" w:rsidR="004605A6" w:rsidRPr="004605A6" w:rsidRDefault="004605A6" w:rsidP="004605A6">
      <w:pPr>
        <w:spacing w:after="240"/>
        <w:ind w:left="567" w:hanging="567"/>
      </w:pPr>
      <w:r w:rsidRPr="004605A6">
        <w:t>33.</w:t>
      </w:r>
      <w:r w:rsidRPr="004605A6">
        <w:tab/>
        <w:t>pripomína zúfalú situáciu v oblasti práv žien a práv LGBTQI+ osôb v mnohých častiach sveta; zdôrazňuje naliehavú potrebu lepšie chrániť tieto práva; poukazuje na ústrednú úlohu ESVČ pri presadzovaní ľudských práv na celom svete; vyzýva ESVČ, aby v tomto smere zintenzívnila svoje úsilie;</w:t>
      </w:r>
    </w:p>
    <w:p w14:paraId="597A1FD3" w14:textId="77777777" w:rsidR="004605A6" w:rsidRPr="004605A6" w:rsidRDefault="004605A6" w:rsidP="004605A6">
      <w:pPr>
        <w:spacing w:after="240"/>
        <w:ind w:left="567" w:hanging="567"/>
      </w:pPr>
      <w:r w:rsidRPr="004605A6">
        <w:t>34.</w:t>
      </w:r>
      <w:r w:rsidRPr="004605A6">
        <w:tab/>
        <w:t>považuje volebnú pozorovateľskú misiu za praktický a účinný nástroj zahraničnej politiky a aj naďalej ústredný prvok politík a stratégií EÚ na podporu demokracie; vyzýva Úniu, aby volebným pozorovateľským misiám EÚ zabezpečila primerané zdroje, aby mohli pôsobiť aj pri voľbách v kandidátskych a susedných krajinách;</w:t>
      </w:r>
    </w:p>
    <w:p w14:paraId="3D23CF59" w14:textId="77777777" w:rsidR="004605A6" w:rsidRPr="004605A6" w:rsidRDefault="004605A6" w:rsidP="004605A6">
      <w:pPr>
        <w:spacing w:after="240"/>
        <w:ind w:left="567" w:hanging="567"/>
        <w:rPr>
          <w:b/>
          <w:i/>
        </w:rPr>
      </w:pPr>
      <w:r w:rsidRPr="004605A6">
        <w:rPr>
          <w:b/>
          <w:i/>
        </w:rPr>
        <w:t>Ľudské zdroje, rovnosť a dobré pracovné podmienky zamestnancov</w:t>
      </w:r>
    </w:p>
    <w:p w14:paraId="21D6602D" w14:textId="77777777" w:rsidR="004605A6" w:rsidRPr="004605A6" w:rsidRDefault="004605A6" w:rsidP="004605A6">
      <w:pPr>
        <w:spacing w:after="240"/>
        <w:ind w:left="567" w:hanging="567"/>
      </w:pPr>
      <w:r w:rsidRPr="004605A6">
        <w:t>35.</w:t>
      </w:r>
      <w:r w:rsidRPr="004605A6">
        <w:tab/>
        <w:t>konštatuje, že ku koncu roka 2023 bol plán pracovných miest obsadený na 96,7 %; konštatuje, že ESVČ zamestnávala celkovo 2 812 zamestnancov vrátane 1 245 úradníkov, 450 dočasných zamestnancov, 603 zmluvných zamestnancov a 514 vyslaných národných expertov; konštatuje, že z celkového počtu úradníkov a dočasných zamestnancov zamestnaných ESVČ, či už v jej ústredí, alebo v delegáciách, tvorili administrátori 62,5 %, asistenti 32,8 % a administratívni pracovníci 4,8 %;</w:t>
      </w:r>
    </w:p>
    <w:p w14:paraId="383465D4" w14:textId="77777777" w:rsidR="004605A6" w:rsidRPr="004605A6" w:rsidRDefault="004605A6" w:rsidP="004605A6">
      <w:pPr>
        <w:spacing w:after="240"/>
        <w:ind w:left="567" w:hanging="567"/>
      </w:pPr>
      <w:r w:rsidRPr="004605A6">
        <w:t>36.</w:t>
      </w:r>
      <w:r w:rsidRPr="004605A6">
        <w:tab/>
        <w:t xml:space="preserve">konštatuje, že ku koncu roka 2023 pracovalo v ESVČ celkovo 5 252 osôb zamestnaných buď priamo ESVČ, alebo prostredníctvom externých partnerov, z čoho 46,2 % pracovalo v ústredí ESVČ a 53,8 % v delegáciách; konštatuje, že z celkového počtu osôb pracujúcich v ESVČ bolo 46,5 % neštatutárnych zamestnancov alebo externých partnerov; konštatuje, že väčšina externých zamestnancov zamestnaných </w:t>
      </w:r>
      <w:r w:rsidRPr="004605A6">
        <w:lastRenderedPageBreak/>
        <w:t>externým partnerom, ale pracujúcich v priestoroch ESVČ, poskytuje služby v oblasti informačných technológií, bezpečnosti a ochrany a zdravotnej starostlivosti;</w:t>
      </w:r>
    </w:p>
    <w:p w14:paraId="4D335ACB" w14:textId="77777777" w:rsidR="004605A6" w:rsidRPr="004605A6" w:rsidRDefault="004605A6" w:rsidP="004605A6">
      <w:pPr>
        <w:spacing w:after="240"/>
        <w:ind w:left="567" w:hanging="567"/>
      </w:pPr>
      <w:r w:rsidRPr="004605A6">
        <w:t>37.</w:t>
      </w:r>
      <w:r w:rsidRPr="004605A6">
        <w:tab/>
        <w:t>konštatuje, že v roku 2023 ESVČ dostala od rozpočtového orgánu 36 ekvivalentov plného pracovného času vrátane 31 zmluvných zamestnancov a piatich vyslaných národných expertov, ktorých náklady sa hradia spoločne; konštatuje, že dodatočné zdroje boli pridelené na funkcie krízového riadenia, vykonávanie Strategického kompasu a ďalšie priority ESVČ; konštatuje, že na konci roka 2023 bolo ESVČ pridelených ďalších 20 vyslaných národných expertov s nulovými nákladmi na využitie v štruktúrach útvaru pre plánovanie a vedenie vojenských operácií;</w:t>
      </w:r>
    </w:p>
    <w:p w14:paraId="462F0359" w14:textId="77777777" w:rsidR="004605A6" w:rsidRPr="004605A6" w:rsidRDefault="004605A6" w:rsidP="004605A6">
      <w:pPr>
        <w:spacing w:after="240"/>
        <w:ind w:left="567" w:hanging="567"/>
        <w:rPr>
          <w:b/>
          <w:i/>
        </w:rPr>
      </w:pPr>
      <w:r w:rsidRPr="004605A6">
        <w:t>38.</w:t>
      </w:r>
      <w:r w:rsidRPr="004605A6">
        <w:tab/>
        <w:t>konštatuje, že ku koncu roka 2023 tvorilo štatutárny personál ESVČ 52,7 % mužov a 47,3 % žien, čo svedčí o miernom náraste zastúpenia žien v porovnaní s rokom 2022, keď bolo žien 46,8 %; víta mierny pokrok v oblasti rodovej rovnováhy vo vyššom manažmente, kde sa zastúpenie žien zvýšilo zo 6,3 % v roku 2022 na 7,6 % v roku 2023, a v strednom manažmente, kde sa zvýšilo z 30,1 % v roku 2022 na 30,4 % v roku 2023; vyzýva ESVČ, aby zintenzívnila úsilie o dosiahnutie väčšej a viditeľnejšej rodovej rovnováhy na všetkých úrovniach organizácie;</w:t>
      </w:r>
    </w:p>
    <w:p w14:paraId="14A052DD" w14:textId="77777777" w:rsidR="004605A6" w:rsidRPr="004605A6" w:rsidRDefault="004605A6" w:rsidP="004605A6">
      <w:pPr>
        <w:spacing w:after="240"/>
        <w:ind w:left="567" w:hanging="567"/>
        <w:rPr>
          <w:b/>
          <w:i/>
        </w:rPr>
      </w:pPr>
      <w:r w:rsidRPr="004605A6">
        <w:t>39.</w:t>
      </w:r>
      <w:r w:rsidRPr="004605A6">
        <w:tab/>
        <w:t xml:space="preserve">víta, že VP/PK a Komisia uverejnili koncom roka 2023 správu v polovici trvania o vykonávaní akčného plánu EÚ pre rodovú rovnosť (GAP III), ako aj rozhodnutie predĺžiť jeho trvanie do roku 2027 na zaistenie súladu s viacročným finančným rámcom (VFR); uznáva význam GAP III pri presadzovaní rodovej rovnosti ako strategickej priority v rámci vonkajšej činnosti Únie a pri posilňovaní jej úlohy v tejto oblasti; víta, že tím veľvyslankyne EÚ pre rodovú rovnosť a rozmanitosť zorganizoval koncom roka 2023 pre vyšší manažment prvú odbornú prípravu vedúcich pracovníkov v oblasti rodovo </w:t>
      </w:r>
      <w:proofErr w:type="spellStart"/>
      <w:r w:rsidRPr="004605A6">
        <w:t>responzívneho</w:t>
      </w:r>
      <w:proofErr w:type="spellEnd"/>
      <w:r w:rsidRPr="004605A6">
        <w:t xml:space="preserve"> vedenia;</w:t>
      </w:r>
    </w:p>
    <w:p w14:paraId="6597A07B" w14:textId="77777777" w:rsidR="004605A6" w:rsidRPr="004605A6" w:rsidRDefault="004605A6" w:rsidP="004605A6">
      <w:pPr>
        <w:spacing w:after="240"/>
        <w:ind w:left="567" w:hanging="567"/>
        <w:rPr>
          <w:b/>
          <w:i/>
        </w:rPr>
      </w:pPr>
      <w:r w:rsidRPr="004605A6">
        <w:t>40.</w:t>
      </w:r>
      <w:r w:rsidRPr="004605A6">
        <w:tab/>
        <w:t>víta prvú správu ESVČ o zahraničnej manipulácii s informáciami a zahraničnom zasahovaní (FIMI) zameranom proti LGBTIQA+ osobám, ktorej účelom je lepšie porozumieť taktike FIMI a posilniť spoluprácu, a to aj s agentúrou ENISA, s cieľom chrániť komunitu LGBTIQA+; vyjadruje znepokojenie nad globálnym stavom práv LGBTIQ+ osôb a rastúcim odporom voči rodovej rovnosti, právam žien a sexuálnemu a reprodukčnému zdraviu a právam v rozvojových krajinách; vyzýva Komisiu a ESVČ, aby sa zamerali na tieto problémy a stanovili si ako prioritu cielenú podporu organizácií občianskej spoločnosti, ktoré sa zasadzujú za tieto práva;</w:t>
      </w:r>
    </w:p>
    <w:p w14:paraId="04F4715E" w14:textId="77777777" w:rsidR="004605A6" w:rsidRPr="004605A6" w:rsidRDefault="004605A6" w:rsidP="004605A6">
      <w:pPr>
        <w:spacing w:after="240"/>
        <w:ind w:left="567" w:hanging="567"/>
      </w:pPr>
      <w:r w:rsidRPr="004605A6">
        <w:t>41.</w:t>
      </w:r>
      <w:r w:rsidRPr="004605A6">
        <w:tab/>
        <w:t>konštatuje, že VP/PK vo svojom rozhodnutí prijatom v júli 2023 objasnil, že maximálna dĺžka zamestnania dočasných a zmluvných zamestnancov ESVČ je osem rokov v referenčnom období 13 rokov alebo vo výnimočných prípadoch a v záujme služby 10 rokov v referenčnom období 15 rokov a že minimálny čas medzi následnými nábormi dočasných zamestnancov vyslaných z národných diplomatických služieb členských štátov je dva roky od ukončenia ich poslednej zmluvy;</w:t>
      </w:r>
    </w:p>
    <w:p w14:paraId="30ADDF18" w14:textId="77777777" w:rsidR="004605A6" w:rsidRPr="004605A6" w:rsidRDefault="004605A6" w:rsidP="004605A6">
      <w:pPr>
        <w:spacing w:after="240"/>
        <w:ind w:left="567" w:hanging="567"/>
      </w:pPr>
      <w:r w:rsidRPr="004605A6">
        <w:t>42.</w:t>
      </w:r>
      <w:r w:rsidRPr="004605A6">
        <w:tab/>
        <w:t xml:space="preserve">poznamenáva, že na konci roka 2023 bolo z 1 695 úradníkov a dočasných zamestnancov 863 (51 %) mužov a 832 (49 %) žien, čo predstavuje mierny nárast od roku 2022; konštatuje, že spomedzi zmluvných zamestnancov bolo 57,4 % žien, čo je mierny nárast od roku 2022; vyjadruje však poľutovanie nad tým, že ženy sú aj naďalej výrazne nedostatočne zastúpené na vyšších pozíciách, zatiaľ čo sú nadmerne zastúpené najmä na pozíciách AST; vyzýva ESVČ, aby zverejnila, ako sú pozície stredného a vyššieho manažmentu rozdelené podľa rodu a štátnej príslušnosti; žiada ESVČ, aby sa </w:t>
      </w:r>
      <w:r w:rsidRPr="004605A6">
        <w:lastRenderedPageBreak/>
        <w:t>touto otázkou zaoberala a zároveň rešpektovala schopnosti a zásluhy kandidátov; víta, že v rámci rotácie v roku 2023 bolo k dispozícii 42 riadiacich pozícií v delegáciách a došlo k 12 % zvýšeniu počtu veľvyslankýň – v roku 2023 bolo 35,50 % žien (zvýšenie z 31,70 %), čo je však stále nedostatočné zastúpenie;</w:t>
      </w:r>
    </w:p>
    <w:p w14:paraId="19545B30" w14:textId="77777777" w:rsidR="004605A6" w:rsidRPr="004605A6" w:rsidRDefault="004605A6" w:rsidP="004605A6">
      <w:pPr>
        <w:spacing w:after="240"/>
        <w:ind w:left="567" w:hanging="567"/>
        <w:rPr>
          <w:szCs w:val="24"/>
        </w:rPr>
      </w:pPr>
      <w:r w:rsidRPr="004605A6">
        <w:t>43.</w:t>
      </w:r>
      <w:r w:rsidRPr="004605A6">
        <w:tab/>
        <w:t>konštatuje, že hoci všetky členské štáty majú zastúpenie medzi zamestnancami ESVČ, pretrváva výrazná nerovnováha, pričom najviac zastúpeným členským štátom je Belgicko s 12,1 % všetkých zamestnancov ESVČ; poukazuje na to, že značná geografická nerovnováha existuje aj medzi západnými a východnými členskými štátmi EÚ; konštatuje tiež, že spomedzi riadiacich pracovníkov je najviac zastúpeným členským štátom Taliansko, odkiaľ pochádza 15 % všetkých pracovníkov v riadiacich funkciách; konštatuje, že zo 141 veľvyslancov Únie tri členské štáty (Maďarsko, Luxembursko a Malta) stále nemajú obsadené žiadne pozície veľvyslancov, zatiaľ čo členské štáty s najväčším počtom veľvyslancov sú Francúzsko s 22, Španielsko a Taliansko so 16, Nemecko s 12 a Belgicko s 10, čo znamená, že týchto päť krajín má 54 % všetkých pozícií veľvyslancov; dôrazne opakuje svoju výzvu ESVČ, aby naďalej zabezpečovala primeranú geografickú rovnováhu v celej svojej organizácii a na všetkých úrovniach; opakuje tiež svoje znepokojenie, pokiaľ ide o rodovú rovnováhu; konštatuje, že ženy sú výrazne nedostatočne zastúpené na vyšších pozíciách, zatiaľ čo nadmerne sú zastúpené najmä na pozíciách AST; vyzýva ESVČ, aby zverejnila, ako sú pozície stredného a vyššieho manažmentu rozdelené podľa rodu a štátnej príslušnosti; žiada ESVČ, aby sa touto otázkou zaoberala a zároveň rešpektovala schopnosti a zásluhy kandidátov;</w:t>
      </w:r>
    </w:p>
    <w:p w14:paraId="543AEE25" w14:textId="77777777" w:rsidR="004605A6" w:rsidRPr="004605A6" w:rsidRDefault="004605A6" w:rsidP="004605A6">
      <w:pPr>
        <w:spacing w:after="240"/>
        <w:ind w:left="567" w:hanging="567"/>
      </w:pPr>
      <w:r w:rsidRPr="004605A6">
        <w:t>44.</w:t>
      </w:r>
      <w:r w:rsidRPr="004605A6">
        <w:tab/>
        <w:t>konštatuje, že v roku 2023 prebehla v delegáciách významná rotácia 52 riadiacich miest; víta úsilie ESVČ o zvýšenie informovanosti členských štátov v súvislosti s potrebou prilákať širokú škálu kandidátov na zverejnené pracovné miesta a navrhnúť kvalifikovaných kandidátov na pracovné miesta veľvyslancov Únie;</w:t>
      </w:r>
    </w:p>
    <w:p w14:paraId="73CED3A3" w14:textId="77777777" w:rsidR="004605A6" w:rsidRPr="004605A6" w:rsidRDefault="004605A6" w:rsidP="004605A6">
      <w:pPr>
        <w:spacing w:after="240"/>
        <w:ind w:left="567" w:hanging="567"/>
        <w:rPr>
          <w:b/>
          <w:i/>
        </w:rPr>
      </w:pPr>
      <w:r w:rsidRPr="004605A6">
        <w:t>45.</w:t>
      </w:r>
      <w:r w:rsidRPr="004605A6">
        <w:tab/>
        <w:t>s uspokojením konštatuje, že v roku 2023 ESVČ prijala svoj program pre rozmanitosť a začlenenie na roky 2023 – 2025, čo je podrobný akčný plán na podporu bezpečného a ohľaduplného pracovného prostredia a prístupu nulovej tolerancie k obťažovaniu; konštatuje, že oba dokumenty boli konzultované so zástupcami zamestnancov, združeniami zamestnancov a Spoločným výborom pre rovnaké príležitosti, ktorý bol premenovaný na Spoločný výbor pre rozmanitosť a začlenenie; konštatuje, že akčný plán obsahuje preventívne opatrenia proti obťažovaniu, ako je povinný kurz elektronického vzdelávania pre všetkých zamestnancov zameraný na „rozpoznanie a riešenie obťažovania na pracovisku“ a povinnú odbornú prípravu vedúcich pracovníkov zameranú na to, „ako vytvoriť pracovné prostredie bez obťažovania“; vyzýva ESVČ, aby pracovníkom na manažérskych a nemanažérskych pozíciách naďalej poskytovala pravidelnú odbornú prípravu v oblasti rozmanitosti, rovnosti, inklúzie a spolupatričnosti;</w:t>
      </w:r>
    </w:p>
    <w:p w14:paraId="6099F805" w14:textId="77777777" w:rsidR="004605A6" w:rsidRPr="004605A6" w:rsidRDefault="004605A6" w:rsidP="004605A6">
      <w:pPr>
        <w:spacing w:after="240"/>
        <w:ind w:left="567" w:hanging="567"/>
        <w:rPr>
          <w:b/>
          <w:i/>
        </w:rPr>
      </w:pPr>
      <w:r w:rsidRPr="004605A6">
        <w:t>46.</w:t>
      </w:r>
      <w:r w:rsidRPr="004605A6">
        <w:tab/>
        <w:t xml:space="preserve">so znepokojením konštatuje, že v roku 2023 boli ESVČ doručené tri žiadosti o pomoc v prípade obvinení z psychického obťažovania týkajúcich sa dvoch úradníkov, čo viedlo k dvom administratívnym vyšetrovaniam, z ktorých jedno stále prebieha a druhé bola ukončené disciplinárnou sankciou; konštatuje, že v rámci neformálneho postupu sa mediačná služba ESVČ zaoberala 28 prípadmi údajného psychického obťažovania a 10 prípadmi údajného sexuálneho obťažovania a že dôverní poradcovia sa v roku 2023 zaoberali 21 prípadmi údajného psychického obťažovania a šiestimi prípadmi údajného sexuálneho obťažovania; konštatuje, že v roku 2023 ESVČ vypracovala rozhodnutie </w:t>
      </w:r>
      <w:r w:rsidRPr="004605A6">
        <w:lastRenderedPageBreak/>
        <w:t>o boji proti obťažovaniu miestnych zamestnancov v delegáciách, ktoré bolo prijaté v júni 2024; berie na vedomie úsilie, ktoré ESVČ vynakladá na posilnenie svojich politík proti obťažovaniu vrátane zavedenia povinných modulov elektronického vzdelávania na zvýšenie informovanosti a zriadenia osobitnej skupiny pre Istanbulský dohovor, ktorej cieľom je určiť opatrenia na zaistenie bezpečnejšieho pracoviska pre všetkých; vyjadruje však vážne znepokojenie nad pretrvávajúcim vysokým počtom prípadov obťažovania; vyzýva ESVČ, aby sa postarala o účinnejšiu prevenciu a podporu obetí a zaviedla prísne disciplinárne opatrenia s cieľom zabezpečiť nulovú toleranciu voči obťažovaniu a bezpečné pracovné prostredie;</w:t>
      </w:r>
    </w:p>
    <w:p w14:paraId="0DCCAF90" w14:textId="77777777" w:rsidR="004605A6" w:rsidRPr="004605A6" w:rsidRDefault="004605A6" w:rsidP="004605A6">
      <w:pPr>
        <w:spacing w:after="240"/>
        <w:ind w:left="567" w:hanging="567"/>
      </w:pPr>
      <w:r w:rsidRPr="004605A6">
        <w:t>47.</w:t>
      </w:r>
      <w:r w:rsidRPr="004605A6">
        <w:tab/>
        <w:t xml:space="preserve">konštatuje, že v roku 2023 ESVČ prijala niekoľko opatrení na zabezpečenie fyzickej a duševnej pohody svojich zamestnancov vrátane systematickej kontroly zdravotného stavu všetkých zamestnancov pred ich vyslaním do delegácie, psychologickej podpory a opatrení na zvyšovanie informovanosti; konštatuje, že v októbri 2023 boli prijaté dve rozhodnutia o pracovnom čase a pružných formách organizácie práce, na základe ktorých sa flexibilný pracovný čas stal štandardným režimom pracovného času v ústredí ESVČ a v delegáciách pre všetkých zamestnancov s výnimkou riadiacich pracovníkov; ďalej konštatuje, že v rozhodnutiach sa všetkým povoľuje </w:t>
      </w:r>
      <w:proofErr w:type="spellStart"/>
      <w:r w:rsidRPr="004605A6">
        <w:t>telepráca</w:t>
      </w:r>
      <w:proofErr w:type="spellEnd"/>
      <w:r w:rsidRPr="004605A6">
        <w:t xml:space="preserve"> na najviac dva dni týždenne v ústredí ESVČ, jeden deň týždenne v delegáciách a 10 dní ročne mimo miesta výkonu práce; konštatuje, že výnimočná práca na diaľku na dlhšie obdobie je naďalej možná v prípade kríz, a to zo zdravotných alebo iných naliehavých dôvodov;</w:t>
      </w:r>
    </w:p>
    <w:p w14:paraId="0077CF54" w14:textId="77777777" w:rsidR="004605A6" w:rsidRPr="004605A6" w:rsidRDefault="004605A6" w:rsidP="004605A6">
      <w:pPr>
        <w:spacing w:after="240"/>
        <w:ind w:left="567" w:hanging="567"/>
      </w:pPr>
      <w:r w:rsidRPr="004605A6">
        <w:t>48.</w:t>
      </w:r>
      <w:r w:rsidRPr="004605A6">
        <w:tab/>
        <w:t>s poľutovaním konštatuje, že počet zamestnancov, ktorí boli dlhodobo práceneschopní viac ako 50 dní, sa zvýšil zo 111 v roku 2022 na 171 v roku 2023, t. j. nárast o 54 %; konštatuje, že lekárska služba zaviedla niekoľko opatrení na predchádzanie riziku vyhorenia, napríklad prijala do pracovného pomeru psychiatra v decembri 2023 a začala systematickejšie sledovať práceneschopnosť, poskytovať psychologickú podporu a usmernenia zamestnancom a manažérom, vykonávať činnosti na zvyšovanie informovanosti a vytvorila sieť poskytovateľov prvej pomoci v oblasti duševného zdravia; zdôrazňuje, že je potrebné, aby manažéri zabezpečili spravodlivé prideľovanie úloh a zaviedli usmernenia a pružné formy organizácie práce; vyzýva ESVČ, aby zaujala aktívny prístup k prevencii dlhodobých chorôb a vyhorenia a účinnými podpornými opatreniami sa prednostne zamerala na psychickú pohodu zamestnancov;</w:t>
      </w:r>
    </w:p>
    <w:p w14:paraId="0F597CD8" w14:textId="77777777" w:rsidR="004605A6" w:rsidRPr="004605A6" w:rsidRDefault="004605A6" w:rsidP="004605A6">
      <w:pPr>
        <w:spacing w:after="240"/>
        <w:ind w:left="567" w:hanging="567"/>
      </w:pPr>
      <w:r w:rsidRPr="004605A6">
        <w:t>49.</w:t>
      </w:r>
      <w:r w:rsidRPr="004605A6">
        <w:tab/>
        <w:t>berie na vedomie, že z dôvodu rozpočtových obmedzení sa znížil počet zamestnaných stážistov; vyzýva ESVČ, aby poskytla informácie o pracovných podmienkach a odmeňovaní stážistov v ústredí a delegáciách;</w:t>
      </w:r>
    </w:p>
    <w:p w14:paraId="77172E34" w14:textId="77777777" w:rsidR="004605A6" w:rsidRPr="004605A6" w:rsidRDefault="004605A6" w:rsidP="004605A6">
      <w:pPr>
        <w:spacing w:after="240"/>
        <w:ind w:left="567" w:hanging="567"/>
        <w:rPr>
          <w:b/>
          <w:i/>
        </w:rPr>
      </w:pPr>
      <w:r w:rsidRPr="004605A6">
        <w:rPr>
          <w:b/>
          <w:i/>
        </w:rPr>
        <w:t>Etický rámec a transparentnosť</w:t>
      </w:r>
    </w:p>
    <w:p w14:paraId="4F546E06" w14:textId="77777777" w:rsidR="004605A6" w:rsidRPr="004605A6" w:rsidRDefault="004605A6" w:rsidP="004605A6">
      <w:pPr>
        <w:spacing w:after="240"/>
        <w:ind w:left="567" w:hanging="567"/>
        <w:rPr>
          <w:b/>
          <w:i/>
        </w:rPr>
      </w:pPr>
      <w:r w:rsidRPr="004605A6">
        <w:t>50.</w:t>
      </w:r>
      <w:r w:rsidRPr="004605A6">
        <w:tab/>
        <w:t xml:space="preserve">konštatuje, že v roku 2023 ESVČ zlepšila svoj etický rámec vydaním nových pokynov na zákaz alebo obmedzenie služobných ciest, ktorých náklady sú čiastočne alebo plne hradené z externých zdrojov, s cieľom zabrániť rizikám konfliktu záujmov a všetkým zamestnancom zaslala upozornenie o etike; konštatuje, že ESVČ sa zamerala aj na organizovanie osobitných, cielených kurzov odbornej prípravy v oblasti etiky, konfliktov záujmov, vnútornej kontroly a boja proti podvodom pre rôzne cieľové skupiny v ústredí ESVČ a v delegáciách; ďalej konštatuje, že novým zamestnancom sa aj naďalej zasielalo 16 „zásad profesionálneho správania“ prijatých v roku 2022, ktoré boli vo veľkej miere propagované, a to najmä počas kurzov o „etike a bezúhonnosti“ a „politike proti obťažovaniu“; žiada, aby ESVČ priebežne informovala Európsky parlament o akýchkoľvek ďalších úpravách svojho etického rámca; vyzýva ESVČ, aby </w:t>
      </w:r>
      <w:r w:rsidRPr="004605A6">
        <w:lastRenderedPageBreak/>
        <w:t>poskytovala pravidelnú povinnú odbornú prípravu v oblasti etiky, a to aj o etickom používaní umelej inteligencie a zodpovednosti;</w:t>
      </w:r>
    </w:p>
    <w:p w14:paraId="750DB86A" w14:textId="77777777" w:rsidR="004605A6" w:rsidRPr="004605A6" w:rsidRDefault="004605A6" w:rsidP="004605A6">
      <w:pPr>
        <w:spacing w:after="240"/>
        <w:ind w:left="567" w:hanging="567"/>
        <w:rPr>
          <w:b/>
          <w:i/>
        </w:rPr>
      </w:pPr>
      <w:r w:rsidRPr="004605A6">
        <w:t>51.</w:t>
      </w:r>
      <w:r w:rsidRPr="004605A6">
        <w:tab/>
        <w:t>víta, že ESVČ prijala v októbri 2023 novú stratégiu boja proti podvodom, ktorá sa vzťahuje na všetkých zamestnancov v ústredí ESVČ a v delegáciách a ktorá vyplynula z dôkladného preskúmania rizík súvisiacich s podvodmi a bola formálne schválená úradom OLAF; víta, že ESVČ venovala osobitné úsilie odbornej príprave a usmerňovaniu zamestnancov, najmä využívaním bunky pre boj proti podvodom zriadenej v decembri 2022; konštatuje, že zamestnanci ESVČ vyslaní do delegácií Únie sa aktívne zúčastňovali na sérii workshopov a seminárov o predchádzaní podvodom a informovanosti o nich, že novoprijatí zamestnanci v delegáciách Únie systematicky absolvujú školenia o týchto otázkach pred nástupom na pracovné miesta a že intranetová stránka týkajúca sa boja proti podvodom bola ďalej aktualizovaná, aby sa uľahčilo nahlasovanie prípadných podvodov a poskytli sa širšie možnosti odbornej prípravy v oblasti boja proti podvodom;</w:t>
      </w:r>
      <w:r w:rsidRPr="004605A6">
        <w:rPr>
          <w:b/>
          <w:i/>
        </w:rPr>
        <w:t xml:space="preserve"> </w:t>
      </w:r>
      <w:r w:rsidRPr="004605A6">
        <w:t>žiada ESVČ, aby všetkým zamestnancom poskytovala povinnú pravidelnú odbornú prípravu v oblasti informovanosti o podvodoch a ich prevencie;</w:t>
      </w:r>
    </w:p>
    <w:p w14:paraId="2A68AB5A" w14:textId="77777777" w:rsidR="004605A6" w:rsidRPr="004605A6" w:rsidRDefault="004605A6" w:rsidP="004605A6">
      <w:pPr>
        <w:spacing w:after="240"/>
        <w:ind w:left="567" w:hanging="567"/>
      </w:pPr>
      <w:r w:rsidRPr="004605A6">
        <w:t>52.</w:t>
      </w:r>
      <w:r w:rsidRPr="004605A6">
        <w:tab/>
        <w:t>konštatuje, že v roku 2023 sa v ESVČ nevyskytli žiadne prípady oznamovania protispoločenskej činnosti; s uspokojením konštatuje, že ESVČ začala v roku 2023 vypracúvať špecializovanú politiku ochrany oznamovateľov v súlade s novou stratégiou boja proti podvodom; žiada, aby bol Európsky parlament informovaný o jej prijatí, ktoré je naplánované na rok 2025, a o jej vykonávaní v rámci celej služby;</w:t>
      </w:r>
    </w:p>
    <w:p w14:paraId="0C826474" w14:textId="77777777" w:rsidR="004605A6" w:rsidRPr="004605A6" w:rsidRDefault="004605A6" w:rsidP="004605A6">
      <w:pPr>
        <w:spacing w:after="240"/>
        <w:ind w:left="567" w:hanging="567"/>
      </w:pPr>
      <w:r w:rsidRPr="004605A6">
        <w:t>53.</w:t>
      </w:r>
      <w:r w:rsidRPr="004605A6">
        <w:tab/>
        <w:t xml:space="preserve">konštatuje, že v roku 2023 ESVČ prijala päť vyhlásení o konflikte záujmov, ktoré sa riešili v súlade s platnými pravidlami; konštatuje, že v prípade týkajúcom sa člena komisie pre vyhodnotenie ponúk a žiadostí o účasť v postupe verejného obstarávania povoľujúci úradník vymenovaný </w:t>
      </w:r>
      <w:proofErr w:type="spellStart"/>
      <w:r w:rsidRPr="004605A6">
        <w:t>subdelegovaním</w:t>
      </w:r>
      <w:proofErr w:type="spellEnd"/>
      <w:r w:rsidRPr="004605A6">
        <w:t xml:space="preserve"> dospel k záveru, že existuje potenciálny konflikt záujmov, a daného zamestnanca zbavil povinností člena tejto komisie;</w:t>
      </w:r>
    </w:p>
    <w:p w14:paraId="015477EF" w14:textId="77777777" w:rsidR="004605A6" w:rsidRPr="004605A6" w:rsidRDefault="004605A6" w:rsidP="004605A6">
      <w:pPr>
        <w:spacing w:after="240"/>
        <w:ind w:left="567" w:hanging="567"/>
      </w:pPr>
      <w:r w:rsidRPr="004605A6">
        <w:t>54.</w:t>
      </w:r>
      <w:r w:rsidRPr="004605A6">
        <w:tab/>
        <w:t>so znepokojením konštatuje, že úrad OLAF začal v roku 2023 osem vyšetrovaní, ktoré aj naďalej prebiehajú a týkajú sa možného pochybenia v súvislosti s postupmi verejného obstarávania a vykonávaním zmlúv, dohôd o grante alebo potenciálnych nezrovnalostí týkajúcich sa otázok ľudských zdrojov; konštatuje, že otvorené prípady v roku 2023 sa týkali úradníkov, dočasných zamestnancov a miestnych zamestnancov v ústredí ESVČ aj v delegáciách; žiada o informovanie Európskeho parlamentu o opatreniach nadväzujúcich na tieto vyšetrovania; konštatuje, že osem starších prípadov týkajúcich sa bývalých a súčasných zamestnancov bolo uzavretých a v piatich prípadoch boli prijaté odporúčania, pokiaľ ide o ďalšie opatrenia; konštatuje, že ESVČ je v pravidelnom kontakte s úradom OLAF prostredníctvom svojho oddelenia pre boj proti podvodom a zabezpečuje včasné opatrenia v nadväznosti na odporúčania úradu OLAF; žiada, aby bol Európsky parlament priebežne informovaný o vykonávaní odporúčaní;</w:t>
      </w:r>
    </w:p>
    <w:p w14:paraId="2089AB5F" w14:textId="77777777" w:rsidR="004605A6" w:rsidRPr="004605A6" w:rsidRDefault="004605A6" w:rsidP="004605A6">
      <w:pPr>
        <w:spacing w:after="240"/>
        <w:ind w:left="567" w:hanging="567"/>
      </w:pPr>
      <w:r w:rsidRPr="004605A6">
        <w:t>55.</w:t>
      </w:r>
      <w:r w:rsidRPr="004605A6">
        <w:tab/>
        <w:t>konštatuje, že v roku 2023 vybavila ESVČ desať žiadostí ombudsmanky, z ktorých deväť sa týkalo administratívnych postupov a jedna prístupu k dokumentom; konštatuje, že ombudsmanka nezistila žiadne prípady nesprávneho ani čiastočného nesprávneho úradného postupu a nevydala ESVČ žiadne odporúčanie;</w:t>
      </w:r>
    </w:p>
    <w:p w14:paraId="5C80210C" w14:textId="77777777" w:rsidR="004605A6" w:rsidRPr="004605A6" w:rsidRDefault="004605A6" w:rsidP="004605A6">
      <w:pPr>
        <w:spacing w:after="240"/>
        <w:ind w:left="567" w:hanging="567"/>
        <w:rPr>
          <w:b/>
          <w:i/>
        </w:rPr>
      </w:pPr>
      <w:r w:rsidRPr="004605A6">
        <w:t>56.</w:t>
      </w:r>
      <w:r w:rsidRPr="004605A6">
        <w:rPr>
          <w:b/>
          <w:i/>
        </w:rPr>
        <w:tab/>
      </w:r>
      <w:r w:rsidRPr="004605A6">
        <w:t xml:space="preserve">berie na vedomie všetky aktivity podniknuté na zvýšenie informovanosti o vonkajších činnostiach; pripomína žiadosť Európskeho parlamentu o prijatie samostatných </w:t>
      </w:r>
      <w:r w:rsidRPr="004605A6">
        <w:lastRenderedPageBreak/>
        <w:t>vykonávacích ustanovení o vonkajších činnostiach a úlohách s cieľom chrániť imidž a povesť Únie, najmä v prípade vedúcich delegácií;</w:t>
      </w:r>
    </w:p>
    <w:p w14:paraId="3A809DEB" w14:textId="77777777" w:rsidR="004605A6" w:rsidRPr="004605A6" w:rsidRDefault="004605A6" w:rsidP="004605A6">
      <w:pPr>
        <w:spacing w:after="240"/>
        <w:ind w:left="567" w:hanging="567"/>
        <w:rPr>
          <w:b/>
          <w:i/>
        </w:rPr>
      </w:pPr>
      <w:r w:rsidRPr="004605A6">
        <w:t>57.</w:t>
      </w:r>
      <w:r w:rsidRPr="004605A6">
        <w:tab/>
        <w:t>konštatuje, že VP/PK je ako podpredseda Komisie viazaný pravidlami registra transparentnosti; zdôrazňuje, že hoci ESVČ nie je inštitúciou Únie v zmysle článku 13 Zmluvy o Európskej únii a nie je priamo zapojená do práva Únie, má dôležitú úlohu v súvislosti s právom Únie, pokiaľ ide o rozhodnutia týkajúce sa sankcií a rokovania o medzinárodných obchodných dohodách, ktoré majú značný vplyv na reguláciu; konštatuje, že pre ESVČ by bolo veľmi dôležité, aby prijala opatrenia v oblasti transparentnosti, oznámila ich správnej rade registra transparentnosti a pripojila sa registru; vyzýva ESVČ, aby zverejňovala všetky stretnutia s lobistickými organizáciami všetkých typov vrátane stretnutí vedúcich delegácií Únie s cieľom zvýšiť transparentnosť; žiada, aby bol Európsky parlament informovaný o každej novej iniciatíve ESVČ na zvýšenie transparentnosti; opäť zdôrazňuje význam ďalšieho posilnenia demokratickej kontroly Únie a dodržiavania prísnych noriem zodpovednosti a transparentnosti pri kontaktoch s organizáciami občianskej spoločnosti; žiada delegácie Únie, aby zabezpečili, aby sa finančné prostriedky Únie pridelené organizáciám občianskej spoločnosti a sociálnym partnerom v tretích krajinách využívali v súlade s hodnotami, politikami a finančnými pravidlami Únie;</w:t>
      </w:r>
    </w:p>
    <w:p w14:paraId="7337065A" w14:textId="77777777" w:rsidR="004605A6" w:rsidRPr="004605A6" w:rsidRDefault="004605A6" w:rsidP="004605A6">
      <w:pPr>
        <w:spacing w:after="240"/>
        <w:ind w:left="567" w:hanging="567"/>
        <w:rPr>
          <w:b/>
          <w:i/>
        </w:rPr>
      </w:pPr>
      <w:r w:rsidRPr="004605A6">
        <w:t>58.</w:t>
      </w:r>
      <w:r w:rsidRPr="004605A6">
        <w:tab/>
        <w:t>naliehavo žiada ESVČ, aby sa pripojila k registru transparentnosti EÚ s cieľom zosúladiť svoje postupy s Európskym parlamentom a Komisiou a zaistiť úplné zverejňovanie lobistických činností a finančných záujmov týkajúcich sa obranných a diplomatických záležitostí;</w:t>
      </w:r>
    </w:p>
    <w:p w14:paraId="20FB9D90" w14:textId="77777777" w:rsidR="004605A6" w:rsidRPr="004605A6" w:rsidRDefault="004605A6" w:rsidP="004605A6">
      <w:pPr>
        <w:spacing w:after="240"/>
        <w:ind w:left="567" w:hanging="567"/>
        <w:rPr>
          <w:b/>
          <w:i/>
        </w:rPr>
      </w:pPr>
      <w:r w:rsidRPr="004605A6">
        <w:rPr>
          <w:b/>
          <w:i/>
        </w:rPr>
        <w:t>Digitalizácia, kybernetická bezpečnosť a ochrana údajov</w:t>
      </w:r>
    </w:p>
    <w:p w14:paraId="6FD86252" w14:textId="77777777" w:rsidR="004605A6" w:rsidRPr="004605A6" w:rsidRDefault="004605A6" w:rsidP="004605A6">
      <w:pPr>
        <w:spacing w:after="240"/>
        <w:ind w:left="567" w:hanging="567"/>
      </w:pPr>
      <w:r w:rsidRPr="004605A6">
        <w:t>59.</w:t>
      </w:r>
      <w:r w:rsidRPr="004605A6">
        <w:tab/>
        <w:t>konštatuje, že výdavky na IT projekty, vybavenie a kybernetickú bezpečnosť sa zvýšili z 19,7 milióna EUR v roku 2022 na 29,9 milióna EUR v roku 2023, t. j. nárast o 52 %; konštatuje, že v roku 2023 ESVČ spustila dôležité projekty digitalizácie, ako je platforma spolupráce „HIVE“ pre všetkých používateľov v ústrediach a delegáciách, a v ústredí ESVČ zaviedla vlastný komunikačný a informačný systém pre utajované skutočnosti (EC3IS), ktorý následne postupne nasadila v citlivých delegáciách a prepojila ho s príslušnými systémami v Komisii a Rade;</w:t>
      </w:r>
    </w:p>
    <w:p w14:paraId="5B40C8CB" w14:textId="77777777" w:rsidR="004605A6" w:rsidRPr="004605A6" w:rsidRDefault="004605A6" w:rsidP="004605A6">
      <w:pPr>
        <w:spacing w:after="240"/>
        <w:ind w:left="567" w:hanging="567"/>
        <w:rPr>
          <w:b/>
          <w:i/>
        </w:rPr>
      </w:pPr>
      <w:r w:rsidRPr="004605A6">
        <w:t>60.</w:t>
      </w:r>
      <w:r w:rsidRPr="004605A6">
        <w:tab/>
        <w:t>konštatuje, že v roku 2023 začala ESVČ využívať a riadiť kontrolované prostredie umelej inteligencie, aby sa mohol zaviesť ucelený model jej riadenia; konštatuje, že tento technický krok pripravil pôdu pre prijatie usmernení o používaní generatívnej umelej inteligencie a stratégie v oblasti umelej inteligencie v roku 2024, ako aj pre priebežné overovanie koncepcie; žiada, aby bol Európsky parlament informovaný o vývoji stratégie v oblasti umelej inteligencie;</w:t>
      </w:r>
    </w:p>
    <w:p w14:paraId="5F63E7E4" w14:textId="77777777" w:rsidR="004605A6" w:rsidRPr="004605A6" w:rsidRDefault="004605A6" w:rsidP="004605A6">
      <w:pPr>
        <w:spacing w:after="240"/>
        <w:ind w:left="567" w:hanging="567"/>
        <w:rPr>
          <w:b/>
          <w:i/>
        </w:rPr>
      </w:pPr>
      <w:r w:rsidRPr="004605A6">
        <w:t>61.</w:t>
      </w:r>
      <w:r w:rsidRPr="004605A6">
        <w:tab/>
        <w:t xml:space="preserve">konštatuje, že v rámci vykonávania Strategického kompasu pre bezpečnosť a obranu prijatého v roku 2022 bola ESVČ zapojená do prijímania hlavných politických dokumentov a súborov nástrojov týkajúcich sa okrem iného kybernetickej obrany, kybernetickej diplomacie, hybridných hrozieb, zahraničného zasahovania a manipulácie s informáciami; konštatuje, že ESVČ interne pokračovala v zlepšovaní svojich spôsobilostí v oblasti kybernetickej bezpečnosti náborom špecializovaných zamestnancov a vykonávala činnosti zamerané na zvyšovanie povedomia o kybernetickej bezpečnosti pre rôzne cieľové skupiny vrátane tímu riadenia bezpečnosti, členov delegácií, novoprijatých zamestnancov a manažérov; žiada ESVČ, </w:t>
      </w:r>
      <w:r w:rsidRPr="004605A6">
        <w:lastRenderedPageBreak/>
        <w:t>aby všetkým zamestnancom poskytovala pravidelnú povinnú odbornú prípravu v oblasti kybernetickej bezpečnosti;</w:t>
      </w:r>
      <w:r w:rsidRPr="004605A6">
        <w:rPr>
          <w:color w:val="FF0000"/>
        </w:rPr>
        <w:t xml:space="preserve"> </w:t>
      </w:r>
      <w:r w:rsidRPr="004605A6">
        <w:t>žiada ďalej Úniu, aby Moldavsku poskytovala väčšiu podporu v boji proti dezinformáciám, hybridným hrozbám a kybernetickým útokom; vyzýva delegáciu Únie v Moldavsku, aby zintenzívnila úsilie v oblasti podpory aktívnejšej a účinnejšej komunikačnej stratégie týkajúcej sa európskej perspektívy vrátane komunikácie v ruskom jazyku;</w:t>
      </w:r>
    </w:p>
    <w:p w14:paraId="16C3EEFF" w14:textId="77777777" w:rsidR="004605A6" w:rsidRPr="004605A6" w:rsidRDefault="004605A6" w:rsidP="004605A6">
      <w:pPr>
        <w:spacing w:after="240"/>
        <w:ind w:left="567" w:hanging="567"/>
        <w:rPr>
          <w:b/>
          <w:i/>
        </w:rPr>
      </w:pPr>
      <w:r w:rsidRPr="004605A6">
        <w:t>62.</w:t>
      </w:r>
      <w:r w:rsidRPr="004605A6">
        <w:tab/>
        <w:t xml:space="preserve">víta zriadenie partnerskej misie EÚ v Moldavsku (EUPM </w:t>
      </w:r>
      <w:proofErr w:type="spellStart"/>
      <w:r w:rsidRPr="004605A6">
        <w:t>Moldova</w:t>
      </w:r>
      <w:proofErr w:type="spellEnd"/>
      <w:r w:rsidRPr="004605A6">
        <w:t xml:space="preserve">); zdôrazňuje zásadnú úlohu misie EUPM </w:t>
      </w:r>
      <w:proofErr w:type="spellStart"/>
      <w:r w:rsidRPr="004605A6">
        <w:t>Moldova</w:t>
      </w:r>
      <w:proofErr w:type="spellEnd"/>
      <w:r w:rsidRPr="004605A6">
        <w:t xml:space="preserve"> a vyzýva EÚ a jej členské štáty, aby predĺžili jej mandát aj na obdobie po máji 2025 a zároveň zvýšili zdroje na posilnenie jej účinnosti;</w:t>
      </w:r>
    </w:p>
    <w:p w14:paraId="75B465F4" w14:textId="77777777" w:rsidR="004605A6" w:rsidRPr="004605A6" w:rsidRDefault="004605A6" w:rsidP="004605A6">
      <w:pPr>
        <w:spacing w:after="240"/>
        <w:ind w:left="567" w:hanging="567"/>
        <w:rPr>
          <w:b/>
          <w:i/>
        </w:rPr>
      </w:pPr>
      <w:r w:rsidRPr="004605A6">
        <w:t>63.</w:t>
      </w:r>
      <w:r w:rsidRPr="004605A6">
        <w:tab/>
        <w:t>so znepokojením konštatuje, že v roku 2023 zaznamenala ESVČ systémom manažmentu bezpečnostných informácií a udalostí (SIEM) viac ako 29 623 kybernetických varovaní, z ktorých 92 bolo potvrdených ako kybernetické útoky; konštatuje, že štyri kybernetické útoky mali vplyv na operácie ESVČ a len jeden mal významné dôsledky; varuje, že ESVČ je veľmi vhodným cieľom pre aktérov s dostatočnými zdrojmi, ktorí sa snažia narušiť inštitúcie Únie, vrátane aktérov sponzorovaných cudzími štátmi; konštatuje, že kľúčovým aktérom, ktorý sa zaoberá monitorovaním hrozieb v reálnom čase a identifikáciou slabých miest systému, je stredisko ESVČ pre bezpečnostné operácie (SOC); žiada ESVČ, aby sa aj naďalej zamýšľala nad potrebou kybernetickej disciplíny a povedomia používateľov o kybernetickej bezpečnosti ako kľúčových prvkov svojho rámca kybernetickej bezpečnosti; zdôrazňuje, že je dôležité, aby sa ESVČ aj naďalej prednostne zameriavala na kybernetickú bezpečnosť a zmierňovanie hybridných hrozieb a aby pritom úzko spolupracovala s ostatnými inštitúciami Únie a členskými štátmi s cieľom identifikovať takéto hrozby a bojovať proti nim;</w:t>
      </w:r>
    </w:p>
    <w:p w14:paraId="24B8401F" w14:textId="77777777" w:rsidR="004605A6" w:rsidRPr="004605A6" w:rsidRDefault="004605A6" w:rsidP="004605A6">
      <w:pPr>
        <w:spacing w:after="240"/>
        <w:ind w:left="567" w:hanging="567"/>
        <w:rPr>
          <w:szCs w:val="23"/>
        </w:rPr>
      </w:pPr>
      <w:r w:rsidRPr="004605A6">
        <w:t>64.</w:t>
      </w:r>
      <w:r w:rsidRPr="004605A6">
        <w:tab/>
        <w:t>konštatuje, že ESVČ prijala v roku 2023 opatrenia v nadväznosti na jedno vyšetrovanie európskeho dozorného úradníka pre ochranu údajov na základe žiadosti zamestnanca/zamestnankyne ESVČ týkajúcej sa zverejnenia jeho/jej osobných údajov v online adresári EÚ; konštatuje, že prípad prebiehajúci od roku 2018 bol vyriešený v roku 2023 a uzavretý v roku 2024 s pozitívnym výsledkom pre ESVČ; berie na vedomie činnosti na zvyšovanie informovanosti a usmernenia, ktoré vydala ESVČ s cieľom zabezpečiť rovnaké podmienky v oblasti ochrany údajov v celej svojej sieti, najmä spoločnú príručku o používaní nástrojov umelej inteligencie tretích strán z dvojakého hľadiska ochrany údajov a kybernetickej bezpečnosti;</w:t>
      </w:r>
    </w:p>
    <w:p w14:paraId="4B80B01D" w14:textId="77777777" w:rsidR="004605A6" w:rsidRPr="004605A6" w:rsidRDefault="004605A6" w:rsidP="004605A6">
      <w:pPr>
        <w:spacing w:after="240"/>
        <w:ind w:left="567" w:hanging="567"/>
        <w:rPr>
          <w:b/>
          <w:i/>
        </w:rPr>
      </w:pPr>
      <w:r w:rsidRPr="004605A6">
        <w:t>65.</w:t>
      </w:r>
      <w:r w:rsidRPr="004605A6">
        <w:tab/>
        <w:t xml:space="preserve">konštatuje, že boj proti zahraničnej manipulácii s informáciami a zahraničnému zasahovaniu (FIMI) bol pre ESVČ prioritou aj v roku 2023; víta, že Európska rada schválila v decembri 2023 súbor nástrojov proti zahraničnej manipulácii s informáciami a zahraničnému zasahovaniu založený na pilieroch situačného povedomia, budovania odolnosti, narušenia a diplomatických reakcií; konštatuje, že v roku 2023 ESVČ rozšírila svoju analytickú kapacitu, aby mohla zhromažďovať dôkazy o zahraničnej manipulácii s informáciami a zahraničnom zasahovaní a reagovať na rastúci počet incidentov a hrozieb, najmä pred voľbami do Európskeho parlamentu v roku 2024; konštatuje, že ESVČ začala aj nové vlajkové projekty na zvýšenie informovanosti a boj proti ruským dezinformáciám, ako je iniciatíva </w:t>
      </w:r>
      <w:proofErr w:type="spellStart"/>
      <w:r w:rsidRPr="004605A6">
        <w:t>EUvsDisinfo</w:t>
      </w:r>
      <w:proofErr w:type="spellEnd"/>
      <w:r w:rsidRPr="004605A6">
        <w:t xml:space="preserve">, ktorá v roku 2023 oslovila približne 20,3 milióna ľudí, a na vytvorenie udržateľných partnerstiev v boji proti zahraničnej manipulácii s informáciami a zahraničnému zasahovaniu na celom svete; vyzýva ESVČ, aby spolu s Komisiou vyčlenila primerané zdroje na účinný boj proti zahraničnej manipulácii s informáciami a zahraničnému zasahovaniu; podporuje </w:t>
      </w:r>
      <w:r w:rsidRPr="004605A6">
        <w:lastRenderedPageBreak/>
        <w:t>plánované vytvorenie „európskeho štítu na obranu demokracie“ na odhaľovanie, sledovanie a odstraňovanie klamlivého online obsahu, aby mohla Únia účinnejšie bojovať proti zahraničnej manipulácii s informáciami a zahraničnému zasahovaniu a viac podporovať ochranu demokracie v tretích krajinách, najmä v susedstve Únie; vyzýva ESVČ a delegácie Únie v tretích krajinách, aby posilnili svoje kapacity v boji proti dezinformáciám a propagande súvisiacej so SZBP EÚ; vyzýva ESVČ, aby zintenzívnila úsilie o posilnenie postavenia občanov v celej Únii v boji proti zahraničnej manipulácii s informáciami a zahraničnému zasahovaniu;</w:t>
      </w:r>
    </w:p>
    <w:p w14:paraId="22F133FC" w14:textId="77777777" w:rsidR="004605A6" w:rsidRPr="004605A6" w:rsidRDefault="004605A6" w:rsidP="004605A6">
      <w:pPr>
        <w:spacing w:after="240"/>
        <w:ind w:left="567" w:hanging="567"/>
        <w:rPr>
          <w:b/>
          <w:i/>
        </w:rPr>
      </w:pPr>
      <w:r w:rsidRPr="004605A6">
        <w:rPr>
          <w:b/>
          <w:i/>
        </w:rPr>
        <w:t>Budovy a bezpečnosť</w:t>
      </w:r>
    </w:p>
    <w:p w14:paraId="1A641028" w14:textId="77777777" w:rsidR="004605A6" w:rsidRPr="004605A6" w:rsidRDefault="004605A6" w:rsidP="004605A6">
      <w:pPr>
        <w:spacing w:after="240"/>
        <w:ind w:left="567" w:hanging="567"/>
      </w:pPr>
      <w:r w:rsidRPr="004605A6">
        <w:t>66.</w:t>
      </w:r>
      <w:r w:rsidRPr="004605A6">
        <w:tab/>
        <w:t>konštatuje, že v priebehu roka 2023 bol rozpočtový riadok 3 0 0 3 týkajúci sa budov a súvisiacich nákladov zvýšený o 19 miliónov EUR, avšak dôležité práce v súvislosti s údržbou boli odložené; vyjadruje hlboké znepokojenie nad tým, že nahromadenie potrieb v oblasti údržby a bezpečnosti je pre ESVČ značnou výzvou, pokiaľ ide o bezpečné a účinné prevádzkovanie siete delegácií a zabezpečovanie povinnej starostlivosti o zamestnancov delegácií; žiada ESVČ, aby vypracovala viacročné pohotovostné plány pre nepredvídané udalosti zamerané na údržbu a bezpečnosť budov;</w:t>
      </w:r>
    </w:p>
    <w:p w14:paraId="0BCC9E8F" w14:textId="77777777" w:rsidR="004605A6" w:rsidRPr="004605A6" w:rsidRDefault="004605A6" w:rsidP="004605A6">
      <w:pPr>
        <w:spacing w:after="240"/>
        <w:ind w:left="567" w:hanging="567"/>
      </w:pPr>
      <w:r w:rsidRPr="004605A6">
        <w:t>67.</w:t>
      </w:r>
      <w:r w:rsidRPr="004605A6">
        <w:tab/>
        <w:t>konštatuje, že ESVČ využíva a spravuje nehnuteľnosti s rozlohou približne 87 618 m² vo svojom ústredí a 379 300 m² na celom svete, čo zahŕňa 174 kancelárskych budov a 152 rezidencií pre veľvyslancov; konštatuje, že v roku 2023 predložila ESVČ rozpočtovému orgánu pracovný dokument, v ktorom načrtla svoju politiku nákupu nehnuteľností, s tým, že v súčasnosti vlastní 22 % kancelárskych budov a 20 % rezidencií pre veľvyslancov, čím sa dosahuje najlepší pomer medzi kvalitou a cenou;</w:t>
      </w:r>
    </w:p>
    <w:p w14:paraId="43EB8720" w14:textId="77777777" w:rsidR="004605A6" w:rsidRPr="004605A6" w:rsidRDefault="004605A6" w:rsidP="004605A6">
      <w:pPr>
        <w:spacing w:after="240"/>
        <w:ind w:left="567" w:hanging="567"/>
      </w:pPr>
      <w:r w:rsidRPr="004605A6">
        <w:t>68.</w:t>
      </w:r>
      <w:r w:rsidRPr="004605A6">
        <w:tab/>
        <w:t>konštatuje, že cieľom politiky nákupu nehnuteľností pre delegácie Únie z apríla 2023 a pracovného dokumentu o politike ESVČ v oblasti nehnuteľností na rok 2024 je dosiahnuť najvýhodnejšie dlhodobé riešenie pre rozpočet Únie; zdôrazňuje, že žiadny z týchto dokumentov neobsahuje návrhy na zníženie počtu delegácií ani vytvorenie regionálnych centier; naliehavo vyzýva ESVČ, aby Európsky parlament informovala, ak sa v budúcnosti v tomto smere čokoľvek zmení;</w:t>
      </w:r>
    </w:p>
    <w:p w14:paraId="3DABB2CA" w14:textId="77777777" w:rsidR="004605A6" w:rsidRPr="004605A6" w:rsidRDefault="004605A6" w:rsidP="004605A6">
      <w:pPr>
        <w:spacing w:after="240"/>
        <w:ind w:left="567" w:hanging="567"/>
        <w:rPr>
          <w:b/>
          <w:i/>
        </w:rPr>
      </w:pPr>
      <w:r w:rsidRPr="004605A6">
        <w:t>69.</w:t>
      </w:r>
      <w:r w:rsidRPr="004605A6">
        <w:tab/>
        <w:t>vyzýva ESVČ, aby zachovala svoju dôležitú sieť delegácií na celom svete s dostatočným počtom zamestnancov, aby mohla lepšie udržiavať kontakty s tretími krajinami;</w:t>
      </w:r>
    </w:p>
    <w:p w14:paraId="7EF6B2E4" w14:textId="77777777" w:rsidR="004605A6" w:rsidRPr="004605A6" w:rsidRDefault="004605A6" w:rsidP="004605A6">
      <w:pPr>
        <w:spacing w:after="240"/>
        <w:ind w:left="567" w:hanging="567"/>
      </w:pPr>
      <w:r w:rsidRPr="004605A6">
        <w:t>70.</w:t>
      </w:r>
      <w:r w:rsidRPr="004605A6">
        <w:tab/>
        <w:t>konštatuje so znepokojením, že tieto rozpočtové obmedzenia by mohli viesť k nadmernému rušeniu veľvyslanectiev EÚ a k odsúvaniu inštalácie bezpečnostných systémov vo viacerých delegáciách Únie na neskôr, čo by obmedzilo schopnosť ESVČ plniť si svoj mandát, brániť hodnoty Únie a riadne poskytovať povinnú starostlivosť všetkým zamestnancom delegácií; naliehavo žiada členské štáty o poskytnutie dostatočných finančných prostriedkov ESVČ a Komisii na to, aby si Únia mohla zachovať sieť delegácií v nezmenenej forme ako prejav svojej globálnej angažovanosti;</w:t>
      </w:r>
    </w:p>
    <w:p w14:paraId="5939C7EB" w14:textId="77777777" w:rsidR="004605A6" w:rsidRPr="004605A6" w:rsidRDefault="004605A6" w:rsidP="004605A6">
      <w:pPr>
        <w:spacing w:after="240"/>
        <w:ind w:left="567" w:hanging="567"/>
      </w:pPr>
      <w:r w:rsidRPr="004605A6">
        <w:t>71.</w:t>
      </w:r>
      <w:r w:rsidRPr="004605A6">
        <w:tab/>
        <w:t xml:space="preserve">konštatuje, že od roku 2020 smeruje ESVČ svoju politiku správy kancelárskych priestorov ku </w:t>
      </w:r>
      <w:proofErr w:type="spellStart"/>
      <w:r w:rsidRPr="004605A6">
        <w:t>kolaboratívnym</w:t>
      </w:r>
      <w:proofErr w:type="spellEnd"/>
      <w:r w:rsidRPr="004605A6">
        <w:t xml:space="preserve"> a flexibilným koncepciám, a to vo svojom ústredí, ako aj v delegáciách; konštatuje, že ESVČ začala s obnovou komplexu budov </w:t>
      </w:r>
      <w:proofErr w:type="spellStart"/>
      <w:r w:rsidRPr="004605A6">
        <w:t>Schuman</w:t>
      </w:r>
      <w:proofErr w:type="spellEnd"/>
      <w:r w:rsidRPr="004605A6">
        <w:t xml:space="preserve">, počnúc 6. a 7. poschodím, s cieľom dosiahnuť efektívnejšie využívanie kancelárskych priestorov; ďalej konštatuje, že centrum reakcie na krízy ESVČ v budove </w:t>
      </w:r>
      <w:proofErr w:type="spellStart"/>
      <w:r w:rsidRPr="004605A6">
        <w:t>Schuman</w:t>
      </w:r>
      <w:proofErr w:type="spellEnd"/>
      <w:r w:rsidRPr="004605A6">
        <w:t xml:space="preserve"> bolo dokončené v roku 2023; konštatuje, že v rámci delegácií sa koncepcia </w:t>
      </w:r>
      <w:proofErr w:type="spellStart"/>
      <w:r w:rsidRPr="004605A6">
        <w:t>kolaboratívnych</w:t>
      </w:r>
      <w:proofErr w:type="spellEnd"/>
      <w:r w:rsidRPr="004605A6">
        <w:t xml:space="preserve"> </w:t>
      </w:r>
      <w:r w:rsidRPr="004605A6">
        <w:lastRenderedPageBreak/>
        <w:t>priestorov zaviedla v nových priestoroch šiestich delegácií;</w:t>
      </w:r>
    </w:p>
    <w:p w14:paraId="18B75C36" w14:textId="77777777" w:rsidR="004605A6" w:rsidRPr="004605A6" w:rsidRDefault="004605A6" w:rsidP="004605A6">
      <w:pPr>
        <w:spacing w:after="240"/>
        <w:ind w:left="567" w:hanging="567"/>
      </w:pPr>
      <w:r w:rsidRPr="004605A6">
        <w:t>72.</w:t>
      </w:r>
      <w:r w:rsidRPr="004605A6">
        <w:tab/>
        <w:t xml:space="preserve">víta, že ESVČ sa snaží zabezpečiť, aby jej budovy boli prístupné osobám so zdravotným postihnutím a zníženou pohyblivosťou; konštatuje, že budova </w:t>
      </w:r>
      <w:proofErr w:type="spellStart"/>
      <w:r w:rsidRPr="004605A6">
        <w:t>Belmont</w:t>
      </w:r>
      <w:proofErr w:type="spellEnd"/>
      <w:r w:rsidRPr="004605A6">
        <w:t xml:space="preserve"> v Bruseli už spĺňa právne požiadavky na bezbariérové budovy a že renovácia komplexu budov NEO zodpovedá aj potrebám používateľov so zdravotným postihnutím a zníženou pohyblivosťou; víta, že vo výberových konaniach ESVČ sa za podstatné výberové kritérium pri nových kancelárskych budovách delegácií považuje bezbariérovosť;</w:t>
      </w:r>
    </w:p>
    <w:p w14:paraId="4D59554A" w14:textId="77777777" w:rsidR="004605A6" w:rsidRPr="004605A6" w:rsidRDefault="004605A6" w:rsidP="004605A6">
      <w:pPr>
        <w:spacing w:after="240"/>
        <w:ind w:left="567" w:hanging="567"/>
        <w:rPr>
          <w:b/>
          <w:i/>
          <w:iCs/>
        </w:rPr>
      </w:pPr>
      <w:r w:rsidRPr="004605A6">
        <w:rPr>
          <w:b/>
          <w:i/>
          <w:iCs/>
        </w:rPr>
        <w:t>Životné prostredie a udržateľnosť</w:t>
      </w:r>
    </w:p>
    <w:p w14:paraId="7729D145" w14:textId="77777777" w:rsidR="004605A6" w:rsidRPr="004605A6" w:rsidRDefault="004605A6" w:rsidP="004605A6">
      <w:pPr>
        <w:spacing w:after="240"/>
        <w:ind w:left="567" w:hanging="567"/>
      </w:pPr>
      <w:r w:rsidRPr="004605A6">
        <w:t>73.</w:t>
      </w:r>
      <w:r w:rsidRPr="004605A6">
        <w:tab/>
        <w:t>víta, že ESVČ v roku 2023 pokračovala vo vykonávaní schémy pre environmentálne manažérstvo a audit (EMAS/EMS), najmä zriadením riadiaceho výboru pre životné prostredie a prijatím environmentálnej politiky a príslušnej komunikačnej stratégie, v ktorej sa zdôrazňuje záväzok ESVČ týkajúci sa environmentálnej udržateľnosti v oblasti správy nehnuteľností; konštatuje, že riadiaci výbor EMAS pracoval v roku 2023 na nových cieľoch zameraných na zníženie uhlíkovej stopy ESVČ do roku 2030; konštatuje, že schválené opatrenia zahŕňajú zníženie využívania zemného plynu o 35 %, zníženie využívania papiera, vody a produkcie odpadu o polovicu, zvýšenie podielu letov na krátke až stredné vzdialenosti na služobné cesty v ekonomickej triede a lepšie využívanie zeleného verejného obstarávania;</w:t>
      </w:r>
    </w:p>
    <w:p w14:paraId="1A4E38A8" w14:textId="77777777" w:rsidR="004605A6" w:rsidRPr="004605A6" w:rsidRDefault="004605A6" w:rsidP="004605A6">
      <w:pPr>
        <w:spacing w:after="240"/>
        <w:ind w:left="567" w:hanging="567"/>
      </w:pPr>
      <w:r w:rsidRPr="004605A6">
        <w:t>74.</w:t>
      </w:r>
      <w:r w:rsidRPr="004605A6">
        <w:tab/>
        <w:t>víta, že ESVČ začala do nových dohôd o spoločnom využívaní priestorov zavádzať doložky o udržateľnosti vrátane povinných opatrení a dobrovoľných postupov; konštatuje, že pokiaľ ide o už platné dohody o spoločnom využívaní priestorov, namiesto výslovných doložiek o environmentálnej udržateľnosti sa v nich ako všeobecná zásada uvádza, že všetci partneri využívajúci spoločné priestory dodržiavajú postupy a praktiky platné v mieste, kde sa nachádzajú kancelárske priestory Únie;</w:t>
      </w:r>
    </w:p>
    <w:p w14:paraId="45E050C9" w14:textId="77777777" w:rsidR="004605A6" w:rsidRPr="004605A6" w:rsidRDefault="004605A6" w:rsidP="004605A6">
      <w:pPr>
        <w:spacing w:after="240"/>
        <w:ind w:left="567" w:hanging="567"/>
      </w:pPr>
      <w:r w:rsidRPr="004605A6">
        <w:t>75.</w:t>
      </w:r>
      <w:r w:rsidRPr="004605A6">
        <w:tab/>
        <w:t>konštatuje, že ESVČ pokračovala v roku 2023 vo vykonávaní politiky na podporu ekologickejšieho dochádzania do zamestnania a udržateľnejšej dopravy zamestnancov, vďaka čomu boli v roku 2024 prijaté dôležité opatrenia, ako je zvýšenie preplácania cien dlhodobých lístkov na verejnú dopravu na 90 % v prípade zamestnancov, ktorí sa vzdajú parkovacieho miesta, a cieľ, aby aspoň 60 % kilometrov precestovaných lietadlom počas služobných ciest bolo v ekonomickej triede;</w:t>
      </w:r>
    </w:p>
    <w:p w14:paraId="4987FAFF" w14:textId="77777777" w:rsidR="004605A6" w:rsidRPr="004605A6" w:rsidRDefault="004605A6" w:rsidP="004605A6">
      <w:pPr>
        <w:spacing w:after="240"/>
        <w:ind w:left="567" w:hanging="567"/>
      </w:pPr>
      <w:r w:rsidRPr="004605A6">
        <w:t>76.</w:t>
      </w:r>
      <w:r w:rsidRPr="004605A6">
        <w:tab/>
        <w:t>zdôrazňuje význam silnej politickej angažovanosti, dvojstranného pákového efektu a verejnej a kultúrnej diplomacie na podporu hodnôt Únie a v boji proti dezinformáciám; zdôrazňuje potrebu silnej a odolnej vonkajšej služby s jasným politickým vedením s cieľom riešiť súčasné výzvy a zabezpečiť súdržnosť zahraničnej politiky Únie; naliehavo žiada delegácie Únie, aby posilnili podporu skutočne demokratických aktérov a občianskej spoločnosti na západnom Balkáne a zároveň dôrazne a verejne odsúdili kroky neliberálnych a nedemokratických aktérov, ktoré ohrozujú záujmy Únie, a zabezpečili, aby sa financovanie z nástroja IPA III implementovalo v súlade s cieľmi Únie; vyzýva delegácie Únie v regióne, aby uplatňovali dôveryhodnejší prístup založený na zásluhách vychádzajúc z kodanských kritérií, najmä pokiaľ ide o právny štát, demokraciu a ochranu ľudských práv, predovšetkým vzhľadom na obmedzený pokrok, ktorý dosiahli niektoré krajiny západného Balkánu;</w:t>
      </w:r>
    </w:p>
    <w:p w14:paraId="00B4E986" w14:textId="77777777" w:rsidR="004605A6" w:rsidRPr="004605A6" w:rsidRDefault="004605A6" w:rsidP="004605A6">
      <w:pPr>
        <w:spacing w:after="240"/>
        <w:ind w:left="567" w:hanging="567"/>
      </w:pPr>
      <w:r w:rsidRPr="004605A6">
        <w:lastRenderedPageBreak/>
        <w:t>77.</w:t>
      </w:r>
      <w:r w:rsidRPr="004605A6">
        <w:tab/>
        <w:t>víta vynikajúcu spoluprácu ESVČ s orgánmi, ako sú OLAF, Európska prokuratúra, Súdny dvor a EDPS, ktorej dôkazom sú pravidelné stretnutia a výmena informácií; berie na vedomie uzavretie osobitných pracovných dohôd v júni 2024; vyzýva napriek tomu ESVČ, aby inštitucionalizovala štruktúrovanú spoluprácu s týmito orgánmi a zabezpečila mechanizmy systematického odhaľovania podvodov pri financovaní vonkajšej činnosti Únie, najmä vo vysokorizikových konfliktných zónach a nestabilných štátoch;</w:t>
      </w:r>
    </w:p>
    <w:p w14:paraId="376F67D6" w14:textId="77777777" w:rsidR="004605A6" w:rsidRPr="004605A6" w:rsidRDefault="004605A6" w:rsidP="004605A6">
      <w:pPr>
        <w:spacing w:after="240"/>
        <w:ind w:left="567" w:hanging="567"/>
        <w:rPr>
          <w:b/>
          <w:i/>
        </w:rPr>
      </w:pPr>
      <w:proofErr w:type="spellStart"/>
      <w:r w:rsidRPr="004605A6">
        <w:rPr>
          <w:b/>
          <w:i/>
        </w:rPr>
        <w:t>Medziinštitucionálna</w:t>
      </w:r>
      <w:proofErr w:type="spellEnd"/>
      <w:r w:rsidRPr="004605A6">
        <w:rPr>
          <w:b/>
          <w:i/>
        </w:rPr>
        <w:t xml:space="preserve"> spolupráca</w:t>
      </w:r>
    </w:p>
    <w:p w14:paraId="47EF5263" w14:textId="77777777" w:rsidR="004605A6" w:rsidRPr="004605A6" w:rsidRDefault="004605A6" w:rsidP="004605A6">
      <w:pPr>
        <w:spacing w:after="240"/>
        <w:ind w:left="567" w:hanging="567"/>
      </w:pPr>
      <w:r w:rsidRPr="004605A6">
        <w:t>78.</w:t>
      </w:r>
      <w:r w:rsidRPr="004605A6">
        <w:tab/>
        <w:t>konštatuje, že v roku 2023 Európsky parlament, Rada a ESVČ pokračovali v technických rokovaniach o nahradení inštitucionálnej dohody medzi Európskym parlamentom a Radou v oblasti spoločnej zahraničnej a bezpečnostnej politiky z roku 2002; vyjadruje poľutovanie nad tým, že v roku 2023 sa uskutočnilo jediné technické stretnutie, po ktorom Rada nedokázala dosiahnuť dohodu o predložených kompromisných riešeniach;</w:t>
      </w:r>
    </w:p>
    <w:p w14:paraId="43387682" w14:textId="77777777" w:rsidR="004605A6" w:rsidRPr="004605A6" w:rsidRDefault="004605A6" w:rsidP="004605A6">
      <w:pPr>
        <w:spacing w:after="240"/>
        <w:ind w:left="567" w:hanging="567"/>
      </w:pPr>
      <w:r w:rsidRPr="004605A6">
        <w:t>79.</w:t>
      </w:r>
      <w:r w:rsidRPr="004605A6">
        <w:tab/>
        <w:t>konštatuje, že v roku 2023 začala ESVČ rokovať o pracovnej dohode s Európskou prokuratúrou, ktorá bola podpísaná v roku 2024; konštatuje, že v pracovnej dohode sa zohľadňuje osobitný kontext, v ktorom ESVČ pôsobí, pričom sa kladie dôraz na ochranu informácií, ich dôvernosť a ochranu imunity zamestnancov;</w:t>
      </w:r>
    </w:p>
    <w:p w14:paraId="68272B32" w14:textId="77777777" w:rsidR="004605A6" w:rsidRPr="004605A6" w:rsidRDefault="004605A6" w:rsidP="004605A6">
      <w:pPr>
        <w:spacing w:after="240"/>
        <w:ind w:left="567" w:hanging="567"/>
        <w:rPr>
          <w:b/>
          <w:bCs/>
          <w:i/>
          <w:iCs/>
        </w:rPr>
      </w:pPr>
      <w:r w:rsidRPr="004605A6">
        <w:t>80.</w:t>
      </w:r>
      <w:r w:rsidRPr="004605A6">
        <w:tab/>
        <w:t>konštatuje, že ESVČ vo svojom rozpočte na rok 2023 vyčlenila 990,5 milióna EUR na pilotný projekt otvorenia Európskej diplomatickej akadémie, kde by sa malo v oblasti zahraničnej a bezpečnostnej politiky EÚ vyškoliť 50 začínajúcich diplomatov z členských štátov a inštitúcií Únie, aby sa vybudoval skutočný európsky diplomatický zbor, ktorý by presadzoval zahraničnú politiku a vonkajšie záujmy Únie; podporuje túto iniciatívu ako krok k vytvoreniu uceleného a dobre vyškoleného európskeho diplomatického zboru, ktorý môže účinne zastupovať a brániť hodnoty a záujmy Únie na svetovej scéne; zdôrazňuje, že je potrebné zlepšiť viditeľnosť Európskej diplomatickej akadémie vo všetkých členských štátoch a posilniť jej úlohu a kapacity;</w:t>
      </w:r>
    </w:p>
    <w:p w14:paraId="41B1126D" w14:textId="77777777" w:rsidR="004605A6" w:rsidRPr="004605A6" w:rsidRDefault="004605A6" w:rsidP="004605A6">
      <w:pPr>
        <w:spacing w:after="240"/>
        <w:ind w:left="567" w:hanging="567"/>
      </w:pPr>
      <w:r w:rsidRPr="004605A6">
        <w:t>81.</w:t>
      </w:r>
      <w:r w:rsidRPr="004605A6">
        <w:tab/>
        <w:t>víta, že ESVČ zintenzívnila spoluprácu s európskou ombudsmankou v roku 2023 s cieľom zlepšiť informovanosť svojich zamestnancov o zásadách dobrej správy vecí verejných; konštatuje, že súčasťou novej úrovne spolupráce je pozvánka pre pracovníkov úradu európskeho ombudsmana, aby predstavili svoju prácu na seminároch ESVČ pred vyslaním pracovníkov na misiu a na výročných seminároch pre zamestnancov ESVČ;</w:t>
      </w:r>
    </w:p>
    <w:p w14:paraId="411CC3B4" w14:textId="77777777" w:rsidR="004605A6" w:rsidRPr="004605A6" w:rsidRDefault="004605A6" w:rsidP="004605A6">
      <w:pPr>
        <w:spacing w:after="240"/>
        <w:ind w:left="567" w:hanging="567"/>
        <w:rPr>
          <w:b/>
          <w:i/>
        </w:rPr>
      </w:pPr>
      <w:r w:rsidRPr="004605A6">
        <w:rPr>
          <w:b/>
          <w:i/>
        </w:rPr>
        <w:t>Komunikačná činnosť</w:t>
      </w:r>
    </w:p>
    <w:p w14:paraId="078C9DA5" w14:textId="77777777" w:rsidR="004605A6" w:rsidRPr="004605A6" w:rsidRDefault="004605A6" w:rsidP="004605A6">
      <w:pPr>
        <w:spacing w:after="240"/>
        <w:ind w:left="567" w:hanging="567"/>
        <w:rPr>
          <w:color w:val="000000"/>
          <w:szCs w:val="23"/>
        </w:rPr>
      </w:pPr>
      <w:r w:rsidRPr="004605A6">
        <w:t>82.</w:t>
      </w:r>
      <w:r w:rsidRPr="004605A6">
        <w:tab/>
        <w:t>konštatuje, že ESVČ má pridelené rozpočtové prostriedky vo výške 22,2 milióna EUR, ktoré sú rozdelené do rôznych rozpočtových riadkov týkajúcich sa publikácií, podujatí, strategickej komunikácie, osvetových činností a tlače; víta, že prioritou pre ESVČ zostáva presadzovanie demokracie a právneho štátu, a to aj posilňovaním politík a nástrojov na boj proti zahraničnej manipulácii s informáciami a zahraničnému zasahovaniu</w:t>
      </w:r>
      <w:r w:rsidRPr="004605A6">
        <w:rPr>
          <w:color w:val="000000"/>
        </w:rPr>
        <w:t>;</w:t>
      </w:r>
    </w:p>
    <w:p w14:paraId="388880D5" w14:textId="77777777" w:rsidR="004605A6" w:rsidRPr="004605A6" w:rsidRDefault="004605A6" w:rsidP="004605A6">
      <w:pPr>
        <w:spacing w:after="240"/>
        <w:ind w:left="567" w:hanging="567"/>
      </w:pPr>
      <w:r w:rsidRPr="004605A6">
        <w:t>83.</w:t>
      </w:r>
      <w:r w:rsidRPr="004605A6">
        <w:tab/>
        <w:t xml:space="preserve">poukazuje na to, že na celom svete dochádza k čoraz rozsiahlejšiemu porušovaniu slobody náboženstva; vyzýva ESVČ, aby v tejto súvislosti primerane pripravila svojich zamestnancov v krajinách, v ktorých neexistuje sloboda náboženstva alebo kde je táto </w:t>
      </w:r>
      <w:r w:rsidRPr="004605A6">
        <w:lastRenderedPageBreak/>
        <w:t>sloboda pod tlakom (vrátane kurzov odbornej prípravy); ďalej ju vyzýva, aby na túto tému začala diskusiu s príslušnými orgánmi na všetkých úrovniach v krajinách, v ktorých sa sloboda náboženstva porušuje, a aby túto tému zahrnula medzi hlavné priority vonkajšej činnosti;</w:t>
      </w:r>
    </w:p>
    <w:p w14:paraId="67C34691" w14:textId="77777777" w:rsidR="004605A6" w:rsidRPr="004605A6" w:rsidRDefault="004605A6" w:rsidP="004605A6">
      <w:pPr>
        <w:spacing w:after="240"/>
        <w:ind w:left="567" w:hanging="567"/>
        <w:rPr>
          <w:b/>
          <w:i/>
        </w:rPr>
      </w:pPr>
      <w:r w:rsidRPr="004605A6">
        <w:t>84.</w:t>
      </w:r>
      <w:r w:rsidRPr="004605A6">
        <w:tab/>
        <w:t xml:space="preserve">konštatuje, že ESVČ v rámci svojich komunikačných činností oslovuje širokú verejnosť na verejných podujatiach a dňoch otvorených dverí a prijíma skupiny návštevníkov; konštatuje, že v roku 2023 začala ESVČ niekoľko tematických komunikačných kampaní na rôznych kanáloch týkajúcich sa podpory Ukrajiny, dôsledkov útočnej vojny Ruska proti Ukrajine a dodržiavania hodnôt Únie; víta, že Ukrajina je pre ESVČ aj naďalej najvyššou prioritou; konštatuje, že v roku 2023 ESVČ upevnila svoju prítomnosť na sociálnych médiách a zvýšila počet svojich </w:t>
      </w:r>
      <w:proofErr w:type="spellStart"/>
      <w:r w:rsidRPr="004605A6">
        <w:t>sledovateľov</w:t>
      </w:r>
      <w:proofErr w:type="spellEnd"/>
      <w:r w:rsidRPr="004605A6">
        <w:t xml:space="preserve"> o 41,5 % na LinkedIn, o 13,8 % na Instagrame, o 5,4 % na Twitteri a o 4,7 % na Facebooku; naliehavo žiada ESVČ, aby lepšie informovala občanov v tretích krajinách o politikách Únie a posilnila koordinačné úsilie zamerané na zvýšenie viditeľnosti projektov financovaných Úniou, najmä v kandidátskych krajinách, s cieľom bojovať proti pokusom aktérov s nekalými úmyslami o oslabenie úsilia EÚ;</w:t>
      </w:r>
    </w:p>
    <w:p w14:paraId="497704B0" w14:textId="77777777" w:rsidR="004605A6" w:rsidRPr="004605A6" w:rsidRDefault="004605A6" w:rsidP="004605A6">
      <w:pPr>
        <w:spacing w:after="240"/>
        <w:ind w:left="567" w:hanging="567"/>
      </w:pPr>
      <w:r w:rsidRPr="004605A6">
        <w:t>85.</w:t>
      </w:r>
      <w:r w:rsidRPr="004605A6">
        <w:tab/>
        <w:t>víta zapojenie ESVČ, predovšetkým prostredníctvom siete delegácií, do inštitucionálnej komunikačnej kampane Európskeho parlamentu pred voľbami do Európskeho parlamentu v roku 2024, najmä do informačnej kampane o možných spôsoboch hlasovania v európskych voľbách zameranej na 25 až 30 miliónov európskych občanov žijúcich v tretích krajinách; konštatuje, že táto kampaň oslovila prostredníctvom 26 video kampaní a viac ako 2 000 príspevkov na sociálnych médiách 11 miliónov adresátov;</w:t>
      </w:r>
    </w:p>
    <w:p w14:paraId="75FBAFDF" w14:textId="77777777" w:rsidR="004605A6" w:rsidRPr="004605A6" w:rsidRDefault="004605A6" w:rsidP="004605A6">
      <w:pPr>
        <w:spacing w:after="240"/>
        <w:ind w:left="567" w:hanging="567"/>
      </w:pPr>
      <w:r w:rsidRPr="004605A6">
        <w:t>86.</w:t>
      </w:r>
      <w:r w:rsidRPr="004605A6">
        <w:tab/>
        <w:t xml:space="preserve">vyzdvihuje príspevok ESVČ k celkovému úsiliu Únie o preukázanie neochvejnej podpory Ukrajine iniciatívami, ako je kampaň #StandWithUkraine, a cielenými komunikačnými projektmi, ako sú napríklad </w:t>
      </w:r>
      <w:proofErr w:type="spellStart"/>
      <w:r w:rsidRPr="004605A6">
        <w:t>Faces</w:t>
      </w:r>
      <w:proofErr w:type="spellEnd"/>
      <w:r w:rsidRPr="004605A6">
        <w:t xml:space="preserve"> of </w:t>
      </w:r>
      <w:proofErr w:type="spellStart"/>
      <w:r w:rsidRPr="004605A6">
        <w:t>Ukraine</w:t>
      </w:r>
      <w:proofErr w:type="spellEnd"/>
      <w:r w:rsidRPr="004605A6">
        <w:t xml:space="preserve">, Art </w:t>
      </w:r>
      <w:proofErr w:type="spellStart"/>
      <w:r w:rsidRPr="004605A6">
        <w:t>vs</w:t>
      </w:r>
      <w:proofErr w:type="spellEnd"/>
      <w:r w:rsidRPr="004605A6">
        <w:t xml:space="preserve"> </w:t>
      </w:r>
      <w:proofErr w:type="spellStart"/>
      <w:r w:rsidRPr="004605A6">
        <w:t>War</w:t>
      </w:r>
      <w:proofErr w:type="spellEnd"/>
      <w:r w:rsidRPr="004605A6">
        <w:t xml:space="preserve"> a </w:t>
      </w:r>
      <w:proofErr w:type="spellStart"/>
      <w:r w:rsidRPr="004605A6">
        <w:t>Share</w:t>
      </w:r>
      <w:proofErr w:type="spellEnd"/>
      <w:r w:rsidRPr="004605A6">
        <w:t xml:space="preserve"> </w:t>
      </w:r>
      <w:proofErr w:type="spellStart"/>
      <w:r w:rsidRPr="004605A6">
        <w:t>Your</w:t>
      </w:r>
      <w:proofErr w:type="spellEnd"/>
      <w:r w:rsidRPr="004605A6">
        <w:t xml:space="preserve"> </w:t>
      </w:r>
      <w:proofErr w:type="spellStart"/>
      <w:r w:rsidRPr="004605A6">
        <w:t>Light</w:t>
      </w:r>
      <w:proofErr w:type="spellEnd"/>
      <w:r w:rsidRPr="004605A6">
        <w:t>;</w:t>
      </w:r>
    </w:p>
    <w:p w14:paraId="5396F958" w14:textId="77777777" w:rsidR="004605A6" w:rsidRPr="004605A6" w:rsidRDefault="004605A6" w:rsidP="004605A6">
      <w:pPr>
        <w:spacing w:after="240"/>
        <w:ind w:left="567" w:hanging="567"/>
      </w:pPr>
      <w:r w:rsidRPr="004605A6">
        <w:t>87.</w:t>
      </w:r>
      <w:r w:rsidRPr="004605A6">
        <w:tab/>
        <w:t>naďalej nabáda delegácie Únie, aby podporovali miestnych aktérov, organizácie občianskej spoločnosti a sociálnych partnerov v tretích krajinách a spolupracovali s nimi s cieľom podnecovať sociálny dialóg a dialóg o právnom štáte, základných právach a boji proti korupcii; konštatuje, že v roku 2023 bolo v rámci tematického programu pre organizácie občianskej spoločnosti, na základe ktorého sa uzatvárajú partnerstvá Únie so zodpovednými a transparentnými organizáciami, vyčlenených 50 miliónov EUR na systém Únie pre priaznivé prostredie pre občiansku spoločnosť, ktorý monitoruje a podporuje občiansky priestor v 86 partnerských krajinách.</w:t>
      </w:r>
    </w:p>
    <w:sectPr w:rsidR="004605A6" w:rsidRPr="004605A6" w:rsidSect="004605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84DD2" w14:textId="77777777" w:rsidR="00D51FC1" w:rsidRDefault="004605A6">
      <w:r>
        <w:separator/>
      </w:r>
    </w:p>
  </w:endnote>
  <w:endnote w:type="continuationSeparator" w:id="0">
    <w:p w14:paraId="0F8B3A88" w14:textId="77777777" w:rsidR="00D51FC1" w:rsidRDefault="00460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1BF2" w14:textId="77777777" w:rsidR="00D51FC1" w:rsidRDefault="00D51F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389B" w14:textId="77777777" w:rsidR="00D51FC1" w:rsidRDefault="00D51F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4989A" w14:textId="77777777" w:rsidR="00D51FC1" w:rsidRDefault="00D51F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C8A44" w14:textId="77777777" w:rsidR="00D51FC1" w:rsidRDefault="004605A6">
      <w:r>
        <w:separator/>
      </w:r>
    </w:p>
  </w:footnote>
  <w:footnote w:type="continuationSeparator" w:id="0">
    <w:p w14:paraId="47E13972" w14:textId="77777777" w:rsidR="00D51FC1" w:rsidRDefault="004605A6">
      <w:r>
        <w:continuationSeparator/>
      </w:r>
    </w:p>
  </w:footnote>
  <w:footnote w:id="1">
    <w:p w14:paraId="0103EC06" w14:textId="77777777" w:rsidR="004605A6" w:rsidRPr="004605A6" w:rsidRDefault="004605A6" w:rsidP="004605A6">
      <w:pPr>
        <w:pStyle w:val="FootnoteText"/>
        <w:ind w:left="567" w:hanging="567"/>
        <w:rPr>
          <w:sz w:val="24"/>
          <w:szCs w:val="24"/>
          <w:lang w:val="sk-SK"/>
        </w:rPr>
      </w:pPr>
      <w:r w:rsidRPr="004605A6">
        <w:rPr>
          <w:rStyle w:val="FootnoteReference"/>
          <w:sz w:val="24"/>
          <w:szCs w:val="24"/>
          <w:lang w:val="sk-SK"/>
        </w:rPr>
        <w:footnoteRef/>
      </w:r>
      <w:r w:rsidRPr="004605A6">
        <w:rPr>
          <w:sz w:val="24"/>
          <w:szCs w:val="24"/>
          <w:lang w:val="sk-SK"/>
        </w:rPr>
        <w:t xml:space="preserve"> </w:t>
      </w:r>
      <w:r w:rsidRPr="004605A6">
        <w:rPr>
          <w:sz w:val="24"/>
          <w:szCs w:val="24"/>
          <w:lang w:val="sk-SK"/>
        </w:rPr>
        <w:tab/>
        <w:t xml:space="preserve">Ú. v. EÚ L 58, 23.2.2023, s. 1, ELI: </w:t>
      </w:r>
      <w:hyperlink r:id="rId1" w:tooltip="Umožňuje prístup k tomuto dokumentu prostredníctvom identifikátora URI používaného v rámci ELI." w:history="1">
        <w:r w:rsidRPr="004605A6">
          <w:rPr>
            <w:rStyle w:val="Hyperlink"/>
            <w:color w:val="0563C1"/>
            <w:sz w:val="24"/>
            <w:szCs w:val="24"/>
            <w:shd w:val="clear" w:color="auto" w:fill="FFFFFF"/>
            <w:lang w:val="fi-FI"/>
          </w:rPr>
          <w:t>http://data.europa.eu/eli/budget/2023/1/oj</w:t>
        </w:r>
      </w:hyperlink>
      <w:r w:rsidRPr="004605A6">
        <w:rPr>
          <w:sz w:val="24"/>
          <w:szCs w:val="24"/>
          <w:shd w:val="clear" w:color="auto" w:fill="FFFFFF"/>
          <w:lang w:val="sk-SK"/>
        </w:rPr>
        <w:t>.</w:t>
      </w:r>
    </w:p>
  </w:footnote>
  <w:footnote w:id="2">
    <w:p w14:paraId="0E8263BF" w14:textId="77777777" w:rsidR="004605A6" w:rsidRPr="004605A6" w:rsidRDefault="004605A6" w:rsidP="004605A6">
      <w:pPr>
        <w:pStyle w:val="FootnoteText"/>
        <w:ind w:left="567" w:hanging="567"/>
        <w:rPr>
          <w:sz w:val="24"/>
          <w:szCs w:val="24"/>
          <w:lang w:val="sk-SK"/>
        </w:rPr>
      </w:pPr>
      <w:r w:rsidRPr="004605A6">
        <w:rPr>
          <w:rStyle w:val="FootnoteReference"/>
          <w:sz w:val="24"/>
          <w:szCs w:val="24"/>
          <w:lang w:val="sk-SK"/>
        </w:rPr>
        <w:footnoteRef/>
      </w:r>
      <w:r w:rsidRPr="004605A6">
        <w:rPr>
          <w:sz w:val="24"/>
          <w:szCs w:val="24"/>
          <w:lang w:val="sk-SK"/>
        </w:rPr>
        <w:t xml:space="preserve"> </w:t>
      </w:r>
      <w:r w:rsidRPr="004605A6">
        <w:rPr>
          <w:sz w:val="24"/>
          <w:szCs w:val="24"/>
          <w:lang w:val="sk-SK"/>
        </w:rPr>
        <w:tab/>
      </w:r>
      <w:r w:rsidRPr="004605A6">
        <w:rPr>
          <w:sz w:val="24"/>
          <w:szCs w:val="24"/>
          <w:lang w:val="sk-SK"/>
        </w:rPr>
        <w:t xml:space="preserve">Ú. v. EÚ C, C/2024/5462, 10.10.2024, ELI: </w:t>
      </w:r>
      <w:hyperlink r:id="rId2" w:history="1">
        <w:r w:rsidRPr="004605A6">
          <w:rPr>
            <w:rStyle w:val="Hyperlink"/>
            <w:sz w:val="24"/>
            <w:szCs w:val="24"/>
            <w:lang w:val="fi-FI"/>
          </w:rPr>
          <w:t>http://data.europa.eu/eli/C/2024/5462/oj</w:t>
        </w:r>
      </w:hyperlink>
      <w:r w:rsidRPr="004605A6">
        <w:rPr>
          <w:sz w:val="24"/>
          <w:szCs w:val="24"/>
          <w:shd w:val="clear" w:color="auto" w:fill="FFFFFF"/>
          <w:lang w:val="sk-SK"/>
        </w:rPr>
        <w:t>.</w:t>
      </w:r>
    </w:p>
  </w:footnote>
  <w:footnote w:id="3">
    <w:p w14:paraId="3B394764" w14:textId="77777777" w:rsidR="004605A6" w:rsidRPr="004605A6" w:rsidRDefault="004605A6" w:rsidP="004605A6">
      <w:pPr>
        <w:pStyle w:val="FootnoteText"/>
        <w:ind w:left="567" w:hanging="567"/>
        <w:rPr>
          <w:sz w:val="24"/>
          <w:szCs w:val="24"/>
          <w:lang w:val="sk-SK"/>
        </w:rPr>
      </w:pPr>
      <w:r w:rsidRPr="004605A6">
        <w:rPr>
          <w:rStyle w:val="FootnoteReference"/>
          <w:sz w:val="24"/>
          <w:szCs w:val="24"/>
          <w:lang w:val="sk-SK"/>
        </w:rPr>
        <w:footnoteRef/>
      </w:r>
      <w:r w:rsidRPr="004605A6">
        <w:rPr>
          <w:sz w:val="24"/>
          <w:szCs w:val="24"/>
          <w:lang w:val="sk-SK"/>
        </w:rPr>
        <w:t xml:space="preserve"> </w:t>
      </w:r>
      <w:r w:rsidRPr="004605A6">
        <w:rPr>
          <w:sz w:val="24"/>
          <w:szCs w:val="24"/>
          <w:lang w:val="sk-SK"/>
        </w:rPr>
        <w:tab/>
      </w:r>
      <w:r w:rsidRPr="004605A6">
        <w:rPr>
          <w:sz w:val="24"/>
          <w:szCs w:val="24"/>
          <w:lang w:val="sk-SK"/>
        </w:rPr>
        <w:t xml:space="preserve">Ú. v. EÚ C, C/2024/5882, 9.10.2024, ELI: </w:t>
      </w:r>
      <w:hyperlink r:id="rId3" w:history="1">
        <w:r w:rsidRPr="004605A6">
          <w:rPr>
            <w:rStyle w:val="Hyperlink"/>
            <w:sz w:val="24"/>
            <w:szCs w:val="24"/>
            <w:lang w:val="fi-FI"/>
          </w:rPr>
          <w:t>http://data.europa.eu/eli/C/2024/5882/oj</w:t>
        </w:r>
      </w:hyperlink>
      <w:r w:rsidRPr="004605A6">
        <w:rPr>
          <w:sz w:val="24"/>
          <w:szCs w:val="24"/>
          <w:shd w:val="clear" w:color="auto" w:fill="FFFFFF"/>
          <w:lang w:val="sk-SK"/>
        </w:rPr>
        <w:t>.</w:t>
      </w:r>
    </w:p>
  </w:footnote>
  <w:footnote w:id="4">
    <w:p w14:paraId="1F74A4BB" w14:textId="77777777" w:rsidR="004605A6" w:rsidRPr="004605A6" w:rsidRDefault="004605A6" w:rsidP="004605A6">
      <w:pPr>
        <w:pStyle w:val="FootnoteText"/>
        <w:ind w:left="567" w:hanging="567"/>
        <w:rPr>
          <w:sz w:val="24"/>
          <w:szCs w:val="24"/>
          <w:lang w:val="sk-SK"/>
        </w:rPr>
      </w:pPr>
      <w:r w:rsidRPr="004605A6">
        <w:rPr>
          <w:rStyle w:val="FootnoteReference"/>
          <w:sz w:val="24"/>
          <w:szCs w:val="24"/>
          <w:lang w:val="sk-SK"/>
        </w:rPr>
        <w:footnoteRef/>
      </w:r>
      <w:r w:rsidRPr="004605A6">
        <w:rPr>
          <w:sz w:val="24"/>
          <w:szCs w:val="24"/>
          <w:lang w:val="sk-SK"/>
        </w:rPr>
        <w:t xml:space="preserve"> </w:t>
      </w:r>
      <w:r w:rsidRPr="004605A6">
        <w:rPr>
          <w:sz w:val="24"/>
          <w:szCs w:val="24"/>
          <w:lang w:val="sk-SK"/>
        </w:rPr>
        <w:tab/>
      </w:r>
      <w:r w:rsidRPr="004605A6">
        <w:rPr>
          <w:sz w:val="24"/>
          <w:szCs w:val="24"/>
          <w:lang w:val="sk-SK"/>
        </w:rPr>
        <w:t xml:space="preserve">Ú. v. EÚ C, C/2024/6041, 10.10.2024, ELI: </w:t>
      </w:r>
      <w:hyperlink r:id="rId4" w:history="1">
        <w:r w:rsidRPr="004605A6">
          <w:rPr>
            <w:rStyle w:val="Hyperlink"/>
            <w:sz w:val="24"/>
            <w:szCs w:val="24"/>
            <w:lang w:val="fi-FI"/>
          </w:rPr>
          <w:t>http://data.europa.eu/eli/C/2024/6041/oj</w:t>
        </w:r>
      </w:hyperlink>
      <w:r w:rsidRPr="004605A6">
        <w:rPr>
          <w:sz w:val="24"/>
          <w:szCs w:val="24"/>
          <w:shd w:val="clear" w:color="auto" w:fill="FFFFFF"/>
          <w:lang w:val="sk-SK"/>
        </w:rPr>
        <w:t>.</w:t>
      </w:r>
    </w:p>
  </w:footnote>
  <w:footnote w:id="5">
    <w:p w14:paraId="58E04A30" w14:textId="77777777" w:rsidR="004605A6" w:rsidRPr="004605A6" w:rsidRDefault="004605A6" w:rsidP="004605A6">
      <w:pPr>
        <w:pStyle w:val="FootnoteText"/>
        <w:ind w:left="567" w:hanging="567"/>
        <w:rPr>
          <w:sz w:val="24"/>
          <w:szCs w:val="24"/>
          <w:lang w:val="sk-SK"/>
        </w:rPr>
      </w:pPr>
      <w:r w:rsidRPr="004605A6">
        <w:rPr>
          <w:rStyle w:val="FootnoteReference"/>
          <w:sz w:val="24"/>
          <w:szCs w:val="24"/>
          <w:lang w:val="sk-SK"/>
        </w:rPr>
        <w:footnoteRef/>
      </w:r>
      <w:r w:rsidRPr="004605A6">
        <w:rPr>
          <w:sz w:val="24"/>
          <w:szCs w:val="24"/>
          <w:lang w:val="sk-SK"/>
        </w:rPr>
        <w:t xml:space="preserve"> </w:t>
      </w:r>
      <w:r w:rsidRPr="004605A6">
        <w:rPr>
          <w:sz w:val="24"/>
          <w:szCs w:val="24"/>
          <w:lang w:val="sk-SK"/>
        </w:rPr>
        <w:tab/>
      </w:r>
      <w:r w:rsidRPr="004605A6">
        <w:rPr>
          <w:sz w:val="24"/>
          <w:szCs w:val="24"/>
          <w:lang w:val="sk-SK"/>
        </w:rPr>
        <w:t xml:space="preserve">Ú. v. EÚ L 193, 30.7.2018, s. 1, ELI: </w:t>
      </w:r>
      <w:hyperlink r:id="rId5" w:history="1">
        <w:r w:rsidRPr="004605A6">
          <w:rPr>
            <w:rStyle w:val="Hyperlink"/>
            <w:sz w:val="24"/>
            <w:szCs w:val="24"/>
            <w:lang w:val="fi-FI"/>
          </w:rPr>
          <w:t>http://data.europa.eu/eli/reg/2018/1046/oj</w:t>
        </w:r>
      </w:hyperlink>
      <w:r w:rsidRPr="004605A6">
        <w:rPr>
          <w:sz w:val="24"/>
          <w:szCs w:val="24"/>
          <w:shd w:val="clear" w:color="auto" w:fill="FFFFFF"/>
          <w:lang w:val="sk-SK"/>
        </w:rPr>
        <w:t>.</w:t>
      </w:r>
    </w:p>
  </w:footnote>
  <w:footnote w:id="6">
    <w:p w14:paraId="2F8AEC61" w14:textId="77777777" w:rsidR="004605A6" w:rsidRPr="004605A6" w:rsidRDefault="004605A6" w:rsidP="004605A6">
      <w:pPr>
        <w:pStyle w:val="FootnoteText"/>
        <w:ind w:left="567" w:hanging="567"/>
        <w:rPr>
          <w:sz w:val="24"/>
          <w:szCs w:val="24"/>
          <w:lang w:val="sk-SK"/>
        </w:rPr>
      </w:pPr>
      <w:r w:rsidRPr="004605A6">
        <w:rPr>
          <w:rStyle w:val="FootnoteReference"/>
          <w:sz w:val="24"/>
          <w:szCs w:val="24"/>
          <w:lang w:val="sk-SK"/>
        </w:rPr>
        <w:footnoteRef/>
      </w:r>
      <w:r w:rsidRPr="004605A6">
        <w:rPr>
          <w:sz w:val="24"/>
          <w:szCs w:val="24"/>
          <w:lang w:val="sk-SK"/>
        </w:rPr>
        <w:t xml:space="preserve"> </w:t>
      </w:r>
      <w:r w:rsidRPr="004605A6">
        <w:rPr>
          <w:sz w:val="24"/>
          <w:szCs w:val="24"/>
          <w:lang w:val="sk-SK"/>
        </w:rPr>
        <w:tab/>
      </w:r>
      <w:r w:rsidRPr="004605A6">
        <w:rPr>
          <w:sz w:val="24"/>
          <w:szCs w:val="24"/>
          <w:lang w:val="sk-SK"/>
        </w:rPr>
        <w:t xml:space="preserve">Ú. v. EÚ L, 2024/2509, 26.9.2024, ELI: </w:t>
      </w:r>
      <w:hyperlink r:id="rId6" w:history="1">
        <w:r w:rsidRPr="004605A6">
          <w:rPr>
            <w:rStyle w:val="Hyperlink"/>
            <w:sz w:val="24"/>
            <w:szCs w:val="24"/>
            <w:lang w:val="fi-FI"/>
          </w:rPr>
          <w:t>http://data.europa.eu/eli/reg/2024/2509/oj</w:t>
        </w:r>
      </w:hyperlink>
      <w:r w:rsidRPr="004605A6">
        <w:rPr>
          <w:sz w:val="24"/>
          <w:szCs w:val="24"/>
          <w:shd w:val="clear" w:color="auto" w:fill="FFFFFF"/>
          <w:lang w:val="sk-SK"/>
        </w:rPr>
        <w:t>.</w:t>
      </w:r>
    </w:p>
  </w:footnote>
  <w:footnote w:id="7">
    <w:p w14:paraId="7F9B1003" w14:textId="77777777" w:rsidR="004605A6" w:rsidRPr="004605A6" w:rsidRDefault="004605A6" w:rsidP="004605A6">
      <w:pPr>
        <w:pStyle w:val="FootnoteText"/>
        <w:ind w:left="567" w:hanging="567"/>
        <w:rPr>
          <w:sz w:val="24"/>
          <w:szCs w:val="24"/>
          <w:lang w:val="sk-SK"/>
        </w:rPr>
      </w:pPr>
      <w:r w:rsidRPr="004605A6">
        <w:rPr>
          <w:rStyle w:val="FootnoteReference"/>
          <w:sz w:val="24"/>
          <w:szCs w:val="24"/>
          <w:lang w:val="sk-SK"/>
        </w:rPr>
        <w:footnoteRef/>
      </w:r>
      <w:r w:rsidRPr="004605A6">
        <w:rPr>
          <w:sz w:val="24"/>
          <w:szCs w:val="24"/>
          <w:lang w:val="sk-SK"/>
        </w:rPr>
        <w:t xml:space="preserve"> </w:t>
      </w:r>
      <w:r w:rsidRPr="004605A6">
        <w:rPr>
          <w:sz w:val="24"/>
          <w:szCs w:val="24"/>
          <w:lang w:val="sk-SK"/>
        </w:rPr>
        <w:tab/>
      </w:r>
      <w:r w:rsidRPr="004605A6">
        <w:rPr>
          <w:sz w:val="24"/>
          <w:szCs w:val="24"/>
          <w:lang w:val="sk-SK"/>
        </w:rPr>
        <w:t xml:space="preserve">Ú. v. EÚ L 201, 3.8.2010, s. 30, ELI: </w:t>
      </w:r>
      <w:hyperlink r:id="rId7" w:history="1">
        <w:r w:rsidRPr="004605A6">
          <w:rPr>
            <w:rStyle w:val="Hyperlink"/>
            <w:sz w:val="24"/>
            <w:szCs w:val="24"/>
            <w:lang w:val="fi-FI"/>
          </w:rPr>
          <w:t>http://data.europa.eu/eli/dec/2010/427/oj</w:t>
        </w:r>
      </w:hyperlink>
      <w:r w:rsidRPr="004605A6">
        <w:rPr>
          <w:sz w:val="24"/>
          <w:szCs w:val="24"/>
          <w:shd w:val="clear" w:color="auto" w:fill="FFFFFF"/>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F2ED2" w14:textId="77777777" w:rsidR="00D51FC1" w:rsidRDefault="00D51F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65EDF" w14:textId="77777777" w:rsidR="00D51FC1" w:rsidRDefault="00D51F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78990" w14:textId="77777777" w:rsidR="00D51FC1" w:rsidRDefault="00D51F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6227584">
    <w:abstractNumId w:val="9"/>
  </w:num>
  <w:num w:numId="2" w16cid:durableId="1342465755">
    <w:abstractNumId w:val="9"/>
  </w:num>
  <w:num w:numId="3" w16cid:durableId="1099519538">
    <w:abstractNumId w:val="7"/>
  </w:num>
  <w:num w:numId="4" w16cid:durableId="1523784185">
    <w:abstractNumId w:val="7"/>
  </w:num>
  <w:num w:numId="5" w16cid:durableId="1015420307">
    <w:abstractNumId w:val="6"/>
  </w:num>
  <w:num w:numId="6" w16cid:durableId="1992830068">
    <w:abstractNumId w:val="6"/>
  </w:num>
  <w:num w:numId="7" w16cid:durableId="1684278573">
    <w:abstractNumId w:val="5"/>
  </w:num>
  <w:num w:numId="8" w16cid:durableId="1218322008">
    <w:abstractNumId w:val="5"/>
  </w:num>
  <w:num w:numId="9" w16cid:durableId="500972320">
    <w:abstractNumId w:val="4"/>
  </w:num>
  <w:num w:numId="10" w16cid:durableId="1006709632">
    <w:abstractNumId w:val="4"/>
  </w:num>
  <w:num w:numId="11" w16cid:durableId="866020069">
    <w:abstractNumId w:val="8"/>
  </w:num>
  <w:num w:numId="12" w16cid:durableId="749229003">
    <w:abstractNumId w:val="8"/>
  </w:num>
  <w:num w:numId="13" w16cid:durableId="1626614845">
    <w:abstractNumId w:val="3"/>
  </w:num>
  <w:num w:numId="14" w16cid:durableId="290332308">
    <w:abstractNumId w:val="3"/>
  </w:num>
  <w:num w:numId="15" w16cid:durableId="714349559">
    <w:abstractNumId w:val="2"/>
  </w:num>
  <w:num w:numId="16" w16cid:durableId="1095790293">
    <w:abstractNumId w:val="2"/>
  </w:num>
  <w:num w:numId="17" w16cid:durableId="84084326">
    <w:abstractNumId w:val="1"/>
  </w:num>
  <w:num w:numId="18" w16cid:durableId="1950551191">
    <w:abstractNumId w:val="1"/>
  </w:num>
  <w:num w:numId="19" w16cid:durableId="1414665308">
    <w:abstractNumId w:val="0"/>
  </w:num>
  <w:num w:numId="20" w16cid:durableId="1392728981">
    <w:abstractNumId w:val="0"/>
  </w:num>
  <w:num w:numId="21" w16cid:durableId="1102073511">
    <w:abstractNumId w:val="9"/>
  </w:num>
  <w:num w:numId="22" w16cid:durableId="1227884336">
    <w:abstractNumId w:val="7"/>
  </w:num>
  <w:num w:numId="23" w16cid:durableId="1143083834">
    <w:abstractNumId w:val="6"/>
  </w:num>
  <w:num w:numId="24" w16cid:durableId="1006707475">
    <w:abstractNumId w:val="5"/>
  </w:num>
  <w:num w:numId="25" w16cid:durableId="877547771">
    <w:abstractNumId w:val="4"/>
  </w:num>
  <w:num w:numId="26" w16cid:durableId="1411541402">
    <w:abstractNumId w:val="8"/>
  </w:num>
  <w:num w:numId="27" w16cid:durableId="8921534">
    <w:abstractNumId w:val="3"/>
  </w:num>
  <w:num w:numId="28" w16cid:durableId="401030316">
    <w:abstractNumId w:val="2"/>
  </w:num>
  <w:num w:numId="29" w16cid:durableId="756899611">
    <w:abstractNumId w:val="1"/>
  </w:num>
  <w:num w:numId="30" w16cid:durableId="89086418">
    <w:abstractNumId w:val="0"/>
  </w:num>
  <w:num w:numId="31" w16cid:durableId="1425494469">
    <w:abstractNumId w:val="9"/>
  </w:num>
  <w:num w:numId="32" w16cid:durableId="1929727812">
    <w:abstractNumId w:val="7"/>
  </w:num>
  <w:num w:numId="33" w16cid:durableId="1601840929">
    <w:abstractNumId w:val="6"/>
  </w:num>
  <w:num w:numId="34" w16cid:durableId="424497255">
    <w:abstractNumId w:val="5"/>
  </w:num>
  <w:num w:numId="35" w16cid:durableId="1382902663">
    <w:abstractNumId w:val="4"/>
  </w:num>
  <w:num w:numId="36" w16cid:durableId="1641419766">
    <w:abstractNumId w:val="8"/>
  </w:num>
  <w:num w:numId="37" w16cid:durableId="1622761428">
    <w:abstractNumId w:val="3"/>
  </w:num>
  <w:num w:numId="38" w16cid:durableId="1010106996">
    <w:abstractNumId w:val="2"/>
  </w:num>
  <w:num w:numId="39" w16cid:durableId="795757456">
    <w:abstractNumId w:val="1"/>
  </w:num>
  <w:num w:numId="40" w16cid:durableId="151531368">
    <w:abstractNumId w:val="0"/>
  </w:num>
  <w:num w:numId="41" w16cid:durableId="1955793932">
    <w:abstractNumId w:val="10"/>
  </w:num>
  <w:num w:numId="42" w16cid:durableId="310915003">
    <w:abstractNumId w:val="10"/>
  </w:num>
  <w:num w:numId="43" w16cid:durableId="1934774459">
    <w:abstractNumId w:val="10"/>
  </w:num>
  <w:num w:numId="44" w16cid:durableId="598568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SK"/>
    <w:docVar w:name="dvnumam" w:val="0"/>
    <w:docVar w:name="dvpe" w:val="764.994"/>
    <w:docVar w:name="dvrapporteur" w:val="Spravodajca: "/>
    <w:docVar w:name="dvtitre" w:val="1. Rozhodnutie Európskeho parlamentu zo 7. mája 2025 o absolutóriu za plnenie všeobecného rozpočtu Európskej únie za rozpočtový rok 2023, oddiel X – Európska služba pre vonkajšiu činnosť(2024/2024(DEC))"/>
  </w:docVars>
  <w:rsids>
    <w:rsidRoot w:val="00D51FC1"/>
    <w:rsid w:val="004605A6"/>
    <w:rsid w:val="00D51FC1"/>
    <w:rsid w:val="00FA0A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DF032"/>
  <w15:chartTrackingRefBased/>
  <w15:docId w15:val="{40E25144-3C92-4708-A4DC-D49E646C3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character" w:styleId="Hyperlink">
    <w:name w:val="Hyperlink"/>
    <w:basedOn w:val="DefaultParagraphFont"/>
    <w:rPr>
      <w:color w:val="0563C1" w:themeColor="hyperlink"/>
      <w:u w:val="single"/>
    </w:rPr>
  </w:style>
  <w:style w:type="character" w:customStyle="1" w:styleId="NormalHanging12aChar">
    <w:name w:val="NormalHanging12a Char"/>
    <w:basedOn w:val="DefaultParagraphFont"/>
    <w:link w:val="NormalHanging12a"/>
    <w:locked/>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6C716-449D-485B-BDAC-74397FED8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8991</Words>
  <Characters>54933</Characters>
  <Application>Microsoft Office Word</Application>
  <DocSecurity>0</DocSecurity>
  <Lines>457</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2025-11-27T15:27:00Z</dcterms:created>
  <dcterms:modified xsi:type="dcterms:W3CDTF">2025-11-27T15:27:00Z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P10_TA(2025)0086_</vt:lpwstr>
  </property>
  <property fmtid="{D5CDD505-2E9C-101B-9397-08002B2CF9AE}" pid="4" name="&lt;Type&gt;">
    <vt:lpwstr>RR</vt:lpwstr>
  </property>
</Properties>
</file>