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801" w14:paraId="4ECEE599" w14:textId="77777777" w:rsidTr="0010095E">
        <w:trPr>
          <w:trHeight w:hRule="exact" w:val="1418"/>
        </w:trPr>
        <w:tc>
          <w:tcPr>
            <w:tcW w:w="6804" w:type="dxa"/>
            <w:shd w:val="clear" w:color="auto" w:fill="auto"/>
            <w:vAlign w:val="center"/>
          </w:tcPr>
          <w:p w14:paraId="479B9F5D" w14:textId="77777777" w:rsidR="00751A4A" w:rsidRPr="00E85801" w:rsidRDefault="0012029D" w:rsidP="0010095E">
            <w:pPr>
              <w:pStyle w:val="EPName"/>
            </w:pPr>
            <w:r w:rsidRPr="00E85801">
              <w:t>Europaparlamentet</w:t>
            </w:r>
          </w:p>
          <w:p w14:paraId="383D9577" w14:textId="77777777" w:rsidR="00751A4A" w:rsidRPr="00E85801" w:rsidRDefault="005F1B17" w:rsidP="005F1B17">
            <w:pPr>
              <w:pStyle w:val="EPTerm"/>
              <w:rPr>
                <w:rStyle w:val="HideTWBExt"/>
                <w:noProof w:val="0"/>
                <w:vanish w:val="0"/>
                <w:color w:val="auto"/>
              </w:rPr>
            </w:pPr>
            <w:r w:rsidRPr="00E85801">
              <w:t>2024</w:t>
            </w:r>
            <w:r w:rsidR="00817416" w:rsidRPr="00E85801">
              <w:t>-202</w:t>
            </w:r>
            <w:r w:rsidRPr="00E85801">
              <w:t>9</w:t>
            </w:r>
          </w:p>
        </w:tc>
        <w:tc>
          <w:tcPr>
            <w:tcW w:w="2268" w:type="dxa"/>
            <w:shd w:val="clear" w:color="auto" w:fill="auto"/>
          </w:tcPr>
          <w:p w14:paraId="2D9BD88A" w14:textId="77777777" w:rsidR="00751A4A" w:rsidRPr="00E85801" w:rsidRDefault="00187494" w:rsidP="0010095E">
            <w:pPr>
              <w:pStyle w:val="EPLogo"/>
            </w:pPr>
            <w:r w:rsidRPr="00E85801">
              <w:rPr>
                <w:noProof/>
                <w:lang w:val="en-GB"/>
              </w:rPr>
              <w:drawing>
                <wp:inline distT="0" distB="0" distL="0" distR="0" wp14:anchorId="1690A032" wp14:editId="455E6E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4AF2A6" w14:textId="77777777" w:rsidR="00D058B8" w:rsidRPr="00E85801" w:rsidRDefault="00D058B8" w:rsidP="004C5D52">
      <w:pPr>
        <w:pStyle w:val="LineTop"/>
      </w:pPr>
    </w:p>
    <w:p w14:paraId="404BC2DD" w14:textId="77777777" w:rsidR="00680577" w:rsidRPr="00E85801" w:rsidRDefault="0012029D" w:rsidP="00680577">
      <w:pPr>
        <w:pStyle w:val="EPBodyTA1"/>
      </w:pPr>
      <w:r w:rsidRPr="00E85801">
        <w:t>ANTAGNA TEXTER</w:t>
      </w:r>
    </w:p>
    <w:p w14:paraId="357F7C2A" w14:textId="77777777" w:rsidR="00D058B8" w:rsidRPr="00E85801" w:rsidRDefault="00D058B8" w:rsidP="00D058B8">
      <w:pPr>
        <w:pStyle w:val="LineBottom"/>
      </w:pPr>
    </w:p>
    <w:p w14:paraId="76CB35F7" w14:textId="7D45348D" w:rsidR="0012029D" w:rsidRPr="00E85801" w:rsidRDefault="0012029D" w:rsidP="0012029D">
      <w:pPr>
        <w:pStyle w:val="ATHeading1"/>
      </w:pPr>
      <w:bookmarkStart w:id="0" w:name="TANumber"/>
      <w:r w:rsidRPr="00E85801">
        <w:t>P10_TA(2025)00</w:t>
      </w:r>
      <w:bookmarkEnd w:id="0"/>
      <w:r w:rsidR="00B04879">
        <w:t>86</w:t>
      </w:r>
    </w:p>
    <w:p w14:paraId="6CE23558" w14:textId="0C65321F" w:rsidR="0012029D" w:rsidRPr="00E85801" w:rsidRDefault="0012029D" w:rsidP="0012029D">
      <w:pPr>
        <w:pStyle w:val="ATHeading2"/>
      </w:pPr>
      <w:bookmarkStart w:id="1" w:name="title"/>
      <w:r w:rsidRPr="00E85801">
        <w:t xml:space="preserve">Ansvarsfrihet 2023: EU:s allmänna budget </w:t>
      </w:r>
      <w:r w:rsidR="0053060C">
        <w:t>-</w:t>
      </w:r>
      <w:r w:rsidRPr="00E85801">
        <w:t xml:space="preserve"> Europeiska utrikestjänsten</w:t>
      </w:r>
      <w:bookmarkEnd w:id="1"/>
    </w:p>
    <w:p w14:paraId="3D257179" w14:textId="77777777" w:rsidR="0012029D" w:rsidRPr="00E85801" w:rsidRDefault="0012029D" w:rsidP="0053060C">
      <w:pPr>
        <w:pStyle w:val="ATHeading3"/>
        <w:rPr>
          <w:vanish/>
        </w:rPr>
      </w:pPr>
      <w:r w:rsidRPr="00E85801">
        <w:fldChar w:fldCharType="begin"/>
      </w:r>
      <w:r w:rsidRPr="00E85801">
        <w:instrText xml:space="preserve"> TC"(</w:instrText>
      </w:r>
      <w:bookmarkStart w:id="2" w:name="DocNumber"/>
      <w:r w:rsidRPr="00E85801">
        <w:instrText>A10-0069/2025</w:instrText>
      </w:r>
      <w:bookmarkEnd w:id="2"/>
      <w:r w:rsidRPr="00E85801">
        <w:instrText xml:space="preserve"> - Föredragande: Joachim Stanisław Brudziński)"\l3 \n&gt; \* MERGEFORMAT </w:instrText>
      </w:r>
      <w:r w:rsidRPr="00E85801">
        <w:fldChar w:fldCharType="end"/>
      </w:r>
    </w:p>
    <w:p w14:paraId="607EF636" w14:textId="77777777" w:rsidR="0012029D" w:rsidRPr="00E85801" w:rsidRDefault="0012029D" w:rsidP="0053060C">
      <w:pPr>
        <w:pStyle w:val="ATHeading3"/>
        <w:rPr>
          <w:vanish/>
        </w:rPr>
      </w:pPr>
      <w:bookmarkStart w:id="3" w:name="Commission"/>
      <w:r w:rsidRPr="00E85801">
        <w:rPr>
          <w:vanish/>
        </w:rPr>
        <w:t>Budgetkontrollutskottet</w:t>
      </w:r>
      <w:bookmarkEnd w:id="3"/>
    </w:p>
    <w:p w14:paraId="01B86BDC" w14:textId="77777777" w:rsidR="0012029D" w:rsidRPr="00E85801" w:rsidRDefault="0012029D" w:rsidP="0053060C">
      <w:pPr>
        <w:pStyle w:val="ATHeading3"/>
        <w:rPr>
          <w:vanish/>
        </w:rPr>
      </w:pPr>
      <w:bookmarkStart w:id="4" w:name="PE"/>
      <w:r w:rsidRPr="00E85801">
        <w:rPr>
          <w:vanish/>
        </w:rPr>
        <w:t>PE764.994</w:t>
      </w:r>
      <w:bookmarkEnd w:id="4"/>
    </w:p>
    <w:p w14:paraId="432BA71E" w14:textId="77777777" w:rsidR="0053060C" w:rsidRPr="0053060C" w:rsidRDefault="0053060C" w:rsidP="0053060C">
      <w:pPr>
        <w:pStyle w:val="ATHeading3"/>
        <w:rPr>
          <w:kern w:val="2"/>
          <w14:ligatures w14:val="standardContextual"/>
        </w:rPr>
      </w:pPr>
      <w:r w:rsidRPr="0053060C">
        <w:rPr>
          <w:kern w:val="2"/>
          <w14:ligatures w14:val="standardContextual"/>
        </w:rPr>
        <w:t>1. Europaparlamentets beslut av den 7 maj 2025 om ansvarsfrihet för genomförandet av Europeiska unionens allmänna budget för budgetåret 2023, avsnitt X ‒ Europeiska utrikestjänsten  (2024/2024(DEC))</w:t>
      </w:r>
    </w:p>
    <w:p w14:paraId="7CB714BE" w14:textId="4EB549DE" w:rsidR="0053060C" w:rsidRPr="0053060C" w:rsidRDefault="0053060C" w:rsidP="0053060C">
      <w:pPr>
        <w:spacing w:before="480" w:after="240"/>
        <w:rPr>
          <w:i/>
          <w:kern w:val="2"/>
          <w14:ligatures w14:val="standardContextual"/>
        </w:rPr>
      </w:pPr>
      <w:r w:rsidRPr="0053060C">
        <w:rPr>
          <w:i/>
          <w:kern w:val="2"/>
          <w14:ligatures w14:val="standardContextual"/>
        </w:rPr>
        <w:t>Europaparlamentet fattar detta beslut</w:t>
      </w:r>
    </w:p>
    <w:p w14:paraId="16A3BDFA" w14:textId="50471529"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Europeiska unionens allmänna budget för budgetåret 2023</w:t>
      </w:r>
      <w:r w:rsidRPr="0053060C">
        <w:rPr>
          <w:kern w:val="2"/>
          <w:vertAlign w:val="superscript"/>
          <w14:ligatures w14:val="standardContextual"/>
        </w:rPr>
        <w:footnoteReference w:id="1"/>
      </w:r>
      <w:r w:rsidRPr="0053060C">
        <w:rPr>
          <w:kern w:val="2"/>
          <w14:ligatures w14:val="standardContextual"/>
        </w:rPr>
        <w:t>,</w:t>
      </w:r>
    </w:p>
    <w:p w14:paraId="22BBEA87" w14:textId="2D95E069"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 xml:space="preserve">med beaktande av Europeiska unionens konsoliderade årsredovisning för budgetåret 2023 (COM(2024) 272 </w:t>
      </w:r>
      <w:r>
        <w:rPr>
          <w:kern w:val="2"/>
          <w14:ligatures w14:val="standardContextual"/>
        </w:rPr>
        <w:t>-</w:t>
      </w:r>
      <w:r w:rsidRPr="0053060C">
        <w:rPr>
          <w:kern w:val="2"/>
          <w14:ligatures w14:val="standardContextual"/>
        </w:rPr>
        <w:t xml:space="preserve"> C10</w:t>
      </w:r>
      <w:r w:rsidRPr="0053060C">
        <w:rPr>
          <w:kern w:val="2"/>
          <w14:ligatures w14:val="standardContextual"/>
        </w:rPr>
        <w:noBreakHyphen/>
        <w:t>0072/2024)</w:t>
      </w:r>
      <w:r w:rsidRPr="0053060C">
        <w:rPr>
          <w:kern w:val="2"/>
          <w:vertAlign w:val="superscript"/>
          <w14:ligatures w14:val="standardContextual"/>
        </w:rPr>
        <w:footnoteReference w:id="2"/>
      </w:r>
      <w:r w:rsidRPr="0053060C">
        <w:rPr>
          <w:kern w:val="2"/>
          <w14:ligatures w14:val="standardContextual"/>
        </w:rPr>
        <w:t>,</w:t>
      </w:r>
    </w:p>
    <w:p w14:paraId="1E20F431" w14:textId="4474AE12"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Europeiska utrikestjänstens årliga verksamhetsrapport för 2023 och dess årliga rapport om budgetförvaltningen och den ekonomiska förvaltningen för 2023,</w:t>
      </w:r>
    </w:p>
    <w:p w14:paraId="7144C9A6" w14:textId="75E0A64B"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revisionsrättens årsrapport om genomförandet av budgeten för budgetåret 2023, med institutionernas svar</w:t>
      </w:r>
      <w:r w:rsidRPr="0053060C">
        <w:rPr>
          <w:kern w:val="2"/>
          <w:vertAlign w:val="superscript"/>
          <w14:ligatures w14:val="standardContextual"/>
        </w:rPr>
        <w:footnoteReference w:id="3"/>
      </w:r>
      <w:r w:rsidRPr="0053060C">
        <w:rPr>
          <w:kern w:val="2"/>
          <w14:ligatures w14:val="standardContextual"/>
        </w:rPr>
        <w:t>,</w:t>
      </w:r>
    </w:p>
    <w:p w14:paraId="76F8DAF0" w14:textId="4D0D368F"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förklaringen om räkenskapernas tillförlitlighet och de underliggande transaktionernas laglighet och korrekthet</w:t>
      </w:r>
      <w:r w:rsidRPr="0053060C">
        <w:rPr>
          <w:kern w:val="2"/>
          <w:vertAlign w:val="superscript"/>
          <w14:ligatures w14:val="standardContextual"/>
        </w:rPr>
        <w:footnoteReference w:id="4"/>
      </w:r>
      <w:r w:rsidRPr="0053060C">
        <w:rPr>
          <w:kern w:val="2"/>
          <w14:ligatures w14:val="standardContextual"/>
        </w:rPr>
        <w:t>, som avgetts av revisionsrätten för budgetåret 2023 i enlighet med artikel 287 i fördraget om Europeiska unionens funktionssätt,</w:t>
      </w:r>
    </w:p>
    <w:p w14:paraId="43F43049" w14:textId="153B8104"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artikel 314.10 och artiklarna 317, 318 och 319 i fördraget om Europeiska unionens funktionssätt,</w:t>
      </w:r>
    </w:p>
    <w:p w14:paraId="09ED272E" w14:textId="792E9811"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53060C">
        <w:rPr>
          <w:kern w:val="2"/>
          <w:vertAlign w:val="superscript"/>
          <w14:ligatures w14:val="standardContextual"/>
        </w:rPr>
        <w:footnoteReference w:id="5"/>
      </w:r>
      <w:r w:rsidRPr="0053060C">
        <w:rPr>
          <w:kern w:val="2"/>
          <w14:ligatures w14:val="standardContextual"/>
        </w:rPr>
        <w:t>, särskilt artiklarna 59, 118 och 260</w:t>
      </w:r>
      <w:r>
        <w:rPr>
          <w:kern w:val="2"/>
          <w14:ligatures w14:val="standardContextual"/>
        </w:rPr>
        <w:t>-</w:t>
      </w:r>
      <w:r w:rsidRPr="0053060C">
        <w:rPr>
          <w:kern w:val="2"/>
          <w14:ligatures w14:val="standardContextual"/>
        </w:rPr>
        <w:t>263,</w:t>
      </w:r>
    </w:p>
    <w:p w14:paraId="6A04CE33" w14:textId="5BA1508E" w:rsidR="0053060C" w:rsidRPr="0053060C" w:rsidRDefault="0053060C" w:rsidP="0053060C">
      <w:pPr>
        <w:spacing w:after="240"/>
        <w:ind w:left="567" w:hanging="567"/>
        <w:rPr>
          <w:kern w:val="2"/>
          <w14:ligatures w14:val="standardContextual"/>
        </w:rPr>
      </w:pPr>
      <w:r>
        <w:rPr>
          <w:kern w:val="2"/>
          <w14:ligatures w14:val="standardContextual"/>
        </w:rPr>
        <w:lastRenderedPageBreak/>
        <w:t>-</w:t>
      </w:r>
      <w:r w:rsidRPr="0053060C">
        <w:rPr>
          <w:kern w:val="2"/>
          <w14:ligatures w14:val="standardContextual"/>
        </w:rPr>
        <w:tab/>
        <w:t>med beaktande av Europaparlamentets och rådets förordning (EU, Euratom) 2024/2509 av den 23 september 2024 om finansiella regler för unionens allmänna budget</w:t>
      </w:r>
      <w:r w:rsidRPr="0053060C">
        <w:rPr>
          <w:kern w:val="2"/>
          <w:vertAlign w:val="superscript"/>
          <w14:ligatures w14:val="standardContextual"/>
        </w:rPr>
        <w:footnoteReference w:id="6"/>
      </w:r>
      <w:r w:rsidRPr="0053060C">
        <w:rPr>
          <w:kern w:val="2"/>
          <w14:ligatures w14:val="standardContextual"/>
        </w:rPr>
        <w:t>, särskilt artiklarna 59, 118 och 266</w:t>
      </w:r>
      <w:r>
        <w:rPr>
          <w:kern w:val="2"/>
          <w14:ligatures w14:val="standardContextual"/>
        </w:rPr>
        <w:t>-</w:t>
      </w:r>
      <w:r w:rsidRPr="0053060C">
        <w:rPr>
          <w:kern w:val="2"/>
          <w14:ligatures w14:val="standardContextual"/>
        </w:rPr>
        <w:t>269,</w:t>
      </w:r>
    </w:p>
    <w:p w14:paraId="55676719" w14:textId="40B0D950"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rådets beslut 2010/427/EU av den 26 juli 2010 om hur den europeiska avdelningen för yttre åtgärder ska organiseras och arbeta</w:t>
      </w:r>
      <w:r w:rsidRPr="0053060C">
        <w:rPr>
          <w:kern w:val="2"/>
          <w:vertAlign w:val="superscript"/>
          <w14:ligatures w14:val="standardContextual"/>
        </w:rPr>
        <w:footnoteReference w:id="7"/>
      </w:r>
      <w:r w:rsidRPr="0053060C">
        <w:rPr>
          <w:kern w:val="2"/>
          <w14:ligatures w14:val="standardContextual"/>
        </w:rPr>
        <w:t>, särskilt artikel 8,</w:t>
      </w:r>
    </w:p>
    <w:p w14:paraId="7AEB0B7C" w14:textId="660E22D2"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artikel 102 och bilaga V i arbetsordningen,</w:t>
      </w:r>
    </w:p>
    <w:p w14:paraId="26249959" w14:textId="7DC3918F"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yttrandet från utskottet för utrikesfrågor,</w:t>
      </w:r>
    </w:p>
    <w:p w14:paraId="651BA433" w14:textId="641D867F" w:rsidR="0053060C" w:rsidRPr="0053060C" w:rsidRDefault="0053060C" w:rsidP="0053060C">
      <w:pPr>
        <w:spacing w:after="240"/>
        <w:ind w:left="567" w:hanging="567"/>
        <w:rPr>
          <w:kern w:val="2"/>
          <w14:ligatures w14:val="standardContextual"/>
        </w:rPr>
      </w:pPr>
      <w:r>
        <w:rPr>
          <w:kern w:val="2"/>
          <w14:ligatures w14:val="standardContextual"/>
        </w:rPr>
        <w:t>-</w:t>
      </w:r>
      <w:r w:rsidRPr="0053060C">
        <w:rPr>
          <w:kern w:val="2"/>
          <w14:ligatures w14:val="standardContextual"/>
        </w:rPr>
        <w:tab/>
        <w:t>med beaktande av betänkandet från budgetkontrollutskottet (A10-0069/2025).</w:t>
      </w:r>
    </w:p>
    <w:p w14:paraId="7077338F"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1.</w:t>
      </w:r>
      <w:r w:rsidRPr="0053060C">
        <w:rPr>
          <w:kern w:val="2"/>
          <w14:ligatures w14:val="standardContextual"/>
        </w:rPr>
        <w:tab/>
        <w:t>Europaparlamentet beviljar unionens höga representant för utrikes frågor och säkerhetspolitik ansvarsfrihet för genomförandet av Europeiska utrikestjänstens budget för budgetåret 2023.</w:t>
      </w:r>
    </w:p>
    <w:p w14:paraId="2801D888"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2.</w:t>
      </w:r>
      <w:r w:rsidRPr="0053060C">
        <w:rPr>
          <w:kern w:val="2"/>
          <w14:ligatures w14:val="standardContextual"/>
        </w:rPr>
        <w:tab/>
        <w:t>Europaparlamentet redovisar sina iakttagelser i resolutionen nedan.</w:t>
      </w:r>
    </w:p>
    <w:p w14:paraId="69DC9C51"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3.</w:t>
      </w:r>
      <w:r w:rsidRPr="0053060C">
        <w:rPr>
          <w:kern w:val="2"/>
          <w14:ligatures w14:val="standardContextual"/>
        </w:rPr>
        <w:tab/>
        <w:t xml:space="preserve">Europaparlamentet uppdrar åt talmannen att översända detta beslut och den resolution som utgör en del av beslutet till Europeiska utrikestjänsten, rådet, kommissionen och revisionsrätten samt till Europeiska ombudsmannen och Europeiska datatillsynsmannen, och att se till att de offentliggörs i </w:t>
      </w:r>
      <w:r w:rsidRPr="0053060C">
        <w:rPr>
          <w:i/>
          <w:kern w:val="2"/>
          <w14:ligatures w14:val="standardContextual"/>
        </w:rPr>
        <w:t>Europeiska unionens officiella tidning</w:t>
      </w:r>
      <w:r w:rsidRPr="0053060C">
        <w:rPr>
          <w:kern w:val="2"/>
          <w14:ligatures w14:val="standardContextual"/>
        </w:rPr>
        <w:t xml:space="preserve"> (L-serien).</w:t>
      </w:r>
    </w:p>
    <w:p w14:paraId="4F65B122" w14:textId="77777777" w:rsidR="0053060C" w:rsidRPr="0053060C" w:rsidRDefault="0053060C" w:rsidP="0053060C">
      <w:pPr>
        <w:tabs>
          <w:tab w:val="left" w:pos="5386"/>
        </w:tabs>
        <w:ind w:left="567" w:hanging="567"/>
        <w:rPr>
          <w:i/>
          <w:kern w:val="2"/>
          <w14:ligatures w14:val="standardContextual"/>
        </w:rPr>
      </w:pPr>
    </w:p>
    <w:p w14:paraId="0B4939CD" w14:textId="77777777" w:rsidR="0053060C" w:rsidRPr="0053060C" w:rsidRDefault="0053060C" w:rsidP="0053060C">
      <w:pPr>
        <w:widowControl/>
        <w:jc w:val="both"/>
        <w:rPr>
          <w:rFonts w:eastAsia="Aptos"/>
          <w:kern w:val="2"/>
          <w:szCs w:val="24"/>
          <w:lang w:eastAsia="en-US"/>
          <w14:ligatures w14:val="standardContextual"/>
        </w:rPr>
        <w:sectPr w:rsidR="0053060C" w:rsidRPr="0053060C" w:rsidSect="0053060C">
          <w:footnotePr>
            <w:numRestart w:val="eachSect"/>
          </w:footnotePr>
          <w:pgSz w:w="11906" w:h="16838"/>
          <w:pgMar w:top="1440" w:right="1440" w:bottom="1440" w:left="1440" w:header="708" w:footer="708" w:gutter="0"/>
          <w:cols w:space="708"/>
          <w:docGrid w:linePitch="360"/>
        </w:sectPr>
      </w:pPr>
    </w:p>
    <w:p w14:paraId="133B15CA" w14:textId="123ADC24" w:rsidR="0053060C" w:rsidRPr="0053060C" w:rsidRDefault="0053060C" w:rsidP="0053060C">
      <w:pPr>
        <w:pStyle w:val="ATHeading3"/>
      </w:pPr>
      <w:r w:rsidRPr="0053060C">
        <w:lastRenderedPageBreak/>
        <w:t xml:space="preserve">2. Europaparlamentets resolution av den 7 maj 2025 med de iakttagelser som utgör en del av beslutet om ansvarsfrihet för genomförandet av Europeiska unionens allmänna budget för budgetåret 2023, avsnitt X </w:t>
      </w:r>
      <w:r>
        <w:t>-</w:t>
      </w:r>
      <w:r w:rsidRPr="0053060C">
        <w:t xml:space="preserve"> Europeiska utrikestjänsten (2024/2024(DEC))</w:t>
      </w:r>
    </w:p>
    <w:p w14:paraId="5CBF8F38" w14:textId="77777777" w:rsidR="0053060C" w:rsidRPr="0053060C" w:rsidRDefault="0053060C" w:rsidP="0053060C">
      <w:pPr>
        <w:spacing w:before="480" w:after="240"/>
        <w:rPr>
          <w:kern w:val="2"/>
          <w14:ligatures w14:val="standardContextual"/>
        </w:rPr>
      </w:pPr>
      <w:r w:rsidRPr="0053060C">
        <w:rPr>
          <w:i/>
          <w:kern w:val="2"/>
          <w14:ligatures w14:val="standardContextual"/>
        </w:rPr>
        <w:t>Europaparlamentet utfärdar denna resolution</w:t>
      </w:r>
    </w:p>
    <w:p w14:paraId="3BE630F5" w14:textId="0BECCA79" w:rsidR="0053060C" w:rsidRPr="0053060C" w:rsidRDefault="0053060C" w:rsidP="0053060C">
      <w:pPr>
        <w:spacing w:after="240"/>
        <w:ind w:left="567" w:hanging="567"/>
        <w:rPr>
          <w:kern w:val="2"/>
          <w14:ligatures w14:val="standardContextual"/>
        </w:rPr>
      </w:pPr>
      <w:r w:rsidRPr="0053060C">
        <w:rPr>
          <w:kern w:val="2"/>
          <w14:ligatures w14:val="standardContextual"/>
        </w:rPr>
        <w:t>—</w:t>
      </w:r>
      <w:r w:rsidRPr="0053060C">
        <w:rPr>
          <w:kern w:val="2"/>
          <w14:ligatures w14:val="standardContextual"/>
        </w:rPr>
        <w:tab/>
        <w:t xml:space="preserve">med beaktande av sitt beslut om ansvarsfrihet för genomförandet av Europeiska unionens allmänna budget för budgetåret 2023, avsnitt X </w:t>
      </w:r>
      <w:r>
        <w:rPr>
          <w:kern w:val="2"/>
          <w14:ligatures w14:val="standardContextual"/>
        </w:rPr>
        <w:t>-</w:t>
      </w:r>
      <w:r w:rsidRPr="0053060C">
        <w:rPr>
          <w:kern w:val="2"/>
          <w14:ligatures w14:val="standardContextual"/>
        </w:rPr>
        <w:t xml:space="preserve"> Europeiska utrikestjänsten,</w:t>
      </w:r>
    </w:p>
    <w:p w14:paraId="08F10A23"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w:t>
      </w:r>
      <w:r w:rsidRPr="0053060C">
        <w:rPr>
          <w:kern w:val="2"/>
          <w14:ligatures w14:val="standardContextual"/>
        </w:rPr>
        <w:tab/>
        <w:t>med beaktande av artikel 102 och bilaga V i arbetsordningen,</w:t>
      </w:r>
    </w:p>
    <w:p w14:paraId="221EA01B"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w:t>
      </w:r>
      <w:r w:rsidRPr="0053060C">
        <w:rPr>
          <w:kern w:val="2"/>
          <w14:ligatures w14:val="standardContextual"/>
        </w:rPr>
        <w:tab/>
        <w:t>med beaktande av yttrandet från utskottet för utrikesfrågor,</w:t>
      </w:r>
    </w:p>
    <w:p w14:paraId="0BF0F8EA"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w:t>
      </w:r>
      <w:r w:rsidRPr="0053060C">
        <w:rPr>
          <w:kern w:val="2"/>
          <w14:ligatures w14:val="standardContextual"/>
        </w:rPr>
        <w:tab/>
        <w:t>med beaktande av betänkandet från budgetkontrollutskottet (A10-0069/2025), och av följande skäl:</w:t>
      </w:r>
    </w:p>
    <w:p w14:paraId="3689D8F6"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A.</w:t>
      </w:r>
      <w:r w:rsidRPr="0053060C">
        <w:rPr>
          <w:kern w:val="2"/>
          <w14:ligatures w14:val="standardContextual"/>
        </w:rPr>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säkra en god förvaltning av personalresurserna.</w:t>
      </w:r>
    </w:p>
    <w:p w14:paraId="615538CC"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B.</w:t>
      </w:r>
      <w:r w:rsidRPr="0053060C">
        <w:rPr>
          <w:kern w:val="2"/>
          <w14:ligatures w14:val="standardContextual"/>
        </w:rPr>
        <w:tab/>
        <w:t>Europeiska utrikestjänsten (</w:t>
      </w:r>
      <w:r w:rsidRPr="0053060C">
        <w:rPr>
          <w:i/>
          <w:iCs/>
          <w:kern w:val="2"/>
          <w14:ligatures w14:val="standardContextual"/>
        </w:rPr>
        <w:t>utrikestjänsten</w:t>
      </w:r>
      <w:r w:rsidRPr="0053060C">
        <w:rPr>
          <w:kern w:val="2"/>
          <w14:ligatures w14:val="standardContextual"/>
        </w:rPr>
        <w:t>) ansvarar för förvaltningen av de administrativa utgifterna för sitt huvudkontor i Bryssel och för nätverket av unionens 144 delegationer och kontor.</w:t>
      </w:r>
    </w:p>
    <w:p w14:paraId="1D70C560"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C.</w:t>
      </w:r>
      <w:r w:rsidRPr="0053060C">
        <w:rPr>
          <w:kern w:val="2"/>
          <w14:ligatures w14:val="standardContextual"/>
        </w:rPr>
        <w:tab/>
        <w:t>Utrikestjänstens ansvar har utökats till att omfatta den administrativa förvaltningen av kommissionens personal vid delegationerna genom en rad servicenivåavtal.</w:t>
      </w:r>
    </w:p>
    <w:p w14:paraId="0A50B07F"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D.</w:t>
      </w:r>
      <w:r w:rsidRPr="0053060C">
        <w:rPr>
          <w:kern w:val="2"/>
          <w14:ligatures w14:val="standardContextual"/>
        </w:rPr>
        <w:tab/>
        <w:t>Delegationernas roll är att företräda unionen och dess medborgare runt om i världen genom nätverk och partnerskap samt att främja unionens värden.</w:t>
      </w:r>
    </w:p>
    <w:p w14:paraId="548FA997"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E.</w:t>
      </w:r>
      <w:r w:rsidRPr="0053060C">
        <w:rPr>
          <w:kern w:val="2"/>
          <w14:ligatures w14:val="standardContextual"/>
        </w:rPr>
        <w:tab/>
        <w:t>Utrikestjänstens särart ligger fortfarande i dess natur och ursprung, på samma sätt som när den inrättades genom sammanslagningen av personal från de tidigare avdelningarna för yttre förbindelser vid rådet och kommissionen, i vilken diplomater från medlemsstaterna har integrerats.</w:t>
      </w:r>
    </w:p>
    <w:p w14:paraId="2669DB33"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F.</w:t>
      </w:r>
      <w:r w:rsidRPr="0053060C">
        <w:rPr>
          <w:kern w:val="2"/>
          <w14:ligatures w14:val="standardContextual"/>
        </w:rPr>
        <w:tab/>
        <w:t>Enligt utrikestjänstens interna regler agerar utrikestjänstens generalsekreterare som delegerad utanordnare för institutionen och generaldirektören för resurshantering har rollen som huvudsaklig vidaredelegerad utanordnare.</w:t>
      </w:r>
    </w:p>
    <w:p w14:paraId="460B0918"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G.</w:t>
      </w:r>
      <w:r w:rsidRPr="0053060C">
        <w:rPr>
          <w:kern w:val="2"/>
          <w14:ligatures w14:val="standardContextual"/>
        </w:rPr>
        <w:tab/>
        <w:t>De befogenheter som genom tjänsteföreskrifterna tilldelas tillsättningsmyndigheten utövas av vice ordföranden för kommissionen/unionens höga representant för utrikes frågor och säkerhetspolitik (</w:t>
      </w:r>
      <w:r w:rsidRPr="0053060C">
        <w:rPr>
          <w:i/>
          <w:iCs/>
          <w:kern w:val="2"/>
          <w14:ligatures w14:val="standardContextual"/>
        </w:rPr>
        <w:t>vice ordföranden/den höga representanten</w:t>
      </w:r>
      <w:r w:rsidRPr="0053060C">
        <w:rPr>
          <w:kern w:val="2"/>
          <w14:ligatures w14:val="standardContextual"/>
        </w:rPr>
        <w:t>) med avseende på utrikestjänstens personal.</w:t>
      </w:r>
    </w:p>
    <w:p w14:paraId="3068C831"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H.</w:t>
      </w:r>
      <w:r w:rsidRPr="0053060C">
        <w:rPr>
          <w:kern w:val="2"/>
          <w14:ligatures w14:val="standardContextual"/>
        </w:rPr>
        <w:tab/>
        <w:t>Genomförandet av budgeten styrs av budgetförordningen och de interna reglerna för genomförandet av Europeiska utrikestjänstens budget.</w:t>
      </w:r>
    </w:p>
    <w:p w14:paraId="3ED4DDE9"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1.</w:t>
      </w:r>
      <w:r w:rsidRPr="0053060C">
        <w:rPr>
          <w:kern w:val="2"/>
          <w14:ligatures w14:val="standardContextual"/>
        </w:rPr>
        <w:tab/>
        <w:t xml:space="preserve">Europaparlamentet noterar att utrikestjänstens budget sorterar under rubrik 7 i den fleråriga budgetramen, ”Europeisk offentlig förvaltning”, som uppgick till 12,3 </w:t>
      </w:r>
      <w:r w:rsidRPr="0053060C">
        <w:rPr>
          <w:kern w:val="2"/>
          <w14:ligatures w14:val="standardContextual"/>
        </w:rPr>
        <w:lastRenderedPageBreak/>
        <w:t>miljarder EUR 2023 (vilket motsvarar 6,4 % av unionens totala budget). Parlamentet noterar att utrikestjänstens budget på cirka 1,1 miljarder EUR motsvarar cirka 9,2 % av unionens totala administrativa utgifter.</w:t>
      </w:r>
    </w:p>
    <w:p w14:paraId="075212E2"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2.</w:t>
      </w:r>
      <w:r w:rsidRPr="0053060C">
        <w:rPr>
          <w:kern w:val="2"/>
          <w14:ligatures w14:val="standardContextual"/>
        </w:rPr>
        <w:tab/>
        <w:t>Europaparlamentet noterar att revisionsrätten i sin årsrapport för budgetåret 2023 granskade ett urval av 70 transaktioner under ”Administration”, dvs. tio fler än det antal som granskades 2022. Parlamentet noterar vidare att revisionsrätten skriver att de administrativa kostnaderna omfattar personalkostnader, inklusive pensioner, som 2023 stod för omkring 70 % av de totala administrativa utgifterna, och kostnader för byggnader, utrustning, energi, kommunikation och it, och att revisionsrättens arbete under många år har visat att dessa kostnader totalt sett är förknippade med låg risk.</w:t>
      </w:r>
    </w:p>
    <w:p w14:paraId="72AB1668"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3.</w:t>
      </w:r>
      <w:r w:rsidRPr="0053060C">
        <w:rPr>
          <w:kern w:val="2"/>
          <w14:ligatures w14:val="standardContextual"/>
        </w:rPr>
        <w:tab/>
        <w:t>Europaparlamentet noterar att 21 (30 %) av de 70 transaktionerna innehöll fel, men att revisionsrätten, på grundval av de fem fel som kvantifierats, uppskattar att felnivån ligger under väsentlighetströskeln.</w:t>
      </w:r>
    </w:p>
    <w:p w14:paraId="2887775D"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4.</w:t>
      </w:r>
      <w:r w:rsidRPr="0053060C">
        <w:rPr>
          <w:kern w:val="2"/>
          <w14:ligatures w14:val="standardContextual"/>
        </w:rPr>
        <w:tab/>
        <w:t>Europaparlamentet noterar med oro att revisionsrätten i sin årsrapport för budgetåret 2023 fann ett kvantifierbart fel i en av de 13 betalningar som den granskade samt tog upp sex icke kvantifierbara iakttagelser om utrikestjänsten. Det kvantifierbara felet bestod i att inget giltigt upphandlingsförfarande hade genomförts innan ett hyreskontrakt undertecknades för en EU-delegation. Utrikestjänsten vidtog åtgärder under 2023 för att ta itu med de två kvantifierbara fel som revisionsrätten fann i sin årsrapport för 2022, och vidtog åtgärder för att undvika sådana problem i framtiden.</w:t>
      </w:r>
    </w:p>
    <w:p w14:paraId="6FFAEDB2" w14:textId="77777777" w:rsidR="0053060C" w:rsidRPr="0053060C" w:rsidRDefault="0053060C" w:rsidP="0053060C">
      <w:pPr>
        <w:spacing w:after="240"/>
        <w:ind w:left="567" w:hanging="567"/>
        <w:rPr>
          <w:b/>
          <w:i/>
          <w:kern w:val="2"/>
          <w14:ligatures w14:val="standardContextual"/>
        </w:rPr>
      </w:pPr>
      <w:r w:rsidRPr="0053060C">
        <w:rPr>
          <w:b/>
          <w:i/>
          <w:kern w:val="2"/>
          <w14:ligatures w14:val="standardContextual"/>
        </w:rPr>
        <w:t>Budgetförvaltning och ekonomisk förvaltning</w:t>
      </w:r>
    </w:p>
    <w:p w14:paraId="087DA760"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5.</w:t>
      </w:r>
      <w:r w:rsidRPr="0053060C">
        <w:rPr>
          <w:kern w:val="2"/>
          <w14:ligatures w14:val="standardContextual"/>
        </w:rPr>
        <w:tab/>
        <w:t>Europaparlamentet noterar att utrikestjänstens slutliga budget för 2023 uppgick till 821 900 280 EUR, vilket var en ökning med 4,45 % jämfört med 2022. Parlamentet noterar att utrikestjänsten också erhållit ett belopp på 259,7 miljoner EUR (vilket inkluderar inkomster avsatta för särskilda ändamål och överförda belopp) från kommissionen för att täcka de administrativa kostnaderna för kommissionens personal vid unionens delegationer. Parlamentet noterar vidare att utrikestjänsten mottog ytterligare bidrag till ett fast belopp för att täcka de gemensamma kostnaderna för Europeiska utvecklingsfondens personal vid delegationer och samlokaliseringar, samt andra belopp som mottagits inom ramen för samlokalisering och andra avtal. Parlamentet noterar att det totala budgetbelopp som utrikestjänsten förvaltade 2023 därför uppgick till 1 198,2 miljoner EUR (åtagandebemyndiganden), vilket innebär en ökning med 4,8 % jämfört med föregående år.</w:t>
      </w:r>
    </w:p>
    <w:p w14:paraId="578ABBF4" w14:textId="77777777" w:rsidR="0053060C" w:rsidRPr="0053060C" w:rsidRDefault="0053060C" w:rsidP="0053060C">
      <w:pPr>
        <w:spacing w:after="240"/>
        <w:ind w:left="567" w:hanging="567"/>
        <w:rPr>
          <w:b/>
          <w:kern w:val="2"/>
          <w14:ligatures w14:val="standardContextual"/>
        </w:rPr>
      </w:pPr>
      <w:r w:rsidRPr="0053060C">
        <w:rPr>
          <w:kern w:val="2"/>
          <w14:ligatures w14:val="standardContextual"/>
        </w:rPr>
        <w:t>6.</w:t>
      </w:r>
      <w:r w:rsidRPr="0053060C">
        <w:rPr>
          <w:kern w:val="2"/>
          <w14:ligatures w14:val="standardContextual"/>
        </w:rPr>
        <w:tab/>
        <w:t>Europaparlamentet noterar att budgetgenomförandet av åtagandebemyndigandena under 2023 uppgick till 100 %, medan genomförandegraden för betalningar var 91,9 %, jämfört med 90,6 % 2022. Parlamentet noterar att den genomsnittliga betalningstiden var 13,57 dagar, men noterar samtidigt att 8,63 % av det totala beloppet betalades för sent, vilket ledde till en dröjsmålsränta på 50 253,91 EUR under 2023. Parlamentet uppmanar utrikestjänsten att betala sina åtaganden i tid.</w:t>
      </w:r>
      <w:r w:rsidRPr="0053060C">
        <w:rPr>
          <w:color w:val="FF0000"/>
          <w:kern w:val="2"/>
          <w14:ligatures w14:val="standardContextual"/>
        </w:rPr>
        <w:t xml:space="preserve"> </w:t>
      </w:r>
      <w:r w:rsidRPr="0053060C">
        <w:rPr>
          <w:kern w:val="2"/>
          <w14:ligatures w14:val="standardContextual"/>
        </w:rPr>
        <w:t>Parlamentet uppmanar med kraft utrikestjänsten att fortsätta sina insatser för att öka antalet elektroniska betalningar och digitaliseringen av arbetsflödena, särskilt vid delegationerna.</w:t>
      </w:r>
    </w:p>
    <w:p w14:paraId="005974AF"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w:t>
      </w:r>
      <w:r w:rsidRPr="0053060C">
        <w:rPr>
          <w:kern w:val="2"/>
          <w14:ligatures w14:val="standardContextual"/>
        </w:rPr>
        <w:tab/>
        <w:t xml:space="preserve">Europaparlamentet noterar att utrikestjänsten informerade budgetmyndigheten om två budgetöverföringar i enlighet med artikel 29.1 i budgetförordningen och gjorde 11 autonoma överföringar i enlighet med artikel 29.4, till ett totalt värde av 55,7 miljoner </w:t>
      </w:r>
      <w:r w:rsidRPr="0053060C">
        <w:rPr>
          <w:kern w:val="2"/>
          <w14:ligatures w14:val="standardContextual"/>
        </w:rPr>
        <w:lastRenderedPageBreak/>
        <w:t>EUR. Parlamentet noterar att huvudsyftet med överföringarna var att öka budgetpost 3 0 0 3 för byggnader och därtill hörande kostnader vid delegationerna med 18,97 miljoner EUR och budgetpost 3 0 0 1 för extern personal och externa tjänster vid delegationerna med 5,6 miljoner EUR. Parlamentet noterar att den slutliga budgeten för utrikestjänstens huvudkontor, i och med överföringarna, uppgick till 327,8 miljoner EUR och den slutliga budgeten för delegationerna till 494,1 miljoner EUR.</w:t>
      </w:r>
    </w:p>
    <w:p w14:paraId="02DE066A" w14:textId="77777777" w:rsidR="0053060C" w:rsidRPr="0053060C" w:rsidRDefault="0053060C" w:rsidP="0053060C">
      <w:pPr>
        <w:keepNext/>
        <w:widowControl/>
        <w:spacing w:after="240"/>
        <w:ind w:left="567" w:hanging="567"/>
        <w:rPr>
          <w:kern w:val="2"/>
          <w14:ligatures w14:val="standardContextual"/>
        </w:rPr>
      </w:pPr>
      <w:r w:rsidRPr="0053060C">
        <w:rPr>
          <w:kern w:val="2"/>
          <w14:ligatures w14:val="standardContextual"/>
        </w:rPr>
        <w:t>8.</w:t>
      </w:r>
      <w:r w:rsidRPr="0053060C">
        <w:rPr>
          <w:kern w:val="2"/>
          <w14:ligatures w14:val="standardContextual"/>
        </w:rPr>
        <w:tab/>
        <w:t>Europaparlamentet noterar att utrikestjänsten under 2023 ställdes inför växande politiska och ekonomiska utmaningar samt utmaningar när det gäller mänskliga rättigheter och rättsstatsprincipen. Rysslands anfallskrig mot Ukraina och krigets geopolitiska konsekvenser fortsatte att vara en central fråga under 2023, vilket ledde till att utrikestjänsten säkerställde ett brett stöd till Ukraina, utövade påtryckningar på Ryssland och fortsatte sina globala utåtriktade insatser för att hantera krigets vidare konsekvenser, inbegripet genomförandet av handlingsplanen för de geopolitiska konsekvenserna av Rysslands angrepp mot Ukraina. Parlamentet erkänner utrikestjänstens roll när det gäller att samla in bevis mot ryska statsstödda kanaler och enskilda personer som är föremål för EU-sanktioner och som är inblandade i spridning av desinformation och manipulering av information för att rättfärdiga Rysslands anfallskrig. Parlamentet understryker behovet av att tillhandahålla tillräckliga resurser till utrikestjänstens avdelning för strategisk kommunikation och framförhållning för att effektivt bekämpa desinformationskampanjer som används som strategiska verktyg av auktoritära och illiberala regimer. Parlamentet uppmanar utrikestjänsten att stärka unionens delegationer i länderna inom det östliga partnerskapet och stödja de länder som drabbats hårt av Rysslands militära aggression mot Ukraina. Parlamentet noterar att det finansiella taket för den europeiska fredsfaciliteten, förvaltad under ledning av vice ordföranden/den höga representanten, höjdes från 5,6 miljoner EUR till mer än 12 miljoner EUR 2023. Parlamentet uppmanar utrikestjänsten att samarbeta med GD Utvidgning och det östra grannskapet för att säkerställa effektiv tillsyn och övervakning av de projekt som finansieras genom faciliteten. Parlamentet noterar att den återupplivade konflikten mellan Israel och Palestina efter Hamas attack den 7 oktober 2023 krävde att utrikestjänsten engagerade sig i intensiva diplomatiska insatser, uppmuntrade unionens institutioner att med kraft uppmana till regional nedtrappning, reagerade på humanitära behov och stödde regionala fredsinsatser. Parlamentet framhåller att unionens och utrikestjänstens bistånd måste vara anpassat efter bredare människorätts- och fredsmål i regionen, med starka skyddsåtgärder som säkerställer att medlen varken direkt eller indirekt stöder terroristverksamhet eller våldshandlingar. Parlamentet anser att unionen inte bör ge finansiering till Gazas återuppbyggnad förrän alla som tagits som gisslan av Hamas har släppts. Parlamentet betonar vikten av insyn i fördelningen av finansiella resurser i tredjeländer för att säkerställa ansvarsskyldighet vid användningen av unionens budget och de nya finansieringsinstrumenten.</w:t>
      </w:r>
    </w:p>
    <w:p w14:paraId="1AA8C3C3"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9.</w:t>
      </w:r>
      <w:r w:rsidRPr="0053060C">
        <w:rPr>
          <w:b/>
          <w:i/>
          <w:kern w:val="2"/>
          <w14:ligatures w14:val="standardContextual"/>
        </w:rPr>
        <w:tab/>
      </w:r>
      <w:r w:rsidRPr="0053060C">
        <w:rPr>
          <w:kern w:val="2"/>
          <w14:ligatures w14:val="standardContextual"/>
        </w:rPr>
        <w:t>Europaparlamentet uppmanar med kraft utrikestjänsten att ha ett nära samarbete med kommissionen för att se till att ett fullständigt återlämnande av de rumänska nationella skatterna, tillsammans med andra medlemsstaters nationella kulturarv, förs upp på dagordningen för eventuella framtida åtgärder avseende Ryska federationen.</w:t>
      </w:r>
    </w:p>
    <w:p w14:paraId="576ADAFB" w14:textId="77777777" w:rsidR="0053060C" w:rsidRPr="0053060C" w:rsidRDefault="0053060C" w:rsidP="0053060C">
      <w:pPr>
        <w:spacing w:after="240"/>
        <w:ind w:left="567" w:hanging="567"/>
        <w:rPr>
          <w:bCs/>
          <w:kern w:val="2"/>
          <w:szCs w:val="24"/>
          <w14:ligatures w14:val="standardContextual"/>
        </w:rPr>
      </w:pPr>
      <w:r w:rsidRPr="0053060C">
        <w:rPr>
          <w:kern w:val="2"/>
          <w14:ligatures w14:val="standardContextual"/>
        </w:rPr>
        <w:t>10.</w:t>
      </w:r>
      <w:r w:rsidRPr="0053060C">
        <w:rPr>
          <w:kern w:val="2"/>
          <w14:ligatures w14:val="standardContextual"/>
        </w:rPr>
        <w:tab/>
        <w:t xml:space="preserve">Europaparlamentet påminner om de framförda anklagelserna om att UNRWA-anställda i Gaza var inblandade i Hamas terroristattacker mot Israel den 7 oktober 2023. Parlamentet noterar att nio anställda till följd av dessa anklagelser blivit formellt avskedade av UNRWA. Parlamentet understryker att kommissionen har samarbetat med UNRWA för att förbättra kontrollsystemen, i linje med rekommendationerna från FN:s </w:t>
      </w:r>
      <w:r w:rsidRPr="0053060C">
        <w:rPr>
          <w:kern w:val="2"/>
          <w14:ligatures w14:val="standardContextual"/>
        </w:rPr>
        <w:lastRenderedPageBreak/>
        <w:t xml:space="preserve">kontor för intern tillsyn (OIOS), inbegripet säkerhetskontroll av personal och förstärkning av interna utredningsramar och etiska ramar. Parlamentet har upprepade gånger uttryckt oro över missbruk av EU-medel, och EU-bistånd bör under inga omständigheter finansiera terrorism. Parlamentet uppmanar med kraft till fortsatt vaksamhet över att skattebetalarnas pengar inte missbrukas. Parlamentet betonar vikten av kontroller för att säkerställa att mottagare av EU-medel efterlever unionens regler och internationell rätt, samt behovet av förstärkta åtgärder för att förhindra missbruk av unionens ekonomiska stöd. Parlamentet uppmuntrar utrikestjänsten att stärka insatserna för att skydda EU-medel och att övervaka genomförandet av delmålen i avtalet mellan kommissionsledamot </w:t>
      </w:r>
      <w:proofErr w:type="spellStart"/>
      <w:r w:rsidRPr="0053060C">
        <w:rPr>
          <w:kern w:val="2"/>
          <w14:ligatures w14:val="standardContextual"/>
        </w:rPr>
        <w:t>Várhelyi</w:t>
      </w:r>
      <w:proofErr w:type="spellEnd"/>
      <w:r w:rsidRPr="0053060C">
        <w:rPr>
          <w:kern w:val="2"/>
          <w14:ligatures w14:val="standardContextual"/>
        </w:rPr>
        <w:t xml:space="preserve"> och UNRWA:s generalkommissarie </w:t>
      </w:r>
      <w:proofErr w:type="spellStart"/>
      <w:r w:rsidRPr="0053060C">
        <w:rPr>
          <w:kern w:val="2"/>
          <w14:ligatures w14:val="standardContextual"/>
        </w:rPr>
        <w:t>Lazzarini</w:t>
      </w:r>
      <w:proofErr w:type="spellEnd"/>
      <w:r w:rsidRPr="0053060C">
        <w:rPr>
          <w:kern w:val="2"/>
          <w14:ligatures w14:val="standardContextual"/>
        </w:rPr>
        <w:t xml:space="preserve"> från april 2024, vilket innehåller bestämmelser om genomförande av EU-revisioner och förstärkning av UNRWA:s interna tillsyn. Parlamentet understryker att den palestinska myndigheten måste anpassa alla läromedel till Unescos standarder, särskilt genom att avlägsna allt innehåll som inbegriper antisemitism eller uppmaning till våld. Parlamentet betonar att unionens ekonomiska stöd till den palestinska myndigheten på utbildningsområdet bör tillhandahållas på villkor att dessa standarder uppfylls. Parlamentet uppmuntrar utrikestjänsten att stödja diplomatiska insatser för en övergripande och hållbar lösning på konflikten mellan Israel och Palestina och att hålla parlamentet informerat om utvecklingen i unionens samarbete med den palestinska myndigheten.</w:t>
      </w:r>
    </w:p>
    <w:p w14:paraId="395FB041" w14:textId="77777777" w:rsidR="0053060C" w:rsidRPr="0053060C" w:rsidRDefault="0053060C" w:rsidP="0053060C">
      <w:pPr>
        <w:keepNext/>
        <w:widowControl/>
        <w:spacing w:after="240"/>
        <w:ind w:left="567" w:hanging="567"/>
        <w:rPr>
          <w:kern w:val="2"/>
          <w14:ligatures w14:val="standardContextual"/>
        </w:rPr>
      </w:pPr>
      <w:r w:rsidRPr="0053060C">
        <w:rPr>
          <w:kern w:val="2"/>
          <w14:ligatures w14:val="standardContextual"/>
        </w:rPr>
        <w:t>11.</w:t>
      </w:r>
      <w:r w:rsidRPr="0053060C">
        <w:rPr>
          <w:kern w:val="2"/>
          <w14:ligatures w14:val="standardContextual"/>
        </w:rPr>
        <w:tab/>
        <w:t>Europaparlamentet noterar att utrikestjänsten för 2023 rapporterade betydande budgetbegränsningar som ledde till drastiska nedskärningar och budgetoptimering för att hantera inflationen i tredjeländer, fluktuationer i lokala valutor, prisökningar, särskilt kostnaderna för hyra av kontorslokaler, it, säkerhet och energipriser, vilket innebar att utrikestjänsten drabbades av betydligt högre driftskostnader i tredjeländer så att det påverkade dess förmåga att fungera effektivt och uppfylla aktsamhetskravet gentemot delegationernas personal. Parlamentet beklagar att utrikestjänsten till följd av budgettrycket sköt upp underhållet av infrastruktur, senarelade eller ställde in säkerhetsutgifter vid delegationerna och gjorde nedskärningar i budgetposterna, såsom nedskärningar i budgeten för tjänsteresor och representation, kontorsmateriel och fortbildning. Parlamentet beklagar djupt att utrikestjänsten av budgetskäl varit tvungen att prioritera personalens deltagande i valobservatörsuppdrag framför andra typer av uppdrag, till exempel uppföljningsuppdrag. Parlamentet betonar behovet av att inrätta en EU-diplomattjänst.</w:t>
      </w:r>
    </w:p>
    <w:p w14:paraId="26F98056" w14:textId="72E91293" w:rsidR="0053060C" w:rsidRPr="0053060C" w:rsidRDefault="0053060C" w:rsidP="0053060C">
      <w:pPr>
        <w:spacing w:after="240"/>
        <w:ind w:left="567" w:hanging="567"/>
        <w:rPr>
          <w:b/>
          <w:i/>
          <w:kern w:val="2"/>
          <w:szCs w:val="24"/>
          <w14:ligatures w14:val="standardContextual"/>
        </w:rPr>
      </w:pPr>
      <w:r w:rsidRPr="0053060C">
        <w:rPr>
          <w:kern w:val="2"/>
          <w14:ligatures w14:val="standardContextual"/>
        </w:rPr>
        <w:t>12.</w:t>
      </w:r>
      <w:r w:rsidRPr="0053060C">
        <w:rPr>
          <w:kern w:val="2"/>
          <w14:ligatures w14:val="standardContextual"/>
        </w:rPr>
        <w:tab/>
        <w:t xml:space="preserve">Europaparlamentet noterar att utrikestjänsten </w:t>
      </w:r>
      <w:r>
        <w:rPr>
          <w:kern w:val="2"/>
          <w14:ligatures w14:val="standardContextual"/>
        </w:rPr>
        <w:t>-</w:t>
      </w:r>
      <w:r w:rsidRPr="0053060C">
        <w:rPr>
          <w:kern w:val="2"/>
          <w14:ligatures w14:val="standardContextual"/>
        </w:rPr>
        <w:t xml:space="preserve"> både utrikestjänstens huvudkontor och delegationerna medräknade </w:t>
      </w:r>
      <w:r>
        <w:rPr>
          <w:kern w:val="2"/>
          <w14:ligatures w14:val="standardContextual"/>
        </w:rPr>
        <w:t>-</w:t>
      </w:r>
      <w:r w:rsidRPr="0053060C">
        <w:rPr>
          <w:kern w:val="2"/>
          <w14:ligatures w14:val="standardContextual"/>
        </w:rPr>
        <w:t xml:space="preserve"> under 2023 inledde totalt 28 öppna förfaranden för offentlig upphandling, 27 förhandlade förfaranden under konkurrens, 14 förhandlade förfaranden utan föregående meddelande om upphandling, 6 selektiva förfaranden och 2 förhandlade förfaranden för byggentreprenadkontrakt till medelhögt värde, vilka var framgångsrika och i genomsnitt ledde till tilldelning av ett kontrakt i 52 % av fallen. Parlamentet noterar att de höga standarderna och komplexiteten i unionens upphandlingsregler kan vara en av anledningarna till det relativt stora antalet upphandlingsförfaranden som inte rönte framgång, eftersom tillämpningen av reglerna i fråga kan vara en utmaning för anbudsgivare, särskilt i tredjeländer. Parlamentet uppmanar utrikestjänsten att undersöka orsakerna till det relativt stora antalet misslyckade upphandlingsförfaranden och att föreslå lösningar som säkerställer ett effektivt genomförande av dem samtidigt som unionens standarder upprätthålls. Parlamentet beklagar att upphandlingsreglerna för externa åtgärder har förenklats inom ramen för omarbetningen av budgetförordningen. Parlamentet understryker att </w:t>
      </w:r>
      <w:r w:rsidRPr="0053060C">
        <w:rPr>
          <w:kern w:val="2"/>
          <w14:ligatures w14:val="standardContextual"/>
        </w:rPr>
        <w:lastRenderedPageBreak/>
        <w:t>upphandlingsreglerna är avsedda att säkerställa att finansierade projekt upprätthåller höga standarder och inte är utsatta för bedrägeri. Parlamentet uppmanar utrikestjänsten att alltid sträva efter högsta möjliga granskningsnivå i alla anbudsförfaranden. Parlamentet anser att tredjeländers bristande kännedom om de höga standarderna i EU:s upphandlingsregler aldrig bör vara en förevändning eller ursäkt för att sänka ribban.</w:t>
      </w:r>
    </w:p>
    <w:p w14:paraId="4CBD2B19" w14:textId="77777777" w:rsidR="0053060C" w:rsidRPr="0053060C" w:rsidRDefault="0053060C" w:rsidP="0053060C">
      <w:pPr>
        <w:spacing w:after="240"/>
        <w:ind w:left="567" w:hanging="567"/>
        <w:rPr>
          <w:kern w:val="2"/>
          <w:szCs w:val="23"/>
          <w14:ligatures w14:val="standardContextual"/>
        </w:rPr>
      </w:pPr>
      <w:r w:rsidRPr="0053060C">
        <w:rPr>
          <w:kern w:val="2"/>
          <w14:ligatures w14:val="standardContextual"/>
        </w:rPr>
        <w:t>13.</w:t>
      </w:r>
      <w:r w:rsidRPr="0053060C">
        <w:rPr>
          <w:kern w:val="2"/>
          <w14:ligatures w14:val="standardContextual"/>
        </w:rPr>
        <w:tab/>
        <w:t>Europaparlamentet välkomnar att antalet samlokaliseringar med medlemsstater och andra unionspartner i unionens delegationer var 138 i slutet av 2023, vilket är 12 fler än 2022. Av det totala antalet samlokaliseringar under 2023 ingicks 42 överenskommelser med medlemsstater och partnerländer och 91 med andra unionspartner, medan 5 utgjorde omvända samlokaliseringar. Under 2023 utgjorde samlokaliseringar 8 % av den totala kontorsytan i unionens delegationer och tillämpades vid mer än hälften av unionens delegationer (75), vilket kan ses som ett exempel på framgångsrik optimering av utrikestjänstens fastighetsförvaltning, men också som en indikator på partnernas ökade intresse för att dela lokaler i tredjeländer och betydelsen av samlokalisering i diplomatiska sammanhang.</w:t>
      </w:r>
    </w:p>
    <w:p w14:paraId="102B3F58" w14:textId="77777777" w:rsidR="0053060C" w:rsidRPr="0053060C" w:rsidRDefault="0053060C" w:rsidP="0053060C">
      <w:pPr>
        <w:spacing w:after="240"/>
        <w:ind w:left="567" w:hanging="567"/>
        <w:rPr>
          <w:bCs/>
          <w:iCs/>
          <w:kern w:val="2"/>
          <w14:ligatures w14:val="standardContextual"/>
        </w:rPr>
      </w:pPr>
      <w:r w:rsidRPr="0053060C">
        <w:rPr>
          <w:kern w:val="2"/>
          <w14:ligatures w14:val="standardContextual"/>
        </w:rPr>
        <w:t>14.</w:t>
      </w:r>
      <w:r w:rsidRPr="0053060C">
        <w:rPr>
          <w:kern w:val="2"/>
          <w14:ligatures w14:val="standardContextual"/>
        </w:rPr>
        <w:tab/>
        <w:t>Europaparlamentet noterar att budgeten för tjänsteresor uppgick till 18 948 650 EUR 2023, dvs. en begränsad ökning med 1,46 % jämfört med föregående år, vars syfte var att kompensera för de ökade kostnaderna till följd av inflationen, men att budgeten var otillräcklig jämfört med den faktiska ökningen av resekostnaderna 2023. Parlamentet beklagar att utrikestjänsten inte har någon separat budgetpost för vice ordförandens/den höga representantens tjänsteresor och resor och att vice ordförandens/den höga representantens kostnader för tjänsteresor och resor delas mellan utrikestjänsten och kommissionen beroende på uppdragets syfte. Parlamentet noterar slutligen att utrikestjänsten under 2023 hade kostnader på 2 995,14 EUR för sex tjänsteresor för vice ordföranden/den höga representanten och kostnader på 288 145 EUR för flygtaxi, vilket är en minskning med 51 % jämfört med 2022 då kostnaderna för flygtaxi uppgick till 588 103 EUR. Parlamentet understryker att ledarna för unionens institutioner bör föregå med gott exempel för allmänheten och medborgarna, särskilt när de använder EU-medel för att utföra sina uppgifter. Parlamentet betonar att flygalternativen bör väljas på grundval av kriterier för sund ekonomisk förvaltning, förutsatt att sådana alternativ finns tillgängliga och är i linje med sammanträdenas dagordning och plats. Parlamentet betonar att öppenhet och sund ekonomisk förvaltning vid användning av unionens offentliga medel måste förbli en central princip för alla unionens institutioner.</w:t>
      </w:r>
    </w:p>
    <w:p w14:paraId="6629BD9A" w14:textId="5FC9C02A" w:rsidR="0053060C" w:rsidRPr="0053060C" w:rsidRDefault="0053060C" w:rsidP="0053060C">
      <w:pPr>
        <w:spacing w:after="240"/>
        <w:ind w:left="567" w:hanging="567"/>
        <w:rPr>
          <w:kern w:val="2"/>
          <w14:ligatures w14:val="standardContextual"/>
        </w:rPr>
      </w:pPr>
      <w:r w:rsidRPr="0053060C">
        <w:rPr>
          <w:kern w:val="2"/>
          <w14:ligatures w14:val="standardContextual"/>
        </w:rPr>
        <w:t>15.</w:t>
      </w:r>
      <w:r w:rsidRPr="0053060C">
        <w:rPr>
          <w:kern w:val="2"/>
          <w14:ligatures w14:val="standardContextual"/>
        </w:rPr>
        <w:tab/>
        <w:t xml:space="preserve">Europaparlamentet understryker den negativa inverkan som dessa nedskärningar kan ha på genomförandet av instrumenten för yttre förbindelser, såsom instrumentet för grannskapet, utvecklingssamarbete och internationellt samarbete </w:t>
      </w:r>
      <w:r>
        <w:rPr>
          <w:kern w:val="2"/>
          <w14:ligatures w14:val="standardContextual"/>
        </w:rPr>
        <w:t>-</w:t>
      </w:r>
      <w:r w:rsidRPr="0053060C">
        <w:rPr>
          <w:kern w:val="2"/>
          <w14:ligatures w14:val="standardContextual"/>
        </w:rPr>
        <w:t xml:space="preserve"> Europa i världen (NDICI - Europa i världen) och Global </w:t>
      </w:r>
      <w:proofErr w:type="spellStart"/>
      <w:r w:rsidRPr="0053060C">
        <w:rPr>
          <w:kern w:val="2"/>
          <w14:ligatures w14:val="standardContextual"/>
        </w:rPr>
        <w:t>Gateway</w:t>
      </w:r>
      <w:proofErr w:type="spellEnd"/>
      <w:r w:rsidRPr="0053060C">
        <w:rPr>
          <w:kern w:val="2"/>
          <w14:ligatures w14:val="standardContextual"/>
        </w:rPr>
        <w:t>. Parlamentet understryker behovet av att tillhandahålla tillräckliga resurser till utrikestjänstens avdelning för strategisk kommunikation och framförhållning för att fortsätta att effektivt bekämpa desinformationskampanjer som används som strategiska verktyg av auktoritära och illiberala regimer. Parlamentet välkomnar i detta avseende tillkännagivandet av inrättandet av en arbetsgrupp för strategisk kommunikation och motverkande av informationsmanipulering inom kommissionens generaldirektorat för kommunikation.</w:t>
      </w:r>
    </w:p>
    <w:p w14:paraId="6A5BA458"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16.</w:t>
      </w:r>
      <w:r w:rsidRPr="0053060C">
        <w:rPr>
          <w:kern w:val="2"/>
          <w14:ligatures w14:val="standardContextual"/>
        </w:rPr>
        <w:tab/>
        <w:t>Europaparlamentet insisterar på en budgetökning för åtgärder inom ramen för den gemensamma utrikes- och säkerhetspolitiken (</w:t>
      </w:r>
      <w:proofErr w:type="spellStart"/>
      <w:r w:rsidRPr="0053060C">
        <w:rPr>
          <w:kern w:val="2"/>
          <w14:ligatures w14:val="standardContextual"/>
        </w:rPr>
        <w:t>Gusp</w:t>
      </w:r>
      <w:proofErr w:type="spellEnd"/>
      <w:r w:rsidRPr="0053060C">
        <w:rPr>
          <w:kern w:val="2"/>
          <w14:ligatures w14:val="standardContextual"/>
        </w:rPr>
        <w:t xml:space="preserve">) och andra lämpliga freds-, konflikt- och krishanteringsinstrument, liksom IT och säkerhetsprotokoll, för att fullt ut anpassa EU:s verksamhet och kapacitet till aktuella utmaningar och konflikter runt om i </w:t>
      </w:r>
      <w:r w:rsidRPr="0053060C">
        <w:rPr>
          <w:kern w:val="2"/>
          <w14:ligatures w14:val="standardContextual"/>
        </w:rPr>
        <w:lastRenderedPageBreak/>
        <w:t>världen.</w:t>
      </w:r>
    </w:p>
    <w:p w14:paraId="58BCB748" w14:textId="77777777" w:rsidR="0053060C" w:rsidRPr="0053060C" w:rsidRDefault="0053060C" w:rsidP="0053060C">
      <w:pPr>
        <w:spacing w:after="240"/>
        <w:ind w:left="567" w:hanging="567"/>
        <w:rPr>
          <w:b/>
          <w:i/>
          <w:kern w:val="2"/>
          <w14:ligatures w14:val="standardContextual"/>
        </w:rPr>
      </w:pPr>
      <w:r w:rsidRPr="0053060C">
        <w:rPr>
          <w:b/>
          <w:i/>
          <w:kern w:val="2"/>
          <w14:ligatures w14:val="standardContextual"/>
        </w:rPr>
        <w:t>Intern förvaltning, resultat och intern kontroll</w:t>
      </w:r>
    </w:p>
    <w:p w14:paraId="5AD033E6"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17.</w:t>
      </w:r>
      <w:r w:rsidRPr="0053060C">
        <w:rPr>
          <w:kern w:val="2"/>
          <w14:ligatures w14:val="standardContextual"/>
        </w:rPr>
        <w:tab/>
        <w:t xml:space="preserve">Europaparlamentet noterar att utrikestjänsten, efter en intern omorganisation, inrättade en ny tjänst för verksamhetsstyrning (Corporate </w:t>
      </w:r>
      <w:proofErr w:type="spellStart"/>
      <w:r w:rsidRPr="0053060C">
        <w:rPr>
          <w:kern w:val="2"/>
          <w14:ligatures w14:val="standardContextual"/>
        </w:rPr>
        <w:t>Governance</w:t>
      </w:r>
      <w:proofErr w:type="spellEnd"/>
      <w:r w:rsidRPr="0053060C">
        <w:rPr>
          <w:kern w:val="2"/>
          <w14:ligatures w14:val="standardContextual"/>
        </w:rPr>
        <w:t xml:space="preserve"> Service) i oktober 2023, bestående av tre avdelningar med ansvar för inspektioner, internrevision och planering, rapportering och efterlevnadsfrågor, för att göra det möjligt för utrikestjänsten att uppnå större ansvarsskyldighet, en bättre förvaltning och bättre övervakning av verksamheten. Parlamentet välkomnar att en styrelse för verksamhetsstyrningen också inrättades för att säkerställa samstämdhet i förvaltningsfrågor inom utrikestjänsten. Parlamentet noterar vidare att utrikestjänsten inrättade direktoratet för fred, säkerhet och försvar, direktoratet för fred, partnerskap och krishantering och två nya avdelningar för hybridhot och cyberfrågor samt sjöfartsskydd för att bättre stödja unionens arbete i säkerhets- och försvarsfrågor.</w:t>
      </w:r>
    </w:p>
    <w:p w14:paraId="0063EA3B"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18.</w:t>
      </w:r>
      <w:r w:rsidRPr="0053060C">
        <w:rPr>
          <w:kern w:val="2"/>
          <w14:ligatures w14:val="standardContextual"/>
        </w:rPr>
        <w:tab/>
        <w:t>Europaparlamentet noterar att tjänsten för verksamhetsstyrning under 2023 genomförde en kontroll av ändamålsenligheten i styrningsprocesserna och styrningspolicyerna. Parlamentet välkomnar att utrikestjänsten, som en del av den processen, uppdaterade stadgan för kommittén för revisionsuppföljning och reviderade sin ram för intern kontroll, sin årliga förvaltningsplan och sin ram för riskhantering.</w:t>
      </w:r>
    </w:p>
    <w:p w14:paraId="141D8D96" w14:textId="33C41E10" w:rsidR="0053060C" w:rsidRPr="0053060C" w:rsidRDefault="0053060C" w:rsidP="0053060C">
      <w:pPr>
        <w:spacing w:after="240"/>
        <w:ind w:left="567" w:hanging="567"/>
        <w:rPr>
          <w:b/>
          <w:i/>
          <w:kern w:val="2"/>
          <w14:ligatures w14:val="standardContextual"/>
        </w:rPr>
      </w:pPr>
      <w:r w:rsidRPr="0053060C">
        <w:rPr>
          <w:kern w:val="2"/>
          <w14:ligatures w14:val="standardContextual"/>
        </w:rPr>
        <w:t>19.</w:t>
      </w:r>
      <w:r w:rsidRPr="0053060C">
        <w:rPr>
          <w:kern w:val="2"/>
          <w14:ligatures w14:val="standardContextual"/>
        </w:rPr>
        <w:tab/>
        <w:t>Europaparlamentet noterar att i linje med utrikestjänstens revisionsplan för 2023 slutfördes tre revisioner under 2023, närmare bestämt en revision av förvaltningen av registret över undantag och fall av bristande efterlevnad och två revisioner av förvaltningen av lokalanställdas löner samt rekrytering och förvaltning i samband med lokalanställda och motsvarande lokal personal. Parlamentet noterar vidare med stor oro att en planerad säkerhetsrevision inte kunnat inledas under 2023 på grund av en organisatorisk omstrukturering och tillhörande personalomsättning inom internrevisionsfunktionen, och att en sådan revision kommer att omprövas inom ramen för utarbetandet av den fleråriga strategiska internrevisionsplanen för 2025</w:t>
      </w:r>
      <w:r>
        <w:rPr>
          <w:kern w:val="2"/>
          <w14:ligatures w14:val="standardContextual"/>
        </w:rPr>
        <w:t>-</w:t>
      </w:r>
      <w:r w:rsidRPr="0053060C">
        <w:rPr>
          <w:kern w:val="2"/>
          <w14:ligatures w14:val="standardContextual"/>
        </w:rPr>
        <w:t>2027. Parlamentet betonar vikten av att genomföra internrevisioner omsorgsfullt och regelbundet. Parlamentet beklagar djupt att 4 kritiska och 49 mycket viktiga revisionsrekommendationer i samband med slutförda revisioner förblev oavslutade under 2023. Parlamentet vill hållas underrättat om genomförandet av rekommendationerna.</w:t>
      </w:r>
    </w:p>
    <w:p w14:paraId="4CCD7727"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20.</w:t>
      </w:r>
      <w:r w:rsidRPr="0053060C">
        <w:rPr>
          <w:kern w:val="2"/>
          <w14:ligatures w14:val="standardContextual"/>
        </w:rPr>
        <w:tab/>
        <w:t>Europaparlamentet noterar att revisionsrätten i december 2023 antog sin slutrapport efter sin revision av utrikestjänstens samordnande roll, där syftet var att bedöma huruvida samordningen, särskilt när det gäller informationshantering, personal och rapportering, både internt och med kommissionen och rådet, var ändamålsenlig. Parlamentet noterar att vissa av revisionsrekommendationerna redan under 2023 omfattades av pågående initiativ, såsom att skicka uppdragsbeskrivningar till de nyutnämnda ambassadörerna innan dessa tillträdde respektive tjänst och de insatser som utrikestjänsten gjort sedan 2019 för att genomföra sin informationshanteringsstrategi. Parlamentet uppmanar utrikestjänsten att fullt ut genomföra rekommendationerna i revisionsrättens rapport för att åtgärda identifierade brister i informationshanteringen, både inom dess huvudkontor och unionens delegationer i länder utanför EU samt inom vice ordförandens/den höga representantens privata kansli. Parlamentet vill hållas underrättat om uppföljningen av revisionsrättens rekommendationer.</w:t>
      </w:r>
    </w:p>
    <w:p w14:paraId="0160FC34"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lastRenderedPageBreak/>
        <w:t>21.</w:t>
      </w:r>
      <w:r w:rsidRPr="0053060C">
        <w:rPr>
          <w:kern w:val="2"/>
          <w14:ligatures w14:val="standardContextual"/>
        </w:rPr>
        <w:tab/>
        <w:t>Europaparlamentet noterar att säkerhet, byggnader och administrativa bördor identifierades som de största utmaningarna för delegationerna på grundval av de 26 inspektioner som utfördes vid delegationerna 2023. Parlamentet noterar att utrikestjänsten har infört åtgärder för hantering av säkerhetsrisker vid delegationerna på grundval av internationella standarder och bästa praxis. Parlamentet noterar att utrikestjänstens inspektionstjänst under 2023 utarbetade fem kritiska rekommendationer som alla gällde förvaltningen av tre delegationer. Parlamentet noterar att rekommendationerna i samtliga fall hanterades genom ökad tillsyn och ökat stöd från utrikestjänstens huvudkontor. Parlamentet välkomnar den verktygslåda som utrikestjänsten har tagit fram för att hantera situationer rörande intern förvaltning.</w:t>
      </w:r>
    </w:p>
    <w:p w14:paraId="00B80533"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22.</w:t>
      </w:r>
      <w:r w:rsidRPr="0053060C">
        <w:rPr>
          <w:kern w:val="2"/>
          <w14:ligatures w14:val="standardContextual"/>
        </w:rPr>
        <w:tab/>
        <w:t>Europaparlamentet noterar att tre av unionens delegationer (Centralafrikanska republiken, Sierra Leone och Syrien) 2023 lämnade in reservationer i sina revisionsförklaringar, främst om de driftsbudgetposter som förvaltas av kommissionen. Parlamentet betonar att dessa reservationer inte hade någon betydande ekonomisk inverkan på den administrativa budgeten under utrikestjänstens ansvar.</w:t>
      </w:r>
    </w:p>
    <w:p w14:paraId="2EAC32BF"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23.</w:t>
      </w:r>
      <w:r w:rsidRPr="0053060C">
        <w:rPr>
          <w:kern w:val="2"/>
          <w14:ligatures w14:val="standardContextual"/>
        </w:rPr>
        <w:tab/>
        <w:t>Europaparlamentet uppmanar utrikestjänsten och kommissionen att i nära samarbete med förbindelsekontoret i Washington DC och EU:s delegation i Förenta staterna identifiera, finansiera och genomföra initiativ som syftar till att stärka de transatlantiska förbindelserna, inbegripet utbytesprogram för yrkesverksamma vid offentliga institutioner i både EU och Förenta staterna.</w:t>
      </w:r>
    </w:p>
    <w:p w14:paraId="1F2397B9" w14:textId="77777777" w:rsidR="0053060C" w:rsidRPr="0053060C" w:rsidRDefault="0053060C" w:rsidP="0053060C">
      <w:pPr>
        <w:widowControl/>
        <w:spacing w:after="240"/>
        <w:ind w:left="567" w:hanging="567"/>
        <w:rPr>
          <w:b/>
          <w:i/>
          <w:kern w:val="2"/>
          <w14:ligatures w14:val="standardContextual"/>
        </w:rPr>
      </w:pPr>
      <w:r w:rsidRPr="0053060C">
        <w:rPr>
          <w:kern w:val="2"/>
          <w14:ligatures w14:val="standardContextual"/>
        </w:rPr>
        <w:t>24.</w:t>
      </w:r>
      <w:r w:rsidRPr="0053060C">
        <w:rPr>
          <w:kern w:val="2"/>
          <w14:ligatures w14:val="standardContextual"/>
        </w:rPr>
        <w:tab/>
        <w:t>Europaparlamentet uppmanar utrikestjänsten och unionens delegationer att intensifiera övervakningen av situationen för demokratin i olika länder och att öka det logistiska och tekniska stödet till människorättsförsvarare och försvarare av urbefolkningar, med särskilt fokus på kvinnor.</w:t>
      </w:r>
    </w:p>
    <w:p w14:paraId="33806697"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25.</w:t>
      </w:r>
      <w:r w:rsidRPr="0053060C">
        <w:rPr>
          <w:kern w:val="2"/>
          <w14:ligatures w14:val="standardContextual"/>
        </w:rPr>
        <w:tab/>
        <w:t>Europaparlamentet påminner i detta avseende om att vårt stöd till mänskliga rättigheter, demokrati och utveckling i tredjeländer måste stärkas ytterligare, genom NDICI - Europa i världen, eftersom en värld med demokratier är en säkrare värld. Parlamentet understryker att resurserna till EU:s digitala diplomati bör ökas med tanke på den nuvarande situationen med snabba tekniska framsteg och geopolitisk konkurrens. Parlamentet insisterar på att ”grön diplomati” och den gröna omställningen, som en av EU:s prioriteringar, bör stärkas gentemot tredjeländer genom EU:s yttre åtgärder. Parlamentet betonar att utrikestjänsten måste spela en central roll för att främja fred och stabilitet i Mellanöstern, öka finansieringen för att säkerställa humanitärt bistånd i Libanon, Gaza och Syrien och stärka övervakningen av de mänskliga rättigheterna. Parlamentet betonar vikten av ekonomiskt stöd till utrikestjänstens delegationer i Mellanöstern, Gulfstaterna och Afrika för att säkerställa att de kan fortsätta att genomföra EU:s yttre åtgärder i regionen.</w:t>
      </w:r>
    </w:p>
    <w:p w14:paraId="5FEC90E6"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26.</w:t>
      </w:r>
      <w:r w:rsidRPr="0053060C">
        <w:rPr>
          <w:kern w:val="2"/>
          <w14:ligatures w14:val="standardContextual"/>
        </w:rPr>
        <w:tab/>
        <w:t>Europaparlamentet noterar att revisionsrätten i sin särskilda rapport nr 14/2023 konstaterade brister i de metoder som kommissionen och utrikestjänsten använde för att fördela medel till partnerländer och i inrättandet av övervakningsramen, och rekommenderade kommissionen och utrikestjänsten att särskilt förbättra metoden för tilldelning av medel och bedömningen av EU-stödets effekter, fokusera programplaneringsprocessens omfattning och förenkla och konsekvent använda indikatorerna i de fleråriga vägledande programmen.</w:t>
      </w:r>
    </w:p>
    <w:p w14:paraId="117FA82E"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27.</w:t>
      </w:r>
      <w:r w:rsidRPr="0053060C">
        <w:rPr>
          <w:kern w:val="2"/>
          <w14:ligatures w14:val="standardContextual"/>
        </w:rPr>
        <w:tab/>
        <w:t xml:space="preserve">Europaparlamentet välkomnar utnämningen av EU:s första särskilda representant för </w:t>
      </w:r>
      <w:r w:rsidRPr="0053060C">
        <w:rPr>
          <w:kern w:val="2"/>
          <w14:ligatures w14:val="standardContextual"/>
        </w:rPr>
        <w:lastRenderedPageBreak/>
        <w:t>Gulfregionen.</w:t>
      </w:r>
    </w:p>
    <w:p w14:paraId="6963959F" w14:textId="005FB50E" w:rsidR="0053060C" w:rsidRPr="0053060C" w:rsidRDefault="0053060C" w:rsidP="0053060C">
      <w:pPr>
        <w:spacing w:after="240"/>
        <w:ind w:left="567" w:hanging="567"/>
        <w:rPr>
          <w:kern w:val="2"/>
          <w14:ligatures w14:val="standardContextual"/>
        </w:rPr>
      </w:pPr>
      <w:r w:rsidRPr="0053060C">
        <w:rPr>
          <w:kern w:val="2"/>
          <w14:ligatures w14:val="standardContextual"/>
        </w:rPr>
        <w:t>28.</w:t>
      </w:r>
      <w:r w:rsidRPr="0053060C">
        <w:rPr>
          <w:kern w:val="2"/>
          <w14:ligatures w14:val="standardContextual"/>
        </w:rPr>
        <w:tab/>
        <w:t>Europaparlamentet betonar att den senaste tidens händelser, särskilt Rysslands fullskaliga invasion av Ukraina och dess fientliga försök att påverka de demokratiska processerna i Europa samt den växande instabiliteten i Mellanöstern, har gjort att EU:s utrikespolitik och dess genomförande har hamnat i förgrunden jämfört med EU-medlemsstaternas och EU-institutionernas andra angelägna frågor. Parlamentet understryker den centrala roll som utrikestjänsten och dess delegationer spelar i genomförandet av unionens utrikespolitik och i kampen mot utländsk informationsmanipulering och inblandning. Parlamentet betonar utrikestjänstens betydelse för EU:s förbindelser med de 25</w:t>
      </w:r>
      <w:r>
        <w:rPr>
          <w:kern w:val="2"/>
          <w14:ligatures w14:val="standardContextual"/>
        </w:rPr>
        <w:t>-</w:t>
      </w:r>
      <w:r w:rsidRPr="0053060C">
        <w:rPr>
          <w:kern w:val="2"/>
          <w14:ligatures w14:val="standardContextual"/>
        </w:rPr>
        <w:t>30 miljoner EU-medborgare som bor utanför unionen. Parlamentet konstaterar att utrikestjänstens budget, som redan är strukturellt underfinansierad, drabbades oproportionerligt hårt jämfört med andra EU-institutioner av den högre inflationstakten och den efterföljande energikrisen till följd av Rysslands anfallskrig i Ukraina, och är oroat över dessa negativa konsekvenser för utrikestjänsten och EU-institutionernas prestation och bristen på åtgärder för att rätta till den nuvarande budgetsituationen som allvarligt kan påverka EU:s förbindelser med tredjeländer.</w:t>
      </w:r>
    </w:p>
    <w:p w14:paraId="2C6FD559"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29.</w:t>
      </w:r>
      <w:r w:rsidRPr="0053060C">
        <w:rPr>
          <w:kern w:val="2"/>
          <w14:ligatures w14:val="standardContextual"/>
        </w:rPr>
        <w:tab/>
        <w:t>Europaparlamentet välkomnar det orubbliga stödet till Ukraina, bland annat genom EU:s civila rådgivande uppdrag (EUAM Ukraina) och utbildningen av ukrainska soldater inom ramen för EU:s uppdrag för militärt bistånd (</w:t>
      </w:r>
      <w:proofErr w:type="spellStart"/>
      <w:r w:rsidRPr="0053060C">
        <w:rPr>
          <w:kern w:val="2"/>
          <w14:ligatures w14:val="standardContextual"/>
        </w:rPr>
        <w:t>Eumam</w:t>
      </w:r>
      <w:proofErr w:type="spellEnd"/>
      <w:r w:rsidRPr="0053060C">
        <w:rPr>
          <w:kern w:val="2"/>
          <w14:ligatures w14:val="standardContextual"/>
        </w:rPr>
        <w:t>).</w:t>
      </w:r>
    </w:p>
    <w:p w14:paraId="59586FFA"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30.</w:t>
      </w:r>
      <w:r w:rsidRPr="0053060C">
        <w:rPr>
          <w:kern w:val="2"/>
          <w14:ligatures w14:val="standardContextual"/>
        </w:rPr>
        <w:tab/>
        <w:t>Europaparlamentet betonar att EU måste öka finansieringen för att förstärka den särskilda budgetposten för jämställdhet och agendan för kvinnor, fred och säkerhet, i syfte att säkerställa konsekvent finansiering av initiativ som främjar jämställdhetsorienterat ledarskap, skyddar kvinnors rättigheter och motverkar sexuellt och könsrelaterat våld i konfliktsituationer och efter konflikter. Parlamentet betonar att sådan finansiering är avgörande för att stödja lokala civilsamhällesorganisationer, tillhandahålla stöd till överlevande och integrera jämställdhetsperspektivet i EU:s diplomatiska insatser och säkerhetsinsatser.</w:t>
      </w:r>
    </w:p>
    <w:p w14:paraId="30CCAFF3"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31.</w:t>
      </w:r>
      <w:r w:rsidRPr="0053060C">
        <w:rPr>
          <w:kern w:val="2"/>
          <w14:ligatures w14:val="standardContextual"/>
        </w:rPr>
        <w:tab/>
        <w:t>Europaparlamentet betonar att det i den tredje handlingsplanen för jämställdhet anges att 85 % av de nya EU-åtgärderna måste bidra till jämställdhet och kvinnors och flickors egenmakt. Parlamentet uppmanar utrikestjänsten att påskynda framstegen mot målen i den tredje handlingsplanen genom att i sitt dagliga arbete och på ett meningsfullt sätt fokusera på den tredje handlingsplanens centrala insatsområden, däribland att få ett slut på könsrelaterat våld och främja sexuell och reproduktiv hälsa och rättigheter, ekonomiska och sociala rättigheter och egenmakt, lika deltagande och ledarskap. Parlamentet noterar att den tredje handlingsplanen för jämställdhet löper ut 2027 och uppmanar med kraft utrikestjänsten att utveckla en mer ambitiös fjärde handlingsplan för jämställdhet som säkerställer en starkare koppling mellan kvinnors rättigheter och egenmakt och EU:s utrikes- och säkerhetspolitik och som är redo att genomföras från och med 2028.</w:t>
      </w:r>
    </w:p>
    <w:p w14:paraId="3786C6DC"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32.</w:t>
      </w:r>
      <w:r w:rsidRPr="0053060C">
        <w:rPr>
          <w:kern w:val="2"/>
          <w14:ligatures w14:val="standardContextual"/>
        </w:rPr>
        <w:tab/>
        <w:t>Europaparlamentet understryker den extremt utsatta situationen för barn i världen, särskilt i väpnade konflikter. Parlamentet uttrycker allvarlig oro över de tiotusentals barn som under 2023 drabbades av väpnade konflikter runt om i världen och som utsattes för övergrepp och kränkningar av sina mest grundläggande rättigheter. Parlamentet uppmanar utrikestjänsten att sätta barns rättigheter i centrum för sina insatser.</w:t>
      </w:r>
    </w:p>
    <w:p w14:paraId="4887A7A2"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lastRenderedPageBreak/>
        <w:t>33.</w:t>
      </w:r>
      <w:r w:rsidRPr="0053060C">
        <w:rPr>
          <w:kern w:val="2"/>
          <w14:ligatures w14:val="standardContextual"/>
        </w:rPr>
        <w:tab/>
        <w:t>Europaparlamentet påminner om den dystra situationen för kvinnors rättigheter och hbtqi+-rättigheter i många delar av världen. Parlamentet betonar det akuta behovet av att bättre skydda dessa rättigheter. Parlamentet framhåller utrikestjänstens centrala roll när det gäller att främja mänskliga rättigheter runt om i världen. Parlamentet uppmanar utrikestjänsten att öka sina insatser i detta avseende.</w:t>
      </w:r>
    </w:p>
    <w:p w14:paraId="1736D728"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34.</w:t>
      </w:r>
      <w:r w:rsidRPr="0053060C">
        <w:rPr>
          <w:kern w:val="2"/>
          <w14:ligatures w14:val="standardContextual"/>
        </w:rPr>
        <w:tab/>
        <w:t>Europaparlamentet ser valobservatörsuppdrag som ett praktiskt och effektivt utrikespolitiskt instrument som förblir centralt för EU:s politik och strategier för demokratistöd. Parlamentet uppmanar EU att säkerställa tillräckliga resurser till EU:s valobservatörsuppdrag, även i syfte att utvidga dem till val i kandidatländer och grannländer.</w:t>
      </w:r>
    </w:p>
    <w:p w14:paraId="2DE8E330" w14:textId="77777777" w:rsidR="0053060C" w:rsidRPr="0053060C" w:rsidRDefault="0053060C" w:rsidP="0053060C">
      <w:pPr>
        <w:spacing w:after="240"/>
        <w:ind w:left="567" w:hanging="567"/>
        <w:rPr>
          <w:b/>
          <w:i/>
          <w:kern w:val="2"/>
          <w14:ligatures w14:val="standardContextual"/>
        </w:rPr>
      </w:pPr>
      <w:r w:rsidRPr="0053060C">
        <w:rPr>
          <w:b/>
          <w:i/>
          <w:kern w:val="2"/>
          <w14:ligatures w14:val="standardContextual"/>
        </w:rPr>
        <w:t>Personalresurser, jämställdhet och personalens välbefinnande</w:t>
      </w:r>
    </w:p>
    <w:p w14:paraId="5A60711E" w14:textId="77777777" w:rsidR="0053060C" w:rsidRPr="0053060C" w:rsidRDefault="0053060C" w:rsidP="0053060C">
      <w:pPr>
        <w:widowControl/>
        <w:spacing w:after="240"/>
        <w:ind w:left="567" w:hanging="567"/>
        <w:rPr>
          <w:kern w:val="2"/>
          <w14:ligatures w14:val="standardContextual"/>
        </w:rPr>
      </w:pPr>
      <w:r w:rsidRPr="0053060C">
        <w:rPr>
          <w:kern w:val="2"/>
          <w14:ligatures w14:val="standardContextual"/>
        </w:rPr>
        <w:t>35.</w:t>
      </w:r>
      <w:r w:rsidRPr="0053060C">
        <w:rPr>
          <w:kern w:val="2"/>
          <w14:ligatures w14:val="standardContextual"/>
        </w:rPr>
        <w:tab/>
        <w:t>Europaparlamentet noterar att tillsättningsgraden i tjänsteförteckningen vid utgången av 2023 låg på 96,7 %. Parlamentet noterar att utrikestjänsten hade totalt 2 812 anställda, inbegripet 1 245 tjänstemän, 450 tillfälligt anställda, 603 kontraktsanställda och 514 utstationerade nationella experter. Parlamentet noterar att av det totala antalet tjänstemän och tillfälligt anställda vid utrikestjänsten, antingen vid dess huvudkontor eller vid delegationerna, utgjorde 62,5 % handläggare, 32,8 % assistenter och 4,8 % sekreterare.</w:t>
      </w:r>
    </w:p>
    <w:p w14:paraId="40E06D15"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36.</w:t>
      </w:r>
      <w:r w:rsidRPr="0053060C">
        <w:rPr>
          <w:kern w:val="2"/>
          <w14:ligatures w14:val="standardContextual"/>
        </w:rPr>
        <w:tab/>
        <w:t>Europaparlamentet noterar att totalt 5 252 personer arbetade vid utrikestjänsten i slutet av 2023, anställda antingen direkt av utrikestjänsten eller genom externa uppdragstagare, varav 46,2 % arbetade vid utrikestjänstens huvudkontor och 53,8 % vid delegationerna. Parlamentet noterar att av det totala antalet personer som arbetade vid utrikestjänsten utgjorde 46,5 % icke-ordinarie personal eller externa uppdragstagare. Parlamentet noterar att det största antalet externa anställda som är anställda av en extern uppdragstagare men som arbetar i utrikestjänstens lokaler tillhandahåller tjänster på områdena informationsteknik, säkerhet och hälso- och sjukvård.</w:t>
      </w:r>
    </w:p>
    <w:p w14:paraId="7CC588A8"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37.</w:t>
      </w:r>
      <w:r w:rsidRPr="0053060C">
        <w:rPr>
          <w:kern w:val="2"/>
          <w14:ligatures w14:val="standardContextual"/>
        </w:rPr>
        <w:tab/>
        <w:t xml:space="preserve">Europaparlamentet noterar att utrikestjänsten under 2023 mottog 36 heltidsekvivalenter från budgetmyndigheten, däribland 31 kontraktsanställda och fem kostnadsdelade utstationerade nationella experter. Parlamentet noterar att de ytterligare resurserna anslogs till krishanteringsfunktioner, till genomförandet av den strategiska kompassen och till andra av utrikestjänstens prioriteringar. Parlamentet noterar att utrikestjänsten i slutet av 2023 mottog ytterligare 20 kostnadsfria utstationerade nationella experter för strukturerna för militär planerings- och </w:t>
      </w:r>
      <w:proofErr w:type="spellStart"/>
      <w:r w:rsidRPr="0053060C">
        <w:rPr>
          <w:kern w:val="2"/>
          <w14:ligatures w14:val="standardContextual"/>
        </w:rPr>
        <w:t>ledningskapacitet</w:t>
      </w:r>
      <w:proofErr w:type="spellEnd"/>
      <w:r w:rsidRPr="0053060C">
        <w:rPr>
          <w:kern w:val="2"/>
          <w14:ligatures w14:val="standardContextual"/>
        </w:rPr>
        <w:t>.</w:t>
      </w:r>
    </w:p>
    <w:p w14:paraId="4118808E"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38.</w:t>
      </w:r>
      <w:r w:rsidRPr="0053060C">
        <w:rPr>
          <w:kern w:val="2"/>
          <w14:ligatures w14:val="standardContextual"/>
        </w:rPr>
        <w:tab/>
        <w:t>Europaparlamentet konstaterar att utrikestjänstens stadgeenliga personal i slutet av 2023 utgjordes av 52,7 % män och 47,3 % kvinnor, vilket återspeglar en liten ökning av kvinnors representation jämfört med 2022, då 46,8 % av personalen var kvinnor. Parlamentet välkomnar de blygsamma framstegen i könsbalansen på högsta ledningsnivå, där kvinnors representation ökade från 6,3 % 2022 till 7,6 % 2023, och på mellanchefsnivå, där den ökade från 30,1 % 2022 till 30,4 % 2023. Parlamentet uppmanar utrikestjänsten att intensifiera insatserna för att uppnå en mer omfattande och synlig könsfördelning på alla nivåer i organisationen.</w:t>
      </w:r>
    </w:p>
    <w:p w14:paraId="6408943C"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39.</w:t>
      </w:r>
      <w:r w:rsidRPr="0053060C">
        <w:rPr>
          <w:kern w:val="2"/>
          <w14:ligatures w14:val="standardContextual"/>
        </w:rPr>
        <w:tab/>
        <w:t xml:space="preserve">Europaparlamentet välkomnar den vice ordförandens/den höga representantens och kommissionens offentliggörande av halvtidsrapporten om genomförandet av EU:s tredje handlingsplan för jämställdhet i slutet av 2023, samt beslutet att förlänga tidsfristen till </w:t>
      </w:r>
      <w:r w:rsidRPr="0053060C">
        <w:rPr>
          <w:kern w:val="2"/>
          <w14:ligatures w14:val="standardContextual"/>
        </w:rPr>
        <w:lastRenderedPageBreak/>
        <w:t>2027 för att anpassa den till den fleråriga budgetramen. Parlamentet erkänner handlingsplanens betydelse i främjandet av jämställdhet mellan könen som en strategisk prioritering i unionens externa åtgärder och stärka dess roll på detta område. Parlamentet välkomnar att ambassadören för jämställdhet och mångfald anordnar de första utbildningarna om jämställdhetsorienterat ledarskap för högre chefer i slutet av 2023.</w:t>
      </w:r>
    </w:p>
    <w:p w14:paraId="382BBB08"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40.</w:t>
      </w:r>
      <w:r w:rsidRPr="0053060C">
        <w:rPr>
          <w:kern w:val="2"/>
          <w14:ligatures w14:val="standardContextual"/>
        </w:rPr>
        <w:tab/>
        <w:t xml:space="preserve">Europaparlamentet välkomnar utrikestjänstens första rapport om utländsk informationsmanipulering och inblandning som riktar sig till hbtqi+-personer och syftar till att öka förståelsen för sådan taktik och främja samarbete, bland annat med </w:t>
      </w:r>
      <w:proofErr w:type="spellStart"/>
      <w:r w:rsidRPr="0053060C">
        <w:rPr>
          <w:kern w:val="2"/>
          <w14:ligatures w14:val="standardContextual"/>
        </w:rPr>
        <w:t>Enisa</w:t>
      </w:r>
      <w:proofErr w:type="spellEnd"/>
      <w:r w:rsidRPr="0053060C">
        <w:rPr>
          <w:kern w:val="2"/>
          <w14:ligatures w14:val="standardContextual"/>
        </w:rPr>
        <w:t>, för att skydda hbtqi+-personer. Parlamentet uttrycker sin oro över den globala situationen för hbtqi+-personers rättigheter och det ökande motståndet mot jämställdhet, kvinnors rättigheter och sexuell och reproduktiv hälsa och rättigheter i utvecklingsländer. Parlamentet uppmanar kommissionen och utrikestjänsten att ta itu med dessa bakslag och prioritera riktat stöd till organisationer i det civila samhället som förespråkar dessa rättigheter.</w:t>
      </w:r>
    </w:p>
    <w:p w14:paraId="00B2F7B4"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41.</w:t>
      </w:r>
      <w:r w:rsidRPr="0053060C">
        <w:rPr>
          <w:kern w:val="2"/>
          <w14:ligatures w14:val="standardContextual"/>
        </w:rPr>
        <w:tab/>
        <w:t>Europaparlamentet noterar att vice ordföranden/den höga representanten i sitt beslut från juli 2023 klargjorde att den maximala tjänstgöringstiden för tillfälligt anställda och kontraktsanställda rekryterade av utrikestjänsten var åtta år under en referensperiod på 13 år eller, under exceptionella omständigheter och om i tjänstens intresse, tio år under en referensperiod på 15 år, och att den kortaste tiden mellan på varandra följande uppdrag för tillfälligt anställda som utstationerats från medlemsstaternas nationella diplomattjänster var två år från det att deras senaste kontrakt sagts upp.</w:t>
      </w:r>
    </w:p>
    <w:p w14:paraId="6CD5670A"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42.</w:t>
      </w:r>
      <w:r w:rsidRPr="0053060C">
        <w:rPr>
          <w:kern w:val="2"/>
          <w14:ligatures w14:val="standardContextual"/>
        </w:rPr>
        <w:tab/>
        <w:t>Europaparlamentet konstaterar att i slutet av 2023 var av 1695 tjänstemän och tillfälligt anställda 863 (51 %) män och 832 (49 %) kvinnor, vilket är en liten ökning från 2022. Parlamentet noterar att bland kontraktsanställda var 57,4 % kvinnor, vilket är en liten ökning från 2022. Parlamentet beklagar dock att kvinnor fortfarande är särskilt underrepresenterade i ledande befattningar, både vid huvudkontor och delegationer, och överrepresenterade främst i AST-tjänster. Parlamentet uppmanar utrikestjänsten att offentliggöra fördelningen enligt kön och nationalitet av chefer på mellannivå och högre nivå. Parlamentet uppmanar utrikestjänsten att ta itu med denna fråga och samtidigt respektera kandidaternas kompetens och meriter. Parlamentet gläder sig över att rotationsförfarandet 2023 erbjöd 42 chefstjänster vid delegationerna och resulterade i en ökning på 12 % av antalet kvinnliga ambassadörer, som 2023 utgjorde 35,50 % (en ökning från 31,70 %), vilket dock fortfarande är en underrepresentation.</w:t>
      </w:r>
    </w:p>
    <w:p w14:paraId="51DEE2BE" w14:textId="77777777" w:rsidR="0053060C" w:rsidRPr="0053060C" w:rsidRDefault="0053060C" w:rsidP="0053060C">
      <w:pPr>
        <w:spacing w:after="240"/>
        <w:ind w:left="567" w:hanging="567"/>
        <w:rPr>
          <w:kern w:val="2"/>
          <w:szCs w:val="24"/>
          <w14:ligatures w14:val="standardContextual"/>
        </w:rPr>
      </w:pPr>
      <w:r w:rsidRPr="0053060C">
        <w:rPr>
          <w:kern w:val="2"/>
          <w14:ligatures w14:val="standardContextual"/>
        </w:rPr>
        <w:t>43.</w:t>
      </w:r>
      <w:r w:rsidRPr="0053060C">
        <w:rPr>
          <w:kern w:val="2"/>
          <w14:ligatures w14:val="standardContextual"/>
        </w:rPr>
        <w:tab/>
        <w:t xml:space="preserve">Europaparlamentet noterar att även om alla medlemsstater är representerade i utrikestjänstens personal kvarstår betydande obalanser, med Belgien som den mest överrepresenterade medlemsstaten med sina 12,1 % av utrikestjänstens totala personal. Parlamentet påpekar att det också råder en betydande geografisk obalans mellan medlemsstaterna i väst och öst. Parlamentet noterar också att Italien är den mest överrepresenterade medlemsstaten bland cheferna, där 15 % av alla ledande befattningar innehas av italienare. Parlamentet noterar att det bland unionens 141 ambassadörer fortfarande saknas ambassadörer från tre medlemsstater (Ungern, Luxemburg och Malta), och att de medlemsstater som har flest ambassadörer är Frankrike med 22, Spanien och Italien med 16, Tyskland med 12 och Belgien med 10, vilket innebär att dessa fem länder innehar 54 % av samtliga ambassadörstjänster. Parlamentet upprepar med kraft sin uppmaning till utrikestjänsten att fortsätta att säkerställa en sund geografisk balans inom hela sin organisation och på alla nivåer. Parlamentet upprepar </w:t>
      </w:r>
      <w:r w:rsidRPr="0053060C">
        <w:rPr>
          <w:kern w:val="2"/>
          <w14:ligatures w14:val="standardContextual"/>
        </w:rPr>
        <w:lastRenderedPageBreak/>
        <w:t>också sin oro över könsfördelningen. Parlamentet noterar att kvinnor är särskilt underrepresenterade i ledande befattningar, medan de är överrepresenterade i främst AST-tjänster. Parlamentet uppmanar utrikestjänsten att offentliggöra fördelningen enligt kön och nationalitet av chefer på mellannivå och högre nivå. Parlamentet uppmanar utrikestjänsten att ta itu med denna fråga och samtidigt respektera kandidaternas kompetens och meriter.</w:t>
      </w:r>
    </w:p>
    <w:p w14:paraId="6EAD7EFE"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44.</w:t>
      </w:r>
      <w:r w:rsidRPr="0053060C">
        <w:rPr>
          <w:kern w:val="2"/>
          <w14:ligatures w14:val="standardContextual"/>
        </w:rPr>
        <w:tab/>
        <w:t>Europaparlamentet noterar att ett omfattande rotationsförfarande med 52 chefstjänster vid delegationerna ägde rum 2023. Parlamentet välkomnar utrikestjänstens insatser för att öka medlemsstaternas medvetenhet om behovet att locka ett brett spektrum av kandidater till de offentliggjorda tjänsterna och att föreslå kvalificerade kandidater till unionens ambassadörstjänster.</w:t>
      </w:r>
    </w:p>
    <w:p w14:paraId="10EDCCAA" w14:textId="22458B55" w:rsidR="0053060C" w:rsidRPr="0053060C" w:rsidRDefault="0053060C" w:rsidP="0053060C">
      <w:pPr>
        <w:spacing w:after="240"/>
        <w:ind w:left="567" w:hanging="567"/>
        <w:rPr>
          <w:b/>
          <w:i/>
          <w:kern w:val="2"/>
          <w14:ligatures w14:val="standardContextual"/>
        </w:rPr>
      </w:pPr>
      <w:r w:rsidRPr="0053060C">
        <w:rPr>
          <w:kern w:val="2"/>
          <w14:ligatures w14:val="standardContextual"/>
        </w:rPr>
        <w:t>45.</w:t>
      </w:r>
      <w:r w:rsidRPr="0053060C">
        <w:rPr>
          <w:kern w:val="2"/>
          <w14:ligatures w14:val="standardContextual"/>
        </w:rPr>
        <w:tab/>
        <w:t>Europaparlamentet noterar med tillfredsställelse att utrikestjänsten 2023 antog sin agenda för mångfald och inkludering 2023</w:t>
      </w:r>
      <w:r>
        <w:rPr>
          <w:kern w:val="2"/>
          <w14:ligatures w14:val="standardContextual"/>
        </w:rPr>
        <w:t>-</w:t>
      </w:r>
      <w:r w:rsidRPr="0053060C">
        <w:rPr>
          <w:kern w:val="2"/>
          <w14:ligatures w14:val="standardContextual"/>
        </w:rPr>
        <w:t>2025, en detaljerad handlingsplan för att främja en säker och respektfull arbetsmiljö och en strategi för nolltolerans mot trakasserier. Parlamentet noterar att personalföreträdare, yrkessammanslutningar och den gemensamma kommittén för lika möjligheter, som döptes om till den gemensamma kommittén för mångfald och inkludering, rådfrågades om båda dokumenten. Parlamentet noterar att handlingsplanen innehåller förebyggande åtgärder mot trakasserier, såsom en obligatorisk e-lärandekurs för all personal om erkännande och hantering av trakasserier på arbetsplatsen och en obligatorisk ledarutbildning om hur man skapar en arbetsmiljö där inga trakasserier förekommer. Parlamentet uppmanar utrikestjänsten att fortsätta att regelbundet utbilda personal i ledande och icke-ledande befattningar i frågor som rör mångfald, rättvisa, inkludering och tillhörighet.</w:t>
      </w:r>
    </w:p>
    <w:p w14:paraId="0DD148F0"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46.</w:t>
      </w:r>
      <w:r w:rsidRPr="0053060C">
        <w:rPr>
          <w:kern w:val="2"/>
          <w14:ligatures w14:val="standardContextual"/>
        </w:rPr>
        <w:tab/>
        <w:t>Europaparlamentet noterar med oro att utrikestjänsten under 2023 mottog tre begäranden om bistånd i samband med anklagelser om mobbning som berörde två tjänstemän. Detta ledde till två administrativa utredningar, varav den ena fortfarande pågår och den andra avslutades med en disciplinåtgärd. Parlamentet noterar att utrikestjänstens medlingstjänst inom ramen för det informella förfarandet hanterade 28 fall som rörde anklagelser om mobbning och tio fall av sexuella trakasserier, och att de konfidentiella rådgivarna behandlade 21 fall av anklagelser om mobbning och sex fall av sexuella trakasserier under 2023. Parlamentet noterar att utrikestjänsten under 2023 utarbetade ett beslut om bekämpning av trakasserier för lokalanställda vid delegationerna, vilket antogs i juni 2024. Parlamentet är medvetet om utrikestjänstens insatser för att stärka sin politik mot trakasserier, inbegripet införandet av obligatoriska e-utbildningsmoduler som ökar medvetenheten och inrättandet av en arbetsgrupp för Istanbulkonventionen som syftar till att identifiera åtgärder som säkerställer en säkrare arbetsplats för alla. Parlamentet uttrycker dock allvarlig oro över det ihållande höga antalet fall av trakasserier. Parlamentet uppmanar utrikestjänsten att satsa på skärpta förebyggande insatser, stöd till offren och stränga disciplinära åtgärder för att säkerställa nolltolerans mot trakasserier och en säker arbetsmiljö.</w:t>
      </w:r>
    </w:p>
    <w:p w14:paraId="30E7D4FD" w14:textId="2F650567" w:rsidR="0053060C" w:rsidRPr="0053060C" w:rsidRDefault="0053060C" w:rsidP="0053060C">
      <w:pPr>
        <w:spacing w:after="240"/>
        <w:ind w:left="567" w:hanging="567"/>
        <w:rPr>
          <w:kern w:val="2"/>
          <w14:ligatures w14:val="standardContextual"/>
        </w:rPr>
      </w:pPr>
      <w:r w:rsidRPr="0053060C">
        <w:rPr>
          <w:kern w:val="2"/>
          <w14:ligatures w14:val="standardContextual"/>
        </w:rPr>
        <w:t>47.</w:t>
      </w:r>
      <w:r w:rsidRPr="0053060C">
        <w:rPr>
          <w:kern w:val="2"/>
          <w14:ligatures w14:val="standardContextual"/>
        </w:rPr>
        <w:tab/>
        <w:t xml:space="preserve">Europaparlamentet noterar att utrikestjänsten under 2023 vidtog flera åtgärder för att säkerställa personalens fysiska och psykiska välbefinnande, inbegripet en systematisk hälsokontroll för all personal inför utstationering till en delegation, psykologiskt stöd och åtgärder för att öka medvetenheten. Parlamentet noterar att två beslut om arbetstid och flexibla arbetsformer antogs i oktober 2023, varefter flextid blev standardsystemet för arbetstid vid utrikestjänstens huvudkontor och delegationerna för all personal utom cheferna. Parlamentet noterar vidare att besluten tillåter distansarbete i upp till två dagar </w:t>
      </w:r>
      <w:r w:rsidRPr="0053060C">
        <w:rPr>
          <w:kern w:val="2"/>
          <w14:ligatures w14:val="standardContextual"/>
        </w:rPr>
        <w:lastRenderedPageBreak/>
        <w:t xml:space="preserve">per vecka vid utrikestjänstens huvudkontor, en dag per vecka vid delegationerna och tio dagar per år på annan ort än anställningsorten för all personal. Parlamentet noterar att distansarbete under en längre period har varit möjligt i undantagsfall </w:t>
      </w:r>
      <w:r>
        <w:rPr>
          <w:kern w:val="2"/>
          <w14:ligatures w14:val="standardContextual"/>
        </w:rPr>
        <w:t>-</w:t>
      </w:r>
      <w:r w:rsidRPr="0053060C">
        <w:rPr>
          <w:kern w:val="2"/>
          <w14:ligatures w14:val="standardContextual"/>
        </w:rPr>
        <w:t xml:space="preserve"> i händelse av kriser eller av medicinska eller andra tvingande skäl.</w:t>
      </w:r>
    </w:p>
    <w:p w14:paraId="48E2B16C"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48.</w:t>
      </w:r>
      <w:r w:rsidRPr="0053060C">
        <w:rPr>
          <w:kern w:val="2"/>
          <w14:ligatures w14:val="standardContextual"/>
        </w:rPr>
        <w:tab/>
        <w:t>Europaparlamentet noterar med oro att antalet anställda vid utrikestjänsten som var långtidssjukskrivna under mer än 50 dagar ökade från 111 anställda 2022 till 171 anställda 2023, vilket motsvarar en ökning med 54 %. Parlamentet noterar att läkarmottagningen genomförde flera åtgärder för att förebygga risken för utbrändhet, såsom rekryteringen av en psykiater i december 2023 och en mer systematisk uppföljning av sjukledigheten från läkarmottagningens sida, psykologiskt stöd och vägledning för personal och chefer, åtgärder för att öka medvetenheten samt inrättandet av ett nätverk av förstahjälpare för psykisk hälsa. Parlamentet betonar behovet av att chefer säkerställer rättvis uppgiftsfördelning och genomför riktlinjer och flexibla arbetsformer. Parlamentet uppmanar utrikestjänsten att agera proaktivt för att förebygga långvarig sjukdom och utbrändhet och prioritera personalens psykiska välbefinnande genom effektiva stödåtgärder.</w:t>
      </w:r>
    </w:p>
    <w:p w14:paraId="3BBD48F6"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49.</w:t>
      </w:r>
      <w:r w:rsidRPr="0053060C">
        <w:rPr>
          <w:kern w:val="2"/>
          <w14:ligatures w14:val="standardContextual"/>
        </w:rPr>
        <w:tab/>
        <w:t>Europaparlamentet noterar att antalet anställda praktikanter minskade på grund av budgetbegränsningar. Parlamentet uppmanar utrikestjänsten att tillhandahålla information om arbetsvillkoren och lönen för praktikanter vid huvudkontoret och delegationerna.</w:t>
      </w:r>
    </w:p>
    <w:p w14:paraId="67A4DF34" w14:textId="77777777" w:rsidR="0053060C" w:rsidRPr="0053060C" w:rsidRDefault="0053060C" w:rsidP="0053060C">
      <w:pPr>
        <w:spacing w:after="240"/>
        <w:ind w:left="567" w:hanging="567"/>
        <w:rPr>
          <w:b/>
          <w:i/>
          <w:kern w:val="2"/>
          <w14:ligatures w14:val="standardContextual"/>
        </w:rPr>
      </w:pPr>
      <w:r w:rsidRPr="0053060C">
        <w:rPr>
          <w:b/>
          <w:i/>
          <w:kern w:val="2"/>
          <w14:ligatures w14:val="standardContextual"/>
        </w:rPr>
        <w:t>Etisk ram och transparens</w:t>
      </w:r>
    </w:p>
    <w:p w14:paraId="3B13C5ED"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50.</w:t>
      </w:r>
      <w:r w:rsidRPr="0053060C">
        <w:rPr>
          <w:kern w:val="2"/>
          <w14:ligatures w14:val="standardContextual"/>
        </w:rPr>
        <w:tab/>
        <w:t>Europaparlamentet noterar att utrikestjänsten under 2023 förbättrade sin etiska ram genom att utfärda nya instruktioner för att förbjuda eller begränsa förekomsten av tjänsteresor med kostnader som helt eller delvis betalas av externa källor i syfte att undvika risker för intressekonflikter, genom att skicka en påminnelse om vikten av ett etiskt uppförande till all personal. Parlamentet noterar att utrikestjänsten också fokuserade på att anordna särskilda kurser om etik, intressekonflikter, intern kontroll och bedrägeribekämpning inriktade på och anpassade till olika målgrupper vid utrikestjänstens huvudkontor och delegationer. Parlamentet noterar vidare att de 16 principer för yrkesmässigt uppförande som antogs 2022 fortsatte att delas ut till nyanställda och marknadsföras på bred front, särskilt inom ramen för kurserna om etik och integritet respektive om en policy mot trakasserier. Parlamentet uppmanar utrikestjänsten att underrätta parlamentet om all vidareutveckling av dess etiska ram. Parlamentet uppmanar utrikestjänsten att tillhandahålla regelbunden obligatorisk utbildning om etik, inbegripet etisk användning av AI, och ansvarsskyldighet.</w:t>
      </w:r>
    </w:p>
    <w:p w14:paraId="009CEE7E"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51.</w:t>
      </w:r>
      <w:r w:rsidRPr="0053060C">
        <w:rPr>
          <w:kern w:val="2"/>
          <w14:ligatures w14:val="standardContextual"/>
        </w:rPr>
        <w:tab/>
        <w:t xml:space="preserve">Europaparlamentet välkomnar att utrikestjänsten i oktober 2023 antog en ny strategi för bedrägeribekämpning. Strategin är tillämplig på all personal vid utrikestjänstens huvudkontor och delegationerna, utgjorde resultatet av en grundlig översyn av bedrägerirelaterade risker och blev föremål för ett formellt godkännande från Olafs sida. Parlamentet välkomnar att utrikestjänsten ägnade särskilda insatser åt utbildning av och vägledning för personalen, särskilt genom den bedrägeribekämpningsenhet som inrättades i december 2022. Parlamentet noterar att de bland utrikestjänstens personal som är utstationerade vid unionens delegationer aktivt deltog i en rad workshoppar och seminarier om medvetenhet om och förebyggande av bedrägerier, att personal som nyligen utsetts till en unionsdelegation systematiskt fick utbildning i dessa frågor innan de tillträdde sina tjänster och att </w:t>
      </w:r>
      <w:proofErr w:type="spellStart"/>
      <w:r w:rsidRPr="0053060C">
        <w:rPr>
          <w:kern w:val="2"/>
          <w14:ligatures w14:val="standardContextual"/>
        </w:rPr>
        <w:t>intranätsidan</w:t>
      </w:r>
      <w:proofErr w:type="spellEnd"/>
      <w:r w:rsidRPr="0053060C">
        <w:rPr>
          <w:kern w:val="2"/>
          <w14:ligatures w14:val="standardContextual"/>
        </w:rPr>
        <w:t xml:space="preserve"> om bedrägeribekämpning omarbetades </w:t>
      </w:r>
      <w:r w:rsidRPr="0053060C">
        <w:rPr>
          <w:kern w:val="2"/>
          <w14:ligatures w14:val="standardContextual"/>
        </w:rPr>
        <w:lastRenderedPageBreak/>
        <w:t>ytterligare i syfte att underlätta rapporteringen av potentiella bedrägerifall och tillhandahålla ett bredare spektrum av alternativ för utbildning i bedrägeribekämpning.</w:t>
      </w:r>
      <w:r w:rsidRPr="0053060C">
        <w:rPr>
          <w:b/>
          <w:i/>
          <w:kern w:val="2"/>
          <w14:ligatures w14:val="standardContextual"/>
        </w:rPr>
        <w:t xml:space="preserve"> </w:t>
      </w:r>
      <w:r w:rsidRPr="0053060C">
        <w:rPr>
          <w:kern w:val="2"/>
          <w14:ligatures w14:val="standardContextual"/>
        </w:rPr>
        <w:t>Parlamentet uppmanar utrikestjänsten att genomföra obligatoriska regelbundna utbildningar om medvetenhet om och förebyggande av bedrägerier för all personal.</w:t>
      </w:r>
    </w:p>
    <w:p w14:paraId="1F75FFA3"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52.</w:t>
      </w:r>
      <w:r w:rsidRPr="0053060C">
        <w:rPr>
          <w:kern w:val="2"/>
          <w14:ligatures w14:val="standardContextual"/>
        </w:rPr>
        <w:tab/>
        <w:t>Europaparlamentet noterar att utrikestjänsten inte mottog några visselblåsarfall under 2023. Parlamentet noterar med tillfredsställelse att utrikestjänsten under 2023 började utveckla en särskild policy för skydd av visselblåsare i linje med den nya strategin för bedrägeribekämpning. Parlamentet vill hållas underrättat om antagandet av strategin, som planeras ske 2025, och dess genomförande inom hela utrikestjänsten.</w:t>
      </w:r>
    </w:p>
    <w:p w14:paraId="0CDCDBF9"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53.</w:t>
      </w:r>
      <w:r w:rsidRPr="0053060C">
        <w:rPr>
          <w:kern w:val="2"/>
          <w14:ligatures w14:val="standardContextual"/>
        </w:rPr>
        <w:tab/>
        <w:t>Europaparlamentet noterar att utrikestjänsten under 2023 mottog fem förklaringar om intressekonflikter. Dessa hanterades i enlighet med tillämpliga bestämmelser. Parlamentet noterar att den vidaredelegerade utanordnaren i ett fall som rörde en ledamot av en utvärderingskommitté i ett upphandlingsförfarande kom fram till att det förelåg en potentiell intressekonflikt och befriade den anställde från uppdraget som ledamot av utvärderingskommittén.</w:t>
      </w:r>
    </w:p>
    <w:p w14:paraId="0FEF9093" w14:textId="43311491" w:rsidR="0053060C" w:rsidRPr="0053060C" w:rsidRDefault="0053060C" w:rsidP="0053060C">
      <w:pPr>
        <w:spacing w:after="240"/>
        <w:ind w:left="567" w:hanging="567"/>
        <w:rPr>
          <w:kern w:val="2"/>
          <w14:ligatures w14:val="standardContextual"/>
        </w:rPr>
      </w:pPr>
      <w:r w:rsidRPr="0053060C">
        <w:rPr>
          <w:kern w:val="2"/>
          <w14:ligatures w14:val="standardContextual"/>
        </w:rPr>
        <w:t>54.</w:t>
      </w:r>
      <w:r w:rsidRPr="0053060C">
        <w:rPr>
          <w:kern w:val="2"/>
          <w14:ligatures w14:val="standardContextual"/>
        </w:rPr>
        <w:tab/>
        <w:t xml:space="preserve">Europaparlamentet noterar med oro att Olaf inledde åtta </w:t>
      </w:r>
      <w:r>
        <w:rPr>
          <w:kern w:val="2"/>
          <w14:ligatures w14:val="standardContextual"/>
        </w:rPr>
        <w:t>-</w:t>
      </w:r>
      <w:r w:rsidRPr="0053060C">
        <w:rPr>
          <w:kern w:val="2"/>
          <w14:ligatures w14:val="standardContextual"/>
        </w:rPr>
        <w:t xml:space="preserve"> fortfarande pågående </w:t>
      </w:r>
      <w:r>
        <w:rPr>
          <w:kern w:val="2"/>
          <w14:ligatures w14:val="standardContextual"/>
        </w:rPr>
        <w:t>-</w:t>
      </w:r>
      <w:r w:rsidRPr="0053060C">
        <w:rPr>
          <w:kern w:val="2"/>
          <w14:ligatures w14:val="standardContextual"/>
        </w:rPr>
        <w:t xml:space="preserve"> utredningar under 2023 avseende potentiella fel i yrkesutövningen i samband med upphandlingsförfaranden och genomförande av kontrakt, bidragsöverenskommelser eller potentiella oriktigheter rörande personalfrågor. Parlamentet noterar att de pågående ärendena under 2023 gällde tjänstemän, tillfälligt anställda och lokalanställda vid både utrikestjänstens huvudkontor och delegationerna. Parlamentet vill hållas underrättat om uppföljningen av dessa utredningar. Parlamentet noterar att åtta äldre ärenden rörande tidigare och nuvarande personal avslutades, med rekommendationer om att vidta ytterligare åtgärder i fem fall. Parlamentet noterar att utrikestjänsten har regelbunden kontakt med Olaf genom sin bedrägeribekämpningsenhet och säkerställer en snabb uppföljning av Olafs rekommendationer. Parlamentet vill hållas underrättat om genomförandet av rekommendationerna.</w:t>
      </w:r>
    </w:p>
    <w:p w14:paraId="748A2091"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55.</w:t>
      </w:r>
      <w:r w:rsidRPr="0053060C">
        <w:rPr>
          <w:kern w:val="2"/>
          <w14:ligatures w14:val="standardContextual"/>
        </w:rPr>
        <w:tab/>
        <w:t>Europaparlamentet noterar att utrikestjänsten under 2023 hanterade tio begäranden från ombudsmannen, varav nio gällde administrativa ärenden och en gällde en begäran om tillgång till handlingar. Parlamentet noterar att ombudsmannen inte fann några fall av administrativa missförhållanden eller partiella administrativa missförhållanden och inte utfärdade någon rekommendation till utrikestjänsten.</w:t>
      </w:r>
    </w:p>
    <w:p w14:paraId="721055F8"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56.</w:t>
      </w:r>
      <w:r w:rsidRPr="0053060C">
        <w:rPr>
          <w:b/>
          <w:i/>
          <w:kern w:val="2"/>
          <w14:ligatures w14:val="standardContextual"/>
        </w:rPr>
        <w:tab/>
      </w:r>
      <w:r w:rsidRPr="0053060C">
        <w:rPr>
          <w:kern w:val="2"/>
          <w14:ligatures w14:val="standardContextual"/>
        </w:rPr>
        <w:t>Europaparlamentet noterar alla åtgärder som vidtagits för att öka medvetenheten om bisysslor. Parlamentet påminner om sin begäran om att anta självständiga genomförandebestämmelser om uppgifter och uppdrag utanför tjänsten, för att skydda unionens anseende, särskilt när det gäller delegationscheferna.</w:t>
      </w:r>
    </w:p>
    <w:p w14:paraId="77BEF3EA"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57.</w:t>
      </w:r>
      <w:r w:rsidRPr="0053060C">
        <w:rPr>
          <w:kern w:val="2"/>
          <w14:ligatures w14:val="standardContextual"/>
        </w:rPr>
        <w:tab/>
        <w:t xml:space="preserve">Europaparlamentet noterar att vice ordföranden/den höga representanten i sin egenskap av vice ordförande för kommissionen är bunden av öppenhetsregistrets regler. Parlamentet betonar att även om utrikestjänsten inte är en institution i den mening som avses i artikel 13 i fördraget om Europeiska unionen och inte har någon direkt roll inom unionsrätten, spelar den dock en viktig roll inom unionsrätten när det gäller beslut om sanktioner och förhandlingar om internationella handelsavtal, vilka har en betydande reglerande verkan. Det vore av oerhörd relevans för utrikestjänsten att vidta transparensåtgärder, anmäla dem till öppenhetsregistrets styrelse och ansluta sig till registret. Parlamentet uppmanar utrikestjänsten att offentliggöra alla möten med alla </w:t>
      </w:r>
      <w:r w:rsidRPr="0053060C">
        <w:rPr>
          <w:kern w:val="2"/>
          <w14:ligatures w14:val="standardContextual"/>
        </w:rPr>
        <w:lastRenderedPageBreak/>
        <w:t>typer av lobbyorganisationer, inbegripet möten med chefer för unionens delegationer, i syfte att förbättra transparensen. Parlamentet vill hållas underrättat om alla nya initiativ som tas av utrikestjänsten för att förbättra transparensen. Parlamentet upprepar vikten av att förstärka unionens demokratiska kontroll och att upprätthålla höga standarder för ansvarsskyldighet och transparens i samarbetet med det civila samhällets organisationer. Parlamentet uppmanar unionens delegationer att se till att EU-medel som tilldelas organisationer i det civila samhället och arbetsmarknadsparter i tredjeländer används i linje med EU:s värden, politik och finansiella regler.</w:t>
      </w:r>
    </w:p>
    <w:p w14:paraId="73A05CB4"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58.</w:t>
      </w:r>
      <w:r w:rsidRPr="0053060C">
        <w:rPr>
          <w:kern w:val="2"/>
          <w14:ligatures w14:val="standardContextual"/>
        </w:rPr>
        <w:tab/>
        <w:t>Europaparlamentet uppmanar eftertryckligen utrikestjänsten att ansluta sig till EU:s öppenhetsregister och anpassa sin praxis till parlamentet och kommissionen, vilket säkerställer att lobbyverksamhet och ekonomiska intressen i samband med försvar och diplomatiska frågor avslöjas fullt ut.</w:t>
      </w:r>
    </w:p>
    <w:p w14:paraId="6A11599A" w14:textId="77777777" w:rsidR="0053060C" w:rsidRPr="0053060C" w:rsidRDefault="0053060C" w:rsidP="0053060C">
      <w:pPr>
        <w:spacing w:after="240"/>
        <w:ind w:left="567" w:hanging="567"/>
        <w:rPr>
          <w:b/>
          <w:i/>
          <w:kern w:val="2"/>
          <w14:ligatures w14:val="standardContextual"/>
        </w:rPr>
      </w:pPr>
      <w:r w:rsidRPr="0053060C">
        <w:rPr>
          <w:b/>
          <w:i/>
          <w:kern w:val="2"/>
          <w14:ligatures w14:val="standardContextual"/>
        </w:rPr>
        <w:t>Digitalisering, cybersäkerhet och skydd av personuppgifter</w:t>
      </w:r>
    </w:p>
    <w:p w14:paraId="36A75EA9"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59.</w:t>
      </w:r>
      <w:r w:rsidRPr="0053060C">
        <w:rPr>
          <w:kern w:val="2"/>
          <w14:ligatures w14:val="standardContextual"/>
        </w:rPr>
        <w:tab/>
        <w:t xml:space="preserve">Europaparlamentet noterar att utgifterna för </w:t>
      </w:r>
      <w:proofErr w:type="spellStart"/>
      <w:r w:rsidRPr="0053060C">
        <w:rPr>
          <w:kern w:val="2"/>
          <w14:ligatures w14:val="standardContextual"/>
        </w:rPr>
        <w:t>it-projekt</w:t>
      </w:r>
      <w:proofErr w:type="spellEnd"/>
      <w:r w:rsidRPr="0053060C">
        <w:rPr>
          <w:kern w:val="2"/>
          <w14:ligatures w14:val="standardContextual"/>
        </w:rPr>
        <w:t>, utrustning och cybersäkerhet ökade från 19,7 miljoner EUR 2022 till 29,9 miljoner EUR 2023, vilket motsvarar en ökning med 52 %. Parlamentet noterar att utrikestjänsten under 2023 lanserade viktiga digitaliseringsprojekt, såsom sin samarbetsplattform ”HIVE” för alla användare vid huvudkontoret och delegationerna, och införde sitt system för säkerhetsskyddsklassificerade meddelanden och uppgifter (EC3IS) vid utrikestjänstens huvudkontor, innan det successivt börjar användas i känsliga delegationer och kopplas samman med motsvarande system vid kommissionen och rådet.</w:t>
      </w:r>
    </w:p>
    <w:p w14:paraId="4DE73A95"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60.</w:t>
      </w:r>
      <w:r w:rsidRPr="0053060C">
        <w:rPr>
          <w:kern w:val="2"/>
          <w14:ligatures w14:val="standardContextual"/>
        </w:rPr>
        <w:tab/>
        <w:t xml:space="preserve">Europaparlamentet noterar att utrikestjänsten under 2023 började hysa en kontrollerad AI-miljö i syfte att kunna införa en fullständig AI-styrningsmodell. Parlamentet noterar att detta tekniska steg lade grunden för antagandet av riktlinjer för användningen av generativ AI samt en AI-strategi under 2024, liksom för </w:t>
      </w:r>
      <w:proofErr w:type="spellStart"/>
      <w:r w:rsidRPr="0053060C">
        <w:rPr>
          <w:kern w:val="2"/>
          <w14:ligatures w14:val="standardContextual"/>
        </w:rPr>
        <w:t>koncepttest</w:t>
      </w:r>
      <w:proofErr w:type="spellEnd"/>
      <w:r w:rsidRPr="0053060C">
        <w:rPr>
          <w:kern w:val="2"/>
          <w14:ligatures w14:val="standardContextual"/>
        </w:rPr>
        <w:t>. Parlamentet vill hållas underrättat om utvecklingen av AI-strategin.</w:t>
      </w:r>
    </w:p>
    <w:p w14:paraId="3ABF4104"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61.</w:t>
      </w:r>
      <w:r w:rsidRPr="0053060C">
        <w:rPr>
          <w:kern w:val="2"/>
          <w14:ligatures w14:val="standardContextual"/>
        </w:rPr>
        <w:tab/>
        <w:t>Europaparlamentet noterar att utrikestjänsten, som en del av genomförandet av den strategiska kompassen för säkerhet och försvar från 2022, deltog i antagandet av viktiga policydokument och verktygslådor gällande bland annat cyberförsvar, cyberdiplomati, hybridhot, utländsk inblandning och informationsmanipulering. Parlamentet noterar att utrikestjänsten internt fortsatte att förbättra sin cybersäkerhetskapacitet genom rekrytering av specialiserad personal samt att tillhandahålla verksamhet för att öka medvetenheten hos olika målgrupper, inbegripet säkerhetsledningsgruppen, delegationsmedlemmar, nyanställda och chefer. Parlamentet begär att utrikestjänsten regelbundet tillhandahåller obligatorisk cybersäkerhetsutbildning för all personal.</w:t>
      </w:r>
      <w:r w:rsidRPr="0053060C">
        <w:rPr>
          <w:color w:val="FF0000"/>
          <w:kern w:val="2"/>
          <w14:ligatures w14:val="standardContextual"/>
        </w:rPr>
        <w:t xml:space="preserve"> </w:t>
      </w:r>
      <w:r w:rsidRPr="0053060C">
        <w:rPr>
          <w:kern w:val="2"/>
          <w14:ligatures w14:val="standardContextual"/>
        </w:rPr>
        <w:t>Parlamentet efterlyser ökat EU-stöd till Moldavien för att bekämpa desinformation, hybridhot och cyberattacker. Parlamentet uppmanar unionens delegation i Moldavien att öka sina insatser för att främja en mer proaktiv och effektiv kommunikationsstrategi när det gäller utsikterna till EU-medlemskap, inbegripet uppsökande verksamhet på ryska.</w:t>
      </w:r>
    </w:p>
    <w:p w14:paraId="562E1CF4"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62.</w:t>
      </w:r>
      <w:r w:rsidRPr="0053060C">
        <w:rPr>
          <w:kern w:val="2"/>
          <w14:ligatures w14:val="standardContextual"/>
        </w:rPr>
        <w:tab/>
        <w:t>Europaparlamentet välkomnar inrättandet av EU:s partnerskapsuppdrag i Moldavien (EUPM Moldavien). Parlamentet framhåller den viktiga roll som EUPM Moldavien spelar och uppmanar EU och dess medlemsstater att förlänga uppdragets mandat efter maj 2025 och samtidigt öka resurserna för att öka dess effektivitet.</w:t>
      </w:r>
    </w:p>
    <w:p w14:paraId="4219A910"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63.</w:t>
      </w:r>
      <w:r w:rsidRPr="0053060C">
        <w:rPr>
          <w:kern w:val="2"/>
          <w14:ligatures w14:val="standardContextual"/>
        </w:rPr>
        <w:tab/>
        <w:t xml:space="preserve">Europaparlamentet noterar med oro att utrikestjänsten under 2023 registrerade över </w:t>
      </w:r>
      <w:r w:rsidRPr="0053060C">
        <w:rPr>
          <w:kern w:val="2"/>
          <w14:ligatures w14:val="standardContextual"/>
        </w:rPr>
        <w:lastRenderedPageBreak/>
        <w:t>29 623 cybervarningar via sitt system för säkerhetsinformation och händelsehantering (SIEM), varav 92 incidenter bekräftades vara cyberattacker. Parlamentet noterar att fyra cyberattacker påverkade utrikestjänstens verksamhet och att bara en fick betydande konsekvenser. Parlamentet varnar för att utrikestjänsten är ett mycket sannolikt mål för välbärgade aktörer, inbegripet aktörer som sponsras av utländska stater, som försöker störa unionens institutioner. Parlamentet noterar att utrikestjänstens säkerhetscentrum (SOC) är en nyckelaktör när det gäller övervakning av hot i realtid och identifiering av systemsårbarheter. Parlamentet uppmanar utrikestjänsten att fortsatt beakta behovet av cyberdisciplin och cybermedvetenhet från användarnas sida som centrala inslag i sin cybersäkerhetsram. Parlamentet betonar vikten av att utrikestjänsten fortsätter att prioritera cybersäkerhet och begränsning av hybridhot samtidigt som man har ett nära samarbete med andra EU-institutioner och medlemsstater för att identifiera och motverka sådana hot.</w:t>
      </w:r>
    </w:p>
    <w:p w14:paraId="6D779E48" w14:textId="77777777" w:rsidR="0053060C" w:rsidRPr="0053060C" w:rsidRDefault="0053060C" w:rsidP="0053060C">
      <w:pPr>
        <w:spacing w:after="240"/>
        <w:ind w:left="567" w:hanging="567"/>
        <w:rPr>
          <w:kern w:val="2"/>
          <w:szCs w:val="23"/>
          <w14:ligatures w14:val="standardContextual"/>
        </w:rPr>
      </w:pPr>
      <w:r w:rsidRPr="0053060C">
        <w:rPr>
          <w:kern w:val="2"/>
          <w14:ligatures w14:val="standardContextual"/>
        </w:rPr>
        <w:t>64.</w:t>
      </w:r>
      <w:r w:rsidRPr="0053060C">
        <w:rPr>
          <w:kern w:val="2"/>
          <w14:ligatures w14:val="standardContextual"/>
        </w:rPr>
        <w:tab/>
        <w:t xml:space="preserve">Europaparlamentet noterar att utrikestjänsten följde upp en utredning från Europeiska datatillsynsmannen under 2023, efter en begäran från en anställd avseende offentliggörandet av vederbörandes personuppgifter i EU:s </w:t>
      </w:r>
      <w:proofErr w:type="spellStart"/>
      <w:r w:rsidRPr="0053060C">
        <w:rPr>
          <w:kern w:val="2"/>
          <w14:ligatures w14:val="standardContextual"/>
        </w:rPr>
        <w:t>onlinekatalog</w:t>
      </w:r>
      <w:proofErr w:type="spellEnd"/>
      <w:r w:rsidRPr="0053060C">
        <w:rPr>
          <w:kern w:val="2"/>
          <w14:ligatures w14:val="standardContextual"/>
        </w:rPr>
        <w:t>. Parlamentet noterar att ett ärende som pågått sedan 2018 behandlades 2023 och avslutades 2024 med ett positivt resultat för utrikestjänsten. Parlamentet noterar den verksamhet för att öka medvetenheten och den vägledning som utrikestjänsten stått för i syfte att säkerställa lika villkor på dataskyddsområdet i hela sitt nätverk, särskilt den gemensamma vägledningen om användning av AI-verktyg från tredje part ur det dubbla perspektivet dataskydd och cybersäkerhet.</w:t>
      </w:r>
    </w:p>
    <w:p w14:paraId="21001756"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65.</w:t>
      </w:r>
      <w:r w:rsidRPr="0053060C">
        <w:rPr>
          <w:kern w:val="2"/>
          <w14:ligatures w14:val="standardContextual"/>
        </w:rPr>
        <w:tab/>
        <w:t xml:space="preserve">Europaparlamentet noterar att kampen mot utländsk informationsmanipulering och inblandning kvarstod som en prioritering för utrikestjänsten under 2023. Parlamentet välkomnar att verktygslådan för hantering av utländsk informationsmanipulering och inblandning godkändes av Europeiska rådet i december 2023 på grundval av pelarna situationsmedvetenhet, </w:t>
      </w:r>
      <w:proofErr w:type="spellStart"/>
      <w:r w:rsidRPr="0053060C">
        <w:rPr>
          <w:kern w:val="2"/>
          <w14:ligatures w14:val="standardContextual"/>
        </w:rPr>
        <w:t>resiliensuppbyggnad</w:t>
      </w:r>
      <w:proofErr w:type="spellEnd"/>
      <w:r w:rsidRPr="0053060C">
        <w:rPr>
          <w:kern w:val="2"/>
          <w14:ligatures w14:val="standardContextual"/>
        </w:rPr>
        <w:t xml:space="preserve">, störningar och diplomatiska insatser. Parlamentet noterar att utrikestjänsten under 2023 utökade sin analytiska kapacitet för att samla in bevis på utländsk informationsmanipulering och inblandning och ta fram åtgärder som svar på det ökande antalet incidenter och hot, särskilt inför valet till Europaparlamentet 2024. Parlamentet noterar att utrikestjänsten också lanserade nya flaggskeppsprojekt för att öka medvetenheten och motverka rysk desinformation, såsom initiativet </w:t>
      </w:r>
      <w:proofErr w:type="spellStart"/>
      <w:r w:rsidRPr="0053060C">
        <w:rPr>
          <w:kern w:val="2"/>
          <w14:ligatures w14:val="standardContextual"/>
        </w:rPr>
        <w:t>EUvsDisinfo</w:t>
      </w:r>
      <w:proofErr w:type="spellEnd"/>
      <w:r w:rsidRPr="0053060C">
        <w:rPr>
          <w:kern w:val="2"/>
          <w14:ligatures w14:val="standardContextual"/>
        </w:rPr>
        <w:t xml:space="preserve">, som nådde omkring 20,3 miljoner människor 2023, och för att skapa hållbara partnerskap i syfte att motverka utländsk informationsmanipulering och inblandning globalt. Parlamentet uppmanar utrikestjänsten att tillsammans med kommissionen avsätta tillräckliga resurser för att effektivt bekämpa utländsk informationsmanipulering och inblandning. Parlamentet stöder det utlovade inrättandet av ett ”europeiskt demokratiförsvar” för att upptäcka, spåra och radera vilseledande </w:t>
      </w:r>
      <w:proofErr w:type="spellStart"/>
      <w:r w:rsidRPr="0053060C">
        <w:rPr>
          <w:kern w:val="2"/>
          <w14:ligatures w14:val="standardContextual"/>
        </w:rPr>
        <w:t>onlineinnehåll</w:t>
      </w:r>
      <w:proofErr w:type="spellEnd"/>
      <w:r w:rsidRPr="0053060C">
        <w:rPr>
          <w:kern w:val="2"/>
          <w14:ligatures w14:val="standardContextual"/>
        </w:rPr>
        <w:t>, och på detta sätt stärka EU:s förmåga att motverka utländsk informationsmanipulering och inblandning och stärka dess stöd till skyddet av demokratier i tredjeländer, särskilt i EU:s grannskap. Parlamentet uppmanar utrikestjänsten och unionens delegationer i tredjeländer att ytterligare stärka sin kapacitet att bekämpa och motverka desinformation och propaganda med koppling till EU:s gemensamma utrikes- och säkerhetspolitik. Parlamentet uppmanar utrikestjänsten att öka sina insatser för att ge medborgare från hela unionen möjlighet att bekämpa utländsk informationsmanipulation och inblandning.</w:t>
      </w:r>
    </w:p>
    <w:p w14:paraId="1B8BF65E" w14:textId="77777777" w:rsidR="0053060C" w:rsidRPr="0053060C" w:rsidRDefault="0053060C" w:rsidP="0053060C">
      <w:pPr>
        <w:spacing w:after="240"/>
        <w:ind w:left="567" w:hanging="567"/>
        <w:rPr>
          <w:b/>
          <w:i/>
          <w:kern w:val="2"/>
          <w14:ligatures w14:val="standardContextual"/>
        </w:rPr>
      </w:pPr>
      <w:r w:rsidRPr="0053060C">
        <w:rPr>
          <w:b/>
          <w:i/>
          <w:kern w:val="2"/>
          <w14:ligatures w14:val="standardContextual"/>
        </w:rPr>
        <w:t>Byggnader och säkerhet</w:t>
      </w:r>
    </w:p>
    <w:p w14:paraId="6377297F"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lastRenderedPageBreak/>
        <w:t>66.</w:t>
      </w:r>
      <w:r w:rsidRPr="0053060C">
        <w:rPr>
          <w:kern w:val="2"/>
          <w14:ligatures w14:val="standardContextual"/>
        </w:rPr>
        <w:tab/>
        <w:t>Europaparlamentet noterar att budgetpost 3 0 0 3 för byggnader och därtill hörande kostnader förstärktes med 19 miljoner EUR, men att viktiga underhållsarbeten ändå sköts upp. Parlamentet är djupt bekymrat över att de samlade underhålls- och säkerhetsbehoven innebär betydande utmaningar för utrikestjänsten när det gäller hur delegationernas nätverk ska kunna fungera säkert och effektivt och uppfylla aktsamhetskravet gentemot delegationernas personal. Parlamentet uppmanar utrikestjänsten att utarbeta fleråriga beredskapsplaner för byggnadsunderhåll och säkerhet.</w:t>
      </w:r>
    </w:p>
    <w:p w14:paraId="6D7FD390"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67.</w:t>
      </w:r>
      <w:r w:rsidRPr="0053060C">
        <w:rPr>
          <w:kern w:val="2"/>
          <w14:ligatures w14:val="standardContextual"/>
        </w:rPr>
        <w:tab/>
        <w:t>Europaparlamentet noterar att utrikestjänsten hyser och förvaltar fastigheter på omkring 87 618 kvadratmeter i utrikestjänstens huvudkontor och 379 300 kvadratmeter runt om i världen med 174 kontorsbyggnader och 152 bostäder för ambassadörer. Parlamentet noterar att utrikestjänsten under 2023 för budgetmyndigheten lade fram ett arbetsdokument med en redogörelse för utrikestjänstens inköpspolicy, inom ramen för vilken man för närvarande förvärvat 22 % av kontorsbyggnaderna och 20 % av ambassadörernas bostäder, så att man uppnår bäst valuta för pengarna.</w:t>
      </w:r>
    </w:p>
    <w:p w14:paraId="5BE420C4"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68.</w:t>
      </w:r>
      <w:r w:rsidRPr="0053060C">
        <w:rPr>
          <w:kern w:val="2"/>
          <w14:ligatures w14:val="standardContextual"/>
        </w:rPr>
        <w:tab/>
        <w:t>Europaparlamentet noterar att policyn för inköp av fastigheter för unionens delegationer från april 2023 och arbetsdokumentet om utrikestjänstens fastighetspolitik för 2024 syftar till att uppnå den mest fördelaktiga långsiktiga lösningen för unionens budget. Parlamentet betonar att inget av dessa dokument innehåller några idéer om att minska antalet delegationer eller skapa regionala nav. Utrikestjänsten uppmanas eftertryckligen att hålla parlamentet informerat om all framtida utveckling i denna riktning.</w:t>
      </w:r>
    </w:p>
    <w:p w14:paraId="59C9D6F1"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69.</w:t>
      </w:r>
      <w:r w:rsidRPr="0053060C">
        <w:rPr>
          <w:kern w:val="2"/>
          <w14:ligatures w14:val="standardContextual"/>
        </w:rPr>
        <w:tab/>
        <w:t>Europaparlamentet uppmanar utrikestjänsten att upprätthålla sitt viktiga nätverk av delegationer runtom i världen med tillräcklig personal för att förbättra sin förmåga att nå ut till tredjeländer.</w:t>
      </w:r>
    </w:p>
    <w:p w14:paraId="2F47D04A"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70.</w:t>
      </w:r>
      <w:r w:rsidRPr="0053060C">
        <w:rPr>
          <w:kern w:val="2"/>
          <w14:ligatures w14:val="standardContextual"/>
        </w:rPr>
        <w:tab/>
        <w:t>Europaparlamentet noterar med oro att dessa budgetbegränsningar kan leda till alltför många stängningar av EU:s ambassader och till att installationen av säkerhetsanordningar i ett antal av unionens delegationer skjuts upp, vilket hämmar utrikestjänstens förmåga att fullgöra sitt mandat och skydda unionens värden och på ett korrekt sätt säkerställa aktsamhetskravet för all personal vid delegationerna. Medlemsstaterna uppmanas med kraft att tillhandahålla tillräcklig finansiering till utrikestjänsten och kommissionen för att säkerställa att unionen upprätthåller ett intakt delegationsnätverk som en signal för sitt globala engagemang.</w:t>
      </w:r>
    </w:p>
    <w:p w14:paraId="710E8092"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71.</w:t>
      </w:r>
      <w:r w:rsidRPr="0053060C">
        <w:rPr>
          <w:kern w:val="2"/>
          <w14:ligatures w14:val="standardContextual"/>
        </w:rPr>
        <w:tab/>
        <w:t>Europaparlamentet noterar att utrikestjänsten sedan 2020 har utvecklat sin policy för kontorsförvaltning i riktning mot samarbetsinriktade och flexibla kontorskoncept vid både huvudkontoret och delegationerna. Parlamentet noterar att utrikestjänsten började renovera Schumanbyggnadskomplexet, med början på 6:e och 7:e våningen, i syfte att uppnå en effektivare användning av kontorsutrymmena. Parlamentet noterar vidare att utrikestjänstens krishanteringscentrum i Schumanbyggnaden färdigställdes 2023. Parlamentet noterar att samarbetsinriktade kontorskoncept genomfördes i de nya lokalerna för sex delegationer.</w:t>
      </w:r>
    </w:p>
    <w:p w14:paraId="54674B23"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72.</w:t>
      </w:r>
      <w:r w:rsidRPr="0053060C">
        <w:rPr>
          <w:kern w:val="2"/>
          <w14:ligatures w14:val="standardContextual"/>
        </w:rPr>
        <w:tab/>
        <w:t xml:space="preserve">Europaparlamentet välkomnar att utrikestjänsten fokuserar på att säkerställa att dess byggnader är tillgängliga för personer med funktionsnedsättning och nedsatt rörlighet. Parlamentet noterar att Belmont-byggnaden i Bryssel redan uppfyller de rättsliga kraven för hinderfria byggnader och att renoveringen av NEO-byggnadskomplexet också tillgodoser behoven hos användare med funktionsnedsättning och nedsatt rörlighet. </w:t>
      </w:r>
      <w:r w:rsidRPr="0053060C">
        <w:rPr>
          <w:kern w:val="2"/>
          <w14:ligatures w14:val="standardContextual"/>
        </w:rPr>
        <w:lastRenderedPageBreak/>
        <w:t xml:space="preserve">Parlamentet välkomnar att utrikestjänstens urvalsförfaranden för delegationer föreskriver </w:t>
      </w:r>
      <w:proofErr w:type="spellStart"/>
      <w:r w:rsidRPr="0053060C">
        <w:rPr>
          <w:kern w:val="2"/>
          <w14:ligatures w14:val="standardContextual"/>
        </w:rPr>
        <w:t>hinderfritt</w:t>
      </w:r>
      <w:proofErr w:type="spellEnd"/>
      <w:r w:rsidRPr="0053060C">
        <w:rPr>
          <w:kern w:val="2"/>
          <w14:ligatures w14:val="standardContextual"/>
        </w:rPr>
        <w:t xml:space="preserve"> byggande som ett centralt urvalskriterium för nya kontorsbyggnader.</w:t>
      </w:r>
    </w:p>
    <w:p w14:paraId="19BA5F59" w14:textId="77777777" w:rsidR="0053060C" w:rsidRPr="0053060C" w:rsidRDefault="0053060C" w:rsidP="0053060C">
      <w:pPr>
        <w:keepNext/>
        <w:widowControl/>
        <w:spacing w:after="240"/>
        <w:ind w:left="567" w:hanging="567"/>
        <w:rPr>
          <w:b/>
          <w:i/>
          <w:kern w:val="2"/>
          <w14:ligatures w14:val="standardContextual"/>
        </w:rPr>
      </w:pPr>
      <w:r w:rsidRPr="0053060C">
        <w:rPr>
          <w:b/>
          <w:i/>
          <w:kern w:val="2"/>
          <w14:ligatures w14:val="standardContextual"/>
        </w:rPr>
        <w:t>Miljö och hållbarhet</w:t>
      </w:r>
    </w:p>
    <w:p w14:paraId="1DE8A6CF"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73.</w:t>
      </w:r>
      <w:r w:rsidRPr="0053060C">
        <w:rPr>
          <w:kern w:val="2"/>
          <w14:ligatures w14:val="standardContextual"/>
        </w:rPr>
        <w:tab/>
        <w:t xml:space="preserve">Europaparlamentet välkomnar att utrikestjänsten under 2023 fortsatte att genomföra miljölednings- och miljörevisionsordningen (Emas), särskilt genom att inrätta en miljöstyrkommitté och genom att anta en miljöpolitik och en kommunikationsstrategi på detta område som belyser utrikestjänstens engagemang för miljömässig hållbarhet i fastighetsförvaltningen. Parlamentet noterar att </w:t>
      </w:r>
      <w:proofErr w:type="spellStart"/>
      <w:r w:rsidRPr="0053060C">
        <w:rPr>
          <w:kern w:val="2"/>
          <w14:ligatures w14:val="standardContextual"/>
        </w:rPr>
        <w:t>Emasstyrkommittén</w:t>
      </w:r>
      <w:proofErr w:type="spellEnd"/>
      <w:r w:rsidRPr="0053060C">
        <w:rPr>
          <w:kern w:val="2"/>
          <w14:ligatures w14:val="standardContextual"/>
        </w:rPr>
        <w:t xml:space="preserve"> arbetade med att ta fram nya mål under 2023 med syftet att uppnå ytterligare minskningar av koldioxidavtrycket senast 2030. Parlamentet noterar att de godkända åtgärderna omfattar en minskning av användningen av naturgas med 35 %, en halvering av såväl användningen av papper och vatten som det avfall som genereras, en ökning av andelen korta och medellånga flygningar i ekonomiklass för tjänsteresor och bättre utnyttjande av miljöanpassad offentlig upphandling.</w:t>
      </w:r>
    </w:p>
    <w:p w14:paraId="01542600"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74.</w:t>
      </w:r>
      <w:r w:rsidRPr="0053060C">
        <w:rPr>
          <w:kern w:val="2"/>
          <w14:ligatures w14:val="standardContextual"/>
        </w:rPr>
        <w:tab/>
        <w:t>Europaparlamentet välkomnar att utrikestjänsten började införa hållbarhetsklausuler i de nya samlokaliseringsavtalen, inbegripet både obligatoriska åtgärder och frivilliga metoder. Parlamentet noterar, när det gäller de samlokaliseringsavtal som redan är i kraft, att sådana avtal, i stället för att omfatta uttryckliga klausuler om miljömässig hållbarhet, inbegriper som övergripande princip att samtliga samlokaliseringspartner förväntas följa förfaranden och metoder som gäller lokalt för unionens kontorslokaler.</w:t>
      </w:r>
    </w:p>
    <w:p w14:paraId="14427677"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75.</w:t>
      </w:r>
      <w:r w:rsidRPr="0053060C">
        <w:rPr>
          <w:kern w:val="2"/>
          <w14:ligatures w14:val="standardContextual"/>
        </w:rPr>
        <w:tab/>
        <w:t>Europaparlamentet noterar att utrikestjänsten under 2023 fortsatte att arbeta med genomförandet av en politik för grönare pendling och mer hållbara resor för personalen, vilket ledde till antagandet av viktiga åtgärder under 2024, såsom en höjd ersättningsnivå för kollektivtrafikabonnemang till 90 % för all personal som avstår från parkeringstillträde och målet att minst 60 % av de kilometer som tillryggaläggs med flyg under tjänsteresor bör vara i ekonomiklass.</w:t>
      </w:r>
    </w:p>
    <w:p w14:paraId="54C76A01"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76.</w:t>
      </w:r>
      <w:r w:rsidRPr="0053060C">
        <w:rPr>
          <w:kern w:val="2"/>
          <w14:ligatures w14:val="standardContextual"/>
        </w:rPr>
        <w:tab/>
        <w:t xml:space="preserve">Europaparlamentet betonar vikten av starkt politiskt engagemang, bilateralt inflytande och offentlig och kulturell diplomati för att främja unionens värden och bekämpa desinformation. Parlamentet betonar behovet av en robust och </w:t>
      </w:r>
      <w:proofErr w:type="spellStart"/>
      <w:r w:rsidRPr="0053060C">
        <w:rPr>
          <w:kern w:val="2"/>
          <w14:ligatures w14:val="standardContextual"/>
        </w:rPr>
        <w:t>resilient</w:t>
      </w:r>
      <w:proofErr w:type="spellEnd"/>
      <w:r w:rsidRPr="0053060C">
        <w:rPr>
          <w:kern w:val="2"/>
          <w14:ligatures w14:val="standardContextual"/>
        </w:rPr>
        <w:t xml:space="preserve"> utrikestjänst med ett tydligt politiskt ledarskap som tar itu med aktuella utmaningar och säkerställer samstämmighet i unionens utrikespolitik. Parlamentet uppmanar med kraft unionens delegationer att stärka stödet till verkliga demokratiska aktörer och det civila samhället på västra Balkan, samtidigt som de beslutsamt och offentligt fördömer illiberala och odemokratiska aktörers åtgärder som undergräver unionens intressen och säkerställer att IPA III-finansieringen genomförs i enlighet med unionens mål.</w:t>
      </w:r>
      <w:r w:rsidRPr="0053060C">
        <w:rPr>
          <w:b/>
          <w:i/>
          <w:kern w:val="2"/>
          <w14:ligatures w14:val="standardContextual"/>
        </w:rPr>
        <w:t xml:space="preserve"> </w:t>
      </w:r>
      <w:r w:rsidRPr="0053060C">
        <w:rPr>
          <w:kern w:val="2"/>
          <w14:ligatures w14:val="standardContextual"/>
        </w:rPr>
        <w:t>Parlamentet uppmanar unionens delegationer i regionen att tillämpa en mer trovärdig och meritbaserad strategi baserad på Köpenhamnskriterierna, särskilt rättsstatsprincipen, demokratin och skyddet av de mänskliga rättigheterna, inte minst med tanke på de begränsade framsteg som gjorts av vissa länder på västra Balkan.</w:t>
      </w:r>
    </w:p>
    <w:p w14:paraId="013A853E" w14:textId="77777777" w:rsidR="0053060C" w:rsidRPr="0053060C" w:rsidRDefault="0053060C" w:rsidP="0053060C">
      <w:pPr>
        <w:keepNext/>
        <w:widowControl/>
        <w:spacing w:after="240"/>
        <w:ind w:left="567" w:hanging="567"/>
        <w:rPr>
          <w:kern w:val="2"/>
          <w14:ligatures w14:val="standardContextual"/>
        </w:rPr>
      </w:pPr>
      <w:r w:rsidRPr="0053060C">
        <w:rPr>
          <w:kern w:val="2"/>
          <w14:ligatures w14:val="standardContextual"/>
        </w:rPr>
        <w:t>77.</w:t>
      </w:r>
      <w:r w:rsidRPr="0053060C">
        <w:rPr>
          <w:kern w:val="2"/>
          <w14:ligatures w14:val="standardContextual"/>
        </w:rPr>
        <w:tab/>
        <w:t xml:space="preserve">Europaparlamentet välkomnar utrikestjänstens utmärkta samarbete med organ såsom Olaf, </w:t>
      </w:r>
      <w:proofErr w:type="spellStart"/>
      <w:r w:rsidRPr="0053060C">
        <w:rPr>
          <w:kern w:val="2"/>
          <w14:ligatures w14:val="standardContextual"/>
        </w:rPr>
        <w:t>Eppo</w:t>
      </w:r>
      <w:proofErr w:type="spellEnd"/>
      <w:r w:rsidRPr="0053060C">
        <w:rPr>
          <w:kern w:val="2"/>
          <w14:ligatures w14:val="standardContextual"/>
        </w:rPr>
        <w:t xml:space="preserve">, revisionsrätten och EDPS, vilket återspeglas i regelbundna möten och informationsutbyten. Parlamentet noterar ingåendet av särskilda samarbetsavtal i juni 2024. Parlamentet uppmanar dock utrikestjänsten att institutionalisera ett strukturerat samarbete med dessa organ och säkerställa systematiska mekanismer för upptäckt av </w:t>
      </w:r>
      <w:r w:rsidRPr="0053060C">
        <w:rPr>
          <w:kern w:val="2"/>
          <w14:ligatures w14:val="standardContextual"/>
        </w:rPr>
        <w:lastRenderedPageBreak/>
        <w:t>bedrägerier i samband med finansieringen av EU:s yttre åtgärder, särskilt i högriskkonfliktområden och instabila stater.</w:t>
      </w:r>
    </w:p>
    <w:p w14:paraId="3D16414A" w14:textId="77777777" w:rsidR="0053060C" w:rsidRPr="0053060C" w:rsidRDefault="0053060C" w:rsidP="0053060C">
      <w:pPr>
        <w:spacing w:after="240"/>
        <w:ind w:left="567" w:hanging="567"/>
        <w:rPr>
          <w:b/>
          <w:i/>
          <w:kern w:val="2"/>
          <w14:ligatures w14:val="standardContextual"/>
        </w:rPr>
      </w:pPr>
      <w:r w:rsidRPr="0053060C">
        <w:rPr>
          <w:b/>
          <w:i/>
          <w:kern w:val="2"/>
          <w14:ligatures w14:val="standardContextual"/>
        </w:rPr>
        <w:t>Interinstitutionellt samarbete</w:t>
      </w:r>
    </w:p>
    <w:p w14:paraId="19D37C58"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78.</w:t>
      </w:r>
      <w:r w:rsidRPr="0053060C">
        <w:rPr>
          <w:kern w:val="2"/>
          <w14:ligatures w14:val="standardContextual"/>
        </w:rPr>
        <w:tab/>
        <w:t>Europaparlamentet noterar att parlamentet, rådet och utrikestjänsten under 2023 fortsatte sina tekniska diskussioner om ersättandet av 2002 års institutionella avtal mellan parlamentet och rådet på området för den gemensamma utrikes- och säkerhetspolitiken. Parlamentet beklagar att bara ett enda tekniskt möte ägde rum 2023, varefter rådet inte lyckades nå någon överenskommelse om de kompromisslösningar som lagts fram.</w:t>
      </w:r>
    </w:p>
    <w:p w14:paraId="6155ED58"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79.</w:t>
      </w:r>
      <w:r w:rsidRPr="0053060C">
        <w:rPr>
          <w:kern w:val="2"/>
          <w14:ligatures w14:val="standardContextual"/>
        </w:rPr>
        <w:tab/>
        <w:t xml:space="preserve">Europaparlamentet noterar att utrikestjänsten under 2023 inledde förhandlingsprocessen för ett samarbetsavtal med Europeiska åklagarmyndigheten, vilket undertecknades 2024. Parlamentet noterar att man i samarbetsavtalet tar hänsyn till det särskilda sammanhang som utrikestjänsten verkar i, med särskilt fokus på skyddet av information, informationens </w:t>
      </w:r>
      <w:proofErr w:type="spellStart"/>
      <w:r w:rsidRPr="0053060C">
        <w:rPr>
          <w:kern w:val="2"/>
          <w14:ligatures w14:val="standardContextual"/>
        </w:rPr>
        <w:t>konfidentialitet</w:t>
      </w:r>
      <w:proofErr w:type="spellEnd"/>
      <w:r w:rsidRPr="0053060C">
        <w:rPr>
          <w:kern w:val="2"/>
          <w14:ligatures w14:val="standardContextual"/>
        </w:rPr>
        <w:t xml:space="preserve"> och skyddet av personalens immunitet.</w:t>
      </w:r>
    </w:p>
    <w:p w14:paraId="387F3DB5" w14:textId="77777777" w:rsidR="0053060C" w:rsidRPr="0053060C" w:rsidRDefault="0053060C" w:rsidP="0053060C">
      <w:pPr>
        <w:spacing w:after="240"/>
        <w:ind w:left="567" w:hanging="567"/>
        <w:rPr>
          <w:b/>
          <w:bCs/>
          <w:i/>
          <w:iCs/>
          <w:kern w:val="2"/>
          <w14:ligatures w14:val="standardContextual"/>
        </w:rPr>
      </w:pPr>
      <w:r w:rsidRPr="0053060C">
        <w:rPr>
          <w:kern w:val="2"/>
          <w14:ligatures w14:val="standardContextual"/>
        </w:rPr>
        <w:t>80.</w:t>
      </w:r>
      <w:r w:rsidRPr="0053060C">
        <w:rPr>
          <w:kern w:val="2"/>
          <w14:ligatures w14:val="standardContextual"/>
        </w:rPr>
        <w:tab/>
        <w:t>Europaparlamentet noterar att utrikestjänsten i sin budget för 2023 öronmärkte 990,5 miljoner EUR till ett pilotprojekt för inrättandet av den europeiska diplomatakademin, där 50 yngre diplomater från medlemsstaterna och unionens institutioner utbildas i EU:s utrikes- och säkerhetspolitik i syfte att bygga upp en verklig europeisk diplomatkår för att främja EU:s utrikespolitik och externa intressen. Parlamentet uppmuntrar detta initiativ som ett steg mot att främja en sammanhållen och välutbildad europeisk diplomatkår som effektivt kan företräda och försvara unionens värden och intressen på den globala arenan. Parlamentet understryker behovet av att göra den europeiska diplomatakademin mer synlig i alla medlemsstater och att stärka dess roll och kapacitet.</w:t>
      </w:r>
    </w:p>
    <w:p w14:paraId="046F2272"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81.</w:t>
      </w:r>
      <w:r w:rsidRPr="0053060C">
        <w:rPr>
          <w:kern w:val="2"/>
          <w14:ligatures w14:val="standardContextual"/>
        </w:rPr>
        <w:tab/>
        <w:t>Europaparlamentet välkomnar att utrikestjänsten utökade sitt samarbete med Europeiska ombudsmannen under 2023 för att öka personalens medvetenhet om principerna för en god förvaltning. Parlamentet noterar att den nya samarbetsnivån inbegriper att bjuda in Europeiska ombudsmannens kontor att presentera sitt arbete under utrikestjänstens seminarier inför utstationering och under utrikestjänstens årliga personalseminarier.</w:t>
      </w:r>
    </w:p>
    <w:p w14:paraId="36893326" w14:textId="77777777" w:rsidR="0053060C" w:rsidRPr="0053060C" w:rsidRDefault="0053060C" w:rsidP="0053060C">
      <w:pPr>
        <w:spacing w:after="240"/>
        <w:ind w:left="567" w:hanging="567"/>
        <w:rPr>
          <w:b/>
          <w:i/>
          <w:kern w:val="2"/>
          <w14:ligatures w14:val="standardContextual"/>
        </w:rPr>
      </w:pPr>
      <w:r w:rsidRPr="0053060C">
        <w:rPr>
          <w:b/>
          <w:i/>
          <w:kern w:val="2"/>
          <w14:ligatures w14:val="standardContextual"/>
        </w:rPr>
        <w:t>Kommunikation</w:t>
      </w:r>
    </w:p>
    <w:p w14:paraId="487C1A70" w14:textId="77777777" w:rsidR="0053060C" w:rsidRPr="0053060C" w:rsidRDefault="0053060C" w:rsidP="0053060C">
      <w:pPr>
        <w:spacing w:after="240"/>
        <w:ind w:left="567" w:hanging="567"/>
        <w:rPr>
          <w:color w:val="000000"/>
          <w:kern w:val="2"/>
          <w:szCs w:val="23"/>
          <w14:ligatures w14:val="standardContextual"/>
        </w:rPr>
      </w:pPr>
      <w:r w:rsidRPr="0053060C">
        <w:rPr>
          <w:kern w:val="2"/>
          <w14:ligatures w14:val="standardContextual"/>
        </w:rPr>
        <w:t>82.</w:t>
      </w:r>
      <w:r w:rsidRPr="0053060C">
        <w:rPr>
          <w:kern w:val="2"/>
          <w14:ligatures w14:val="standardContextual"/>
        </w:rPr>
        <w:tab/>
        <w:t>Europaparlamentet noterar att utrikestjänsten har ett budgetanslag på 22,2 miljoner EUR, fördelat över olika budgetposter som omfattar publikationer, evenemang, strategisk kommunikation, utåtriktad verksamhet och press. Parlamentet välkomnar att utrikestjänsten fortsatt prioriterade demokrati och rättsstatsprincipen, även genom en inriktning på utländsk informationsmanipulering och inblandning via förstärkta policyer och instrument.</w:t>
      </w:r>
    </w:p>
    <w:p w14:paraId="5C0F0829"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83.</w:t>
      </w:r>
      <w:r w:rsidRPr="0053060C">
        <w:rPr>
          <w:kern w:val="2"/>
          <w14:ligatures w14:val="standardContextual"/>
        </w:rPr>
        <w:tab/>
        <w:t>Europaparlamentet påpekar att antalet kränkningar av religionsfriheten ökar i hela världen. Parlamentet uppmanar utrikestjänsten att mot denna bakgrund rusta sin personal på lämpligt sätt (inbegripet genom utbildning) i länder där det inte råder religionsfrihet eller där religionsfriheten är hotad, i syfte att inleda diskussioner om denna fråga med relevanta myndigheter på alla nivåer i länder där religionsfriheten kränks, samt att göra detta till ett viktigt fokusområde i sina yttre åtgärder.</w:t>
      </w:r>
    </w:p>
    <w:p w14:paraId="47B9060E" w14:textId="77777777" w:rsidR="0053060C" w:rsidRPr="0053060C" w:rsidRDefault="0053060C" w:rsidP="0053060C">
      <w:pPr>
        <w:spacing w:after="240"/>
        <w:ind w:left="567" w:hanging="567"/>
        <w:rPr>
          <w:b/>
          <w:i/>
          <w:kern w:val="2"/>
          <w14:ligatures w14:val="standardContextual"/>
        </w:rPr>
      </w:pPr>
      <w:r w:rsidRPr="0053060C">
        <w:rPr>
          <w:kern w:val="2"/>
          <w14:ligatures w14:val="standardContextual"/>
        </w:rPr>
        <w:t>84.</w:t>
      </w:r>
      <w:r w:rsidRPr="0053060C">
        <w:rPr>
          <w:kern w:val="2"/>
          <w14:ligatures w14:val="standardContextual"/>
        </w:rPr>
        <w:tab/>
        <w:t xml:space="preserve">Europaparlamentet noterar att utrikestjänsten, som en del av sin </w:t>
      </w:r>
      <w:r w:rsidRPr="0053060C">
        <w:rPr>
          <w:kern w:val="2"/>
          <w14:ligatures w14:val="standardContextual"/>
        </w:rPr>
        <w:lastRenderedPageBreak/>
        <w:t xml:space="preserve">kommunikationsverksamhet, vänder sig till allmänheten via offentliga evenemang, öppet </w:t>
      </w:r>
      <w:proofErr w:type="spellStart"/>
      <w:r w:rsidRPr="0053060C">
        <w:rPr>
          <w:kern w:val="2"/>
          <w14:ligatures w14:val="standardContextual"/>
        </w:rPr>
        <w:t>hus-dagar</w:t>
      </w:r>
      <w:proofErr w:type="spellEnd"/>
      <w:r w:rsidRPr="0053060C">
        <w:rPr>
          <w:kern w:val="2"/>
          <w14:ligatures w14:val="standardContextual"/>
        </w:rPr>
        <w:t xml:space="preserve"> och mottagande av besöksgrupper. Parlamentet noterar att utrikestjänsten under 2023 inledde flera tematiska informationskampanjer via olika kanaler om stödet till Ukraina, konsekvenserna av Rysslands anfallskrig mot Ukraina och respekten för unionens värden. Parlamentet välkomnar att Ukraina fortfarande hör till utrikestjänstens främsta prioriteringar. Parlamentet noterar att utrikestjänsten under 2023 befäste sin närvaro på sociala medier och ökade antalet följare med 41,5 % på LinkedIn, 13,8 % på </w:t>
      </w:r>
      <w:proofErr w:type="spellStart"/>
      <w:r w:rsidRPr="0053060C">
        <w:rPr>
          <w:kern w:val="2"/>
          <w14:ligatures w14:val="standardContextual"/>
        </w:rPr>
        <w:t>Instagram</w:t>
      </w:r>
      <w:proofErr w:type="spellEnd"/>
      <w:r w:rsidRPr="0053060C">
        <w:rPr>
          <w:kern w:val="2"/>
          <w14:ligatures w14:val="standardContextual"/>
        </w:rPr>
        <w:t>, 5,4 % på Twitter och 4,7 % på Facebook. Parlamentet uppmanar utrikestjänsten att förbättra sin kommunikation om unionens politik till medborgare i tredjeländer och att stärka samordningsinsatserna som ökar synligheten för unionsfinansierade projekt, särskilt i kandidatländerna, i syfte att motverka försök från fientliga aktörer att undergräva EU:s insatser.</w:t>
      </w:r>
    </w:p>
    <w:p w14:paraId="202A15EA" w14:textId="02510D7E" w:rsidR="0053060C" w:rsidRPr="0053060C" w:rsidRDefault="0053060C" w:rsidP="0053060C">
      <w:pPr>
        <w:spacing w:after="240"/>
        <w:ind w:left="567" w:hanging="567"/>
        <w:rPr>
          <w:kern w:val="2"/>
          <w14:ligatures w14:val="standardContextual"/>
        </w:rPr>
      </w:pPr>
      <w:r w:rsidRPr="0053060C">
        <w:rPr>
          <w:kern w:val="2"/>
          <w14:ligatures w14:val="standardContextual"/>
        </w:rPr>
        <w:t>85.</w:t>
      </w:r>
      <w:r w:rsidRPr="0053060C">
        <w:rPr>
          <w:kern w:val="2"/>
          <w14:ligatures w14:val="standardContextual"/>
        </w:rPr>
        <w:tab/>
        <w:t>Europaparlamentet välkomnar utrikestjänstens deltagande i parlamentets institutionella informationskampanj inför valet till Europaparlamentet 2024, särskilt den kampanj som riktade sig till de 25</w:t>
      </w:r>
      <w:r>
        <w:rPr>
          <w:kern w:val="2"/>
          <w14:ligatures w14:val="standardContextual"/>
        </w:rPr>
        <w:t>-</w:t>
      </w:r>
      <w:r w:rsidRPr="0053060C">
        <w:rPr>
          <w:kern w:val="2"/>
          <w14:ligatures w14:val="standardContextual"/>
        </w:rPr>
        <w:t>30 miljoner EU-medborgare som bor i tredjeländer med information om möjliga sätt att rösta i valet till Europaparlamentet, i synnerhet via delegationernas nätverk. Parlamentet noterar att denna kampanj nådde ut till 11 miljoner mottagare via 26 videokampanjer och över 2 000 inlägg på sociala medier.</w:t>
      </w:r>
    </w:p>
    <w:p w14:paraId="099768C9" w14:textId="77777777" w:rsidR="0053060C" w:rsidRPr="0053060C" w:rsidRDefault="0053060C" w:rsidP="0053060C">
      <w:pPr>
        <w:spacing w:after="240"/>
        <w:ind w:left="567" w:hanging="567"/>
        <w:rPr>
          <w:kern w:val="2"/>
          <w14:ligatures w14:val="standardContextual"/>
        </w:rPr>
      </w:pPr>
      <w:r w:rsidRPr="0053060C">
        <w:rPr>
          <w:kern w:val="2"/>
          <w14:ligatures w14:val="standardContextual"/>
        </w:rPr>
        <w:t>86.</w:t>
      </w:r>
      <w:r w:rsidRPr="0053060C">
        <w:rPr>
          <w:kern w:val="2"/>
          <w14:ligatures w14:val="standardContextual"/>
        </w:rPr>
        <w:tab/>
        <w:t xml:space="preserve">Europaparlamentet framhåller utrikestjänstens bidrag till EU:s övergripande insatser för att visa ett orubbligt stöd för Ukraina med initiativ såsom kampanjen #StandWithUkraine och riktade kommunikationsprojekt såsom Faces </w:t>
      </w:r>
      <w:proofErr w:type="spellStart"/>
      <w:r w:rsidRPr="0053060C">
        <w:rPr>
          <w:kern w:val="2"/>
          <w14:ligatures w14:val="standardContextual"/>
        </w:rPr>
        <w:t>of</w:t>
      </w:r>
      <w:proofErr w:type="spellEnd"/>
      <w:r w:rsidRPr="0053060C">
        <w:rPr>
          <w:kern w:val="2"/>
          <w14:ligatures w14:val="standardContextual"/>
        </w:rPr>
        <w:t xml:space="preserve"> </w:t>
      </w:r>
      <w:proofErr w:type="spellStart"/>
      <w:r w:rsidRPr="0053060C">
        <w:rPr>
          <w:kern w:val="2"/>
          <w14:ligatures w14:val="standardContextual"/>
        </w:rPr>
        <w:t>Ukraine</w:t>
      </w:r>
      <w:proofErr w:type="spellEnd"/>
      <w:r w:rsidRPr="0053060C">
        <w:rPr>
          <w:kern w:val="2"/>
          <w14:ligatures w14:val="standardContextual"/>
        </w:rPr>
        <w:t xml:space="preserve">, Art vs </w:t>
      </w:r>
      <w:proofErr w:type="spellStart"/>
      <w:r w:rsidRPr="0053060C">
        <w:rPr>
          <w:kern w:val="2"/>
          <w14:ligatures w14:val="standardContextual"/>
        </w:rPr>
        <w:t>War</w:t>
      </w:r>
      <w:proofErr w:type="spellEnd"/>
      <w:r w:rsidRPr="0053060C">
        <w:rPr>
          <w:kern w:val="2"/>
          <w14:ligatures w14:val="standardContextual"/>
        </w:rPr>
        <w:t xml:space="preserve"> och </w:t>
      </w:r>
      <w:proofErr w:type="spellStart"/>
      <w:r w:rsidRPr="0053060C">
        <w:rPr>
          <w:kern w:val="2"/>
          <w14:ligatures w14:val="standardContextual"/>
        </w:rPr>
        <w:t>Share</w:t>
      </w:r>
      <w:proofErr w:type="spellEnd"/>
      <w:r w:rsidRPr="0053060C">
        <w:rPr>
          <w:kern w:val="2"/>
          <w14:ligatures w14:val="standardContextual"/>
        </w:rPr>
        <w:t xml:space="preserve"> </w:t>
      </w:r>
      <w:proofErr w:type="spellStart"/>
      <w:r w:rsidRPr="0053060C">
        <w:rPr>
          <w:kern w:val="2"/>
          <w14:ligatures w14:val="standardContextual"/>
        </w:rPr>
        <w:t>Your</w:t>
      </w:r>
      <w:proofErr w:type="spellEnd"/>
      <w:r w:rsidRPr="0053060C">
        <w:rPr>
          <w:kern w:val="2"/>
          <w14:ligatures w14:val="standardContextual"/>
        </w:rPr>
        <w:t xml:space="preserve"> </w:t>
      </w:r>
      <w:proofErr w:type="spellStart"/>
      <w:r w:rsidRPr="0053060C">
        <w:rPr>
          <w:kern w:val="2"/>
          <w14:ligatures w14:val="standardContextual"/>
        </w:rPr>
        <w:t>Light</w:t>
      </w:r>
      <w:proofErr w:type="spellEnd"/>
      <w:r w:rsidRPr="0053060C">
        <w:rPr>
          <w:kern w:val="2"/>
          <w14:ligatures w14:val="standardContextual"/>
        </w:rPr>
        <w:t>.</w:t>
      </w:r>
    </w:p>
    <w:p w14:paraId="55617349" w14:textId="3B710C75" w:rsidR="00E365E1" w:rsidRPr="00E85801" w:rsidRDefault="0053060C" w:rsidP="0053060C">
      <w:pPr>
        <w:spacing w:after="240"/>
        <w:ind w:left="567" w:hanging="567"/>
      </w:pPr>
      <w:r w:rsidRPr="0053060C">
        <w:rPr>
          <w:kern w:val="2"/>
          <w14:ligatures w14:val="standardContextual"/>
        </w:rPr>
        <w:t>87.</w:t>
      </w:r>
      <w:r w:rsidRPr="0053060C">
        <w:rPr>
          <w:kern w:val="2"/>
          <w14:ligatures w14:val="standardContextual"/>
        </w:rPr>
        <w:tab/>
        <w:t xml:space="preserve">Europaparlamentet fortsätter att uppmuntra unionens delegationer att främja och samarbeta med lokala aktörer, det civila samhällets organisationer och arbetsmarknadens parter i tredjeländer för att stimulera den sociala dialogen och dialogen om rättsstatsprincipen, grundläggande rättigheter och kampen mot korruption. Parlamentet noterar att det under 2023 </w:t>
      </w:r>
      <w:r>
        <w:rPr>
          <w:kern w:val="2"/>
          <w14:ligatures w14:val="standardContextual"/>
        </w:rPr>
        <w:t>-</w:t>
      </w:r>
      <w:r w:rsidRPr="0053060C">
        <w:rPr>
          <w:kern w:val="2"/>
          <w14:ligatures w14:val="standardContextual"/>
        </w:rPr>
        <w:t xml:space="preserve"> inom ramen för det tematiska programmet för det civila samhällets organisationer, på grundval av vilket unionspartnerskap ingås med ansvarsfulla och transparenta organisationer </w:t>
      </w:r>
      <w:r>
        <w:rPr>
          <w:kern w:val="2"/>
          <w14:ligatures w14:val="standardContextual"/>
        </w:rPr>
        <w:t>-</w:t>
      </w:r>
      <w:r w:rsidRPr="0053060C">
        <w:rPr>
          <w:kern w:val="2"/>
          <w14:ligatures w14:val="standardContextual"/>
        </w:rPr>
        <w:t xml:space="preserve"> anslogs 50 miljoner EUR till unionens system för en gynnsam miljö för det civila samhället, som övervakar och främjar civilsamhällets demokratiska utrymme i 86 partnerländer.</w:t>
      </w:r>
    </w:p>
    <w:sectPr w:rsidR="00E365E1" w:rsidRPr="00E85801" w:rsidSect="0053060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DF702" w14:textId="77777777" w:rsidR="0012029D" w:rsidRPr="00E85801" w:rsidRDefault="0012029D">
      <w:r w:rsidRPr="00E85801">
        <w:separator/>
      </w:r>
    </w:p>
  </w:endnote>
  <w:endnote w:type="continuationSeparator" w:id="0">
    <w:p w14:paraId="48E490F6" w14:textId="77777777" w:rsidR="0012029D" w:rsidRPr="00E85801" w:rsidRDefault="0012029D">
      <w:r w:rsidRPr="00E858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287E" w14:textId="77777777" w:rsidR="00064002" w:rsidRPr="00E858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55AC1" w14:textId="77777777" w:rsidR="00064002" w:rsidRPr="00E858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3E95" w14:textId="77777777" w:rsidR="00064002" w:rsidRPr="00E858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014CA" w14:textId="77777777" w:rsidR="0012029D" w:rsidRPr="00E85801" w:rsidRDefault="0012029D">
      <w:r w:rsidRPr="00E85801">
        <w:separator/>
      </w:r>
    </w:p>
  </w:footnote>
  <w:footnote w:type="continuationSeparator" w:id="0">
    <w:p w14:paraId="66511733" w14:textId="77777777" w:rsidR="0012029D" w:rsidRPr="00E85801" w:rsidRDefault="0012029D">
      <w:r w:rsidRPr="00E85801">
        <w:continuationSeparator/>
      </w:r>
    </w:p>
  </w:footnote>
  <w:footnote w:id="1">
    <w:p w14:paraId="5C5E7D31" w14:textId="77777777" w:rsidR="0053060C" w:rsidRPr="00DF6BC8" w:rsidRDefault="0053060C" w:rsidP="0053060C">
      <w:pPr>
        <w:pStyle w:val="FootnoteText"/>
        <w:ind w:left="567" w:hanging="567"/>
        <w:rPr>
          <w:sz w:val="24"/>
          <w:lang w:val="fi-FI"/>
        </w:rPr>
      </w:pPr>
      <w:r w:rsidRPr="00DF6BC8">
        <w:rPr>
          <w:rStyle w:val="FootnoteReference"/>
          <w:sz w:val="24"/>
          <w:lang w:val="sv-SE"/>
        </w:rPr>
        <w:footnoteRef/>
      </w:r>
      <w:r w:rsidRPr="00DF6BC8">
        <w:rPr>
          <w:sz w:val="24"/>
          <w:lang w:val="fi-FI"/>
        </w:rPr>
        <w:t xml:space="preserve"> </w:t>
      </w:r>
      <w:r w:rsidRPr="001C3E94">
        <w:rPr>
          <w:sz w:val="24"/>
          <w:lang w:val="fi-FI"/>
        </w:rPr>
        <w:tab/>
        <w:t xml:space="preserve">EUT L 58, 23.2.2023, s. 1, ELI: </w:t>
      </w:r>
      <w:hyperlink r:id="rId1" w:tooltip="Gives access to this document through its ELI URI." w:history="1">
        <w:r w:rsidRPr="001C3E94">
          <w:rPr>
            <w:rStyle w:val="Hyperlink1"/>
            <w:shd w:val="clear" w:color="auto" w:fill="FFFFFF"/>
            <w:lang w:val="fi-FI"/>
          </w:rPr>
          <w:t>http://data.europa.eu/eli/budget/2023/1/oj</w:t>
        </w:r>
      </w:hyperlink>
      <w:r w:rsidRPr="001C3E94">
        <w:rPr>
          <w:sz w:val="24"/>
          <w:shd w:val="clear" w:color="auto" w:fill="FFFFFF"/>
          <w:lang w:val="fi-FI"/>
        </w:rPr>
        <w:t>.</w:t>
      </w:r>
    </w:p>
  </w:footnote>
  <w:footnote w:id="2">
    <w:p w14:paraId="2FF5B684" w14:textId="77777777" w:rsidR="0053060C" w:rsidRPr="00DF6BC8" w:rsidRDefault="0053060C" w:rsidP="0053060C">
      <w:pPr>
        <w:pStyle w:val="FootnoteText"/>
        <w:ind w:left="567" w:hanging="567"/>
        <w:rPr>
          <w:sz w:val="24"/>
          <w:lang w:val="fi-FI"/>
        </w:rPr>
      </w:pPr>
      <w:r w:rsidRPr="00DF6BC8">
        <w:rPr>
          <w:rStyle w:val="FootnoteReference"/>
          <w:sz w:val="24"/>
          <w:lang w:val="sv-SE"/>
        </w:rPr>
        <w:footnoteRef/>
      </w:r>
      <w:r w:rsidRPr="00DF6BC8">
        <w:rPr>
          <w:sz w:val="24"/>
          <w:lang w:val="fi-FI"/>
        </w:rPr>
        <w:t xml:space="preserve"> </w:t>
      </w:r>
      <w:r w:rsidRPr="001C3E94">
        <w:rPr>
          <w:sz w:val="24"/>
          <w:lang w:val="fi-FI"/>
        </w:rPr>
        <w:tab/>
        <w:t xml:space="preserve">EUT C, C/2024/5462, 10.10.2024, ELI: </w:t>
      </w:r>
      <w:hyperlink r:id="rId2" w:history="1">
        <w:r w:rsidRPr="001C3E94">
          <w:rPr>
            <w:rStyle w:val="Hyperlink1"/>
            <w:lang w:val="fi-FI"/>
          </w:rPr>
          <w:t>http://data.europa.eu/eli/C/2024/5462/oj</w:t>
        </w:r>
      </w:hyperlink>
      <w:r w:rsidRPr="001C3E94">
        <w:rPr>
          <w:sz w:val="24"/>
          <w:shd w:val="clear" w:color="auto" w:fill="FFFFFF"/>
          <w:lang w:val="fi-FI"/>
        </w:rPr>
        <w:t>.</w:t>
      </w:r>
    </w:p>
  </w:footnote>
  <w:footnote w:id="3">
    <w:p w14:paraId="0067A725" w14:textId="77777777" w:rsidR="0053060C" w:rsidRPr="00DF6BC8" w:rsidRDefault="0053060C" w:rsidP="0053060C">
      <w:pPr>
        <w:pStyle w:val="FootnoteText"/>
        <w:ind w:left="567" w:hanging="567"/>
        <w:rPr>
          <w:sz w:val="24"/>
          <w:lang w:val="fi-FI"/>
        </w:rPr>
      </w:pPr>
      <w:r w:rsidRPr="00DF6BC8">
        <w:rPr>
          <w:rStyle w:val="FootnoteReference"/>
          <w:sz w:val="24"/>
          <w:lang w:val="sv-SE"/>
        </w:rPr>
        <w:footnoteRef/>
      </w:r>
      <w:r w:rsidRPr="00DF6BC8">
        <w:rPr>
          <w:sz w:val="24"/>
          <w:lang w:val="fi-FI"/>
        </w:rPr>
        <w:t xml:space="preserve"> </w:t>
      </w:r>
      <w:r w:rsidRPr="001C3E94">
        <w:rPr>
          <w:sz w:val="24"/>
          <w:lang w:val="fi-FI"/>
        </w:rPr>
        <w:tab/>
        <w:t xml:space="preserve">EUT C, C/2024/5882, 9.10.2024, ELI: </w:t>
      </w:r>
      <w:hyperlink r:id="rId3" w:history="1">
        <w:r w:rsidRPr="001C3E94">
          <w:rPr>
            <w:rStyle w:val="Hyperlink1"/>
            <w:lang w:val="fi-FI"/>
          </w:rPr>
          <w:t>http://data.europa.eu/eli/C/2024/5882/oj</w:t>
        </w:r>
      </w:hyperlink>
      <w:r w:rsidRPr="001C3E94">
        <w:rPr>
          <w:sz w:val="24"/>
          <w:shd w:val="clear" w:color="auto" w:fill="FFFFFF"/>
          <w:lang w:val="fi-FI"/>
        </w:rPr>
        <w:t>.</w:t>
      </w:r>
    </w:p>
  </w:footnote>
  <w:footnote w:id="4">
    <w:p w14:paraId="2383EAF8" w14:textId="77777777" w:rsidR="0053060C" w:rsidRPr="00DF6BC8" w:rsidRDefault="0053060C" w:rsidP="0053060C">
      <w:pPr>
        <w:pStyle w:val="FootnoteText"/>
        <w:ind w:left="567" w:hanging="567"/>
        <w:rPr>
          <w:sz w:val="24"/>
          <w:lang w:val="fi-FI"/>
        </w:rPr>
      </w:pPr>
      <w:r w:rsidRPr="00DF6BC8">
        <w:rPr>
          <w:rStyle w:val="FootnoteReference"/>
          <w:sz w:val="24"/>
          <w:lang w:val="sv-SE"/>
        </w:rPr>
        <w:footnoteRef/>
      </w:r>
      <w:r w:rsidRPr="00DF6BC8">
        <w:rPr>
          <w:sz w:val="24"/>
          <w:lang w:val="fi-FI"/>
        </w:rPr>
        <w:t xml:space="preserve"> </w:t>
      </w:r>
      <w:r w:rsidRPr="001C3E94">
        <w:rPr>
          <w:sz w:val="24"/>
          <w:lang w:val="fi-FI"/>
        </w:rPr>
        <w:tab/>
        <w:t xml:space="preserve">EUT C, C/2024/6041, 10.10.2024, ELI: </w:t>
      </w:r>
      <w:hyperlink r:id="rId4" w:history="1">
        <w:r w:rsidRPr="001C3E94">
          <w:rPr>
            <w:rStyle w:val="Hyperlink1"/>
            <w:lang w:val="fi-FI"/>
          </w:rPr>
          <w:t>http://data.europa.eu/eli/C/2024/6041/oj</w:t>
        </w:r>
      </w:hyperlink>
      <w:r w:rsidRPr="001C3E94">
        <w:rPr>
          <w:sz w:val="24"/>
          <w:shd w:val="clear" w:color="auto" w:fill="FFFFFF"/>
          <w:lang w:val="fi-FI"/>
        </w:rPr>
        <w:t>.</w:t>
      </w:r>
    </w:p>
  </w:footnote>
  <w:footnote w:id="5">
    <w:p w14:paraId="16D9EC3D" w14:textId="77777777" w:rsidR="0053060C" w:rsidRPr="00DF6BC8" w:rsidRDefault="0053060C" w:rsidP="0053060C">
      <w:pPr>
        <w:pStyle w:val="FootnoteText"/>
        <w:ind w:left="567" w:hanging="567"/>
        <w:rPr>
          <w:sz w:val="24"/>
          <w:lang w:val="fi-FI"/>
        </w:rPr>
      </w:pPr>
      <w:r w:rsidRPr="00DF6BC8">
        <w:rPr>
          <w:rStyle w:val="FootnoteReference"/>
          <w:sz w:val="24"/>
          <w:lang w:val="sv-SE"/>
        </w:rPr>
        <w:footnoteRef/>
      </w:r>
      <w:r w:rsidRPr="00DF6BC8">
        <w:rPr>
          <w:sz w:val="24"/>
          <w:lang w:val="fi-FI"/>
        </w:rPr>
        <w:t xml:space="preserve"> </w:t>
      </w:r>
      <w:r w:rsidRPr="001C3E94">
        <w:rPr>
          <w:sz w:val="24"/>
          <w:lang w:val="fi-FI"/>
        </w:rPr>
        <w:tab/>
        <w:t xml:space="preserve">EUT L 193, 30.7.2018, s. 1, ELI: </w:t>
      </w:r>
      <w:hyperlink r:id="rId5" w:history="1">
        <w:r w:rsidRPr="001C3E94">
          <w:rPr>
            <w:rStyle w:val="Hyperlink1"/>
            <w:lang w:val="fi-FI"/>
          </w:rPr>
          <w:t>http://data.europa.eu/eli/reg/2018/1046/oj</w:t>
        </w:r>
      </w:hyperlink>
      <w:r w:rsidRPr="001C3E94">
        <w:rPr>
          <w:sz w:val="24"/>
          <w:shd w:val="clear" w:color="auto" w:fill="FFFFFF"/>
          <w:lang w:val="fi-FI"/>
        </w:rPr>
        <w:t>.</w:t>
      </w:r>
    </w:p>
  </w:footnote>
  <w:footnote w:id="6">
    <w:p w14:paraId="41488E3E" w14:textId="77777777" w:rsidR="0053060C" w:rsidRPr="00DF6BC8" w:rsidRDefault="0053060C" w:rsidP="0053060C">
      <w:pPr>
        <w:pStyle w:val="FootnoteText"/>
        <w:ind w:left="567" w:hanging="567"/>
        <w:rPr>
          <w:sz w:val="24"/>
          <w:szCs w:val="24"/>
          <w:lang w:val="fi-FI"/>
        </w:rPr>
      </w:pPr>
      <w:r w:rsidRPr="00DF6BC8">
        <w:rPr>
          <w:rStyle w:val="FootnoteReference"/>
          <w:sz w:val="24"/>
          <w:lang w:val="sv-SE"/>
        </w:rPr>
        <w:footnoteRef/>
      </w:r>
      <w:r w:rsidRPr="00DF6BC8">
        <w:rPr>
          <w:sz w:val="24"/>
          <w:lang w:val="fi-FI"/>
        </w:rPr>
        <w:t xml:space="preserve"> </w:t>
      </w:r>
      <w:r w:rsidRPr="001C3E94">
        <w:rPr>
          <w:sz w:val="24"/>
          <w:lang w:val="fi-FI"/>
        </w:rPr>
        <w:tab/>
        <w:t xml:space="preserve">EUT L, 2024/2509, 26.9.2024, ELI: </w:t>
      </w:r>
      <w:hyperlink r:id="rId6" w:history="1">
        <w:r w:rsidRPr="001C3E94">
          <w:rPr>
            <w:rStyle w:val="Hyperlink1"/>
            <w:lang w:val="fi-FI"/>
          </w:rPr>
          <w:t>http://data.europa.eu/eli/reg/2024/2509/oj</w:t>
        </w:r>
      </w:hyperlink>
      <w:r w:rsidRPr="001C3E94">
        <w:rPr>
          <w:sz w:val="24"/>
          <w:shd w:val="clear" w:color="auto" w:fill="FFFFFF"/>
          <w:lang w:val="fi-FI"/>
        </w:rPr>
        <w:t>.</w:t>
      </w:r>
    </w:p>
  </w:footnote>
  <w:footnote w:id="7">
    <w:p w14:paraId="1785AF33" w14:textId="77777777" w:rsidR="0053060C" w:rsidRPr="00DF6BC8" w:rsidRDefault="0053060C" w:rsidP="0053060C">
      <w:pPr>
        <w:pStyle w:val="FootnoteText"/>
        <w:ind w:left="567" w:hanging="567"/>
        <w:rPr>
          <w:sz w:val="24"/>
          <w:lang w:val="fi-FI"/>
        </w:rPr>
      </w:pPr>
      <w:r w:rsidRPr="00DF6BC8">
        <w:rPr>
          <w:rStyle w:val="FootnoteReference"/>
          <w:sz w:val="24"/>
          <w:lang w:val="sv-SE"/>
        </w:rPr>
        <w:footnoteRef/>
      </w:r>
      <w:r w:rsidRPr="00DF6BC8">
        <w:rPr>
          <w:sz w:val="24"/>
          <w:lang w:val="fi-FI"/>
        </w:rPr>
        <w:t xml:space="preserve"> </w:t>
      </w:r>
      <w:r w:rsidRPr="001C3E94">
        <w:rPr>
          <w:sz w:val="24"/>
          <w:lang w:val="fi-FI"/>
        </w:rPr>
        <w:tab/>
        <w:t xml:space="preserve">EUT L 201, 3.8.2010, s. 30, ELI: </w:t>
      </w:r>
      <w:hyperlink r:id="rId7" w:history="1">
        <w:r w:rsidRPr="001C3E94">
          <w:rPr>
            <w:rStyle w:val="Hyperlink1"/>
            <w:lang w:val="fi-FI"/>
          </w:rPr>
          <w:t>http://data.europa.eu/eli/dec/2010/427/oj</w:t>
        </w:r>
      </w:hyperlink>
      <w:r w:rsidRPr="001C3E94">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5AA62" w14:textId="77777777" w:rsidR="00064002" w:rsidRPr="00E858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36116" w14:textId="77777777" w:rsidR="00064002" w:rsidRPr="00E858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FF684" w14:textId="77777777" w:rsidR="00064002" w:rsidRPr="00E858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1773754">
    <w:abstractNumId w:val="9"/>
  </w:num>
  <w:num w:numId="2" w16cid:durableId="2044597697">
    <w:abstractNumId w:val="9"/>
  </w:num>
  <w:num w:numId="3" w16cid:durableId="793721054">
    <w:abstractNumId w:val="7"/>
  </w:num>
  <w:num w:numId="4" w16cid:durableId="1841459616">
    <w:abstractNumId w:val="7"/>
  </w:num>
  <w:num w:numId="5" w16cid:durableId="2042978184">
    <w:abstractNumId w:val="6"/>
  </w:num>
  <w:num w:numId="6" w16cid:durableId="1461067546">
    <w:abstractNumId w:val="6"/>
  </w:num>
  <w:num w:numId="7" w16cid:durableId="649595064">
    <w:abstractNumId w:val="5"/>
  </w:num>
  <w:num w:numId="8" w16cid:durableId="716198310">
    <w:abstractNumId w:val="5"/>
  </w:num>
  <w:num w:numId="9" w16cid:durableId="249048011">
    <w:abstractNumId w:val="4"/>
  </w:num>
  <w:num w:numId="10" w16cid:durableId="804616987">
    <w:abstractNumId w:val="4"/>
  </w:num>
  <w:num w:numId="11" w16cid:durableId="1356804812">
    <w:abstractNumId w:val="8"/>
  </w:num>
  <w:num w:numId="12" w16cid:durableId="150560525">
    <w:abstractNumId w:val="8"/>
  </w:num>
  <w:num w:numId="13" w16cid:durableId="646856827">
    <w:abstractNumId w:val="3"/>
  </w:num>
  <w:num w:numId="14" w16cid:durableId="1963413872">
    <w:abstractNumId w:val="3"/>
  </w:num>
  <w:num w:numId="15" w16cid:durableId="1006370859">
    <w:abstractNumId w:val="2"/>
  </w:num>
  <w:num w:numId="16" w16cid:durableId="942153844">
    <w:abstractNumId w:val="2"/>
  </w:num>
  <w:num w:numId="17" w16cid:durableId="1142236770">
    <w:abstractNumId w:val="1"/>
  </w:num>
  <w:num w:numId="18" w16cid:durableId="1758356803">
    <w:abstractNumId w:val="1"/>
  </w:num>
  <w:num w:numId="19" w16cid:durableId="677923039">
    <w:abstractNumId w:val="0"/>
  </w:num>
  <w:num w:numId="20" w16cid:durableId="623317687">
    <w:abstractNumId w:val="0"/>
  </w:num>
  <w:num w:numId="21" w16cid:durableId="136264348">
    <w:abstractNumId w:val="9"/>
  </w:num>
  <w:num w:numId="22" w16cid:durableId="610816956">
    <w:abstractNumId w:val="7"/>
  </w:num>
  <w:num w:numId="23" w16cid:durableId="565576913">
    <w:abstractNumId w:val="6"/>
  </w:num>
  <w:num w:numId="24" w16cid:durableId="1724329086">
    <w:abstractNumId w:val="5"/>
  </w:num>
  <w:num w:numId="25" w16cid:durableId="1833138176">
    <w:abstractNumId w:val="4"/>
  </w:num>
  <w:num w:numId="26" w16cid:durableId="321928116">
    <w:abstractNumId w:val="8"/>
  </w:num>
  <w:num w:numId="27" w16cid:durableId="1133717868">
    <w:abstractNumId w:val="3"/>
  </w:num>
  <w:num w:numId="28" w16cid:durableId="522985037">
    <w:abstractNumId w:val="2"/>
  </w:num>
  <w:num w:numId="29" w16cid:durableId="338848307">
    <w:abstractNumId w:val="1"/>
  </w:num>
  <w:num w:numId="30" w16cid:durableId="88083868">
    <w:abstractNumId w:val="0"/>
  </w:num>
  <w:num w:numId="31" w16cid:durableId="759449305">
    <w:abstractNumId w:val="9"/>
  </w:num>
  <w:num w:numId="32" w16cid:durableId="1467354877">
    <w:abstractNumId w:val="7"/>
  </w:num>
  <w:num w:numId="33" w16cid:durableId="1874804472">
    <w:abstractNumId w:val="6"/>
  </w:num>
  <w:num w:numId="34" w16cid:durableId="939533446">
    <w:abstractNumId w:val="5"/>
  </w:num>
  <w:num w:numId="35" w16cid:durableId="556942816">
    <w:abstractNumId w:val="4"/>
  </w:num>
  <w:num w:numId="36" w16cid:durableId="502936677">
    <w:abstractNumId w:val="8"/>
  </w:num>
  <w:num w:numId="37" w16cid:durableId="2137873945">
    <w:abstractNumId w:val="3"/>
  </w:num>
  <w:num w:numId="38" w16cid:durableId="809439610">
    <w:abstractNumId w:val="2"/>
  </w:num>
  <w:num w:numId="39" w16cid:durableId="1442719863">
    <w:abstractNumId w:val="1"/>
  </w:num>
  <w:num w:numId="40" w16cid:durableId="860162625">
    <w:abstractNumId w:val="0"/>
  </w:num>
  <w:num w:numId="41" w16cid:durableId="1375807857">
    <w:abstractNumId w:val="10"/>
  </w:num>
  <w:num w:numId="42" w16cid:durableId="608389829">
    <w:abstractNumId w:val="10"/>
  </w:num>
  <w:num w:numId="43" w16cid:durableId="1533112368">
    <w:abstractNumId w:val="10"/>
  </w:num>
  <w:num w:numId="44" w16cid:durableId="17774833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SV"/>
    <w:docVar w:name="dvnumam" w:val="0"/>
    <w:docVar w:name="dvpe" w:val="764.994"/>
    <w:docVar w:name="dvrapporteur" w:val="Föredragande: "/>
    <w:docVar w:name="dvtitre" w:val="Europaparlamentets beslut av den xx xx 2025 om ansvarsfrihet för genomförandet av Europeiska unionens allmänna budget för budgetåret 2023, avsnitt X – Europeiska utrikestjänsten(2024/2024(DEC))"/>
  </w:docVars>
  <w:rsids>
    <w:rsidRoot w:val="0012029D"/>
    <w:rsid w:val="00002272"/>
    <w:rsid w:val="00055C6A"/>
    <w:rsid w:val="00064002"/>
    <w:rsid w:val="000677B9"/>
    <w:rsid w:val="000831BA"/>
    <w:rsid w:val="000A42CC"/>
    <w:rsid w:val="000B7823"/>
    <w:rsid w:val="000E7DD9"/>
    <w:rsid w:val="0010095E"/>
    <w:rsid w:val="00117728"/>
    <w:rsid w:val="0012029D"/>
    <w:rsid w:val="00125B37"/>
    <w:rsid w:val="00187494"/>
    <w:rsid w:val="001F32AE"/>
    <w:rsid w:val="00220C12"/>
    <w:rsid w:val="00257CF3"/>
    <w:rsid w:val="00271887"/>
    <w:rsid w:val="002767FF"/>
    <w:rsid w:val="002B18FE"/>
    <w:rsid w:val="002B5493"/>
    <w:rsid w:val="00334A8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60C"/>
    <w:rsid w:val="00545827"/>
    <w:rsid w:val="00560056"/>
    <w:rsid w:val="00560270"/>
    <w:rsid w:val="005A5E02"/>
    <w:rsid w:val="005C2568"/>
    <w:rsid w:val="005F1B17"/>
    <w:rsid w:val="006037C0"/>
    <w:rsid w:val="006631B6"/>
    <w:rsid w:val="00680577"/>
    <w:rsid w:val="006F74FA"/>
    <w:rsid w:val="00731ADD"/>
    <w:rsid w:val="00734777"/>
    <w:rsid w:val="00747932"/>
    <w:rsid w:val="00751A4A"/>
    <w:rsid w:val="00756632"/>
    <w:rsid w:val="00762C74"/>
    <w:rsid w:val="007725B4"/>
    <w:rsid w:val="00786EC0"/>
    <w:rsid w:val="007D1690"/>
    <w:rsid w:val="007E22AD"/>
    <w:rsid w:val="00817416"/>
    <w:rsid w:val="00826962"/>
    <w:rsid w:val="00842779"/>
    <w:rsid w:val="00865F67"/>
    <w:rsid w:val="00881A7B"/>
    <w:rsid w:val="008840E5"/>
    <w:rsid w:val="00887B3E"/>
    <w:rsid w:val="008929AB"/>
    <w:rsid w:val="008C2AC6"/>
    <w:rsid w:val="00930C23"/>
    <w:rsid w:val="0093193B"/>
    <w:rsid w:val="009509D8"/>
    <w:rsid w:val="00950B64"/>
    <w:rsid w:val="00981893"/>
    <w:rsid w:val="00A1687D"/>
    <w:rsid w:val="00A43E52"/>
    <w:rsid w:val="00A4678D"/>
    <w:rsid w:val="00A778C7"/>
    <w:rsid w:val="00A85785"/>
    <w:rsid w:val="00AB441E"/>
    <w:rsid w:val="00AB6293"/>
    <w:rsid w:val="00AE0928"/>
    <w:rsid w:val="00AF3B82"/>
    <w:rsid w:val="00B0487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B04"/>
    <w:rsid w:val="00E820A4"/>
    <w:rsid w:val="00E85801"/>
    <w:rsid w:val="00E96BE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18C69"/>
  <w15:chartTrackingRefBased/>
  <w15:docId w15:val="{B157C4B5-A569-4106-80A9-744F100DA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6B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96BEF"/>
    <w:pPr>
      <w:spacing w:before="480" w:after="240"/>
    </w:pPr>
  </w:style>
  <w:style w:type="paragraph" w:customStyle="1" w:styleId="PageHeading">
    <w:name w:val="PageHeading"/>
    <w:basedOn w:val="Normal"/>
    <w:rsid w:val="00E96BEF"/>
    <w:pPr>
      <w:keepNext/>
      <w:spacing w:after="480"/>
      <w:jc w:val="center"/>
    </w:pPr>
    <w:rPr>
      <w:rFonts w:ascii="Arial" w:hAnsi="Arial" w:cs="Arial"/>
      <w:b/>
    </w:rPr>
  </w:style>
  <w:style w:type="paragraph" w:customStyle="1" w:styleId="NormalBold">
    <w:name w:val="NormalBold"/>
    <w:basedOn w:val="Normal"/>
    <w:rsid w:val="00E96BEF"/>
    <w:rPr>
      <w:b/>
    </w:rPr>
  </w:style>
  <w:style w:type="paragraph" w:customStyle="1" w:styleId="NormalHanging12a">
    <w:name w:val="NormalHanging12a"/>
    <w:basedOn w:val="Normal"/>
    <w:link w:val="NormalHanging12aChar"/>
    <w:qFormat/>
    <w:rsid w:val="00E96BEF"/>
    <w:pPr>
      <w:spacing w:after="240"/>
      <w:ind w:left="567" w:hanging="567"/>
    </w:pPr>
  </w:style>
  <w:style w:type="paragraph" w:styleId="Header">
    <w:name w:val="header"/>
    <w:basedOn w:val="Normal"/>
    <w:link w:val="HeaderChar"/>
    <w:rsid w:val="00E96BEF"/>
    <w:pPr>
      <w:tabs>
        <w:tab w:val="center" w:pos="4513"/>
        <w:tab w:val="right" w:pos="9026"/>
      </w:tabs>
    </w:pPr>
  </w:style>
  <w:style w:type="character" w:customStyle="1" w:styleId="HeaderChar">
    <w:name w:val="Header Char"/>
    <w:basedOn w:val="DefaultParagraphFont"/>
    <w:link w:val="Header"/>
    <w:rsid w:val="00E96BEF"/>
    <w:rPr>
      <w:sz w:val="24"/>
      <w:lang w:val="sv-SE"/>
    </w:rPr>
  </w:style>
  <w:style w:type="paragraph" w:customStyle="1" w:styleId="EPFooter">
    <w:name w:val="EPFooter"/>
    <w:basedOn w:val="Normal"/>
    <w:rsid w:val="00E96BEF"/>
    <w:pPr>
      <w:tabs>
        <w:tab w:val="center" w:pos="4535"/>
        <w:tab w:val="right" w:pos="9071"/>
      </w:tabs>
      <w:spacing w:before="240" w:after="240"/>
    </w:pPr>
    <w:rPr>
      <w:color w:val="010000"/>
      <w:sz w:val="22"/>
    </w:rPr>
  </w:style>
  <w:style w:type="character" w:styleId="Hyperlink">
    <w:name w:val="Hyperlink"/>
    <w:basedOn w:val="DefaultParagraphFont"/>
    <w:rsid w:val="00E96BEF"/>
    <w:rPr>
      <w:color w:val="0563C1" w:themeColor="hyperlink"/>
      <w:u w:val="single"/>
    </w:rPr>
  </w:style>
  <w:style w:type="character" w:customStyle="1" w:styleId="NormalHanging12aChar">
    <w:name w:val="NormalHanging12a Char"/>
    <w:basedOn w:val="DefaultParagraphFont"/>
    <w:link w:val="NormalHanging12a"/>
    <w:locked/>
    <w:rsid w:val="00E96BEF"/>
    <w:rPr>
      <w:sz w:val="24"/>
      <w:lang w:val="sv-SE"/>
    </w:rPr>
  </w:style>
  <w:style w:type="paragraph" w:customStyle="1" w:styleId="Normal12a">
    <w:name w:val="Normal12a"/>
    <w:basedOn w:val="Normal"/>
    <w:rsid w:val="00E96BEF"/>
    <w:pPr>
      <w:spacing w:after="240"/>
    </w:pPr>
  </w:style>
  <w:style w:type="paragraph" w:customStyle="1" w:styleId="PageHeadingNotTOC">
    <w:name w:val="PageHeadingNotTOC"/>
    <w:basedOn w:val="Normal"/>
    <w:rsid w:val="00E96BEF"/>
    <w:pPr>
      <w:keepNext/>
      <w:spacing w:after="480"/>
      <w:jc w:val="center"/>
    </w:pPr>
    <w:rPr>
      <w:rFonts w:ascii="Arial" w:hAnsi="Arial" w:cs="Arial"/>
      <w:b/>
    </w:rPr>
  </w:style>
  <w:style w:type="paragraph" w:customStyle="1" w:styleId="Normal24a">
    <w:name w:val="Normal24a"/>
    <w:basedOn w:val="Normal"/>
    <w:link w:val="Normal24aChar"/>
    <w:rsid w:val="00E96BEF"/>
    <w:pPr>
      <w:spacing w:after="480"/>
    </w:pPr>
  </w:style>
  <w:style w:type="character" w:customStyle="1" w:styleId="Normal24aChar">
    <w:name w:val="Normal24a Char"/>
    <w:basedOn w:val="DefaultParagraphFont"/>
    <w:link w:val="Normal24a"/>
    <w:rsid w:val="00E96BEF"/>
    <w:rPr>
      <w:sz w:val="24"/>
      <w:lang w:val="sv-SE"/>
    </w:rPr>
  </w:style>
  <w:style w:type="paragraph" w:styleId="BalloonText">
    <w:name w:val="Balloon Text"/>
    <w:basedOn w:val="Normal"/>
    <w:link w:val="BalloonTextChar"/>
    <w:rsid w:val="00055C6A"/>
    <w:rPr>
      <w:rFonts w:ascii="Segoe UI" w:hAnsi="Segoe UI" w:cs="Segoe UI"/>
      <w:sz w:val="18"/>
      <w:szCs w:val="18"/>
    </w:rPr>
  </w:style>
  <w:style w:type="character" w:customStyle="1" w:styleId="BalloonTextChar">
    <w:name w:val="Balloon Text Char"/>
    <w:basedOn w:val="DefaultParagraphFont"/>
    <w:link w:val="BalloonText"/>
    <w:rsid w:val="00055C6A"/>
    <w:rPr>
      <w:rFonts w:ascii="Segoe UI" w:hAnsi="Segoe UI" w:cs="Segoe UI"/>
      <w:sz w:val="18"/>
      <w:szCs w:val="18"/>
      <w:lang w:val="sv-SE"/>
    </w:rPr>
  </w:style>
  <w:style w:type="character" w:styleId="CommentReference">
    <w:name w:val="annotation reference"/>
    <w:basedOn w:val="DefaultParagraphFont"/>
    <w:uiPriority w:val="99"/>
    <w:rsid w:val="00334A8B"/>
    <w:rPr>
      <w:sz w:val="16"/>
      <w:szCs w:val="16"/>
    </w:rPr>
  </w:style>
  <w:style w:type="paragraph" w:styleId="CommentText">
    <w:name w:val="annotation text"/>
    <w:basedOn w:val="Normal"/>
    <w:link w:val="CommentTextChar"/>
    <w:rsid w:val="00334A8B"/>
    <w:rPr>
      <w:sz w:val="20"/>
    </w:rPr>
  </w:style>
  <w:style w:type="character" w:customStyle="1" w:styleId="CommentTextChar">
    <w:name w:val="Comment Text Char"/>
    <w:basedOn w:val="DefaultParagraphFont"/>
    <w:link w:val="CommentText"/>
    <w:rsid w:val="00334A8B"/>
    <w:rPr>
      <w:lang w:val="sv-SE"/>
    </w:rPr>
  </w:style>
  <w:style w:type="paragraph" w:styleId="CommentSubject">
    <w:name w:val="annotation subject"/>
    <w:basedOn w:val="CommentText"/>
    <w:next w:val="CommentText"/>
    <w:link w:val="CommentSubjectChar"/>
    <w:rsid w:val="00334A8B"/>
    <w:rPr>
      <w:b/>
      <w:bCs/>
    </w:rPr>
  </w:style>
  <w:style w:type="character" w:customStyle="1" w:styleId="CommentSubjectChar">
    <w:name w:val="Comment Subject Char"/>
    <w:basedOn w:val="CommentTextChar"/>
    <w:link w:val="CommentSubject"/>
    <w:rsid w:val="00334A8B"/>
    <w:rPr>
      <w:b/>
      <w:bCs/>
      <w:lang w:val="sv-SE"/>
    </w:rPr>
  </w:style>
  <w:style w:type="character" w:customStyle="1" w:styleId="Hyperlink1">
    <w:name w:val="Hyperlink1"/>
    <w:basedOn w:val="DefaultParagraphFont"/>
    <w:rsid w:val="0053060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9E19C-9D78-477F-88F2-5F773729F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8980</Words>
  <Characters>61160</Characters>
  <Application>Microsoft Office Word</Application>
  <DocSecurity>0</DocSecurity>
  <Lines>509</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2025-12-02T11:59:00Z</dcterms:created>
  <dcterms:modified xsi:type="dcterms:W3CDTF">2025-12-02T11:59:00Z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P10_TA(2025)0086_</vt:lpwstr>
  </property>
  <property fmtid="{D5CDD505-2E9C-101B-9397-08002B2CF9AE}" pid="4" name="&lt;Type&gt;">
    <vt:lpwstr>RR</vt:lpwstr>
  </property>
</Properties>
</file>