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501" w14:paraId="39E88FD9" w14:textId="77777777" w:rsidTr="0010095E">
        <w:trPr>
          <w:trHeight w:hRule="exact" w:val="1418"/>
        </w:trPr>
        <w:tc>
          <w:tcPr>
            <w:tcW w:w="6804" w:type="dxa"/>
            <w:shd w:val="clear" w:color="auto" w:fill="auto"/>
            <w:vAlign w:val="center"/>
          </w:tcPr>
          <w:p w14:paraId="17FAFC7C" w14:textId="77777777" w:rsidR="00751A4A" w:rsidRPr="00F56501" w:rsidRDefault="00AE7EEA" w:rsidP="0010095E">
            <w:pPr>
              <w:pStyle w:val="EPName"/>
            </w:pPr>
            <w:r w:rsidRPr="00F56501">
              <w:t>Европейски</w:t>
            </w:r>
            <w:r w:rsidR="00412D5F" w:rsidRPr="00F56501">
              <w:t xml:space="preserve"> парламент</w:t>
            </w:r>
          </w:p>
          <w:p w14:paraId="12B4F019" w14:textId="77777777" w:rsidR="00751A4A" w:rsidRPr="00F56501" w:rsidRDefault="005F1B17" w:rsidP="005F1B17">
            <w:pPr>
              <w:pStyle w:val="EPTerm"/>
              <w:rPr>
                <w:rStyle w:val="HideTWBExt"/>
                <w:noProof w:val="0"/>
                <w:vanish w:val="0"/>
                <w:color w:val="auto"/>
              </w:rPr>
            </w:pPr>
            <w:r w:rsidRPr="00F56501">
              <w:t>2024</w:t>
            </w:r>
            <w:r w:rsidR="00AE7EEA" w:rsidRPr="00F56501">
              <w:t> – </w:t>
            </w:r>
            <w:r w:rsidR="00817416" w:rsidRPr="00F56501">
              <w:t>202</w:t>
            </w:r>
            <w:r w:rsidRPr="00F56501">
              <w:t>9</w:t>
            </w:r>
          </w:p>
        </w:tc>
        <w:tc>
          <w:tcPr>
            <w:tcW w:w="2268" w:type="dxa"/>
            <w:shd w:val="clear" w:color="auto" w:fill="auto"/>
          </w:tcPr>
          <w:p w14:paraId="426BBAC3" w14:textId="77777777" w:rsidR="00751A4A" w:rsidRPr="00F56501" w:rsidRDefault="00187494" w:rsidP="0010095E">
            <w:pPr>
              <w:pStyle w:val="EPLogo"/>
            </w:pPr>
            <w:r w:rsidRPr="00F56501">
              <w:rPr>
                <w:noProof/>
                <w:lang w:val="en-GB"/>
              </w:rPr>
              <w:drawing>
                <wp:inline distT="0" distB="0" distL="0" distR="0" wp14:anchorId="6D07E2FA" wp14:editId="629B79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E35CD6" w14:textId="77777777" w:rsidR="00D058B8" w:rsidRPr="00F56501" w:rsidRDefault="00D058B8" w:rsidP="004C5D52">
      <w:pPr>
        <w:pStyle w:val="LineTop"/>
      </w:pPr>
    </w:p>
    <w:p w14:paraId="126D51E4" w14:textId="77777777" w:rsidR="00680577" w:rsidRPr="00F56501" w:rsidRDefault="00412D5F" w:rsidP="00680577">
      <w:pPr>
        <w:pStyle w:val="EPBodyTA1"/>
      </w:pPr>
      <w:r w:rsidRPr="00F56501">
        <w:t>ПРИЕТИ ТЕКСТОВЕ</w:t>
      </w:r>
    </w:p>
    <w:p w14:paraId="06EB4AA2" w14:textId="77777777" w:rsidR="00D058B8" w:rsidRPr="00F56501" w:rsidRDefault="00D058B8" w:rsidP="00D058B8">
      <w:pPr>
        <w:pStyle w:val="LineBottom"/>
      </w:pPr>
    </w:p>
    <w:p w14:paraId="0B9AE22D" w14:textId="77777777" w:rsidR="00412D5F" w:rsidRPr="00F56501" w:rsidRDefault="00412D5F" w:rsidP="00412D5F">
      <w:pPr>
        <w:pStyle w:val="ATHeading1"/>
      </w:pPr>
      <w:bookmarkStart w:id="0" w:name="TANumber"/>
      <w:r w:rsidRPr="00F56501">
        <w:t>P10_TA(2025)00</w:t>
      </w:r>
      <w:r w:rsidR="00A061B1">
        <w:rPr>
          <w:lang w:val="en-GB"/>
        </w:rPr>
        <w:t>87</w:t>
      </w:r>
      <w:bookmarkEnd w:id="0"/>
    </w:p>
    <w:p w14:paraId="4FE38A19" w14:textId="77777777" w:rsidR="00412D5F" w:rsidRPr="00F56501" w:rsidRDefault="00412D5F" w:rsidP="00412D5F">
      <w:pPr>
        <w:pStyle w:val="ATHeading2"/>
      </w:pPr>
      <w:bookmarkStart w:id="1" w:name="title"/>
      <w:r w:rsidRPr="00F56501">
        <w:t>Освобождаване от отговорност във връзка с изпълнението на бюджета за 2023 г.: Европейска прокуратура</w:t>
      </w:r>
      <w:bookmarkEnd w:id="1"/>
    </w:p>
    <w:p w14:paraId="6735D24C" w14:textId="77777777" w:rsidR="00412D5F" w:rsidRPr="00F56501" w:rsidRDefault="00412D5F" w:rsidP="00412D5F">
      <w:pPr>
        <w:rPr>
          <w:i/>
          <w:vanish/>
        </w:rPr>
      </w:pPr>
      <w:r w:rsidRPr="00F56501">
        <w:rPr>
          <w:i/>
        </w:rPr>
        <w:fldChar w:fldCharType="begin"/>
      </w:r>
      <w:r w:rsidRPr="00F56501">
        <w:rPr>
          <w:i/>
        </w:rPr>
        <w:instrText xml:space="preserve"> TC"(</w:instrText>
      </w:r>
      <w:bookmarkStart w:id="2" w:name="DocNumber"/>
      <w:r w:rsidRPr="00F56501">
        <w:rPr>
          <w:i/>
        </w:rPr>
        <w:instrText>A10-0051/2025</w:instrText>
      </w:r>
      <w:bookmarkEnd w:id="2"/>
      <w:r w:rsidRPr="00F56501">
        <w:rPr>
          <w:i/>
        </w:rPr>
        <w:instrText xml:space="preserve"> - Докладчик: Томаш </w:instrText>
      </w:r>
      <w:proofErr w:type="spellStart"/>
      <w:r w:rsidRPr="00F56501">
        <w:rPr>
          <w:i/>
        </w:rPr>
        <w:instrText>Здеховски</w:instrText>
      </w:r>
      <w:proofErr w:type="spellEnd"/>
      <w:r w:rsidRPr="00F56501">
        <w:rPr>
          <w:i/>
        </w:rPr>
        <w:instrText xml:space="preserve">)"\l3 \n&gt; \* MERGEFORMAT </w:instrText>
      </w:r>
      <w:r w:rsidRPr="00F56501">
        <w:rPr>
          <w:i/>
        </w:rPr>
        <w:fldChar w:fldCharType="end"/>
      </w:r>
    </w:p>
    <w:p w14:paraId="16D1990F" w14:textId="77777777" w:rsidR="00412D5F" w:rsidRPr="00F56501" w:rsidRDefault="00412D5F" w:rsidP="00412D5F">
      <w:pPr>
        <w:rPr>
          <w:vanish/>
        </w:rPr>
      </w:pPr>
      <w:bookmarkStart w:id="3" w:name="Commission"/>
      <w:r w:rsidRPr="00F56501">
        <w:rPr>
          <w:vanish/>
        </w:rPr>
        <w:t>Комисия по бюджетен контрол</w:t>
      </w:r>
      <w:bookmarkEnd w:id="3"/>
    </w:p>
    <w:p w14:paraId="01E99A10" w14:textId="77777777" w:rsidR="00412D5F" w:rsidRPr="00F56501" w:rsidRDefault="00412D5F" w:rsidP="00412D5F">
      <w:pPr>
        <w:rPr>
          <w:vanish/>
        </w:rPr>
      </w:pPr>
      <w:bookmarkStart w:id="4" w:name="PE"/>
      <w:r w:rsidRPr="00F56501">
        <w:rPr>
          <w:vanish/>
        </w:rPr>
        <w:t>PE764.989</w:t>
      </w:r>
      <w:bookmarkEnd w:id="4"/>
    </w:p>
    <w:p w14:paraId="79C80178" w14:textId="77777777" w:rsidR="00412D5F" w:rsidRPr="00F56501" w:rsidRDefault="002E5B22" w:rsidP="00412D5F">
      <w:pPr>
        <w:pStyle w:val="ATHeading3"/>
      </w:pPr>
      <w:bookmarkStart w:id="5" w:name="Sujet"/>
      <w:r w:rsidRPr="00F56501">
        <w:t xml:space="preserve">1. </w:t>
      </w:r>
      <w:r w:rsidR="00412D5F" w:rsidRPr="00F56501">
        <w:t xml:space="preserve">Решение на Европейския парламент от </w:t>
      </w:r>
      <w:r w:rsidR="00F56501">
        <w:t>7 май</w:t>
      </w:r>
      <w:r w:rsidR="00F56501" w:rsidRPr="00F56501">
        <w:t xml:space="preserve"> </w:t>
      </w:r>
      <w:r w:rsidR="00412D5F" w:rsidRPr="00F56501">
        <w:t>2025 г. относно освобождаването от отговорност във връзка с изпълнението на бюджета на Европейската прокуратура за финансовата 2023 година</w:t>
      </w:r>
      <w:bookmarkEnd w:id="5"/>
      <w:r w:rsidR="00412D5F" w:rsidRPr="00F56501">
        <w:t xml:space="preserve"> </w:t>
      </w:r>
      <w:bookmarkStart w:id="6" w:name="References"/>
      <w:r w:rsidR="00412D5F" w:rsidRPr="00F56501">
        <w:t>(2024/2029(DEC))</w:t>
      </w:r>
      <w:bookmarkEnd w:id="6"/>
    </w:p>
    <w:p w14:paraId="08ED5881" w14:textId="77777777" w:rsidR="00DC29FD" w:rsidRPr="00F56501" w:rsidRDefault="00DC29FD" w:rsidP="00DC29FD">
      <w:pPr>
        <w:pStyle w:val="EPComma"/>
        <w:widowControl/>
      </w:pPr>
      <w:bookmarkStart w:id="7" w:name="TextBodyBegin"/>
      <w:bookmarkEnd w:id="7"/>
      <w:r w:rsidRPr="00F56501">
        <w:rPr>
          <w:i/>
        </w:rPr>
        <w:t>Европейският парламент</w:t>
      </w:r>
      <w:r w:rsidRPr="00F56501">
        <w:t>,</w:t>
      </w:r>
    </w:p>
    <w:p w14:paraId="1468F34E" w14:textId="77777777" w:rsidR="00DC29FD" w:rsidRPr="00F56501" w:rsidRDefault="002E5B22" w:rsidP="00DC29FD">
      <w:pPr>
        <w:pStyle w:val="NormalHanging12a"/>
        <w:widowControl/>
      </w:pPr>
      <w:r w:rsidRPr="00F56501">
        <w:t>–</w:t>
      </w:r>
      <w:r w:rsidR="00DC29FD" w:rsidRPr="00F56501">
        <w:tab/>
        <w:t>като взе предвид окончателните годишни отчети на Европейската прокуратура за финансовата 2023 година,</w:t>
      </w:r>
    </w:p>
    <w:p w14:paraId="194AB1C8" w14:textId="77777777" w:rsidR="00DC29FD" w:rsidRPr="00F56501" w:rsidRDefault="002E5B22" w:rsidP="00DC29FD">
      <w:pPr>
        <w:pStyle w:val="NormalHanging12a"/>
        <w:widowControl/>
      </w:pPr>
      <w:r w:rsidRPr="00F56501">
        <w:t>–</w:t>
      </w:r>
      <w:r w:rsidR="00DC29FD" w:rsidRPr="00F56501">
        <w:tab/>
        <w:t>като взе предвид годишния доклад на Сметната палата относно агенциите на ЕС за финансовата 2023 година, придружен от отговорите на агенциите</w:t>
      </w:r>
      <w:r w:rsidR="00DC29FD" w:rsidRPr="00F56501">
        <w:rPr>
          <w:rStyle w:val="FootnoteReference"/>
        </w:rPr>
        <w:footnoteReference w:id="1"/>
      </w:r>
      <w:r w:rsidR="00DC29FD" w:rsidRPr="00F56501">
        <w:t>,</w:t>
      </w:r>
    </w:p>
    <w:p w14:paraId="61931335" w14:textId="77777777" w:rsidR="00DC29FD" w:rsidRPr="00F56501" w:rsidRDefault="002E5B22" w:rsidP="00DC29FD">
      <w:pPr>
        <w:pStyle w:val="NormalHanging12a"/>
        <w:widowControl/>
      </w:pPr>
      <w:r w:rsidRPr="00F56501">
        <w:t>–</w:t>
      </w:r>
      <w:r w:rsidR="00DC29FD" w:rsidRPr="00F56501">
        <w:tab/>
        <w:t>като взе предвид декларацията за достоверност</w:t>
      </w:r>
      <w:r w:rsidR="00DC29FD" w:rsidRPr="00F56501">
        <w:rPr>
          <w:rStyle w:val="FootnoteReference"/>
        </w:rPr>
        <w:footnoteReference w:id="2"/>
      </w:r>
      <w:r w:rsidR="00DC29FD" w:rsidRPr="00F565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254B204" w14:textId="77777777" w:rsidR="00DC29FD" w:rsidRPr="00F56501" w:rsidRDefault="002E5B22" w:rsidP="00DC29FD">
      <w:pPr>
        <w:pStyle w:val="NormalHanging12a"/>
        <w:widowControl/>
      </w:pPr>
      <w:r w:rsidRPr="00F56501">
        <w:t>–</w:t>
      </w:r>
      <w:r w:rsidR="00DC29FD" w:rsidRPr="00F56501">
        <w:tab/>
        <w:t>като взе предвид препоръката на Съвета от 17 февруари 2025 г. относно освобождаването от отговорност на Европейската прокуратура във връзка с изпълнението на бюджета за финансовата 2023 година (05754/2025 – C10</w:t>
      </w:r>
      <w:r w:rsidR="00DC29FD" w:rsidRPr="00F56501">
        <w:noBreakHyphen/>
        <w:t>0023/2025),</w:t>
      </w:r>
    </w:p>
    <w:p w14:paraId="663E3485" w14:textId="77777777" w:rsidR="00DC29FD" w:rsidRPr="00F56501" w:rsidRDefault="002E5B22" w:rsidP="00DC29FD">
      <w:pPr>
        <w:pStyle w:val="NormalHanging12a"/>
        <w:widowControl/>
      </w:pPr>
      <w:r w:rsidRPr="00F56501">
        <w:t>–</w:t>
      </w:r>
      <w:r w:rsidR="00DC29FD" w:rsidRPr="00F56501">
        <w:tab/>
        <w:t>като взе предвид член 319 от Договора за функционирането на Европейския съюз,</w:t>
      </w:r>
    </w:p>
    <w:p w14:paraId="7B71AFD3" w14:textId="77777777" w:rsidR="00DC29FD" w:rsidRPr="00F56501" w:rsidRDefault="002E5B22" w:rsidP="00DC29FD">
      <w:pPr>
        <w:pStyle w:val="NormalHanging12a"/>
        <w:widowControl/>
      </w:pPr>
      <w:r w:rsidRPr="00F56501">
        <w:t>–</w:t>
      </w:r>
      <w:r w:rsidR="00DC29FD" w:rsidRPr="00F56501">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w:t>
      </w:r>
      <w:r w:rsidR="00DC29FD" w:rsidRPr="00F56501">
        <w:lastRenderedPageBreak/>
        <w:t>и за отмяна на Регламент (ЕС, Евратом) № 966/2012</w:t>
      </w:r>
      <w:r w:rsidR="00DC29FD" w:rsidRPr="00F56501">
        <w:rPr>
          <w:vertAlign w:val="superscript"/>
        </w:rPr>
        <w:footnoteReference w:id="3"/>
      </w:r>
      <w:r w:rsidR="00DC29FD" w:rsidRPr="00F56501">
        <w:t>, и по-специално член 70 от него,</w:t>
      </w:r>
    </w:p>
    <w:p w14:paraId="537325DE" w14:textId="77777777" w:rsidR="00DC29FD" w:rsidRPr="00F56501" w:rsidRDefault="002E5B22" w:rsidP="00DC29FD">
      <w:pPr>
        <w:pStyle w:val="NormalHanging12a"/>
        <w:widowControl/>
      </w:pPr>
      <w:r w:rsidRPr="00F56501">
        <w:t>–</w:t>
      </w:r>
      <w:r w:rsidR="00DC29FD" w:rsidRPr="00F5650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00DC29FD" w:rsidRPr="00F56501">
        <w:rPr>
          <w:rStyle w:val="FootnoteReference"/>
        </w:rPr>
        <w:footnoteReference w:id="4"/>
      </w:r>
      <w:r w:rsidR="00DC29FD" w:rsidRPr="00F56501">
        <w:t>, и по-специално член 70 от него,</w:t>
      </w:r>
    </w:p>
    <w:p w14:paraId="03808500" w14:textId="77777777" w:rsidR="00DC29FD" w:rsidRPr="00F56501" w:rsidRDefault="002E5B22" w:rsidP="00DC29FD">
      <w:pPr>
        <w:pStyle w:val="NormalHanging12a"/>
        <w:widowControl/>
      </w:pPr>
      <w:r w:rsidRPr="00F56501">
        <w:t>–</w:t>
      </w:r>
      <w:r w:rsidR="00DC29FD" w:rsidRPr="00F56501">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00DC29FD" w:rsidRPr="00F56501">
        <w:rPr>
          <w:rStyle w:val="FootnoteReference"/>
        </w:rPr>
        <w:footnoteReference w:id="5"/>
      </w:r>
      <w:r w:rsidR="00DC29FD" w:rsidRPr="00F56501">
        <w:t>, и по-специално член 94 от него,</w:t>
      </w:r>
    </w:p>
    <w:p w14:paraId="747B122F" w14:textId="77777777" w:rsidR="00DC29FD" w:rsidRPr="00F56501" w:rsidRDefault="002E5B22" w:rsidP="00DC29FD">
      <w:pPr>
        <w:pStyle w:val="NormalHanging12a"/>
        <w:widowControl/>
      </w:pPr>
      <w:r w:rsidRPr="00F56501">
        <w:t>–</w:t>
      </w:r>
      <w:r w:rsidR="00DC29FD" w:rsidRPr="00F5650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00DC29FD" w:rsidRPr="00F56501">
        <w:rPr>
          <w:rStyle w:val="FootnoteReference"/>
        </w:rPr>
        <w:footnoteReference w:id="6"/>
      </w:r>
      <w:r w:rsidR="00DC29FD" w:rsidRPr="00F56501">
        <w:t>, и по-специално член 105 от него,</w:t>
      </w:r>
    </w:p>
    <w:p w14:paraId="30759654" w14:textId="77777777" w:rsidR="00DC29FD" w:rsidRPr="00F56501" w:rsidRDefault="002E5B22" w:rsidP="00DC29FD">
      <w:pPr>
        <w:pStyle w:val="NormalHanging12a"/>
        <w:widowControl/>
      </w:pPr>
      <w:r w:rsidRPr="00F56501">
        <w:t>–</w:t>
      </w:r>
      <w:r w:rsidR="00DC29FD" w:rsidRPr="00F56501">
        <w:tab/>
        <w:t>като взе предвид член 102 и приложение V към своя Правилник за дейността,</w:t>
      </w:r>
    </w:p>
    <w:p w14:paraId="2A14D4BB" w14:textId="77777777" w:rsidR="00DC29FD" w:rsidRPr="00F56501" w:rsidRDefault="002E5B22" w:rsidP="00DC29FD">
      <w:pPr>
        <w:pStyle w:val="NormalHanging12a"/>
        <w:widowControl/>
      </w:pPr>
      <w:r w:rsidRPr="00F56501">
        <w:t>–</w:t>
      </w:r>
      <w:r w:rsidR="00DC29FD" w:rsidRPr="00F56501">
        <w:tab/>
        <w:t>като взе предвид становището на комисията по граждански свободи, правосъдие и вътрешни работи,</w:t>
      </w:r>
    </w:p>
    <w:p w14:paraId="7C31D6F5" w14:textId="77777777" w:rsidR="00DC29FD" w:rsidRPr="00F56501" w:rsidRDefault="002E5B22" w:rsidP="00DC29FD">
      <w:pPr>
        <w:pStyle w:val="NormalHanging12a"/>
        <w:widowControl/>
      </w:pPr>
      <w:r w:rsidRPr="00F56501">
        <w:t>–</w:t>
      </w:r>
      <w:r w:rsidR="00DC29FD" w:rsidRPr="00F56501">
        <w:tab/>
        <w:t>като взе предвид доклада на комисията по бюджетен контрол (A10</w:t>
      </w:r>
      <w:r w:rsidR="00DC29FD" w:rsidRPr="00F56501">
        <w:noBreakHyphen/>
        <w:t>0051/2025),</w:t>
      </w:r>
    </w:p>
    <w:p w14:paraId="1F106AB8" w14:textId="77777777" w:rsidR="00DC29FD" w:rsidRPr="00F56501" w:rsidRDefault="00DC29FD" w:rsidP="00DC29FD">
      <w:pPr>
        <w:pStyle w:val="NormalHanging12a"/>
        <w:widowControl/>
      </w:pPr>
      <w:r w:rsidRPr="00F56501">
        <w:t>1.</w:t>
      </w:r>
      <w:r w:rsidRPr="00F56501">
        <w:tab/>
        <w:t>освобождава от отговорност административния директор на Европейската прокуратура във връзка с изпълнението на бюджета на Европейската прокуратура за финансовата 2023 година;</w:t>
      </w:r>
    </w:p>
    <w:p w14:paraId="53DAD61B" w14:textId="77777777" w:rsidR="00DC29FD" w:rsidRPr="00F56501" w:rsidRDefault="00DC29FD" w:rsidP="00DC29FD">
      <w:pPr>
        <w:pStyle w:val="NormalHanging12a"/>
        <w:widowControl/>
      </w:pPr>
      <w:r w:rsidRPr="00F56501">
        <w:t>2.</w:t>
      </w:r>
      <w:r w:rsidRPr="00F56501">
        <w:tab/>
        <w:t>представя своите забележки в резолюцията по-долу;</w:t>
      </w:r>
    </w:p>
    <w:p w14:paraId="0D54ABAB" w14:textId="77777777" w:rsidR="00DC29FD" w:rsidRPr="00F56501" w:rsidRDefault="00DC29FD" w:rsidP="00DC29FD">
      <w:pPr>
        <w:pStyle w:val="NormalHanging12a"/>
        <w:widowControl/>
      </w:pPr>
      <w:r w:rsidRPr="00F56501">
        <w:t>3.</w:t>
      </w:r>
      <w:r w:rsidRPr="00F56501">
        <w:tab/>
        <w:t xml:space="preserve">възлага на своя председател да предаде настоящото решение, както и резолюцията, която е неразделна част от него, съответно на административния директор на Европейската прокуратура, на Европейския съвет, на Съвета, Комисията и Сметната палата и да осигури публикуването им в </w:t>
      </w:r>
      <w:r w:rsidRPr="00F56501">
        <w:rPr>
          <w:i/>
          <w:iCs/>
        </w:rPr>
        <w:t>Официален вестник на Европейския съюз</w:t>
      </w:r>
      <w:r w:rsidRPr="00F56501">
        <w:t xml:space="preserve"> (серия L).</w:t>
      </w:r>
    </w:p>
    <w:p w14:paraId="044A7B25" w14:textId="77777777" w:rsidR="00DC29FD" w:rsidRPr="00F56501" w:rsidRDefault="00DC29FD" w:rsidP="00DC29FD">
      <w:pPr>
        <w:widowControl/>
      </w:pPr>
    </w:p>
    <w:p w14:paraId="3862DA83" w14:textId="77777777" w:rsidR="00DC29FD" w:rsidRPr="00F56501" w:rsidRDefault="00DC29FD" w:rsidP="00DC29FD">
      <w:pPr>
        <w:widowControl/>
        <w:rPr>
          <w:rFonts w:ascii="Arial" w:hAnsi="Arial" w:cs="Arial"/>
          <w:b/>
        </w:rPr>
        <w:sectPr w:rsidR="00DC29FD" w:rsidRPr="00F56501" w:rsidSect="00132ABC">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4365A38A" w14:textId="77777777" w:rsidR="00DC29FD" w:rsidRPr="00F56501" w:rsidRDefault="00DC29FD" w:rsidP="002E5B22">
      <w:pPr>
        <w:pStyle w:val="ATHeading3"/>
      </w:pPr>
      <w:bookmarkStart w:id="8" w:name="_Toc195541337"/>
      <w:r w:rsidRPr="00F56501">
        <w:lastRenderedPageBreak/>
        <w:t xml:space="preserve">2. </w:t>
      </w:r>
      <w:bookmarkEnd w:id="8"/>
      <w:r w:rsidR="002E5B22" w:rsidRPr="00F56501">
        <w:t xml:space="preserve">Решение на Европейския парламент от </w:t>
      </w:r>
      <w:r w:rsidR="00F56501">
        <w:t>7 май</w:t>
      </w:r>
      <w:r w:rsidR="00F56501" w:rsidRPr="00F56501">
        <w:t xml:space="preserve"> </w:t>
      </w:r>
      <w:r w:rsidR="002E5B22" w:rsidRPr="00F56501">
        <w:t xml:space="preserve">2025 г. </w:t>
      </w:r>
      <w:r w:rsidRPr="00F56501">
        <w:t>относно приключването на сметките на Европейската прокуратура за финансовата 2023 година</w:t>
      </w:r>
      <w:r w:rsidR="002E5B22" w:rsidRPr="00F56501">
        <w:t xml:space="preserve"> </w:t>
      </w:r>
      <w:r w:rsidRPr="00F56501">
        <w:t>(2024/2029(DEC))</w:t>
      </w:r>
    </w:p>
    <w:p w14:paraId="2D3FB7B5" w14:textId="77777777" w:rsidR="002E5B22" w:rsidRPr="00F56501" w:rsidRDefault="002E5B22" w:rsidP="002E5B22">
      <w:pPr>
        <w:pStyle w:val="EPComma"/>
        <w:widowControl/>
      </w:pPr>
      <w:r w:rsidRPr="00F56501">
        <w:rPr>
          <w:i/>
        </w:rPr>
        <w:t>Европейският парламент</w:t>
      </w:r>
      <w:r w:rsidRPr="00F56501">
        <w:t>,</w:t>
      </w:r>
    </w:p>
    <w:p w14:paraId="007754AD" w14:textId="77777777" w:rsidR="00DC29FD" w:rsidRPr="00F56501" w:rsidRDefault="002E5B22" w:rsidP="00DC29FD">
      <w:pPr>
        <w:pStyle w:val="NormalHanging12a"/>
        <w:widowControl/>
      </w:pPr>
      <w:r w:rsidRPr="00F56501">
        <w:t>–</w:t>
      </w:r>
      <w:r w:rsidR="00DC29FD" w:rsidRPr="00F56501">
        <w:tab/>
        <w:t>като взе предвид окончателните годишни отчети на Европейската прокуратура за финансовата 2023 година,</w:t>
      </w:r>
    </w:p>
    <w:p w14:paraId="7CF833FB" w14:textId="77777777" w:rsidR="00DC29FD" w:rsidRPr="00F56501" w:rsidRDefault="002E5B22" w:rsidP="00DC29FD">
      <w:pPr>
        <w:pStyle w:val="NormalHanging12a"/>
        <w:widowControl/>
      </w:pPr>
      <w:r w:rsidRPr="00F56501">
        <w:t>–</w:t>
      </w:r>
      <w:r w:rsidR="00DC29FD" w:rsidRPr="00F56501">
        <w:tab/>
        <w:t>като взе предвид годишния доклад на Сметната палата относно агенциите на ЕС за финансовата 2023 година, придружен от отговорите на агенциите</w:t>
      </w:r>
      <w:r w:rsidR="00DC29FD" w:rsidRPr="00F56501">
        <w:rPr>
          <w:rStyle w:val="FootnoteReference"/>
        </w:rPr>
        <w:footnoteReference w:id="7"/>
      </w:r>
      <w:r w:rsidR="00DC29FD" w:rsidRPr="00F56501">
        <w:t>,</w:t>
      </w:r>
    </w:p>
    <w:p w14:paraId="58EF1ACC" w14:textId="77777777" w:rsidR="00DC29FD" w:rsidRPr="00F56501" w:rsidRDefault="002E5B22" w:rsidP="00DC29FD">
      <w:pPr>
        <w:pStyle w:val="NormalHanging12a"/>
        <w:widowControl/>
      </w:pPr>
      <w:r w:rsidRPr="00F56501">
        <w:t>–</w:t>
      </w:r>
      <w:r w:rsidR="00DC29FD" w:rsidRPr="00F56501">
        <w:tab/>
        <w:t>като взе предвид декларацията за достоверност</w:t>
      </w:r>
      <w:r w:rsidR="00DC29FD" w:rsidRPr="00F56501">
        <w:rPr>
          <w:rStyle w:val="FootnoteReference"/>
        </w:rPr>
        <w:footnoteReference w:id="8"/>
      </w:r>
      <w:r w:rsidR="00DC29FD" w:rsidRPr="00F565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7E3D7CD" w14:textId="77777777" w:rsidR="00DC29FD" w:rsidRPr="00F56501" w:rsidRDefault="002E5B22" w:rsidP="00DC29FD">
      <w:pPr>
        <w:pStyle w:val="NormalHanging12a"/>
        <w:widowControl/>
      </w:pPr>
      <w:r w:rsidRPr="00F56501">
        <w:t>–</w:t>
      </w:r>
      <w:r w:rsidR="00DC29FD" w:rsidRPr="00F56501">
        <w:tab/>
        <w:t>като взе предвид препоръката на Съвета от 17 февруари 2025 г. относно освобождаването от отговорност на Европейската прокуратура във връзка с изпълнението на бюджета за финансовата 2023 година (05754/2025 – C10-0023/2025),</w:t>
      </w:r>
    </w:p>
    <w:p w14:paraId="2ADACF8E" w14:textId="77777777" w:rsidR="00DC29FD" w:rsidRPr="00F56501" w:rsidRDefault="002E5B22" w:rsidP="00DC29FD">
      <w:pPr>
        <w:pStyle w:val="NormalHanging12a"/>
        <w:widowControl/>
      </w:pPr>
      <w:r w:rsidRPr="00F56501">
        <w:t>–</w:t>
      </w:r>
      <w:r w:rsidR="00DC29FD" w:rsidRPr="00F56501">
        <w:tab/>
        <w:t>като взе предвид член 319 от Договора за функционирането на Европейския съюз,</w:t>
      </w:r>
    </w:p>
    <w:p w14:paraId="27594CA2" w14:textId="77777777" w:rsidR="00DC29FD" w:rsidRPr="00F56501" w:rsidRDefault="002E5B22" w:rsidP="00DC29FD">
      <w:pPr>
        <w:pStyle w:val="NormalHanging12a"/>
        <w:widowControl/>
      </w:pPr>
      <w:r w:rsidRPr="00F56501">
        <w:t>–</w:t>
      </w:r>
      <w:r w:rsidR="00DC29FD" w:rsidRPr="00F5650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00DC29FD" w:rsidRPr="00F56501">
        <w:rPr>
          <w:vertAlign w:val="superscript"/>
        </w:rPr>
        <w:footnoteReference w:id="9"/>
      </w:r>
      <w:r w:rsidR="00DC29FD" w:rsidRPr="00F56501">
        <w:t>, и по-специално член 70 от него,</w:t>
      </w:r>
    </w:p>
    <w:p w14:paraId="27DDB8B9" w14:textId="77777777" w:rsidR="00DC29FD" w:rsidRPr="00F56501" w:rsidRDefault="002E5B22" w:rsidP="00DC29FD">
      <w:pPr>
        <w:pStyle w:val="NormalHanging12a"/>
        <w:widowControl/>
      </w:pPr>
      <w:r w:rsidRPr="00F56501">
        <w:t>–</w:t>
      </w:r>
      <w:r w:rsidR="00DC29FD" w:rsidRPr="00F5650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00DC29FD" w:rsidRPr="00F56501">
        <w:rPr>
          <w:rStyle w:val="FootnoteReference"/>
        </w:rPr>
        <w:footnoteReference w:id="10"/>
      </w:r>
      <w:r w:rsidR="00DC29FD" w:rsidRPr="00F56501">
        <w:t>, и по-специално член 70 от него,</w:t>
      </w:r>
    </w:p>
    <w:p w14:paraId="00044AD5" w14:textId="77777777" w:rsidR="00DC29FD" w:rsidRPr="00F56501" w:rsidRDefault="002E5B22" w:rsidP="00DC29FD">
      <w:pPr>
        <w:pStyle w:val="NormalHanging12a"/>
        <w:widowControl/>
      </w:pPr>
      <w:r w:rsidRPr="00F56501">
        <w:t>–</w:t>
      </w:r>
      <w:r w:rsidR="00DC29FD" w:rsidRPr="00F56501">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00DC29FD" w:rsidRPr="00F56501">
        <w:rPr>
          <w:rStyle w:val="FootnoteReference"/>
        </w:rPr>
        <w:footnoteReference w:id="11"/>
      </w:r>
      <w:r w:rsidR="00DC29FD" w:rsidRPr="00F56501">
        <w:t>, и по-специално член 94 от него,</w:t>
      </w:r>
    </w:p>
    <w:p w14:paraId="3FB774A4" w14:textId="77777777" w:rsidR="00DC29FD" w:rsidRPr="00F56501" w:rsidRDefault="002E5B22" w:rsidP="00DC29FD">
      <w:pPr>
        <w:pStyle w:val="NormalHanging12a"/>
        <w:widowControl/>
      </w:pPr>
      <w:r w:rsidRPr="00F56501">
        <w:t>–</w:t>
      </w:r>
      <w:r w:rsidR="00DC29FD" w:rsidRPr="00F5650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00DC29FD" w:rsidRPr="00F56501">
        <w:lastRenderedPageBreak/>
        <w:t>Евратом) 2018/1046 на Европейския парламент и на Съвета</w:t>
      </w:r>
      <w:r w:rsidR="00DC29FD" w:rsidRPr="00F56501">
        <w:rPr>
          <w:rStyle w:val="FootnoteReference"/>
        </w:rPr>
        <w:footnoteReference w:id="12"/>
      </w:r>
      <w:r w:rsidR="00DC29FD" w:rsidRPr="00F56501">
        <w:t>, и по-специално член 105 от него,</w:t>
      </w:r>
    </w:p>
    <w:p w14:paraId="7C02984F" w14:textId="77777777" w:rsidR="00DC29FD" w:rsidRPr="00F56501" w:rsidRDefault="002E5B22" w:rsidP="00DC29FD">
      <w:pPr>
        <w:pStyle w:val="NormalHanging12a"/>
        <w:widowControl/>
      </w:pPr>
      <w:r w:rsidRPr="00F56501">
        <w:t>–</w:t>
      </w:r>
      <w:r w:rsidR="00DC29FD" w:rsidRPr="00F56501">
        <w:tab/>
        <w:t>като взе предвид член 102 и приложение V към своя Правилник за дейността,</w:t>
      </w:r>
    </w:p>
    <w:p w14:paraId="0A9A0983" w14:textId="77777777" w:rsidR="00DC29FD" w:rsidRPr="00F56501" w:rsidRDefault="002E5B22" w:rsidP="00DC29FD">
      <w:pPr>
        <w:pStyle w:val="NormalHanging12a"/>
        <w:widowControl/>
      </w:pPr>
      <w:r w:rsidRPr="00F56501">
        <w:t>–</w:t>
      </w:r>
      <w:r w:rsidR="00DC29FD" w:rsidRPr="00F56501">
        <w:tab/>
        <w:t>като взе предвид становището на комисията по граждански свободи, правосъдие и вътрешни работи,</w:t>
      </w:r>
    </w:p>
    <w:p w14:paraId="526B8EFA" w14:textId="77777777" w:rsidR="00DC29FD" w:rsidRPr="00F56501" w:rsidRDefault="002E5B22" w:rsidP="00DC29FD">
      <w:pPr>
        <w:pStyle w:val="NormalHanging12a"/>
        <w:widowControl/>
      </w:pPr>
      <w:r w:rsidRPr="00F56501">
        <w:t>–</w:t>
      </w:r>
      <w:r w:rsidR="00DC29FD" w:rsidRPr="00F56501">
        <w:tab/>
        <w:t>като взе предвид доклада на комисията по бюджетен контрол (A10</w:t>
      </w:r>
      <w:r w:rsidR="00DC29FD" w:rsidRPr="00F56501">
        <w:noBreakHyphen/>
        <w:t>0051/2025),</w:t>
      </w:r>
    </w:p>
    <w:p w14:paraId="0358E2FE" w14:textId="77777777" w:rsidR="00DC29FD" w:rsidRPr="00F56501" w:rsidRDefault="00DC29FD" w:rsidP="00DC29FD">
      <w:pPr>
        <w:pStyle w:val="NormalHanging12a"/>
        <w:widowControl/>
      </w:pPr>
      <w:r w:rsidRPr="00F56501">
        <w:t>1.</w:t>
      </w:r>
      <w:r w:rsidRPr="00F56501">
        <w:tab/>
        <w:t>одобрява приключването на сметките на Европейската прокуратура за финансовата 2023 година;</w:t>
      </w:r>
    </w:p>
    <w:p w14:paraId="0408D968" w14:textId="77777777" w:rsidR="00DC29FD" w:rsidRPr="00F56501" w:rsidRDefault="00DC29FD" w:rsidP="00DC29FD">
      <w:pPr>
        <w:pStyle w:val="NormalHanging12a"/>
        <w:widowControl/>
      </w:pPr>
      <w:r w:rsidRPr="00F56501">
        <w:t>2.</w:t>
      </w:r>
      <w:r w:rsidRPr="00F56501">
        <w:tab/>
        <w:t xml:space="preserve">възлага на своя председател да предаде настоящото решение съответно на административния директор на Европейската прокуратура, на Европейския съвет, на Съвета, Комисията и Сметната палата и да осигури публикуването му в </w:t>
      </w:r>
      <w:r w:rsidRPr="00F56501">
        <w:rPr>
          <w:i/>
          <w:iCs/>
        </w:rPr>
        <w:t>Официален вестник на Европейския съюз</w:t>
      </w:r>
      <w:r w:rsidRPr="00F56501">
        <w:t xml:space="preserve"> (серия L).</w:t>
      </w:r>
    </w:p>
    <w:p w14:paraId="628927EC" w14:textId="77777777" w:rsidR="00DC29FD" w:rsidRPr="00F56501" w:rsidRDefault="00DC29FD" w:rsidP="00DC29FD">
      <w:pPr>
        <w:widowControl/>
      </w:pPr>
    </w:p>
    <w:p w14:paraId="42CD6AF7" w14:textId="77777777" w:rsidR="00DC29FD" w:rsidRPr="00F56501" w:rsidRDefault="00DC29FD" w:rsidP="00DC29FD">
      <w:pPr>
        <w:widowControl/>
        <w:rPr>
          <w:rFonts w:ascii="Arial" w:hAnsi="Arial" w:cs="Arial"/>
          <w:b/>
        </w:rPr>
        <w:sectPr w:rsidR="00DC29FD" w:rsidRPr="00F56501" w:rsidSect="00132ABC">
          <w:footnotePr>
            <w:numRestart w:val="eachSect"/>
          </w:footnotePr>
          <w:endnotePr>
            <w:numFmt w:val="decimal"/>
          </w:endnotePr>
          <w:pgSz w:w="11906" w:h="16838"/>
          <w:pgMar w:top="1134" w:right="1418" w:bottom="1418" w:left="1418" w:header="567" w:footer="567" w:gutter="0"/>
          <w:cols w:space="720"/>
          <w:docGrid w:linePitch="326"/>
        </w:sectPr>
      </w:pPr>
    </w:p>
    <w:p w14:paraId="5D8D6497" w14:textId="77777777" w:rsidR="00DC29FD" w:rsidRPr="00F56501" w:rsidRDefault="00DC29FD" w:rsidP="002E5B22">
      <w:pPr>
        <w:pStyle w:val="ATHeading3"/>
      </w:pPr>
      <w:bookmarkStart w:id="9" w:name="_Toc195541338"/>
      <w:r w:rsidRPr="00F56501">
        <w:lastRenderedPageBreak/>
        <w:t xml:space="preserve">3. </w:t>
      </w:r>
      <w:r w:rsidR="00AE7EEA" w:rsidRPr="00F56501">
        <w:t>Резолюция</w:t>
      </w:r>
      <w:r w:rsidR="002E5B22" w:rsidRPr="00F56501">
        <w:t xml:space="preserve"> на Европейския парламент от </w:t>
      </w:r>
      <w:r w:rsidR="00F56501">
        <w:t>7 май</w:t>
      </w:r>
      <w:r w:rsidR="00F56501" w:rsidRPr="00F56501">
        <w:t xml:space="preserve"> </w:t>
      </w:r>
      <w:r w:rsidR="002E5B22" w:rsidRPr="00F56501">
        <w:t>2025 г.</w:t>
      </w:r>
      <w:r w:rsidRPr="00F56501">
        <w:t>,</w:t>
      </w:r>
      <w:bookmarkEnd w:id="9"/>
      <w:r w:rsidR="002E5B22" w:rsidRPr="00F56501">
        <w:t xml:space="preserve"> </w:t>
      </w:r>
      <w:r w:rsidR="00AE7EEA" w:rsidRPr="00F56501">
        <w:t>съдържаща</w:t>
      </w:r>
      <w:r w:rsidRPr="00F56501">
        <w:t xml:space="preserve"> забележките, които са неразделна част от решението за освобождаване от отговорност във връзка с изпълнението на бюджета на Европейската прокуратура за финансовата 2023 година</w:t>
      </w:r>
      <w:r w:rsidR="002E5B22" w:rsidRPr="00F56501">
        <w:t xml:space="preserve"> </w:t>
      </w:r>
      <w:r w:rsidRPr="00F56501">
        <w:t>(2024/2029(DEC))</w:t>
      </w:r>
    </w:p>
    <w:p w14:paraId="1458CD0D" w14:textId="77777777" w:rsidR="00DC29FD" w:rsidRPr="00F56501" w:rsidRDefault="00DC29FD" w:rsidP="00DC29FD">
      <w:pPr>
        <w:pStyle w:val="EPComma"/>
        <w:widowControl/>
      </w:pPr>
      <w:r w:rsidRPr="00F56501">
        <w:rPr>
          <w:i/>
        </w:rPr>
        <w:t>Европейският парламент</w:t>
      </w:r>
      <w:r w:rsidRPr="00F56501">
        <w:t>,</w:t>
      </w:r>
    </w:p>
    <w:p w14:paraId="2DBF172F" w14:textId="77777777" w:rsidR="00DC29FD" w:rsidRPr="00F56501" w:rsidRDefault="002E5B22" w:rsidP="002E5B22">
      <w:pPr>
        <w:pStyle w:val="NormalHanging12a"/>
        <w:widowControl/>
      </w:pPr>
      <w:r w:rsidRPr="00F56501">
        <w:t>–</w:t>
      </w:r>
      <w:r w:rsidR="00DC29FD" w:rsidRPr="00F56501">
        <w:tab/>
        <w:t>като взе предвид своето решение за освобождаване от отговорност във връзка с изпълнението на бюджета на Европейската прокуратура за финансовата 2023 година,</w:t>
      </w:r>
    </w:p>
    <w:p w14:paraId="16E9270A" w14:textId="77777777" w:rsidR="00DC29FD" w:rsidRPr="00F56501" w:rsidRDefault="002E5B22" w:rsidP="002E5B22">
      <w:pPr>
        <w:pStyle w:val="NormalHanging12a"/>
        <w:widowControl/>
      </w:pPr>
      <w:r w:rsidRPr="00F56501">
        <w:t>–</w:t>
      </w:r>
      <w:r w:rsidR="00DC29FD" w:rsidRPr="00F56501">
        <w:tab/>
        <w:t>като взе предвид член 102 и приложение V към своя Правилник за дейността,</w:t>
      </w:r>
    </w:p>
    <w:p w14:paraId="098B709F" w14:textId="77777777" w:rsidR="00DC29FD" w:rsidRPr="00F56501" w:rsidRDefault="002E5B22" w:rsidP="002E5B22">
      <w:pPr>
        <w:pStyle w:val="NormalHanging12a"/>
        <w:widowControl/>
      </w:pPr>
      <w:r w:rsidRPr="00F56501">
        <w:t>–</w:t>
      </w:r>
      <w:r w:rsidR="00DC29FD" w:rsidRPr="00F56501">
        <w:tab/>
        <w:t>като взе предвид становището на комисията по граждански свободи, правосъдие и вътрешни работи,</w:t>
      </w:r>
    </w:p>
    <w:p w14:paraId="456C29E6" w14:textId="77777777" w:rsidR="00DC29FD" w:rsidRPr="00F56501" w:rsidRDefault="002E5B22" w:rsidP="002E5B22">
      <w:pPr>
        <w:pStyle w:val="NormalHanging12a"/>
        <w:widowControl/>
      </w:pPr>
      <w:r w:rsidRPr="00F56501">
        <w:t>–</w:t>
      </w:r>
      <w:r w:rsidR="00DC29FD" w:rsidRPr="00F56501">
        <w:tab/>
        <w:t>като взе предвид доклада на комисията по бюджетен контрол (A10</w:t>
      </w:r>
      <w:r w:rsidR="00DC29FD" w:rsidRPr="00F56501">
        <w:noBreakHyphen/>
        <w:t>0051/2025),</w:t>
      </w:r>
    </w:p>
    <w:p w14:paraId="619047DA" w14:textId="1045897A" w:rsidR="00DC29FD" w:rsidRPr="00F56501" w:rsidRDefault="00DC29FD" w:rsidP="002E5B22">
      <w:pPr>
        <w:pStyle w:val="NormalHanging12a"/>
        <w:widowControl/>
        <w:rPr>
          <w:szCs w:val="24"/>
        </w:rPr>
      </w:pPr>
      <w:r w:rsidRPr="00F56501">
        <w:t>А.</w:t>
      </w:r>
      <w:r w:rsidRPr="00F56501">
        <w:tab/>
        <w:t>като има предвид, че Европейската прокуратура е независимата прокуратура на Съюза, която отговаря за разследването и наказателното преследване на престъпления срещу финансовите интереси на Съюза, за значителното повишаване на капацитета на Съюза за защита на средствата на данъкоплатците и за предаването на съд на извършителите и съучастниците в престъпления, посочени в Директива (ЕС) 2017/1371</w:t>
      </w:r>
      <w:r w:rsidR="002C4718">
        <w:t xml:space="preserve"> </w:t>
      </w:r>
      <w:r w:rsidR="002C4718" w:rsidRPr="006B06B4">
        <w:rPr>
          <w:color w:val="000000"/>
        </w:rPr>
        <w:t>на Европейския парламент и на Съвета</w:t>
      </w:r>
      <w:r w:rsidRPr="00F56501">
        <w:rPr>
          <w:rStyle w:val="FootnoteReference"/>
          <w:szCs w:val="24"/>
        </w:rPr>
        <w:footnoteReference w:id="13"/>
      </w:r>
      <w:r w:rsidRPr="00F56501">
        <w:t xml:space="preserve"> и посочени в Регламент (ЕС) 2017/1939</w:t>
      </w:r>
      <w:r w:rsidR="002C4718">
        <w:t xml:space="preserve"> </w:t>
      </w:r>
      <w:r w:rsidR="002C4718" w:rsidRPr="006B06B4">
        <w:t>на Съвета</w:t>
      </w:r>
      <w:r w:rsidRPr="00F56501">
        <w:rPr>
          <w:rStyle w:val="FootnoteReference"/>
          <w:szCs w:val="24"/>
        </w:rPr>
        <w:footnoteReference w:id="14"/>
      </w:r>
      <w:r w:rsidRPr="00F56501">
        <w:t>;</w:t>
      </w:r>
    </w:p>
    <w:p w14:paraId="7721543A" w14:textId="77777777" w:rsidR="00DC29FD" w:rsidRPr="00F56501" w:rsidRDefault="00DC29FD" w:rsidP="002E5B22">
      <w:pPr>
        <w:pStyle w:val="NormalHanging12a"/>
        <w:widowControl/>
      </w:pPr>
      <w:r w:rsidRPr="00F56501">
        <w:t>Б.</w:t>
      </w:r>
      <w:r w:rsidRPr="00F56501">
        <w:tab/>
        <w:t>като има предвид, че компетентността на Европейската прокуратура обхваща няколко вида измами и включва трансгранични измами с ДДС с общ размер на щетите най-малко 10 милиона евро, изпиране на пари, корупция, организирана престъпност и други престъпления, за които Европейската прокуратура изпълнява функции по наказателно преследване пред компетентните съдилища на участващите държави членки;</w:t>
      </w:r>
    </w:p>
    <w:p w14:paraId="54A933B3" w14:textId="77777777" w:rsidR="00DC29FD" w:rsidRPr="00F56501" w:rsidRDefault="00DC29FD" w:rsidP="002E5B22">
      <w:pPr>
        <w:pStyle w:val="NormalHanging12a"/>
        <w:widowControl/>
        <w:rPr>
          <w:szCs w:val="24"/>
        </w:rPr>
      </w:pPr>
      <w:r w:rsidRPr="00F56501">
        <w:t>В.</w:t>
      </w:r>
      <w:r w:rsidRPr="00F56501">
        <w:tab/>
        <w:t>като има предвид, че Европейската прокуратура е един от компонентите на архитектурата на Съюза за борба с измамите и като такъв нейните действия са координирани с останалите компоненти на архитектурата и ги допълват, за да се постигне рационализирана, ефикасна координация, която повишава общата ефективност на архитектурата;</w:t>
      </w:r>
    </w:p>
    <w:p w14:paraId="7A3132F7" w14:textId="7C284B38" w:rsidR="00DC29FD" w:rsidRPr="00F56501" w:rsidRDefault="00DC29FD" w:rsidP="002E5B22">
      <w:pPr>
        <w:pStyle w:val="NormalHanging12a"/>
        <w:widowControl/>
        <w:rPr>
          <w:szCs w:val="24"/>
        </w:rPr>
      </w:pPr>
      <w:r w:rsidRPr="00F56501">
        <w:t>Г.</w:t>
      </w:r>
      <w:r w:rsidRPr="00F56501">
        <w:tab/>
        <w:t xml:space="preserve">като има предвид, че Европейската прокуратура се намесва в случаите, когато националните органи биха могли да разследват и преследват престъпления, но правомощията на националните органи се простират до границите на тяхната държава, а други организации като </w:t>
      </w:r>
      <w:r w:rsidR="002C4718" w:rsidRPr="006B06B4">
        <w:t>Агенция</w:t>
      </w:r>
      <w:r w:rsidR="002C4718">
        <w:t>та</w:t>
      </w:r>
      <w:r w:rsidR="002C4718" w:rsidRPr="006B06B4">
        <w:t xml:space="preserve"> на Европейския съюз за </w:t>
      </w:r>
      <w:r w:rsidR="002C4718" w:rsidRPr="006B06B4">
        <w:lastRenderedPageBreak/>
        <w:t>сътрудничество в областта на наказателното правосъдие (Евроюст), Европейска</w:t>
      </w:r>
      <w:r w:rsidR="002C4718">
        <w:t>та</w:t>
      </w:r>
      <w:r w:rsidR="002C4718" w:rsidRPr="006B06B4">
        <w:t xml:space="preserve"> служба за борба с измамите (OLAF) и Агенция</w:t>
      </w:r>
      <w:r w:rsidR="002C4718">
        <w:t>та</w:t>
      </w:r>
      <w:r w:rsidR="002C4718" w:rsidRPr="006B06B4">
        <w:t xml:space="preserve"> на Европейския съюз за сътрудничество в областта на правоприлагането (Европол)</w:t>
      </w:r>
      <w:r w:rsidRPr="00F56501">
        <w:t xml:space="preserve"> не разполагат с необходимите правомощия за провеждане на съответните наказателни разследвания и наказателни преследвания;</w:t>
      </w:r>
    </w:p>
    <w:p w14:paraId="4C7D1EDF" w14:textId="77777777" w:rsidR="00DC29FD" w:rsidRPr="00F56501" w:rsidRDefault="00DC29FD" w:rsidP="002E5B22">
      <w:pPr>
        <w:pStyle w:val="NormalHanging12a"/>
        <w:widowControl/>
        <w:rPr>
          <w:szCs w:val="24"/>
        </w:rPr>
      </w:pPr>
      <w:r w:rsidRPr="00F56501">
        <w:t>Д.</w:t>
      </w:r>
      <w:r w:rsidRPr="00F56501">
        <w:tab/>
        <w:t>като има предвид, че процесуалните актове на Европейската прокуратура подлежат на съдебен контрол от страна на националните съдилища и че Съдът на Европейския съюз („Съдът на ЕС“) — чрез преюдициални заключения или съдебен контрол на тези актове — разполага със запазени правомощия, за да гарантира последователно прилагане на правото на Съюза;</w:t>
      </w:r>
    </w:p>
    <w:p w14:paraId="771635A3" w14:textId="77777777" w:rsidR="00DC29FD" w:rsidRPr="00F56501" w:rsidRDefault="00DC29FD" w:rsidP="002E5B22">
      <w:pPr>
        <w:pStyle w:val="NormalHanging12a"/>
        <w:widowControl/>
        <w:rPr>
          <w:color w:val="000000"/>
          <w:szCs w:val="24"/>
        </w:rPr>
      </w:pPr>
      <w:r w:rsidRPr="00F56501">
        <w:t>Е.</w:t>
      </w:r>
      <w:r w:rsidRPr="00F56501">
        <w:tab/>
      </w:r>
      <w:r w:rsidRPr="00F56501">
        <w:rPr>
          <w:color w:val="000000"/>
        </w:rPr>
        <w:t>като има предвид, че Европейската прокуратура се състои от централно равнище, със седалище в Люксембург, състоящо се от европейския главен прокурор, 22 европейски прокурори (по един от всяка участваща държава членка) и административен директор, и от децентрализирано, национално равнище, състоящо се от европейските делегирани прокурори в 22</w:t>
      </w:r>
      <w:r w:rsidRPr="00F56501">
        <w:rPr>
          <w:color w:val="000000"/>
        </w:rPr>
        <w:noBreakHyphen/>
        <w:t>те участващи държави членки;</w:t>
      </w:r>
    </w:p>
    <w:p w14:paraId="2A14AC3F" w14:textId="77777777" w:rsidR="00DC29FD" w:rsidRPr="00F56501" w:rsidRDefault="00DC29FD" w:rsidP="002E5B22">
      <w:pPr>
        <w:widowControl/>
        <w:spacing w:after="240"/>
        <w:ind w:left="567" w:hanging="567"/>
        <w:rPr>
          <w:color w:val="000000"/>
          <w:szCs w:val="24"/>
        </w:rPr>
      </w:pPr>
      <w:r w:rsidRPr="00F56501">
        <w:rPr>
          <w:color w:val="000000"/>
        </w:rPr>
        <w:t>Ж.</w:t>
      </w:r>
      <w:r w:rsidRPr="00F56501">
        <w:rPr>
          <w:color w:val="000000"/>
        </w:rPr>
        <w:tab/>
        <w:t>като има предвид, че на централно равнище европейският главен прокурор и 22</w:t>
      </w:r>
      <w:r w:rsidRPr="00F56501">
        <w:rPr>
          <w:color w:val="000000"/>
        </w:rPr>
        <w:noBreakHyphen/>
        <w:t>мата европейски прокурори съставляват Колегията на Европейската прокуратура („Колегията“) и упражняват надзор върху функциите по разследване и повдигане и поддържане на обвинения, изпълнявани от европейските делегирани прокурори на национално равнище, които работят при пълна независимост от своите национални органи;</w:t>
      </w:r>
    </w:p>
    <w:p w14:paraId="7620B471" w14:textId="77777777" w:rsidR="00DC29FD" w:rsidRPr="00F56501" w:rsidRDefault="00DC29FD" w:rsidP="002E5B22">
      <w:pPr>
        <w:widowControl/>
        <w:spacing w:after="240"/>
        <w:ind w:left="567" w:hanging="567"/>
        <w:rPr>
          <w:color w:val="000000"/>
          <w:szCs w:val="24"/>
        </w:rPr>
      </w:pPr>
      <w:r w:rsidRPr="00F56501">
        <w:rPr>
          <w:color w:val="000000"/>
        </w:rPr>
        <w:t>З.</w:t>
      </w:r>
      <w:r w:rsidRPr="00F56501">
        <w:rPr>
          <w:color w:val="000000"/>
        </w:rPr>
        <w:tab/>
        <w:t>като има предвид, че съгласно член 93 от Регламент (ЕС) 2017/1939 административният директор на Европейската прокуратура действа като разпоредител с бюджетни кредити на Европейската прокуратура и изпълнява бюджета ѝ на собствена отговорност и в одобрените в бюджета рамки, като всяка година изпраща на бюджетния орган цялата информация относно констатациите от всички процедури за оценка;</w:t>
      </w:r>
    </w:p>
    <w:p w14:paraId="5FB73ECC" w14:textId="77777777" w:rsidR="00DC29FD" w:rsidRPr="00F56501" w:rsidRDefault="00DC29FD" w:rsidP="002E5B22">
      <w:pPr>
        <w:widowControl/>
        <w:spacing w:after="240"/>
        <w:ind w:left="567" w:hanging="567"/>
        <w:rPr>
          <w:color w:val="000000"/>
          <w:szCs w:val="24"/>
        </w:rPr>
      </w:pPr>
      <w:r w:rsidRPr="00F56501">
        <w:rPr>
          <w:color w:val="000000"/>
        </w:rPr>
        <w:t>И.</w:t>
      </w:r>
      <w:r w:rsidRPr="00F56501">
        <w:rPr>
          <w:color w:val="000000"/>
        </w:rPr>
        <w:tab/>
        <w:t>като има предвид, че в съответствие с член 50, параграф 2 от Финансовите правила на Европейската прокуратура счетоводителят на Комисията действа също така като счетоводител на Европейската прокуратура и отговаря за изготвянето на годишните отчети, които са консолидирани с тези на Съюза;</w:t>
      </w:r>
    </w:p>
    <w:p w14:paraId="13F0F9BE" w14:textId="30DAAC50" w:rsidR="00DC29FD" w:rsidRPr="00F56501" w:rsidRDefault="00DC29FD" w:rsidP="002E5B22">
      <w:pPr>
        <w:widowControl/>
        <w:spacing w:after="240"/>
        <w:ind w:left="567" w:hanging="567"/>
        <w:rPr>
          <w:color w:val="000000"/>
          <w:szCs w:val="24"/>
        </w:rPr>
      </w:pPr>
      <w:r w:rsidRPr="00F56501">
        <w:rPr>
          <w:color w:val="000000"/>
        </w:rPr>
        <w:t>Й.</w:t>
      </w:r>
      <w:r w:rsidRPr="00F56501">
        <w:rPr>
          <w:color w:val="000000"/>
        </w:rPr>
        <w:tab/>
      </w:r>
      <w:r w:rsidRPr="00F56501">
        <w:t>като има предвид, че съгласно понастоящем действащата рамка окончателните годишни отчети са проверяват от Сметната палата („Палатата“) и</w:t>
      </w:r>
      <w:r w:rsidR="002C4718">
        <w:t xml:space="preserve"> </w:t>
      </w:r>
      <w:r w:rsidRPr="00F56501">
        <w:rPr>
          <w:color w:val="000000"/>
        </w:rPr>
        <w:t>Съветът трябва да препоръча, а Европейският парламент да реши дали да освободи от отговорност административния директор на Европейската прокуратура във връзка с изпълнението на бюджета за дадена финансова година;</w:t>
      </w:r>
    </w:p>
    <w:p w14:paraId="1EA9BB80" w14:textId="77777777" w:rsidR="00DC29FD" w:rsidRPr="00F56501" w:rsidRDefault="00DC29FD" w:rsidP="002E5B22">
      <w:pPr>
        <w:widowControl/>
        <w:spacing w:after="240"/>
        <w:ind w:left="567" w:hanging="567"/>
        <w:rPr>
          <w:color w:val="000000"/>
          <w:szCs w:val="24"/>
        </w:rPr>
      </w:pPr>
      <w:r w:rsidRPr="00F56501">
        <w:rPr>
          <w:color w:val="000000"/>
        </w:rPr>
        <w:t>К.</w:t>
      </w:r>
      <w:r w:rsidRPr="00F56501">
        <w:rPr>
          <w:color w:val="000000"/>
        </w:rPr>
        <w:tab/>
        <w:t>като има предвид, че контролът върху управлението на ресурсите на Европейската прокуратура и свързаните с тях разходи не може да пренебрегва прегледа на оперативните дейности, техните последици и въздействие, както и методите за тяхното изпълнение;</w:t>
      </w:r>
    </w:p>
    <w:p w14:paraId="708AF04B" w14:textId="77777777" w:rsidR="00DC29FD" w:rsidRPr="00F56501" w:rsidRDefault="00DC29FD" w:rsidP="002E5B22">
      <w:pPr>
        <w:widowControl/>
        <w:spacing w:after="240"/>
        <w:ind w:left="567" w:hanging="567"/>
        <w:rPr>
          <w:color w:val="000000"/>
          <w:szCs w:val="24"/>
        </w:rPr>
      </w:pPr>
      <w:r w:rsidRPr="00F56501">
        <w:rPr>
          <w:color w:val="000000"/>
        </w:rPr>
        <w:t>Л.</w:t>
      </w:r>
      <w:r w:rsidRPr="00F56501">
        <w:rPr>
          <w:color w:val="000000"/>
        </w:rPr>
        <w:tab/>
      </w:r>
      <w:r w:rsidRPr="00F56501">
        <w:t xml:space="preserve">като има предвид, че Европейската прокуратура функционира автономно при изпълнението на своя бюджет едва от 24 юни 2021 г. и започна оперативните си </w:t>
      </w:r>
      <w:r w:rsidRPr="00F56501">
        <w:lastRenderedPageBreak/>
        <w:t xml:space="preserve">дейности, което изисква непрекъсната оценка, за да се гарантира съответствие на ресурсите с оперативната ефективност, на 1 юни 2021 г., което е също така </w:t>
      </w:r>
      <w:proofErr w:type="spellStart"/>
      <w:r w:rsidRPr="00F56501">
        <w:rPr>
          <w:i/>
          <w:iCs/>
        </w:rPr>
        <w:t>dies</w:t>
      </w:r>
      <w:proofErr w:type="spellEnd"/>
      <w:r w:rsidRPr="00F56501">
        <w:rPr>
          <w:i/>
          <w:iCs/>
        </w:rPr>
        <w:t xml:space="preserve"> a </w:t>
      </w:r>
      <w:proofErr w:type="spellStart"/>
      <w:r w:rsidRPr="00F56501">
        <w:rPr>
          <w:i/>
          <w:iCs/>
        </w:rPr>
        <w:t>quo</w:t>
      </w:r>
      <w:proofErr w:type="spellEnd"/>
      <w:r w:rsidRPr="00F56501">
        <w:t xml:space="preserve"> за петгодишния мандат, посочен в член 119 от </w:t>
      </w:r>
      <w:r w:rsidRPr="00F56501">
        <w:rPr>
          <w:color w:val="333333"/>
          <w:shd w:val="clear" w:color="auto" w:fill="FFFFFF"/>
        </w:rPr>
        <w:t>Регламент (ЕС) 2017/1939</w:t>
      </w:r>
      <w:r w:rsidRPr="00F56501">
        <w:t>, след изтичането на който Комисията ще трябва да представи на Европейския парламент и на Съвета и на националните парламенти доклад за оценка на прилагането и въздействието на този регламент, както и на ефективността и ефикасността на Европейската прокуратура и нейните работни практики, заедно със заключенията си;</w:t>
      </w:r>
    </w:p>
    <w:p w14:paraId="1D316270" w14:textId="77777777" w:rsidR="00DC29FD" w:rsidRPr="00F56501" w:rsidRDefault="00DC29FD" w:rsidP="002E5B22">
      <w:pPr>
        <w:widowControl/>
        <w:spacing w:after="240"/>
        <w:ind w:left="567" w:hanging="567"/>
        <w:rPr>
          <w:color w:val="000000"/>
          <w:szCs w:val="24"/>
        </w:rPr>
      </w:pPr>
      <w:r w:rsidRPr="00F56501">
        <w:rPr>
          <w:color w:val="000000"/>
        </w:rPr>
        <w:t>М.</w:t>
      </w:r>
      <w:r w:rsidRPr="00F56501">
        <w:rPr>
          <w:color w:val="000000"/>
        </w:rPr>
        <w:tab/>
      </w:r>
      <w:r w:rsidRPr="00F56501">
        <w:t xml:space="preserve">като има предвид, че в съответствие с член 119, параграф 2 от </w:t>
      </w:r>
      <w:r w:rsidRPr="00F56501">
        <w:rPr>
          <w:color w:val="333333"/>
          <w:shd w:val="clear" w:color="auto" w:fill="FFFFFF"/>
        </w:rPr>
        <w:t>Регламент (ЕС) 2017/1939</w:t>
      </w:r>
      <w:r w:rsidRPr="00F56501">
        <w:t xml:space="preserve"> Комисията представя законодателни предложения на Европейския парламент и на Съвета, ако стигне до заключението, че е необходимо да има допълнителни или по-подробни правила относно създаването на Европейската прокуратура, нейните функции или процедурата, приложима за нейните дейности, включително нейните трансгранични разследвания;</w:t>
      </w:r>
    </w:p>
    <w:p w14:paraId="0A9A1977" w14:textId="77777777" w:rsidR="00DC29FD" w:rsidRPr="00F56501" w:rsidRDefault="00DC29FD" w:rsidP="002E5B22">
      <w:pPr>
        <w:pStyle w:val="NormalHanging12a"/>
        <w:widowControl/>
        <w:rPr>
          <w:szCs w:val="24"/>
        </w:rPr>
      </w:pPr>
      <w:r w:rsidRPr="00F56501">
        <w:t>1.</w:t>
      </w:r>
      <w:r w:rsidRPr="00F56501">
        <w:tab/>
        <w:t>приветства положителното становище на Палатата относно надеждността на отчетите на Европейската прокуратура за годината, приключила на 31 декември 2023 г., и относно законосъобразността и редовността на свързаните с тях приходи и плащания;</w:t>
      </w:r>
    </w:p>
    <w:p w14:paraId="54CF953D" w14:textId="77777777" w:rsidR="00DC29FD" w:rsidRDefault="00DC29FD" w:rsidP="002E5B22">
      <w:pPr>
        <w:pStyle w:val="NormalHanging12a"/>
        <w:widowControl/>
        <w:rPr>
          <w:color w:val="000000"/>
        </w:rPr>
      </w:pPr>
      <w:r w:rsidRPr="00F56501">
        <w:t>2.</w:t>
      </w:r>
      <w:r w:rsidRPr="00F56501">
        <w:tab/>
      </w:r>
      <w:r w:rsidRPr="00F56501">
        <w:rPr>
          <w:color w:val="000000"/>
        </w:rPr>
        <w:t>припомня силната подкрепа на Парламента за създаването на Европейската прокуратура; признава Европейската прокуратура като независим орган на Съюза; подчертава важната роля на Европейската прокуратура за защитата на финансовите интереси на Съюза и като съществен компонент на архитектурата на Съюза за борба с измамите и на по-широка система на Съюза, основана на почтеност, отчетност, прозрачност и добро финансово управление на ресурсите; поздравява Европейската прокуратура за нейната работа по разследване, наказателно преследване и осигуряване на правосъдие за престъпления, засягащи бюджета на ЕС, като например измами, корупция и трансгранични измами с ДДС;</w:t>
      </w:r>
    </w:p>
    <w:p w14:paraId="3A9D290A" w14:textId="77777777" w:rsidR="007A7164" w:rsidRPr="00F56501" w:rsidRDefault="007A7164" w:rsidP="002E5B22">
      <w:pPr>
        <w:pStyle w:val="NormalHanging12a"/>
        <w:widowControl/>
      </w:pPr>
      <w:r>
        <w:t>3</w:t>
      </w:r>
      <w:r w:rsidRPr="00A061B1">
        <w:rPr>
          <w:lang w:val="en-GB"/>
        </w:rPr>
        <w:t>.</w:t>
      </w:r>
      <w:r w:rsidRPr="00A061B1">
        <w:rPr>
          <w:lang w:val="en-GB"/>
        </w:rPr>
        <w:tab/>
      </w:r>
      <w:r w:rsidRPr="0005132B">
        <w:t>подчертава критичната необходимост от незабавно заделяне на необходимите ресурси, за да се гарантира своевременното приключване на текущото разследване относно закупуването на ваксини срещу COVID-19 в Съюза, особено като се има предвид значителният обществен интерес по този въпрос, съчетан с факта, че разследването започна още през 2022 г. и до този момент няма публично обявено решение;</w:t>
      </w:r>
    </w:p>
    <w:p w14:paraId="3A3C4358" w14:textId="77777777" w:rsidR="00DC29FD" w:rsidRPr="00F56501" w:rsidRDefault="008F60AF" w:rsidP="002E5B22">
      <w:pPr>
        <w:widowControl/>
        <w:spacing w:after="240"/>
        <w:ind w:left="567" w:hanging="567"/>
        <w:rPr>
          <w:szCs w:val="24"/>
        </w:rPr>
      </w:pPr>
      <w:r>
        <w:t>4</w:t>
      </w:r>
      <w:r w:rsidR="00DC29FD" w:rsidRPr="00F56501">
        <w:t>.</w:t>
      </w:r>
      <w:r w:rsidR="00DC29FD" w:rsidRPr="00F56501">
        <w:tab/>
        <w:t xml:space="preserve">отбелязва, че е възможно да се сравнят само двете последни бюджетни и оперативни резултати на Европейската прокуратура за периода 2022—2023 г., след като Европейската прокуратура получи финансова автономност през юни 2021 г.; отбелязва, че в този контекст бюджетните увеличения, свързани с дейностите на Европейската прокуратура, продължават да бъдат много трудни за оценка поради неотдавнашното създаване на Европейската прокуратура, уникалните характеристики на Европейската прокуратура и нейните основни дейности, непредвидимото равнище на разкриване на измами, голямото разнообразие на разследваните от нея случаи, липсата на свобода на преценка по отношение на преследването по съдебен ред, съчетана с това, че тя зависи от ресурсите и процесуалните ограничения на националните съдебни системи, липсата на постоянна връзка между броя на разследванията и разходите за тях и мащаба на финансовите интереси на Съюза, които трябва да бъдат защитени; </w:t>
      </w:r>
      <w:r w:rsidR="00DC29FD" w:rsidRPr="00F56501">
        <w:lastRenderedPageBreak/>
        <w:t>отбелязва също така, че е трудно да се направи прогноза за разходите за работната натовареност, свързана с Механизма за възстановяване и устойчивост (МВУ) — поради безпрецедентния начин на неговото изпълнение и големия обем на ресурсите;</w:t>
      </w:r>
    </w:p>
    <w:p w14:paraId="34F05139" w14:textId="77777777" w:rsidR="00DC29FD" w:rsidRPr="00F56501" w:rsidRDefault="00DC29FD" w:rsidP="002E5B22">
      <w:pPr>
        <w:widowControl/>
        <w:spacing w:after="240"/>
        <w:ind w:left="567" w:hanging="567"/>
        <w:rPr>
          <w:b/>
          <w:i/>
          <w:szCs w:val="24"/>
        </w:rPr>
      </w:pPr>
      <w:r w:rsidRPr="00F56501">
        <w:rPr>
          <w:b/>
          <w:i/>
        </w:rPr>
        <w:t>Бюджетно и финансово управление</w:t>
      </w:r>
    </w:p>
    <w:p w14:paraId="0268D1C6" w14:textId="77777777" w:rsidR="00DC29FD" w:rsidRPr="00F56501" w:rsidRDefault="008F60AF" w:rsidP="002E5B22">
      <w:pPr>
        <w:pStyle w:val="NormalHanging12a"/>
        <w:widowControl/>
      </w:pPr>
      <w:r>
        <w:t>5</w:t>
      </w:r>
      <w:r w:rsidR="00DC29FD" w:rsidRPr="00F56501">
        <w:t>.</w:t>
      </w:r>
      <w:r w:rsidR="00DC29FD" w:rsidRPr="00F56501">
        <w:tab/>
      </w:r>
      <w:r w:rsidR="00DC29FD" w:rsidRPr="00F56501">
        <w:rPr>
          <w:color w:val="000000"/>
        </w:rPr>
        <w:t>отбелязва, че общият окончателен бюджет, отпуснат на Европейската прокуратура за 2023 г., беше 65,9 милиона евро, значително увеличен (с 14,7%) спрямо 51,2 милиона евро, отпуснати през 2022 г., докато бюджетът за 2021 г. (26,2 милиона евро) беше свързан с период преди финансовата автономност на Европейската прокуратура; отбелязва, че бюджетът на Европейската прокуратура включва увеличението, предоставено от бюджетния орган по искане на Европейската прокуратура през юни 2023 г., с 500 000 EUR (искането включваше и човешки ресурси, свързани със същественото повишаване на капацитета на Европейската прокуратура в областта на сигурността, което доведе до отпускането на осем допълнителни длъжности в щатното разписание); оценява факта, че през 2023 г. не е бил върнат бюджет в сравнение с 10% (5,9 милиона евро) от първоначалния бюджет през 2022 г. и 21% (9,5 милиона евро) през 2021 г.; отново изтъква необходимостта на Европейската прокуратура да бъдат предоставени достатъчно ресурси, за да изпълнява адекватно своя мандат;</w:t>
      </w:r>
    </w:p>
    <w:p w14:paraId="0A445926" w14:textId="77777777" w:rsidR="00DC29FD" w:rsidRPr="00F56501" w:rsidRDefault="008F60AF" w:rsidP="002E5B22">
      <w:pPr>
        <w:widowControl/>
        <w:spacing w:after="240"/>
        <w:ind w:left="567" w:hanging="567"/>
        <w:rPr>
          <w:szCs w:val="24"/>
        </w:rPr>
      </w:pPr>
      <w:r>
        <w:t>6</w:t>
      </w:r>
      <w:r w:rsidR="00DC29FD" w:rsidRPr="00F56501">
        <w:t>.</w:t>
      </w:r>
      <w:r w:rsidR="00DC29FD" w:rsidRPr="00F56501">
        <w:tab/>
        <w:t>приветства увеличаващото се равнище на изпълнение на бюджета, което е 99,6% през 2023 г. (в сравнение с 98,1% през 2022 г. и 97,4% през 2021 г.); оценява факта, че общата степен на изпълнение за плащанията е напреднала през 2023 г., достигайки 85,3% (в сравнение с 76,6% и 71% съответно през 2022 г. и 2021 г.), а средният срок за плащане е намалял на 17 дни (в сравнение с 23,8 дни през 2022 г. и 21,0 дни през 2021 г.); отбелязва, че модулът за електронно фактуриране (електронно фактуриране) беше въведен от юни 2023 г. и ще допринесе за допълнително намаляване на</w:t>
      </w:r>
      <w:r w:rsidR="00DC29FD" w:rsidRPr="00F56501">
        <w:rPr>
          <w:shd w:val="clear" w:color="auto" w:fill="FFFFFF"/>
        </w:rPr>
        <w:t xml:space="preserve"> административната тежест, сроковете за плащане и общите разходи за обработка;</w:t>
      </w:r>
      <w:r w:rsidR="00DC29FD" w:rsidRPr="00F56501">
        <w:t xml:space="preserve"> насърчава по-нататъшното усъвършенстване на оперативните процеси с цел постигане на максимална ефективност;</w:t>
      </w:r>
    </w:p>
    <w:p w14:paraId="7B1CAD77" w14:textId="77777777" w:rsidR="00DC29FD" w:rsidRPr="00F56501" w:rsidRDefault="008F60AF" w:rsidP="002E5B22">
      <w:pPr>
        <w:widowControl/>
        <w:spacing w:after="240"/>
        <w:ind w:left="567" w:hanging="567"/>
        <w:rPr>
          <w:szCs w:val="24"/>
        </w:rPr>
      </w:pPr>
      <w:r>
        <w:t>7</w:t>
      </w:r>
      <w:r w:rsidR="00DC29FD" w:rsidRPr="00F56501">
        <w:t>.</w:t>
      </w:r>
      <w:r w:rsidR="00DC29FD" w:rsidRPr="00F56501">
        <w:tab/>
        <w:t>изразява разбиране, че тъй като исканията за бюджетни средства са изпълнени само частично, Европейската прокуратура съсредоточи финансовите си ресурси върху назначаването на допълнителни европейски делегирани прокурори, което оказва въздействие върху способността на Европейската прокуратура да ръководи нарастващия брой разследвания и наказателни преследвания, върху необходимостта от подобряване на сигурността на организацията и върху поддържането на нейната система за управление на делата, което би могло да се отрази отрицателно на управлението на трансграничните разследвания; подчертава значението на допълнителното финансиране и увеличаването на нейния персонал, за да се създадат условия Европейската прокуратура да се бори ефективно срещу организираната престъпност, да защитава финансовите интереси на ЕС и да отстоява принципите на правовата държава, които са ключови приоритети на Съюза; призовава за специално увеличение на финансирането в рамките на следващата многогодишна финансова рамка (МФР), за да се гарантира, че тя може да продължи да изпълнява своите цели и задължения;</w:t>
      </w:r>
    </w:p>
    <w:p w14:paraId="1637BAF0" w14:textId="77777777" w:rsidR="00DC29FD" w:rsidRPr="00F56501" w:rsidRDefault="008F60AF" w:rsidP="002E5B22">
      <w:pPr>
        <w:widowControl/>
        <w:spacing w:after="240"/>
        <w:ind w:left="567" w:hanging="567"/>
        <w:rPr>
          <w:bCs/>
          <w:szCs w:val="24"/>
        </w:rPr>
      </w:pPr>
      <w:r>
        <w:lastRenderedPageBreak/>
        <w:t>8</w:t>
      </w:r>
      <w:r w:rsidR="00DC29FD" w:rsidRPr="00F56501">
        <w:t>.</w:t>
      </w:r>
      <w:r w:rsidR="00DC29FD" w:rsidRPr="00F56501">
        <w:tab/>
        <w:t>е наясно с факта, че след постигането на финансова автономност през юни 2021 г. Европейската прокуратура е отдала приоритет на оперативните разходи, свързани с разследването, наказателното преследване и мерките за сигурност, и че това е довело до ограничаване на неоперативните разходи до услуги за основно равнище на подкрепа; отбелязва, че в този контекст по бюджетните редове за оперативни разходи (Дял 3) са разпределени общо 28 312 075 EUR, което представлява 43% от окончателния бюджет на Европейската прокуратура за 2023 г. (спрямо 21 047 346 EUR, което е представлявало 41% през 2022 г.); отбелязва, че основните фактори за разходите за тези дейности са възнагражденията на европейските делегирани прокурори (51% от оперативните дейности в сравнение с 42% през 2022 г.), следвани от оперативните дейности в областта на ИКТ, като поддръжка и развитие на системата за управление на делата на Европейската прокуратура (19% в сравнение с 28% през 2022 г.), и езиковите услуги (дейности по писмен и устен превод) (14%, което е същото ниво като през 2022 г.);</w:t>
      </w:r>
    </w:p>
    <w:p w14:paraId="730B5889" w14:textId="77777777" w:rsidR="00DC29FD" w:rsidRPr="00F56501" w:rsidRDefault="008F60AF" w:rsidP="002E5B22">
      <w:pPr>
        <w:pStyle w:val="NormalHanging12a"/>
        <w:widowControl/>
      </w:pPr>
      <w:r>
        <w:t>9</w:t>
      </w:r>
      <w:r w:rsidR="00DC29FD" w:rsidRPr="00F56501">
        <w:t>.</w:t>
      </w:r>
      <w:r w:rsidR="00DC29FD" w:rsidRPr="00F56501">
        <w:tab/>
        <w:t xml:space="preserve">отбелязва, че разходите за възнаграждение на европейските делегирани прокурори достигнаха 14,5 милиона евро (в сравнение с 8,7 милиона евро през 2022 г.) и представляват основните оперативни разходи поради увеличения брой действащи европейски делегирани прокурори през 2023 г.; приветства присъединяването на Полша и Швеция към Европейската прокуратура, което беше обявено през 2024 г.; отбелязва, че това не засегна разходите за 2023 г. и се отнася само в незначителна степен до бюджета за 2024 г. поради късното и </w:t>
      </w:r>
      <w:proofErr w:type="spellStart"/>
      <w:r w:rsidR="00DC29FD" w:rsidRPr="00F56501">
        <w:t>постепененно</w:t>
      </w:r>
      <w:proofErr w:type="spellEnd"/>
      <w:r w:rsidR="00DC29FD" w:rsidRPr="00F56501">
        <w:t xml:space="preserve"> назначаване на двама европейски прокурори и няколко европейски делегирани прокурори; изразява разбиране, че по-солидна оценка на разходите няма да бъде възможна преди 2025 г.; приветства включването в програмата на целта на новото ирландско правителство за присъединяване към Европейската прокуратура; призовава унгарското правителство, като единствената оставаща държава членка, която все още не се е присъединила към Европейската прокуратура, въпреки липсата на каквито и да било правни или конституционни пречки, да се присъедини към Европейската прокуратура без по-нататъшно забавяне;</w:t>
      </w:r>
    </w:p>
    <w:p w14:paraId="15506753" w14:textId="77777777" w:rsidR="00DC29FD" w:rsidRPr="00F56501" w:rsidRDefault="008F60AF" w:rsidP="002E5B22">
      <w:pPr>
        <w:widowControl/>
        <w:spacing w:after="240"/>
        <w:ind w:left="567" w:hanging="567"/>
        <w:rPr>
          <w:szCs w:val="24"/>
        </w:rPr>
      </w:pPr>
      <w:r>
        <w:t>10</w:t>
      </w:r>
      <w:r w:rsidR="00DC29FD" w:rsidRPr="00F56501">
        <w:t>.</w:t>
      </w:r>
      <w:r w:rsidR="00DC29FD" w:rsidRPr="00F56501">
        <w:tab/>
        <w:t>отбелязва, че разходите за командировки и оперативни срещи са се увеличили допълнително през 2023 г. (разходите за командировки са били 1 175 000 EUR през 2023 г. и 980 000 EUR през 2022 г.); разходите за оперативни срещи през 2023 г. са били 659 752 EUR (в сравнение с 170 000 EUR през 2022 г.), в съответствие с увеличаващата се интензивност на разследванията;</w:t>
      </w:r>
    </w:p>
    <w:p w14:paraId="48988FD4" w14:textId="77777777" w:rsidR="00DC29FD" w:rsidRPr="00F56501" w:rsidRDefault="008F60AF" w:rsidP="002E5B22">
      <w:pPr>
        <w:pStyle w:val="NormalHanging12a"/>
        <w:widowControl/>
      </w:pPr>
      <w:r>
        <w:t>11</w:t>
      </w:r>
      <w:r w:rsidR="00DC29FD" w:rsidRPr="00F56501">
        <w:t>.</w:t>
      </w:r>
      <w:r w:rsidR="00DC29FD" w:rsidRPr="00F56501">
        <w:tab/>
        <w:t xml:space="preserve">е наясно с факта, че се очаква разходите за услуги за писмени преводи да продължат да се увеличат, в съответствие с увеличаващата се работна натовареност на Европейската прокуратура, и признава необходимостта от допълнителни ресурси за писмени преводи; приветства както разработените вътрешни насоки относно използването на услуги за писмени преводи, с оглед засилване на контрола върху разходите и включването на препоръката за използване на услуги за машинен превод, когато това е възможно, така и използването на национални доставчици на услуги в рамките на ограничението, разрешено от действащия понастоящем регламент, с цел решаване на проблема; отбелязва в тази връзка, че макар член 107 от Регламент (ЕС) 2017/1939 да предвижда, че преводаческите услуги, необходими за административното функциониране на Европейската прокуратура на централно равнище, се предоставят от Центъра за преводи за органите на Съюза, той също така </w:t>
      </w:r>
      <w:r w:rsidR="00DC29FD" w:rsidRPr="00F56501">
        <w:lastRenderedPageBreak/>
        <w:t>предвижда различно разглеждане на оперативни и спешни въпроси и оправомощава европейските делегирани прокурори да вземат решения относно договореностите за писмени преводи за целите на разследванията в съответствие с приложимото национално право;</w:t>
      </w:r>
    </w:p>
    <w:p w14:paraId="1FD28618" w14:textId="77777777" w:rsidR="00DC29FD" w:rsidRPr="00F56501" w:rsidRDefault="008F60AF" w:rsidP="002E5B22">
      <w:pPr>
        <w:widowControl/>
        <w:autoSpaceDE w:val="0"/>
        <w:autoSpaceDN w:val="0"/>
        <w:adjustRightInd w:val="0"/>
        <w:spacing w:after="240"/>
        <w:ind w:left="567" w:hanging="567"/>
        <w:rPr>
          <w:szCs w:val="24"/>
        </w:rPr>
      </w:pPr>
      <w:r>
        <w:t>12</w:t>
      </w:r>
      <w:r w:rsidR="00DC29FD" w:rsidRPr="00F56501">
        <w:t>.</w:t>
      </w:r>
      <w:r w:rsidR="00DC29FD" w:rsidRPr="00F56501">
        <w:tab/>
        <w:t>отбелязва, че през 2023 г. Европейската прокуратура е подписала 234 конкретни договора по съществуващи рамкови договори на обща стойност над 11 милиона евро, със значително увеличение на използването на рамковите договори на Европейската прокуратура (82 конкретни договора на стойност над 6,5 милиона евро), което до голяма степен се дължи на използването на рамковия договор на Европейската прокуратура за предоставяне на услуги в областта на информационните системи; отбелязва, че само един договор, свързан със системата за управление на делата на Европейската прокуратура, е бил възложен чрез процедура на договаряне без предварително публикуване на обявление за поръчка поради изключителна спешност;</w:t>
      </w:r>
    </w:p>
    <w:p w14:paraId="6A6F0488" w14:textId="77777777" w:rsidR="00DC29FD" w:rsidRPr="00F56501" w:rsidRDefault="008F60AF" w:rsidP="002E5B22">
      <w:pPr>
        <w:widowControl/>
        <w:autoSpaceDE w:val="0"/>
        <w:autoSpaceDN w:val="0"/>
        <w:adjustRightInd w:val="0"/>
        <w:spacing w:after="240"/>
        <w:ind w:left="567" w:hanging="567"/>
        <w:rPr>
          <w:szCs w:val="24"/>
        </w:rPr>
      </w:pPr>
      <w:r>
        <w:t>13</w:t>
      </w:r>
      <w:r w:rsidR="00DC29FD" w:rsidRPr="00F56501">
        <w:t>.</w:t>
      </w:r>
      <w:r w:rsidR="00DC29FD" w:rsidRPr="00F56501">
        <w:tab/>
        <w:t xml:space="preserve">отбелязва, че пренесените бюджетни кредити от предходната година за 2022 г. възлизат на 10 969 680 EUR (24,4% от окончателния бюджет на Европейската прокуратура за 2022 г.), от които 84,8% са усвоени (9 307 392 EUR), а 15,2% са отменени (спрямо 21,4% през 2022 г.), и отбелязва, че прогнозите сочат друг пренос през 2024 г., в очакване на приключването на резултатите, за бюджетни кредити за плащания (пренесените от 2023 г. към 2024 г. бюджетни кредити възлизат на 9 392 989 EUR); изразява разбиране, че частичната отмяна е следствие от постепенното установяване на административните практики на Европейската прокуратура вследствие на финансовата автономност, която тя постигна през 2021 г.; отбелязва, че пренесените бюджетни кредити, отменени за одобрените бюджети за 2022 г. и 2023 г., не можеха да бъдат използвани със съществуващи или нови договори, нито да бъдат синхронизирани с принципа на </w:t>
      </w:r>
      <w:proofErr w:type="spellStart"/>
      <w:r w:rsidR="00DC29FD" w:rsidRPr="00F56501">
        <w:t>ежегодност</w:t>
      </w:r>
      <w:proofErr w:type="spellEnd"/>
      <w:r w:rsidR="00DC29FD" w:rsidRPr="00F56501">
        <w:t>, докато планирането на съответните разходи, свързани главно с писмени преводи, заседания, командировки и външни изпълнители, не може да бъде точно поради липсата на исторически данни и цифри и поради бързото развитие на организацията; оценява факта, че непрекъснатото укрепване на административния капацитет на Европейската прокуратура постепенно решава тези въпроси и че макар да не може да бъде направена предварително пълна оценка поради естеството на оперативната дейност на Европейската прокуратура, очакваното равнище на отменените бюджетни кредити ще намалее през 2024 г.;</w:t>
      </w:r>
    </w:p>
    <w:p w14:paraId="400DCFFD" w14:textId="77777777" w:rsidR="00DC29FD" w:rsidRPr="00F56501" w:rsidRDefault="008F60AF" w:rsidP="002E5B22">
      <w:pPr>
        <w:widowControl/>
        <w:autoSpaceDE w:val="0"/>
        <w:autoSpaceDN w:val="0"/>
        <w:adjustRightInd w:val="0"/>
        <w:spacing w:after="240"/>
        <w:ind w:left="567" w:hanging="567"/>
        <w:rPr>
          <w:szCs w:val="24"/>
        </w:rPr>
      </w:pPr>
      <w:r>
        <w:t>14</w:t>
      </w:r>
      <w:r w:rsidR="00DC29FD" w:rsidRPr="00F56501">
        <w:t>.</w:t>
      </w:r>
      <w:r w:rsidR="00DC29FD" w:rsidRPr="00F56501">
        <w:tab/>
        <w:t>отбелязва, че през 2023 г. европейският главен прокурор е приел два бюджетни трансфера по предложение на административния директор и че Колегията е бил уведомена за тях за сведение, на обща стойност, прехвърлена между дялове, в размер на 1,2 милиона евро;</w:t>
      </w:r>
    </w:p>
    <w:p w14:paraId="6CF0FD0A" w14:textId="77777777" w:rsidR="00DC29FD" w:rsidRPr="00F56501" w:rsidRDefault="008F60AF" w:rsidP="002E5B22">
      <w:pPr>
        <w:widowControl/>
        <w:autoSpaceDE w:val="0"/>
        <w:autoSpaceDN w:val="0"/>
        <w:adjustRightInd w:val="0"/>
        <w:spacing w:after="240"/>
        <w:ind w:left="567" w:hanging="567"/>
        <w:rPr>
          <w:szCs w:val="24"/>
        </w:rPr>
      </w:pPr>
      <w:r>
        <w:t>15</w:t>
      </w:r>
      <w:r w:rsidR="00DC29FD" w:rsidRPr="00F56501">
        <w:t>.</w:t>
      </w:r>
      <w:r w:rsidR="00DC29FD" w:rsidRPr="00F56501">
        <w:tab/>
        <w:t>признава необходимостта от подходяща бюджетна гъвкавост, за да се отговори на неочаквани оперативни потребности, като например войната в Украйна през 2023 г., инфлационния натиск или други глобални предизвикателства, и изразява разбиране, че Европейската прокуратура е използвала възможностите съгласно своите Финансови правила чрез своевременно преразпределяне на бюджетни кредити чрез изменения на бюджета (едно през юни и едно през ноември) и чрез бюджетни трансфери (един през септември и един през декември);</w:t>
      </w:r>
    </w:p>
    <w:p w14:paraId="74286A8E" w14:textId="77777777" w:rsidR="00DC29FD" w:rsidRPr="00F56501" w:rsidRDefault="008F60AF" w:rsidP="002E5B22">
      <w:pPr>
        <w:widowControl/>
        <w:autoSpaceDE w:val="0"/>
        <w:autoSpaceDN w:val="0"/>
        <w:adjustRightInd w:val="0"/>
        <w:spacing w:after="240"/>
        <w:ind w:left="567" w:hanging="567"/>
        <w:rPr>
          <w:szCs w:val="24"/>
        </w:rPr>
      </w:pPr>
      <w:r>
        <w:lastRenderedPageBreak/>
        <w:t>16</w:t>
      </w:r>
      <w:r w:rsidR="00DC29FD" w:rsidRPr="00F56501">
        <w:t>.</w:t>
      </w:r>
      <w:r w:rsidR="00DC29FD" w:rsidRPr="00F56501">
        <w:tab/>
        <w:t>отново изразява своята забележка относно неактуалната законодателна финансова обосновка от 2017 г., за която се счита, че вече не е подходяща за целта поради значително подценена работна натовареност; припомня предишната си резолюция, в която се подчертава, че липсата на средносрочен бюджетен преглед задължава Европейската прокуратура да изчака самия край на процеса на приемане на бюджета, за да има яснота относно равнището на ресурсите, които може да използва през следващата година, и ограничава капацитета на Европейската прокуратура да предвижда подготвителните дейности по изпълнението на бюджета, както и възможностите, които следва да бъдат предоставени, за да се постигне максимална гъвкавост при разработването на организационна инфраструктура за толкова иновативен проект, какъвто е проектът за Европейската прокуратура; отбелязва, че това по-специално засяга ранното започване на набирането на персонал, като, наред с другото, забавя напредъка към пълно заемане на длъжностите и цялостния капацитет на Европейската прокуратура за усвояване;</w:t>
      </w:r>
    </w:p>
    <w:p w14:paraId="4D8CC897" w14:textId="77777777" w:rsidR="00DC29FD" w:rsidRPr="00F56501" w:rsidRDefault="008F60AF" w:rsidP="002E5B22">
      <w:pPr>
        <w:pStyle w:val="NormalHanging12a"/>
        <w:widowControl/>
      </w:pPr>
      <w:r>
        <w:t>17</w:t>
      </w:r>
      <w:r w:rsidR="00DC29FD" w:rsidRPr="00F56501">
        <w:t>.</w:t>
      </w:r>
      <w:r w:rsidR="00DC29FD" w:rsidRPr="00F56501">
        <w:tab/>
        <w:t>продължава да счита, че разпределените на Европейската прокуратура бюджетни и човешки ресурси следва да бъдат достатъчни, за да позволят ефективното и успешно изпълнение на нейния мандат и нормалното протичане на съответните административни процедури; отново призовава Комисията да преразгледа бюджетната рамка на Европейската прокуратура в тясно сътрудничество с Европейската прокуратура, за да намери подходящи начини да я подкрепи в нейната работа; призовава Комисията да отпусне допълнителни ресурси, обосновани от нарастващия брой сложни случаи, и подчертава, че те не следва да зависят от преразглеждането на Регламент (ЕС) 2017/1939 и на мандата на Европейската прокуратура, а следва да зависят от важността на борбата с организираната престъпност и защитата на финансовите интереси на ЕС в следващата многогодишна финансова рамка;</w:t>
      </w:r>
    </w:p>
    <w:p w14:paraId="2CF81E33" w14:textId="77777777" w:rsidR="00DC29FD" w:rsidRPr="00F56501" w:rsidRDefault="008F60AF" w:rsidP="002E5B22">
      <w:pPr>
        <w:pStyle w:val="NormalHanging12a"/>
        <w:widowControl/>
      </w:pPr>
      <w:r>
        <w:t>18</w:t>
      </w:r>
      <w:r w:rsidR="00DC29FD" w:rsidRPr="00F56501">
        <w:t>.</w:t>
      </w:r>
      <w:r w:rsidR="00DC29FD" w:rsidRPr="00F56501">
        <w:tab/>
        <w:t>подчертава, че дейностите на Европейската прокуратура допринасят за защитата на финансовите интереси на Съюза и че се очаква те да способстват за възстановяването на отпуснати от бюджета на Съюза суми, които не са били използвани по предназначение поради престъпни дейности; счита, че сумите, произтичащи от мерките за изземване и конфискация на имущество, приети от европейските делегирани прокурори в държавите членки, биха могли да постъпят обратно в бюджета на Съюза в съответствие с член 38 от Регламент (ЕС) 2017/1939 след приспадане на разходите, направени от органите на държавите членки във връзка с прилагането на тези мерки; счита, че потенциалните приходи, произтичащи от мерките за изземване и конфискация, следва да се отчитат в бюджета на Съюза като нецелеви приходи; призовава Комисията да постигне необходимите договорености със съответните национални органи, за да могат тези суми да бъдат включени в бюджета на Съюза;</w:t>
      </w:r>
    </w:p>
    <w:p w14:paraId="45AB6018" w14:textId="77777777" w:rsidR="00DC29FD" w:rsidRPr="00F56501" w:rsidRDefault="008F60AF" w:rsidP="002E5B22">
      <w:pPr>
        <w:pStyle w:val="NormalHanging12a"/>
        <w:widowControl/>
      </w:pPr>
      <w:r>
        <w:t>19</w:t>
      </w:r>
      <w:r w:rsidR="00DC29FD" w:rsidRPr="00F56501">
        <w:t>.</w:t>
      </w:r>
      <w:r w:rsidR="00DC29FD" w:rsidRPr="00F56501">
        <w:tab/>
        <w:t xml:space="preserve">признава, че Европейската прокуратура ясно допринася за европейска добавена стойност по отношение на координацията и сътрудничеството с държавите членки при разследването и наказателното преследване на престъпления срещу финансовите интереси на Съюза и че в това отношение Европейската прокуратура постига целите, определени в Регламент (ЕС) 2017/1939; очаква държавите членки да спазват правните си задължения и да докладват на Европейската прокуратура за всички съответни случаи; отбелязва със загриженост, че в няколко случая държави членки обявяват за дела от национална компетентност престъпления, </w:t>
      </w:r>
      <w:r w:rsidR="00DC29FD" w:rsidRPr="00F56501">
        <w:lastRenderedPageBreak/>
        <w:t>засягащи финансовите интереси на Съюза, които са от компетентността на Европейската прокуратура; отбелязва, че по няколко дела в няколко държави бяха повдигнати въпроси относно разпределянето на компетентността между националните органи и европейските делегирани прокурори; е наясно, че съгласно член 25, параграф 6 от Регламент (ЕС) 2017/1939 случаите, в които има спор относно правомощията на Европейската прокуратура, се решават от същия национален съдебен орган, който отговаря за определянето на компетентния орган за наказателно преследване на национално равнище; изразява съжаление, че в много участващи държави членки действащите процедури и националните органи, на които е възложено вземането на решения по такива случаи на спорове за компетентност, не са определени в съответствие с Регламент (ЕС) 2017/1939; подчертава, че в случаи, когато има спорове за компетентност между Европейската прокуратура и национален орган на прокуратурата, националният орган, компетентен да взема решения относно разпределянето на компетентността, би могъл да стигне до заключение, че без да поиска преюдициално заключение от Съда на Европейския съюз, би могъл вместо това да вземе решение, което е обвързващо за Европейската прокуратура, и изтъква, че това е в противоречие с духа на Регламент (ЕС) 2017/1939, в който се предвижда, че Съдът на Европейския съюз в съответствие с член 267 от ДФЕС е компетентен да се произнася с преюдициално заключение относно тълкуването на разпоредбата относно споровете за компетентност между Европейската прокуратура и националните органи; счита, че в настоящото положение липсва правна яснота; насърчава всички държави членки да си сътрудничат по-тясно с Европейската прокуратура; подчертава, че компетентността на Европейската прокуратура е ясно очертана в член 22, параграфи 1 и 2 и в член 23 от Регламент (ЕС) 2017/1939 и че всички държави членки следва да спазват този регламент; отбелязва, че когато държавите членки имат съмнения относно компетентността на Европейската прокуратура по конкретен случай, съществува възможност за отправяне на преюдициално запитване до Съда на Европейския съюз за издаване на преюдициално заключение съгласно член 267 от ДФЕС и член 42, параграф 2, буква в) от Регламент (ЕС) 2017/1939; настоятелно призовава Комисията в случай на нарушение на Регламент (ЕС) 2017/1939 да сезира Съда на Европейския съюз; отбелязва със загриженост, че въпросът за компетентността може да доведе до спиране на разследването; изразява загриженост относно потенциалната загуба на доказателства, когато делата са спрени; призовава Комисията да събере информация относно случаите на спорове за компетентност, която да бъде включена в доклада за оценка, който ще бъде представен през 2026 г.;</w:t>
      </w:r>
    </w:p>
    <w:p w14:paraId="5A926331" w14:textId="77777777" w:rsidR="00DC29FD" w:rsidRPr="00F56501" w:rsidRDefault="008F60AF" w:rsidP="002E5B22">
      <w:pPr>
        <w:widowControl/>
        <w:spacing w:after="240"/>
        <w:ind w:left="567" w:hanging="567"/>
        <w:rPr>
          <w:szCs w:val="24"/>
        </w:rPr>
      </w:pPr>
      <w:r>
        <w:t>20</w:t>
      </w:r>
      <w:r w:rsidR="00DC29FD" w:rsidRPr="00F56501">
        <w:t>.</w:t>
      </w:r>
      <w:r w:rsidR="00DC29FD" w:rsidRPr="00F56501">
        <w:tab/>
        <w:t>отново заявява, че е необходимо да се създадат условия за правилното прилагане на член 91, параграф 6 от Регламент (ЕС) 2017/1939 и подчертава, че специфичните характеристики на разходите за наказателно преследване и разследване, включително изключителните случаи на оперативни разходи на Европейската прокуратура, уредени от същата разпоредба, трябва да бъдат взети предвид; изразява разбиране, че през 2023 г. беше подписано първото пилотно рамково споразумение за финансиране с цел възстановяване на разходи по искания, подадени съгласно член 91, параграф 6 от Регламент (ЕС) 2017/1939, за да се обхванат изключително скъпоструващи мерки по разследване, провеждани на национално равнище от името на Европейската прокуратура; оценява факта, че съответното плащане е одитирано от Палатата по време на одита от 2023 г. и беше счетено за законосъобразно и редовно;</w:t>
      </w:r>
    </w:p>
    <w:p w14:paraId="3CF42CE9" w14:textId="77777777" w:rsidR="00DC29FD" w:rsidRPr="00F56501" w:rsidRDefault="00DC29FD" w:rsidP="002E5B22">
      <w:pPr>
        <w:widowControl/>
        <w:spacing w:after="240"/>
        <w:ind w:left="567" w:hanging="567"/>
        <w:rPr>
          <w:b/>
          <w:i/>
          <w:szCs w:val="24"/>
        </w:rPr>
      </w:pPr>
      <w:r w:rsidRPr="00F56501">
        <w:rPr>
          <w:b/>
          <w:i/>
        </w:rPr>
        <w:lastRenderedPageBreak/>
        <w:t>Вътрешно управление, резултати от дейността и вътрешен контрол</w:t>
      </w:r>
    </w:p>
    <w:p w14:paraId="7E6BC5E0" w14:textId="77777777" w:rsidR="00DC29FD" w:rsidRPr="00F56501" w:rsidRDefault="008F60AF" w:rsidP="002E5B22">
      <w:pPr>
        <w:pStyle w:val="NormalHanging12a"/>
        <w:widowControl/>
      </w:pPr>
      <w:r>
        <w:t>21</w:t>
      </w:r>
      <w:r w:rsidR="00DC29FD" w:rsidRPr="00F56501">
        <w:t>.</w:t>
      </w:r>
      <w:r w:rsidR="00DC29FD" w:rsidRPr="00F56501">
        <w:tab/>
        <w:t>приветства това, че през 2023 г. Колегията е заседавала 22 пъти и е приела 73 решения, сред които стратегията за борба с измамите за периода 2023—2025 г., политиката за борба с тормоза за служителите и за членовете на Колегията или европейските делегирани прокурори;</w:t>
      </w:r>
    </w:p>
    <w:p w14:paraId="07931D69" w14:textId="77777777" w:rsidR="00DC29FD" w:rsidRPr="00F56501" w:rsidRDefault="008F60AF" w:rsidP="002E5B22">
      <w:pPr>
        <w:pStyle w:val="Default"/>
        <w:spacing w:after="240"/>
        <w:ind w:left="567" w:hanging="567"/>
        <w:rPr>
          <w:rFonts w:ascii="Times New Roman" w:hAnsi="Times New Roman" w:cs="Times New Roman"/>
          <w:color w:val="auto"/>
        </w:rPr>
      </w:pPr>
      <w:r>
        <w:rPr>
          <w:rFonts w:ascii="Times New Roman" w:hAnsi="Times New Roman"/>
          <w:color w:val="auto"/>
        </w:rPr>
        <w:t>22</w:t>
      </w:r>
      <w:r w:rsidR="00DC29FD" w:rsidRPr="00F56501">
        <w:rPr>
          <w:rFonts w:ascii="Times New Roman" w:hAnsi="Times New Roman"/>
          <w:color w:val="auto"/>
        </w:rPr>
        <w:t>.</w:t>
      </w:r>
      <w:r w:rsidR="00DC29FD" w:rsidRPr="00F56501">
        <w:rPr>
          <w:rFonts w:ascii="Times New Roman" w:hAnsi="Times New Roman"/>
          <w:color w:val="auto"/>
        </w:rPr>
        <w:tab/>
        <w:t>потвърждава, че Европейската прокуратура е продължила усилията си за въвеждане на система за наблюдение на повишаването на ефективността и икономиите на разходи, и отбелязва, че през 2023 г. е започнала преглед на процесите на стратегическо и оперативно планиране и наблюдение на бюджета и дейностите, както и на процесите на набиране на служители, с цел бързо повишаване на скоростта и придобитите компетентности; посочва, че като цяло действащите системи за вътрешен контрол са ефективни;</w:t>
      </w:r>
    </w:p>
    <w:p w14:paraId="31DC0283" w14:textId="77777777" w:rsidR="00DC29FD" w:rsidRPr="00F56501" w:rsidRDefault="008F60AF" w:rsidP="002E5B22">
      <w:pPr>
        <w:pStyle w:val="Default"/>
        <w:spacing w:after="240"/>
        <w:ind w:left="567" w:hanging="567"/>
        <w:rPr>
          <w:rFonts w:ascii="Times New Roman" w:hAnsi="Times New Roman" w:cs="Times New Roman"/>
          <w:color w:val="auto"/>
        </w:rPr>
      </w:pPr>
      <w:r>
        <w:rPr>
          <w:rFonts w:ascii="Times New Roman" w:hAnsi="Times New Roman"/>
          <w:color w:val="auto"/>
        </w:rPr>
        <w:t>23</w:t>
      </w:r>
      <w:r w:rsidR="00DC29FD" w:rsidRPr="00F56501">
        <w:rPr>
          <w:rFonts w:ascii="Times New Roman" w:hAnsi="Times New Roman"/>
          <w:color w:val="auto"/>
        </w:rPr>
        <w:t>.</w:t>
      </w:r>
      <w:r w:rsidR="00DC29FD" w:rsidRPr="00F56501">
        <w:rPr>
          <w:rFonts w:ascii="Times New Roman" w:hAnsi="Times New Roman"/>
          <w:color w:val="auto"/>
        </w:rPr>
        <w:tab/>
        <w:t>отбелязва, че за да доразвие рамката на Европейската прокуратура за получаване на увереност, през 2023 г. вътрешният одитор на Европейската прокуратура по неоперативни въпроси (Служба за вътрешен одит (IAS) започна ограничен преглед на градивните елементи на Европейската прокуратура за получаване на увереност; счита, че този ангажимент, който се предвижда да бъде завършен през 2024 г., ще предостави препоръки за изграждане на по-силен капацитет на разпоредителя с бюджетни кредити за издаване на надеждна декларация за достоверност;</w:t>
      </w:r>
    </w:p>
    <w:p w14:paraId="60592C5C" w14:textId="77777777" w:rsidR="00DC29FD" w:rsidRPr="00F56501" w:rsidRDefault="008F60AF" w:rsidP="002E5B22">
      <w:pPr>
        <w:pStyle w:val="Default"/>
        <w:spacing w:after="240"/>
        <w:ind w:left="567" w:hanging="567"/>
        <w:rPr>
          <w:rFonts w:ascii="Times New Roman" w:hAnsi="Times New Roman" w:cs="Times New Roman"/>
          <w:color w:val="auto"/>
        </w:rPr>
      </w:pPr>
      <w:r>
        <w:rPr>
          <w:rFonts w:ascii="Times New Roman" w:hAnsi="Times New Roman"/>
          <w:color w:val="auto"/>
        </w:rPr>
        <w:t>24</w:t>
      </w:r>
      <w:r w:rsidR="00DC29FD" w:rsidRPr="00F56501">
        <w:rPr>
          <w:rFonts w:ascii="Times New Roman" w:hAnsi="Times New Roman"/>
          <w:color w:val="auto"/>
        </w:rPr>
        <w:t>.</w:t>
      </w:r>
      <w:r w:rsidR="00DC29FD" w:rsidRPr="00F56501">
        <w:rPr>
          <w:rFonts w:ascii="Times New Roman" w:hAnsi="Times New Roman"/>
          <w:color w:val="auto"/>
        </w:rPr>
        <w:tab/>
        <w:t>приветства сравнителния анализ, извършен от Структурата за вътрешен одит (IAC) чрез сравняване на използваните човешки ресурси на Европейската прокуратура с набор от други структури на Съюза и национални прокуратури спрямо стандартизиран набор от стълбове, който включва административна подкрепа и оперативни дейности; отбелязва, че през 2023 г. Структурата за вътрешен одит е тествала вътрешната надзорна среда и е провела първия вътрешен одит като анализ на работната среда и вътрешния контрол в децентрализирания офис на Европейската прокуратура в София, България;</w:t>
      </w:r>
    </w:p>
    <w:p w14:paraId="5807BE48" w14:textId="77777777" w:rsidR="00DC29FD" w:rsidRPr="00F56501" w:rsidRDefault="008F60AF" w:rsidP="002E5B22">
      <w:pPr>
        <w:pStyle w:val="Default"/>
        <w:autoSpaceDE/>
        <w:adjustRightInd/>
        <w:spacing w:after="240"/>
        <w:ind w:left="567" w:hanging="567"/>
        <w:rPr>
          <w:rFonts w:ascii="Times New Roman" w:hAnsi="Times New Roman" w:cs="Times New Roman"/>
          <w:bCs/>
          <w:color w:val="auto"/>
        </w:rPr>
      </w:pPr>
      <w:r>
        <w:rPr>
          <w:rFonts w:ascii="Times New Roman" w:hAnsi="Times New Roman"/>
          <w:color w:val="auto"/>
        </w:rPr>
        <w:t>25</w:t>
      </w:r>
      <w:r w:rsidR="00DC29FD" w:rsidRPr="00F56501">
        <w:rPr>
          <w:rFonts w:ascii="Times New Roman" w:hAnsi="Times New Roman"/>
          <w:color w:val="auto"/>
        </w:rPr>
        <w:t>.</w:t>
      </w:r>
      <w:r w:rsidR="00DC29FD" w:rsidRPr="00F56501">
        <w:rPr>
          <w:rFonts w:ascii="Times New Roman" w:hAnsi="Times New Roman"/>
          <w:color w:val="auto"/>
        </w:rPr>
        <w:tab/>
        <w:t>изтъква отново, че Службата за вътрешен одит (IAS) и Структурата за вътрешен одит (IAC) следва да координират своите действия с цел консултиране и подпомагане на Европейската прокуратура при установяването на нейните основни процеси и постигането на нейните цели;</w:t>
      </w:r>
    </w:p>
    <w:p w14:paraId="3C1BA979" w14:textId="77777777" w:rsidR="00DC29FD" w:rsidRPr="00F56501" w:rsidRDefault="008F60AF" w:rsidP="002E5B22">
      <w:pPr>
        <w:widowControl/>
        <w:autoSpaceDE w:val="0"/>
        <w:autoSpaceDN w:val="0"/>
        <w:adjustRightInd w:val="0"/>
        <w:spacing w:after="240"/>
        <w:ind w:left="567" w:hanging="567"/>
        <w:rPr>
          <w:szCs w:val="24"/>
        </w:rPr>
      </w:pPr>
      <w:r>
        <w:t>26</w:t>
      </w:r>
      <w:r w:rsidR="00DC29FD" w:rsidRPr="00F56501">
        <w:t>.</w:t>
      </w:r>
      <w:r w:rsidR="00DC29FD" w:rsidRPr="00F56501">
        <w:tab/>
        <w:t>отбелязва, че Европейската прокуратура е разработила свой собствен капацитет за закупуване, произтичащ от провежданите от нея специфични процедури за възлагане на обществени поръчки, започнати през 2023 г., и управлява свои собствени конкретни договори и формуляри за поръчки в изпълнение на съществуващите рамкови договори, подписани през 2023 г.; отбелязва, че Европейската прокуратура продължава успоредно да използва своя капацитет за закупуване чрез споразумения за нивото на обслужване с други институции, органи, служби и агенции на Съюза, както и чрез присъединяване към междуинституционални договори с различни пазарни оператори;</w:t>
      </w:r>
    </w:p>
    <w:p w14:paraId="0C414E38" w14:textId="77777777" w:rsidR="00DC29FD" w:rsidRPr="00F56501" w:rsidRDefault="008F60AF" w:rsidP="002E5B22">
      <w:pPr>
        <w:widowControl/>
        <w:autoSpaceDE w:val="0"/>
        <w:autoSpaceDN w:val="0"/>
        <w:adjustRightInd w:val="0"/>
        <w:spacing w:after="240"/>
        <w:ind w:left="567" w:hanging="567"/>
        <w:rPr>
          <w:szCs w:val="24"/>
        </w:rPr>
      </w:pPr>
      <w:r>
        <w:t>27</w:t>
      </w:r>
      <w:r w:rsidR="00DC29FD" w:rsidRPr="00F56501">
        <w:t>.</w:t>
      </w:r>
      <w:r w:rsidR="00DC29FD" w:rsidRPr="00F56501">
        <w:tab/>
        <w:t>е наясно, че през 2023 г. административният директор е определил минималните стандарти (критерии за оценка) за всеки от 17</w:t>
      </w:r>
      <w:r w:rsidR="00DC29FD" w:rsidRPr="00F56501">
        <w:noBreakHyphen/>
        <w:t xml:space="preserve">те принципа за вътрешен контрол, основани на интегрираната рамка за контрол COSO 2013 и установени от Рамката </w:t>
      </w:r>
      <w:r w:rsidR="00DC29FD" w:rsidRPr="00F56501">
        <w:lastRenderedPageBreak/>
        <w:t>за вътрешен контрол на Европейската прокуратура (РВК) като градивни елементи на системата за вътрешен контрол на Европейската прокуратура; отбелязва, че от 72 критерия за съответствие 51 се считат за изпълнени, докато за 20 критерия са налице някои елементи, но е желателно по-нататъшно развитие, и че само за един критерий не е отбелязано значително изпълнение; оценява факта, че след приемането ѝ от Колегията през март 2021 г. 71% от приетата оценка на РВК са успешно изпълнени, като е необходимо да се положат допълнителни усилия за пълното прилагане на останалите 29%;</w:t>
      </w:r>
    </w:p>
    <w:p w14:paraId="406263DB" w14:textId="77777777" w:rsidR="00DC29FD" w:rsidRPr="00F56501" w:rsidRDefault="008F60AF" w:rsidP="002E5B22">
      <w:pPr>
        <w:pStyle w:val="NormalHanging12a"/>
        <w:widowControl/>
      </w:pPr>
      <w:r>
        <w:t>28</w:t>
      </w:r>
      <w:r w:rsidR="00DC29FD" w:rsidRPr="00F56501">
        <w:t>.</w:t>
      </w:r>
      <w:r w:rsidR="00DC29FD" w:rsidRPr="00F56501">
        <w:tab/>
        <w:t>приветства това, че на 1 март 2023 г. беше приета актуализирана версия на стратегията на Европейската прокуратура за борба с измамите за периода 2023—2025 г., в която се определят целите за борба с измамите на всички равнища на организацията във връзка със специален план за действие, който е част от средата за вътрешен контрол на Европейската прокуратура и се наблюдава редовно; оценява годишния преглед на плана за действие на стратегията за борба с измамите от страна на служителя за вътрешен контрол на Европейската прокуратура, който докладва резултатите от този преглед на административния директор;</w:t>
      </w:r>
    </w:p>
    <w:p w14:paraId="199D942A" w14:textId="77777777" w:rsidR="00DC29FD" w:rsidRPr="00F56501" w:rsidRDefault="008F60AF" w:rsidP="002E5B22">
      <w:pPr>
        <w:pStyle w:val="NormalHanging12a"/>
        <w:widowControl/>
      </w:pPr>
      <w:r>
        <w:t>29</w:t>
      </w:r>
      <w:r w:rsidR="00DC29FD" w:rsidRPr="00F56501">
        <w:t>.</w:t>
      </w:r>
      <w:r w:rsidR="00DC29FD" w:rsidRPr="00F56501">
        <w:tab/>
        <w:t>съзнава, че в съответствие със своите финансови правила Европейската прокуратура гарантира адекватно равнище на финансовите операции и процедурите за възлагане на обществени поръчки чрез последващи проверки на финансовите операции (плащания, поети задължения и нареждания за събиране на вземания) и на процедурите за възлагане на обществени поръчки за периода от 1 януари до 31 декември 2023 г.;</w:t>
      </w:r>
    </w:p>
    <w:p w14:paraId="4D49CD4C" w14:textId="77777777" w:rsidR="00DC29FD" w:rsidRPr="00F56501" w:rsidRDefault="008F60AF" w:rsidP="002E5B22">
      <w:pPr>
        <w:pStyle w:val="NormalHanging12a"/>
        <w:widowControl/>
      </w:pPr>
      <w:r>
        <w:t>30</w:t>
      </w:r>
      <w:r w:rsidR="00DC29FD" w:rsidRPr="00F56501">
        <w:t>.</w:t>
      </w:r>
      <w:r w:rsidR="00DC29FD" w:rsidRPr="00F56501">
        <w:tab/>
        <w:t>отбелязва увеличаването на докладите за престъпления, представени на Европейската прокуратура (4 187 през 2023 г. в сравнение с 3318 през 2022 г. и 2832 през 2021 г.), и в резултат на това увеличението на неприключените разследвания (1371 през 2023 г. в сравнение с 865 през 2022 г. и 567 през 2021 г.) и на оценката на щетите (19,27 милиарда евро през 2023 г. в сравнение с 14,1 милиарда евро през 2022 г. и 5,4 милиарда евро през 2021 г.); отбелязва, че докладите от частни субекти (2494, което е с 29% повече в сравнение с 2022 г.) и от национални органи (1562, което е с 24% повече, отколкото през 2022 г.) представляват най-големият дял от получените оперативни данни, като в същото време изразява съжаление, че докладите от други институции, органи, служби и агенции на Съюза остават много малко (108), което показва, че от тяхна страна не е постигнато значително подобрение по отношение на разкриването и докладването; отбелязва, че броят на повдигнатите обвинения (139 през 2023 г. в сравнение с 87 през 2022 г. и 5 през 2021 г.), заедно с решенията за обезпечаване, получени от Европейската прокуратура (на стойност 1,5 милиарда евро в сравнение с 359,1 милиона евро през 2022 г. и 147 милиона евро през 2021 г.), са показателни за нарастващото равнище на ефективност на Европейската прокуратура;</w:t>
      </w:r>
    </w:p>
    <w:p w14:paraId="2355C5BC" w14:textId="77777777" w:rsidR="00DC29FD" w:rsidRPr="00F56501" w:rsidRDefault="008F60AF" w:rsidP="002E5B22">
      <w:pPr>
        <w:widowControl/>
        <w:autoSpaceDE w:val="0"/>
        <w:autoSpaceDN w:val="0"/>
        <w:adjustRightInd w:val="0"/>
        <w:spacing w:after="240"/>
        <w:ind w:left="567" w:hanging="567"/>
      </w:pPr>
      <w:r>
        <w:t>31</w:t>
      </w:r>
      <w:r w:rsidR="00DC29FD" w:rsidRPr="00F56501">
        <w:t>.</w:t>
      </w:r>
      <w:r w:rsidR="00DC29FD" w:rsidRPr="00F56501">
        <w:tab/>
        <w:t xml:space="preserve">отбелязва, че в сравнение с 2022 г. работната натовареност на Европейската прокуратура почти се е удвоила през 2023 г., достигайки до 1 927 активни разследвания; приветства плодотворните дейности на Европейската прокуратура през 2023 г., които включваха 139 обвинения, 339 свързани с ДДС случаи и над 200 разследвания относно изпълнението на </w:t>
      </w:r>
      <w:proofErr w:type="spellStart"/>
      <w:r w:rsidR="00DC29FD" w:rsidRPr="00F56501">
        <w:t>NextGenerationEU</w:t>
      </w:r>
      <w:proofErr w:type="spellEnd"/>
      <w:r w:rsidR="00DC29FD" w:rsidRPr="00F56501">
        <w:t xml:space="preserve">; отбелязва освен това, че Европейската прокуратура е започнала да изправя пред националните </w:t>
      </w:r>
      <w:r w:rsidR="00DC29FD" w:rsidRPr="00F56501">
        <w:lastRenderedPageBreak/>
        <w:t>съдилища по-голям брой извършители на измами във връзка със средства на Съюза;</w:t>
      </w:r>
    </w:p>
    <w:p w14:paraId="2C8F9111" w14:textId="77777777" w:rsidR="00DC29FD" w:rsidRPr="00F56501" w:rsidRDefault="008F60AF" w:rsidP="002E5B22">
      <w:pPr>
        <w:pStyle w:val="NormalHanging12a"/>
        <w:widowControl/>
        <w:rPr>
          <w:szCs w:val="24"/>
        </w:rPr>
      </w:pPr>
      <w:r>
        <w:t>32</w:t>
      </w:r>
      <w:r w:rsidR="00DC29FD" w:rsidRPr="00F56501">
        <w:t>.</w:t>
      </w:r>
      <w:r w:rsidR="00DC29FD" w:rsidRPr="00F56501">
        <w:tab/>
        <w:t>отбелязва, че през 2023 г. 48 дела са приключени със съдебна присъда (в сравнение с 20 дела през 2022 г.), и че конфискуваната сума е в размер на 60 милиона евро (в сравнение с 2 милиона евро през 2021 г.); подчертава, че е важно систематично докладване относно последващите действия по тези дела по отношение на приетите финансови мерки (конфискация и възстановяване), за да се осигури по-ясно разбиране на въздействието на действията на Европейската прокуратура; приветства действията, предприети от Европейската прокуратура и Комисията за рационализиране на техните съобщения и за привеждането им в съответствие с потребностите от евентуални административни процедури за приемането на мерки за възстановяване на средства в бюджета на Съюза, засегнати от финансови престъпления; отново призовава Комисията да подпомага Европейската прокуратура в дейностите по наблюдение и последващи действия по такъв начин, че ограничените ресурси на Европейската прокуратура да не бъдат отклонявани от нейните задачи по разследване и наказателно преследване; насърчава Европейската прокуратура, когато е възможно и целесъобразно, да се ангажира с по-добро сътрудничество с други компоненти на архитектурата на Съюза за борба с измамите, като Евроюст и Европол, или като използва — чрез OLAF — координационните служби за борба с измамите, създадени в държавите членки, за наблюдение на резултатите от нейните разследвания;</w:t>
      </w:r>
    </w:p>
    <w:p w14:paraId="1ABD15DD" w14:textId="77777777" w:rsidR="00DC29FD" w:rsidRPr="00F56501" w:rsidRDefault="008F60AF" w:rsidP="002E5B22">
      <w:pPr>
        <w:widowControl/>
        <w:autoSpaceDE w:val="0"/>
        <w:autoSpaceDN w:val="0"/>
        <w:adjustRightInd w:val="0"/>
        <w:spacing w:after="240"/>
        <w:ind w:left="567" w:hanging="567"/>
      </w:pPr>
      <w:r>
        <w:t>33</w:t>
      </w:r>
      <w:r w:rsidR="00DC29FD" w:rsidRPr="00F56501">
        <w:t>.</w:t>
      </w:r>
      <w:r w:rsidR="00DC29FD" w:rsidRPr="00F56501">
        <w:tab/>
        <w:t>подчертава съществената роля на отнемането на незаконно придобито имущество за създаването на надежден възпиращ фактор по отношение на организираната престъпност; приветства участието на Европейската прокуратура в международни мрежи за по-нататъшно развитие на нейните операции по отнемане на незаконно придобито имущество; подчертава необходимостта Комисията да покани Европейската прокуратура да участва в новосъздадената мрежа за сътрудничество в областта на отнемането и конфискацията на незаконно придобито имущество; отбелязва, че навременното и ефективно разследване и наказателно преследване на престъпления, свързани с измами, може да доведе до значителни икономии за бюджета на Съюза и за бюджетите на държавите членки;</w:t>
      </w:r>
    </w:p>
    <w:p w14:paraId="62FC8D35" w14:textId="77777777" w:rsidR="00DC29FD" w:rsidRPr="00F56501" w:rsidRDefault="008F60AF" w:rsidP="002E5B22">
      <w:pPr>
        <w:pStyle w:val="NormalHanging12a"/>
        <w:widowControl/>
        <w:rPr>
          <w:szCs w:val="24"/>
        </w:rPr>
      </w:pPr>
      <w:r>
        <w:t>34</w:t>
      </w:r>
      <w:r w:rsidR="00DC29FD" w:rsidRPr="00F56501">
        <w:t>.</w:t>
      </w:r>
      <w:r w:rsidR="00DC29FD" w:rsidRPr="00F56501">
        <w:tab/>
        <w:t xml:space="preserve">изразява загриженост относно нарастващия брой разследвания на Европейската прокуратура относно изпълнението на плановете за възстановяване и устойчивост (ПВУ) (в края на 2023 г. е имало 233 разследвания в сравнение с 15 разследвания в края на 2022 г.) и съответните прогнозни финансови щети по тези случаи (1,86 милиарда евро); изразява особена загриженост, че въпреки големия брой разследвания понастоящем държавите членки не са задължени да докладват на Комисията случаите във връзка с МВУ чрез Системата за управление на нередностите; припомня задължението за докладване на Европейската прокуратура за всички случаи на измами, засягащи МВУ, и подчертава, че тези случаи са от значение и за мерките, свързани със Системата за ранно откриване и отстраняване (EDES); подчертава, че работното натоварване на Европейската прокуратура, първоначално подценено, се е увеличило значително и се очаква да продължи да нараства, особено поради нарастващия брой случаи, свързани с МВУ, и че съответните анализи показват възможно експоненциално нарастване на броя на случаите на измами, корупция, двойно финансиране и конфликти на интереси през следващите години; призовава Европейската прокуратура систематично да анализира и открива модели на измами в държавите членки, в </w:t>
      </w:r>
      <w:r w:rsidR="00DC29FD" w:rsidRPr="00F56501">
        <w:lastRenderedPageBreak/>
        <w:t>които са разкрити множество случаи във връзка с МВУ, и да съобщава тези модели на държавите членки, Комисията и работната група за възстановяване и устойчивост, с цел засилване на превантивните мерки за намаляване на риска от измами; призовава Европейската прокуратура, Комисията и OLAF да си сътрудничат тясно с цел свеждане до минимум, доколкото е възможно, на въздействието на подобно неправомерно поведение с цел измама върху бюджета на Съюза, и с цел гарантиране на постигането на целите на МВУ; припомня призива към Комисията да предостави подходящи насоки на Европейската прокуратура относно начина, по който да подкрепя и улеснява приемането на коригиращите мерки, които следват провежданото от Европейската прокуратура независимо разследване и наказателно преследване на измами, засягащи МВУ, и да информира бюджетния орган относно наличните варианти;</w:t>
      </w:r>
    </w:p>
    <w:p w14:paraId="0DC226DD" w14:textId="77777777" w:rsidR="00DC29FD" w:rsidRPr="00F56501" w:rsidRDefault="008F60AF" w:rsidP="002E5B22">
      <w:pPr>
        <w:widowControl/>
        <w:spacing w:after="240"/>
        <w:ind w:left="567" w:hanging="567"/>
        <w:rPr>
          <w:szCs w:val="24"/>
        </w:rPr>
      </w:pPr>
      <w:r>
        <w:t>35</w:t>
      </w:r>
      <w:r w:rsidR="00DC29FD" w:rsidRPr="00F56501">
        <w:t>.</w:t>
      </w:r>
      <w:r w:rsidR="00DC29FD" w:rsidRPr="00F56501">
        <w:tab/>
        <w:t>изразява разбиране, че Европейската прокуратура е реагирала на призива на Парламента за по-добра система за наблюдение и засилени последващи действия във връзка с разследванията и наказателните преследвания чрез стартиране на проект за цифрови статистически инструменти, който би позволил по-добро използване на данните, които обработва, и развитие на капацитет за стратегически анализ с цел установяване на моделите на измами; споделя становището на Европейската прокуратура, че успехът на тези усилия е пряко свързан с наличните ресурси, и призовава Комисията да вземе предвид тези дейности и свързаните с тях разходи при бъдещите предложения относно Регламент (ЕС) 2017/1939 и относно бюджетните средства;</w:t>
      </w:r>
    </w:p>
    <w:p w14:paraId="6C59A262" w14:textId="77777777" w:rsidR="00DC29FD" w:rsidRPr="00F56501" w:rsidRDefault="008F60AF" w:rsidP="002E5B22">
      <w:pPr>
        <w:widowControl/>
        <w:spacing w:after="240"/>
        <w:ind w:left="567" w:hanging="567"/>
        <w:rPr>
          <w:szCs w:val="24"/>
        </w:rPr>
      </w:pPr>
      <w:r>
        <w:t>36</w:t>
      </w:r>
      <w:r w:rsidR="00DC29FD" w:rsidRPr="00F56501">
        <w:t>.</w:t>
      </w:r>
      <w:r w:rsidR="00DC29FD" w:rsidRPr="00F56501">
        <w:tab/>
        <w:t>оценява усилията на Европейската прокуратура за създаване на ключови показатели за ефективност (КПЕ) както за оперативни, така и за административни дейности с конкретни цели поради специфичния ѝ модел на дейност; поддържа становището, че е необходимо оперативните дейности да включват конкретно посочване на сумите, които са иззети, конфискувани и накрая възстановени на бюджета на Съюза, чиято защита в крайна сметка е основанието за съществуването на архитектурата на Съюза за борба с измамите, чийто важен компонент е Европейската прокуратура; изразява разбиране, че наблюдението и последващите действия, включително докладването относно резултатите от възстановяването на средства, не са от компетентността на Европейската прокуратура и изискват ресурси и специфични прерогативи, които не са част от мисията на Европейската прокуратура; изисква от Комисията да подкрепи Европейската прокуратура при определянето на показатели, свързани с изпълнението на тази основна задача, като подчертава, че една по-добра система за наблюдение и повече данни с добра детайлност и обобщени в клъстер по видове нарушения, сектор на интереси или географска област биха могли да позволят да се направи по-осезаемо въздействието на разследванията на Европейската прокуратура и да се даде възможност за установяване на модели на измами;</w:t>
      </w:r>
    </w:p>
    <w:p w14:paraId="45B768FC" w14:textId="77777777" w:rsidR="00DC29FD" w:rsidRPr="00F56501" w:rsidRDefault="00DC29FD" w:rsidP="002E5B22">
      <w:pPr>
        <w:pStyle w:val="NormalHanging12a"/>
        <w:widowControl/>
        <w:rPr>
          <w:b/>
          <w:i/>
          <w:szCs w:val="24"/>
        </w:rPr>
      </w:pPr>
      <w:r w:rsidRPr="00F56501">
        <w:rPr>
          <w:b/>
          <w:i/>
        </w:rPr>
        <w:t>Човешки ресурси, равенство и благосъстояние на служителите</w:t>
      </w:r>
    </w:p>
    <w:p w14:paraId="28436E3B" w14:textId="77777777" w:rsidR="00DC29FD" w:rsidRPr="00F56501" w:rsidRDefault="008F60AF" w:rsidP="002E5B22">
      <w:pPr>
        <w:widowControl/>
        <w:spacing w:after="240"/>
        <w:ind w:left="567" w:hanging="567"/>
        <w:rPr>
          <w:szCs w:val="24"/>
        </w:rPr>
      </w:pPr>
      <w:r>
        <w:t>37</w:t>
      </w:r>
      <w:r w:rsidR="00DC29FD" w:rsidRPr="00F56501">
        <w:t>.</w:t>
      </w:r>
      <w:r w:rsidR="00DC29FD" w:rsidRPr="00F56501">
        <w:tab/>
        <w:t xml:space="preserve">отбелязва възходящата тенденция по отношение на броя на служителите, който се е увеличил от 58 през 2020 г. на 122 през 2021 г., 217 до края на 2022 г. и на 238 до края на 2023 г.; е наясно, че за 2023 г. Европейската прокуратура е поискала от бюджетния орган премахването на 20 длъжности за договорно наети служители и създаването на 20 длъжности за срочно наети служители, за което тя получи </w:t>
      </w:r>
      <w:r w:rsidR="00DC29FD" w:rsidRPr="00F56501">
        <w:lastRenderedPageBreak/>
        <w:t>разрешение и това беше осъществено от Европейската прокуратура през същата година, в резултат на което общият брой на служителите остава непроменен (248 служители, от които 171 срочно наети служители, 48 договорно наети служители и 29 КНЕ), с различно разпределение на длъжностите (191 срочно наети служители, 28 договорно наети служители и 29 КНЕ); посочва обаче, че вследствие на някои установени слабости в сигурността през май 2023 г. Европейската прокуратура поиска коригиращ бюджет и допълнителни длъжности за подобряване на физическата, информационната и кибернетичната сигурност на централно и децентрализирано равнище и че от поисканите 21 длъжности в областта на сигурността бяха разрешени само осем длъжности (1 AD 9, 4 AD 6 и 3 AST 3) през ноември 2023 г. за допълнителни мерки в областта на сигурността, които бяха финализирани през 2024 г.;</w:t>
      </w:r>
    </w:p>
    <w:p w14:paraId="3DE88960" w14:textId="77777777" w:rsidR="00DC29FD" w:rsidRPr="00F56501" w:rsidRDefault="008F60AF" w:rsidP="002E5B22">
      <w:pPr>
        <w:widowControl/>
        <w:spacing w:after="240"/>
        <w:ind w:left="567" w:hanging="567"/>
      </w:pPr>
      <w:r>
        <w:t>38</w:t>
      </w:r>
      <w:r w:rsidR="00DC29FD" w:rsidRPr="00F56501">
        <w:t>.</w:t>
      </w:r>
      <w:r w:rsidR="00DC29FD" w:rsidRPr="00F56501">
        <w:tab/>
        <w:t>посочва, че през 2023 г. процентът на запълване на длъжностите в централната служба е бил 92,97%, от които 238 са били служители в сравнение с 256 предвидени в бюджета длъжности; отбелязва, че от общо 140 длъжности за европейски делегирани прокурори 130 са били на длъжност в края на 2023 г., а други 10 са встъпили в длъжност в началото на 2024 г., достигайки 100% от степента на запълване на щатните бройки; отбелязва, че Европейската прокуратура е засилила капацитета си за провеждане на навременни и прозрачни процедури за набиране на персонал, като е приключила 24 процедури за подбор през 2023 г., е въвела 45 щатни служители и 8 нови европейски прокурори, а са били назначени 35 нови европейски делегирани прокурори;</w:t>
      </w:r>
    </w:p>
    <w:p w14:paraId="1CEB0DB4" w14:textId="77777777" w:rsidR="00DC29FD" w:rsidRPr="00F56501" w:rsidRDefault="008F60AF" w:rsidP="002E5B22">
      <w:pPr>
        <w:widowControl/>
        <w:spacing w:after="240"/>
        <w:ind w:left="567" w:hanging="567"/>
        <w:rPr>
          <w:bCs/>
          <w:szCs w:val="24"/>
        </w:rPr>
      </w:pPr>
      <w:r>
        <w:t>39</w:t>
      </w:r>
      <w:r w:rsidR="00DC29FD" w:rsidRPr="00F56501">
        <w:t>.</w:t>
      </w:r>
      <w:r w:rsidR="00DC29FD" w:rsidRPr="00F56501">
        <w:tab/>
        <w:t>отбелязва, че към декември 2023 г. текучеството на персонала (срочно наети служители и договорно наети служители) е било 4,62%</w:t>
      </w:r>
      <w:r w:rsidR="00DC29FD" w:rsidRPr="00F56501">
        <w:rPr>
          <w:rStyle w:val="FootnoteReference"/>
          <w:szCs w:val="24"/>
        </w:rPr>
        <w:footnoteReference w:id="15"/>
      </w:r>
      <w:r w:rsidR="00DC29FD" w:rsidRPr="00F56501">
        <w:t>, като са отчетени общо 11 оставки през годината, дължащи се главно на напускане поради преместване на работа в друга институция (четири случая) и с цел заемане на по-висши длъжности, предлагани в други институции на Съюза (седем случая); отбелязва, че основната причина за това текучество е спецификата на пазара на труда в Люксембург, който разполага с много ограничен резерв от таланти и се характеризира с малко предлагане на специализирани умения;</w:t>
      </w:r>
    </w:p>
    <w:p w14:paraId="00798677" w14:textId="77777777" w:rsidR="00DC29FD" w:rsidRPr="00F56501" w:rsidRDefault="008F60AF" w:rsidP="002E5B22">
      <w:pPr>
        <w:widowControl/>
        <w:spacing w:after="240"/>
        <w:ind w:left="567" w:hanging="567"/>
        <w:rPr>
          <w:bCs/>
          <w:szCs w:val="24"/>
        </w:rPr>
      </w:pPr>
      <w:r>
        <w:rPr>
          <w:color w:val="000000" w:themeColor="text1"/>
        </w:rPr>
        <w:t>40</w:t>
      </w:r>
      <w:r w:rsidR="00DC29FD" w:rsidRPr="00F56501">
        <w:rPr>
          <w:color w:val="000000" w:themeColor="text1"/>
        </w:rPr>
        <w:t>.</w:t>
      </w:r>
      <w:r w:rsidR="00DC29FD" w:rsidRPr="00F56501">
        <w:rPr>
          <w:color w:val="000000" w:themeColor="text1"/>
        </w:rPr>
        <w:tab/>
      </w:r>
      <w:r w:rsidR="00DC29FD" w:rsidRPr="00F56501">
        <w:t xml:space="preserve">признава усилията на Комисията да удовлетвори исканията на Европейската прокуратура за допълнителни длъжности; счита, че перспективите за работното натоварване показват, че са необходими допълнителни ресурси, особено като се имат предвид изоставането и допълнителните случаи, свързани с МВУ, и широкообхватните измами с ДДС, както и като се има предвид, че се очаква функциите за административна и централна подкрепа да нараснат, в съответствие с увеличаването на оперативните дейности; изтъква риска от подценяване на потребностите и капацитета; отбелязва, че разходите за временно нает персонал и за външни доставчици на услуги, работещи във вътрешната рамка, са достигнали 4 235 242 EUR през 2023 г.; насърчава Комисията и Европейската прокуратура да намерят устойчиво дългосрочно решение, което дава възможност за приемственост, запазва поверителността и запазва вградени правомощия; оценява факта, че допълнителните оперативни потребности на Европейската прокуратура са изчерпателно интегрирани в единния програмен документ на </w:t>
      </w:r>
      <w:r w:rsidR="00DC29FD" w:rsidRPr="00F56501">
        <w:lastRenderedPageBreak/>
        <w:t>Европейската прокуратура за периода 2024—2026 г. и в исканията за бюджет на Европейската прокуратура;</w:t>
      </w:r>
    </w:p>
    <w:p w14:paraId="51282F10" w14:textId="77777777" w:rsidR="00DC29FD" w:rsidRPr="00F56501" w:rsidRDefault="008F60AF" w:rsidP="002E5B22">
      <w:pPr>
        <w:widowControl/>
        <w:spacing w:after="240"/>
        <w:ind w:left="567" w:hanging="567"/>
      </w:pPr>
      <w:r>
        <w:t>41</w:t>
      </w:r>
      <w:r w:rsidR="00DC29FD" w:rsidRPr="00F56501">
        <w:t>.</w:t>
      </w:r>
      <w:r w:rsidR="00DC29FD" w:rsidRPr="00F56501">
        <w:tab/>
        <w:t>отбелязва със загриженост, че пазарът на труда в Люксембург е много конкурентен, че финансовите условия, предлагани от администрацията на Съюза, не са привлекателни в сравнение с местния пазар (подлежащи на различна индексация на заплатите през цялата година) и не отчитат надлежно високите разходи за живот в Люксембург, чието посрещане е станало още по-трудно поради процента на инфлация и увеличените разходи за жилище; отбелязва, че Европейската прокуратура не може да предложи кариерно развитие на своите служители, което да открива перспектива да станат длъжностни лица на ЕС, и че следователно длъжностите в нея са дори по-малко привлекателни от тези в четирите други институции на Съюза, работещи от Люксембург; подчертава, че това води или до много ограничен брой кандидатури за свободните длъжности, или до отхвърляне от страна на избраните кандидати на предложението за работа, след като го получат, поради високите разходи за живот; призовава Европейската прокуратура и Комисията да приложат мерки, които повишават привлекателността на Европейската прокуратура за висококвалифицирани специалисти с международен опит, като например жилищни надбавки за служителите с по-ниска степен, одобрени от бюджетния орган за 2025 г., както се препоръчва от Междуинституционалната група на високо равнище; отбелязва твърде голямото представителство на някои националности сред служителите;</w:t>
      </w:r>
    </w:p>
    <w:p w14:paraId="0DA25C9F" w14:textId="77777777" w:rsidR="00DC29FD" w:rsidRPr="00F56501" w:rsidRDefault="008F60AF" w:rsidP="002E5B22">
      <w:pPr>
        <w:widowControl/>
        <w:spacing w:after="240"/>
        <w:ind w:left="567" w:hanging="567"/>
        <w:rPr>
          <w:szCs w:val="24"/>
        </w:rPr>
      </w:pPr>
      <w:r>
        <w:t>42</w:t>
      </w:r>
      <w:r w:rsidR="00DC29FD" w:rsidRPr="00F56501">
        <w:t xml:space="preserve">. </w:t>
      </w:r>
      <w:r w:rsidR="00DC29FD" w:rsidRPr="00F56501">
        <w:tab/>
        <w:t>отбелязва, че в края на 2023 г. като цяло се търси адекватно географско равновесие и баланс между половете сред 238-те служители (137 мъже и 101 жени); поддържа становището, че разбивката по националност на служителите на Европейската прокуратура се наблюдава постоянно от служителите, отговорни за набирането на нови служители, с цел да се гарантира баланс, особено с оглед на неравномерното разпределение на кандидатите, като Италия (34), Румъния (33), Гърция (26) и Белгия (24) са представени в по-голяма степен сред 26-те различни националности; насърчава Европейската прокуратура да приеме проактивни мерки, за да гарантира балансирано представителство на националностите сред своите служители, което да отразява многообразието на участващите държави членки; изразява загриженост поради разпределението между половете сред висшите ръководни длъжности (четирима мъже спрямо една жена), и призовава този въпрос да бъде решен в рамките на цялостната стратегия за многообразие; призовава за публикуването на годишен доклад с данни, групирани по пол, националност и категория заетост, включително конкретни мерки за преодоляване на пропуските при набирането на персонал и професионалното израстване, както и за наблюдение и преодоляване на дисбалансите;</w:t>
      </w:r>
    </w:p>
    <w:p w14:paraId="28C7FC9B" w14:textId="77777777" w:rsidR="00DC29FD" w:rsidRPr="00F56501" w:rsidRDefault="008F60AF" w:rsidP="002E5B22">
      <w:pPr>
        <w:widowControl/>
        <w:spacing w:after="240"/>
        <w:ind w:left="567" w:hanging="567"/>
        <w:rPr>
          <w:color w:val="000000" w:themeColor="text1"/>
          <w:szCs w:val="24"/>
        </w:rPr>
      </w:pPr>
      <w:r>
        <w:t>43</w:t>
      </w:r>
      <w:r w:rsidR="00DC29FD" w:rsidRPr="00F56501">
        <w:t>.</w:t>
      </w:r>
      <w:r w:rsidR="00DC29FD" w:rsidRPr="00F56501">
        <w:tab/>
        <w:t xml:space="preserve">съзнава, че решението за прилагане на стратегия за многообразие и приобщаване е взето през 2023 г., като разработването на стратегията ще бъде изпълнено в хода на 2024 г.; </w:t>
      </w:r>
      <w:r w:rsidR="00DC29FD" w:rsidRPr="00F56501">
        <w:rPr>
          <w:color w:val="000000" w:themeColor="text1"/>
        </w:rPr>
        <w:t xml:space="preserve">насърчава Европейската прокуратура да постигне напредък с приемането ѝ и да провежда периодично проучвания сред своите служители, като насърчава партньорската проверка с други компоненти на архитектурата на Съюза за борба с измамите, като Евроюст, OLAF и Европол; изразява разбиране, че политиката на Европейската прокуратура за многообразие и приобщаване ще се основава на Хартата на мрежата на агенциите на ЕС за многообразие и приобщаване, приета през март 2023 г., и счита, че като цяло тя ще насърчи многообразието, за да направи работното място по-привлекателно за кандидатите </w:t>
      </w:r>
      <w:r w:rsidR="00DC29FD" w:rsidRPr="00F56501">
        <w:rPr>
          <w:color w:val="000000" w:themeColor="text1"/>
        </w:rPr>
        <w:lastRenderedPageBreak/>
        <w:t>със специфични потребности; отново отправя своето искане към Европейската прокуратура да приеме без забавяне своята харта за многообразието и приобщаването, като се има предвид увеличаването на броя на служителите през 2023 г.;</w:t>
      </w:r>
    </w:p>
    <w:p w14:paraId="1B328CAB" w14:textId="77777777" w:rsidR="00DC29FD" w:rsidRPr="00F56501" w:rsidRDefault="008F60AF" w:rsidP="002E5B22">
      <w:pPr>
        <w:widowControl/>
        <w:spacing w:after="240"/>
        <w:ind w:left="567" w:hanging="567"/>
        <w:rPr>
          <w:bCs/>
          <w:szCs w:val="24"/>
        </w:rPr>
      </w:pPr>
      <w:r>
        <w:rPr>
          <w:color w:val="000000" w:themeColor="text1"/>
        </w:rPr>
        <w:t>44</w:t>
      </w:r>
      <w:r w:rsidR="00DC29FD" w:rsidRPr="00F56501">
        <w:rPr>
          <w:color w:val="000000" w:themeColor="text1"/>
        </w:rPr>
        <w:t>.</w:t>
      </w:r>
      <w:r w:rsidR="00DC29FD" w:rsidRPr="00F56501">
        <w:rPr>
          <w:color w:val="000000" w:themeColor="text1"/>
        </w:rPr>
        <w:tab/>
      </w:r>
      <w:r w:rsidR="00DC29FD" w:rsidRPr="00F56501">
        <w:t>отбелязва, че, включително срочно наетите служители, договорно наетите служители, командированите национални експерти и европейските делегирани прокурори, на 341 от общо 396 служители (в сравнение с 275 от общо 332 през 2022 г.) са били възложени дейности по разследване до края на 2023 г. (което е 86,10% в сравнение с 82,83% през 2022 г. и 86% през 2021 г.), докато 55 служители (в сравнение с 57 през 2022 г.) са изпълнявали функции за административна подкрепа и контрол;</w:t>
      </w:r>
    </w:p>
    <w:p w14:paraId="7D4B4519" w14:textId="77777777" w:rsidR="00DC29FD" w:rsidRPr="00F56501" w:rsidRDefault="008F60AF" w:rsidP="002E5B22">
      <w:pPr>
        <w:widowControl/>
        <w:autoSpaceDE w:val="0"/>
        <w:autoSpaceDN w:val="0"/>
        <w:adjustRightInd w:val="0"/>
        <w:spacing w:after="240"/>
        <w:ind w:left="567" w:hanging="567"/>
      </w:pPr>
      <w:r>
        <w:t>45</w:t>
      </w:r>
      <w:r w:rsidR="00DC29FD" w:rsidRPr="00F56501">
        <w:t>.</w:t>
      </w:r>
      <w:r w:rsidR="00DC29FD" w:rsidRPr="00F56501">
        <w:tab/>
        <w:t>приветства назначаването на 8 нови европейски прокурори и 35 нови европейски делегирани прокурори в Европейската прокуратура през 2023 г.; отново заявява, че Европейската прокуратура може да изпълнява своята роля само ако се ползва с пълната независимост на съдебната власт, която да произтича от основана на заслуги и обективна процедура за назначаване; насърчава държавите членки да допринесат за пълната независимост на Европейската прокуратура в това отношение;</w:t>
      </w:r>
    </w:p>
    <w:p w14:paraId="4BA6CD23" w14:textId="77777777" w:rsidR="00DC29FD" w:rsidRPr="00F56501" w:rsidRDefault="008F60AF" w:rsidP="002E5B22">
      <w:pPr>
        <w:widowControl/>
        <w:spacing w:after="240"/>
        <w:ind w:left="567" w:hanging="567"/>
        <w:rPr>
          <w:szCs w:val="24"/>
        </w:rPr>
      </w:pPr>
      <w:r>
        <w:t>46</w:t>
      </w:r>
      <w:r w:rsidR="00DC29FD" w:rsidRPr="00F56501">
        <w:t>.</w:t>
      </w:r>
      <w:r w:rsidR="00DC29FD" w:rsidRPr="00F56501">
        <w:tab/>
        <w:t>поддържа становището, че назначаването на европейски делегирани прокурори е споделена отговорност на Европейската прокуратура и държавите членки; подчертава, че процедурата по назначаване трябва винаги да бъде в съответствие с член 17 от Регламент (ЕС) 2017/1939 и с принципа на национална процесуална автономност;</w:t>
      </w:r>
    </w:p>
    <w:p w14:paraId="591897B2" w14:textId="77777777" w:rsidR="00DC29FD" w:rsidRPr="00F56501" w:rsidRDefault="008F60AF" w:rsidP="002E5B22">
      <w:pPr>
        <w:widowControl/>
        <w:spacing w:after="240"/>
        <w:ind w:left="567" w:hanging="567"/>
      </w:pPr>
      <w:r>
        <w:t>47</w:t>
      </w:r>
      <w:r w:rsidR="00DC29FD" w:rsidRPr="00F56501">
        <w:t>.</w:t>
      </w:r>
      <w:r w:rsidR="00DC29FD" w:rsidRPr="00F56501">
        <w:tab/>
        <w:t>подчертава необходимостта от по-големи възможности за професионално развитие за европейските делегирани прокурори с цел привличане и задържане на опитни специалисти; призовава за подобряване на условията на заетост, включително ясен път за кариерно развитие и стандартизация на системите за социална сигурност и пенсионно осигуряване във всички участващи държави членки, като се гарантира, че несъответствията между националните възнаграждения не възпират квалифицираните кандидати да кандидатстват;</w:t>
      </w:r>
    </w:p>
    <w:p w14:paraId="1F807BA8" w14:textId="77777777" w:rsidR="00DC29FD" w:rsidRPr="00F56501" w:rsidRDefault="008F60AF" w:rsidP="002E5B22">
      <w:pPr>
        <w:widowControl/>
        <w:spacing w:after="240"/>
        <w:ind w:left="567" w:hanging="567"/>
        <w:rPr>
          <w:sz w:val="22"/>
          <w:szCs w:val="22"/>
        </w:rPr>
      </w:pPr>
      <w:r>
        <w:t>48</w:t>
      </w:r>
      <w:r w:rsidR="00DC29FD" w:rsidRPr="00F56501">
        <w:t>.</w:t>
      </w:r>
      <w:r w:rsidR="00DC29FD" w:rsidRPr="00F56501">
        <w:tab/>
        <w:t>оценява факта, че в хода на 2023 г. и в началото на 2024 г. броят на европейските делегирани прокурори достигна първоначално предвидения брой от 140; приветства решението за пълно привеждане на възнаграждението на европейските делегирани прокурори в съответствие с това на длъжностните лица на ЕС с равностойно равнище на отговорност, а не с 80% от възнаграждението на длъжностните лица на ЕС, както беше предвидено първоначално; счита, че това решение увеличава привлекателността на функцията на европейския делегиран прокурор, като проправя пътя за назначаването на по-опитни национални прокурори, чието национално възнаграждение е било по-високо от възнаграждението, предлагано от Европейската прокуратура, и междувременно намалява административната тежест за Европейската прокуратура във връзка с прилагането на член 16, параграф 1 от Условията за работа на европейските делегирани прокурори, който предвижда, че в случай на общо нетно възнаграждение, по-ниско от националното възнаграждение, се изплаща допълнителна сума, за да се гарантира, че възнаграждението съответства на предишното равнище;</w:t>
      </w:r>
    </w:p>
    <w:p w14:paraId="1F149667" w14:textId="77777777" w:rsidR="00DC29FD" w:rsidRPr="00F56501" w:rsidRDefault="008F60AF" w:rsidP="002E5B22">
      <w:pPr>
        <w:widowControl/>
        <w:spacing w:after="240"/>
        <w:ind w:left="567" w:hanging="567"/>
        <w:rPr>
          <w:szCs w:val="24"/>
        </w:rPr>
      </w:pPr>
      <w:r>
        <w:lastRenderedPageBreak/>
        <w:t>49</w:t>
      </w:r>
      <w:r w:rsidR="00DC29FD" w:rsidRPr="00F56501">
        <w:t>.</w:t>
      </w:r>
      <w:r w:rsidR="00DC29FD" w:rsidRPr="00F56501">
        <w:tab/>
        <w:t>подчертава, че процесът на подбор на европейски прокурори и на европейски делегирани прокурори не се управлява автономно от Европейската прокуратура, тъй като кандидатите за европейски прокурори се предлагат от държавите членки и след това се назначават от Европейския съвет, докато кандидатите за европейски делегирани прокурори се предлагат от държавите членки и се назначават от Колегията; поддържа становището, че броят на заявленията на квалифицирани кандидати за длъжността европейски делегиран прокурор би могъл да нарасне и че процесът би могъл да стане по-избирателен, като се възприемат ясна перспектива за професионално развитие и по-благоприятна административна дисциплина в областта на социалната сигурност и здравното осигуряване; отново заявява, че създаването на специален статут за европейските делегирани прокурори би бил в съответствие с естеството на тяхната съдебна функция и би направило тези длъжности по-привлекателни; призовава Комисията да предложи подходящи решения в случай на изменение на Регламент (ЕС) 2017/1939;</w:t>
      </w:r>
    </w:p>
    <w:p w14:paraId="73DAB3FF" w14:textId="77777777" w:rsidR="00DC29FD" w:rsidRPr="00F56501" w:rsidRDefault="008F60AF" w:rsidP="002E5B22">
      <w:pPr>
        <w:widowControl/>
        <w:spacing w:after="240"/>
        <w:ind w:left="567" w:hanging="567"/>
        <w:rPr>
          <w:szCs w:val="24"/>
        </w:rPr>
      </w:pPr>
      <w:r>
        <w:t>50</w:t>
      </w:r>
      <w:r w:rsidR="00DC29FD" w:rsidRPr="00F56501">
        <w:t>.</w:t>
      </w:r>
      <w:r w:rsidR="00DC29FD" w:rsidRPr="00F56501">
        <w:tab/>
        <w:t>изразява разбиране, че всяка държава членка е задължена (съгласно член 96, параграф 6 от Регламент (ЕС) 2017/1939) да въведе разпоредби от законодателен или административен характер, за да запази социалното осигуряване и покритие на европейските делегирани прокурори, включително всички вноски към съответните национални схеми за социална сигурност, пенсии и застраховки, но редица държави членки все още не са изпълнили изцяло това задължение; поради това призовава Комисията при преразглеждането на Регламент (ЕС) 2017/1939 да предложи ефективно решение на въпроса във връзка с недостатъчната степен на социално и здравно осигуряване на европейските делегирани прокурори;</w:t>
      </w:r>
    </w:p>
    <w:p w14:paraId="283841E3" w14:textId="77777777" w:rsidR="00DC29FD" w:rsidRPr="00F56501" w:rsidRDefault="008F60AF" w:rsidP="002E5B22">
      <w:pPr>
        <w:widowControl/>
        <w:spacing w:after="240"/>
        <w:ind w:left="567" w:hanging="567"/>
      </w:pPr>
      <w:r>
        <w:t>51</w:t>
      </w:r>
      <w:r w:rsidR="00DC29FD" w:rsidRPr="00F56501">
        <w:t>.</w:t>
      </w:r>
      <w:r w:rsidR="00DC29FD" w:rsidRPr="00F56501">
        <w:tab/>
        <w:t>отбелязва, че до 2023 г. са подадени пет жалби до Съда на Европейския съюз относно назначаването на европейски делегирани прокурори, като производството по три от тях е било приключено (с отхвърляне или оттегляне на жалбата), една е била отхвърлена, но понастоящем тече обжалване пред Съда на Европейския съюз, а последната жалба за отмяна на решението на Колегията за отхвърляне на кандидат за назначаване на длъжността европейски делегиран прокурор, подадена от лице, предложено от държава членка, е била уважена през юли 2024 г. на основание липса на достатъчно мотиви в решението на Колегията, и сега е в ход анализ на начина, по който да бъде изпълнено съдебното решение за отмяна; отбелязва, че не са подавани нови жалби пред Общия съд във връзка с назначения в Европейската прокуратура;</w:t>
      </w:r>
    </w:p>
    <w:p w14:paraId="11446BDF" w14:textId="77777777" w:rsidR="00DC29FD" w:rsidRPr="00F56501" w:rsidRDefault="008F60AF" w:rsidP="002E5B22">
      <w:pPr>
        <w:widowControl/>
        <w:spacing w:after="240"/>
        <w:ind w:left="567" w:hanging="567"/>
      </w:pPr>
      <w:r>
        <w:t>52</w:t>
      </w:r>
      <w:r w:rsidR="00DC29FD" w:rsidRPr="00F56501">
        <w:t>.</w:t>
      </w:r>
      <w:r w:rsidR="00DC29FD" w:rsidRPr="00F56501">
        <w:tab/>
        <w:t>отбелязва, че стратегията на Европейската прокуратура за учене и развитие беше стартирана през 2023 г. с цел насърчаване на култура на непрекъснато учене и улесняване на непрекъснатото оценяване и адаптиране на променящите се потребности от обучение на служителите, заедно с пилотния анализ на потребностите от обучение;</w:t>
      </w:r>
    </w:p>
    <w:p w14:paraId="08EB0BA7" w14:textId="77777777" w:rsidR="00DC29FD" w:rsidRPr="00F56501" w:rsidRDefault="008F60AF" w:rsidP="002E5B22">
      <w:pPr>
        <w:widowControl/>
        <w:spacing w:after="240"/>
        <w:ind w:left="567" w:hanging="567"/>
      </w:pPr>
      <w:r>
        <w:t>53</w:t>
      </w:r>
      <w:r w:rsidR="00DC29FD" w:rsidRPr="00F56501">
        <w:t>.</w:t>
      </w:r>
      <w:r w:rsidR="00DC29FD" w:rsidRPr="00F56501">
        <w:tab/>
        <w:t xml:space="preserve">отбелязва, що се отнася до въведените мерки и политики за гарантиране на физическото и психическото благосъстояние на служителите, че през 2023 г. всички мерки са били предмет на преразглеждане и консултации от страна на всички участващи заинтересовани страни (Комитета по персонала, служителите като цяло и ръководството), като целта е да се намери баланс между очакванията и реалността в Европейската прокуратура като разрастваща се и бързо променяща се организация; отбелязва, че в тези рамки Европейската прокуратура прилага </w:t>
      </w:r>
      <w:r w:rsidR="00DC29FD" w:rsidRPr="00F56501">
        <w:lastRenderedPageBreak/>
        <w:t>схема за гъвкаво работно време и стандартна схема за работа от дома, която предвижда като основен режим един ден дистанционна работа седмично и максимум три дни седмично, плюс удължения, за които се дава разрешение при сериозна ограниченост по здравословни или семейни причини; отбелязва, че настоящата рамка включва и 10 дни работа извън мястото на работа през дадена година, които да се използват без връзка с други дни отпуск; счита, че настоящите условия на труд в Европейската прокуратура позволяват на служителите да се възползват от цифровите решения чрез интегриране на добро равнище на автономност в управлението на моделите на работа, улесняване на съвместяването на личния и професионалния живот и насърчаване на морал и дух на работа в екип; приветства текущото разработване на политика за благосъстоянието, която да съдържа раздел относно благосъстоянието на служителите, които се ползват от дистанционна работа;</w:t>
      </w:r>
    </w:p>
    <w:p w14:paraId="3C2ABDA4" w14:textId="77777777" w:rsidR="00DC29FD" w:rsidRPr="00F56501" w:rsidRDefault="008F60AF" w:rsidP="002E5B22">
      <w:pPr>
        <w:widowControl/>
        <w:spacing w:after="240"/>
        <w:ind w:left="567" w:hanging="567"/>
      </w:pPr>
      <w:r>
        <w:t>54</w:t>
      </w:r>
      <w:r w:rsidR="00DC29FD" w:rsidRPr="00F56501">
        <w:t>.</w:t>
      </w:r>
      <w:r w:rsidR="00DC29FD" w:rsidRPr="00F56501">
        <w:tab/>
        <w:t>подчертава, че както беше предложено от Парламента, през второто полугодие на 2023 г. беше проведена открита консултация относно гъвкавите схеми на работа, а решенията, приети през 2021 г. и 2022 г., бяха подложени на последващо преразглеждане; отбелязва, че като се има предвид приносът на всички заинтересовани страни, през декември 2023 г. административният директор включи актуализации на разпоредбите; отбелязва, че промените включват разширяването на понятието „място на работа от разстояние“ (от 2 на 2,5 часа време/разстояние в радиус около централната служба на Европейската прокуратура) и въвеждането на хибридни договорености за работа за временно наетите служители;</w:t>
      </w:r>
      <w:r w:rsidR="00DC29FD" w:rsidRPr="00F56501">
        <w:rPr>
          <w:color w:val="000000" w:themeColor="text1"/>
        </w:rPr>
        <w:t xml:space="preserve"> </w:t>
      </w:r>
      <w:r w:rsidR="00DC29FD" w:rsidRPr="00F56501">
        <w:t>отбелязва, че с решенията на Колегията не са приемани допълнителни промени, като се има предвид, че решенията на административния директор вече са отразили заключенията от консултациите със служителите;</w:t>
      </w:r>
    </w:p>
    <w:p w14:paraId="4EBA0A5A" w14:textId="77777777" w:rsidR="00DC29FD" w:rsidRPr="00F56501" w:rsidRDefault="008F60AF" w:rsidP="002E5B22">
      <w:pPr>
        <w:widowControl/>
        <w:spacing w:after="240"/>
        <w:ind w:left="567" w:hanging="567"/>
        <w:rPr>
          <w:szCs w:val="24"/>
        </w:rPr>
      </w:pPr>
      <w:bookmarkStart w:id="10" w:name="_heading=h.3znysh7"/>
      <w:bookmarkEnd w:id="10"/>
      <w:r>
        <w:t>55</w:t>
      </w:r>
      <w:r w:rsidR="00DC29FD" w:rsidRPr="00F56501">
        <w:t>.</w:t>
      </w:r>
      <w:r w:rsidR="00DC29FD" w:rsidRPr="00F56501">
        <w:tab/>
        <w:t>отбелязва, че вследствие на призивите на Парламента е планирано проучване на удовлетвореността (ангажираността) на служителите през първото тримесечие на 2025 г.; изразява разбиране, че Комитетът по персонала на Европейската прокуратура също така е провел проучване на приоритетите за служителите, и насърчава по-интензивен диалог за подобряване на условията за баланс между работата и личния живот;</w:t>
      </w:r>
    </w:p>
    <w:p w14:paraId="522C0D5D" w14:textId="77777777" w:rsidR="00DC29FD" w:rsidRPr="00F56501" w:rsidRDefault="008F60AF" w:rsidP="002E5B22">
      <w:pPr>
        <w:widowControl/>
        <w:spacing w:after="240"/>
        <w:ind w:left="567" w:hanging="567"/>
      </w:pPr>
      <w:r>
        <w:t>56</w:t>
      </w:r>
      <w:r w:rsidR="00DC29FD" w:rsidRPr="00F56501">
        <w:t>.</w:t>
      </w:r>
      <w:r w:rsidR="00DC29FD" w:rsidRPr="00F56501">
        <w:tab/>
        <w:t>приветства това, че не са докладвани случаи на професионално изчерпване или тормоз и че броят на продължителните отпуски по болест е много ограничен; приветства осведомеността на Европейската прокуратура за нейното задължение да гарантира насърчаването и опазването на здравето и благосъстоянието на служителите, както и практиките за мониторинг за постигане на такова разбиране, при които се вземат предвид неползваният годишен отпуск, пренасянето на годишен отпуск и отсъствията, броят на служителите в продължителен отпуск по болест и продължителността на отсъствията; припомня, че е важно приемането на ясна и структурирана процедура за докладване на случаи на тормоз от страна на европейския главен прокурор и от европейските прокурори, както и тяхното разкриване пред всички служители;</w:t>
      </w:r>
    </w:p>
    <w:p w14:paraId="7F098D7C" w14:textId="77777777" w:rsidR="00DC29FD" w:rsidRPr="00F56501" w:rsidRDefault="008F60AF" w:rsidP="002E5B22">
      <w:pPr>
        <w:widowControl/>
        <w:spacing w:after="240"/>
        <w:ind w:left="567" w:hanging="567"/>
      </w:pPr>
      <w:r>
        <w:t>57</w:t>
      </w:r>
      <w:r w:rsidR="00DC29FD" w:rsidRPr="00F56501">
        <w:t>.</w:t>
      </w:r>
      <w:r w:rsidR="00DC29FD" w:rsidRPr="00F56501">
        <w:tab/>
        <w:t xml:space="preserve">отбелязва, че в началото на 2023 г. централната служба на Европейската прокуратура е провела пилотен проект за стажове, а секторът за правно обслужване на Европейската прокуратура е бил домакин на двама стажанти, последвани от още двама през март и септември 2023 г., за полагането на платени присъствени петмесечни стажове; отбелязва, че въз основа на положителните </w:t>
      </w:r>
      <w:r w:rsidR="00DC29FD" w:rsidRPr="00F56501">
        <w:lastRenderedPageBreak/>
        <w:t>заключения от пилотния проект е изготвена политика за стажовете, която е одобрена през 2024 г., последвана от първи цикъл на реална работа на стажанти през същата година; приветства инициативата за започване на експериментално изграждане на взаимоотношения с местния университет, и ако тази инициатива се окаже успешна, призовава за нейното разрастване с включването на още университети от целия ЕС, което би могло да предложи интересни перспективи за по-нататъшно развитие на програмите за таланти на ранен етап в областта на многообразието; подчертава, че високите разходи за издръжка на живота в Люксембург създават значителна пречка за потенциалните стажанти; подчертава, че стажовете следва да бъдат платени в съответствие с резолюцията на Европейския парламент от 14 юни 2023 г. с препоръки до Комисията относно качествените стажове в Съюза (2020/2005(INL)), в която се призовава всички стажове в Съюза да получават заплащане;</w:t>
      </w:r>
    </w:p>
    <w:p w14:paraId="2C85D30C" w14:textId="77777777" w:rsidR="00DC29FD" w:rsidRPr="00F56501" w:rsidRDefault="008F60AF" w:rsidP="002E5B22">
      <w:pPr>
        <w:widowControl/>
        <w:spacing w:after="240"/>
        <w:ind w:left="567" w:hanging="567"/>
        <w:rPr>
          <w:bCs/>
          <w:szCs w:val="24"/>
        </w:rPr>
      </w:pPr>
      <w:r>
        <w:t>58</w:t>
      </w:r>
      <w:r w:rsidR="00DC29FD" w:rsidRPr="00F56501">
        <w:t>.</w:t>
      </w:r>
      <w:r w:rsidR="00DC29FD" w:rsidRPr="00F56501">
        <w:tab/>
        <w:t>приветства интензивната дейност на Комитета по персонала, окончателното приемане на неговия вътрешен правилник за дейността, стартирането на първия ден на отворените врати на Комитета по персонала, стартирането на първото проучване сред всички служители на Европейската прокуратура, участието на негови представители в процедурите за подбор, преразглеждането със задна дата на всички общи разпоредби за прилагане, приети от Европейската прокуратура преди създаването на Комитета по персонала, представянето на информация относно вътрешната реорганизация, работното време и хибридната работа, правилата за прилагане и подобряването на условията на труд;</w:t>
      </w:r>
    </w:p>
    <w:p w14:paraId="24FE36B9" w14:textId="77777777" w:rsidR="00DC29FD" w:rsidRPr="00F56501" w:rsidRDefault="008F60AF" w:rsidP="002E5B22">
      <w:pPr>
        <w:widowControl/>
        <w:spacing w:after="240"/>
        <w:ind w:left="567" w:hanging="567"/>
        <w:rPr>
          <w:szCs w:val="24"/>
        </w:rPr>
      </w:pPr>
      <w:r>
        <w:t>59</w:t>
      </w:r>
      <w:r w:rsidR="00DC29FD" w:rsidRPr="00F56501">
        <w:t>.</w:t>
      </w:r>
      <w:r w:rsidR="00DC29FD" w:rsidRPr="00F56501">
        <w:tab/>
        <w:t>изразява разбиране, че Европейската прокуратура напредва към финализирането на план за непрекъснатост на дейността, който е включен в стандартите на Съюза за административно управление, и настоятелно призовава Европейската прокуратура да го приеме без по-нататъшно забавяне;</w:t>
      </w:r>
    </w:p>
    <w:p w14:paraId="478615FF" w14:textId="77777777" w:rsidR="00DC29FD" w:rsidRPr="00F56501" w:rsidRDefault="00DC29FD" w:rsidP="002E5B22">
      <w:pPr>
        <w:widowControl/>
        <w:spacing w:after="240"/>
        <w:ind w:left="567" w:hanging="567"/>
        <w:rPr>
          <w:b/>
          <w:i/>
          <w:szCs w:val="24"/>
        </w:rPr>
      </w:pPr>
      <w:r w:rsidRPr="00F56501">
        <w:rPr>
          <w:b/>
          <w:i/>
        </w:rPr>
        <w:t>Етична рамка и прозрачност</w:t>
      </w:r>
    </w:p>
    <w:p w14:paraId="7E06B9B7" w14:textId="77777777" w:rsidR="00DC29FD" w:rsidRPr="00F56501" w:rsidRDefault="008F60AF" w:rsidP="002E5B22">
      <w:pPr>
        <w:widowControl/>
        <w:spacing w:after="240"/>
        <w:ind w:left="567" w:hanging="567"/>
        <w:rPr>
          <w:szCs w:val="24"/>
        </w:rPr>
      </w:pPr>
      <w:r>
        <w:t>60</w:t>
      </w:r>
      <w:r w:rsidR="00DC29FD" w:rsidRPr="00F56501">
        <w:t>.</w:t>
      </w:r>
      <w:r w:rsidR="00DC29FD" w:rsidRPr="00F56501">
        <w:tab/>
        <w:t>изразява разбиране, че етичната рамка на Европейската прокуратура постепенно се изгражда; отбелязва, че основните ценности на тази етична рамка са ясно определени в кодексите за поведение, които очертават стандартите за поведение, които се очаква да бъдат спазвани от служителите на всички равнища; отбелязва също така, че етичната рамка зависи от кодекса за добро административно поведение на Европейската прокуратура, нейната стратегия за борба с измамите и програма за обучение в областта на етиката, която обхваща тормоза, подаването на сигнали за нередности, предотвратяването на конфликти на интереси и други етични въпроси; изразява съжаление, че от служителите на Европейската прокуратура не се изисква да присъстват на тази програма за обучение, което обаче би гарантирало последователно разбиране и прилагане на кодексите за поведение на Европейската прокуратура; призовава Европейската прокуратура да коригира това положение;</w:t>
      </w:r>
    </w:p>
    <w:p w14:paraId="630F98C4" w14:textId="77777777" w:rsidR="00DC29FD" w:rsidRPr="00F56501" w:rsidRDefault="008F60AF" w:rsidP="002E5B22">
      <w:pPr>
        <w:widowControl/>
        <w:spacing w:after="240"/>
        <w:ind w:left="567" w:hanging="567"/>
        <w:rPr>
          <w:bCs/>
        </w:rPr>
      </w:pPr>
      <w:r>
        <w:t>61</w:t>
      </w:r>
      <w:r w:rsidR="00DC29FD" w:rsidRPr="00F56501">
        <w:t>.</w:t>
      </w:r>
      <w:r w:rsidR="00DC29FD" w:rsidRPr="00F56501">
        <w:tab/>
        <w:t>отбелязва участието на Европейската прокуратура в действия за повишаване на осведомеността сред служителите относно етичната рамка и свързаните с нея въпроси; насърчава Европейската прокуратура да направи задължително присъствието на такива сесии за европейските прокурори и европейските делегирани прокурори, когато встъпват в своите служебни задължения; счита, че вътрешният диалог трябва да бъде засилен;</w:t>
      </w:r>
    </w:p>
    <w:p w14:paraId="686477A2" w14:textId="77777777" w:rsidR="00DC29FD" w:rsidRPr="00F56501" w:rsidRDefault="008F60AF" w:rsidP="002E5B22">
      <w:pPr>
        <w:widowControl/>
        <w:spacing w:after="240"/>
        <w:ind w:left="567" w:hanging="567"/>
        <w:rPr>
          <w:szCs w:val="24"/>
        </w:rPr>
      </w:pPr>
      <w:r>
        <w:lastRenderedPageBreak/>
        <w:t>62</w:t>
      </w:r>
      <w:r w:rsidR="00DC29FD" w:rsidRPr="00F56501">
        <w:t>.</w:t>
      </w:r>
      <w:r w:rsidR="00DC29FD" w:rsidRPr="00F56501">
        <w:tab/>
        <w:t>отбелязва, че през 2023 г. не са установени действителни случаи на конфликти на интереси; е запознат с факта, че са утвърдени специални формуляри за декларации за конфликт на интереси и че са в сила правила относно конфликтите на интереси за членовете на Колегията, европейските делегирани прокурори, служителите на оперативните звена и за други чувствителни длъжности; приветства продължаващото разработване на структурирана политика относно конфликтите на интереси и призовава Европейската прокуратура да завърши нейното приемане; призовава за прилагането на задължително годишно опреснително обучение по етика и почтеност за целия персонал на Европейската прокуратура;</w:t>
      </w:r>
    </w:p>
    <w:p w14:paraId="714E7949" w14:textId="77777777" w:rsidR="00DC29FD" w:rsidRPr="00F56501" w:rsidRDefault="008F60AF" w:rsidP="002E5B22">
      <w:pPr>
        <w:pStyle w:val="NormalHanging12a"/>
        <w:widowControl/>
      </w:pPr>
      <w:r>
        <w:t>63</w:t>
      </w:r>
      <w:r w:rsidR="00DC29FD" w:rsidRPr="00F56501">
        <w:t>.</w:t>
      </w:r>
      <w:r w:rsidR="00DC29FD" w:rsidRPr="00F56501">
        <w:tab/>
        <w:t>настоятелно призовава Европейската прокуратура да подобри своята вътрешна рамка за почтеност, като наложи публично оповестяване на всички финансови интереси и външни дейности на висшите служители, включително членовете на Колегията; призовава за периодичен одит на тези оповестявания, за да се установят и смекчат потенциалните рискове от неправомерно влияние;</w:t>
      </w:r>
    </w:p>
    <w:p w14:paraId="6A8FD3E3" w14:textId="77777777" w:rsidR="00DC29FD" w:rsidRPr="00F56501" w:rsidRDefault="008F60AF" w:rsidP="002E5B22">
      <w:pPr>
        <w:widowControl/>
        <w:spacing w:after="240"/>
        <w:ind w:left="567" w:hanging="567"/>
        <w:rPr>
          <w:szCs w:val="24"/>
        </w:rPr>
      </w:pPr>
      <w:r>
        <w:t>64</w:t>
      </w:r>
      <w:r w:rsidR="00DC29FD" w:rsidRPr="00F56501">
        <w:t>.</w:t>
      </w:r>
      <w:r w:rsidR="00DC29FD" w:rsidRPr="00F56501">
        <w:tab/>
        <w:t>изразява разбиране, че Европейската прокуратура се стреми да предотврати кадровата въртележка между държавния и частния сектор, по-специално чрез одобряване на стриктното прилагане на съответните разпоредби на Правилника за длъжностните лица, които са посочени във всички договори на Европейската прокуратура, включително ad hoc формуляри за напускане, в които се посочват задълженията, приложими след прекратяване на службата;</w:t>
      </w:r>
      <w:r w:rsidR="00DC29FD" w:rsidRPr="00F56501">
        <w:rPr>
          <w:color w:val="000000" w:themeColor="text1"/>
        </w:rPr>
        <w:t xml:space="preserve"> </w:t>
      </w:r>
      <w:r w:rsidR="00DC29FD" w:rsidRPr="00F56501">
        <w:t>във връзка с това приветства приемането през 2023 г. на Насоките за служителите на Европейската прокуратура относно външните дейности и назначенията, които се прилагат за дейности, за които се счита, че не са свързани с хобита в рамките на развлекателни дейности извън сферата на компетентност на Европейската прокуратура;</w:t>
      </w:r>
    </w:p>
    <w:p w14:paraId="2AC09ABC" w14:textId="77777777" w:rsidR="00DC29FD" w:rsidRPr="00F56501" w:rsidRDefault="008F60AF" w:rsidP="002E5B22">
      <w:pPr>
        <w:widowControl/>
        <w:spacing w:after="240"/>
        <w:ind w:left="567" w:hanging="567"/>
      </w:pPr>
      <w:r>
        <w:t>65</w:t>
      </w:r>
      <w:r w:rsidR="00DC29FD" w:rsidRPr="00F56501">
        <w:t>.</w:t>
      </w:r>
      <w:r w:rsidR="00DC29FD" w:rsidRPr="00F56501">
        <w:tab/>
        <w:t>призовава за въвеждането на по-стабилна политика относно кадровата въртележка между държавния и частния сектор, включително удължен период на прекъсване от най-малко две години за висшите длъжностни лица на Европейската прокуратура, преди те да могат да започнат работа в частния сектор, чието естество е свързано с разследванията на Европейската прокуратура; изисква от Европейската прокуратура да извършва годишен преглед на спазването на тези ограничения през времето след приключване на службата;</w:t>
      </w:r>
    </w:p>
    <w:p w14:paraId="39FCEE05" w14:textId="77777777" w:rsidR="00DC29FD" w:rsidRPr="00F56501" w:rsidRDefault="008F60AF" w:rsidP="002E5B22">
      <w:pPr>
        <w:widowControl/>
        <w:spacing w:after="240"/>
        <w:ind w:left="567" w:hanging="567"/>
      </w:pPr>
      <w:r>
        <w:t>66</w:t>
      </w:r>
      <w:r w:rsidR="00DC29FD" w:rsidRPr="00F56501">
        <w:t>.</w:t>
      </w:r>
      <w:r w:rsidR="00DC29FD" w:rsidRPr="00F56501">
        <w:tab/>
        <w:t>припомня, че Европейската прокуратура трябва да приеме специална процедура за подаване на сигнали за нередности и за борба с ответни действия с цел включване на правилата за прилагане на Правилника за длъжностните лица, приети от Колегията (Решение 2021/077 на Колегията за определяне на насоки относно подаването на сигнали за нередности, приложими в рамките на Европейската прокуратура), и за определяне на правила, които да придружават член 45, параграф 12 от Финансовите правила на Европейската прокуратура (установяване на действията, които да бъдат предприети при тези обстоятелства), с цел да се осигурят сигурност и защита на работното място; приветства инициативата за засилване на вътрешната комуникация относно първата мрежа от доверени съветници и относно разпоредбите за борба с тормоза, както и за всички сътрудници на националните европейски делегирани прокурори относно механизма за подаване на сигнали за нарушения на мандата на Европейската прокуратура;</w:t>
      </w:r>
    </w:p>
    <w:p w14:paraId="374419D9" w14:textId="77777777" w:rsidR="00DC29FD" w:rsidRPr="00F56501" w:rsidRDefault="00DC29FD" w:rsidP="002E5B22">
      <w:pPr>
        <w:pStyle w:val="NormalHanging12a"/>
        <w:widowControl/>
        <w:rPr>
          <w:szCs w:val="24"/>
        </w:rPr>
      </w:pPr>
      <w:r w:rsidRPr="00F56501">
        <w:rPr>
          <w:b/>
          <w:i/>
        </w:rPr>
        <w:lastRenderedPageBreak/>
        <w:t>Цифровизация, киберсигурност и защита на данните</w:t>
      </w:r>
    </w:p>
    <w:p w14:paraId="4AA0601D" w14:textId="77777777" w:rsidR="00DC29FD" w:rsidRPr="00F56501" w:rsidRDefault="008F60AF" w:rsidP="002E5B22">
      <w:pPr>
        <w:widowControl/>
        <w:spacing w:after="240"/>
        <w:ind w:left="567" w:hanging="567"/>
      </w:pPr>
      <w:r>
        <w:t>67</w:t>
      </w:r>
      <w:r w:rsidR="00DC29FD" w:rsidRPr="00F56501">
        <w:t>.</w:t>
      </w:r>
      <w:r w:rsidR="00DC29FD" w:rsidRPr="00F56501">
        <w:tab/>
        <w:t>изразява съжаление относно положението на Европейската прокуратура в рамките на нейната автономност в областта на информационните технологии, което е неблагоприятно засегнато от решението на Генерална дирекция „Цифрови услуги“ на Комисията (ГД „Цифрови услуги“, предишна ГД „Информатика“) да преустанови предоставянето на цифрови услуги за цифрова работна среда; посочва, че автономността на Европейската прокуратура в областта на информационните технологии изисква допълнителни човешки и финансови ресурси, които досега не са били предоставени поради ограничението, наложено от общите налични бюджетни ресурси по съответните бюджетни редове; изразява съжаление, че предвид на рисковете за оперативните си дейности Европейската прокуратура трябваше да създаде свой собствен капацитет за цифрови услуги, за да поеме допълнителните човешки ресурси, които ѝ бяха предоставени с оглед на участието на Полша и Швеция;</w:t>
      </w:r>
    </w:p>
    <w:p w14:paraId="059420EA" w14:textId="77777777" w:rsidR="00DC29FD" w:rsidRPr="00F56501" w:rsidRDefault="008F60AF" w:rsidP="002E5B22">
      <w:pPr>
        <w:widowControl/>
        <w:spacing w:after="240"/>
        <w:ind w:left="567" w:hanging="567"/>
      </w:pPr>
      <w:r>
        <w:rPr>
          <w:color w:val="000000" w:themeColor="text1"/>
        </w:rPr>
        <w:t>68</w:t>
      </w:r>
      <w:r w:rsidR="00DC29FD" w:rsidRPr="00F56501">
        <w:rPr>
          <w:color w:val="000000" w:themeColor="text1"/>
        </w:rPr>
        <w:t>.</w:t>
      </w:r>
      <w:r w:rsidR="00DC29FD" w:rsidRPr="00F56501">
        <w:rPr>
          <w:color w:val="000000" w:themeColor="text1"/>
        </w:rPr>
        <w:tab/>
      </w:r>
      <w:r w:rsidR="00DC29FD" w:rsidRPr="00F56501">
        <w:t>отбелязва, че първоначалният подход на Европейската прокуратура беше да се даде приоритет на ресурсите за определянето и функционирането на основни цифрови услуги, свързани с нейните оперативни дейности, като например нейната система за управление на делата, като същевременно признава, че цифровите услуги на Европейската прокуратура, които най-малкото отчасти се различават от тези на Комисията, ще се нуждаят в средносрочен план от индивидуален подход; отбелязва, че прекъсването на услугата от страна на Комисията се случва в решаващия етап на консолидиране на създаването на Европейската прокуратура;</w:t>
      </w:r>
    </w:p>
    <w:p w14:paraId="1EBF6576" w14:textId="77777777" w:rsidR="00DC29FD" w:rsidRPr="00F56501" w:rsidRDefault="008F60AF" w:rsidP="002E5B22">
      <w:pPr>
        <w:widowControl/>
        <w:spacing w:after="240"/>
        <w:ind w:left="567" w:hanging="567"/>
      </w:pPr>
      <w:r>
        <w:t>69</w:t>
      </w:r>
      <w:r w:rsidR="00DC29FD" w:rsidRPr="00F56501">
        <w:t>.</w:t>
      </w:r>
      <w:r w:rsidR="00DC29FD" w:rsidRPr="00F56501">
        <w:tab/>
        <w:t>изразява разбиране, че през 2023 г. отдел „Информационни технологии, сигурност и корпоративни услуги“ на Европейската прокуратура е продължил изпълнението на две основни програми: програмата за автономност в областта на информационните технологии, за да се предложи пълен каталог на административните ИТ услуги, изцяло управлявани вътрешно, и програмата на Европейската прокуратура за системата за управление на делата, с цел по-нататъшно развитие на цифровизацията на организацията в нейната основна сфера на дейност; признава, че през 2023 г. Европейската прокуратура е продължила да се подготвя за постепенен преход от цифрово работно място, предоставено от ГД „Цифрови услуги“, към решение, което се притежава от Европейската прокуратура и функционира в нейните рамки; съзнава, че ресурсите, необходими за прилагането на тази промяна, въпреки че са включени в бюджетното искане на Европейската прокуратура за 2023 г., не са били предоставени от бюджетния орган; отбелязва, че след съобщението на ГД „Цифрови услуги“ Европейската прокуратура е започнала преговори за намиране на решение, което все още не е постигнато;</w:t>
      </w:r>
    </w:p>
    <w:p w14:paraId="2FA4190A" w14:textId="77777777" w:rsidR="00DC29FD" w:rsidRPr="00F56501" w:rsidRDefault="008F60AF" w:rsidP="002E5B22">
      <w:pPr>
        <w:widowControl/>
        <w:spacing w:after="240"/>
        <w:ind w:left="567" w:hanging="567"/>
      </w:pPr>
      <w:r>
        <w:t>70</w:t>
      </w:r>
      <w:r w:rsidR="00DC29FD" w:rsidRPr="00F56501">
        <w:t>.</w:t>
      </w:r>
      <w:r w:rsidR="00DC29FD" w:rsidRPr="00F56501">
        <w:tab/>
        <w:t>оценява факта, че Комисията временно е удължила предоставянето на ИТ услуги до юни 2025 г., но поддържа становището, че възлагането на тези услуги на външни изпълнители не е оптимално решение в настоящата ситуация; изразява разбиране, че не само аргументите, свързани със сигурността и поверителността, но и чисто финансовите аспекти предполагат преразглеждане на решението, тъй като възлагането на дейности на външни изпълнители би изглеждало много по-скъпо от вътрешното решение, а приемането на последното, след като ГД „Цифрови услуги“ престане да предоставя услугите си, ще бъде управлявано от Европейската прокуратура;</w:t>
      </w:r>
      <w:r w:rsidR="00DC29FD" w:rsidRPr="00F56501">
        <w:rPr>
          <w:color w:val="000000" w:themeColor="text1"/>
        </w:rPr>
        <w:t xml:space="preserve"> </w:t>
      </w:r>
      <w:r w:rsidR="00DC29FD" w:rsidRPr="00F56501">
        <w:t xml:space="preserve">подчертава, че за да се приложи предпочитаното </w:t>
      </w:r>
      <w:r w:rsidR="00DC29FD" w:rsidRPr="00F56501">
        <w:lastRenderedPageBreak/>
        <w:t>вътрешно решение в рамките на институцията, сложните административни аспекти, липсата на опит на Европейската прокуратура и децентрализираната конфигурация на Европейската прокуратура, включваща европейски делегирани прокурори и сътрудници на националните европейски делегирани прокурори на няколко места в целия Съюз, ще изискват по-подходящ бюджет и по-дълъг преходен период;</w:t>
      </w:r>
    </w:p>
    <w:p w14:paraId="45615ED0" w14:textId="77777777" w:rsidR="00DC29FD" w:rsidRPr="00F56501" w:rsidRDefault="008F60AF" w:rsidP="002E5B22">
      <w:pPr>
        <w:widowControl/>
        <w:spacing w:after="240"/>
        <w:ind w:left="567" w:hanging="567"/>
        <w:rPr>
          <w:szCs w:val="24"/>
        </w:rPr>
      </w:pPr>
      <w:r>
        <w:t>71</w:t>
      </w:r>
      <w:r w:rsidR="00DC29FD" w:rsidRPr="00F56501">
        <w:t>.</w:t>
      </w:r>
      <w:r w:rsidR="00DC29FD" w:rsidRPr="00F56501">
        <w:tab/>
        <w:t>отново призовава ГД „Цифрови услуги“ да не прекъсва подкрепата си за Европейската прокуратура, докато Европейската прокуратура не разполага със собствена надеждна информационно-технологична система; счита, че е от съществено значение да се избегне загубата на данни и Европейската прокуратура да продължи да функционира пълноценно в прехода между различни доставчици на ИТ услуги; поддържа виждането, че е необходимо да се осигурят ясна комуникация и оперативна координация по отношение на прехода, като това стане на най-високо равнище на вземане на решения в Комисията и в Европейската прокуратура; изисква от Комисията и Европейската прокуратура да се споразумеят за постепенно прехвърляне на правомощия, за да се осигури плавен и непрекъснат преход в периода след удължаването, който може да бъде удължен за допълнителен период след юни 2025 г.;</w:t>
      </w:r>
    </w:p>
    <w:p w14:paraId="437F24A8" w14:textId="77777777" w:rsidR="00DC29FD" w:rsidRPr="00F56501" w:rsidRDefault="008F60AF" w:rsidP="002E5B22">
      <w:pPr>
        <w:widowControl/>
        <w:spacing w:after="240"/>
        <w:ind w:left="567" w:hanging="567"/>
      </w:pPr>
      <w:r>
        <w:t>72</w:t>
      </w:r>
      <w:r w:rsidR="00DC29FD" w:rsidRPr="00F56501">
        <w:t>.</w:t>
      </w:r>
      <w:r w:rsidR="00DC29FD" w:rsidRPr="00F56501">
        <w:tab/>
        <w:t>отбелязва, че исканията на Европейската прокуратура за постоянни допълнителни длъжности за запълване на недостига, произтичащ от прекратяването на услугите, предоставяни от ГД „Цифрови услуги“, бяха отхвърлени през януари 2023 г., когато Европейската прокуратура поиска щатно разписание с 45 длъжности, и в края на февруари 2024 г., когато искане за коригиращ бюджет за 2024 г. за 2,98 милиона евро и 37 щатни длъжности също беше отхвърлено; отбелязва, че решението за набиране на изпълнители в рамките на службата би могло да бъде част от временно решение за справяне с прекратяването на услугите, предоставяни от ГД „Цифрови услуги“, но въпреки че този подход би осигурил незабавна оперативна приемственост, той не следва да бъде замислен като окончателно решение за Европейската прокуратура, като се вземе предвид изключително чувствителният характер на нейните дейности и необходимостта да се гарантира непрекъснатост и надеждност на нейните цифрови услуги, както и най-високото равнище на сигурност на нейната ИТ инфраструктура, системи и оборудване; споделя становището, че отхвърлянето на бюджетните искания на Европейската прокуратура е показателно за различия в оценката на проблема, което оказва неблагоприятно въздействие върху оперативните дейности на Европейската прокуратура и представлява потенциален риск за репутацията на Съюза, в случай че доведе до отслабване на оперативния капацитет на Европейската прокуратура;</w:t>
      </w:r>
    </w:p>
    <w:p w14:paraId="7FAE2BBA" w14:textId="77777777" w:rsidR="00DC29FD" w:rsidRPr="00F56501" w:rsidRDefault="008F60AF" w:rsidP="002E5B22">
      <w:pPr>
        <w:widowControl/>
        <w:spacing w:after="240"/>
        <w:ind w:left="567" w:hanging="567"/>
        <w:rPr>
          <w:szCs w:val="24"/>
        </w:rPr>
      </w:pPr>
      <w:r>
        <w:t>73</w:t>
      </w:r>
      <w:r w:rsidR="00DC29FD" w:rsidRPr="00F56501">
        <w:t>.</w:t>
      </w:r>
      <w:r w:rsidR="00DC29FD" w:rsidRPr="00F56501">
        <w:tab/>
        <w:t xml:space="preserve">изразява разбиране, че всеки европейски делегиран прокурор трябва да използва както съответната национална система за управление на делата, така и системата за управление на делата на Европейската прокуратура, които обаче са различни бази данни, за които са приложими различни права на достъп; счита, че това положение увеличава ежедневната сложност на управлението на данните; съзнава също така, че за да се даде възможност за обработването и обмена на информация между централните служби на европейските делегирани прокурори и Европейската прокуратура, всички дела трябва да бъдат цифровизирани от европейските делегирани прокурори, като се използват национални цифрови инструменти и в съответствие с националното право; във връзка с това оценява </w:t>
      </w:r>
      <w:r w:rsidR="00DC29FD" w:rsidRPr="00F56501">
        <w:lastRenderedPageBreak/>
        <w:t>официалното създаване на статут на сътрудник на национален европейски делегиран прокурор в официалната организационна структура, който дава възможност за предоставяне на пряк достъп на сътрудниците на националните европейски делегирани прокурори (служители на националната служба) до системата за управление на делата на Европейската прокуратура, като това освобождава европейските делегирани прокурори от административни задачи и създава основа за по-голяма точност и последователност на данните по делата между двете системи за управление на делата; счита, че начинът за интегриране на системата за управление на делата на Европейската прокуратура и националните системи за управление на делата ще бъде улеснен чрез подходящо преразглеждане на регулирането и че тези стъпки ще повишат ефективността на разследванията на Европейската прокуратура; отбелязва обаче, че подобна интеграция би могла да бъде преди всичко въпрос на съвместими технологични решения, използвани в различните държави членки и свързани с действителното равнище на цифровизация на съдебните производства в тези държави членки; отбелязва, че тежестта на присъщите разходи понастоящем се поделя, като националният бюджет покрива разходите за оборудването, необходимо за взаимодействие с националните системи за управление на делата, а бюджетът на Европейската прокуратура покрива разходите за хардуера и създаването на цифрова работна среда, която е гарантирана по същия стандарт като за служителите в централната служба на Европейската прокуратура и която се счита за част от оперативните разходи за комуникация, предвидени в Регламент (ЕС) 2017/1939;</w:t>
      </w:r>
    </w:p>
    <w:p w14:paraId="57D07196" w14:textId="77777777" w:rsidR="00DC29FD" w:rsidRPr="00F56501" w:rsidRDefault="008F60AF" w:rsidP="002E5B22">
      <w:pPr>
        <w:widowControl/>
        <w:spacing w:after="240"/>
        <w:ind w:left="567" w:hanging="567"/>
        <w:rPr>
          <w:szCs w:val="24"/>
        </w:rPr>
      </w:pPr>
      <w:r>
        <w:t>74</w:t>
      </w:r>
      <w:r w:rsidR="00DC29FD" w:rsidRPr="00F56501">
        <w:t>.</w:t>
      </w:r>
      <w:r w:rsidR="00DC29FD" w:rsidRPr="00F56501">
        <w:tab/>
        <w:t xml:space="preserve">изразява разбиране, че оперативната съвместимост е от съществено значение за постигането на ефективен обмен на данни и сътрудничество и че за да се приемат минимални общи споразумения за обмен на данни и прилагането на инструменти за съдебна оперативна съвместимост, проектът за използване от Европейската прокуратура на комуникация в областта на електронното правосъдие посредством онлайн обмен на данни (e-CODEX), стартиран през 2023 г., включи няколко семинара с Консорциума за e-CODEX за привеждане в съответствие с техническите и функционалните изисквания; изразява съжаление, че след няколко семинара с Консорциума за e-CODEX проектът беше спрян, за да се даде възможност за преход към новия ръководител на програмата e-CODEX — </w:t>
      </w:r>
      <w:proofErr w:type="spellStart"/>
      <w:r w:rsidR="00DC29FD" w:rsidRPr="00F56501">
        <w:t>eu</w:t>
      </w:r>
      <w:proofErr w:type="spellEnd"/>
      <w:r w:rsidR="00DC29FD" w:rsidRPr="00F56501">
        <w:t>-LISA, и поради липсата на ресурси на Европейската прокуратура за експертен опит в тази област; призовава Комисията да действа като посредник за по-нататъшния напредък по проекта и да вземе предвид тези действия в оценката на бюджетните потребности на Европейската прокуратура;</w:t>
      </w:r>
    </w:p>
    <w:p w14:paraId="72A25A6F" w14:textId="77777777" w:rsidR="00DC29FD" w:rsidRPr="00F56501" w:rsidRDefault="008F60AF" w:rsidP="002E5B22">
      <w:pPr>
        <w:widowControl/>
        <w:spacing w:after="240"/>
        <w:ind w:left="567" w:hanging="567"/>
        <w:rPr>
          <w:szCs w:val="24"/>
        </w:rPr>
      </w:pPr>
      <w:r>
        <w:t>75</w:t>
      </w:r>
      <w:r w:rsidR="00DC29FD" w:rsidRPr="00F56501">
        <w:t>.</w:t>
      </w:r>
      <w:r w:rsidR="00DC29FD" w:rsidRPr="00F56501">
        <w:tab/>
        <w:t xml:space="preserve">съзнава нарасналата заплаха за структурната цялост на информационните технологии на Европейската прокуратура, произтичаща от агресивността на организираната престъпност, с която Европейската прокуратура се бори, и водеща до необходимостта от засилване на физическата и цифровата сигурност; отбелязва, че през 2023 г. Европейската прокуратура се съсредоточи върху укрепването на управлението на своята сигурност; оценява решението на Европейската прокуратура за създаване на специално звено за работа в областта на киберсигурността и физическата сигурност; отбелязва, че Европейската прокуратура е изготвила рамка, включваща нови процеси, роли и отговорности и политики за повишаване на сигурността на цифровите системи, използвани за обработването на оперативни и административни данни; изразява разбиране, че са извършени няколко оценки на риска, за да се оцени рамката за сигурност на </w:t>
      </w:r>
      <w:r w:rsidR="00DC29FD" w:rsidRPr="00F56501">
        <w:lastRenderedPageBreak/>
        <w:t>цифровите системи, в които се предлага прилагането на допълнителни технически и управленски мерки за подобряване на средата на сигурност на Европейската прокуратура; отбелязва, че при тези обстоятелства беше подобрена политическата рамка, като през 2023 г. беше предложена стратегия за сигурност и глобална политика за информационна сигурност, която беше официално одобрена и приета през 2024 г.;</w:t>
      </w:r>
    </w:p>
    <w:p w14:paraId="59745773" w14:textId="77777777" w:rsidR="00DC29FD" w:rsidRPr="00F56501" w:rsidRDefault="008F60AF" w:rsidP="002E5B22">
      <w:pPr>
        <w:widowControl/>
        <w:spacing w:after="240"/>
        <w:ind w:left="567" w:hanging="567"/>
        <w:rPr>
          <w:szCs w:val="24"/>
        </w:rPr>
      </w:pPr>
      <w:r>
        <w:t>76</w:t>
      </w:r>
      <w:r w:rsidR="00DC29FD" w:rsidRPr="00F56501">
        <w:t>.</w:t>
      </w:r>
      <w:r w:rsidR="00DC29FD" w:rsidRPr="00F56501">
        <w:tab/>
        <w:t>отбелязва, че през 2023 г. Европейската прокуратура приключи създаването на звена за контакт по въпросите на сигурността във всички участващи държави членки с цел засилване на сътрудничеството по въпросите на сигурността за служителите и службите на Европейската прокуратура, намиращи се в тези държави членки; приветства споразумението за нивото на обслужване със Службата за киберсигурност за институциите, органите, службите и агенциите на Съюза (CERT-EU), която предоставя подкрепа и мониторинг за конкретни услуги по въпроси, свързани с реагирането при инциденти; подчертава, че внедрената система за оценка на риска и за докладване на инциденти е добре структурирана и се предоставя ефективно обучение; оценява външната оценка, извършена за физическата сигурност, чиито констатации са отразени в пътна карта за подобрение от страна на приемащата държава;</w:t>
      </w:r>
    </w:p>
    <w:p w14:paraId="5F4BABD2" w14:textId="77777777" w:rsidR="00DC29FD" w:rsidRPr="00F56501" w:rsidRDefault="008F60AF" w:rsidP="002E5B22">
      <w:pPr>
        <w:widowControl/>
        <w:spacing w:after="240"/>
        <w:ind w:left="567" w:hanging="567"/>
        <w:rPr>
          <w:szCs w:val="24"/>
        </w:rPr>
      </w:pPr>
      <w:r>
        <w:t>77</w:t>
      </w:r>
      <w:r w:rsidR="00DC29FD" w:rsidRPr="00F56501">
        <w:t>.</w:t>
      </w:r>
      <w:r w:rsidR="00DC29FD" w:rsidRPr="00F56501">
        <w:tab/>
        <w:t>приветства значителния напредък, постигнат през 2023 г. по отношение на изграждането на резервен център за данни и разгръщането на свързания с него сценарий за възстановяване при бедствия; оценява в това отношение разработването от страна на Европейската прокуратура на нейната собствена екосистема за управление на делата, като всички нейни компоненти се намират в центъра за данни на Европейската прокуратура и се управляват от служители на Европейската прокуратура, като се гарантират контролът, запазването и собствеността на Европейската прокуратура върху системите и обработваните данни;</w:t>
      </w:r>
    </w:p>
    <w:p w14:paraId="750B7758" w14:textId="77777777" w:rsidR="00DC29FD" w:rsidRPr="00F56501" w:rsidRDefault="008F60AF" w:rsidP="002E5B22">
      <w:pPr>
        <w:widowControl/>
        <w:spacing w:after="240"/>
        <w:ind w:left="567" w:hanging="567"/>
      </w:pPr>
      <w:r>
        <w:t>78</w:t>
      </w:r>
      <w:r w:rsidR="00DC29FD" w:rsidRPr="00F56501">
        <w:t>.</w:t>
      </w:r>
      <w:r w:rsidR="00DC29FD" w:rsidRPr="00F56501">
        <w:tab/>
        <w:t>признава потребността на Европейската прокуратура от модерно оборудване и информационни системи за справяне с все по-сложните престъпления, които често включват цифрови елементи и цифрови методики; подчертава също така неотложната необходимост от разработване на силна рамка за киберсигурност, като се имат предвид нарастващите рискове, породени от високотехнологичните престъпни мрежи и потенциалните чуждестранни намеси чрез кибератаки; подкрепя Европейската прокуратура в искането ѝ за отпускане на ресурси за защита на нейната киберсигурност и призовава за бързото прилагане на стабилна стратегия за киберсигурност с цел защита на операциите и целостта на данните на Европейската прокуратура;</w:t>
      </w:r>
    </w:p>
    <w:p w14:paraId="53EE65ED" w14:textId="3629C458" w:rsidR="00DC29FD" w:rsidRPr="00F56501" w:rsidRDefault="008F60AF" w:rsidP="002E5B22">
      <w:pPr>
        <w:widowControl/>
        <w:spacing w:after="240"/>
        <w:ind w:left="567" w:hanging="567"/>
        <w:rPr>
          <w:i/>
          <w:szCs w:val="24"/>
        </w:rPr>
      </w:pPr>
      <w:r>
        <w:t>79</w:t>
      </w:r>
      <w:r w:rsidR="00DC29FD" w:rsidRPr="00F56501">
        <w:t>.</w:t>
      </w:r>
      <w:r w:rsidR="00DC29FD" w:rsidRPr="00F56501">
        <w:tab/>
        <w:t xml:space="preserve">подчертава, че естеството на дейностите на Европейската прокуратура води до необходимостта от специален надзор и специално внимание към защитата на личните данни; счита, че Европейската прокуратура и ЕНОЗД следва да започнат непрекъснат диалог, за да се гарантира използваемостта на данните за целите на разследването и наказателното преследване и същевременно да се зачита защитата на личните данни; изразява разбиране, че изискванията, свързани със защитата на данните, произтичат от Регламент (ЕС) 2017/1939 и от Регламент </w:t>
      </w:r>
      <w:r w:rsidR="00DC29FD" w:rsidRPr="00F56501">
        <w:lastRenderedPageBreak/>
        <w:t>(ЕС) 2018/1725</w:t>
      </w:r>
      <w:r w:rsidR="002C4718">
        <w:t xml:space="preserve"> </w:t>
      </w:r>
      <w:r w:rsidR="002C4718" w:rsidRPr="006B06B4">
        <w:rPr>
          <w:color w:val="000000"/>
        </w:rPr>
        <w:t>на Европейския парламент и на Съвета</w:t>
      </w:r>
      <w:r w:rsidR="00DC29FD" w:rsidRPr="00F56501">
        <w:rPr>
          <w:rStyle w:val="FootnoteReference"/>
          <w:szCs w:val="24"/>
        </w:rPr>
        <w:footnoteReference w:id="16"/>
      </w:r>
      <w:r w:rsidR="00DC29FD" w:rsidRPr="00F56501">
        <w:t xml:space="preserve"> и че тези изисквания се допълват и прилагат с решения на Колегията, приети след консултация с ЕНОЗД; оценява решението за предоставяне на задължително обучение за всички служители, включително специално обучение за защита на данните, което е от съществено значение за достъпа до системата за управление на делата на Европейската прокуратура;</w:t>
      </w:r>
    </w:p>
    <w:p w14:paraId="7BC911C8" w14:textId="77777777" w:rsidR="00DC29FD" w:rsidRPr="00F56501" w:rsidRDefault="00DC29FD" w:rsidP="002E5B22">
      <w:pPr>
        <w:widowControl/>
        <w:spacing w:after="240"/>
        <w:ind w:left="567" w:hanging="567"/>
        <w:rPr>
          <w:b/>
          <w:i/>
          <w:szCs w:val="24"/>
        </w:rPr>
      </w:pPr>
      <w:r w:rsidRPr="00F56501">
        <w:rPr>
          <w:b/>
          <w:i/>
        </w:rPr>
        <w:t>Сгради и сигурност</w:t>
      </w:r>
    </w:p>
    <w:p w14:paraId="6BBC19F1" w14:textId="77777777" w:rsidR="00DC29FD" w:rsidRPr="00F56501" w:rsidRDefault="008F60AF" w:rsidP="002E5B22">
      <w:pPr>
        <w:widowControl/>
        <w:spacing w:after="240"/>
        <w:ind w:left="567" w:hanging="567"/>
        <w:rPr>
          <w:bCs/>
          <w:szCs w:val="24"/>
        </w:rPr>
      </w:pPr>
      <w:r>
        <w:t>80</w:t>
      </w:r>
      <w:r w:rsidR="00DC29FD" w:rsidRPr="00F56501">
        <w:t>.</w:t>
      </w:r>
      <w:r w:rsidR="00DC29FD" w:rsidRPr="00F56501">
        <w:tab/>
        <w:t>отбелязва, че благодарение на споразумението за наем, с което люксембургските органи предоставят без заплащане на наем сградата, в която понастоящем се намира централната служба на Европейската прокуратура (сградата TOB), разходите са ограничени до такса за обслужване в размер на 716 724 EUR годишно; отбелязва, че през 2023 г. на същите люксембургски органи са заплатени 248 103 EUR за охранителни инсталации на двата допълнителни етажа (9 и 10), предоставени на Европейската прокуратура през първото тримесечие на 2023 г.;</w:t>
      </w:r>
    </w:p>
    <w:p w14:paraId="2A3C2F28" w14:textId="77777777" w:rsidR="00DC29FD" w:rsidRPr="00F56501" w:rsidRDefault="008F60AF" w:rsidP="002E5B22">
      <w:pPr>
        <w:widowControl/>
        <w:spacing w:after="240"/>
        <w:ind w:left="567" w:hanging="567"/>
        <w:rPr>
          <w:szCs w:val="24"/>
        </w:rPr>
      </w:pPr>
      <w:r>
        <w:t>81</w:t>
      </w:r>
      <w:r w:rsidR="00DC29FD" w:rsidRPr="00F56501">
        <w:t>.</w:t>
      </w:r>
      <w:r w:rsidR="00DC29FD" w:rsidRPr="00F56501">
        <w:tab/>
        <w:t>приветства, като има предвид физическата сигурност, разпределението — с коригиращ бюджет за 2023 г. и бюджета за 2024 г. — на ресурсите, необходими за наличието на пропорционален капацитет за предоставяне на подобрени услуги за сигурност (21 допълнителни длъжности за повишаване на капацитета ѝ в областта на сигурността), както и усилията на Европейската прокуратура за непрекъснато подобряване и привеждане в съответствие с ефикасността на процесите на физическа сигурност; поддържа виждането, че правилното функциониране на Европейската прокуратура предполага това, че прокурорите и служителите трябва да бъдат защитени, за да могат да изпълняват мисията си в пълна степен, без заплахи, влияние или натиск;</w:t>
      </w:r>
    </w:p>
    <w:p w14:paraId="61E9EE11" w14:textId="77777777" w:rsidR="00DC29FD" w:rsidRPr="00F56501" w:rsidRDefault="00DC29FD" w:rsidP="002E5B22">
      <w:pPr>
        <w:pStyle w:val="NormalHanging12a"/>
        <w:widowControl/>
        <w:rPr>
          <w:b/>
          <w:i/>
          <w:szCs w:val="24"/>
        </w:rPr>
      </w:pPr>
      <w:r w:rsidRPr="00F56501">
        <w:rPr>
          <w:b/>
          <w:i/>
        </w:rPr>
        <w:t>Околна среда и устойчивост</w:t>
      </w:r>
    </w:p>
    <w:p w14:paraId="665EE887" w14:textId="77777777" w:rsidR="00DC29FD" w:rsidRPr="00F56501" w:rsidRDefault="008F60AF" w:rsidP="002E5B22">
      <w:pPr>
        <w:widowControl/>
        <w:spacing w:after="240"/>
        <w:ind w:left="567" w:hanging="567"/>
      </w:pPr>
      <w:r>
        <w:t>82</w:t>
      </w:r>
      <w:r w:rsidR="00DC29FD" w:rsidRPr="00F56501">
        <w:t>.</w:t>
      </w:r>
      <w:r w:rsidR="00DC29FD" w:rsidRPr="00F56501">
        <w:tab/>
        <w:t>счита, че люксембургските органи, които предоставят сградите на централната служба на Европейската прокуратура, следва да вземат предвид тяхната устойчивост и енергийна ефективност; призовава Европейската прокуратура да започне дискусии с люксембургските органи за проучване на специфични действия за подобряване на екологичния отпечатък на нейните помещения, включително инсталирането на възобновяеми енергийни източници, като например слънчеви панели, въвеждането на мерки за компенсиране на емисиите на CO</w:t>
      </w:r>
      <w:r w:rsidR="00DC29FD" w:rsidRPr="00F56501">
        <w:rPr>
          <w:vertAlign w:val="subscript"/>
        </w:rPr>
        <w:t>2</w:t>
      </w:r>
      <w:r w:rsidR="00DC29FD" w:rsidRPr="00F56501">
        <w:t xml:space="preserve"> и прилагането на Схемата за управление по околна среда и одит с цел оценка, докладване, подобряване на екологичните резултати на организацията и икономия на енергия; призовава Комисията да улесни диалога между Европейската прокуратура и органите на приемащата държава, за да се гарантира </w:t>
      </w:r>
      <w:r w:rsidR="00DC29FD" w:rsidRPr="00F56501">
        <w:lastRenderedPageBreak/>
        <w:t>оптималното използване на ресурсите и привеждането на операциите на Европейската прокуратура в съответствие с устойчивостта на Съюза;</w:t>
      </w:r>
    </w:p>
    <w:p w14:paraId="620B6187" w14:textId="77777777" w:rsidR="00DC29FD" w:rsidRPr="00F56501" w:rsidRDefault="008F60AF" w:rsidP="002E5B22">
      <w:pPr>
        <w:widowControl/>
        <w:spacing w:after="240"/>
        <w:ind w:left="567" w:hanging="567"/>
        <w:rPr>
          <w:szCs w:val="24"/>
        </w:rPr>
      </w:pPr>
      <w:r>
        <w:t>83</w:t>
      </w:r>
      <w:r w:rsidR="00DC29FD" w:rsidRPr="00F56501">
        <w:t>.</w:t>
      </w:r>
      <w:r w:rsidR="00DC29FD" w:rsidRPr="00F56501">
        <w:tab/>
        <w:t>отбелязва, че централният офис на Европейската прокуратура е интегриран в люксембургската мрежа за безплатен обществен транспорт, което го прави лесно достъпен чрез средства със слабо въздействие върху околната среда, безплатно за служителите и посетителите, и че подземният паркинг в централния офис осигурява специална зона за паркиране на велосипеди; изразява разбиране, че продължава обменът на информация относно инсталирането на станции за зареждане на електрически превозни средства в същия подземен паркинг за автомобили;</w:t>
      </w:r>
    </w:p>
    <w:p w14:paraId="69A953C1" w14:textId="77777777" w:rsidR="00DC29FD" w:rsidRPr="00F56501" w:rsidRDefault="00DC29FD" w:rsidP="002E5B22">
      <w:pPr>
        <w:widowControl/>
        <w:spacing w:after="240"/>
        <w:ind w:left="567" w:hanging="567"/>
        <w:rPr>
          <w:b/>
          <w:i/>
          <w:color w:val="000000"/>
          <w:szCs w:val="24"/>
        </w:rPr>
      </w:pPr>
      <w:r w:rsidRPr="00F56501">
        <w:rPr>
          <w:b/>
          <w:i/>
          <w:color w:val="000000"/>
        </w:rPr>
        <w:t>Междуинституционално сътрудничество</w:t>
      </w:r>
    </w:p>
    <w:p w14:paraId="1FFEF98B" w14:textId="77777777" w:rsidR="00DC29FD" w:rsidRPr="00F56501" w:rsidRDefault="008F60AF" w:rsidP="002E5B22">
      <w:pPr>
        <w:widowControl/>
        <w:spacing w:after="240"/>
        <w:ind w:left="567" w:hanging="567"/>
        <w:rPr>
          <w:szCs w:val="24"/>
        </w:rPr>
      </w:pPr>
      <w:r>
        <w:t>84</w:t>
      </w:r>
      <w:r w:rsidR="00DC29FD" w:rsidRPr="00F56501">
        <w:t>.</w:t>
      </w:r>
      <w:r w:rsidR="00DC29FD" w:rsidRPr="00F56501">
        <w:tab/>
        <w:t>поддържа виждането, че ролята на Европейската прокуратура като основен оперативен компонент на архитектурата на Съюза за борба с измамите може да бъде изпълнявана ефективно само при интензивно сътрудничество с нейните партньори и заинтересованите страни и подкрепа от тяхна страна; отново заявява, че Европейската прокуратура може да изпълнява своята роля само ако се ползва с пълната независимост на съдебната власт; насърчава държавите членки да допринесат за пълната независимост на Европейската прокуратура в това отношение и насърчава Европейската прокуратура да продължи усилията си за комуникация и координация с няколко партньора, чиито действия са замислени така, че да бъдат реципрочни и допълващи се;</w:t>
      </w:r>
    </w:p>
    <w:p w14:paraId="13B80897" w14:textId="77777777" w:rsidR="00DC29FD" w:rsidRPr="00F56501" w:rsidRDefault="008F60AF" w:rsidP="002E5B22">
      <w:pPr>
        <w:widowControl/>
        <w:spacing w:after="240"/>
        <w:ind w:left="567" w:hanging="567"/>
      </w:pPr>
      <w:r>
        <w:t>85</w:t>
      </w:r>
      <w:r w:rsidR="00DC29FD" w:rsidRPr="00F56501">
        <w:t>.</w:t>
      </w:r>
      <w:r w:rsidR="00DC29FD" w:rsidRPr="00F56501">
        <w:tab/>
        <w:t>приветства инициативите, започнати от OLAF и Европейската прокуратура за засилване и рационализиране на тяхното оперативно сътрудничество и споделяне на знания между участващите субекти; оценява първата международна конференция, която позволява обмен на мнения между прокурорите на Европейската прокуратура и следователите на OLAF, чийто домакин беше Парламентът през 2024 г.; подчертава, че преразглеждането на регулаторните рамки на OLAF и Европейската прокуратура предоставя възможност за преразглеждане на много аспекти на съвместната им работа с оглед на опита, натрупан през първите години от оперативната дейност на Европейската прокуратура, като се обърне специално внимание на започването от OLAF на допълнителни разследвания и административни разследвания в подкрепа на Европейската прокуратура, както и нарасналата роля на OLAF при разкриването и докладването на измами пред Европейската прокуратура в подкрепа на възстановяването на щетите за бюджета на Съюза; счита, че диалогът и сътрудничеството в рамките на архитектурата за борба с измамите биха могли да станат по-ефективни чрез създаването на редовен междуинституционален форум с оглед оптимизиране на ефективността и ефикасността на наличните ресурси в действие;</w:t>
      </w:r>
    </w:p>
    <w:p w14:paraId="162E3A16" w14:textId="77777777" w:rsidR="00DC29FD" w:rsidRPr="00F56501" w:rsidRDefault="008F60AF" w:rsidP="002E5B22">
      <w:pPr>
        <w:widowControl/>
        <w:spacing w:after="240"/>
        <w:ind w:left="567" w:hanging="567"/>
      </w:pPr>
      <w:r>
        <w:t>86</w:t>
      </w:r>
      <w:r w:rsidR="00DC29FD" w:rsidRPr="00F56501">
        <w:t>.</w:t>
      </w:r>
      <w:r w:rsidR="00DC29FD" w:rsidRPr="00F56501">
        <w:tab/>
        <w:t>приветства инициативите, започнати от OLAF и Европейската прокуратура за засилване на оперативния диалог и подобряване на координацията; подчертава значението на пълния и ефективен обмен на данни между Европейската прокуратура, OLAF, Евроюст и Европол, за да се гарантира безпрепятствено сътрудничество в борбата срещу трансграничните измами; призовава за създаването на съвместна работна група, която да наблюдава интегрирането на данните и ефективността на управлението на делата в рамките на тези органи;</w:t>
      </w:r>
    </w:p>
    <w:p w14:paraId="06771E6F" w14:textId="77777777" w:rsidR="00DC29FD" w:rsidRPr="00F56501" w:rsidRDefault="008F60AF" w:rsidP="002E5B22">
      <w:pPr>
        <w:widowControl/>
        <w:spacing w:after="240"/>
        <w:ind w:left="567" w:hanging="567"/>
      </w:pPr>
      <w:r>
        <w:lastRenderedPageBreak/>
        <w:t>87</w:t>
      </w:r>
      <w:r w:rsidR="00DC29FD" w:rsidRPr="00F56501">
        <w:t>.</w:t>
      </w:r>
      <w:r w:rsidR="00DC29FD" w:rsidRPr="00F56501">
        <w:tab/>
        <w:t>насърчава продължаващото и засилено сътрудничество между Европейската прокуратура и OLAF в съответствие с техните съответни регламенти, както и задължението на OLAF да докладва без ненужно забавяне пред Европейската прокуратура за подозрения за престъпен контакт, за да може тя да води борба срещу измамите, корупцията и финансовите престъпления, засягащи финансовите интереси на Съюза; подкрепя по-нататъшното разработване на съвместни инициативи, обмен на информация и координирани действия между Европейската прокуратура и OLAF, тъй като това сътрудничество е от жизненоважно значение за засилване на защитата на финансовите интереси на Съюза и на борбата на Съюза срещу финансовите престъпления и за гарантиране на ефективното и ефикасното използване на ресурсите на Съюза;</w:t>
      </w:r>
    </w:p>
    <w:p w14:paraId="22D743E5" w14:textId="77777777" w:rsidR="00DC29FD" w:rsidRPr="00F56501" w:rsidRDefault="008F60AF" w:rsidP="002E5B22">
      <w:pPr>
        <w:widowControl/>
        <w:spacing w:after="240"/>
        <w:ind w:left="567" w:hanging="567"/>
        <w:rPr>
          <w:szCs w:val="24"/>
        </w:rPr>
      </w:pPr>
      <w:r>
        <w:t>88</w:t>
      </w:r>
      <w:r w:rsidR="00DC29FD" w:rsidRPr="00F56501">
        <w:t>.</w:t>
      </w:r>
      <w:r w:rsidR="00DC29FD" w:rsidRPr="00F56501">
        <w:tab/>
        <w:t>приветства тясното сътрудничество през 2023 г. между Европейската прокуратура и Сметната палата, което доведе до своевременното предаване на информация относно подозрения за престъпления, попадащи в сферата на компетентност на Европейската прокуратура;</w:t>
      </w:r>
    </w:p>
    <w:p w14:paraId="37546B2E" w14:textId="77777777" w:rsidR="00DC29FD" w:rsidRPr="00F56501" w:rsidRDefault="008F60AF" w:rsidP="002E5B22">
      <w:pPr>
        <w:widowControl/>
        <w:spacing w:after="240"/>
        <w:ind w:left="567" w:hanging="567"/>
      </w:pPr>
      <w:r>
        <w:t>89</w:t>
      </w:r>
      <w:r w:rsidR="00DC29FD" w:rsidRPr="00F56501">
        <w:t>.</w:t>
      </w:r>
      <w:r w:rsidR="00DC29FD" w:rsidRPr="00F56501">
        <w:tab/>
        <w:t>очаква създадената заедно с Комисията работна група и заседанията относно прилагането на работната договореност между Комисията и Европейската прокуратура да гарантират, че предоставянето на информация от страна на Европейската прокуратура за целите на административното възстановяване на суми, както е предвидено в член 103, параграф 2, буква в) от Регламент (ЕС) 2017/1939, надлежно и ефективно ще дадат възможност на Комисията да увеличи максимално възстановяването на суми, дължими към бюджета на Съюза, като същевременно се спазва поверителността и се осигурява правилното провеждане на действията по разследване; подчертава, че в това специфично отношение все още не е предоставена обратна информация от нито една от страните, което възпрепятства законодателите да постигнат цялостно разбиране на основните въпроси, включително конкретните суми, които държавите членки възстановяват на Комисията в случаите на ощетяване на бюджета на ЕС; подчертава, че възстановяването на средства от националните органи остава отговорност на Комисията, както е посочено в писмото за определяне на ресора за члена на Комисията, отговарящ за бюджета, за борбата с измамите и за публичната администрация, а същевременно Европейската прокуратура не разполага с мандат за последващи действия във връзка с процеса на възстановяването на средства; призовава държавите членки да засилят сътрудничеството и да информират както Комисията, така и Европейската прокуратура за окончателните конфискации; настоятелно призовава за преразглеждане на съответните регламенти, за да се изясни ролята на Европейската прокуратура в процеса на възстановяването; и настоятелно призовава Европейската прокуратура и Комисията да приемат договорена форма на докладване пред Парламента; изразява разбиране, че това би могло да изисква подходящо развитие на системата за управление на делата на Европейската прокуратура, и изисква от Комисията да даде приоритет на разпределянето на ресурси за Европейската прокуратура, за да се отговори на тази необходимост;</w:t>
      </w:r>
    </w:p>
    <w:p w14:paraId="3CA08606" w14:textId="77777777" w:rsidR="00DC29FD" w:rsidRPr="00F56501" w:rsidRDefault="008F60AF" w:rsidP="002E5B22">
      <w:pPr>
        <w:widowControl/>
        <w:spacing w:after="240"/>
        <w:ind w:left="567" w:hanging="567"/>
        <w:rPr>
          <w:b/>
          <w:i/>
        </w:rPr>
      </w:pPr>
      <w:r>
        <w:t>90</w:t>
      </w:r>
      <w:r w:rsidR="00DC29FD" w:rsidRPr="00F56501">
        <w:t>.</w:t>
      </w:r>
      <w:r w:rsidR="00DC29FD" w:rsidRPr="00F56501">
        <w:tab/>
        <w:t xml:space="preserve">приветства засиленото сътрудничество с Европол; отбелязва, че програмата ODIN (оперативна мрежа за цифрова инфраструктура) ще даде възможност за пълното използване на количеството данни, събрани от Европейската прокуратура в хода на провежданите от нея разследвания (над 1 000 терабайта и нарастващи); отбелязва, че в тази рамка Европейската прокуратура е установила възможни </w:t>
      </w:r>
      <w:r w:rsidR="00DC29FD" w:rsidRPr="00F56501">
        <w:lastRenderedPageBreak/>
        <w:t xml:space="preserve">престъпления извън своята компетентност, включително организирана престъпност, трафик на наркотици, незаконно производство на цигари, инвестиционни измами, незаконен хазарт и проституция (престъпления, които не са свързани със защитата на финансовите интереси на Съюза), и други, които са довели до предаването на няколко досиета като ключово доказателство по текущи национални разследвания, и че националните прокуратури са образували 28 нови производства за по-нататъшно разследване на тези престъпления, несвързани със защитата на финансовите интереси на Съюза, които са извън компетентността на Европейската прокуратура; изразява обаче разбиране, че във връзка с този и други анализи сътрудничеството с Европол е засегнато от ограничения, произтичащи от националното </w:t>
      </w:r>
      <w:proofErr w:type="spellStart"/>
      <w:r w:rsidR="00DC29FD" w:rsidRPr="00F56501">
        <w:t>наказателнопроцесуално</w:t>
      </w:r>
      <w:proofErr w:type="spellEnd"/>
      <w:r w:rsidR="00DC29FD" w:rsidRPr="00F56501">
        <w:t xml:space="preserve"> право и достъпността на притежаваните от Европейската прокуратура данни; подчертава, че съществуващата компетентност на Европейската прокуратура за разследване на организираната престъпност и изпирането на пари, когато са свързани с измами, засягащи финансовите интереси на Съюза, следва да бъде подкрепена чрез подходящи ресурси и ефективно сътрудничество с Европол; счита, че макар сътрудничеството с Европол трябва да бъде допълнително засилено, то не може напълно да замени развитието на вътрешната аналитична платформа на Европейската прокуратура, която остава от съществено значение за бързото тълкуване на данните, събрани в хода на провежданите от нея разследвания, и за определянето на оперативни стратегии при трансгранични случаи, изискващи достъп до цялата система за управление на делата на Европейската прокуратура; припомня, че в предстоящия си доклад за оценка Комисията следва внимателно да анализира по отношение на кои категории престъпления е необходимо да бъде разширен мандатът на Европейската прокуратура, за да може тя да използва в пълна степен своя потенциал, приветства призива на Европейската прокуратура за засилено сътрудничество с институциите на Съюза;</w:t>
      </w:r>
    </w:p>
    <w:p w14:paraId="75426480" w14:textId="77777777" w:rsidR="00DC29FD" w:rsidRPr="00F56501" w:rsidRDefault="008F60AF" w:rsidP="002E5B22">
      <w:pPr>
        <w:widowControl/>
        <w:spacing w:after="240"/>
        <w:ind w:left="567" w:hanging="567"/>
        <w:rPr>
          <w:szCs w:val="24"/>
        </w:rPr>
      </w:pPr>
      <w:r>
        <w:t>91</w:t>
      </w:r>
      <w:r w:rsidR="00DC29FD" w:rsidRPr="00F56501">
        <w:t>.</w:t>
      </w:r>
      <w:r w:rsidR="00DC29FD" w:rsidRPr="00F56501">
        <w:tab/>
        <w:t>изразява загриженост относно нарастващия брой случаи, свързани с МВУ; оценява навременната информация, предоставена на Комисията и на съответните комисии на Парламента по този въпрос; счита, че големият брой образувани дела, свързани със средства по МВУ, оправдава засилването на обмена, провеждан по-специално с работната група за възстановяване и устойчивост, с цел да се установят евентуални пропуски в надзора или контрола или да се открият модели на измами и да се даде възможност на Комисията да актуализира своите механизми за мониторинг на изпълнението и да приложи наскоро разработените мерки за намаляване и възстановяване; отново заявява, че средствата по МВУ са средства на Съюза, а не национални средства, и попадат в обхвата на компетентността на Европейската прокуратура, и насърчава Комисията и другите органи и агенции на Съюза да увеличат усилията за откриване на нарушения и да докладват на Европейската прокуратура за всеки съответен случай;</w:t>
      </w:r>
    </w:p>
    <w:p w14:paraId="0F1677EA" w14:textId="77777777" w:rsidR="00DC29FD" w:rsidRPr="00F56501" w:rsidRDefault="008F60AF" w:rsidP="002E5B22">
      <w:pPr>
        <w:widowControl/>
        <w:spacing w:after="240"/>
        <w:ind w:left="567" w:hanging="567"/>
      </w:pPr>
      <w:r>
        <w:t>92</w:t>
      </w:r>
      <w:r w:rsidR="00DC29FD" w:rsidRPr="00F56501">
        <w:t>.</w:t>
      </w:r>
      <w:r w:rsidR="00DC29FD" w:rsidRPr="00F56501">
        <w:tab/>
        <w:t>приветства факта, че Европейската прокуратура подписа работно споразумение с Европейския парламент през ноември 2024 г., с което се установяват ясни условия за сътрудничество с цел защита на финансовите интереси на Съюза;</w:t>
      </w:r>
    </w:p>
    <w:p w14:paraId="6C0317C2" w14:textId="77777777" w:rsidR="00DC29FD" w:rsidRPr="00F56501" w:rsidRDefault="008F60AF" w:rsidP="002E5B22">
      <w:pPr>
        <w:widowControl/>
        <w:spacing w:after="240"/>
        <w:ind w:left="567" w:hanging="567"/>
        <w:rPr>
          <w:bCs/>
          <w:szCs w:val="24"/>
        </w:rPr>
      </w:pPr>
      <w:r>
        <w:t>93</w:t>
      </w:r>
      <w:r w:rsidR="00DC29FD" w:rsidRPr="00F56501">
        <w:t>.</w:t>
      </w:r>
      <w:r w:rsidR="00DC29FD" w:rsidRPr="00F56501">
        <w:tab/>
        <w:t xml:space="preserve">отбелязва, че през 2023 г. Европейската прокуратура е продължила да разчита на междуинституционални договори и двустранни споразумения за закупуване на стоки и услуги на по-ниска цена; отбелязва, че в края на 2023 г. Европейската прокуратура е имала 80 активни участия в междуинституционални рамкови договори и 22 споразумения за нивото на обслужване или други двустранни </w:t>
      </w:r>
      <w:r w:rsidR="00DC29FD" w:rsidRPr="00F56501">
        <w:lastRenderedPageBreak/>
        <w:t>споразумения с други органи на Съюза с цел максимално увеличаване на бюджетните икономии от действащите договорни инструменти, в съответствие с принципите на доброто финансово управление;</w:t>
      </w:r>
    </w:p>
    <w:p w14:paraId="4DB35FD1" w14:textId="77777777" w:rsidR="00DC29FD" w:rsidRPr="00F56501" w:rsidRDefault="008F60AF" w:rsidP="002E5B22">
      <w:pPr>
        <w:widowControl/>
        <w:autoSpaceDE w:val="0"/>
        <w:autoSpaceDN w:val="0"/>
        <w:adjustRightInd w:val="0"/>
        <w:spacing w:after="240"/>
        <w:ind w:left="567" w:hanging="567"/>
        <w:rPr>
          <w:rFonts w:ascii="Garamond" w:eastAsia="Calibri" w:hAnsi="Garamond" w:cs="Calibri"/>
          <w:color w:val="000000" w:themeColor="text1"/>
          <w:szCs w:val="24"/>
        </w:rPr>
      </w:pPr>
      <w:r>
        <w:t>94</w:t>
      </w:r>
      <w:r w:rsidR="00DC29FD" w:rsidRPr="00F56501">
        <w:t>.</w:t>
      </w:r>
      <w:r w:rsidR="00DC29FD" w:rsidRPr="00F56501">
        <w:tab/>
        <w:t>горещо приветства участието на Полша и Швеция в Европейската прокуратура; съзнава, че това ще окаже въздействие върху бюджетните потребности на Европейската прокуратура, и подкрепя искането на Европейската прокуратура да ѝ бъдат предоставени необходимите ресурси, за да се възползва от участието на Полша и Швеция в оперативните ѝ дейности; отбелязва, че макар Ирландия и Дания да продължават да упражняват правото си на неучастие в Европейската прокуратура съгласно протоколи № 21 и № 22 от ДФЕС, Унгария е единствената оставаща държава членка, която все още не се е присъединила към Европейската прокуратура;</w:t>
      </w:r>
      <w:r w:rsidR="00DC29FD" w:rsidRPr="00F56501">
        <w:rPr>
          <w:color w:val="000000" w:themeColor="text1"/>
        </w:rPr>
        <w:t xml:space="preserve"> призовава унгарското правителство да се присъедини към Европейската прокуратура без по-нататъшно забавяне; припомня, че събирането на 680 000 подписа в подкрепа на присъединяването към Европейската прокуратура подчертава силното обществено искане за засилени правни гаранции срещу измами и корупция, засягащи финансовите интереси на Съюза;</w:t>
      </w:r>
    </w:p>
    <w:p w14:paraId="756FB5F4" w14:textId="21A9B991" w:rsidR="00DC29FD" w:rsidRPr="00F56501" w:rsidRDefault="008F60AF" w:rsidP="002E5B22">
      <w:pPr>
        <w:widowControl/>
        <w:spacing w:after="240"/>
        <w:ind w:left="567" w:hanging="567"/>
        <w:rPr>
          <w:szCs w:val="24"/>
        </w:rPr>
      </w:pPr>
      <w:r>
        <w:t>95</w:t>
      </w:r>
      <w:r w:rsidR="00DC29FD" w:rsidRPr="00F56501">
        <w:t>.</w:t>
      </w:r>
      <w:r w:rsidR="00DC29FD" w:rsidRPr="00F56501">
        <w:tab/>
        <w:t>отбелязва, че през 2023 г. от страна на ирландските органи не е настъпило съществено подобрение в посока участието на страната в Европейската прокуратура; припомня, че отказът им да сътрудничат на Европейската прокуратура при изпълнението на няколко искания за правна взаимопомощ, отправени от европейски делегирани прокурори, доведе до това Европейската прокуратура да докладва на Комисията за положението в съответствие с Регламент</w:t>
      </w:r>
      <w:r w:rsidR="00DC29FD" w:rsidRPr="00F56501">
        <w:rPr>
          <w:color w:val="333333"/>
          <w:shd w:val="clear" w:color="auto" w:fill="FFFFFF"/>
        </w:rPr>
        <w:t xml:space="preserve"> (ЕС, Евратом) 2020/2092</w:t>
      </w:r>
      <w:r w:rsidR="002C4718">
        <w:rPr>
          <w:color w:val="333333"/>
          <w:shd w:val="clear" w:color="auto" w:fill="FFFFFF"/>
        </w:rPr>
        <w:t xml:space="preserve"> </w:t>
      </w:r>
      <w:r w:rsidR="002C4718" w:rsidRPr="006B06B4">
        <w:rPr>
          <w:color w:val="000000"/>
        </w:rPr>
        <w:t>на Европейския парламент и на Съвета</w:t>
      </w:r>
      <w:r w:rsidR="00DC29FD" w:rsidRPr="00F56501">
        <w:rPr>
          <w:rStyle w:val="FootnoteReference"/>
          <w:bCs/>
          <w:color w:val="333333"/>
          <w:szCs w:val="24"/>
          <w:shd w:val="clear" w:color="auto" w:fill="FFFFFF"/>
        </w:rPr>
        <w:footnoteReference w:id="17"/>
      </w:r>
      <w:r w:rsidR="00DC29FD" w:rsidRPr="00F56501">
        <w:t>; оценява последвалото решение на ирландските органи да изменят националното си законодателство, осигуряващо правната рамка за правна взаимопомощ за Европейската прокуратура, и подчертава, че от 1 ноември 2023 г. то предоставя правна взаимопомощ на Европейската прокуратура въз основа на това едностранно признаване; отбелязва, че не е осъществен обмен с ирландската междуведомствена работна група, създадена с цел проучване на потенциално бъдещо участие на Ирландия в Европейската прокуратура; настоятелно призовава Комисията, Европейската прокуратура и ирландските органи да започнат конструктивен диалог за намиране на ефективен начин на сътрудничество;</w:t>
      </w:r>
    </w:p>
    <w:p w14:paraId="59A45A75" w14:textId="77777777" w:rsidR="00DC29FD" w:rsidRPr="00F56501" w:rsidRDefault="008F60AF" w:rsidP="002E5B22">
      <w:pPr>
        <w:widowControl/>
        <w:autoSpaceDE w:val="0"/>
        <w:autoSpaceDN w:val="0"/>
        <w:adjustRightInd w:val="0"/>
        <w:spacing w:after="240"/>
        <w:ind w:left="567" w:hanging="567"/>
        <w:rPr>
          <w:szCs w:val="24"/>
        </w:rPr>
      </w:pPr>
      <w:r>
        <w:t>96</w:t>
      </w:r>
      <w:r w:rsidR="00DC29FD" w:rsidRPr="00F56501">
        <w:t>.</w:t>
      </w:r>
      <w:r w:rsidR="00DC29FD" w:rsidRPr="00F56501">
        <w:tab/>
        <w:t xml:space="preserve">поддържа виждането, че всяка липса на сътрудничество с Европейската прокуратура от страна на която и да е от държавите членки, независимо дали участват в засиленото сътрудничество за създаването на Европейската прокуратура, създава ниши на имунитет и привилегии, които най-малкото правят защитата на финансовите интереси на Съюза неравномерна и неефективна; призовава Комисията и съответните държави членки да положат всички възможни усилия за интегриране на настоящия сценарий с малкото, но все още много важни липсващи компоненти, като насърчават разширяването на участието в Европейската прокуратура на другите все още </w:t>
      </w:r>
      <w:proofErr w:type="spellStart"/>
      <w:r w:rsidR="00DC29FD" w:rsidRPr="00F56501">
        <w:t>неучастващи</w:t>
      </w:r>
      <w:proofErr w:type="spellEnd"/>
      <w:r w:rsidR="00DC29FD" w:rsidRPr="00F56501">
        <w:t xml:space="preserve"> държави членки по начин, който укрепва ефективността на защитата на бюджета на Съюза и на националните бюджети; призовава Комисията да следи отблизо равнището на </w:t>
      </w:r>
      <w:r w:rsidR="00DC29FD" w:rsidRPr="00F56501">
        <w:lastRenderedPageBreak/>
        <w:t>сътрудничество на държавите членки с Европейската прокуратура и настоятелно призовава Комисията да започва производства за установяване на неизпълнение на задължения срещу всяка държава членка, която системно възпрепятства водените от Европейската прокуратура разследвания; счита, че членството в Европейската прокуратура следва да бъде предварително условие за получаване на средства от Съюза;</w:t>
      </w:r>
    </w:p>
    <w:p w14:paraId="112F2E6C" w14:textId="77777777" w:rsidR="00A061B1" w:rsidRPr="007A7164" w:rsidRDefault="008F60AF" w:rsidP="007A7164">
      <w:pPr>
        <w:widowControl/>
        <w:spacing w:after="240"/>
        <w:ind w:left="567" w:hanging="567"/>
      </w:pPr>
      <w:r>
        <w:t>97</w:t>
      </w:r>
      <w:r w:rsidR="00DC29FD" w:rsidRPr="00F56501">
        <w:t>.</w:t>
      </w:r>
      <w:r w:rsidR="00DC29FD" w:rsidRPr="00F56501">
        <w:tab/>
        <w:t>осъжда докладвания неотдавна систематичен шпионаж, организиран от унгарското правителство срещу служители на OLAF по време на разследваща мисия относно потенциалната злоупотреба със средства на Съюза от страна на ELIOS — дружество, свързано със зетя на унгарския министър-председател; подчертава, че OLAF и Европейската прокуратура, като основни институции на архитектурата на Съюза за борба с измамите, за съжаление са изложени на такива заплахи не само от страна на трети държави, но и в рамките на държавите — членки на ЕС; подчертава, че подобни действия сериозно подкопават принципите на правовата държава и стабилността на институциите на Съюза; призовава за бързо установяване на строги предпазни мерки за защита на служителите на институциите на Съюза, които са на мисии в държавите членки, и за предотвратяване на подобни неприемливи нарушения в бъдеще;</w:t>
      </w:r>
    </w:p>
    <w:p w14:paraId="5A1498A2" w14:textId="77777777" w:rsidR="00DC29FD" w:rsidRPr="00F56501" w:rsidRDefault="00DC29FD" w:rsidP="002E5B22">
      <w:pPr>
        <w:widowControl/>
        <w:spacing w:after="240"/>
        <w:ind w:left="567" w:hanging="567"/>
        <w:rPr>
          <w:color w:val="000000" w:themeColor="text1"/>
          <w:szCs w:val="24"/>
        </w:rPr>
      </w:pPr>
      <w:r w:rsidRPr="00F56501">
        <w:rPr>
          <w:b/>
          <w:i/>
          <w:color w:val="000000" w:themeColor="text1"/>
        </w:rPr>
        <w:t>Комуникация</w:t>
      </w:r>
    </w:p>
    <w:p w14:paraId="63306FEB" w14:textId="77777777" w:rsidR="00DC29FD" w:rsidRPr="00F56501" w:rsidRDefault="0005132B" w:rsidP="002E5B22">
      <w:pPr>
        <w:widowControl/>
        <w:autoSpaceDE w:val="0"/>
        <w:autoSpaceDN w:val="0"/>
        <w:adjustRightInd w:val="0"/>
        <w:spacing w:after="240"/>
        <w:ind w:left="567" w:hanging="567"/>
      </w:pPr>
      <w:r>
        <w:t>98</w:t>
      </w:r>
      <w:r w:rsidR="00DC29FD" w:rsidRPr="00F56501">
        <w:t>.</w:t>
      </w:r>
      <w:r w:rsidR="00DC29FD" w:rsidRPr="00F56501">
        <w:tab/>
        <w:t>отбелязва факта, че Европейската прокуратура полага постоянни усилия за подобряване на вътрешната и външната комуникация; оценява действията, извършвани чрез платформите на социалните мрежи, и насърчава Европейската прокуратура да поддържа своя проактивен и прозрачен подход;</w:t>
      </w:r>
    </w:p>
    <w:p w14:paraId="544267E1" w14:textId="77777777" w:rsidR="00DC29FD" w:rsidRPr="00F56501" w:rsidRDefault="0005132B" w:rsidP="002E5B22">
      <w:pPr>
        <w:widowControl/>
        <w:autoSpaceDE w:val="0"/>
        <w:autoSpaceDN w:val="0"/>
        <w:adjustRightInd w:val="0"/>
        <w:spacing w:after="240"/>
        <w:ind w:left="567" w:hanging="567"/>
      </w:pPr>
      <w:r>
        <w:t>99</w:t>
      </w:r>
      <w:r w:rsidR="00DC29FD" w:rsidRPr="00F56501">
        <w:t>.</w:t>
      </w:r>
      <w:r w:rsidR="00DC29FD" w:rsidRPr="00F56501">
        <w:tab/>
        <w:t>счита, че предоставянето на разяснения относно интервенциите и операциите на Европейската прокуратура и относно причините за тях, когато информация за тях е съобщена в медиите и публикувана в социалните мрежи, би допринесло за укрепване на репутацията на институциите сред гражданите и биха повишили осведомеността на данъкоплатците относно сложността на защитата на финансовите интереси на Съюза;</w:t>
      </w:r>
    </w:p>
    <w:p w14:paraId="129816F5" w14:textId="77777777" w:rsidR="00DC29FD" w:rsidRPr="00F56501" w:rsidRDefault="0005132B" w:rsidP="002E5B22">
      <w:pPr>
        <w:widowControl/>
        <w:autoSpaceDE w:val="0"/>
        <w:autoSpaceDN w:val="0"/>
        <w:adjustRightInd w:val="0"/>
        <w:spacing w:after="240"/>
        <w:ind w:left="567" w:hanging="567"/>
      </w:pPr>
      <w:r>
        <w:t>100</w:t>
      </w:r>
      <w:r w:rsidR="00DC29FD" w:rsidRPr="00F56501">
        <w:t>.</w:t>
      </w:r>
      <w:r w:rsidR="00DC29FD" w:rsidRPr="00F56501">
        <w:tab/>
        <w:t>поддържа виждането, че правилната и точна комуникация от страна на Европейската прокуратура също така би увеличила участието на гражданското общество и би увеличила подаването на информация, представляваща потенциален принос за разследванията; изразява разбиране, че Европейската прокуратура изисква възможността за докладване да бъде включена във всяка стандартна презентация за външна аудитория или на конференции и семинари, когато това е възможно и целесъобразно; отбелязва, че през 2023 г. корпоративният уебсайт на Европейската прокуратура е претърпял цялостно преработване, като основният акцент е върху подобряването на достъпността и удобството за ползване, и че възможността за съобщаване на престъпления вече е посочена на видно място в горната част на всяка уебстраница заедно с банер, който подчертава тази функция на интернет страницата;</w:t>
      </w:r>
    </w:p>
    <w:p w14:paraId="6FB55DEA" w14:textId="77777777" w:rsidR="00DC29FD" w:rsidRPr="00F56501" w:rsidRDefault="0005132B" w:rsidP="002E5B22">
      <w:pPr>
        <w:widowControl/>
        <w:autoSpaceDE w:val="0"/>
        <w:autoSpaceDN w:val="0"/>
        <w:adjustRightInd w:val="0"/>
        <w:spacing w:after="240"/>
        <w:ind w:left="567" w:hanging="567"/>
      </w:pPr>
      <w:r>
        <w:t>101</w:t>
      </w:r>
      <w:r w:rsidR="00DC29FD" w:rsidRPr="00F56501">
        <w:t>.</w:t>
      </w:r>
      <w:r w:rsidR="00DC29FD" w:rsidRPr="00F56501">
        <w:tab/>
        <w:t xml:space="preserve">отбелязва, че равнището на ресурсите на Европейската прокуратура, които са предназначени за комуникация, са ограничени и че с оглед на необходимостта от установяване на цифровата автономност на Европейската прокуратура, управлението на уебсайта на Европейската прокуратура ще трябва да бъде </w:t>
      </w:r>
      <w:r w:rsidR="00DC29FD" w:rsidRPr="00F56501">
        <w:lastRenderedPageBreak/>
        <w:t>осъществявано вътрешно, което ще изисква допълнителни ресурси, след като ГД „Цифрови услуги“ престане да предоставя тази услуга; подчертава, че нарастващият обем и чувствителността на разследванията на Европейската прокуратура изискват внимание при обмена с медиите, журналистите, гражданите и академичните среди; отново призовава Европейската прокуратура да постигне по ясен начин възможно най-добрия баланс между прозрачността и обществения интерес, от една страна, и поверителността и правилното провеждане на разследването, от друга страна, и да гарантира неутралността на своите съобщения относно своите дейности;</w:t>
      </w:r>
    </w:p>
    <w:p w14:paraId="1BE0BA98" w14:textId="77777777" w:rsidR="00DC29FD" w:rsidRPr="00F56501" w:rsidRDefault="0005132B" w:rsidP="002E5B22">
      <w:pPr>
        <w:widowControl/>
        <w:autoSpaceDE w:val="0"/>
        <w:autoSpaceDN w:val="0"/>
        <w:adjustRightInd w:val="0"/>
        <w:spacing w:after="240"/>
        <w:ind w:left="567" w:hanging="567"/>
      </w:pPr>
      <w:r>
        <w:t>102</w:t>
      </w:r>
      <w:r w:rsidR="00DC29FD" w:rsidRPr="00F56501">
        <w:t>.</w:t>
      </w:r>
      <w:r w:rsidR="00DC29FD" w:rsidRPr="00F56501">
        <w:tab/>
        <w:t>припомня значението на прозрачността във взаимодействията на Европейската прокуратура с външни участници; призовава за създаването на задължителен публичен регистър на всички срещи между длъжностни лица на Европейската прокуратура и представители на трети лица, включително лобисти и представители на национални правителства, за да се предотврати неправомерно влияние и да се укрепи общественото доверие в независимостта на Европейската прокуратура;</w:t>
      </w:r>
    </w:p>
    <w:p w14:paraId="176311F1" w14:textId="77777777" w:rsidR="00DC29FD" w:rsidRPr="00F56501" w:rsidRDefault="00DC29FD" w:rsidP="002E5B22">
      <w:pPr>
        <w:pStyle w:val="NormalHanging12a"/>
        <w:widowControl/>
        <w:rPr>
          <w:b/>
          <w:i/>
          <w:szCs w:val="24"/>
        </w:rPr>
      </w:pPr>
      <w:r w:rsidRPr="00F56501">
        <w:rPr>
          <w:b/>
          <w:i/>
        </w:rPr>
        <w:t>Последици от агресивната война на Русия срещу Украйна</w:t>
      </w:r>
    </w:p>
    <w:p w14:paraId="4EB41148" w14:textId="77777777" w:rsidR="00E365E1" w:rsidRPr="00AE7EEA" w:rsidRDefault="0005132B" w:rsidP="002E5B22">
      <w:pPr>
        <w:widowControl/>
        <w:spacing w:after="240"/>
        <w:ind w:left="567" w:hanging="567"/>
      </w:pPr>
      <w:r>
        <w:t>103</w:t>
      </w:r>
      <w:r w:rsidR="00DC29FD" w:rsidRPr="00F56501">
        <w:t>.</w:t>
      </w:r>
      <w:r w:rsidR="00DC29FD" w:rsidRPr="00F56501">
        <w:tab/>
      </w:r>
      <w:r w:rsidR="00A061B1" w:rsidRPr="00A061B1">
        <w:t>припомня, че правомощията на Европейската прокуратура обхващат и фондовете на С</w:t>
      </w:r>
      <w:r w:rsidR="007A7164">
        <w:t>ъюза</w:t>
      </w:r>
      <w:r w:rsidR="00A061B1" w:rsidRPr="00A061B1">
        <w:t xml:space="preserve">, дори когато се използват в трети държави; </w:t>
      </w:r>
      <w:r w:rsidR="00DC29FD" w:rsidRPr="00F56501">
        <w:t xml:space="preserve">счита, че работните договорености с украинските компетентни органи биха могли ефективно да повишат равнището на защита на финансовите интереси на Съюза вследствие на съответните ангажименти, поети в подкрепа на Украйна и нейното население; </w:t>
      </w:r>
      <w:r w:rsidR="00A061B1" w:rsidRPr="00A061B1">
        <w:t xml:space="preserve">приветства усилията на украинските органи за мерки за борба с корупцията, но припомня, че страната все още е обект на висок процент на корупция и измами, като изисква предприемането на специални предпазни мерки и на допълнителни мерки за борба с корупцията, за да се постигнат успешно целите за прозрачност; </w:t>
      </w:r>
      <w:r w:rsidR="00DC29FD" w:rsidRPr="00F56501">
        <w:t>е запознат с факта, че предаването на доказателства се извършва в изпълнение на искания за правна взаимопомощ, и приветства перспективата за задействане на съвместна работна група с украинските органи за координиране на разследванията; припомня на Комисията и на другите институции, органи, служби и агенции на Съюза значението на разкриването и своевременното предоставяне на информация от значение за разследванията на Европейската прокуратура.</w:t>
      </w:r>
    </w:p>
    <w:sectPr w:rsidR="00E365E1" w:rsidRPr="00AE7EEA" w:rsidSect="00132AB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6EFF3" w14:textId="77777777" w:rsidR="00412D5F" w:rsidRPr="00132ABC" w:rsidRDefault="00412D5F">
      <w:r w:rsidRPr="00132ABC">
        <w:separator/>
      </w:r>
    </w:p>
  </w:endnote>
  <w:endnote w:type="continuationSeparator" w:id="0">
    <w:p w14:paraId="3A8B8C97" w14:textId="77777777" w:rsidR="00412D5F" w:rsidRPr="00132ABC" w:rsidRDefault="00412D5F">
      <w:r w:rsidRPr="00132A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B1EF" w14:textId="77777777" w:rsidR="00DC29FD" w:rsidRPr="00132ABC" w:rsidRDefault="00DC29FD" w:rsidP="00AF03B7">
    <w:pPr>
      <w:pStyle w:val="EPFooter"/>
    </w:pPr>
    <w:r w:rsidRPr="00132ABC">
      <w:t>PE</w:t>
    </w:r>
    <w:r w:rsidRPr="00132ABC">
      <w:rPr>
        <w:rStyle w:val="HideTWBExt"/>
      </w:rPr>
      <w:t>&lt;</w:t>
    </w:r>
    <w:proofErr w:type="spellStart"/>
    <w:r w:rsidRPr="00132ABC">
      <w:rPr>
        <w:rStyle w:val="HideTWBExt"/>
      </w:rPr>
      <w:t>NoPE</w:t>
    </w:r>
    <w:proofErr w:type="spellEnd"/>
    <w:r w:rsidRPr="00132ABC">
      <w:rPr>
        <w:rStyle w:val="HideTWBExt"/>
      </w:rPr>
      <w:t>&gt;</w:t>
    </w:r>
    <w:r w:rsidRPr="00132ABC">
      <w:t>764.989</w:t>
    </w:r>
    <w:r w:rsidRPr="00132ABC">
      <w:rPr>
        <w:rStyle w:val="HideTWBExt"/>
      </w:rPr>
      <w:t>&lt;/</w:t>
    </w:r>
    <w:proofErr w:type="spellStart"/>
    <w:r w:rsidRPr="00132ABC">
      <w:rPr>
        <w:rStyle w:val="HideTWBExt"/>
      </w:rPr>
      <w:t>NoPE</w:t>
    </w:r>
    <w:proofErr w:type="spellEnd"/>
    <w:r w:rsidRPr="00132ABC">
      <w:rPr>
        <w:rStyle w:val="HideTWBExt"/>
      </w:rPr>
      <w:t>&gt;&lt;Version&gt;</w:t>
    </w:r>
    <w:r w:rsidRPr="00132ABC">
      <w:t>v02-00</w:t>
    </w:r>
    <w:r w:rsidRPr="00132ABC">
      <w:rPr>
        <w:rStyle w:val="HideTWBExt"/>
      </w:rPr>
      <w:t>&lt;/</w:t>
    </w:r>
    <w:proofErr w:type="spellStart"/>
    <w:r w:rsidRPr="00132ABC">
      <w:rPr>
        <w:rStyle w:val="HideTWBExt"/>
      </w:rPr>
      <w:t>Version</w:t>
    </w:r>
    <w:proofErr w:type="spellEnd"/>
    <w:r w:rsidRPr="00132ABC">
      <w:rPr>
        <w:rStyle w:val="HideTWBExt"/>
      </w:rPr>
      <w:t>&gt;</w:t>
    </w:r>
    <w:r w:rsidRPr="00132ABC">
      <w:tab/>
    </w:r>
    <w:r w:rsidRPr="00132ABC">
      <w:fldChar w:fldCharType="begin"/>
    </w:r>
    <w:r w:rsidRPr="00132ABC">
      <w:instrText xml:space="preserve"> PAGE  \* MERGEFORMAT </w:instrText>
    </w:r>
    <w:r w:rsidRPr="00132ABC">
      <w:fldChar w:fldCharType="separate"/>
    </w:r>
    <w:r w:rsidR="00132ABC" w:rsidRPr="00132ABC">
      <w:rPr>
        <w:noProof/>
      </w:rPr>
      <w:t>2</w:t>
    </w:r>
    <w:r w:rsidRPr="00132ABC">
      <w:fldChar w:fldCharType="end"/>
    </w:r>
    <w:r w:rsidRPr="00132ABC">
      <w:t>/</w:t>
    </w:r>
    <w:r w:rsidR="00570D65">
      <w:fldChar w:fldCharType="begin"/>
    </w:r>
    <w:r w:rsidR="00570D65">
      <w:instrText xml:space="preserve"> NUMPAGES  \* MERGEFORMAT </w:instrText>
    </w:r>
    <w:r w:rsidR="00570D65">
      <w:fldChar w:fldCharType="separate"/>
    </w:r>
    <w:r w:rsidR="00132ABC" w:rsidRPr="00132ABC">
      <w:rPr>
        <w:noProof/>
      </w:rPr>
      <w:t>3</w:t>
    </w:r>
    <w:r w:rsidR="00570D65">
      <w:rPr>
        <w:noProof/>
      </w:rPr>
      <w:fldChar w:fldCharType="end"/>
    </w:r>
    <w:r w:rsidRPr="00132ABC">
      <w:tab/>
    </w:r>
    <w:r w:rsidRPr="00132ABC">
      <w:rPr>
        <w:rStyle w:val="HideTWBExt"/>
      </w:rPr>
      <w:t>&lt;PathFdR&gt;</w:t>
    </w:r>
    <w:r w:rsidRPr="00132ABC">
      <w:t>RR\1318515BG.docx</w:t>
    </w:r>
    <w:r w:rsidRPr="00132ABC">
      <w:rPr>
        <w:rStyle w:val="HideTWBExt"/>
      </w:rPr>
      <w:t>&lt;/</w:t>
    </w:r>
    <w:proofErr w:type="spellStart"/>
    <w:r w:rsidRPr="00132ABC">
      <w:rPr>
        <w:rStyle w:val="HideTWBExt"/>
      </w:rPr>
      <w:t>PathFdR</w:t>
    </w:r>
    <w:proofErr w:type="spellEnd"/>
    <w:r w:rsidRPr="00132ABC">
      <w:rPr>
        <w:rStyle w:val="HideTWBExt"/>
      </w:rPr>
      <w:t>&gt;</w:t>
    </w:r>
  </w:p>
  <w:p w14:paraId="793DF4E3" w14:textId="77777777" w:rsidR="00DC29FD" w:rsidRPr="00132ABC" w:rsidRDefault="00DC29FD" w:rsidP="00AF03B7">
    <w:pPr>
      <w:pStyle w:val="EPFooter2"/>
    </w:pPr>
    <w:r w:rsidRPr="00132AB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3578" w14:textId="77777777" w:rsidR="00DC29FD" w:rsidRPr="00132ABC" w:rsidRDefault="00DC29FD" w:rsidP="00AF03B7">
    <w:pPr>
      <w:pStyle w:val="EPFooter"/>
    </w:pPr>
    <w:r w:rsidRPr="00132ABC">
      <w:rPr>
        <w:rStyle w:val="HideTWBExt"/>
      </w:rPr>
      <w:t>&lt;PathFdR&gt;</w:t>
    </w:r>
    <w:r w:rsidRPr="00132ABC">
      <w:t>RR\1318515BG.docx</w:t>
    </w:r>
    <w:r w:rsidRPr="00132ABC">
      <w:rPr>
        <w:rStyle w:val="HideTWBExt"/>
      </w:rPr>
      <w:t>&lt;/</w:t>
    </w:r>
    <w:proofErr w:type="spellStart"/>
    <w:r w:rsidRPr="00132ABC">
      <w:rPr>
        <w:rStyle w:val="HideTWBExt"/>
      </w:rPr>
      <w:t>PathFdR</w:t>
    </w:r>
    <w:proofErr w:type="spellEnd"/>
    <w:r w:rsidRPr="00132ABC">
      <w:rPr>
        <w:rStyle w:val="HideTWBExt"/>
      </w:rPr>
      <w:t>&gt;</w:t>
    </w:r>
    <w:r w:rsidRPr="00132ABC">
      <w:tab/>
    </w:r>
    <w:r w:rsidRPr="00132ABC">
      <w:tab/>
      <w:t>PE</w:t>
    </w:r>
    <w:r w:rsidRPr="00132ABC">
      <w:rPr>
        <w:rStyle w:val="HideTWBExt"/>
      </w:rPr>
      <w:t>&lt;</w:t>
    </w:r>
    <w:proofErr w:type="spellStart"/>
    <w:r w:rsidRPr="00132ABC">
      <w:rPr>
        <w:rStyle w:val="HideTWBExt"/>
      </w:rPr>
      <w:t>NoPE</w:t>
    </w:r>
    <w:proofErr w:type="spellEnd"/>
    <w:r w:rsidRPr="00132ABC">
      <w:rPr>
        <w:rStyle w:val="HideTWBExt"/>
      </w:rPr>
      <w:t>&gt;</w:t>
    </w:r>
    <w:r w:rsidRPr="00132ABC">
      <w:t>764.989</w:t>
    </w:r>
    <w:r w:rsidRPr="00132ABC">
      <w:rPr>
        <w:rStyle w:val="HideTWBExt"/>
      </w:rPr>
      <w:t>&lt;/</w:t>
    </w:r>
    <w:proofErr w:type="spellStart"/>
    <w:r w:rsidRPr="00132ABC">
      <w:rPr>
        <w:rStyle w:val="HideTWBExt"/>
      </w:rPr>
      <w:t>NoPE</w:t>
    </w:r>
    <w:proofErr w:type="spellEnd"/>
    <w:r w:rsidRPr="00132ABC">
      <w:rPr>
        <w:rStyle w:val="HideTWBExt"/>
      </w:rPr>
      <w:t>&gt;&lt;Version&gt;</w:t>
    </w:r>
    <w:r w:rsidRPr="00132ABC">
      <w:t>v02-00</w:t>
    </w:r>
    <w:r w:rsidRPr="00132ABC">
      <w:rPr>
        <w:rStyle w:val="HideTWBExt"/>
      </w:rPr>
      <w:t>&lt;/</w:t>
    </w:r>
    <w:proofErr w:type="spellStart"/>
    <w:r w:rsidRPr="00132ABC">
      <w:rPr>
        <w:rStyle w:val="HideTWBExt"/>
      </w:rPr>
      <w:t>Version</w:t>
    </w:r>
    <w:proofErr w:type="spellEnd"/>
    <w:r w:rsidRPr="00132ABC">
      <w:rPr>
        <w:rStyle w:val="HideTWBExt"/>
      </w:rPr>
      <w:t>&gt;</w:t>
    </w:r>
  </w:p>
  <w:p w14:paraId="3CF92A4A" w14:textId="77777777" w:rsidR="00DC29FD" w:rsidRPr="00132ABC" w:rsidRDefault="00DC29FD" w:rsidP="00AF03B7">
    <w:pPr>
      <w:pStyle w:val="EPFooter2"/>
    </w:pPr>
    <w:r w:rsidRPr="00132ABC">
      <w:t>BG</w:t>
    </w:r>
    <w:r w:rsidRPr="00132ABC">
      <w:tab/>
    </w:r>
    <w:r w:rsidRPr="00132ABC">
      <w:rPr>
        <w:b w:val="0"/>
        <w:i/>
        <w:color w:val="C0C0C0"/>
        <w:sz w:val="22"/>
      </w:rPr>
      <w:t>Единство в многообразието</w:t>
    </w:r>
    <w:r w:rsidRPr="00132AB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5205" w14:textId="77777777" w:rsidR="00064002" w:rsidRPr="00132AB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068A8" w14:textId="77777777" w:rsidR="00064002" w:rsidRPr="00132AB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5E23" w14:textId="77777777" w:rsidR="00064002" w:rsidRPr="00132A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78FC" w14:textId="77777777" w:rsidR="00412D5F" w:rsidRPr="00132ABC" w:rsidRDefault="00412D5F">
      <w:r w:rsidRPr="00132ABC">
        <w:separator/>
      </w:r>
    </w:p>
  </w:footnote>
  <w:footnote w:type="continuationSeparator" w:id="0">
    <w:p w14:paraId="3DDD1A7F" w14:textId="77777777" w:rsidR="00412D5F" w:rsidRPr="00132ABC" w:rsidRDefault="00412D5F">
      <w:r w:rsidRPr="00132ABC">
        <w:continuationSeparator/>
      </w:r>
    </w:p>
  </w:footnote>
  <w:footnote w:id="1">
    <w:p w14:paraId="3337136C"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C, C/2024/6332, 24.10.2024 г., ELI: </w:t>
      </w:r>
      <w:hyperlink r:id="rId1" w:history="1">
        <w:r w:rsidRPr="00132ABC">
          <w:rPr>
            <w:rStyle w:val="Hyperlink"/>
            <w:sz w:val="24"/>
            <w:lang w:val="bg-BG"/>
          </w:rPr>
          <w:t>http://data.europa.eu/eli/C/2024/6332/oj</w:t>
        </w:r>
      </w:hyperlink>
      <w:r w:rsidRPr="00132ABC">
        <w:rPr>
          <w:sz w:val="24"/>
          <w:lang w:val="bg-BG"/>
        </w:rPr>
        <w:t>.</w:t>
      </w:r>
    </w:p>
  </w:footnote>
  <w:footnote w:id="2">
    <w:p w14:paraId="62F0DA0B"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C, C/2024/6041, 10.10.2024 г., ELI: </w:t>
      </w:r>
      <w:hyperlink r:id="rId2" w:history="1">
        <w:r w:rsidRPr="00132ABC">
          <w:rPr>
            <w:rStyle w:val="Hyperlink"/>
            <w:sz w:val="24"/>
            <w:lang w:val="bg-BG"/>
          </w:rPr>
          <w:t>http://data.europa.eu/eli/C/2024/6041/oj</w:t>
        </w:r>
      </w:hyperlink>
      <w:r w:rsidRPr="00132ABC">
        <w:rPr>
          <w:rStyle w:val="Hyperlink"/>
          <w:sz w:val="24"/>
          <w:lang w:val="bg-BG"/>
        </w:rPr>
        <w:t>.</w:t>
      </w:r>
    </w:p>
  </w:footnote>
  <w:footnote w:id="3">
    <w:p w14:paraId="4CE9C098"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193, 30.7.2018 г., стр. 1, ELI: </w:t>
      </w:r>
      <w:hyperlink r:id="rId3" w:history="1">
        <w:r w:rsidRPr="00132ABC">
          <w:rPr>
            <w:rStyle w:val="Hyperlink"/>
            <w:sz w:val="24"/>
            <w:lang w:val="bg-BG"/>
          </w:rPr>
          <w:t>http://data.europa.eu/eli/reg/2018/1046/oj</w:t>
        </w:r>
      </w:hyperlink>
      <w:r w:rsidRPr="00132ABC">
        <w:rPr>
          <w:sz w:val="24"/>
          <w:lang w:val="bg-BG"/>
        </w:rPr>
        <w:t>.</w:t>
      </w:r>
    </w:p>
  </w:footnote>
  <w:footnote w:id="4">
    <w:p w14:paraId="3E8E76F0"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2024/2509, 26.9.2024 г., ELI: </w:t>
      </w:r>
      <w:hyperlink r:id="rId4" w:history="1">
        <w:r w:rsidRPr="00132ABC">
          <w:rPr>
            <w:rStyle w:val="Hyperlink"/>
            <w:sz w:val="24"/>
            <w:lang w:val="bg-BG"/>
          </w:rPr>
          <w:t>http://data.europa.eu/eli/reg/2024/2509/oj</w:t>
        </w:r>
      </w:hyperlink>
      <w:r w:rsidRPr="00132ABC">
        <w:rPr>
          <w:rStyle w:val="Hyperlink"/>
          <w:sz w:val="24"/>
          <w:lang w:val="bg-BG"/>
        </w:rPr>
        <w:t>.</w:t>
      </w:r>
    </w:p>
  </w:footnote>
  <w:footnote w:id="5">
    <w:p w14:paraId="7A75A85B"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283, 31.10.2017 г., стр. 1, ELI: </w:t>
      </w:r>
      <w:hyperlink r:id="rId5" w:history="1">
        <w:r w:rsidRPr="00132ABC">
          <w:rPr>
            <w:rStyle w:val="Hyperlink"/>
            <w:sz w:val="24"/>
            <w:lang w:val="bg-BG"/>
          </w:rPr>
          <w:t>http://data.europa.eu/eli/reg/2017/1939/oj</w:t>
        </w:r>
      </w:hyperlink>
      <w:r w:rsidRPr="00132ABC">
        <w:rPr>
          <w:rStyle w:val="Hyperlink"/>
          <w:sz w:val="24"/>
          <w:lang w:val="bg-BG"/>
        </w:rPr>
        <w:t>.</w:t>
      </w:r>
    </w:p>
  </w:footnote>
  <w:footnote w:id="6">
    <w:p w14:paraId="0EC89CBA"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122, 10.5.2019 г., стр. 1, ELI: </w:t>
      </w:r>
      <w:hyperlink r:id="rId6" w:history="1">
        <w:r w:rsidRPr="00132ABC">
          <w:rPr>
            <w:rStyle w:val="Hyperlink"/>
            <w:sz w:val="24"/>
            <w:lang w:val="bg-BG"/>
          </w:rPr>
          <w:t>http://data.europa.eu/eli/reg_del/2019/715/oj</w:t>
        </w:r>
      </w:hyperlink>
      <w:r w:rsidRPr="00132ABC">
        <w:rPr>
          <w:rStyle w:val="Hyperlink"/>
          <w:sz w:val="24"/>
          <w:lang w:val="bg-BG"/>
        </w:rPr>
        <w:t>.</w:t>
      </w:r>
    </w:p>
  </w:footnote>
  <w:footnote w:id="7">
    <w:p w14:paraId="4131542D"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C, C/2024/6332, 24.10.2024 г., ELI: </w:t>
      </w:r>
      <w:hyperlink r:id="rId7" w:history="1">
        <w:r w:rsidRPr="00132ABC">
          <w:rPr>
            <w:rStyle w:val="Hyperlink"/>
            <w:sz w:val="24"/>
            <w:lang w:val="bg-BG"/>
          </w:rPr>
          <w:t>http://data.europa.eu/eli/C/2024/6332/oj</w:t>
        </w:r>
      </w:hyperlink>
      <w:r w:rsidRPr="00132ABC">
        <w:rPr>
          <w:sz w:val="24"/>
          <w:lang w:val="bg-BG"/>
        </w:rPr>
        <w:t>.</w:t>
      </w:r>
    </w:p>
  </w:footnote>
  <w:footnote w:id="8">
    <w:p w14:paraId="1C771C90"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C, C/2024/6041, 10.10.2024 г., ELI: </w:t>
      </w:r>
      <w:hyperlink r:id="rId8" w:history="1">
        <w:r w:rsidRPr="00132ABC">
          <w:rPr>
            <w:rStyle w:val="Hyperlink"/>
            <w:sz w:val="24"/>
            <w:lang w:val="bg-BG"/>
          </w:rPr>
          <w:t>http://data.europa.eu/eli/C/2024/6041/oj</w:t>
        </w:r>
      </w:hyperlink>
      <w:r w:rsidRPr="00132ABC">
        <w:rPr>
          <w:rStyle w:val="Hyperlink"/>
          <w:sz w:val="24"/>
          <w:lang w:val="bg-BG"/>
        </w:rPr>
        <w:t>.</w:t>
      </w:r>
    </w:p>
  </w:footnote>
  <w:footnote w:id="9">
    <w:p w14:paraId="208F8E77"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193, 30.7.2018 г., стр. 1, ELI: </w:t>
      </w:r>
      <w:hyperlink r:id="rId9" w:history="1">
        <w:r w:rsidRPr="00132ABC">
          <w:rPr>
            <w:rStyle w:val="Hyperlink"/>
            <w:sz w:val="24"/>
            <w:lang w:val="bg-BG"/>
          </w:rPr>
          <w:t>http://data.europa.eu/eli/reg/2018/1046/oj</w:t>
        </w:r>
      </w:hyperlink>
      <w:r w:rsidRPr="00132ABC">
        <w:rPr>
          <w:sz w:val="24"/>
          <w:lang w:val="bg-BG"/>
        </w:rPr>
        <w:t>.</w:t>
      </w:r>
    </w:p>
  </w:footnote>
  <w:footnote w:id="10">
    <w:p w14:paraId="3E593004"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2024/2509, 26.9.2024 г., ELI: </w:t>
      </w:r>
      <w:hyperlink r:id="rId10" w:history="1">
        <w:r w:rsidRPr="00132ABC">
          <w:rPr>
            <w:rStyle w:val="Hyperlink"/>
            <w:sz w:val="24"/>
            <w:lang w:val="bg-BG"/>
          </w:rPr>
          <w:t>http://data.europa.eu/eli/reg/2024/2509/oj</w:t>
        </w:r>
      </w:hyperlink>
      <w:r w:rsidRPr="00132ABC">
        <w:rPr>
          <w:sz w:val="24"/>
          <w:lang w:val="bg-BG"/>
        </w:rPr>
        <w:t xml:space="preserve">. </w:t>
      </w:r>
    </w:p>
  </w:footnote>
  <w:footnote w:id="11">
    <w:p w14:paraId="7E93D98C"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283, 31.10.2017 г., стр. 1, ELI: </w:t>
      </w:r>
      <w:hyperlink r:id="rId11" w:history="1">
        <w:r w:rsidRPr="00132ABC">
          <w:rPr>
            <w:rStyle w:val="Hyperlink"/>
            <w:sz w:val="24"/>
            <w:lang w:val="bg-BG"/>
          </w:rPr>
          <w:t>http://data.europa.eu/eli/reg/2017/1939/oj</w:t>
        </w:r>
      </w:hyperlink>
      <w:r w:rsidRPr="00132ABC">
        <w:rPr>
          <w:sz w:val="24"/>
          <w:lang w:val="bg-BG"/>
        </w:rPr>
        <w:t>.</w:t>
      </w:r>
    </w:p>
  </w:footnote>
  <w:footnote w:id="12">
    <w:p w14:paraId="090DD6BC"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OВ L 122, 10.5.2019 г., стр. 1, ELI: </w:t>
      </w:r>
      <w:hyperlink r:id="rId12" w:history="1">
        <w:r w:rsidRPr="00132ABC">
          <w:rPr>
            <w:rStyle w:val="Hyperlink"/>
            <w:sz w:val="24"/>
            <w:lang w:val="bg-BG"/>
          </w:rPr>
          <w:t>http://data.europa.eu/eli/reg_del/2019/715/oj</w:t>
        </w:r>
      </w:hyperlink>
      <w:r w:rsidRPr="00132ABC">
        <w:rPr>
          <w:rStyle w:val="Hyperlink"/>
          <w:sz w:val="24"/>
          <w:lang w:val="bg-BG"/>
        </w:rPr>
        <w:t>.</w:t>
      </w:r>
    </w:p>
  </w:footnote>
  <w:footnote w:id="13">
    <w:p w14:paraId="72F39BF9"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(ОВ L 198, 28.7.2017 г., стр. 29, </w:t>
      </w:r>
      <w:r w:rsidRPr="00132ABC">
        <w:rPr>
          <w:color w:val="333333"/>
          <w:sz w:val="24"/>
          <w:shd w:val="clear" w:color="auto" w:fill="FFFFFF"/>
          <w:lang w:val="bg-BG"/>
        </w:rPr>
        <w:t>ELI: </w:t>
      </w:r>
      <w:hyperlink r:id="rId1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32ABC">
          <w:rPr>
            <w:color w:val="23527C"/>
            <w:sz w:val="24"/>
            <w:u w:val="single"/>
            <w:shd w:val="clear" w:color="auto" w:fill="FFFFFF"/>
            <w:lang w:val="bg-BG"/>
          </w:rPr>
          <w:t>http://data.europa.eu/eli/dir/2017/1371/oj</w:t>
        </w:r>
      </w:hyperlink>
      <w:r w:rsidRPr="00132ABC">
        <w:rPr>
          <w:sz w:val="24"/>
          <w:lang w:val="bg-BG"/>
        </w:rPr>
        <w:t>).</w:t>
      </w:r>
    </w:p>
  </w:footnote>
  <w:footnote w:id="14">
    <w:p w14:paraId="06B389B6"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 xml:space="preserve">Регламент (ЕС) 2017/1939 на Съвета от 12 октомври 2017 г. за установяване на засилено сътрудничество за създаване на Европейска прокуратура (OВ L 283, 31.10.2017 г., стр. 1, </w:t>
      </w:r>
      <w:r w:rsidRPr="00132ABC">
        <w:rPr>
          <w:color w:val="333333"/>
          <w:sz w:val="24"/>
          <w:shd w:val="clear" w:color="auto" w:fill="FFFFFF"/>
          <w:lang w:val="bg-BG"/>
        </w:rPr>
        <w:t>ELI: </w:t>
      </w:r>
      <w:hyperlink r:id="rId1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32ABC">
          <w:rPr>
            <w:color w:val="23527C"/>
            <w:sz w:val="24"/>
            <w:u w:val="single"/>
            <w:shd w:val="clear" w:color="auto" w:fill="FFFFFF"/>
            <w:lang w:val="bg-BG"/>
          </w:rPr>
          <w:t>http://data.europa.eu/eli/reg/2017/1939/oj</w:t>
        </w:r>
      </w:hyperlink>
      <w:r w:rsidRPr="00132ABC">
        <w:rPr>
          <w:sz w:val="24"/>
          <w:lang w:val="bg-BG"/>
        </w:rPr>
        <w:t>).</w:t>
      </w:r>
    </w:p>
  </w:footnote>
  <w:footnote w:id="15">
    <w:p w14:paraId="30B6AE1C"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proofErr w:type="spellStart"/>
      <w:r w:rsidR="002E5B22">
        <w:rPr>
          <w:sz w:val="24"/>
          <w:lang w:val="bg-BG"/>
        </w:rPr>
        <w:t>C</w:t>
      </w:r>
      <w:r w:rsidRPr="00132ABC">
        <w:rPr>
          <w:sz w:val="24"/>
          <w:lang w:val="bg-BG"/>
        </w:rPr>
        <w:t>поред</w:t>
      </w:r>
      <w:proofErr w:type="spellEnd"/>
      <w:r w:rsidRPr="00132ABC">
        <w:rPr>
          <w:sz w:val="24"/>
          <w:lang w:val="bg-BG"/>
        </w:rPr>
        <w:t xml:space="preserve"> консолидирания годишен отчет за дейността за 2023 г. процентът на текучество за срочно и д</w:t>
      </w:r>
      <w:r w:rsidR="002E5B22">
        <w:rPr>
          <w:sz w:val="24"/>
          <w:lang w:val="bg-BG"/>
        </w:rPr>
        <w:t>оговорно наети служители е 5,9%.</w:t>
      </w:r>
    </w:p>
  </w:footnote>
  <w:footnote w:id="16">
    <w:p w14:paraId="6B423B57" w14:textId="77777777"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sz w:val="24"/>
          <w:lang w:val="bg-BG"/>
        </w:rPr>
        <w:t xml:space="preserve"> </w:t>
      </w:r>
      <w:r w:rsidR="00132ABC" w:rsidRPr="00132ABC">
        <w:rPr>
          <w:sz w:val="24"/>
          <w:lang w:val="bg-BG"/>
        </w:rPr>
        <w:tab/>
      </w:r>
      <w:r w:rsidRPr="00132ABC">
        <w:rPr>
          <w:sz w:val="24"/>
          <w:lang w:val="bg-BG"/>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w:t>
      </w:r>
      <w:r w:rsidRPr="00132ABC">
        <w:rPr>
          <w:color w:val="333333"/>
          <w:sz w:val="24"/>
          <w:shd w:val="clear" w:color="auto" w:fill="FFFFFF"/>
          <w:lang w:val="bg-BG"/>
        </w:rPr>
        <w:t>LI: </w:t>
      </w:r>
      <w:hyperlink r:id="rId15" w:tooltip="Gives access to this document through its ELI URI." w:history="1">
        <w:r w:rsidR="00F56501" w:rsidRPr="00D37127">
          <w:rPr>
            <w:rStyle w:val="Hyperlink"/>
            <w:color w:val="337AB7"/>
            <w:sz w:val="24"/>
            <w:szCs w:val="24"/>
            <w:shd w:val="clear" w:color="auto" w:fill="FFFFFF"/>
            <w:lang w:val="en-GB"/>
          </w:rPr>
          <w:t>http://data.europa.eu/eli/reg/2018/1725/oj</w:t>
        </w:r>
      </w:hyperlink>
      <w:r w:rsidR="00F56501">
        <w:rPr>
          <w:rStyle w:val="Hyperlink"/>
          <w:color w:val="337AB7"/>
          <w:sz w:val="24"/>
          <w:szCs w:val="24"/>
          <w:shd w:val="clear" w:color="auto" w:fill="FFFFFF"/>
          <w:lang w:val="bg-BG"/>
        </w:rPr>
        <w:t>)</w:t>
      </w:r>
      <w:r w:rsidRPr="00132ABC">
        <w:rPr>
          <w:sz w:val="24"/>
          <w:lang w:val="bg-BG"/>
        </w:rPr>
        <w:t>.</w:t>
      </w:r>
    </w:p>
  </w:footnote>
  <w:footnote w:id="17">
    <w:p w14:paraId="66EB6A45" w14:textId="455116C4" w:rsidR="00DC29FD" w:rsidRPr="00132ABC" w:rsidRDefault="00DC29FD" w:rsidP="00132ABC">
      <w:pPr>
        <w:pStyle w:val="FootnoteText"/>
        <w:ind w:left="567" w:hanging="567"/>
        <w:rPr>
          <w:sz w:val="24"/>
          <w:lang w:val="bg-BG"/>
        </w:rPr>
      </w:pPr>
      <w:r w:rsidRPr="00132ABC">
        <w:rPr>
          <w:rStyle w:val="FootnoteReference"/>
          <w:sz w:val="24"/>
          <w:lang w:val="bg-BG"/>
        </w:rPr>
        <w:footnoteRef/>
      </w:r>
      <w:r w:rsidR="00132ABC" w:rsidRPr="00132ABC">
        <w:rPr>
          <w:color w:val="333333"/>
          <w:sz w:val="24"/>
          <w:shd w:val="clear" w:color="auto" w:fill="FFFFFF"/>
          <w:lang w:val="bg-BG"/>
        </w:rPr>
        <w:t xml:space="preserve"> </w:t>
      </w:r>
      <w:r w:rsidR="00132ABC" w:rsidRPr="00132ABC">
        <w:rPr>
          <w:color w:val="333333"/>
          <w:sz w:val="24"/>
          <w:shd w:val="clear" w:color="auto" w:fill="FFFFFF"/>
          <w:lang w:val="bg-BG"/>
        </w:rPr>
        <w:tab/>
      </w:r>
      <w:r w:rsidRPr="00132ABC">
        <w:rPr>
          <w:color w:val="333333"/>
          <w:sz w:val="24"/>
          <w:shd w:val="clear" w:color="auto" w:fill="FFFFFF"/>
          <w:lang w:val="bg-BG"/>
        </w:rPr>
        <w:t>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002E5B22">
        <w:rPr>
          <w:color w:val="333333"/>
          <w:sz w:val="24"/>
          <w:shd w:val="clear" w:color="auto" w:fill="FFFFFF"/>
          <w:lang w:val="hu-HU"/>
        </w:rPr>
        <w:t xml:space="preserve"> (</w:t>
      </w:r>
      <w:r w:rsidRPr="00132ABC">
        <w:rPr>
          <w:color w:val="333333"/>
          <w:sz w:val="24"/>
          <w:shd w:val="clear" w:color="auto" w:fill="FFFFFF"/>
          <w:lang w:val="bg-BG"/>
        </w:rPr>
        <w:t>ОВ L 433I, 22.12.2020 г., стр. 1, ELI: </w:t>
      </w:r>
      <w:hyperlink r:id="rId16" w:history="1">
        <w:r w:rsidRPr="002C4718">
          <w:rPr>
            <w:rStyle w:val="Hyperlink"/>
            <w:sz w:val="24"/>
            <w:shd w:val="clear" w:color="auto" w:fill="FFFFFF"/>
            <w:lang w:val="bg-BG"/>
          </w:rPr>
          <w:t>http://data.europa.eu/eli/reg/2020/2092/oj</w:t>
        </w:r>
      </w:hyperlink>
      <w:r w:rsidRPr="00132ABC">
        <w:rPr>
          <w:color w:val="333333"/>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BA0E" w14:textId="77777777" w:rsidR="00064002" w:rsidRPr="00132A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391A" w14:textId="77777777" w:rsidR="00064002" w:rsidRPr="00132A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FDFF" w14:textId="77777777" w:rsidR="00064002" w:rsidRPr="00132A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8596419">
    <w:abstractNumId w:val="9"/>
  </w:num>
  <w:num w:numId="2" w16cid:durableId="1365445643">
    <w:abstractNumId w:val="9"/>
  </w:num>
  <w:num w:numId="3" w16cid:durableId="932083530">
    <w:abstractNumId w:val="7"/>
  </w:num>
  <w:num w:numId="4" w16cid:durableId="1944530723">
    <w:abstractNumId w:val="7"/>
  </w:num>
  <w:num w:numId="5" w16cid:durableId="1788623529">
    <w:abstractNumId w:val="6"/>
  </w:num>
  <w:num w:numId="6" w16cid:durableId="728653394">
    <w:abstractNumId w:val="6"/>
  </w:num>
  <w:num w:numId="7" w16cid:durableId="1819880299">
    <w:abstractNumId w:val="5"/>
  </w:num>
  <w:num w:numId="8" w16cid:durableId="276300284">
    <w:abstractNumId w:val="5"/>
  </w:num>
  <w:num w:numId="9" w16cid:durableId="925647905">
    <w:abstractNumId w:val="4"/>
  </w:num>
  <w:num w:numId="10" w16cid:durableId="1000163369">
    <w:abstractNumId w:val="4"/>
  </w:num>
  <w:num w:numId="11" w16cid:durableId="1331055758">
    <w:abstractNumId w:val="8"/>
  </w:num>
  <w:num w:numId="12" w16cid:durableId="537400229">
    <w:abstractNumId w:val="8"/>
  </w:num>
  <w:num w:numId="13" w16cid:durableId="198321745">
    <w:abstractNumId w:val="3"/>
  </w:num>
  <w:num w:numId="14" w16cid:durableId="1336227351">
    <w:abstractNumId w:val="3"/>
  </w:num>
  <w:num w:numId="15" w16cid:durableId="2106537097">
    <w:abstractNumId w:val="2"/>
  </w:num>
  <w:num w:numId="16" w16cid:durableId="18700579">
    <w:abstractNumId w:val="2"/>
  </w:num>
  <w:num w:numId="17" w16cid:durableId="1352994948">
    <w:abstractNumId w:val="1"/>
  </w:num>
  <w:num w:numId="18" w16cid:durableId="1199775103">
    <w:abstractNumId w:val="1"/>
  </w:num>
  <w:num w:numId="19" w16cid:durableId="1767536367">
    <w:abstractNumId w:val="0"/>
  </w:num>
  <w:num w:numId="20" w16cid:durableId="1523208519">
    <w:abstractNumId w:val="0"/>
  </w:num>
  <w:num w:numId="21" w16cid:durableId="76371244">
    <w:abstractNumId w:val="9"/>
  </w:num>
  <w:num w:numId="22" w16cid:durableId="298531966">
    <w:abstractNumId w:val="7"/>
  </w:num>
  <w:num w:numId="23" w16cid:durableId="994646141">
    <w:abstractNumId w:val="6"/>
  </w:num>
  <w:num w:numId="24" w16cid:durableId="721320737">
    <w:abstractNumId w:val="5"/>
  </w:num>
  <w:num w:numId="25" w16cid:durableId="805858279">
    <w:abstractNumId w:val="4"/>
  </w:num>
  <w:num w:numId="26" w16cid:durableId="1783644000">
    <w:abstractNumId w:val="8"/>
  </w:num>
  <w:num w:numId="27" w16cid:durableId="1062872332">
    <w:abstractNumId w:val="3"/>
  </w:num>
  <w:num w:numId="28" w16cid:durableId="461271152">
    <w:abstractNumId w:val="2"/>
  </w:num>
  <w:num w:numId="29" w16cid:durableId="1853373738">
    <w:abstractNumId w:val="1"/>
  </w:num>
  <w:num w:numId="30" w16cid:durableId="552735853">
    <w:abstractNumId w:val="0"/>
  </w:num>
  <w:num w:numId="31" w16cid:durableId="1544169816">
    <w:abstractNumId w:val="9"/>
  </w:num>
  <w:num w:numId="32" w16cid:durableId="1924680415">
    <w:abstractNumId w:val="7"/>
  </w:num>
  <w:num w:numId="33" w16cid:durableId="915162632">
    <w:abstractNumId w:val="6"/>
  </w:num>
  <w:num w:numId="34" w16cid:durableId="1193767514">
    <w:abstractNumId w:val="5"/>
  </w:num>
  <w:num w:numId="35" w16cid:durableId="1239635944">
    <w:abstractNumId w:val="4"/>
  </w:num>
  <w:num w:numId="36" w16cid:durableId="1410074080">
    <w:abstractNumId w:val="8"/>
  </w:num>
  <w:num w:numId="37" w16cid:durableId="1997611328">
    <w:abstractNumId w:val="3"/>
  </w:num>
  <w:num w:numId="38" w16cid:durableId="264535508">
    <w:abstractNumId w:val="2"/>
  </w:num>
  <w:num w:numId="39" w16cid:durableId="234514060">
    <w:abstractNumId w:val="1"/>
  </w:num>
  <w:num w:numId="40" w16cid:durableId="865023679">
    <w:abstractNumId w:val="0"/>
  </w:num>
  <w:num w:numId="41" w16cid:durableId="948507344">
    <w:abstractNumId w:val="10"/>
  </w:num>
  <w:num w:numId="42" w16cid:durableId="1147473534">
    <w:abstractNumId w:val="10"/>
  </w:num>
  <w:num w:numId="43" w16cid:durableId="1780951680">
    <w:abstractNumId w:val="10"/>
  </w:num>
  <w:num w:numId="44" w16cid:durableId="1359501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BG"/>
    <w:docVar w:name="dvnumam" w:val="0"/>
    <w:docVar w:name="dvpe" w:val="764.989"/>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бюджета на Европейската прокуратура за финансовата 2023 година(2024/2029(DEC))"/>
  </w:docVars>
  <w:rsids>
    <w:rsidRoot w:val="00412D5F"/>
    <w:rsid w:val="00002272"/>
    <w:rsid w:val="0005132B"/>
    <w:rsid w:val="00064002"/>
    <w:rsid w:val="000677B9"/>
    <w:rsid w:val="000831BA"/>
    <w:rsid w:val="000A42CC"/>
    <w:rsid w:val="000B64DC"/>
    <w:rsid w:val="000E7DD9"/>
    <w:rsid w:val="0010095E"/>
    <w:rsid w:val="00125B37"/>
    <w:rsid w:val="00132ABC"/>
    <w:rsid w:val="00187494"/>
    <w:rsid w:val="001F32AE"/>
    <w:rsid w:val="002767FF"/>
    <w:rsid w:val="002B18FE"/>
    <w:rsid w:val="002B5493"/>
    <w:rsid w:val="002C4718"/>
    <w:rsid w:val="002E5B22"/>
    <w:rsid w:val="00343214"/>
    <w:rsid w:val="00361C00"/>
    <w:rsid w:val="00395FA1"/>
    <w:rsid w:val="003E15D4"/>
    <w:rsid w:val="00411CCE"/>
    <w:rsid w:val="00412D5F"/>
    <w:rsid w:val="0041666E"/>
    <w:rsid w:val="00421060"/>
    <w:rsid w:val="00454306"/>
    <w:rsid w:val="00471C19"/>
    <w:rsid w:val="00486107"/>
    <w:rsid w:val="004867E3"/>
    <w:rsid w:val="00494A28"/>
    <w:rsid w:val="004C0004"/>
    <w:rsid w:val="004C5D52"/>
    <w:rsid w:val="0050519A"/>
    <w:rsid w:val="005072A1"/>
    <w:rsid w:val="00514517"/>
    <w:rsid w:val="00545827"/>
    <w:rsid w:val="00560270"/>
    <w:rsid w:val="005664EE"/>
    <w:rsid w:val="00570D65"/>
    <w:rsid w:val="005C2568"/>
    <w:rsid w:val="005F1B17"/>
    <w:rsid w:val="006037C0"/>
    <w:rsid w:val="006631B6"/>
    <w:rsid w:val="00680577"/>
    <w:rsid w:val="006F74FA"/>
    <w:rsid w:val="00731ADD"/>
    <w:rsid w:val="00734777"/>
    <w:rsid w:val="00747932"/>
    <w:rsid w:val="00751A4A"/>
    <w:rsid w:val="00756632"/>
    <w:rsid w:val="00762C74"/>
    <w:rsid w:val="00786EC0"/>
    <w:rsid w:val="007A7164"/>
    <w:rsid w:val="007D1690"/>
    <w:rsid w:val="007E22AD"/>
    <w:rsid w:val="00817416"/>
    <w:rsid w:val="00842779"/>
    <w:rsid w:val="00865F67"/>
    <w:rsid w:val="00881A7B"/>
    <w:rsid w:val="008840E5"/>
    <w:rsid w:val="00887B3E"/>
    <w:rsid w:val="008C2AC6"/>
    <w:rsid w:val="008F60AF"/>
    <w:rsid w:val="00930C23"/>
    <w:rsid w:val="0093193B"/>
    <w:rsid w:val="009509D8"/>
    <w:rsid w:val="00950B64"/>
    <w:rsid w:val="00981893"/>
    <w:rsid w:val="00A061B1"/>
    <w:rsid w:val="00A1687D"/>
    <w:rsid w:val="00A43E52"/>
    <w:rsid w:val="00A4678D"/>
    <w:rsid w:val="00A778C7"/>
    <w:rsid w:val="00AB441E"/>
    <w:rsid w:val="00AB6293"/>
    <w:rsid w:val="00AE0928"/>
    <w:rsid w:val="00AE7EE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9FD"/>
    <w:rsid w:val="00E365E1"/>
    <w:rsid w:val="00E820A4"/>
    <w:rsid w:val="00EB006A"/>
    <w:rsid w:val="00EB4772"/>
    <w:rsid w:val="00ED169E"/>
    <w:rsid w:val="00ED4235"/>
    <w:rsid w:val="00F04346"/>
    <w:rsid w:val="00F075DC"/>
    <w:rsid w:val="00F149E9"/>
    <w:rsid w:val="00F4617B"/>
    <w:rsid w:val="00F5134D"/>
    <w:rsid w:val="00F56501"/>
    <w:rsid w:val="00F74202"/>
    <w:rsid w:val="00F83B2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6F233"/>
  <w15:chartTrackingRefBased/>
  <w15:docId w15:val="{DBA32210-F03A-401B-88B4-3A129A5C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29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29FD"/>
    <w:pPr>
      <w:spacing w:before="480" w:after="240"/>
    </w:pPr>
  </w:style>
  <w:style w:type="paragraph" w:customStyle="1" w:styleId="PageHeading">
    <w:name w:val="PageHeading"/>
    <w:basedOn w:val="Normal"/>
    <w:rsid w:val="00DC29FD"/>
    <w:pPr>
      <w:keepNext/>
      <w:spacing w:after="480"/>
      <w:jc w:val="center"/>
    </w:pPr>
    <w:rPr>
      <w:rFonts w:ascii="Arial" w:hAnsi="Arial" w:cs="Arial"/>
      <w:b/>
    </w:rPr>
  </w:style>
  <w:style w:type="paragraph" w:customStyle="1" w:styleId="NormalBold">
    <w:name w:val="NormalBold"/>
    <w:basedOn w:val="Normal"/>
    <w:rsid w:val="00DC29FD"/>
    <w:rPr>
      <w:b/>
    </w:rPr>
  </w:style>
  <w:style w:type="paragraph" w:customStyle="1" w:styleId="NormalHanging12a">
    <w:name w:val="NormalHanging12a"/>
    <w:basedOn w:val="Normal"/>
    <w:link w:val="NormalHanging12aChar"/>
    <w:rsid w:val="00DC29FD"/>
    <w:pPr>
      <w:spacing w:after="240"/>
      <w:ind w:left="567" w:hanging="567"/>
    </w:pPr>
  </w:style>
  <w:style w:type="paragraph" w:styleId="Header">
    <w:name w:val="header"/>
    <w:basedOn w:val="Normal"/>
    <w:link w:val="HeaderChar"/>
    <w:rsid w:val="00DC29FD"/>
    <w:pPr>
      <w:tabs>
        <w:tab w:val="center" w:pos="4513"/>
        <w:tab w:val="right" w:pos="9026"/>
      </w:tabs>
    </w:pPr>
  </w:style>
  <w:style w:type="character" w:customStyle="1" w:styleId="HeaderChar">
    <w:name w:val="Header Char"/>
    <w:basedOn w:val="DefaultParagraphFont"/>
    <w:link w:val="Header"/>
    <w:rsid w:val="00DC29FD"/>
    <w:rPr>
      <w:sz w:val="24"/>
      <w:lang w:val="bg-BG"/>
    </w:rPr>
  </w:style>
  <w:style w:type="paragraph" w:customStyle="1" w:styleId="EPFooter">
    <w:name w:val="EPFooter"/>
    <w:basedOn w:val="Normal"/>
    <w:rsid w:val="00DC29FD"/>
    <w:pPr>
      <w:tabs>
        <w:tab w:val="center" w:pos="4535"/>
        <w:tab w:val="right" w:pos="9071"/>
      </w:tabs>
      <w:spacing w:before="240" w:after="240"/>
    </w:pPr>
    <w:rPr>
      <w:color w:val="010000"/>
      <w:sz w:val="22"/>
    </w:rPr>
  </w:style>
  <w:style w:type="character" w:styleId="Hyperlink">
    <w:name w:val="Hyperlink"/>
    <w:basedOn w:val="DefaultParagraphFont"/>
    <w:uiPriority w:val="99"/>
    <w:rsid w:val="00DC29FD"/>
    <w:rPr>
      <w:color w:val="0563C1" w:themeColor="hyperlink"/>
      <w:u w:val="single"/>
    </w:rPr>
  </w:style>
  <w:style w:type="character" w:customStyle="1" w:styleId="NormalHanging12aChar">
    <w:name w:val="NormalHanging12a Char"/>
    <w:basedOn w:val="DefaultParagraphFont"/>
    <w:link w:val="NormalHanging12a"/>
    <w:locked/>
    <w:rsid w:val="00DC29FD"/>
    <w:rPr>
      <w:sz w:val="24"/>
      <w:lang w:val="bg-BG"/>
    </w:rPr>
  </w:style>
  <w:style w:type="paragraph" w:customStyle="1" w:styleId="Default">
    <w:name w:val="Default"/>
    <w:rsid w:val="00DC29FD"/>
    <w:pPr>
      <w:autoSpaceDE w:val="0"/>
      <w:autoSpaceDN w:val="0"/>
      <w:adjustRightInd w:val="0"/>
    </w:pPr>
    <w:rPr>
      <w:rFonts w:ascii="Calibri" w:hAnsi="Calibri" w:cs="Calibri"/>
      <w:color w:val="000000"/>
      <w:sz w:val="24"/>
      <w:szCs w:val="24"/>
      <w:lang w:val="bg-BG"/>
    </w:rPr>
  </w:style>
  <w:style w:type="paragraph" w:styleId="Footer">
    <w:name w:val="footer"/>
    <w:basedOn w:val="Normal"/>
    <w:link w:val="FooterChar"/>
    <w:rsid w:val="002E5B22"/>
    <w:pPr>
      <w:tabs>
        <w:tab w:val="center" w:pos="4513"/>
        <w:tab w:val="right" w:pos="9026"/>
      </w:tabs>
    </w:pPr>
  </w:style>
  <w:style w:type="character" w:customStyle="1" w:styleId="FooterChar">
    <w:name w:val="Footer Char"/>
    <w:basedOn w:val="DefaultParagraphFont"/>
    <w:link w:val="Footer"/>
    <w:rsid w:val="002E5B22"/>
    <w:rPr>
      <w:sz w:val="24"/>
      <w:lang w:val="bg-BG"/>
    </w:rPr>
  </w:style>
  <w:style w:type="paragraph" w:styleId="BalloonText">
    <w:name w:val="Balloon Text"/>
    <w:basedOn w:val="Normal"/>
    <w:link w:val="BalloonTextChar"/>
    <w:rsid w:val="00A061B1"/>
    <w:rPr>
      <w:rFonts w:ascii="Segoe UI" w:hAnsi="Segoe UI" w:cs="Segoe UI"/>
      <w:sz w:val="18"/>
      <w:szCs w:val="18"/>
    </w:rPr>
  </w:style>
  <w:style w:type="character" w:customStyle="1" w:styleId="BalloonTextChar">
    <w:name w:val="Balloon Text Char"/>
    <w:basedOn w:val="DefaultParagraphFont"/>
    <w:link w:val="BalloonText"/>
    <w:rsid w:val="00A061B1"/>
    <w:rPr>
      <w:rFonts w:ascii="Segoe UI" w:hAnsi="Segoe UI" w:cs="Segoe UI"/>
      <w:sz w:val="18"/>
      <w:szCs w:val="18"/>
      <w:lang w:val="bg-BG"/>
    </w:rPr>
  </w:style>
  <w:style w:type="character" w:styleId="UnresolvedMention">
    <w:name w:val="Unresolved Mention"/>
    <w:basedOn w:val="DefaultParagraphFont"/>
    <w:uiPriority w:val="99"/>
    <w:semiHidden/>
    <w:unhideWhenUsed/>
    <w:rsid w:val="002C4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212A0-9D4E-4DEC-940D-4693C71F8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14434</Words>
  <Characters>87768</Characters>
  <Application>Microsoft Office Word</Application>
  <DocSecurity>0</DocSecurity>
  <Lines>1463</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2025-11-26T11:49:00Z</dcterms:created>
  <dcterms:modified xsi:type="dcterms:W3CDTF">2025-11-26T11:49:00Z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P10_TA(2025)0087_</vt:lpwstr>
  </property>
  <property fmtid="{D5CDD505-2E9C-101B-9397-08002B2CF9AE}" pid="4" name="&lt;Type&gt;">
    <vt:lpwstr>RR</vt:lpwstr>
  </property>
</Properties>
</file>