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3949" w14:paraId="57128635" w14:textId="77777777" w:rsidTr="0010095E">
        <w:trPr>
          <w:trHeight w:hRule="exact" w:val="1418"/>
        </w:trPr>
        <w:tc>
          <w:tcPr>
            <w:tcW w:w="6804" w:type="dxa"/>
            <w:shd w:val="clear" w:color="auto" w:fill="auto"/>
            <w:vAlign w:val="center"/>
          </w:tcPr>
          <w:p w14:paraId="6ADE0497" w14:textId="77777777" w:rsidR="00751A4A" w:rsidRPr="00B03949" w:rsidRDefault="00B0166B" w:rsidP="0010095E">
            <w:pPr>
              <w:pStyle w:val="EPName"/>
            </w:pPr>
            <w:r w:rsidRPr="00B03949">
              <w:t>Eiropas Parlaments</w:t>
            </w:r>
          </w:p>
          <w:p w14:paraId="62631129" w14:textId="77777777" w:rsidR="00751A4A" w:rsidRPr="00B03949" w:rsidRDefault="005F1B17" w:rsidP="005F1B17">
            <w:pPr>
              <w:pStyle w:val="EPTerm"/>
              <w:rPr>
                <w:rStyle w:val="HideTWBExt"/>
                <w:noProof w:val="0"/>
                <w:vanish w:val="0"/>
                <w:color w:val="auto"/>
              </w:rPr>
            </w:pPr>
            <w:r w:rsidRPr="00B03949">
              <w:t>2024</w:t>
            </w:r>
            <w:r w:rsidR="00817416" w:rsidRPr="00B03949">
              <w:t>-202</w:t>
            </w:r>
            <w:r w:rsidRPr="00B03949">
              <w:t>9</w:t>
            </w:r>
          </w:p>
        </w:tc>
        <w:tc>
          <w:tcPr>
            <w:tcW w:w="2268" w:type="dxa"/>
            <w:shd w:val="clear" w:color="auto" w:fill="auto"/>
          </w:tcPr>
          <w:p w14:paraId="0D9638ED" w14:textId="77777777" w:rsidR="00751A4A" w:rsidRPr="00B03949" w:rsidRDefault="00187494" w:rsidP="0010095E">
            <w:pPr>
              <w:pStyle w:val="EPLogo"/>
            </w:pPr>
            <w:r w:rsidRPr="00B03949">
              <w:rPr>
                <w:noProof/>
                <w:lang w:val="en-GB"/>
              </w:rPr>
              <w:drawing>
                <wp:inline distT="0" distB="0" distL="0" distR="0" wp14:anchorId="419717AA" wp14:editId="5C73A1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B37C3D" w14:textId="77777777" w:rsidR="00D058B8" w:rsidRPr="00B03949" w:rsidRDefault="00D058B8" w:rsidP="004C5D52">
      <w:pPr>
        <w:pStyle w:val="LineTop"/>
      </w:pPr>
    </w:p>
    <w:p w14:paraId="0CB219F6" w14:textId="77777777" w:rsidR="00680577" w:rsidRPr="00B03949" w:rsidRDefault="00B0166B" w:rsidP="00680577">
      <w:pPr>
        <w:pStyle w:val="EPBodyTA1"/>
      </w:pPr>
      <w:r w:rsidRPr="00B03949">
        <w:t>PIEŅEMTIE TEKSTI</w:t>
      </w:r>
    </w:p>
    <w:p w14:paraId="279AB821" w14:textId="77777777" w:rsidR="00D058B8" w:rsidRPr="00B03949" w:rsidRDefault="00D058B8" w:rsidP="00D058B8">
      <w:pPr>
        <w:pStyle w:val="LineBottom"/>
      </w:pPr>
    </w:p>
    <w:p w14:paraId="75968195" w14:textId="77777777" w:rsidR="00B0166B" w:rsidRPr="00B03949" w:rsidRDefault="00B0166B" w:rsidP="00B0166B">
      <w:pPr>
        <w:pStyle w:val="ATHeading1"/>
      </w:pPr>
      <w:bookmarkStart w:id="0" w:name="TANumber"/>
      <w:r w:rsidRPr="00B03949">
        <w:t>P10_TA(2025)00</w:t>
      </w:r>
      <w:bookmarkEnd w:id="0"/>
      <w:r w:rsidR="0073443F" w:rsidRPr="00B03949">
        <w:t>87</w:t>
      </w:r>
    </w:p>
    <w:p w14:paraId="29F628CB" w14:textId="24A66F10" w:rsidR="00B0166B" w:rsidRPr="00B03949" w:rsidRDefault="009F5D56" w:rsidP="00B0166B">
      <w:pPr>
        <w:pStyle w:val="ATHeading2"/>
      </w:pPr>
      <w:bookmarkStart w:id="1" w:name="title"/>
      <w:r>
        <w:t xml:space="preserve">ES </w:t>
      </w:r>
      <w:r w:rsidR="00B0166B" w:rsidRPr="00B03949">
        <w:t xml:space="preserve">2023. finanšu gada vispārējā budžeta izpildes apstiprināšana </w:t>
      </w:r>
      <w:r w:rsidR="00997873">
        <w:t>–</w:t>
      </w:r>
      <w:r w:rsidR="00B0166B" w:rsidRPr="00B03949">
        <w:t xml:space="preserve"> Eiropas Prokuratūra (</w:t>
      </w:r>
      <w:r w:rsidR="00B0166B" w:rsidRPr="00B03949">
        <w:rPr>
          <w:i/>
        </w:rPr>
        <w:t>EPPO</w:t>
      </w:r>
      <w:r w:rsidR="00B0166B" w:rsidRPr="00B03949">
        <w:t>)</w:t>
      </w:r>
      <w:bookmarkEnd w:id="1"/>
    </w:p>
    <w:p w14:paraId="6387AA5E" w14:textId="77777777" w:rsidR="00B0166B" w:rsidRPr="00B03949" w:rsidRDefault="00B0166B" w:rsidP="00B0166B">
      <w:pPr>
        <w:rPr>
          <w:i/>
          <w:vanish/>
        </w:rPr>
      </w:pPr>
      <w:r w:rsidRPr="00B03949">
        <w:rPr>
          <w:i/>
        </w:rPr>
        <w:fldChar w:fldCharType="begin"/>
      </w:r>
      <w:r w:rsidRPr="00B03949">
        <w:rPr>
          <w:i/>
        </w:rPr>
        <w:instrText xml:space="preserve"> TC"(</w:instrText>
      </w:r>
      <w:bookmarkStart w:id="2" w:name="DocNumber"/>
      <w:r w:rsidRPr="00B03949">
        <w:rPr>
          <w:i/>
        </w:rPr>
        <w:instrText>A10-0051/2025</w:instrText>
      </w:r>
      <w:bookmarkEnd w:id="2"/>
      <w:r w:rsidRPr="00B03949">
        <w:rPr>
          <w:i/>
        </w:rPr>
        <w:instrText xml:space="preserve"> - Referents: </w:instrText>
      </w:r>
      <w:proofErr w:type="spellStart"/>
      <w:r w:rsidRPr="00B03949">
        <w:rPr>
          <w:i/>
        </w:rPr>
        <w:instrText>Tomáš</w:instrText>
      </w:r>
      <w:proofErr w:type="spellEnd"/>
      <w:r w:rsidRPr="00B03949">
        <w:rPr>
          <w:i/>
        </w:rPr>
        <w:instrText xml:space="preserve"> </w:instrText>
      </w:r>
      <w:proofErr w:type="spellStart"/>
      <w:r w:rsidRPr="00B03949">
        <w:rPr>
          <w:i/>
        </w:rPr>
        <w:instrText>Zdechovský</w:instrText>
      </w:r>
      <w:proofErr w:type="spellEnd"/>
      <w:r w:rsidRPr="00B03949">
        <w:rPr>
          <w:i/>
        </w:rPr>
        <w:instrText xml:space="preserve">)"\l3 \n&gt; \* MERGEFORMAT </w:instrText>
      </w:r>
      <w:r w:rsidRPr="00B03949">
        <w:rPr>
          <w:i/>
        </w:rPr>
        <w:fldChar w:fldCharType="end"/>
      </w:r>
    </w:p>
    <w:p w14:paraId="669FC1F2" w14:textId="77777777" w:rsidR="00B0166B" w:rsidRPr="00B03949" w:rsidRDefault="00B0166B" w:rsidP="00B0166B">
      <w:pPr>
        <w:rPr>
          <w:vanish/>
        </w:rPr>
      </w:pPr>
      <w:bookmarkStart w:id="3" w:name="Commission"/>
      <w:r w:rsidRPr="00B03949">
        <w:rPr>
          <w:vanish/>
        </w:rPr>
        <w:t>Budžeta kontroles komiteja</w:t>
      </w:r>
      <w:bookmarkEnd w:id="3"/>
    </w:p>
    <w:p w14:paraId="19E04D0A" w14:textId="77777777" w:rsidR="00B0166B" w:rsidRPr="00B03949" w:rsidRDefault="00B0166B" w:rsidP="00B0166B">
      <w:pPr>
        <w:rPr>
          <w:vanish/>
        </w:rPr>
      </w:pPr>
      <w:bookmarkStart w:id="4" w:name="PE"/>
      <w:r w:rsidRPr="00B03949">
        <w:rPr>
          <w:vanish/>
        </w:rPr>
        <w:t>PE764.989</w:t>
      </w:r>
      <w:bookmarkEnd w:id="4"/>
    </w:p>
    <w:p w14:paraId="4CF8303B" w14:textId="77777777" w:rsidR="003F775B" w:rsidRPr="00B03949" w:rsidRDefault="003D68A4" w:rsidP="003D68A4">
      <w:pPr>
        <w:pStyle w:val="ATHeading3"/>
      </w:pPr>
      <w:bookmarkStart w:id="5" w:name="Sujet"/>
      <w:r w:rsidRPr="00B03949">
        <w:t xml:space="preserve">1. </w:t>
      </w:r>
      <w:r w:rsidR="00B0166B" w:rsidRPr="00B03949">
        <w:t xml:space="preserve">Eiropas Parlamenta 2025. gada </w:t>
      </w:r>
      <w:r w:rsidRPr="00B03949">
        <w:t>7</w:t>
      </w:r>
      <w:r w:rsidR="00B0166B" w:rsidRPr="00B03949">
        <w:t xml:space="preserve">. </w:t>
      </w:r>
      <w:r w:rsidRPr="00B03949">
        <w:t>maija</w:t>
      </w:r>
      <w:r w:rsidR="00B0166B" w:rsidRPr="00B03949">
        <w:t xml:space="preserve"> lēmums par Eiropas Prokuratūras 2023. finanšu gada budžeta izpildes apstiprināšanu</w:t>
      </w:r>
      <w:bookmarkEnd w:id="5"/>
      <w:r w:rsidR="00B0166B" w:rsidRPr="00B03949">
        <w:t xml:space="preserve"> </w:t>
      </w:r>
      <w:bookmarkStart w:id="6" w:name="References"/>
      <w:r w:rsidR="00B0166B" w:rsidRPr="00B03949">
        <w:t>(2024/2029(DEC))</w:t>
      </w:r>
      <w:bookmarkStart w:id="7" w:name="TextBodyBegin"/>
      <w:bookmarkEnd w:id="6"/>
      <w:bookmarkEnd w:id="7"/>
    </w:p>
    <w:p w14:paraId="685F18BB" w14:textId="77777777" w:rsidR="003F775B" w:rsidRPr="00B03949" w:rsidRDefault="003F775B" w:rsidP="003F775B">
      <w:pPr>
        <w:pStyle w:val="EPComma"/>
      </w:pPr>
      <w:r w:rsidRPr="00B03949">
        <w:rPr>
          <w:i/>
        </w:rPr>
        <w:t>Eiropas Parlaments</w:t>
      </w:r>
      <w:r w:rsidRPr="00B03949">
        <w:t>,</w:t>
      </w:r>
    </w:p>
    <w:p w14:paraId="562B1127" w14:textId="77777777" w:rsidR="00997873" w:rsidRPr="00997873" w:rsidRDefault="003F775B" w:rsidP="00997873">
      <w:pPr>
        <w:spacing w:after="240"/>
        <w:ind w:left="567" w:hanging="567"/>
        <w:rPr>
          <w:kern w:val="2"/>
          <w14:ligatures w14:val="standardContextual"/>
        </w:rPr>
      </w:pPr>
      <w:r w:rsidRPr="00B03949">
        <w:t>–</w:t>
      </w:r>
      <w:r w:rsidRPr="00B03949">
        <w:tab/>
      </w:r>
      <w:r w:rsidR="00997873" w:rsidRPr="00997873">
        <w:rPr>
          <w:kern w:val="2"/>
          <w14:ligatures w14:val="standardContextual"/>
        </w:rPr>
        <w:t>ņemot vērā Eiropas Prokuratūras 2023. finanšu gada galīgos pārskatus,</w:t>
      </w:r>
    </w:p>
    <w:p w14:paraId="4D3DEDFE" w14:textId="31658313"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Revīzijas palātas gada ziņojumu par ES aģentūrām attiecībā uz 2023. finanšu gadu ar aģentūru atbildēm </w:t>
      </w:r>
      <w:r w:rsidRPr="00997873">
        <w:rPr>
          <w:kern w:val="2"/>
          <w:vertAlign w:val="superscript"/>
          <w14:ligatures w14:val="standardContextual"/>
        </w:rPr>
        <w:footnoteReference w:id="1"/>
      </w:r>
      <w:r w:rsidRPr="00997873">
        <w:rPr>
          <w:kern w:val="2"/>
          <w14:ligatures w14:val="standardContextual"/>
        </w:rPr>
        <w:t>,</w:t>
      </w:r>
    </w:p>
    <w:p w14:paraId="5BE00788" w14:textId="3C82C662"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deklarāciju par pārskatu ticamību </w:t>
      </w:r>
      <w:r w:rsidRPr="00997873">
        <w:rPr>
          <w:kern w:val="2"/>
          <w:vertAlign w:val="superscript"/>
          <w14:ligatures w14:val="standardContextual"/>
        </w:rPr>
        <w:footnoteReference w:id="2"/>
      </w:r>
      <w:r w:rsidRPr="00997873">
        <w:rPr>
          <w:kern w:val="2"/>
          <w14:ligatures w14:val="standardContextual"/>
        </w:rPr>
        <w:t>, kā arī par pakārtoto darījumu likumību un pareizību, kuru Revīzijas palāta sniegusi par 2023. finanšu gadu saskaņā ar Līguma par Eiropas Savienības darbību 287. pantu,</w:t>
      </w:r>
    </w:p>
    <w:p w14:paraId="3C8DD994" w14:textId="54C5AAE9"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Padomes 2025. gada 17. februāra ieteikumu par apstiprinājumu, ko sniedz Eiropas Prokuratūrai par 2023. finanšu gada budžeta izpildi (05754/2025 – C10</w:t>
      </w:r>
      <w:r w:rsidRPr="00997873">
        <w:rPr>
          <w:kern w:val="2"/>
          <w14:ligatures w14:val="standardContextual"/>
        </w:rPr>
        <w:noBreakHyphen/>
        <w:t>0023/2025),</w:t>
      </w:r>
    </w:p>
    <w:p w14:paraId="28E0CF32" w14:textId="6668A107"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Līguma par Eiropas Savienības darbību 319. pantu,</w:t>
      </w:r>
    </w:p>
    <w:p w14:paraId="53796F21" w14:textId="470D043A"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 xml:space="preserve">ņemot vērā Eiropas Parlamenta un Padomes 2018. gada 18. jūlija Regulu (ES, </w:t>
      </w:r>
      <w:r w:rsidRPr="00997873">
        <w:rPr>
          <w:iCs/>
          <w:kern w:val="2"/>
          <w14:ligatures w14:val="standardContextual"/>
        </w:rPr>
        <w:t>Euratom</w:t>
      </w:r>
      <w:r w:rsidRPr="00997873">
        <w:rPr>
          <w:kern w:val="2"/>
          <w14:ligatures w14:val="standardContextual"/>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97873">
        <w:rPr>
          <w:iCs/>
          <w:kern w:val="2"/>
          <w14:ligatures w14:val="standardContextual"/>
        </w:rPr>
        <w:t>Euratom</w:t>
      </w:r>
      <w:r w:rsidRPr="00997873">
        <w:rPr>
          <w:kern w:val="2"/>
          <w14:ligatures w14:val="standardContextual"/>
        </w:rPr>
        <w:t>) Nr. 966/2012 </w:t>
      </w:r>
      <w:r w:rsidRPr="00997873">
        <w:rPr>
          <w:kern w:val="2"/>
          <w:vertAlign w:val="superscript"/>
          <w14:ligatures w14:val="standardContextual"/>
        </w:rPr>
        <w:footnoteReference w:id="3"/>
      </w:r>
      <w:r w:rsidRPr="00997873">
        <w:rPr>
          <w:kern w:val="2"/>
          <w14:ligatures w14:val="standardContextual"/>
        </w:rPr>
        <w:t>, un jo īpaši tās 70. pantu,</w:t>
      </w:r>
    </w:p>
    <w:p w14:paraId="74A92724" w14:textId="079C4BF2"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 xml:space="preserve">ņemot vērā Eiropas Parlamenta un Padomes 2024. gada 23. septembra Regulu (ES, </w:t>
      </w:r>
      <w:r w:rsidRPr="00997873">
        <w:rPr>
          <w:iCs/>
          <w:kern w:val="2"/>
          <w14:ligatures w14:val="standardContextual"/>
        </w:rPr>
        <w:t>Euratom</w:t>
      </w:r>
      <w:r w:rsidRPr="00997873">
        <w:rPr>
          <w:kern w:val="2"/>
          <w14:ligatures w14:val="standardContextual"/>
        </w:rPr>
        <w:t xml:space="preserve">) 2024/2509 par finanšu noteikumiem, ko piemēro Savienības vispārējam </w:t>
      </w:r>
      <w:r w:rsidRPr="00997873">
        <w:rPr>
          <w:kern w:val="2"/>
          <w14:ligatures w14:val="standardContextual"/>
        </w:rPr>
        <w:lastRenderedPageBreak/>
        <w:t>budžetam </w:t>
      </w:r>
      <w:r w:rsidRPr="00997873">
        <w:rPr>
          <w:kern w:val="2"/>
          <w:vertAlign w:val="superscript"/>
          <w14:ligatures w14:val="standardContextual"/>
        </w:rPr>
        <w:footnoteReference w:id="4"/>
      </w:r>
      <w:r w:rsidRPr="00997873">
        <w:rPr>
          <w:kern w:val="2"/>
          <w14:ligatures w14:val="standardContextual"/>
        </w:rPr>
        <w:t>, un jo īpaši tās 70. pantu,</w:t>
      </w:r>
    </w:p>
    <w:p w14:paraId="184F8E56" w14:textId="14F8713C"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Padomes 2017. gada 12. oktobra Regulu (ES) 2017/1939, ar ko īsteno ciešāku sadarbību Eiropas Prokuratūras (</w:t>
      </w:r>
      <w:r w:rsidRPr="00997873">
        <w:rPr>
          <w:i/>
          <w:kern w:val="2"/>
          <w14:ligatures w14:val="standardContextual"/>
        </w:rPr>
        <w:t>EPPO</w:t>
      </w:r>
      <w:r w:rsidRPr="00997873">
        <w:rPr>
          <w:kern w:val="2"/>
          <w14:ligatures w14:val="standardContextual"/>
        </w:rPr>
        <w:t>) izveidei </w:t>
      </w:r>
      <w:r w:rsidRPr="00997873">
        <w:rPr>
          <w:kern w:val="2"/>
          <w:vertAlign w:val="superscript"/>
          <w14:ligatures w14:val="standardContextual"/>
        </w:rPr>
        <w:footnoteReference w:id="5"/>
      </w:r>
      <w:r w:rsidRPr="00997873">
        <w:rPr>
          <w:kern w:val="2"/>
          <w14:ligatures w14:val="standardContextual"/>
        </w:rPr>
        <w:t>, un jo īpaši tās 94. pantu,</w:t>
      </w:r>
    </w:p>
    <w:p w14:paraId="3F142F44" w14:textId="5A4F4586"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 xml:space="preserve">ņemot vērā Komisijas 2018. gada 18. decembra Deleģēto regulu (ES) 2019/715 par finanšu </w:t>
      </w:r>
      <w:proofErr w:type="spellStart"/>
      <w:r w:rsidRPr="00997873">
        <w:rPr>
          <w:kern w:val="2"/>
          <w14:ligatures w14:val="standardContextual"/>
        </w:rPr>
        <w:t>pamatregulu</w:t>
      </w:r>
      <w:proofErr w:type="spellEnd"/>
      <w:r w:rsidRPr="00997873">
        <w:rPr>
          <w:kern w:val="2"/>
          <w14:ligatures w14:val="standardContextual"/>
        </w:rPr>
        <w:t xml:space="preserve"> struktūrām, kas izveidotas saskaņā ar LESD un </w:t>
      </w:r>
      <w:r w:rsidRPr="00997873">
        <w:rPr>
          <w:i/>
          <w:kern w:val="2"/>
          <w14:ligatures w14:val="standardContextual"/>
        </w:rPr>
        <w:t>Euratom</w:t>
      </w:r>
      <w:r w:rsidRPr="00997873">
        <w:rPr>
          <w:kern w:val="2"/>
          <w14:ligatures w14:val="standardContextual"/>
        </w:rPr>
        <w:t xml:space="preserve"> līgumu un minētas Eiropas Parlamenta un Padomes Regulas (ES, </w:t>
      </w:r>
      <w:r w:rsidRPr="00997873">
        <w:rPr>
          <w:iCs/>
          <w:kern w:val="2"/>
          <w14:ligatures w14:val="standardContextual"/>
        </w:rPr>
        <w:t>Euratom</w:t>
      </w:r>
      <w:r w:rsidRPr="00997873">
        <w:rPr>
          <w:kern w:val="2"/>
          <w14:ligatures w14:val="standardContextual"/>
        </w:rPr>
        <w:t>) 2018/1046 70. pantā </w:t>
      </w:r>
      <w:r w:rsidRPr="00997873">
        <w:rPr>
          <w:kern w:val="2"/>
          <w:vertAlign w:val="superscript"/>
          <w14:ligatures w14:val="standardContextual"/>
        </w:rPr>
        <w:footnoteReference w:id="6"/>
      </w:r>
      <w:r w:rsidRPr="00997873">
        <w:rPr>
          <w:kern w:val="2"/>
          <w14:ligatures w14:val="standardContextual"/>
        </w:rPr>
        <w:t>, un jo īpaši tās 105. pantu,</w:t>
      </w:r>
    </w:p>
    <w:p w14:paraId="04661C1F" w14:textId="4639D937"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Reglamenta 102. pantu un V pielikumu,</w:t>
      </w:r>
    </w:p>
    <w:p w14:paraId="5C5191A0" w14:textId="548C52B1"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 xml:space="preserve">ņemot vērā Pilsoņu brīvību, tieslietu un </w:t>
      </w:r>
      <w:proofErr w:type="spellStart"/>
      <w:r w:rsidRPr="00997873">
        <w:rPr>
          <w:kern w:val="2"/>
          <w14:ligatures w14:val="standardContextual"/>
        </w:rPr>
        <w:t>iekšlietu</w:t>
      </w:r>
      <w:proofErr w:type="spellEnd"/>
      <w:r w:rsidRPr="00997873">
        <w:rPr>
          <w:kern w:val="2"/>
          <w14:ligatures w14:val="standardContextual"/>
        </w:rPr>
        <w:t xml:space="preserve"> komitejas atzinumu,</w:t>
      </w:r>
    </w:p>
    <w:p w14:paraId="404C8217" w14:textId="793C99E9"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Budžeta kontroles komitejas ziņojumu (A10</w:t>
      </w:r>
      <w:r w:rsidRPr="00997873">
        <w:rPr>
          <w:kern w:val="2"/>
          <w14:ligatures w14:val="standardContextual"/>
        </w:rPr>
        <w:noBreakHyphen/>
        <w:t>0051/2025),</w:t>
      </w:r>
    </w:p>
    <w:p w14:paraId="52277376"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1.</w:t>
      </w:r>
      <w:r w:rsidRPr="00997873">
        <w:rPr>
          <w:kern w:val="2"/>
          <w14:ligatures w14:val="standardContextual"/>
        </w:rPr>
        <w:tab/>
        <w:t>sniedz Eiropas Prokuratūras (</w:t>
      </w:r>
      <w:r w:rsidRPr="00997873">
        <w:rPr>
          <w:i/>
          <w:kern w:val="2"/>
          <w14:ligatures w14:val="standardContextual"/>
        </w:rPr>
        <w:t>EPPO</w:t>
      </w:r>
      <w:r w:rsidRPr="00997873">
        <w:rPr>
          <w:kern w:val="2"/>
          <w14:ligatures w14:val="standardContextual"/>
        </w:rPr>
        <w:t xml:space="preserve">) administratīvajam direktoram apstiprinājumu par </w:t>
      </w:r>
      <w:r w:rsidRPr="00997873">
        <w:rPr>
          <w:i/>
          <w:kern w:val="2"/>
          <w14:ligatures w14:val="standardContextual"/>
        </w:rPr>
        <w:t>EPPO</w:t>
      </w:r>
      <w:r w:rsidRPr="00997873">
        <w:rPr>
          <w:kern w:val="2"/>
          <w14:ligatures w14:val="standardContextual"/>
        </w:rPr>
        <w:t xml:space="preserve"> 2023. finanšu gada budžeta izpildi;</w:t>
      </w:r>
    </w:p>
    <w:p w14:paraId="4E855E2B"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2.</w:t>
      </w:r>
      <w:r w:rsidRPr="00997873">
        <w:rPr>
          <w:kern w:val="2"/>
          <w14:ligatures w14:val="standardContextual"/>
        </w:rPr>
        <w:tab/>
        <w:t>izklāsta savus konstatējumus tālāk tekstā iekļautajā rezolūcijā;</w:t>
      </w:r>
    </w:p>
    <w:p w14:paraId="6D7A6B77"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3.</w:t>
      </w:r>
      <w:r w:rsidRPr="00997873">
        <w:rPr>
          <w:kern w:val="2"/>
          <w14:ligatures w14:val="standardContextual"/>
        </w:rPr>
        <w:tab/>
        <w:t xml:space="preserve">uzdod priekšsēdētājai šo lēmumu un rezolūciju, kas ir tā neatņemama daļa, nosūtīt Eiropas Prokuratūras administratīvajam direktoram, Eiropadomei, Padomei, Komisijai un Revīzijas palātai un nodrošināt to publicēšanu </w:t>
      </w:r>
      <w:r w:rsidRPr="00997873">
        <w:rPr>
          <w:i/>
          <w:kern w:val="2"/>
          <w14:ligatures w14:val="standardContextual"/>
        </w:rPr>
        <w:t>Eiropas Savienības Oficiālajā Vēstnesī</w:t>
      </w:r>
      <w:r w:rsidRPr="00997873">
        <w:rPr>
          <w:kern w:val="2"/>
          <w14:ligatures w14:val="standardContextual"/>
        </w:rPr>
        <w:t xml:space="preserve"> (L sērijā).</w:t>
      </w:r>
    </w:p>
    <w:p w14:paraId="0C7997E3" w14:textId="77777777" w:rsidR="00997873" w:rsidRPr="00997873" w:rsidRDefault="00997873" w:rsidP="00997873">
      <w:pPr>
        <w:widowControl/>
        <w:rPr>
          <w:rFonts w:eastAsia="Aptos"/>
          <w:szCs w:val="24"/>
          <w:lang w:eastAsia="en-US"/>
        </w:rPr>
        <w:sectPr w:rsidR="00997873" w:rsidRPr="00997873" w:rsidSect="00997873">
          <w:footnotePr>
            <w:numRestart w:val="eachSect"/>
          </w:footnotePr>
          <w:pgSz w:w="11906" w:h="16838"/>
          <w:pgMar w:top="1440" w:right="1440" w:bottom="1440" w:left="1440" w:header="708" w:footer="708" w:gutter="0"/>
          <w:cols w:space="720"/>
        </w:sectPr>
      </w:pPr>
    </w:p>
    <w:p w14:paraId="2FC4A96C" w14:textId="77777777" w:rsidR="00997873" w:rsidRPr="00997873" w:rsidRDefault="00997873" w:rsidP="00997873">
      <w:pPr>
        <w:pStyle w:val="ATHeading3"/>
      </w:pPr>
      <w:r w:rsidRPr="00997873">
        <w:lastRenderedPageBreak/>
        <w:t>2. Eiropas Parlamenta 2025. gada 7. maija lēmums par Eiropas Prokuratūras 2023. finanšu gada pārskatu apstiprināšanu (2024/2029(DEC))</w:t>
      </w:r>
    </w:p>
    <w:p w14:paraId="26A4526D" w14:textId="54C4699D" w:rsidR="00997873" w:rsidRPr="00997873" w:rsidRDefault="00997873" w:rsidP="00997873">
      <w:pPr>
        <w:spacing w:before="480" w:after="240"/>
        <w:rPr>
          <w:iCs/>
          <w:kern w:val="2"/>
          <w14:ligatures w14:val="standardContextual"/>
        </w:rPr>
      </w:pPr>
      <w:r w:rsidRPr="00B03949">
        <w:rPr>
          <w:i/>
        </w:rPr>
        <w:t>Eiropas Parlaments</w:t>
      </w:r>
      <w:r w:rsidRPr="00997873">
        <w:rPr>
          <w:iCs/>
          <w:kern w:val="2"/>
          <w14:ligatures w14:val="standardContextual"/>
        </w:rPr>
        <w:t>,</w:t>
      </w:r>
    </w:p>
    <w:p w14:paraId="08FAF04D" w14:textId="2C985C7B"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Eiropas Prokuratūras 2023. finanšu gada galīgos pārskatus,</w:t>
      </w:r>
    </w:p>
    <w:p w14:paraId="1DE15F24" w14:textId="3A9E0E2D"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Revīzijas palātas gada ziņojumu par ES aģentūrām attiecībā uz 2023. finanšu gadu ar aģentūru atbildēm</w:t>
      </w:r>
      <w:r w:rsidRPr="00997873">
        <w:rPr>
          <w:rFonts w:eastAsia="Aptos"/>
          <w:kern w:val="2"/>
          <w:szCs w:val="24"/>
          <w:lang w:eastAsia="en-US"/>
          <w14:ligatures w14:val="standardContextual"/>
        </w:rPr>
        <w:t> </w:t>
      </w:r>
      <w:r w:rsidRPr="00997873">
        <w:rPr>
          <w:kern w:val="2"/>
          <w:vertAlign w:val="superscript"/>
          <w14:ligatures w14:val="standardContextual"/>
        </w:rPr>
        <w:footnoteReference w:id="7"/>
      </w:r>
      <w:r w:rsidRPr="00997873">
        <w:rPr>
          <w:kern w:val="2"/>
          <w14:ligatures w14:val="standardContextual"/>
        </w:rPr>
        <w:t>,</w:t>
      </w:r>
    </w:p>
    <w:p w14:paraId="6A0B9F26" w14:textId="00BB89ED"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deklarāciju par pārskatu ticamību </w:t>
      </w:r>
      <w:r w:rsidRPr="00997873">
        <w:rPr>
          <w:kern w:val="2"/>
          <w:vertAlign w:val="superscript"/>
          <w14:ligatures w14:val="standardContextual"/>
        </w:rPr>
        <w:footnoteReference w:id="8"/>
      </w:r>
      <w:r w:rsidRPr="00997873">
        <w:rPr>
          <w:kern w:val="2"/>
          <w14:ligatures w14:val="standardContextual"/>
        </w:rPr>
        <w:t>, kā arī par pakārtoto darījumu likumību un pareizību, kuru Revīzijas palāta sniegusi par 2023. finanšu gadu saskaņā ar Līguma par Eiropas Savienības darbību 287. pantu,</w:t>
      </w:r>
    </w:p>
    <w:p w14:paraId="5AE5620C" w14:textId="61EF682D"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Padomes 2025. gada 17. februāra ieteikumu par apstiprinājumu, ko sniedz Eiropas Prokuratūrai par 2023. finanšu gada budžeta izpildi (05754/2025 – C10</w:t>
      </w:r>
      <w:r w:rsidRPr="00997873">
        <w:rPr>
          <w:kern w:val="2"/>
          <w14:ligatures w14:val="standardContextual"/>
        </w:rPr>
        <w:noBreakHyphen/>
        <w:t>0023/2025),</w:t>
      </w:r>
    </w:p>
    <w:p w14:paraId="2CEF601F" w14:textId="1B7C49D2"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Līguma par Eiropas Savienības darbību 319. pantu,</w:t>
      </w:r>
    </w:p>
    <w:p w14:paraId="76473F1A" w14:textId="585F665D"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 xml:space="preserve">ņemot vērā Eiropas Parlamenta un Padomes 2018. gada 18. jūlija Regulu (ES, </w:t>
      </w:r>
      <w:r w:rsidRPr="00997873">
        <w:rPr>
          <w:iCs/>
          <w:kern w:val="2"/>
          <w14:ligatures w14:val="standardContextual"/>
        </w:rPr>
        <w:t>Euratom</w:t>
      </w:r>
      <w:r w:rsidRPr="00997873">
        <w:rPr>
          <w:kern w:val="2"/>
          <w14:ligatures w14:val="standardContextual"/>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97873">
        <w:rPr>
          <w:iCs/>
          <w:kern w:val="2"/>
          <w14:ligatures w14:val="standardContextual"/>
        </w:rPr>
        <w:t>Euratom</w:t>
      </w:r>
      <w:r w:rsidRPr="00997873">
        <w:rPr>
          <w:kern w:val="2"/>
          <w14:ligatures w14:val="standardContextual"/>
        </w:rPr>
        <w:t>) Nr. 966/2012 </w:t>
      </w:r>
      <w:r w:rsidRPr="00997873">
        <w:rPr>
          <w:kern w:val="2"/>
          <w:vertAlign w:val="superscript"/>
          <w14:ligatures w14:val="standardContextual"/>
        </w:rPr>
        <w:footnoteReference w:id="9"/>
      </w:r>
      <w:r w:rsidRPr="00997873">
        <w:rPr>
          <w:kern w:val="2"/>
          <w14:ligatures w14:val="standardContextual"/>
        </w:rPr>
        <w:t>, un jo īpaši tās 70. pantu,</w:t>
      </w:r>
    </w:p>
    <w:p w14:paraId="264CD157" w14:textId="58BA08FF"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 xml:space="preserve">ņemot vērā Eiropas Parlamenta un Padomes 2024. gada 23. septembra Regulu (ES, </w:t>
      </w:r>
      <w:r w:rsidRPr="00997873">
        <w:rPr>
          <w:iCs/>
          <w:kern w:val="2"/>
          <w14:ligatures w14:val="standardContextual"/>
        </w:rPr>
        <w:t>Euratom</w:t>
      </w:r>
      <w:r w:rsidRPr="00997873">
        <w:rPr>
          <w:kern w:val="2"/>
          <w14:ligatures w14:val="standardContextual"/>
        </w:rPr>
        <w:t>) 2024/2509 par finanšu noteikumiem, ko piemēro Savienības vispārējam budžetam </w:t>
      </w:r>
      <w:r w:rsidRPr="00997873">
        <w:rPr>
          <w:kern w:val="2"/>
          <w:vertAlign w:val="superscript"/>
          <w14:ligatures w14:val="standardContextual"/>
        </w:rPr>
        <w:footnoteReference w:id="10"/>
      </w:r>
      <w:r w:rsidRPr="00997873">
        <w:rPr>
          <w:kern w:val="2"/>
          <w14:ligatures w14:val="standardContextual"/>
        </w:rPr>
        <w:t>, un jo īpaši tās 70. pantu,</w:t>
      </w:r>
    </w:p>
    <w:p w14:paraId="6C07CB0C" w14:textId="09F31E48"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Padomes 2017. gada 12. oktobra Regulu (ES) 2017/1939, ar ko īsteno ciešāku sadarbību Eiropas Prokuratūras (</w:t>
      </w:r>
      <w:r w:rsidRPr="00997873">
        <w:rPr>
          <w:i/>
          <w:kern w:val="2"/>
          <w14:ligatures w14:val="standardContextual"/>
        </w:rPr>
        <w:t>EPPO</w:t>
      </w:r>
      <w:r w:rsidRPr="00997873">
        <w:rPr>
          <w:kern w:val="2"/>
          <w14:ligatures w14:val="standardContextual"/>
        </w:rPr>
        <w:t>) izveidei </w:t>
      </w:r>
      <w:r w:rsidRPr="00997873">
        <w:rPr>
          <w:kern w:val="2"/>
          <w:vertAlign w:val="superscript"/>
          <w14:ligatures w14:val="standardContextual"/>
        </w:rPr>
        <w:footnoteReference w:id="11"/>
      </w:r>
      <w:r w:rsidRPr="00997873">
        <w:rPr>
          <w:kern w:val="2"/>
          <w14:ligatures w14:val="standardContextual"/>
        </w:rPr>
        <w:t>, un jo īpaši tās 94. pantu,</w:t>
      </w:r>
    </w:p>
    <w:p w14:paraId="02058067" w14:textId="1F638298"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 xml:space="preserve">ņemot vērā Komisijas 2018. gada 18. decembra Deleģēto regulu (ES) 2019/715 par finanšu </w:t>
      </w:r>
      <w:proofErr w:type="spellStart"/>
      <w:r w:rsidRPr="00997873">
        <w:rPr>
          <w:kern w:val="2"/>
          <w14:ligatures w14:val="standardContextual"/>
        </w:rPr>
        <w:t>pamatregulu</w:t>
      </w:r>
      <w:proofErr w:type="spellEnd"/>
      <w:r w:rsidRPr="00997873">
        <w:rPr>
          <w:kern w:val="2"/>
          <w14:ligatures w14:val="standardContextual"/>
        </w:rPr>
        <w:t xml:space="preserve"> struktūrām, kas izveidotas saskaņā ar LESD un </w:t>
      </w:r>
      <w:r w:rsidRPr="00997873">
        <w:rPr>
          <w:i/>
          <w:kern w:val="2"/>
          <w14:ligatures w14:val="standardContextual"/>
        </w:rPr>
        <w:t>Euratom</w:t>
      </w:r>
      <w:r w:rsidRPr="00997873">
        <w:rPr>
          <w:kern w:val="2"/>
          <w14:ligatures w14:val="standardContextual"/>
        </w:rPr>
        <w:t xml:space="preserve"> līgumu un minētas Eiropas Parlamenta un Padomes Regulas (ES, </w:t>
      </w:r>
      <w:r w:rsidRPr="00997873">
        <w:rPr>
          <w:iCs/>
          <w:kern w:val="2"/>
          <w14:ligatures w14:val="standardContextual"/>
        </w:rPr>
        <w:t>Euratom</w:t>
      </w:r>
      <w:r w:rsidRPr="00997873">
        <w:rPr>
          <w:kern w:val="2"/>
          <w14:ligatures w14:val="standardContextual"/>
        </w:rPr>
        <w:t>) 2018/1046 70. pantā </w:t>
      </w:r>
      <w:r w:rsidRPr="00997873">
        <w:rPr>
          <w:kern w:val="2"/>
          <w:vertAlign w:val="superscript"/>
          <w14:ligatures w14:val="standardContextual"/>
        </w:rPr>
        <w:footnoteReference w:id="12"/>
      </w:r>
      <w:r w:rsidRPr="00997873">
        <w:rPr>
          <w:kern w:val="2"/>
          <w14:ligatures w14:val="standardContextual"/>
        </w:rPr>
        <w:t>, un jo īpaši tās 105. pantu,</w:t>
      </w:r>
    </w:p>
    <w:p w14:paraId="281B9868" w14:textId="56AC120A"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Reglamenta 102. pantu un V pielikumu,</w:t>
      </w:r>
    </w:p>
    <w:p w14:paraId="45B28EF9" w14:textId="178A4CA1"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 xml:space="preserve">ņemot vērā Pilsoņu brīvību, tieslietu un </w:t>
      </w:r>
      <w:proofErr w:type="spellStart"/>
      <w:r w:rsidRPr="00997873">
        <w:rPr>
          <w:kern w:val="2"/>
          <w14:ligatures w14:val="standardContextual"/>
        </w:rPr>
        <w:t>iekšlietu</w:t>
      </w:r>
      <w:proofErr w:type="spellEnd"/>
      <w:r w:rsidRPr="00997873">
        <w:rPr>
          <w:kern w:val="2"/>
          <w14:ligatures w14:val="standardContextual"/>
        </w:rPr>
        <w:t xml:space="preserve"> komitejas atzinumu,</w:t>
      </w:r>
    </w:p>
    <w:p w14:paraId="6E23B1FB" w14:textId="38F7E402" w:rsidR="00997873" w:rsidRPr="00997873" w:rsidRDefault="00997873" w:rsidP="00997873">
      <w:pPr>
        <w:spacing w:after="240"/>
        <w:ind w:left="567" w:hanging="567"/>
        <w:rPr>
          <w:kern w:val="2"/>
          <w14:ligatures w14:val="standardContextual"/>
        </w:rPr>
      </w:pPr>
      <w:r>
        <w:rPr>
          <w:kern w:val="2"/>
          <w14:ligatures w14:val="standardContextual"/>
        </w:rPr>
        <w:lastRenderedPageBreak/>
        <w:t>–</w:t>
      </w:r>
      <w:r w:rsidRPr="00997873">
        <w:rPr>
          <w:kern w:val="2"/>
          <w14:ligatures w14:val="standardContextual"/>
        </w:rPr>
        <w:tab/>
        <w:t>ņemot vērā Budžeta kontroles komitejas ziņojumu (A10</w:t>
      </w:r>
      <w:r w:rsidRPr="00997873">
        <w:rPr>
          <w:kern w:val="2"/>
          <w14:ligatures w14:val="standardContextual"/>
        </w:rPr>
        <w:noBreakHyphen/>
        <w:t>0051/2025),</w:t>
      </w:r>
    </w:p>
    <w:p w14:paraId="6A6FEDFB"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1.</w:t>
      </w:r>
      <w:r w:rsidRPr="00997873">
        <w:rPr>
          <w:kern w:val="2"/>
          <w14:ligatures w14:val="standardContextual"/>
        </w:rPr>
        <w:tab/>
        <w:t>apstiprina Eiropas Prokuratūras 2023. finanšu gada pārskatus;</w:t>
      </w:r>
    </w:p>
    <w:p w14:paraId="6309A381"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2.</w:t>
      </w:r>
      <w:r w:rsidRPr="00997873">
        <w:rPr>
          <w:kern w:val="2"/>
          <w14:ligatures w14:val="standardContextual"/>
        </w:rPr>
        <w:tab/>
        <w:t xml:space="preserve">uzdod priekšsēdētājai šo lēmumu nosūtīt Eiropas Prokuratūras administratīvajam direktoram, Eiropadomei, Padomei, Komisijai un Revīzijas palātai un nodrošināt tā publicēšanu </w:t>
      </w:r>
      <w:r w:rsidRPr="00997873">
        <w:rPr>
          <w:i/>
          <w:kern w:val="2"/>
          <w14:ligatures w14:val="standardContextual"/>
        </w:rPr>
        <w:t>Eiropas Savienības Oficiālajā Vēstnesī</w:t>
      </w:r>
      <w:r w:rsidRPr="00997873">
        <w:rPr>
          <w:kern w:val="2"/>
          <w14:ligatures w14:val="standardContextual"/>
        </w:rPr>
        <w:t xml:space="preserve"> (L sērijā).</w:t>
      </w:r>
    </w:p>
    <w:p w14:paraId="03D2663B" w14:textId="77777777" w:rsidR="00997873" w:rsidRPr="00997873" w:rsidRDefault="00997873" w:rsidP="00997873">
      <w:pPr>
        <w:widowControl/>
        <w:rPr>
          <w:rFonts w:eastAsia="Aptos"/>
          <w:szCs w:val="24"/>
          <w:lang w:eastAsia="en-US"/>
        </w:rPr>
        <w:sectPr w:rsidR="00997873" w:rsidRPr="00997873" w:rsidSect="00997873">
          <w:footnotePr>
            <w:numRestart w:val="eachSect"/>
          </w:footnotePr>
          <w:pgSz w:w="11906" w:h="16838"/>
          <w:pgMar w:top="1440" w:right="1440" w:bottom="1440" w:left="1440" w:header="708" w:footer="708" w:gutter="0"/>
          <w:cols w:space="720"/>
        </w:sectPr>
      </w:pPr>
    </w:p>
    <w:p w14:paraId="39A89B28" w14:textId="77777777" w:rsidR="00997873" w:rsidRPr="00997873" w:rsidRDefault="00997873" w:rsidP="00997873">
      <w:pPr>
        <w:pStyle w:val="ATHeading3"/>
      </w:pPr>
      <w:r w:rsidRPr="00997873">
        <w:lastRenderedPageBreak/>
        <w:t>3. Eiropas Parlamenta 2025. gada 7. maija rezolūcija ar konstatējumiem, kas ir neatņemama daļa no lēmuma par Eiropas Prokuratūras 2023. finanšu gada budžeta izpildes apstiprināšanu (2024/2029(DEC))</w:t>
      </w:r>
    </w:p>
    <w:p w14:paraId="14553071" w14:textId="3CBAFCC1" w:rsidR="00997873" w:rsidRPr="00997873" w:rsidRDefault="00997873" w:rsidP="00997873">
      <w:pPr>
        <w:spacing w:before="480" w:after="240"/>
        <w:rPr>
          <w:iCs/>
          <w:kern w:val="2"/>
          <w14:ligatures w14:val="standardContextual"/>
        </w:rPr>
      </w:pPr>
      <w:r w:rsidRPr="00B03949">
        <w:rPr>
          <w:i/>
        </w:rPr>
        <w:t>Eiropas Parlaments</w:t>
      </w:r>
      <w:r w:rsidRPr="00997873">
        <w:rPr>
          <w:iCs/>
          <w:kern w:val="2"/>
          <w14:ligatures w14:val="standardContextual"/>
        </w:rPr>
        <w:t>,</w:t>
      </w:r>
    </w:p>
    <w:p w14:paraId="2330098A" w14:textId="38B20A52"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lēmumu par Eiropas Prokuratūras 2023. finanšu gada budžeta izpildes apstiprināšanu,</w:t>
      </w:r>
    </w:p>
    <w:p w14:paraId="04EAA63D" w14:textId="16D5E37F"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Reglamenta 102. pantu un V pielikumu,</w:t>
      </w:r>
    </w:p>
    <w:p w14:paraId="38F820FE" w14:textId="5E0D8D0D"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 xml:space="preserve">ņemot vērā Pilsoņu brīvību, tieslietu un </w:t>
      </w:r>
      <w:proofErr w:type="spellStart"/>
      <w:r w:rsidRPr="00997873">
        <w:rPr>
          <w:kern w:val="2"/>
          <w14:ligatures w14:val="standardContextual"/>
        </w:rPr>
        <w:t>iekšlietu</w:t>
      </w:r>
      <w:proofErr w:type="spellEnd"/>
      <w:r w:rsidRPr="00997873">
        <w:rPr>
          <w:kern w:val="2"/>
          <w14:ligatures w14:val="standardContextual"/>
        </w:rPr>
        <w:t xml:space="preserve"> komitejas atzinumu,</w:t>
      </w:r>
    </w:p>
    <w:p w14:paraId="221677E8" w14:textId="31DFD072" w:rsidR="00997873" w:rsidRPr="00997873" w:rsidRDefault="00997873" w:rsidP="00997873">
      <w:pPr>
        <w:spacing w:after="240"/>
        <w:ind w:left="567" w:hanging="567"/>
        <w:rPr>
          <w:kern w:val="2"/>
          <w14:ligatures w14:val="standardContextual"/>
        </w:rPr>
      </w:pPr>
      <w:r>
        <w:rPr>
          <w:kern w:val="2"/>
          <w14:ligatures w14:val="standardContextual"/>
        </w:rPr>
        <w:t>–</w:t>
      </w:r>
      <w:r w:rsidRPr="00997873">
        <w:rPr>
          <w:kern w:val="2"/>
          <w14:ligatures w14:val="standardContextual"/>
        </w:rPr>
        <w:tab/>
        <w:t>ņemot vērā Budžeta kontroles komitejas ziņojumu (A10-0051/2025),</w:t>
      </w:r>
    </w:p>
    <w:p w14:paraId="5302CBA2"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A.</w:t>
      </w:r>
      <w:r w:rsidRPr="00997873">
        <w:rPr>
          <w:kern w:val="2"/>
          <w14:ligatures w14:val="standardContextual"/>
        </w:rPr>
        <w:tab/>
        <w:t>tā kā Eiropas Prokuratūra (</w:t>
      </w:r>
      <w:r w:rsidRPr="00997873">
        <w:rPr>
          <w:i/>
          <w:kern w:val="2"/>
          <w14:ligatures w14:val="standardContextual"/>
        </w:rPr>
        <w:t>EPPO</w:t>
      </w:r>
      <w:r w:rsidRPr="00997873">
        <w:rPr>
          <w:kern w:val="2"/>
          <w14:ligatures w14:val="standardContextual"/>
        </w:rPr>
        <w:t>) ir neatkarīga Savienības prokuratūra, kas ir atbildīga par izmeklēšanu un kriminālvajāšanu attiecībā uz noziegumiem, kuri vērsti pret Savienības finanšu interesēm, par Savienības spēju aizsargāt nodokļu maksātāju līdzekļus būtisku stiprināšanu un par Eiropas Parlamenta un Padomes Direktīvā (ES) 2017/1371 </w:t>
      </w:r>
      <w:r w:rsidRPr="00997873">
        <w:rPr>
          <w:kern w:val="2"/>
          <w:szCs w:val="24"/>
          <w:vertAlign w:val="superscript"/>
          <w14:ligatures w14:val="standardContextual"/>
        </w:rPr>
        <w:footnoteReference w:id="13"/>
      </w:r>
      <w:r w:rsidRPr="00997873">
        <w:rPr>
          <w:kern w:val="2"/>
          <w14:ligatures w14:val="standardContextual"/>
        </w:rPr>
        <w:t xml:space="preserve"> paredzēto un Padomes Regulā (ES) 2017/1939 </w:t>
      </w:r>
      <w:r w:rsidRPr="00997873">
        <w:rPr>
          <w:kern w:val="2"/>
          <w:szCs w:val="24"/>
          <w:vertAlign w:val="superscript"/>
          <w14:ligatures w14:val="standardContextual"/>
        </w:rPr>
        <w:footnoteReference w:id="14"/>
      </w:r>
      <w:r w:rsidRPr="00997873">
        <w:rPr>
          <w:kern w:val="2"/>
          <w14:ligatures w14:val="standardContextual"/>
        </w:rPr>
        <w:t xml:space="preserve"> noteikto noziedzīgo nodarījumu izdarītāju un līdzdalībnieku saukšanu pie atbildības;</w:t>
      </w:r>
    </w:p>
    <w:p w14:paraId="2D4AE337"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B.</w:t>
      </w:r>
      <w:r w:rsidRPr="00997873">
        <w:rPr>
          <w:kern w:val="2"/>
          <w14:ligatures w14:val="standardContextual"/>
        </w:rPr>
        <w:tab/>
        <w:t xml:space="preserve">tā kā </w:t>
      </w:r>
      <w:r w:rsidRPr="00997873">
        <w:rPr>
          <w:i/>
          <w:iCs/>
          <w:kern w:val="2"/>
          <w14:ligatures w14:val="standardContextual"/>
        </w:rPr>
        <w:t>EPPO</w:t>
      </w:r>
      <w:r w:rsidRPr="00997873">
        <w:rPr>
          <w:kern w:val="2"/>
          <w14:ligatures w14:val="standardContextual"/>
        </w:rPr>
        <w:t xml:space="preserve"> kompetencē ir vairāku veidu krāpšana un tā ietver pārrobežu krāpšanu PVN jomā, kuras radītais kopējais zaudējums ir vismaz 10 miljoni EUR, nelikumīgi iegūtu līdzekļu legalizāciju, korupciju, organizēto noziedzību un citus nodarījumus, attiecībā uz kuriem </w:t>
      </w:r>
      <w:r w:rsidRPr="00997873">
        <w:rPr>
          <w:i/>
          <w:iCs/>
          <w:kern w:val="2"/>
          <w14:ligatures w14:val="standardContextual"/>
        </w:rPr>
        <w:t>EPPO</w:t>
      </w:r>
      <w:r w:rsidRPr="00997873">
        <w:rPr>
          <w:kern w:val="2"/>
          <w14:ligatures w14:val="standardContextual"/>
        </w:rPr>
        <w:t xml:space="preserve"> veic kriminālvajāšanas funkcijas iesaistīto dalībvalstu kompetentajās tiesās;</w:t>
      </w:r>
    </w:p>
    <w:p w14:paraId="2CFB74E5"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C.</w:t>
      </w:r>
      <w:r w:rsidRPr="00997873">
        <w:rPr>
          <w:kern w:val="2"/>
          <w14:ligatures w14:val="standardContextual"/>
        </w:rPr>
        <w:tab/>
        <w:t xml:space="preserve">tā kā </w:t>
      </w:r>
      <w:r w:rsidRPr="00997873">
        <w:rPr>
          <w:i/>
          <w:iCs/>
          <w:kern w:val="2"/>
          <w14:ligatures w14:val="standardContextual"/>
        </w:rPr>
        <w:t>EPPO</w:t>
      </w:r>
      <w:r w:rsidRPr="00997873">
        <w:rPr>
          <w:kern w:val="2"/>
          <w14:ligatures w14:val="standardContextual"/>
        </w:rPr>
        <w:t xml:space="preserve"> ir viena no Eiropas Savienības krāpšanas apkarošanas arhitektūras komponentiem un tādējādi tās darbības ir saskaņotas ar citiem šīs arhitektūras komponentiem un papildina tos, lai sasniegtu racionalizētu un efektīvu koordinēšanu, kas sekmē minētās arhitektūras vispārējo efektivitāti;</w:t>
      </w:r>
    </w:p>
    <w:p w14:paraId="45C04CB5"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D.</w:t>
      </w:r>
      <w:r w:rsidRPr="00997873">
        <w:rPr>
          <w:kern w:val="2"/>
          <w14:ligatures w14:val="standardContextual"/>
        </w:rPr>
        <w:tab/>
        <w:t xml:space="preserve">tā kā </w:t>
      </w:r>
      <w:r w:rsidRPr="00997873">
        <w:rPr>
          <w:i/>
          <w:kern w:val="2"/>
          <w14:ligatures w14:val="standardContextual"/>
        </w:rPr>
        <w:t>EPPO</w:t>
      </w:r>
      <w:r w:rsidRPr="00997873">
        <w:rPr>
          <w:kern w:val="2"/>
          <w14:ligatures w14:val="standardContextual"/>
        </w:rPr>
        <w:t xml:space="preserve"> iesaistās situācijās, kurās valstu iestādes var izmeklēt attiecīgos noziegumus un saukt pie atbildības par tiem, bet to pilnvaras beidzas pie šo iestāžu valsts robežām, bet citām organizācijām, piemēram, Eiropas Savienības Aģentūrai tiesu iestāžu sadarbībai krimināllietās (</w:t>
      </w:r>
      <w:proofErr w:type="spellStart"/>
      <w:r w:rsidRPr="00997873">
        <w:rPr>
          <w:i/>
          <w:kern w:val="2"/>
          <w14:ligatures w14:val="standardContextual"/>
        </w:rPr>
        <w:t>Eurojust</w:t>
      </w:r>
      <w:proofErr w:type="spellEnd"/>
      <w:r w:rsidRPr="00997873">
        <w:rPr>
          <w:kern w:val="2"/>
          <w14:ligatures w14:val="standardContextual"/>
        </w:rPr>
        <w:t>), Eiropas Birojam krāpšanas apkarošanai (</w:t>
      </w:r>
      <w:r w:rsidRPr="00997873">
        <w:rPr>
          <w:i/>
          <w:kern w:val="2"/>
          <w14:ligatures w14:val="standardContextual"/>
        </w:rPr>
        <w:t>OLAF</w:t>
      </w:r>
      <w:r w:rsidRPr="00997873">
        <w:rPr>
          <w:kern w:val="2"/>
          <w14:ligatures w14:val="standardContextual"/>
        </w:rPr>
        <w:t xml:space="preserve">) un Eiropas Savienības Aģentūrai tiesībaizsardzības sadarbībai (Eiropolam), nav vajadzīgo pilnvaru, lai veiktu attiecīgo </w:t>
      </w:r>
      <w:proofErr w:type="spellStart"/>
      <w:r w:rsidRPr="00997873">
        <w:rPr>
          <w:kern w:val="2"/>
          <w14:ligatures w14:val="standardContextual"/>
        </w:rPr>
        <w:t>kriminālizmeklēšanu</w:t>
      </w:r>
      <w:proofErr w:type="spellEnd"/>
      <w:r w:rsidRPr="00997873">
        <w:rPr>
          <w:kern w:val="2"/>
          <w14:ligatures w14:val="standardContextual"/>
        </w:rPr>
        <w:t xml:space="preserve"> un kriminālvajāšanu;</w:t>
      </w:r>
    </w:p>
    <w:p w14:paraId="7D4B9B95"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E.</w:t>
      </w:r>
      <w:r w:rsidRPr="00997873">
        <w:rPr>
          <w:kern w:val="2"/>
          <w14:ligatures w14:val="standardContextual"/>
        </w:rPr>
        <w:tab/>
        <w:t xml:space="preserve">tā kā uz </w:t>
      </w:r>
      <w:r w:rsidRPr="00997873">
        <w:rPr>
          <w:i/>
          <w:kern w:val="2"/>
          <w14:ligatures w14:val="standardContextual"/>
        </w:rPr>
        <w:t>EPPO</w:t>
      </w:r>
      <w:r w:rsidRPr="00997873">
        <w:rPr>
          <w:kern w:val="2"/>
          <w14:ligatures w14:val="standardContextual"/>
        </w:rPr>
        <w:t xml:space="preserve"> procedūras aktiem attiecas pārbaude valstu tiesās un Eiropas Savienības Tiesai (“Tiesa”), izmantojot prejudiciālus nolēmumus vai šo aktu pārskatīšanu tiesā, ir papildu pilnvaras nodrošināt Savienības tiesību aktu konsekventu piemērošanu;</w:t>
      </w:r>
    </w:p>
    <w:p w14:paraId="589CAF8B" w14:textId="77777777" w:rsidR="00997873" w:rsidRPr="00997873" w:rsidRDefault="00997873" w:rsidP="00997873">
      <w:pPr>
        <w:spacing w:after="240"/>
        <w:ind w:left="567" w:hanging="567"/>
        <w:rPr>
          <w:color w:val="000000"/>
          <w:kern w:val="2"/>
          <w:szCs w:val="24"/>
          <w14:ligatures w14:val="standardContextual"/>
        </w:rPr>
      </w:pPr>
      <w:r w:rsidRPr="00997873">
        <w:rPr>
          <w:kern w:val="2"/>
          <w14:ligatures w14:val="standardContextual"/>
        </w:rPr>
        <w:lastRenderedPageBreak/>
        <w:t>F.</w:t>
      </w:r>
      <w:r w:rsidRPr="00997873">
        <w:rPr>
          <w:kern w:val="2"/>
          <w14:ligatures w14:val="standardContextual"/>
        </w:rPr>
        <w:tab/>
      </w:r>
      <w:r w:rsidRPr="00997873">
        <w:rPr>
          <w:color w:val="000000"/>
          <w:kern w:val="2"/>
          <w14:ligatures w14:val="standardContextual"/>
        </w:rPr>
        <w:t xml:space="preserve">tā kā </w:t>
      </w:r>
      <w:r w:rsidRPr="00997873">
        <w:rPr>
          <w:i/>
          <w:color w:val="000000"/>
          <w:kern w:val="2"/>
          <w14:ligatures w14:val="standardContextual"/>
        </w:rPr>
        <w:t>EPPO</w:t>
      </w:r>
      <w:r w:rsidRPr="00997873">
        <w:rPr>
          <w:color w:val="000000"/>
          <w:kern w:val="2"/>
          <w14:ligatures w14:val="standardContextual"/>
        </w:rPr>
        <w:t xml:space="preserve"> sastāv no centrālā līmeņa, kura galvenā mītne ir Luksemburgā un kuru veido Eiropas galvenā prokurore, 22 Eiropas prokurori (viens no katras iesaistītās dalībvalsts) un administratīvais direktors, un no decentralizētā (valsts) līmeņa, ko veido Eiropas deleģētie prokurori (EDP) 22 iesaistītajās dalībvalstīs;</w:t>
      </w:r>
    </w:p>
    <w:p w14:paraId="0E0750A0" w14:textId="77777777" w:rsidR="00997873" w:rsidRPr="00997873" w:rsidRDefault="00997873" w:rsidP="00997873">
      <w:pPr>
        <w:spacing w:after="240"/>
        <w:ind w:left="567" w:hanging="567"/>
        <w:rPr>
          <w:color w:val="000000"/>
          <w:kern w:val="2"/>
          <w:szCs w:val="24"/>
          <w14:ligatures w14:val="standardContextual"/>
        </w:rPr>
      </w:pPr>
      <w:r w:rsidRPr="00997873">
        <w:rPr>
          <w:color w:val="000000"/>
          <w:kern w:val="2"/>
          <w14:ligatures w14:val="standardContextual"/>
        </w:rPr>
        <w:t>G.</w:t>
      </w:r>
      <w:r w:rsidRPr="00997873">
        <w:rPr>
          <w:color w:val="000000"/>
          <w:kern w:val="2"/>
          <w14:ligatures w14:val="standardContextual"/>
        </w:rPr>
        <w:tab/>
        <w:t xml:space="preserve">tā kā centrālajā līmenī Eiropas galvenā prokurore un 22 Eiropas prokurori veido </w:t>
      </w:r>
      <w:r w:rsidRPr="00997873">
        <w:rPr>
          <w:i/>
          <w:color w:val="000000"/>
          <w:kern w:val="2"/>
          <w14:ligatures w14:val="standardContextual"/>
        </w:rPr>
        <w:t>EPPO</w:t>
      </w:r>
      <w:r w:rsidRPr="00997873">
        <w:rPr>
          <w:color w:val="000000"/>
          <w:kern w:val="2"/>
          <w14:ligatures w14:val="standardContextual"/>
        </w:rPr>
        <w:t xml:space="preserve"> Kolēģiju (“Kolēģija”) un uzrauga izmeklēšanu un kriminālvajāšanu, ko valsts līmenī veic EDP, kuri darbojas pilnīgi neatkarīgi no savām valsts iestādēm;</w:t>
      </w:r>
    </w:p>
    <w:p w14:paraId="49ACB788" w14:textId="77777777" w:rsidR="00997873" w:rsidRPr="00997873" w:rsidRDefault="00997873" w:rsidP="00997873">
      <w:pPr>
        <w:spacing w:after="240"/>
        <w:ind w:left="567" w:hanging="567"/>
        <w:rPr>
          <w:color w:val="000000"/>
          <w:kern w:val="2"/>
          <w:szCs w:val="24"/>
          <w14:ligatures w14:val="standardContextual"/>
        </w:rPr>
      </w:pPr>
      <w:r w:rsidRPr="00997873">
        <w:rPr>
          <w:color w:val="000000"/>
          <w:kern w:val="2"/>
          <w14:ligatures w14:val="standardContextual"/>
        </w:rPr>
        <w:t>H.</w:t>
      </w:r>
      <w:r w:rsidRPr="00997873">
        <w:rPr>
          <w:color w:val="000000"/>
          <w:kern w:val="2"/>
          <w14:ligatures w14:val="standardContextual"/>
        </w:rPr>
        <w:tab/>
        <w:t xml:space="preserve">tā kā saskaņā ar Regulas (ES) 2017/1939 93. pantu </w:t>
      </w:r>
      <w:r w:rsidRPr="00997873">
        <w:rPr>
          <w:i/>
          <w:color w:val="000000"/>
          <w:kern w:val="2"/>
          <w14:ligatures w14:val="standardContextual"/>
        </w:rPr>
        <w:t>EPPO</w:t>
      </w:r>
      <w:r w:rsidRPr="00997873">
        <w:rPr>
          <w:color w:val="000000"/>
          <w:kern w:val="2"/>
          <w14:ligatures w14:val="standardContextual"/>
        </w:rPr>
        <w:t xml:space="preserve"> administratīvais direktors, kas darbojas kā </w:t>
      </w:r>
      <w:r w:rsidRPr="00997873">
        <w:rPr>
          <w:i/>
          <w:color w:val="000000"/>
          <w:kern w:val="2"/>
          <w14:ligatures w14:val="standardContextual"/>
        </w:rPr>
        <w:t>EPPO</w:t>
      </w:r>
      <w:r w:rsidRPr="00997873">
        <w:rPr>
          <w:color w:val="000000"/>
          <w:kern w:val="2"/>
          <w14:ligatures w14:val="standardContextual"/>
        </w:rPr>
        <w:t xml:space="preserve"> kredītrīkotājs, izpilda tās budžetu saskaņā ar savu atbildību un budžetā atļautajās robežās un katru gadu </w:t>
      </w:r>
      <w:proofErr w:type="spellStart"/>
      <w:r w:rsidRPr="00997873">
        <w:rPr>
          <w:color w:val="000000"/>
          <w:kern w:val="2"/>
          <w14:ligatures w14:val="standardContextual"/>
        </w:rPr>
        <w:t>nosūta</w:t>
      </w:r>
      <w:proofErr w:type="spellEnd"/>
      <w:r w:rsidRPr="00997873">
        <w:rPr>
          <w:color w:val="000000"/>
          <w:kern w:val="2"/>
          <w14:ligatures w14:val="standardContextual"/>
        </w:rPr>
        <w:t xml:space="preserve"> budžeta lēmējinstitūcijai visu informāciju, kas ir būtiska attiecībā uz jebkādu izvērtēšanas procedūru konstatējumiem;</w:t>
      </w:r>
    </w:p>
    <w:p w14:paraId="0209B919" w14:textId="77777777" w:rsidR="00997873" w:rsidRPr="00997873" w:rsidRDefault="00997873" w:rsidP="00997873">
      <w:pPr>
        <w:spacing w:after="240"/>
        <w:ind w:left="567" w:hanging="567"/>
        <w:rPr>
          <w:color w:val="000000"/>
          <w:kern w:val="2"/>
          <w:szCs w:val="24"/>
          <w14:ligatures w14:val="standardContextual"/>
        </w:rPr>
      </w:pPr>
      <w:r w:rsidRPr="00997873">
        <w:rPr>
          <w:color w:val="000000"/>
          <w:kern w:val="2"/>
          <w14:ligatures w14:val="standardContextual"/>
        </w:rPr>
        <w:t>I.</w:t>
      </w:r>
      <w:r w:rsidRPr="00997873">
        <w:rPr>
          <w:color w:val="000000"/>
          <w:kern w:val="2"/>
          <w14:ligatures w14:val="standardContextual"/>
        </w:rPr>
        <w:tab/>
        <w:t xml:space="preserve">tā kā saskaņā ar </w:t>
      </w:r>
      <w:r w:rsidRPr="00997873">
        <w:rPr>
          <w:i/>
          <w:color w:val="000000"/>
          <w:kern w:val="2"/>
          <w14:ligatures w14:val="standardContextual"/>
        </w:rPr>
        <w:t>EPPO</w:t>
      </w:r>
      <w:r w:rsidRPr="00997873">
        <w:rPr>
          <w:color w:val="000000"/>
          <w:kern w:val="2"/>
          <w14:ligatures w14:val="standardContextual"/>
        </w:rPr>
        <w:t xml:space="preserve"> finanšu noteikumu 50. panta 2. punktu Komisijas grāmatvedis darbojas arī kā </w:t>
      </w:r>
      <w:r w:rsidRPr="00997873">
        <w:rPr>
          <w:i/>
          <w:color w:val="000000"/>
          <w:kern w:val="2"/>
          <w14:ligatures w14:val="standardContextual"/>
        </w:rPr>
        <w:t>EPPO</w:t>
      </w:r>
      <w:r w:rsidRPr="00997873">
        <w:rPr>
          <w:color w:val="000000"/>
          <w:kern w:val="2"/>
          <w14:ligatures w14:val="standardContextual"/>
        </w:rPr>
        <w:t xml:space="preserve"> grāmatvedis un ir atbildīgs par to gada pārskatu sagatavošanu, kuri tiek konsolidēti ar Savienības pārskatiem;</w:t>
      </w:r>
    </w:p>
    <w:p w14:paraId="4A0E9BA5" w14:textId="77777777" w:rsidR="00997873" w:rsidRPr="00997873" w:rsidRDefault="00997873" w:rsidP="00997873">
      <w:pPr>
        <w:spacing w:after="240"/>
        <w:ind w:left="567" w:hanging="567"/>
        <w:rPr>
          <w:color w:val="000000"/>
          <w:kern w:val="2"/>
          <w:szCs w:val="24"/>
          <w14:ligatures w14:val="standardContextual"/>
        </w:rPr>
      </w:pPr>
      <w:r w:rsidRPr="00997873">
        <w:rPr>
          <w:color w:val="000000"/>
          <w:kern w:val="2"/>
          <w14:ligatures w14:val="standardContextual"/>
        </w:rPr>
        <w:t>J.</w:t>
      </w:r>
      <w:r w:rsidRPr="00997873">
        <w:rPr>
          <w:color w:val="000000"/>
          <w:kern w:val="2"/>
          <w14:ligatures w14:val="standardContextual"/>
        </w:rPr>
        <w:tab/>
      </w:r>
      <w:r w:rsidRPr="00997873">
        <w:rPr>
          <w:kern w:val="2"/>
          <w14:ligatures w14:val="standardContextual"/>
        </w:rPr>
        <w:t xml:space="preserve">tā kā saskaņā ar pašreizējo regulējumu galīgos gada pārskatus pārbauda Revīzijas palāta (“Revīzijas palāta”) un </w:t>
      </w:r>
      <w:r w:rsidRPr="00997873">
        <w:rPr>
          <w:color w:val="000000"/>
          <w:kern w:val="2"/>
          <w14:ligatures w14:val="standardContextual"/>
        </w:rPr>
        <w:t>Padomei ir jāsniedz ieteikums, un Eiropas Parlamentam ir jāpieņem lēmums par to, vai sniegt Eiropas Prokuratūras administratīvajam direktoram apstiprinājumu par attiecīgā finanšu gada budžeta izpildi;</w:t>
      </w:r>
    </w:p>
    <w:p w14:paraId="2D75DF30" w14:textId="77777777" w:rsidR="00997873" w:rsidRPr="00997873" w:rsidRDefault="00997873" w:rsidP="00997873">
      <w:pPr>
        <w:spacing w:after="240"/>
        <w:ind w:left="567" w:hanging="567"/>
        <w:rPr>
          <w:color w:val="000000"/>
          <w:kern w:val="2"/>
          <w:szCs w:val="24"/>
          <w14:ligatures w14:val="standardContextual"/>
        </w:rPr>
      </w:pPr>
      <w:r w:rsidRPr="00997873">
        <w:rPr>
          <w:color w:val="000000"/>
          <w:kern w:val="2"/>
          <w14:ligatures w14:val="standardContextual"/>
        </w:rPr>
        <w:t>K.</w:t>
      </w:r>
      <w:r w:rsidRPr="00997873">
        <w:rPr>
          <w:color w:val="000000"/>
          <w:kern w:val="2"/>
          <w14:ligatures w14:val="standardContextual"/>
        </w:rPr>
        <w:tab/>
        <w:t xml:space="preserve">tā kā, pārbaudot </w:t>
      </w:r>
      <w:r w:rsidRPr="00997873">
        <w:rPr>
          <w:i/>
          <w:color w:val="000000"/>
          <w:kern w:val="2"/>
          <w14:ligatures w14:val="standardContextual"/>
        </w:rPr>
        <w:t>EPPO</w:t>
      </w:r>
      <w:r w:rsidRPr="00997873">
        <w:rPr>
          <w:color w:val="000000"/>
          <w:kern w:val="2"/>
          <w14:ligatures w14:val="standardContextual"/>
        </w:rPr>
        <w:t xml:space="preserve"> resursu un saistīto izdevumu pārvaldību, nedrīkst ignorēt operatīvo darbību, to seku un ietekmes, kā arī to izpildes metožu pārbaudi;</w:t>
      </w:r>
    </w:p>
    <w:p w14:paraId="1E00018B" w14:textId="77777777" w:rsidR="00997873" w:rsidRPr="00997873" w:rsidRDefault="00997873" w:rsidP="00997873">
      <w:pPr>
        <w:spacing w:after="240"/>
        <w:ind w:left="567" w:hanging="567"/>
        <w:rPr>
          <w:color w:val="000000"/>
          <w:kern w:val="2"/>
          <w:szCs w:val="24"/>
          <w14:ligatures w14:val="standardContextual"/>
        </w:rPr>
      </w:pPr>
      <w:r w:rsidRPr="00997873">
        <w:rPr>
          <w:color w:val="000000"/>
          <w:kern w:val="2"/>
          <w14:ligatures w14:val="standardContextual"/>
        </w:rPr>
        <w:t>L.</w:t>
      </w:r>
      <w:r w:rsidRPr="00997873">
        <w:rPr>
          <w:color w:val="000000"/>
          <w:kern w:val="2"/>
          <w14:ligatures w14:val="standardContextual"/>
        </w:rPr>
        <w:tab/>
        <w:t xml:space="preserve">tā kā </w:t>
      </w:r>
      <w:r w:rsidRPr="00997873">
        <w:rPr>
          <w:i/>
          <w:color w:val="000000"/>
          <w:kern w:val="2"/>
          <w14:ligatures w14:val="standardContextual"/>
        </w:rPr>
        <w:t>EPPO</w:t>
      </w:r>
      <w:r w:rsidRPr="00997873">
        <w:rPr>
          <w:color w:val="000000"/>
          <w:kern w:val="2"/>
          <w14:ligatures w14:val="standardContextual"/>
        </w:rPr>
        <w:t xml:space="preserve"> sava budžeta izpildē darbojas patstāvīgi tikai kopš 2021. gada 24. jūnija un tā sāka savas operatīvās darbības, kas prasa nepārtrauktu izvērtēšanu, lai nodrošinātu resursu atbilstību darbības efektivitātei, 2021. gada 1. jūnijā, kas ir arī diena, kad beidzas </w:t>
      </w:r>
      <w:r w:rsidRPr="00997873">
        <w:rPr>
          <w:color w:val="333333"/>
          <w:kern w:val="2"/>
          <w:shd w:val="clear" w:color="auto" w:fill="FFFFFF"/>
          <w14:ligatures w14:val="standardContextual"/>
        </w:rPr>
        <w:t>Regulas (ES) 2017/1939 119. pant</w:t>
      </w:r>
      <w:r w:rsidRPr="00997873">
        <w:rPr>
          <w:kern w:val="2"/>
          <w14:ligatures w14:val="standardContextual"/>
        </w:rPr>
        <w:t>ā noteiktais piecu gadu termiņš,</w:t>
      </w:r>
      <w:r w:rsidRPr="00997873">
        <w:rPr>
          <w:color w:val="000000"/>
          <w:kern w:val="2"/>
          <w14:ligatures w14:val="standardContextual"/>
        </w:rPr>
        <w:t xml:space="preserve"> pēc kura beigām Komisijai ir jāiesniedz Eiropas Parlamentam, Padomei un valstu parlamentiem novērtējuma ziņojums par šīs regulas īstenošanu un ietekmi, kā arī par </w:t>
      </w:r>
      <w:r w:rsidRPr="00997873">
        <w:rPr>
          <w:i/>
          <w:color w:val="000000"/>
          <w:kern w:val="2"/>
          <w14:ligatures w14:val="standardContextual"/>
        </w:rPr>
        <w:t>EPPO</w:t>
      </w:r>
      <w:r w:rsidRPr="00997873">
        <w:rPr>
          <w:color w:val="000000"/>
          <w:kern w:val="2"/>
          <w14:ligatures w14:val="standardContextual"/>
        </w:rPr>
        <w:t xml:space="preserve"> un tās darba prakses efektivitāti un lietderību kopā ar tās secinājumiem;</w:t>
      </w:r>
    </w:p>
    <w:p w14:paraId="0147E174" w14:textId="77777777" w:rsidR="00997873" w:rsidRPr="00997873" w:rsidRDefault="00997873" w:rsidP="00997873">
      <w:pPr>
        <w:spacing w:after="240"/>
        <w:ind w:left="567" w:hanging="567"/>
        <w:rPr>
          <w:color w:val="000000"/>
          <w:kern w:val="2"/>
          <w:szCs w:val="24"/>
          <w14:ligatures w14:val="standardContextual"/>
        </w:rPr>
      </w:pPr>
      <w:r w:rsidRPr="00997873">
        <w:rPr>
          <w:color w:val="000000"/>
          <w:kern w:val="2"/>
          <w14:ligatures w14:val="standardContextual"/>
        </w:rPr>
        <w:t>M.</w:t>
      </w:r>
      <w:r w:rsidRPr="00997873">
        <w:rPr>
          <w:color w:val="000000"/>
          <w:kern w:val="2"/>
          <w14:ligatures w14:val="standardContextual"/>
        </w:rPr>
        <w:tab/>
        <w:t>tā kā saskaņā ar Regulas (</w:t>
      </w:r>
      <w:r w:rsidRPr="00997873">
        <w:rPr>
          <w:color w:val="333333"/>
          <w:kern w:val="2"/>
          <w:shd w:val="clear" w:color="auto" w:fill="FFFFFF"/>
          <w14:ligatures w14:val="standardContextual"/>
        </w:rPr>
        <w:t xml:space="preserve">ES) 2017/1939 119. panta 2. punktu Komisijai jāiesniedz tiesību aktu priekšlikumi Eiropas Parlamentam un Padomei, </w:t>
      </w:r>
      <w:r w:rsidRPr="00997873">
        <w:rPr>
          <w:color w:val="000000"/>
          <w:kern w:val="2"/>
          <w14:ligatures w14:val="standardContextual"/>
        </w:rPr>
        <w:t xml:space="preserve">ja tā secina, ka ir nepieciešami papildu vai sīkāk izstrādāti noteikumi par </w:t>
      </w:r>
      <w:r w:rsidRPr="00997873">
        <w:rPr>
          <w:i/>
          <w:color w:val="000000"/>
          <w:kern w:val="2"/>
          <w14:ligatures w14:val="standardContextual"/>
        </w:rPr>
        <w:t>EPPO</w:t>
      </w:r>
      <w:r w:rsidRPr="00997873">
        <w:rPr>
          <w:color w:val="000000"/>
          <w:kern w:val="2"/>
          <w14:ligatures w14:val="standardContextual"/>
        </w:rPr>
        <w:t xml:space="preserve"> izveidi, tās funkcijām vai procedūru, kas piemērojama tās darbībām, tai skaitā pārrobežu izmeklēšanai,</w:t>
      </w:r>
    </w:p>
    <w:p w14:paraId="3DA0DC35"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1.</w:t>
      </w:r>
      <w:r w:rsidRPr="00997873">
        <w:rPr>
          <w:kern w:val="2"/>
          <w14:ligatures w14:val="standardContextual"/>
        </w:rPr>
        <w:tab/>
        <w:t xml:space="preserve">atzinīgi vērtē Eiropas Revīzijas palātas pozitīvo atzinumu par </w:t>
      </w:r>
      <w:r w:rsidRPr="00997873">
        <w:rPr>
          <w:i/>
          <w:kern w:val="2"/>
          <w14:ligatures w14:val="standardContextual"/>
        </w:rPr>
        <w:t>EPPO</w:t>
      </w:r>
      <w:r w:rsidRPr="00997873">
        <w:rPr>
          <w:kern w:val="2"/>
          <w14:ligatures w14:val="standardContextual"/>
        </w:rPr>
        <w:t xml:space="preserve"> 2023. gada 31. decembrī slēgtā gada pārskatu ticamību un pakārtoto ieņēmumu un maksājumu likumību un pareizību;</w:t>
      </w:r>
    </w:p>
    <w:p w14:paraId="5F2CB884" w14:textId="77777777" w:rsidR="00997873" w:rsidRPr="00997873" w:rsidRDefault="00997873" w:rsidP="00997873">
      <w:pPr>
        <w:spacing w:after="240"/>
        <w:ind w:left="567" w:hanging="567"/>
        <w:rPr>
          <w:color w:val="000000"/>
          <w:kern w:val="2"/>
          <w14:ligatures w14:val="standardContextual"/>
        </w:rPr>
      </w:pPr>
      <w:r w:rsidRPr="00997873">
        <w:rPr>
          <w:kern w:val="2"/>
          <w14:ligatures w14:val="standardContextual"/>
        </w:rPr>
        <w:t>2.</w:t>
      </w:r>
      <w:r w:rsidRPr="00997873">
        <w:rPr>
          <w:kern w:val="2"/>
          <w14:ligatures w14:val="standardContextual"/>
        </w:rPr>
        <w:tab/>
      </w:r>
      <w:r w:rsidRPr="00997873">
        <w:rPr>
          <w:color w:val="000000"/>
          <w:kern w:val="2"/>
          <w14:ligatures w14:val="standardContextual"/>
        </w:rPr>
        <w:t xml:space="preserve">atgādina par Parlamenta stingro atbalstu </w:t>
      </w:r>
      <w:r w:rsidRPr="00997873">
        <w:rPr>
          <w:i/>
          <w:color w:val="000000"/>
          <w:kern w:val="2"/>
          <w14:ligatures w14:val="standardContextual"/>
        </w:rPr>
        <w:t>EPPO</w:t>
      </w:r>
      <w:r w:rsidRPr="00997873">
        <w:rPr>
          <w:color w:val="000000"/>
          <w:kern w:val="2"/>
          <w14:ligatures w14:val="standardContextual"/>
        </w:rPr>
        <w:t xml:space="preserve"> izveidei; atzīst, ka </w:t>
      </w:r>
      <w:r w:rsidRPr="00997873">
        <w:rPr>
          <w:i/>
          <w:iCs/>
          <w:color w:val="000000"/>
          <w:kern w:val="2"/>
          <w14:ligatures w14:val="standardContextual"/>
        </w:rPr>
        <w:t>EPPO</w:t>
      </w:r>
      <w:r w:rsidRPr="00997873">
        <w:rPr>
          <w:color w:val="000000"/>
          <w:kern w:val="2"/>
          <w14:ligatures w14:val="standardContextual"/>
        </w:rPr>
        <w:t xml:space="preserve"> ir neatkarīga Savienības struktūra; uzsver </w:t>
      </w:r>
      <w:r w:rsidRPr="00997873">
        <w:rPr>
          <w:i/>
          <w:iCs/>
          <w:color w:val="000000"/>
          <w:kern w:val="2"/>
          <w14:ligatures w14:val="standardContextual"/>
        </w:rPr>
        <w:t>EPPO</w:t>
      </w:r>
      <w:r w:rsidRPr="00997873">
        <w:rPr>
          <w:color w:val="000000"/>
          <w:kern w:val="2"/>
          <w14:ligatures w14:val="standardContextual"/>
        </w:rPr>
        <w:t xml:space="preserve"> lielo nozīmi Savienības finanšu interešu aizsardzībā un to, ka tā ir būtisks komponents Savienības krāpšanas apkarošanas arhitektūrā un plašākā Savienības sistēmā, kuras pamatā ir resursu integritāte, </w:t>
      </w:r>
      <w:proofErr w:type="spellStart"/>
      <w:r w:rsidRPr="00997873">
        <w:rPr>
          <w:color w:val="000000"/>
          <w:kern w:val="2"/>
          <w14:ligatures w14:val="standardContextual"/>
        </w:rPr>
        <w:t>pārskatatbildība</w:t>
      </w:r>
      <w:proofErr w:type="spellEnd"/>
      <w:r w:rsidRPr="00997873">
        <w:rPr>
          <w:color w:val="000000"/>
          <w:kern w:val="2"/>
          <w14:ligatures w14:val="standardContextual"/>
        </w:rPr>
        <w:t xml:space="preserve"> un finanšu pareiza pārvaldība; atzinīgi vērtē </w:t>
      </w:r>
      <w:r w:rsidRPr="00997873">
        <w:rPr>
          <w:i/>
          <w:iCs/>
          <w:color w:val="000000"/>
          <w:kern w:val="2"/>
          <w14:ligatures w14:val="standardContextual"/>
        </w:rPr>
        <w:t>EPPO</w:t>
      </w:r>
      <w:r w:rsidRPr="00997873">
        <w:rPr>
          <w:color w:val="000000"/>
          <w:kern w:val="2"/>
          <w14:ligatures w14:val="standardContextual"/>
        </w:rPr>
        <w:t xml:space="preserve"> darbu saistībā ar izmeklēšanu, kriminālvajāšanu un tiesiskuma nodrošināšanu attiecībā uz noziegumiem, kas skar Savienības budžetu, piemēram, krāpšanu, korupciju un pārrobežu krāpšanu PVN jomā;</w:t>
      </w:r>
    </w:p>
    <w:p w14:paraId="51AF8E66"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3.</w:t>
      </w:r>
      <w:r w:rsidRPr="00997873">
        <w:rPr>
          <w:kern w:val="2"/>
          <w14:ligatures w14:val="standardContextual"/>
        </w:rPr>
        <w:tab/>
        <w:t xml:space="preserve">uzsver, ka ir ļoti svarīgi nekavējoties piešķirt nepieciešamos resursus, lai nodrošinātu, </w:t>
      </w:r>
      <w:r w:rsidRPr="00997873">
        <w:rPr>
          <w:kern w:val="2"/>
          <w14:ligatures w14:val="standardContextual"/>
        </w:rPr>
        <w:lastRenderedPageBreak/>
        <w:t>ka tiek laikus pabeigta notiekošā izmeklēšana par Covid-19 vakcīnas iegādi Savienībā, jo īpaši ņemot vērā būtiskās sabiedrības intereses šajā jautājumā, kā arī to, ka izmeklēšana jau tika sākta 2022. gadā un līdz šim brīdim lēmums nav publiski paziņots;</w:t>
      </w:r>
    </w:p>
    <w:p w14:paraId="56F6AEDA"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4.</w:t>
      </w:r>
      <w:r w:rsidRPr="00997873">
        <w:rPr>
          <w:kern w:val="2"/>
          <w14:ligatures w14:val="standardContextual"/>
        </w:rPr>
        <w:tab/>
        <w:t xml:space="preserve">norāda, ka pēc </w:t>
      </w:r>
      <w:r w:rsidRPr="00997873">
        <w:rPr>
          <w:i/>
          <w:kern w:val="2"/>
          <w14:ligatures w14:val="standardContextual"/>
        </w:rPr>
        <w:t>EPPO</w:t>
      </w:r>
      <w:r w:rsidRPr="00997873">
        <w:rPr>
          <w:kern w:val="2"/>
          <w14:ligatures w14:val="standardContextual"/>
        </w:rPr>
        <w:t xml:space="preserve"> finansiālās autonomijas iegūšanas 2021. gada jūnijā ir iespējams salīdzināt tikai divu pēdējo gadu </w:t>
      </w:r>
      <w:r w:rsidRPr="00997873">
        <w:rPr>
          <w:i/>
          <w:kern w:val="2"/>
          <w14:ligatures w14:val="standardContextual"/>
        </w:rPr>
        <w:t>EPPO</w:t>
      </w:r>
      <w:r w:rsidRPr="00997873">
        <w:rPr>
          <w:kern w:val="2"/>
          <w14:ligatures w14:val="standardContextual"/>
        </w:rPr>
        <w:t xml:space="preserve"> budžeta un darbības rādītājus par periodu no 2022. līdz 2023. gadam; norāda, ka šajā kontekstā ar </w:t>
      </w:r>
      <w:r w:rsidRPr="00997873">
        <w:rPr>
          <w:i/>
          <w:kern w:val="2"/>
          <w14:ligatures w14:val="standardContextual"/>
        </w:rPr>
        <w:t>EPPO</w:t>
      </w:r>
      <w:r w:rsidRPr="00997873">
        <w:rPr>
          <w:kern w:val="2"/>
          <w14:ligatures w14:val="standardContextual"/>
        </w:rPr>
        <w:t xml:space="preserve"> darbībām saistīto budžeta pieaugumu joprojām ir ļoti grūti aplēst, ņemot vērā to, ka </w:t>
      </w:r>
      <w:r w:rsidRPr="00997873">
        <w:rPr>
          <w:i/>
          <w:kern w:val="2"/>
          <w14:ligatures w14:val="standardContextual"/>
        </w:rPr>
        <w:t>EPPO</w:t>
      </w:r>
      <w:r w:rsidRPr="00997873">
        <w:rPr>
          <w:kern w:val="2"/>
          <w14:ligatures w14:val="standardContextual"/>
        </w:rPr>
        <w:t xml:space="preserve"> ir izveidota nesen, kā arī ņemot vērā </w:t>
      </w:r>
      <w:r w:rsidRPr="00997873">
        <w:rPr>
          <w:i/>
          <w:iCs/>
          <w:kern w:val="2"/>
          <w14:ligatures w14:val="standardContextual"/>
        </w:rPr>
        <w:t>EPPO</w:t>
      </w:r>
      <w:r w:rsidRPr="00997873">
        <w:rPr>
          <w:kern w:val="2"/>
          <w14:ligatures w14:val="standardContextual"/>
        </w:rPr>
        <w:t xml:space="preserve"> unikālās iezīmes un tās pamatdarbības, neprognozējamo atklāto krāpšanas gadījumu līmeni, tās lietu lielo daudzveidību, rīcības brīvības trūkumu attiecībā uz kriminālvajāšanu un tās paļaušanos uz valstu tiesu sistēmu resursiem un procesuālajiem ierobežojumiem, noteiktas korelācijas trūkumu starp izmeklēšanu skaitu un izmaksām un aizsargājamo Savienības finanšu interešu apmēru; norāda arī, ka ir grūti aplēst ar Atveseļošanas un noturības mehānismu (ANM) saistīto lietu noslodzes izdevumu prognozi, ņemot vērā bezprecedenta īstenošanas veidu un milzīgo resursu apjomu;</w:t>
      </w:r>
    </w:p>
    <w:p w14:paraId="509ECC31" w14:textId="77777777" w:rsidR="00997873" w:rsidRPr="00997873" w:rsidRDefault="00997873" w:rsidP="00997873">
      <w:pPr>
        <w:spacing w:after="240"/>
        <w:ind w:left="567" w:hanging="567"/>
        <w:rPr>
          <w:b/>
          <w:i/>
          <w:kern w:val="2"/>
          <w:szCs w:val="24"/>
          <w14:ligatures w14:val="standardContextual"/>
        </w:rPr>
      </w:pPr>
      <w:r w:rsidRPr="00997873">
        <w:rPr>
          <w:b/>
          <w:i/>
          <w:kern w:val="2"/>
          <w14:ligatures w14:val="standardContextual"/>
        </w:rPr>
        <w:t>Budžeta un finanšu pārvaldība</w:t>
      </w:r>
    </w:p>
    <w:p w14:paraId="770C5C53"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5.</w:t>
      </w:r>
      <w:r w:rsidRPr="00997873">
        <w:rPr>
          <w:kern w:val="2"/>
          <w14:ligatures w14:val="standardContextual"/>
        </w:rPr>
        <w:tab/>
      </w:r>
      <w:r w:rsidRPr="00997873">
        <w:rPr>
          <w:color w:val="000000"/>
          <w:kern w:val="2"/>
          <w14:ligatures w14:val="standardContextual"/>
        </w:rPr>
        <w:t xml:space="preserve">norāda, ka kopējais galīgais budžets, kas tika piešķirts </w:t>
      </w:r>
      <w:r w:rsidRPr="00997873">
        <w:rPr>
          <w:i/>
          <w:iCs/>
          <w:color w:val="000000"/>
          <w:kern w:val="2"/>
          <w14:ligatures w14:val="standardContextual"/>
        </w:rPr>
        <w:t>EPPO</w:t>
      </w:r>
      <w:r w:rsidRPr="00997873">
        <w:rPr>
          <w:color w:val="000000"/>
          <w:kern w:val="2"/>
          <w14:ligatures w14:val="standardContextual"/>
        </w:rPr>
        <w:t xml:space="preserve"> 2023. gadam, bija 65,9 miljoni EUR, kas ir ievērojams pieaugums (par 14,7 %) salīdzinājumā ar 51,2 miljoniem EUR, kas tika piešķirti 2022. gadā, savukārt 2021. gada budžets (26,2 miljoni EUR) attiecās uz laikposmu pirms </w:t>
      </w:r>
      <w:r w:rsidRPr="00997873">
        <w:rPr>
          <w:i/>
          <w:iCs/>
          <w:color w:val="000000"/>
          <w:kern w:val="2"/>
          <w14:ligatures w14:val="standardContextual"/>
        </w:rPr>
        <w:t>EPPO</w:t>
      </w:r>
      <w:r w:rsidRPr="00997873">
        <w:rPr>
          <w:color w:val="000000"/>
          <w:kern w:val="2"/>
          <w14:ligatures w14:val="standardContextual"/>
        </w:rPr>
        <w:t xml:space="preserve"> finansiālās autonomijas; konstatē, ka </w:t>
      </w:r>
      <w:r w:rsidRPr="00997873">
        <w:rPr>
          <w:i/>
          <w:iCs/>
          <w:color w:val="000000"/>
          <w:kern w:val="2"/>
          <w14:ligatures w14:val="standardContextual"/>
        </w:rPr>
        <w:t>EPPO</w:t>
      </w:r>
      <w:r w:rsidRPr="00997873">
        <w:rPr>
          <w:color w:val="000000"/>
          <w:kern w:val="2"/>
          <w14:ligatures w14:val="standardContextual"/>
        </w:rPr>
        <w:t xml:space="preserve"> budžetā ir iekļauts finansējuma palielinājums 500 000 EUR apmērā, ko budžeta lēmējinstitūcija pēc </w:t>
      </w:r>
      <w:r w:rsidRPr="00997873">
        <w:rPr>
          <w:i/>
          <w:iCs/>
          <w:color w:val="000000"/>
          <w:kern w:val="2"/>
          <w14:ligatures w14:val="standardContextual"/>
        </w:rPr>
        <w:t>EPPO</w:t>
      </w:r>
      <w:r w:rsidRPr="00997873">
        <w:rPr>
          <w:color w:val="000000"/>
          <w:kern w:val="2"/>
          <w14:ligatures w14:val="standardContextual"/>
        </w:rPr>
        <w:t xml:space="preserve"> pieprasījuma piešķīra 2023. gada jūnijā (pieprasījumā bija iekļauti arī cilvēkresursi, kas saistīti ar </w:t>
      </w:r>
      <w:r w:rsidRPr="00997873">
        <w:rPr>
          <w:i/>
          <w:iCs/>
          <w:color w:val="000000"/>
          <w:kern w:val="2"/>
          <w14:ligatures w14:val="standardContextual"/>
        </w:rPr>
        <w:t>EPPO</w:t>
      </w:r>
      <w:r w:rsidRPr="00997873">
        <w:rPr>
          <w:color w:val="000000"/>
          <w:kern w:val="2"/>
          <w14:ligatures w14:val="standardContextual"/>
        </w:rPr>
        <w:t xml:space="preserve"> drošības spēju būtisku uzlabošanu, kā rezultātā tika piešķirtas astoņas papildu štata vietas); atzinīgi vērtē to, ka 2023. gadā finansējums netika atgriezts salīdzinājumā ar 10 % (5,9 miljoni EUR) no sākotnējā budžeta 2022. gadā un 21 % (9,5 miljoni EUR) 2021. gadā; atkārtoti uzsver, ka </w:t>
      </w:r>
      <w:r w:rsidRPr="00997873">
        <w:rPr>
          <w:i/>
          <w:iCs/>
          <w:color w:val="000000"/>
          <w:kern w:val="2"/>
          <w14:ligatures w14:val="standardContextual"/>
        </w:rPr>
        <w:t>EPPO</w:t>
      </w:r>
      <w:r w:rsidRPr="00997873">
        <w:rPr>
          <w:color w:val="000000"/>
          <w:kern w:val="2"/>
          <w14:ligatures w14:val="standardContextual"/>
        </w:rPr>
        <w:t xml:space="preserve"> ir jāpiešķir pietiekami resursi, lai tā varētu pienācīgi īstenot savas pilnvaras;</w:t>
      </w:r>
    </w:p>
    <w:p w14:paraId="303EC4E7"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6.</w:t>
      </w:r>
      <w:r w:rsidRPr="00997873">
        <w:rPr>
          <w:kern w:val="2"/>
          <w14:ligatures w14:val="standardContextual"/>
        </w:rPr>
        <w:tab/>
        <w:t xml:space="preserve">atzinīgi vērtē pieaugošo budžeta izpildes līmeni, kas 2023. gadā bija 99,6 % (salīdzinājumā ar 98,1 % 2022. gadā un 97,4 % 2021. gadā); atzinīgi vērtē to, ka 2023. gadā ir pieaudzis kopējais maksājumu izpildes līmenis, sasniedzot 85,3 % (salīdzinājumā ar 76,6 % un 71 % 2022. un 2021. gadā), savukārt vidējais maksājumu izpildes laiks samazinājās līdz 17 dienām, salīdzinot ar 23,8 dienām 2022. gadā un 21,0 dienu 2021. gadā); norāda, ka elektronisko rēķinu sagatavošanas modulis (e–rēķini) tika ieviests 2023. gada jūnijā, un tas palīdzēs vēl vairāk </w:t>
      </w:r>
      <w:r w:rsidRPr="00997873">
        <w:rPr>
          <w:kern w:val="2"/>
          <w:shd w:val="clear" w:color="auto" w:fill="FFFFFF"/>
          <w14:ligatures w14:val="standardContextual"/>
        </w:rPr>
        <w:t>samazināt administratīvo slogu, samaksas laiku un kopējās apstrādes izmaksas;</w:t>
      </w:r>
      <w:r w:rsidRPr="00997873">
        <w:rPr>
          <w:kern w:val="2"/>
          <w14:ligatures w14:val="standardContextual"/>
        </w:rPr>
        <w:t xml:space="preserve"> mudina vēl vairāk pilnveidot darbības procesus, lai maksimāli palielinātu efektivitāti;</w:t>
      </w:r>
    </w:p>
    <w:p w14:paraId="7314A95B"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7.</w:t>
      </w:r>
      <w:r w:rsidRPr="00997873">
        <w:rPr>
          <w:kern w:val="2"/>
          <w14:ligatures w14:val="standardContextual"/>
        </w:rPr>
        <w:tab/>
        <w:t xml:space="preserve">apzinās, ka, tā kā budžeta piešķīrumu pieprasījumi tika izpildīti tikai daļēji, </w:t>
      </w:r>
      <w:r w:rsidRPr="00997873">
        <w:rPr>
          <w:i/>
          <w:kern w:val="2"/>
          <w14:ligatures w14:val="standardContextual"/>
        </w:rPr>
        <w:t>EPPO</w:t>
      </w:r>
      <w:r w:rsidRPr="00997873">
        <w:rPr>
          <w:kern w:val="2"/>
          <w14:ligatures w14:val="standardContextual"/>
        </w:rPr>
        <w:t xml:space="preserve"> koncentrēja savus finanšu resursus uz papildu EDP iesaisti, kam ir ietekme uz </w:t>
      </w:r>
      <w:r w:rsidRPr="00997873">
        <w:rPr>
          <w:i/>
          <w:kern w:val="2"/>
          <w14:ligatures w14:val="standardContextual"/>
        </w:rPr>
        <w:t>EPPO</w:t>
      </w:r>
      <w:r w:rsidRPr="00997873">
        <w:rPr>
          <w:kern w:val="2"/>
          <w14:ligatures w14:val="standardContextual"/>
        </w:rPr>
        <w:t xml:space="preserve"> spēju virzīt arvien lielāku skaitu izmeklēšanu un kriminālvajāšanu, uz vajadzību uzlabot organizācijas drošības situāciju, kā arī uz tās lietu pārvaldības sistēmas (LPS) uzturēšanu, un tas varēja negatīvi ietekmēt pārrobežu izmeklēšanu pārvaldību; uzsver, cik svarīgi ir piešķirt </w:t>
      </w:r>
      <w:r w:rsidRPr="00997873">
        <w:rPr>
          <w:i/>
          <w:iCs/>
          <w:kern w:val="2"/>
          <w14:ligatures w14:val="standardContextual"/>
        </w:rPr>
        <w:t>EPPO</w:t>
      </w:r>
      <w:r w:rsidRPr="00997873">
        <w:rPr>
          <w:kern w:val="2"/>
          <w14:ligatures w14:val="standardContextual"/>
        </w:rPr>
        <w:t xml:space="preserve"> papildu finansējumu un stiprināt tās personāla komplektēšanu, lai tā varētu efektīvi apkarot organizēto noziedzību, aizsargāt Savienības finanšu intereses un atbalstīt tiesiskumu, kas ir galvenās Savienības prioritātes; aicina nākamajā daudzgadu finanšu shēmā (DFS) mērķtiecīgi palielināt finansējumu, lai nodrošinātu, ka tā var turpināt pildīt savus mērķus un saistības;</w:t>
      </w:r>
    </w:p>
    <w:p w14:paraId="7AB20749" w14:textId="77777777" w:rsidR="00997873" w:rsidRPr="00997873" w:rsidRDefault="00997873" w:rsidP="00997873">
      <w:pPr>
        <w:spacing w:after="240"/>
        <w:ind w:left="567" w:hanging="567"/>
        <w:rPr>
          <w:bCs/>
          <w:kern w:val="2"/>
          <w:szCs w:val="24"/>
          <w14:ligatures w14:val="standardContextual"/>
        </w:rPr>
      </w:pPr>
      <w:r w:rsidRPr="00997873">
        <w:rPr>
          <w:kern w:val="2"/>
          <w14:ligatures w14:val="standardContextual"/>
        </w:rPr>
        <w:lastRenderedPageBreak/>
        <w:t>8.</w:t>
      </w:r>
      <w:r w:rsidRPr="00997873">
        <w:rPr>
          <w:kern w:val="2"/>
          <w14:ligatures w14:val="standardContextual"/>
        </w:rPr>
        <w:tab/>
        <w:t xml:space="preserve">apzinās, ka pēc finansiālās autonomijas ieviešanas 2021. gada jūnijā </w:t>
      </w:r>
      <w:r w:rsidRPr="00997873">
        <w:rPr>
          <w:i/>
          <w:iCs/>
          <w:kern w:val="2"/>
          <w14:ligatures w14:val="standardContextual"/>
        </w:rPr>
        <w:t>EPPO</w:t>
      </w:r>
      <w:r w:rsidRPr="00997873">
        <w:rPr>
          <w:kern w:val="2"/>
          <w14:ligatures w14:val="standardContextual"/>
        </w:rPr>
        <w:t xml:space="preserve"> ir noteikusi darbības izdevumu prioritāti attiecībā uz izmeklēšanu, apsūdzības izvirzīšanu un drošības pasākumiem, un ka tas ir ierobežojis ar darbību nesaistītos izdevumus tā, lai tajos iekļautu tikai </w:t>
      </w:r>
      <w:proofErr w:type="spellStart"/>
      <w:r w:rsidRPr="00997873">
        <w:rPr>
          <w:kern w:val="2"/>
          <w14:ligatures w14:val="standardContextual"/>
        </w:rPr>
        <w:t>pamatlīmeņa</w:t>
      </w:r>
      <w:proofErr w:type="spellEnd"/>
      <w:r w:rsidRPr="00997873">
        <w:rPr>
          <w:kern w:val="2"/>
          <w14:ligatures w14:val="standardContextual"/>
        </w:rPr>
        <w:t xml:space="preserve"> atbalsta pakalpojumus; norāda, ka šajā kontekstā darbības izdevumu pozīcijām (3. sadaļa) kopā tika piešķirti 28 312 075 EUR, kas ir 43 % no </w:t>
      </w:r>
      <w:r w:rsidRPr="00997873">
        <w:rPr>
          <w:i/>
          <w:iCs/>
          <w:kern w:val="2"/>
          <w14:ligatures w14:val="standardContextual"/>
        </w:rPr>
        <w:t>EPPO</w:t>
      </w:r>
      <w:r w:rsidRPr="00997873">
        <w:rPr>
          <w:kern w:val="2"/>
          <w14:ligatures w14:val="standardContextual"/>
        </w:rPr>
        <w:t xml:space="preserve"> galīgā 2023. gada budžeta (salīdzinājumā ar 21 047 346 EUR, kas bija 41 % no 2022. gada budžeta); norāda, ka šo darbību izmaksu pieauguma galvenie iemesli bija EDP atalgojums (51 % no operatīvo darbību izmaksām salīdzinājumā ar 42 % 2022. gadā), kam sekoja operatīvās IKT darbības, piemēram, </w:t>
      </w:r>
      <w:r w:rsidRPr="00997873">
        <w:rPr>
          <w:i/>
          <w:kern w:val="2"/>
          <w14:ligatures w14:val="standardContextual"/>
        </w:rPr>
        <w:t>EPPO</w:t>
      </w:r>
      <w:r w:rsidRPr="00997873">
        <w:rPr>
          <w:kern w:val="2"/>
          <w14:ligatures w14:val="standardContextual"/>
        </w:rPr>
        <w:t xml:space="preserve"> LPS uzturēšana un attīstība (19 % salīdzinājumā ar 28 % 2022. gadā), kā arī lingvistiskie pakalpojumi (ar rakstisko un mutisko tulkošanu saistītās darbības) (14 %, tāpat kā 2022. gadā);</w:t>
      </w:r>
    </w:p>
    <w:p w14:paraId="1ACE65D8"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9.</w:t>
      </w:r>
      <w:r w:rsidRPr="00997873">
        <w:rPr>
          <w:kern w:val="2"/>
          <w14:ligatures w14:val="standardContextual"/>
        </w:rPr>
        <w:tab/>
        <w:t xml:space="preserve">norāda, ka EDP atalgojums sasniedza 14,5 miljonus EUR (salīdzinājumā ar 8,7 miljoniem EUR 2022. gadā) un ka tas veido galvenos darbības izdevumus, jo iesaistīto EDP skaits 2023. gadā pieauga; atzinīgi vērtē Polijas un Zviedrijas pievienošanos </w:t>
      </w:r>
      <w:r w:rsidRPr="00997873">
        <w:rPr>
          <w:i/>
          <w:iCs/>
          <w:kern w:val="2"/>
          <w14:ligatures w14:val="standardContextual"/>
        </w:rPr>
        <w:t>EPPO</w:t>
      </w:r>
      <w:r w:rsidRPr="00997873">
        <w:rPr>
          <w:kern w:val="2"/>
          <w14:ligatures w14:val="standardContextual"/>
        </w:rPr>
        <w:t xml:space="preserve">, par ko tika paziņots 2024. gadā; norāda, ka minētais neietekmēja 2023. gada izdevumus un 2024. gada budžetu skar tikai nedaudz, ņemot vērā divu Eiropas prokuroru, kā arī dažu EDP vēlīno un pakāpenisko iesaisti; apzinās, ka pamatotāku izmaksu aplēsi nebūs iespējams sagatavot ātrāk kā 2025. gadā; atzinīgi vērtē to, ka programmā ir iekļauts jaunās Īrijas valdības mērķis pievienoties </w:t>
      </w:r>
      <w:r w:rsidRPr="00997873">
        <w:rPr>
          <w:i/>
          <w:iCs/>
          <w:kern w:val="2"/>
          <w14:ligatures w14:val="standardContextual"/>
        </w:rPr>
        <w:t>EPPO</w:t>
      </w:r>
      <w:r w:rsidRPr="00997873">
        <w:rPr>
          <w:kern w:val="2"/>
          <w14:ligatures w14:val="standardContextual"/>
        </w:rPr>
        <w:t xml:space="preserve">; aicina Ungārijas valdību kā vienīgo dalībvalsti, kas – neraugoties uz to, ka nav nekādu juridisku vai konstitucionālu šķēršļu, – vēl nav pievienojusies </w:t>
      </w:r>
      <w:r w:rsidRPr="00997873">
        <w:rPr>
          <w:i/>
          <w:iCs/>
          <w:kern w:val="2"/>
          <w14:ligatures w14:val="standardContextual"/>
        </w:rPr>
        <w:t>EPPO</w:t>
      </w:r>
      <w:r w:rsidRPr="00997873">
        <w:rPr>
          <w:kern w:val="2"/>
          <w14:ligatures w14:val="standardContextual"/>
        </w:rPr>
        <w:t>, nekavējoties pievienoties tai;</w:t>
      </w:r>
    </w:p>
    <w:p w14:paraId="7B25DFB7"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10.</w:t>
      </w:r>
      <w:r w:rsidRPr="00997873">
        <w:rPr>
          <w:kern w:val="2"/>
          <w14:ligatures w14:val="standardContextual"/>
        </w:rPr>
        <w:tab/>
        <w:t>norāda, ka 2023. gadā turpināja palielināties misiju un operatīvo sanāksmju izmaksas (misiju izmaksas 2023. gadā bija 1 175 000 EUR, bet 2022. gadā – 980 000 EUR; operatīvo sanāksmju izmaksas 2023. gadā bija 659 752 EUR salīdzinājumā ar 170 000 EUR 2022. gadā) atbilstoši izmeklēšanas intensitātes līmeņa pieaugumam;</w:t>
      </w:r>
    </w:p>
    <w:p w14:paraId="77045DEC"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11.</w:t>
      </w:r>
      <w:r w:rsidRPr="00997873">
        <w:rPr>
          <w:kern w:val="2"/>
          <w14:ligatures w14:val="standardContextual"/>
        </w:rPr>
        <w:tab/>
        <w:t xml:space="preserve">apzinās, ka paredzams, ka rakstiskās tulkošanas pakalpojumu izmaksas palielināsies vēl vairāk, ņemot vērā pieaugošo </w:t>
      </w:r>
      <w:r w:rsidRPr="00997873">
        <w:rPr>
          <w:i/>
          <w:iCs/>
          <w:kern w:val="2"/>
          <w14:ligatures w14:val="standardContextual"/>
        </w:rPr>
        <w:t>EPPO</w:t>
      </w:r>
      <w:r w:rsidRPr="00997873">
        <w:rPr>
          <w:kern w:val="2"/>
          <w14:ligatures w14:val="standardContextual"/>
        </w:rPr>
        <w:t xml:space="preserve"> lietu skaitu, un atzīst, ka rakstiskajai tulkošanai ir vajadzīgi papildu resursi; atzinīgi vērtē gan iekšējās vadlīnijas, kas izstrādātas par tulkošanas pakalpojumu izmantošanu, lai pastiprinātu izmaksu kontroli un iekļautu ieteikumu izmantot </w:t>
      </w:r>
      <w:proofErr w:type="spellStart"/>
      <w:r w:rsidRPr="00997873">
        <w:rPr>
          <w:kern w:val="2"/>
          <w14:ligatures w14:val="standardContextual"/>
        </w:rPr>
        <w:t>mašīntulkošanas</w:t>
      </w:r>
      <w:proofErr w:type="spellEnd"/>
      <w:r w:rsidRPr="00997873">
        <w:rPr>
          <w:kern w:val="2"/>
          <w14:ligatures w14:val="standardContextual"/>
        </w:rPr>
        <w:t xml:space="preserve"> pakalpojumus, kad vien iespējams, gan arī valsts pakalpojumu sniedzēju piesaisti, ciktāl to pieļauj spēkā esošā regula, lai risinātu šo problēma; šajā sakarībā konstatē, ka, lai gan Regulas (ES) 2017/1939 107. pantā ir paredzēts, ka </w:t>
      </w:r>
      <w:r w:rsidRPr="00997873">
        <w:rPr>
          <w:i/>
          <w:iCs/>
          <w:kern w:val="2"/>
          <w14:ligatures w14:val="standardContextual"/>
        </w:rPr>
        <w:t>EPPO</w:t>
      </w:r>
      <w:r w:rsidRPr="00997873">
        <w:rPr>
          <w:kern w:val="2"/>
          <w14:ligatures w14:val="standardContextual"/>
        </w:rPr>
        <w:t xml:space="preserve"> administratīvajai darbībai vajadzīgos tulkošanas pakalpojumus centrālajā līmenī nodrošina Eiropas Savienības iestāžu Tulkošanas centrs, tas arī paredz atšķirīgu operatīvo un steidzamo jautājumu risināšanu un pilnvaro EDP lemt par kārtību, kādā notiek tulkošana izmeklēšanu nolūkā saskaņā ar piemērojamiem valsts tiesību aktiem;</w:t>
      </w:r>
    </w:p>
    <w:p w14:paraId="7D941D0B"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14:ligatures w14:val="standardContextual"/>
        </w:rPr>
        <w:t>12.</w:t>
      </w:r>
      <w:r w:rsidRPr="00997873">
        <w:rPr>
          <w:kern w:val="2"/>
          <w14:ligatures w14:val="standardContextual"/>
        </w:rPr>
        <w:tab/>
        <w:t xml:space="preserve">norāda, ka 2023. gadā </w:t>
      </w:r>
      <w:r w:rsidRPr="00997873">
        <w:rPr>
          <w:i/>
          <w:kern w:val="2"/>
          <w14:ligatures w14:val="standardContextual"/>
        </w:rPr>
        <w:t>EPPO</w:t>
      </w:r>
      <w:r w:rsidRPr="00997873">
        <w:rPr>
          <w:kern w:val="2"/>
          <w14:ligatures w14:val="standardContextual"/>
        </w:rPr>
        <w:t xml:space="preserve"> parakstīja 234 konkrētos līgumus saskaņā ar spēkā esošajiem pamatlīgumiem par kopējo summu vairāk nekā 11 miljoni EUR, ievērojami palielinot </w:t>
      </w:r>
      <w:r w:rsidRPr="00997873">
        <w:rPr>
          <w:i/>
          <w:kern w:val="2"/>
          <w14:ligatures w14:val="standardContextual"/>
        </w:rPr>
        <w:t>EPPO</w:t>
      </w:r>
      <w:r w:rsidRPr="00997873">
        <w:rPr>
          <w:kern w:val="2"/>
          <w14:ligatures w14:val="standardContextual"/>
        </w:rPr>
        <w:t xml:space="preserve"> pamatlīgumu izmantošanu (82 konkrētie līgumi par summu, kas pārsniedz 6,5 miljonus EUR) lielā mērā sakarā ar to, ka </w:t>
      </w:r>
      <w:r w:rsidRPr="00997873">
        <w:rPr>
          <w:i/>
          <w:kern w:val="2"/>
          <w14:ligatures w14:val="standardContextual"/>
        </w:rPr>
        <w:t>EPPO</w:t>
      </w:r>
      <w:r w:rsidRPr="00997873">
        <w:rPr>
          <w:kern w:val="2"/>
          <w14:ligatures w14:val="standardContextual"/>
        </w:rPr>
        <w:t xml:space="preserve"> pamatlīgums tika izmantots pakalpojumu nodrošināšanai informācijas sistēmu jomā; norāda, ka tikai viena līguma slēgšanas tiesības, kas attiecas uz </w:t>
      </w:r>
      <w:r w:rsidRPr="00997873">
        <w:rPr>
          <w:i/>
          <w:kern w:val="2"/>
          <w14:ligatures w14:val="standardContextual"/>
        </w:rPr>
        <w:t>EPPO</w:t>
      </w:r>
      <w:r w:rsidRPr="00997873">
        <w:rPr>
          <w:kern w:val="2"/>
          <w14:ligatures w14:val="standardContextual"/>
        </w:rPr>
        <w:t xml:space="preserve"> LPS, tika piešķirtas sarunu procedūrā, ārkārtējas steidzamības dēļ iepriekš nepublicējot paziņojumu par līgumu;</w:t>
      </w:r>
    </w:p>
    <w:p w14:paraId="362B2802"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14:ligatures w14:val="standardContextual"/>
        </w:rPr>
        <w:lastRenderedPageBreak/>
        <w:t>13.</w:t>
      </w:r>
      <w:r w:rsidRPr="00997873">
        <w:rPr>
          <w:kern w:val="2"/>
          <w14:ligatures w14:val="standardContextual"/>
        </w:rPr>
        <w:tab/>
        <w:t xml:space="preserve">konstatē, ka no iepriekšējā – 2022. gada – budžeta pārnestās apropriācijas sasniedza 10 969 680 EUR (24,4 % no EPPO 2022. gada galīgā budžeta), un no šīs summas tika izlietoti 84,8 % (9 307 392 EUR) un atcelti 15,2 % (salīdzinājumā ar 21,4 % 2022. gadā), un norāda, ka prognozes liecina par vēl vienas maksājumu apropriācijas pārnešanu 2024. gadā līdz mērķuzdevumu izpildei (no 2023. gada uz 2024. gadu pārnestā summa bija 9 392 989 EUR); apzinās, ka daļēja atcelšana ir </w:t>
      </w:r>
      <w:r w:rsidRPr="00997873">
        <w:rPr>
          <w:i/>
          <w:kern w:val="2"/>
          <w14:ligatures w14:val="standardContextual"/>
        </w:rPr>
        <w:t>EPPO</w:t>
      </w:r>
      <w:r w:rsidRPr="00997873">
        <w:rPr>
          <w:kern w:val="2"/>
          <w14:ligatures w14:val="standardContextual"/>
        </w:rPr>
        <w:t xml:space="preserve"> administratīvās prakses pakāpeniskas izstrādes sekas pēc 2021. gadā panāktās finansiālās autonomijas; norāda, ka pārnestās apropriācijas, kas atceltas apstiprinātajā 2022. un 2023. gada budžetā, nevarēja izmantot ne esošiem, ne arī jauniem līgumiem, kā arī tās nevarēja sinhronizēt ar gada pārskata principu, savukārt tādu attiecīgo izdevumu plānošana, kas galvenokārt bija saistīti ar rakstisko tulkošanu, sanāksmēm, darba braucieniem un ārējiem darbuzņēmējiem, nevarēja būt precīza, jo trūka vēsturisku datu un rādītāju un organizācija strauji attīstījās; atzinīgi vērtē to, ka </w:t>
      </w:r>
      <w:r w:rsidRPr="00997873">
        <w:rPr>
          <w:i/>
          <w:kern w:val="2"/>
          <w14:ligatures w14:val="standardContextual"/>
        </w:rPr>
        <w:t>EPPO</w:t>
      </w:r>
      <w:r w:rsidRPr="00997873">
        <w:rPr>
          <w:kern w:val="2"/>
          <w14:ligatures w14:val="standardContextual"/>
        </w:rPr>
        <w:t xml:space="preserve"> administratīvo spēju pastāvīga stiprināšana pakāpeniski risina šos jautājumus un ka, lai gan </w:t>
      </w:r>
      <w:r w:rsidRPr="00997873">
        <w:rPr>
          <w:i/>
          <w:kern w:val="2"/>
          <w14:ligatures w14:val="standardContextual"/>
        </w:rPr>
        <w:t>EPPO</w:t>
      </w:r>
      <w:r w:rsidRPr="00997873">
        <w:rPr>
          <w:kern w:val="2"/>
          <w14:ligatures w14:val="standardContextual"/>
        </w:rPr>
        <w:t xml:space="preserve"> operatīvās darbības rakstura dēļ iepriekš nav iespējams veikt pilnīgas aplēses, sagaidāms, ka atcelto apropriāciju līmenis 2024. gadā samazināsies;</w:t>
      </w:r>
    </w:p>
    <w:p w14:paraId="30AA95B1"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14:ligatures w14:val="standardContextual"/>
        </w:rPr>
        <w:t>14.</w:t>
      </w:r>
      <w:r w:rsidRPr="00997873">
        <w:rPr>
          <w:kern w:val="2"/>
          <w14:ligatures w14:val="standardContextual"/>
        </w:rPr>
        <w:tab/>
        <w:t>norāda, ka 2023. gadā Eiropas galvenā prokurore, pamatojoties uz administratīvā direktora sagatavotu priekšlikumu, pieņēma divus budžeta pārvietojumus un ka par tiem informatīvos nolūkos tika paziņots Kolēģijai, un starp pozīcijām kopējā pārvietotā summa bija 1,2 miljoni EUR;</w:t>
      </w:r>
    </w:p>
    <w:p w14:paraId="1B3D6D49"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14:ligatures w14:val="standardContextual"/>
        </w:rPr>
        <w:t>15.</w:t>
      </w:r>
      <w:r w:rsidRPr="00997873">
        <w:rPr>
          <w:kern w:val="2"/>
          <w14:ligatures w14:val="standardContextual"/>
        </w:rPr>
        <w:tab/>
        <w:t xml:space="preserve">atzīst, ka bija nepieciešama pienācīga budžeta elastība, lai 2023. gadā risinātu tādas neparedzētas darbības vajadzības kā karš Ukrainā, inflācijas spiediens vai citas globālas problēmas, un saprot, ka </w:t>
      </w:r>
      <w:r w:rsidRPr="00997873">
        <w:rPr>
          <w:i/>
          <w:iCs/>
          <w:kern w:val="2"/>
          <w14:ligatures w14:val="standardContextual"/>
        </w:rPr>
        <w:t>EPPO</w:t>
      </w:r>
      <w:r w:rsidRPr="00997873">
        <w:rPr>
          <w:kern w:val="2"/>
          <w14:ligatures w14:val="standardContextual"/>
        </w:rPr>
        <w:t xml:space="preserve"> izmantoja savus finanšu noteikumus, savlaicīgi pārdalot apropriācijas, izmantojot budžeta grozījumus (vienu jūnijā un vienu novembrī) un budžeta pārvietojumus (vienu septembrī un vienu decembrī);</w:t>
      </w:r>
    </w:p>
    <w:p w14:paraId="1E965606"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14:ligatures w14:val="standardContextual"/>
        </w:rPr>
        <w:t>16.</w:t>
      </w:r>
      <w:r w:rsidRPr="00997873">
        <w:rPr>
          <w:kern w:val="2"/>
          <w14:ligatures w14:val="standardContextual"/>
        </w:rPr>
        <w:tab/>
        <w:t xml:space="preserve">atgādina par savu novērojumu attiecībā uz novecojušo 2017. gada tiesību akta priekšlikuma finanšu pārskatu, kuru uzskata par tādu, kas vairs neatbilst mērķim, ņemot vērā lielā mērā nepietiekami noteikto darba slodzi; atgādina par savu iepriekšējo rezolūciju, kurā uzsvērts, ka, tā kā netiek veikts budžeta </w:t>
      </w:r>
      <w:proofErr w:type="spellStart"/>
      <w:r w:rsidRPr="00997873">
        <w:rPr>
          <w:kern w:val="2"/>
          <w14:ligatures w14:val="standardContextual"/>
        </w:rPr>
        <w:t>vidusposma</w:t>
      </w:r>
      <w:proofErr w:type="spellEnd"/>
      <w:r w:rsidRPr="00997873">
        <w:rPr>
          <w:kern w:val="2"/>
          <w14:ligatures w14:val="standardContextual"/>
        </w:rPr>
        <w:t xml:space="preserve"> pārskats, </w:t>
      </w:r>
      <w:r w:rsidRPr="00997873">
        <w:rPr>
          <w:i/>
          <w:iCs/>
          <w:kern w:val="2"/>
          <w14:ligatures w14:val="standardContextual"/>
        </w:rPr>
        <w:t>EPPO</w:t>
      </w:r>
      <w:r w:rsidRPr="00997873">
        <w:rPr>
          <w:kern w:val="2"/>
          <w14:ligatures w14:val="standardContextual"/>
        </w:rPr>
        <w:t xml:space="preserve"> ir jāgaida līdz budžeta pieņemšanas procesa pašām beigām, lai gūtu skaidru priekšstatu par to, kādu resursu līmeni tā var īstenot nākamajā gadā, un tas ierobežo </w:t>
      </w:r>
      <w:r w:rsidRPr="00997873">
        <w:rPr>
          <w:i/>
          <w:iCs/>
          <w:kern w:val="2"/>
          <w14:ligatures w14:val="standardContextual"/>
        </w:rPr>
        <w:t>EPPO</w:t>
      </w:r>
      <w:r w:rsidRPr="00997873">
        <w:rPr>
          <w:kern w:val="2"/>
          <w14:ligatures w14:val="standardContextual"/>
        </w:rPr>
        <w:t xml:space="preserve"> spēju plānot budžeta izpildes sagatavošanas darbības, kā arī risinājumus, kas būtu jādara pieejami, lai panāktu maksimālu elastību organizācijas infrastruktūras izveidei tik inovatīvam projektam kā </w:t>
      </w:r>
      <w:r w:rsidRPr="00997873">
        <w:rPr>
          <w:i/>
          <w:iCs/>
          <w:kern w:val="2"/>
          <w14:ligatures w14:val="standardContextual"/>
        </w:rPr>
        <w:t>EPPO</w:t>
      </w:r>
      <w:r w:rsidRPr="00997873">
        <w:rPr>
          <w:kern w:val="2"/>
          <w14:ligatures w14:val="standardContextual"/>
        </w:rPr>
        <w:t xml:space="preserve">; norāda, ka tas jo īpaši ietekmē darbā pieņemšanas procedūru savlaicīgu uzsākšanu, cita starpā kavējot virzību uz visu amata vietu aizpildi un ietekmē </w:t>
      </w:r>
      <w:r w:rsidRPr="00997873">
        <w:rPr>
          <w:i/>
          <w:iCs/>
          <w:kern w:val="2"/>
          <w14:ligatures w14:val="standardContextual"/>
        </w:rPr>
        <w:t>EPPO</w:t>
      </w:r>
      <w:r w:rsidRPr="00997873">
        <w:rPr>
          <w:kern w:val="2"/>
          <w14:ligatures w14:val="standardContextual"/>
        </w:rPr>
        <w:t xml:space="preserve"> finansējuma apguves spēju;</w:t>
      </w:r>
    </w:p>
    <w:p w14:paraId="086EE91E"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17.</w:t>
      </w:r>
      <w:r w:rsidRPr="00997873">
        <w:rPr>
          <w:kern w:val="2"/>
          <w14:ligatures w14:val="standardContextual"/>
        </w:rPr>
        <w:tab/>
        <w:t xml:space="preserve">uzskata, ka ir sagaidāms, ka </w:t>
      </w:r>
      <w:r w:rsidRPr="00997873">
        <w:rPr>
          <w:i/>
          <w:kern w:val="2"/>
          <w14:ligatures w14:val="standardContextual"/>
        </w:rPr>
        <w:t>EPPO</w:t>
      </w:r>
      <w:r w:rsidRPr="00997873">
        <w:rPr>
          <w:kern w:val="2"/>
          <w14:ligatures w14:val="standardContextual"/>
        </w:rPr>
        <w:t xml:space="preserve"> piešķirtie finanšu resursi un cilvēkresursi būs pietiekami, lai tā varētu efektīvi un sekmīgi pildīt savas pilnvaras un normāli veikt attiecīgās administratīvās procedūras; atkārtoti aicina Komisiju ciešā sadarbībā ar </w:t>
      </w:r>
      <w:r w:rsidRPr="00997873">
        <w:rPr>
          <w:i/>
          <w:kern w:val="2"/>
          <w14:ligatures w14:val="standardContextual"/>
        </w:rPr>
        <w:t>EPPO</w:t>
      </w:r>
      <w:r w:rsidRPr="00997873">
        <w:rPr>
          <w:kern w:val="2"/>
          <w14:ligatures w14:val="standardContextual"/>
        </w:rPr>
        <w:t xml:space="preserve"> pārskatīt </w:t>
      </w:r>
      <w:r w:rsidRPr="00997873">
        <w:rPr>
          <w:i/>
          <w:kern w:val="2"/>
          <w14:ligatures w14:val="standardContextual"/>
        </w:rPr>
        <w:t>EPPO</w:t>
      </w:r>
      <w:r w:rsidRPr="00997873">
        <w:rPr>
          <w:kern w:val="2"/>
          <w14:ligatures w14:val="standardContextual"/>
        </w:rPr>
        <w:t xml:space="preserve"> budžeta sistēmu, lai rastu piemērotus veidus, kā to atbalstīt darbā; aicina Komisiju piešķirt papildu resursus sakarā ar sarežģītu lietu skaita pieaugumu un uzsver, ka tiem nevajadzētu būt saistītiem ar Regulas (ES) 2017/1939 vai </w:t>
      </w:r>
      <w:r w:rsidRPr="00997873">
        <w:rPr>
          <w:i/>
          <w:iCs/>
          <w:kern w:val="2"/>
          <w14:ligatures w14:val="standardContextual"/>
        </w:rPr>
        <w:t>EPPO</w:t>
      </w:r>
      <w:r w:rsidRPr="00997873">
        <w:rPr>
          <w:kern w:val="2"/>
          <w14:ligatures w14:val="standardContextual"/>
        </w:rPr>
        <w:t xml:space="preserve"> pilnvaru pārskatīšanu, bet gan ar to, cik svarīga ir cīņa pret organizēto noziedzību un Savienības finanšu interešu aizsardzība nākamajā DFS;</w:t>
      </w:r>
    </w:p>
    <w:p w14:paraId="21F1DB93"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18.</w:t>
      </w:r>
      <w:r w:rsidRPr="00997873">
        <w:rPr>
          <w:kern w:val="2"/>
          <w14:ligatures w14:val="standardContextual"/>
        </w:rPr>
        <w:tab/>
        <w:t xml:space="preserve">uzsver, ka </w:t>
      </w:r>
      <w:r w:rsidRPr="00997873">
        <w:rPr>
          <w:i/>
          <w:kern w:val="2"/>
          <w14:ligatures w14:val="standardContextual"/>
        </w:rPr>
        <w:t>EPPO</w:t>
      </w:r>
      <w:r w:rsidRPr="00997873">
        <w:rPr>
          <w:kern w:val="2"/>
          <w14:ligatures w14:val="standardContextual"/>
        </w:rPr>
        <w:t xml:space="preserve"> darbības veicina Savienības finanšu interešu aizsardzību un ka tām ir arī potenciāls atgūt Savienības budžeta summas, kas noziedzīgu darbību dēļ nav </w:t>
      </w:r>
      <w:r w:rsidRPr="00997873">
        <w:rPr>
          <w:kern w:val="2"/>
          <w14:ligatures w14:val="standardContextual"/>
        </w:rPr>
        <w:lastRenderedPageBreak/>
        <w:t>izmantotas paredzētajam mērķim; uzskata, ka summas, kas izriet no Eiropas deleģēto prokuroru dalībvalstīs pieņemtajiem arestēšanas un konfiskācijas pasākumiem, pēc to izmaksu atskaitīšanas, kas dalībvalstu iestādēm radušās, īstenojot šos pasākumus, varētu nonākt atpakaļ ES budžetā saskaņā ar Regulas (ES) 2017/1939 38. pantu; uzskata, ka iespējamie ieņēmumi no arestēšanas un konfiskācijas pasākumiem būtu jāuzskaita Savienības budžetā kā nepiešķirti ieņēmumi; aicina Komisiju veikt vajadzīgos pasākumus ar attiecīgajām valsts iestādēm, lai šīs summas varētu iekļaut Savienības budžetā;</w:t>
      </w:r>
    </w:p>
    <w:p w14:paraId="5681484E"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19.</w:t>
      </w:r>
      <w:r w:rsidRPr="00997873">
        <w:rPr>
          <w:kern w:val="2"/>
          <w14:ligatures w14:val="standardContextual"/>
        </w:rPr>
        <w:tab/>
        <w:t xml:space="preserve">atzīst, ka </w:t>
      </w:r>
      <w:r w:rsidRPr="00997873">
        <w:rPr>
          <w:i/>
          <w:kern w:val="2"/>
          <w14:ligatures w14:val="standardContextual"/>
        </w:rPr>
        <w:t>EPPO</w:t>
      </w:r>
      <w:r w:rsidRPr="00997873">
        <w:rPr>
          <w:kern w:val="2"/>
          <w14:ligatures w14:val="standardContextual"/>
        </w:rPr>
        <w:t xml:space="preserve"> nepārprotami veicina Eiropas pievienoto vērtību attiecībā uz koordināciju un sadarbību ar dalībvalstīm, izmeklējot un saucot pie atbildības par noziegumiem, kas vērsti pret Savienības finanšu interesēm, un ka </w:t>
      </w:r>
      <w:r w:rsidRPr="00997873">
        <w:rPr>
          <w:i/>
          <w:kern w:val="2"/>
          <w14:ligatures w14:val="standardContextual"/>
        </w:rPr>
        <w:t>EPPO</w:t>
      </w:r>
      <w:r w:rsidRPr="00997873">
        <w:rPr>
          <w:kern w:val="2"/>
          <w14:ligatures w14:val="standardContextual"/>
        </w:rPr>
        <w:t xml:space="preserve"> šajā sakarā ir sasniegusi mērķus, kuri izklāstīti Regulā (ES) 2017/1939; sagaida, ka dalībvalstis izpildīs juridiskos pienākumus un ziņos par visām attiecīgajām lietām </w:t>
      </w:r>
      <w:r w:rsidRPr="00997873">
        <w:rPr>
          <w:i/>
          <w:kern w:val="2"/>
          <w14:ligatures w14:val="standardContextual"/>
        </w:rPr>
        <w:t>EPPO</w:t>
      </w:r>
      <w:r w:rsidRPr="00997873">
        <w:rPr>
          <w:kern w:val="2"/>
          <w14:ligatures w14:val="standardContextual"/>
        </w:rPr>
        <w:t xml:space="preserve">; ar bažām norāda, ka vairākos gadījumos dalībvalstis noziedzīgus nodarījumus, kas skar Savienības finanšu intereses un kas ir </w:t>
      </w:r>
      <w:r w:rsidRPr="00997873">
        <w:rPr>
          <w:i/>
          <w:kern w:val="2"/>
          <w14:ligatures w14:val="standardContextual"/>
        </w:rPr>
        <w:t>EPPO</w:t>
      </w:r>
      <w:r w:rsidRPr="00997873">
        <w:rPr>
          <w:kern w:val="2"/>
          <w14:ligatures w14:val="standardContextual"/>
        </w:rPr>
        <w:t xml:space="preserve"> kompetencē, ir pasludinājušas kā savas valsts lietas; norāda, ka vairākās valstīs saistībā ar vairākām lietām ir radušies jautājumi par kompetenču sadalījumu valsts iestāžu un EDP starpā; apzinās, ka saskaņā ar Regulas (ES) 2017/1939 25. panta 6. punktu par nesaskaņām attiecībā uz </w:t>
      </w:r>
      <w:r w:rsidRPr="00997873">
        <w:rPr>
          <w:i/>
          <w:kern w:val="2"/>
          <w14:ligatures w14:val="standardContextual"/>
        </w:rPr>
        <w:t>EPPO</w:t>
      </w:r>
      <w:r w:rsidRPr="00997873">
        <w:rPr>
          <w:kern w:val="2"/>
          <w14:ligatures w14:val="standardContextual"/>
        </w:rPr>
        <w:t xml:space="preserve"> kompetenci ir jālemj tai pašai valsts tiesu iestādei, kura ir atbildīga par kompetentās struktūras noteikšanu kriminālvajāšanai valsts līmenī; pauž nožēlu par to, ka daudzās iesaistītajās dalībvalstīs spēkā esošās procedūras un valsts iestādes, kurām uzticēti lēmumi šādās lietās par kompetences konfliktiem, nav noteiktas saskaņā ar Regulu (ES) 2017/1939; uzsver, ka gadījumos, kad rodas kompetences konflikti starp </w:t>
      </w:r>
      <w:r w:rsidRPr="00997873">
        <w:rPr>
          <w:i/>
          <w:kern w:val="2"/>
          <w14:ligatures w14:val="standardContextual"/>
        </w:rPr>
        <w:t>EPPO</w:t>
      </w:r>
      <w:r w:rsidRPr="00997873">
        <w:rPr>
          <w:kern w:val="2"/>
          <w14:ligatures w14:val="standardContextual"/>
        </w:rPr>
        <w:t xml:space="preserve"> un valsts prokuratūru, valsts iestāde, kuras kompetencē ir lemt par kompetences piešķiršanu, varētu nonākt pie secinājuma, nepieprasot Tiesas prejudiciālu nolēmumu, bet gan pieņemot lēmumu, kas ir saistošs </w:t>
      </w:r>
      <w:r w:rsidRPr="00997873">
        <w:rPr>
          <w:i/>
          <w:kern w:val="2"/>
          <w14:ligatures w14:val="standardContextual"/>
        </w:rPr>
        <w:t>EPPO</w:t>
      </w:r>
      <w:r w:rsidRPr="00997873">
        <w:rPr>
          <w:kern w:val="2"/>
          <w14:ligatures w14:val="standardContextual"/>
        </w:rPr>
        <w:t xml:space="preserve">, un norāda, ka tas ir pretrunā Regulas (ES) 2017/1939 garam, jo tajā noteikts, ka Tiesas kompetencē saskaņā ar LESD 267. pantu ir sniegt prejudiciālu nolēmumu par to, kā interpretēt noteikumu par kompetences konfliktiem starp </w:t>
      </w:r>
      <w:r w:rsidRPr="00997873">
        <w:rPr>
          <w:i/>
          <w:kern w:val="2"/>
          <w14:ligatures w14:val="standardContextual"/>
        </w:rPr>
        <w:t>EPPO</w:t>
      </w:r>
      <w:r w:rsidRPr="00997873">
        <w:rPr>
          <w:kern w:val="2"/>
          <w14:ligatures w14:val="standardContextual"/>
        </w:rPr>
        <w:t xml:space="preserve"> un valsts iestādēm; uzskata, ka pašreizējā situācijā trūkst juridiskās skaidrības; mudina visas dalībvalstis ciešāk sadarboties ar </w:t>
      </w:r>
      <w:r w:rsidRPr="00997873">
        <w:rPr>
          <w:i/>
          <w:kern w:val="2"/>
          <w14:ligatures w14:val="standardContextual"/>
        </w:rPr>
        <w:t>EPPO</w:t>
      </w:r>
      <w:r w:rsidRPr="00997873">
        <w:rPr>
          <w:kern w:val="2"/>
          <w14:ligatures w14:val="standardContextual"/>
        </w:rPr>
        <w:t xml:space="preserve">; uzsver, ka </w:t>
      </w:r>
      <w:r w:rsidRPr="00997873">
        <w:rPr>
          <w:i/>
          <w:iCs/>
          <w:kern w:val="2"/>
          <w14:ligatures w14:val="standardContextual"/>
        </w:rPr>
        <w:t>EPPO</w:t>
      </w:r>
      <w:r w:rsidRPr="00997873">
        <w:rPr>
          <w:kern w:val="2"/>
          <w14:ligatures w14:val="standardContextual"/>
        </w:rPr>
        <w:t xml:space="preserve"> kompetence ir skaidri noteikta Regulas (ES) 2017/1939 22. panta 1. un 2. punktā un 23. pantā un ka visām dalībvalstīm minētā regula ir jāievēro; norāda, ka gadījumos, kad dalībvalstīm ir šaubas par </w:t>
      </w:r>
      <w:r w:rsidRPr="00997873">
        <w:rPr>
          <w:i/>
          <w:kern w:val="2"/>
          <w14:ligatures w14:val="standardContextual"/>
        </w:rPr>
        <w:t>EPPO</w:t>
      </w:r>
      <w:r w:rsidRPr="00997873">
        <w:rPr>
          <w:kern w:val="2"/>
          <w14:ligatures w14:val="standardContextual"/>
        </w:rPr>
        <w:t xml:space="preserve"> kompetenci konkrētā lietā, pastāv iespēja iesniegt prejudiciālu jautājumu Tiesai prejudiciāla nolēmuma sniegšanai saskaņā ar LESD 267. pantu un Regulas (ES) 2017/1939 42. panta 2. punkta c) apakšpunktu; mudina Komisiju Regulas (ES) 2017/1939 pārkāpuma gadījumā iesniegt lietu Tiesā; ar bažām atzīmē, ka jautājums par kompetenci var apturēt izmeklēšanu; pauž bažas par iespējamu pierādījumu pazaudēšanu, ja lietas tiek apturētas; aicina Komisiju apkopot informāciju par kompetences konfliktu gadījumiem novērtējuma ziņojumam, kas tiks iesniegts 2026. gadā;</w:t>
      </w:r>
    </w:p>
    <w:p w14:paraId="38BFB120"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20.</w:t>
      </w:r>
      <w:r w:rsidRPr="00997873">
        <w:rPr>
          <w:kern w:val="2"/>
          <w14:ligatures w14:val="standardContextual"/>
        </w:rPr>
        <w:tab/>
        <w:t xml:space="preserve">atkārtoti norāda, ka pienācīgi jāīsteno Regulas (ES) 2017/1939 91. panta 6. punkts, un uzsver, ka ir jāņem vērā kriminālvajāšanas un izmeklēšanas izdevumu īpatnības, tai skaitā </w:t>
      </w:r>
      <w:r w:rsidRPr="00997873">
        <w:rPr>
          <w:i/>
          <w:kern w:val="2"/>
          <w14:ligatures w14:val="standardContextual"/>
        </w:rPr>
        <w:t>EPPO</w:t>
      </w:r>
      <w:r w:rsidRPr="00997873">
        <w:rPr>
          <w:kern w:val="2"/>
          <w14:ligatures w14:val="standardContextual"/>
        </w:rPr>
        <w:t xml:space="preserve"> darbības izdevumu izņēmuma gadījumi, ko reglamentē minētie noteikumi; apzinās, ka 2023. gadā tika parakstīts pirmais finansēšanas nolīgums saskaņā ar izmēģinājuma </w:t>
      </w:r>
      <w:proofErr w:type="spellStart"/>
      <w:r w:rsidRPr="00997873">
        <w:rPr>
          <w:kern w:val="2"/>
          <w14:ligatures w14:val="standardContextual"/>
        </w:rPr>
        <w:t>pamatnolīgumu</w:t>
      </w:r>
      <w:proofErr w:type="spellEnd"/>
      <w:r w:rsidRPr="00997873">
        <w:rPr>
          <w:kern w:val="2"/>
          <w14:ligatures w14:val="standardContextual"/>
        </w:rPr>
        <w:t xml:space="preserve"> par to prasību atlīdzināšanu, kas iesniegtas saskaņā ar Regulas (ES) 2017/1939 91. panta 6. punktu, lai segtu ārkārtīgi dārgus izmeklēšanas pasākumus, ko valsts līmenī veic </w:t>
      </w:r>
      <w:r w:rsidRPr="00997873">
        <w:rPr>
          <w:i/>
          <w:kern w:val="2"/>
          <w14:ligatures w14:val="standardContextual"/>
        </w:rPr>
        <w:t>EPPO</w:t>
      </w:r>
      <w:r w:rsidRPr="00997873">
        <w:rPr>
          <w:kern w:val="2"/>
          <w14:ligatures w14:val="standardContextual"/>
        </w:rPr>
        <w:t xml:space="preserve"> vārdā; atzinīgi vērtē to, ka 2023. gada revīzijas laikā Revīzijas palāta veica attiecīgā maksājuma revīziju un tas tika atzīsts par likumīgu un pareizu;</w:t>
      </w:r>
    </w:p>
    <w:p w14:paraId="2CFAFBD5" w14:textId="77777777" w:rsidR="00997873" w:rsidRPr="00997873" w:rsidRDefault="00997873" w:rsidP="00997873">
      <w:pPr>
        <w:spacing w:after="240"/>
        <w:ind w:left="567" w:hanging="567"/>
        <w:rPr>
          <w:b/>
          <w:i/>
          <w:kern w:val="2"/>
          <w:szCs w:val="24"/>
          <w14:ligatures w14:val="standardContextual"/>
        </w:rPr>
      </w:pPr>
      <w:r w:rsidRPr="00997873">
        <w:rPr>
          <w:b/>
          <w:i/>
          <w:kern w:val="2"/>
          <w14:ligatures w14:val="standardContextual"/>
        </w:rPr>
        <w:lastRenderedPageBreak/>
        <w:t>Iekšējā pārvaldība, sniegums un iekšējā kontrole</w:t>
      </w:r>
    </w:p>
    <w:p w14:paraId="339BE0BD"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21.</w:t>
      </w:r>
      <w:r w:rsidRPr="00997873">
        <w:rPr>
          <w:kern w:val="2"/>
          <w14:ligatures w14:val="standardContextual"/>
        </w:rPr>
        <w:tab/>
        <w:t>atzinīgi vērtē to, ka 2023. gadā Kolēģija tikās 22 reizes un pieņēma 73 lēmumus, tai skaitā Krāpšanas apkarošanas stratēģiju 2023.–2025. gadam un aizskarošas izturēšanās novēršanas politiku personālam, Kolēģijas locekļiem vai EDP;</w:t>
      </w:r>
    </w:p>
    <w:p w14:paraId="7E097BA3"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szCs w:val="24"/>
          <w14:ligatures w14:val="standardContextual"/>
        </w:rPr>
        <w:t>22.</w:t>
      </w:r>
      <w:r w:rsidRPr="00997873">
        <w:rPr>
          <w:kern w:val="2"/>
          <w:szCs w:val="24"/>
          <w14:ligatures w14:val="standardContextual"/>
        </w:rPr>
        <w:tab/>
        <w:t xml:space="preserve">atzīst, ka </w:t>
      </w:r>
      <w:r w:rsidRPr="00997873">
        <w:rPr>
          <w:i/>
          <w:iCs/>
          <w:kern w:val="2"/>
          <w:szCs w:val="24"/>
          <w14:ligatures w14:val="standardContextual"/>
        </w:rPr>
        <w:t>EPPO</w:t>
      </w:r>
      <w:r w:rsidRPr="00997873">
        <w:rPr>
          <w:kern w:val="2"/>
          <w:szCs w:val="24"/>
          <w14:ligatures w14:val="standardContextual"/>
        </w:rPr>
        <w:t xml:space="preserve"> turpināja centienus izveidot sistēmu efektivitātes pieauguma un izmaksu ietaupījuma uzraudzībai, un norāda, ka 2023. gadā tā sāka pārskatīt budžeta un darbību stratēģiskās un operatīvās plānošanas un uzraudzības procesus, kā arī darbā pieņemšanas procesus, lai panāktu ieguvumus gan tempa, gan arī iegūto kompetenču ziņā; norāda, ka kopumā esošās iekšējās kontroles sistēmas ir efektīvas;</w:t>
      </w:r>
    </w:p>
    <w:p w14:paraId="4CD91945"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szCs w:val="24"/>
          <w14:ligatures w14:val="standardContextual"/>
        </w:rPr>
        <w:t>23.</w:t>
      </w:r>
      <w:r w:rsidRPr="00997873">
        <w:rPr>
          <w:kern w:val="2"/>
          <w:szCs w:val="24"/>
          <w14:ligatures w14:val="standardContextual"/>
        </w:rPr>
        <w:tab/>
        <w:t xml:space="preserve">norāda – lai turpinātu pilnveidot </w:t>
      </w:r>
      <w:r w:rsidRPr="00997873">
        <w:rPr>
          <w:i/>
          <w:kern w:val="2"/>
          <w:szCs w:val="24"/>
          <w14:ligatures w14:val="standardContextual"/>
        </w:rPr>
        <w:t>EPPO</w:t>
      </w:r>
      <w:r w:rsidRPr="00997873">
        <w:rPr>
          <w:kern w:val="2"/>
          <w:szCs w:val="24"/>
          <w14:ligatures w14:val="standardContextual"/>
        </w:rPr>
        <w:t xml:space="preserve"> ticamības apliecināšanas satvaru, tās iekšējais revidents ar operatīvo darbību nesaistītos jautājumos (iekšējās revīzijas dienests – </w:t>
      </w:r>
      <w:r w:rsidRPr="00997873">
        <w:rPr>
          <w:i/>
          <w:kern w:val="2"/>
          <w:szCs w:val="24"/>
          <w14:ligatures w14:val="standardContextual"/>
        </w:rPr>
        <w:t>IAS</w:t>
      </w:r>
      <w:r w:rsidRPr="00997873">
        <w:rPr>
          <w:kern w:val="2"/>
          <w:szCs w:val="24"/>
          <w14:ligatures w14:val="standardContextual"/>
        </w:rPr>
        <w:t xml:space="preserve">) 2023. gadā uzsāka </w:t>
      </w:r>
      <w:r w:rsidRPr="00997873">
        <w:rPr>
          <w:i/>
          <w:kern w:val="2"/>
          <w:szCs w:val="24"/>
          <w14:ligatures w14:val="standardContextual"/>
        </w:rPr>
        <w:t>EPPO</w:t>
      </w:r>
      <w:r w:rsidRPr="00997873">
        <w:rPr>
          <w:kern w:val="2"/>
          <w:szCs w:val="24"/>
          <w14:ligatures w14:val="standardContextual"/>
        </w:rPr>
        <w:t xml:space="preserve"> ticamības apliecināšanas pamatprincipu ierobežotu pārskatīšanu; uzskata, ka šis pasākums, ko plānots pabeigt 2024. gada laikā, nodrošinās ieteikumus, lai stiprinātu kredītrīkotāja spējas sagatavot ticamu ticamības deklarāciju;</w:t>
      </w:r>
    </w:p>
    <w:p w14:paraId="3FAB4C0D"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szCs w:val="24"/>
          <w14:ligatures w14:val="standardContextual"/>
        </w:rPr>
        <w:t>24.</w:t>
      </w:r>
      <w:r w:rsidRPr="00997873">
        <w:rPr>
          <w:kern w:val="2"/>
          <w:szCs w:val="24"/>
          <w14:ligatures w14:val="standardContextual"/>
        </w:rPr>
        <w:tab/>
        <w:t>atzinīgi vērtē iekšējās revīzijas struktūras (</w:t>
      </w:r>
      <w:r w:rsidRPr="00997873">
        <w:rPr>
          <w:i/>
          <w:kern w:val="2"/>
          <w:szCs w:val="24"/>
          <w14:ligatures w14:val="standardContextual"/>
        </w:rPr>
        <w:t>IAC</w:t>
      </w:r>
      <w:r w:rsidRPr="00997873">
        <w:rPr>
          <w:kern w:val="2"/>
          <w:szCs w:val="24"/>
          <w14:ligatures w14:val="standardContextual"/>
        </w:rPr>
        <w:t xml:space="preserve">) veikto salīdzinošo novērtēšanu, salīdzinot </w:t>
      </w:r>
      <w:r w:rsidRPr="00997873">
        <w:rPr>
          <w:i/>
          <w:kern w:val="2"/>
          <w:szCs w:val="24"/>
          <w14:ligatures w14:val="standardContextual"/>
        </w:rPr>
        <w:t>EPPO</w:t>
      </w:r>
      <w:r w:rsidRPr="00997873">
        <w:rPr>
          <w:kern w:val="2"/>
          <w:szCs w:val="24"/>
          <w14:ligatures w14:val="standardContextual"/>
        </w:rPr>
        <w:t xml:space="preserve"> izvietotos cilvēkresursus ar citām Savienības struktūrām un valstu prokuratūrām, pamatojoties uz standartizētu pīlāru kopumu, kas ietver administratīvo atbalstu un operatīvās darbības; konstatē, ka 2023. gadā </w:t>
      </w:r>
      <w:r w:rsidRPr="00997873">
        <w:rPr>
          <w:i/>
          <w:iCs/>
          <w:kern w:val="2"/>
          <w:szCs w:val="24"/>
          <w14:ligatures w14:val="standardContextual"/>
        </w:rPr>
        <w:t>IAC</w:t>
      </w:r>
      <w:r w:rsidRPr="00997873">
        <w:rPr>
          <w:kern w:val="2"/>
          <w:szCs w:val="24"/>
          <w14:ligatures w14:val="standardContextual"/>
        </w:rPr>
        <w:t xml:space="preserve"> pārbaudīja iekšējās uzraudzības vidi un veica pirmo iekšējo revīziju, analizējot darba vidi un iekšējos kontroles pasākumus </w:t>
      </w:r>
      <w:r w:rsidRPr="00997873">
        <w:rPr>
          <w:i/>
          <w:iCs/>
          <w:kern w:val="2"/>
          <w:szCs w:val="24"/>
          <w14:ligatures w14:val="standardContextual"/>
        </w:rPr>
        <w:t>EPPO</w:t>
      </w:r>
      <w:r w:rsidRPr="00997873">
        <w:rPr>
          <w:kern w:val="2"/>
          <w:szCs w:val="24"/>
          <w14:ligatures w14:val="standardContextual"/>
        </w:rPr>
        <w:t xml:space="preserve"> decentralizētajā birojā Sofijā, Bulgārijā;</w:t>
      </w:r>
    </w:p>
    <w:p w14:paraId="29915C5A" w14:textId="77777777" w:rsidR="00997873" w:rsidRPr="00997873" w:rsidRDefault="00997873" w:rsidP="00997873">
      <w:pPr>
        <w:autoSpaceDN w:val="0"/>
        <w:spacing w:after="240"/>
        <w:ind w:left="567" w:hanging="567"/>
        <w:rPr>
          <w:bCs/>
          <w:kern w:val="2"/>
          <w:szCs w:val="24"/>
          <w14:ligatures w14:val="standardContextual"/>
        </w:rPr>
      </w:pPr>
      <w:r w:rsidRPr="00997873">
        <w:rPr>
          <w:kern w:val="2"/>
          <w:szCs w:val="24"/>
          <w14:ligatures w14:val="standardContextual"/>
        </w:rPr>
        <w:t>25.</w:t>
      </w:r>
      <w:r w:rsidRPr="00997873">
        <w:rPr>
          <w:kern w:val="2"/>
          <w:szCs w:val="24"/>
          <w14:ligatures w14:val="standardContextual"/>
        </w:rPr>
        <w:tab/>
        <w:t xml:space="preserve">atkārtoti pauž viedokli, ka IAS un </w:t>
      </w:r>
      <w:r w:rsidRPr="00997873">
        <w:rPr>
          <w:i/>
          <w:iCs/>
          <w:kern w:val="2"/>
          <w:szCs w:val="24"/>
          <w14:ligatures w14:val="standardContextual"/>
        </w:rPr>
        <w:t>IAC</w:t>
      </w:r>
      <w:r w:rsidRPr="00997873">
        <w:rPr>
          <w:kern w:val="2"/>
          <w:szCs w:val="24"/>
          <w14:ligatures w14:val="standardContextual"/>
        </w:rPr>
        <w:t xml:space="preserve"> būtu jākoordinē savas darbības, lai konsultētu </w:t>
      </w:r>
      <w:r w:rsidRPr="00997873">
        <w:rPr>
          <w:i/>
          <w:iCs/>
          <w:kern w:val="2"/>
          <w:szCs w:val="24"/>
          <w14:ligatures w14:val="standardContextual"/>
        </w:rPr>
        <w:t>EPPO</w:t>
      </w:r>
      <w:r w:rsidRPr="00997873">
        <w:rPr>
          <w:kern w:val="2"/>
          <w:szCs w:val="24"/>
          <w14:ligatures w14:val="standardContextual"/>
        </w:rPr>
        <w:t xml:space="preserve"> un palīdzētu tai galveno </w:t>
      </w:r>
      <w:proofErr w:type="spellStart"/>
      <w:r w:rsidRPr="00997873">
        <w:rPr>
          <w:kern w:val="2"/>
          <w:szCs w:val="24"/>
          <w14:ligatures w14:val="standardContextual"/>
        </w:rPr>
        <w:t>pamatprocesu</w:t>
      </w:r>
      <w:proofErr w:type="spellEnd"/>
      <w:r w:rsidRPr="00997873">
        <w:rPr>
          <w:kern w:val="2"/>
          <w:szCs w:val="24"/>
          <w14:ligatures w14:val="standardContextual"/>
        </w:rPr>
        <w:t xml:space="preserve"> izveidē un tās mērķu sasniegšanā;</w:t>
      </w:r>
    </w:p>
    <w:p w14:paraId="4890A310"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14:ligatures w14:val="standardContextual"/>
        </w:rPr>
        <w:t>26.</w:t>
      </w:r>
      <w:r w:rsidRPr="00997873">
        <w:rPr>
          <w:kern w:val="2"/>
          <w14:ligatures w14:val="standardContextual"/>
        </w:rPr>
        <w:tab/>
        <w:t xml:space="preserve">norāda, ka </w:t>
      </w:r>
      <w:r w:rsidRPr="00997873">
        <w:rPr>
          <w:i/>
          <w:iCs/>
          <w:kern w:val="2"/>
          <w14:ligatures w14:val="standardContextual"/>
        </w:rPr>
        <w:t>EPPO</w:t>
      </w:r>
      <w:r w:rsidRPr="00997873">
        <w:rPr>
          <w:kern w:val="2"/>
          <w14:ligatures w14:val="standardContextual"/>
        </w:rPr>
        <w:t xml:space="preserve"> ir attīstījusi savas iepirkuma spējas, īstenojot savus īpaši virzītus iepirkuma procesus, kas uzsākti 2023. gadā, un pārvalda savus konkrētos līgumus un rīkojumu veidlapas attiecībā uz to spēkā esošo pamatlīgumu īstenošanu, kas noslēgti 2023. gadā; konstatē, ka </w:t>
      </w:r>
      <w:r w:rsidRPr="00997873">
        <w:rPr>
          <w:i/>
          <w:iCs/>
          <w:kern w:val="2"/>
          <w14:ligatures w14:val="standardContextual"/>
        </w:rPr>
        <w:t>EPPO</w:t>
      </w:r>
      <w:r w:rsidRPr="00997873">
        <w:rPr>
          <w:kern w:val="2"/>
          <w14:ligatures w14:val="standardContextual"/>
        </w:rPr>
        <w:t xml:space="preserve"> vienlaikus turpina izmantot savas iepirkuma spējas, slēdzot pakalpojumu līmeņa nolīgumus ar citām Savienības iestādēm, struktūrām, birojiem un aģentūrām un pievienojoties iestāžu līgumiem ar dažādiem tirgus dalībniekiem;</w:t>
      </w:r>
    </w:p>
    <w:p w14:paraId="6FCC89C1"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14:ligatures w14:val="standardContextual"/>
        </w:rPr>
        <w:t>27.</w:t>
      </w:r>
      <w:r w:rsidRPr="00997873">
        <w:rPr>
          <w:kern w:val="2"/>
          <w14:ligatures w14:val="standardContextual"/>
        </w:rPr>
        <w:tab/>
        <w:t xml:space="preserve">ņem vērā, ka administratīvais direktors 2023. gadā pieņēma minimālos standartus (vērtēšanas kritērijus) katram no 17 iekšējās kontroles principiem, kas balstīti uz </w:t>
      </w:r>
      <w:r w:rsidRPr="00997873">
        <w:rPr>
          <w:i/>
          <w:kern w:val="2"/>
          <w14:ligatures w14:val="standardContextual"/>
        </w:rPr>
        <w:t>COSO</w:t>
      </w:r>
      <w:r w:rsidRPr="00997873">
        <w:rPr>
          <w:kern w:val="2"/>
          <w14:ligatures w14:val="standardContextual"/>
        </w:rPr>
        <w:t xml:space="preserve"> 2013. gada integrēto kontroles sistēmu un ko </w:t>
      </w:r>
      <w:r w:rsidRPr="00997873">
        <w:rPr>
          <w:i/>
          <w:kern w:val="2"/>
          <w14:ligatures w14:val="standardContextual"/>
        </w:rPr>
        <w:t>EPPO</w:t>
      </w:r>
      <w:r w:rsidRPr="00997873">
        <w:rPr>
          <w:kern w:val="2"/>
          <w14:ligatures w14:val="standardContextual"/>
        </w:rPr>
        <w:t xml:space="preserve"> iekšējās kontroles sistēma (IKS) ir noteikusi par </w:t>
      </w:r>
      <w:r w:rsidRPr="00997873">
        <w:rPr>
          <w:i/>
          <w:kern w:val="2"/>
          <w14:ligatures w14:val="standardContextual"/>
        </w:rPr>
        <w:t>EPPO</w:t>
      </w:r>
      <w:r w:rsidRPr="00997873">
        <w:rPr>
          <w:kern w:val="2"/>
          <w14:ligatures w14:val="standardContextual"/>
        </w:rPr>
        <w:t xml:space="preserve"> iekšējās kontroles īstenošanai paredzētās sistēmas pamatprincipiem; konstatē, ka no 72 atbilstības kritērijiem 51 kritērijs ir novērtēts kā izpildīts, savukārt 20 atbilstības kritērijiem ir izpildīti daži elementi, bet ir ieteicams turpināt attīstību, un tikai attiecībā uz vienu kritēriju nav konstatēta vērā ņemama izpilde; atzinīgi vērtē to, ka kopš Kolēģija 2021. gada martā pieņēma IKS, pieņemtā sistēma ir sekmīgi īstenota 71 % apmērā, taču, lai pilnvērtīgi īstenotu atlikušos 29 %, ir vajadzīgi papildu centieni;</w:t>
      </w:r>
    </w:p>
    <w:p w14:paraId="14CDB55D"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28.</w:t>
      </w:r>
      <w:r w:rsidRPr="00997873">
        <w:rPr>
          <w:kern w:val="2"/>
          <w14:ligatures w14:val="standardContextual"/>
        </w:rPr>
        <w:tab/>
        <w:t xml:space="preserve">atzinīgi vērtē to, ka 2023. gada 1. martā tika pieņemta atjaunināta </w:t>
      </w:r>
      <w:r w:rsidRPr="00997873">
        <w:rPr>
          <w:i/>
          <w:iCs/>
          <w:kern w:val="2"/>
          <w14:ligatures w14:val="standardContextual"/>
        </w:rPr>
        <w:t>EPPO</w:t>
      </w:r>
      <w:r w:rsidRPr="00997873">
        <w:rPr>
          <w:kern w:val="2"/>
          <w14:ligatures w14:val="standardContextual"/>
        </w:rPr>
        <w:t xml:space="preserve"> Krāpšanas apkarošanas stratēģija 2023.–2025. gadam, kurā izvirzīti mērķi apkarot krāpšanu visos organizācijas līmeņos saistībā ar īpašu rīcības plānu, kas ir daļa no </w:t>
      </w:r>
      <w:r w:rsidRPr="00997873">
        <w:rPr>
          <w:i/>
          <w:iCs/>
          <w:kern w:val="2"/>
          <w14:ligatures w14:val="standardContextual"/>
        </w:rPr>
        <w:t>EPPO</w:t>
      </w:r>
      <w:r w:rsidRPr="00997873">
        <w:rPr>
          <w:kern w:val="2"/>
          <w14:ligatures w14:val="standardContextual"/>
        </w:rPr>
        <w:t xml:space="preserve"> iekšējās kontroles vides un tiek regulāri uzraudzīts; atzinīgi vērtē </w:t>
      </w:r>
      <w:r w:rsidRPr="00997873">
        <w:rPr>
          <w:i/>
          <w:kern w:val="2"/>
          <w14:ligatures w14:val="standardContextual"/>
        </w:rPr>
        <w:t>EPPO</w:t>
      </w:r>
      <w:r w:rsidRPr="00997873">
        <w:rPr>
          <w:kern w:val="2"/>
          <w14:ligatures w14:val="standardContextual"/>
        </w:rPr>
        <w:t xml:space="preserve"> Krāpšanas apkarošanas </w:t>
      </w:r>
      <w:r w:rsidRPr="00997873">
        <w:rPr>
          <w:kern w:val="2"/>
          <w14:ligatures w14:val="standardContextual"/>
        </w:rPr>
        <w:lastRenderedPageBreak/>
        <w:t xml:space="preserve">stratēģijas rīcības plāna ikgadējo pārskatīšanu, ko veic </w:t>
      </w:r>
      <w:r w:rsidRPr="00997873">
        <w:rPr>
          <w:i/>
          <w:kern w:val="2"/>
          <w14:ligatures w14:val="standardContextual"/>
        </w:rPr>
        <w:t>EPPO</w:t>
      </w:r>
      <w:r w:rsidRPr="00997873">
        <w:rPr>
          <w:kern w:val="2"/>
          <w14:ligatures w14:val="standardContextual"/>
        </w:rPr>
        <w:t xml:space="preserve"> iekšējās kontroles darbinieks, kurš par pārskatīšanas rezultātiem ziņo administratīvajam direktoram;</w:t>
      </w:r>
    </w:p>
    <w:p w14:paraId="32B37B31"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29.</w:t>
      </w:r>
      <w:r w:rsidRPr="00997873">
        <w:rPr>
          <w:kern w:val="2"/>
          <w14:ligatures w14:val="standardContextual"/>
        </w:rPr>
        <w:tab/>
        <w:t xml:space="preserve">ņem vērā, ka saskaņā ar </w:t>
      </w:r>
      <w:r w:rsidRPr="00997873">
        <w:rPr>
          <w:i/>
          <w:iCs/>
          <w:kern w:val="2"/>
          <w14:ligatures w14:val="standardContextual"/>
        </w:rPr>
        <w:t>EPPO</w:t>
      </w:r>
      <w:r w:rsidRPr="00997873">
        <w:rPr>
          <w:kern w:val="2"/>
          <w14:ligatures w14:val="standardContextual"/>
        </w:rPr>
        <w:t xml:space="preserve"> finanšu noteikumiem </w:t>
      </w:r>
      <w:r w:rsidRPr="00997873">
        <w:rPr>
          <w:i/>
          <w:iCs/>
          <w:kern w:val="2"/>
          <w14:ligatures w14:val="standardContextual"/>
        </w:rPr>
        <w:t>EPPO</w:t>
      </w:r>
      <w:r w:rsidRPr="00997873">
        <w:rPr>
          <w:kern w:val="2"/>
          <w14:ligatures w14:val="standardContextual"/>
        </w:rPr>
        <w:t xml:space="preserve"> nodrošina pienācīgu finanšu darījumu un iepirkuma procedūru līmeni, izmantojot finanšu darījumu (maksājumu, saistību un atgūšanas rīkojumu) un iepirkuma procedūru</w:t>
      </w:r>
      <w:r w:rsidRPr="00997873">
        <w:rPr>
          <w:i/>
          <w:iCs/>
          <w:kern w:val="2"/>
          <w14:ligatures w14:val="standardContextual"/>
        </w:rPr>
        <w:t xml:space="preserve"> </w:t>
      </w:r>
      <w:proofErr w:type="spellStart"/>
      <w:r w:rsidRPr="00997873">
        <w:rPr>
          <w:i/>
          <w:iCs/>
          <w:kern w:val="2"/>
          <w14:ligatures w14:val="standardContextual"/>
        </w:rPr>
        <w:t>ex</w:t>
      </w:r>
      <w:proofErr w:type="spellEnd"/>
      <w:r w:rsidRPr="00997873">
        <w:rPr>
          <w:i/>
          <w:iCs/>
          <w:kern w:val="2"/>
          <w14:ligatures w14:val="standardContextual"/>
        </w:rPr>
        <w:t> post</w:t>
      </w:r>
      <w:r w:rsidRPr="00997873">
        <w:rPr>
          <w:kern w:val="2"/>
          <w14:ligatures w14:val="standardContextual"/>
        </w:rPr>
        <w:t xml:space="preserve"> kontroli par laikposmu no 2023. gada 1. janvāra līdz 31. decembrim;</w:t>
      </w:r>
    </w:p>
    <w:p w14:paraId="2A89C871"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30.</w:t>
      </w:r>
      <w:r w:rsidRPr="00997873">
        <w:rPr>
          <w:kern w:val="2"/>
          <w14:ligatures w14:val="standardContextual"/>
        </w:rPr>
        <w:tab/>
        <w:t xml:space="preserve">konstatē, ka ir pieaudzis to ziņojumu skaits, kas </w:t>
      </w:r>
      <w:r w:rsidRPr="00997873">
        <w:rPr>
          <w:i/>
          <w:iCs/>
          <w:kern w:val="2"/>
          <w14:ligatures w14:val="standardContextual"/>
        </w:rPr>
        <w:t>EPPO</w:t>
      </w:r>
      <w:r w:rsidRPr="00997873">
        <w:rPr>
          <w:kern w:val="2"/>
          <w14:ligatures w14:val="standardContextual"/>
        </w:rPr>
        <w:t xml:space="preserve"> iesniegti par noziegumiem (4 187 ziņojumi 2023. gadā salīdzinājumā ar 3 318 ziņojumiem 2022. gadā un 2 832 ziņojumiem 2021. gadā) un tādējādi arī uzsākto izmeklēšanu skaits (1 371 izmeklēšana 2023. gadā salīdzinājumā ar 865 izmeklēšanām 2022. gadā un 567 izmeklēšanām 2021. gadā) un aplēstais kaitējuma apmērs (19,27 miljardi EUR 2023. gadā salīdzinājumā ar 14,1 miljardu EUR 2022. gadā un 5,4 miljardiem EUR 2021. gadā); atzīmē, ka ziņojumi no privātām struktūrām (2 494 ziņojumi, kas ir par 29 % vairāk nekā 2022. gadā) un no valstu iestādēm (1 562 ziņojumi, kas ir par 24 % vairāk nekā 2022. gadā) veido lielāko daļu no saņemtajiem operatīvajiem </w:t>
      </w:r>
      <w:proofErr w:type="spellStart"/>
      <w:r w:rsidRPr="00997873">
        <w:rPr>
          <w:kern w:val="2"/>
          <w14:ligatures w14:val="standardContextual"/>
        </w:rPr>
        <w:t>ievaddatiem</w:t>
      </w:r>
      <w:proofErr w:type="spellEnd"/>
      <w:r w:rsidRPr="00997873">
        <w:rPr>
          <w:kern w:val="2"/>
          <w14:ligatures w14:val="standardContextual"/>
        </w:rPr>
        <w:t xml:space="preserve">, bet pauž nožēlu par to, ka no citām Savienības iestādēm, struktūrām, birojiem un aģentūrām saņemto ziņojumu skaits bija neliels (108), un tas liecina par to, ka tie nav panākuši būtiskus uzlabojumus attiecībā uz atklāšanu un ziņošanu; norāda, ka apsūdzību skaits (139 apsūdzības 2023. gadā salīdzinājumā ar 87 apsūdzībām 2022. gadā un 5 apsūdzībām 2021. gadā), kā arī </w:t>
      </w:r>
      <w:r w:rsidRPr="00997873">
        <w:rPr>
          <w:i/>
          <w:iCs/>
          <w:kern w:val="2"/>
          <w14:ligatures w14:val="standardContextual"/>
        </w:rPr>
        <w:t>EPPO</w:t>
      </w:r>
      <w:r w:rsidRPr="00997873">
        <w:rPr>
          <w:kern w:val="2"/>
          <w14:ligatures w14:val="standardContextual"/>
        </w:rPr>
        <w:t xml:space="preserve"> iegūto iesaldēšanas rīkojumu summas (1,5 miljardi EUR salīdzinājumā ar 359,1 miljonu EUR 2022. gadā un 147 miljoniem EUR 2021. gadā) liecina par </w:t>
      </w:r>
      <w:r w:rsidRPr="00997873">
        <w:rPr>
          <w:i/>
          <w:iCs/>
          <w:kern w:val="2"/>
          <w14:ligatures w14:val="standardContextual"/>
        </w:rPr>
        <w:t>EPPO</w:t>
      </w:r>
      <w:r w:rsidRPr="00997873">
        <w:rPr>
          <w:kern w:val="2"/>
          <w14:ligatures w14:val="standardContextual"/>
        </w:rPr>
        <w:t xml:space="preserve"> snieguma līmeņa paaugstināšanos;</w:t>
      </w:r>
    </w:p>
    <w:p w14:paraId="02DB4F07" w14:textId="77777777" w:rsidR="00997873" w:rsidRPr="00997873" w:rsidRDefault="00997873" w:rsidP="00997873">
      <w:pPr>
        <w:widowControl/>
        <w:autoSpaceDE w:val="0"/>
        <w:autoSpaceDN w:val="0"/>
        <w:adjustRightInd w:val="0"/>
        <w:spacing w:after="240"/>
        <w:ind w:left="567" w:hanging="567"/>
        <w:rPr>
          <w:kern w:val="2"/>
          <w14:ligatures w14:val="standardContextual"/>
        </w:rPr>
      </w:pPr>
      <w:r w:rsidRPr="00997873">
        <w:rPr>
          <w:kern w:val="2"/>
          <w14:ligatures w14:val="standardContextual"/>
        </w:rPr>
        <w:t>31.</w:t>
      </w:r>
      <w:r w:rsidRPr="00997873">
        <w:rPr>
          <w:kern w:val="2"/>
          <w14:ligatures w14:val="standardContextual"/>
        </w:rPr>
        <w:tab/>
        <w:t xml:space="preserve">norāda, ka salīdzinājumā ar 2022. gadu </w:t>
      </w:r>
      <w:r w:rsidRPr="00997873">
        <w:rPr>
          <w:i/>
          <w:iCs/>
          <w:kern w:val="2"/>
          <w14:ligatures w14:val="standardContextual"/>
        </w:rPr>
        <w:t>EPPO</w:t>
      </w:r>
      <w:r w:rsidRPr="00997873">
        <w:rPr>
          <w:kern w:val="2"/>
          <w14:ligatures w14:val="standardContextual"/>
        </w:rPr>
        <w:t xml:space="preserve"> izskatīto lietu skaits 2023. gadā gandrīz divkāršojās, sasniedzot līdz pat 1 927 aktīvas izmeklēšanas; pauž atzinību par </w:t>
      </w:r>
      <w:r w:rsidRPr="00997873">
        <w:rPr>
          <w:i/>
          <w:iCs/>
          <w:kern w:val="2"/>
          <w14:ligatures w14:val="standardContextual"/>
        </w:rPr>
        <w:t>EPPO</w:t>
      </w:r>
      <w:r w:rsidRPr="00997873">
        <w:rPr>
          <w:kern w:val="2"/>
          <w14:ligatures w14:val="standardContextual"/>
        </w:rPr>
        <w:t xml:space="preserve"> 2023. gada sekmīgo veikumu, tostarp par 139 apsūdzībām, 339 lietām PVN jomā un vairāk nekā 200 izmeklēšanām par instrumenta “</w:t>
      </w:r>
      <w:proofErr w:type="spellStart"/>
      <w:r w:rsidRPr="00997873">
        <w:rPr>
          <w:kern w:val="2"/>
          <w14:ligatures w14:val="standardContextual"/>
        </w:rPr>
        <w:t>NextGenerationEU</w:t>
      </w:r>
      <w:proofErr w:type="spellEnd"/>
      <w:r w:rsidRPr="00997873">
        <w:rPr>
          <w:kern w:val="2"/>
          <w14:ligatures w14:val="standardContextual"/>
        </w:rPr>
        <w:t xml:space="preserve">” īstenošanu; turklāt norāda, ka </w:t>
      </w:r>
      <w:r w:rsidRPr="00997873">
        <w:rPr>
          <w:i/>
          <w:iCs/>
          <w:kern w:val="2"/>
          <w14:ligatures w14:val="standardContextual"/>
        </w:rPr>
        <w:t>EPPO</w:t>
      </w:r>
      <w:r w:rsidRPr="00997873">
        <w:rPr>
          <w:kern w:val="2"/>
          <w14:ligatures w14:val="standardContextual"/>
        </w:rPr>
        <w:t xml:space="preserve"> sāka saukt pie atbildības valstu tiesās vairāk personu, kas vainīgas Savienības krāpšanā;</w:t>
      </w:r>
    </w:p>
    <w:p w14:paraId="327366F5"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32.</w:t>
      </w:r>
      <w:r w:rsidRPr="00997873">
        <w:rPr>
          <w:kern w:val="2"/>
          <w14:ligatures w14:val="standardContextual"/>
        </w:rPr>
        <w:tab/>
        <w:t xml:space="preserve">norāda, ka 2023. gadā ar notiesājošu spriedumu tika pabeigtas 48 lietas (salīdzinājumā ar 20 lietām 2022. gadā) un konfiscētā summa bija 60 miljoni EUR (salīdzinājumā ar 2 miljoniem EUR 2021. gadā); uzsver, ka ir būtiski sistemātiski ziņot par turpmākiem pasākumiem saistībā ar šīm lietām attiecībā uz pieņemtajiem finanšu pasākumiem (konfiskācija un atgūšana), lai iegūtu labāku izpratni par </w:t>
      </w:r>
      <w:r w:rsidRPr="00997873">
        <w:rPr>
          <w:i/>
          <w:kern w:val="2"/>
          <w14:ligatures w14:val="standardContextual"/>
        </w:rPr>
        <w:t>EPPO</w:t>
      </w:r>
      <w:r w:rsidRPr="00997873">
        <w:rPr>
          <w:kern w:val="2"/>
          <w14:ligatures w14:val="standardContextual"/>
        </w:rPr>
        <w:t xml:space="preserve"> darbību ietekmi; atzinīgi vērtē </w:t>
      </w:r>
      <w:r w:rsidRPr="00997873">
        <w:rPr>
          <w:i/>
          <w:iCs/>
          <w:kern w:val="2"/>
          <w14:ligatures w14:val="standardContextual"/>
        </w:rPr>
        <w:t>EPPO</w:t>
      </w:r>
      <w:r w:rsidRPr="00997873">
        <w:rPr>
          <w:kern w:val="2"/>
          <w14:ligatures w14:val="standardContextual"/>
        </w:rPr>
        <w:t xml:space="preserve"> un Komisijas veiktās darbības, lai racionalizētu to komunikāciju un padarītu to atbilstīgu attiecībā uz iespējamo administratīvo procedūru vajadzībām pasākumu pieņemšanai nolūkā atgūt finanšu noziegumu skarto Savienības finansējumu; atkārtoti aicina Komisiju palīdzēt </w:t>
      </w:r>
      <w:r w:rsidRPr="00997873">
        <w:rPr>
          <w:i/>
          <w:iCs/>
          <w:kern w:val="2"/>
          <w14:ligatures w14:val="standardContextual"/>
        </w:rPr>
        <w:t>EPPO</w:t>
      </w:r>
      <w:r w:rsidRPr="00997873">
        <w:rPr>
          <w:kern w:val="2"/>
          <w14:ligatures w14:val="standardContextual"/>
        </w:rPr>
        <w:t xml:space="preserve"> veikt uzraudzības un turpmākās darbības, lai </w:t>
      </w:r>
      <w:r w:rsidRPr="00997873">
        <w:rPr>
          <w:i/>
          <w:iCs/>
          <w:kern w:val="2"/>
          <w14:ligatures w14:val="standardContextual"/>
        </w:rPr>
        <w:t>EPPO</w:t>
      </w:r>
      <w:r w:rsidRPr="00997873">
        <w:rPr>
          <w:kern w:val="2"/>
          <w14:ligatures w14:val="standardContextual"/>
        </w:rPr>
        <w:t xml:space="preserve"> ierobežotie resursi netiktu novirzīti no tās izmeklēšanas un kriminālvajāšanas uzdevumiem; mudina </w:t>
      </w:r>
      <w:r w:rsidRPr="00997873">
        <w:rPr>
          <w:i/>
          <w:kern w:val="2"/>
          <w14:ligatures w14:val="standardContextual"/>
        </w:rPr>
        <w:t>EPPO</w:t>
      </w:r>
      <w:r w:rsidRPr="00997873">
        <w:rPr>
          <w:kern w:val="2"/>
          <w14:ligatures w14:val="standardContextual"/>
        </w:rPr>
        <w:t xml:space="preserve">, ja tas ir iespējams un lietderīgi, uzlabot sadarbību ar citiem Savienības krāpšanas apkarošanas arhitektūras komponentiem, piemēram, </w:t>
      </w:r>
      <w:proofErr w:type="spellStart"/>
      <w:r w:rsidRPr="00997873">
        <w:rPr>
          <w:i/>
          <w:kern w:val="2"/>
          <w14:ligatures w14:val="standardContextual"/>
        </w:rPr>
        <w:t>Eurojust</w:t>
      </w:r>
      <w:proofErr w:type="spellEnd"/>
      <w:r w:rsidRPr="00997873">
        <w:rPr>
          <w:kern w:val="2"/>
          <w14:ligatures w14:val="standardContextual"/>
        </w:rPr>
        <w:t xml:space="preserve"> un Eiropolu, vai ar </w:t>
      </w:r>
      <w:r w:rsidRPr="00997873">
        <w:rPr>
          <w:i/>
          <w:kern w:val="2"/>
          <w14:ligatures w14:val="standardContextual"/>
        </w:rPr>
        <w:t>OLAF</w:t>
      </w:r>
      <w:r w:rsidRPr="00997873">
        <w:rPr>
          <w:kern w:val="2"/>
          <w14:ligatures w14:val="standardContextual"/>
        </w:rPr>
        <w:t xml:space="preserve"> starpniecību izmantot dalībvalstīs izveidotos krāpšanas apkarošanas koordinācijas dienestus, lai uzraudzītu izmeklēšanu rezultātus;</w:t>
      </w:r>
    </w:p>
    <w:p w14:paraId="10418D51" w14:textId="77777777" w:rsidR="00997873" w:rsidRPr="00997873" w:rsidRDefault="00997873" w:rsidP="00997873">
      <w:pPr>
        <w:widowControl/>
        <w:autoSpaceDE w:val="0"/>
        <w:autoSpaceDN w:val="0"/>
        <w:adjustRightInd w:val="0"/>
        <w:spacing w:after="240"/>
        <w:ind w:left="567" w:hanging="567"/>
        <w:rPr>
          <w:kern w:val="2"/>
          <w14:ligatures w14:val="standardContextual"/>
        </w:rPr>
      </w:pPr>
      <w:r w:rsidRPr="00997873">
        <w:rPr>
          <w:kern w:val="2"/>
          <w14:ligatures w14:val="standardContextual"/>
        </w:rPr>
        <w:t>33.</w:t>
      </w:r>
      <w:r w:rsidRPr="00997873">
        <w:rPr>
          <w:kern w:val="2"/>
          <w14:ligatures w14:val="standardContextual"/>
        </w:rPr>
        <w:tab/>
        <w:t xml:space="preserve">uzsver, ka līdzekļu atgūšanai ir būtiska nozīme, lai radītu iedarbīgu mehānismu, kas attur no organizētās noziedzības; atzinīgi vērtē </w:t>
      </w:r>
      <w:r w:rsidRPr="00997873">
        <w:rPr>
          <w:i/>
          <w:iCs/>
          <w:kern w:val="2"/>
          <w14:ligatures w14:val="standardContextual"/>
        </w:rPr>
        <w:t>EPPO</w:t>
      </w:r>
      <w:r w:rsidRPr="00997873">
        <w:rPr>
          <w:kern w:val="2"/>
          <w14:ligatures w14:val="standardContextual"/>
        </w:rPr>
        <w:t xml:space="preserve"> dalību starptautiskos tīklos, kas tai palīdz plašāk izvērst līdzekļu atgūšanas operācijas; uzsver, ka Komisijai ir jāaicina </w:t>
      </w:r>
      <w:r w:rsidRPr="00997873">
        <w:rPr>
          <w:i/>
          <w:iCs/>
          <w:kern w:val="2"/>
          <w14:ligatures w14:val="standardContextual"/>
        </w:rPr>
        <w:t>EPPO</w:t>
      </w:r>
      <w:r w:rsidRPr="00997873">
        <w:rPr>
          <w:kern w:val="2"/>
          <w14:ligatures w14:val="standardContextual"/>
        </w:rPr>
        <w:t xml:space="preserve"> piedalīties </w:t>
      </w:r>
      <w:proofErr w:type="spellStart"/>
      <w:r w:rsidRPr="00997873">
        <w:rPr>
          <w:kern w:val="2"/>
          <w14:ligatures w14:val="standardContextual"/>
        </w:rPr>
        <w:t>jaunizveidotajā</w:t>
      </w:r>
      <w:proofErr w:type="spellEnd"/>
      <w:r w:rsidRPr="00997873">
        <w:rPr>
          <w:kern w:val="2"/>
          <w14:ligatures w14:val="standardContextual"/>
        </w:rPr>
        <w:t xml:space="preserve"> sadarbības tīklā līdzekļu atgūšanas un konfiskācijas </w:t>
      </w:r>
      <w:r w:rsidRPr="00997873">
        <w:rPr>
          <w:kern w:val="2"/>
          <w14:ligatures w14:val="standardContextual"/>
        </w:rPr>
        <w:lastRenderedPageBreak/>
        <w:t>jomā; norāda, ka savlaicīga un efektīva ar krāpšanu saistītu noziegumu izmeklēšana un saukšana pie atbildības par tiem var radīt ievērojamus ietaupījumus Savienības budžetā un dalībvalstu budžetos;</w:t>
      </w:r>
    </w:p>
    <w:p w14:paraId="3DD70B68"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34.</w:t>
      </w:r>
      <w:r w:rsidRPr="00997873">
        <w:rPr>
          <w:kern w:val="2"/>
          <w14:ligatures w14:val="standardContextual"/>
        </w:rPr>
        <w:tab/>
        <w:t xml:space="preserve">pauž bažas par to, ka pieaug </w:t>
      </w:r>
      <w:r w:rsidRPr="00997873">
        <w:rPr>
          <w:i/>
          <w:iCs/>
          <w:kern w:val="2"/>
          <w14:ligatures w14:val="standardContextual"/>
        </w:rPr>
        <w:t>EPPO</w:t>
      </w:r>
      <w:r w:rsidRPr="00997873">
        <w:rPr>
          <w:kern w:val="2"/>
          <w14:ligatures w14:val="standardContextual"/>
        </w:rPr>
        <w:t xml:space="preserve"> veikto izmeklēšanu skaits saistībā ar atveseļošanas un noturības plānu (ANP) īstenošanu (2023. gada beigās tika veiktas 233 izmeklēšanas salīdzinājumā ar 15 izmeklēšanām 2022. gada beigās) un attiecīgie aplēstie ar tiem saistītie finansiālie zaudējumi (1,86 miljardi EUR); pauž īpašas bažas par to, ka, neraugoties uz lielo izmeklēšanu skaitu, dalībvalstīm pašlaik nav pienākuma ziņot Komisijai par ANM lietām, izmantojot Pārkāpumu pārvaldības sistēmu (</w:t>
      </w:r>
      <w:r w:rsidRPr="00997873">
        <w:rPr>
          <w:i/>
          <w:iCs/>
          <w:kern w:val="2"/>
          <w14:ligatures w14:val="standardContextual"/>
        </w:rPr>
        <w:t>IMS</w:t>
      </w:r>
      <w:r w:rsidRPr="00997873">
        <w:rPr>
          <w:kern w:val="2"/>
          <w14:ligatures w14:val="standardContextual"/>
        </w:rPr>
        <w:t xml:space="preserve">); atgādina par pienākumu ziņot </w:t>
      </w:r>
      <w:r w:rsidRPr="00997873">
        <w:rPr>
          <w:i/>
          <w:iCs/>
          <w:kern w:val="2"/>
          <w14:ligatures w14:val="standardContextual"/>
        </w:rPr>
        <w:t>EPPO</w:t>
      </w:r>
      <w:r w:rsidRPr="00997873">
        <w:rPr>
          <w:kern w:val="2"/>
          <w14:ligatures w14:val="standardContextual"/>
        </w:rPr>
        <w:t xml:space="preserve"> par visiem krāpšanas gadījumiem, kas skar ANM, un uzsver, ka šādi gadījumi attiecas arī uz pasākumiem, kas saistīti ar </w:t>
      </w:r>
      <w:r w:rsidRPr="00997873">
        <w:rPr>
          <w:i/>
          <w:iCs/>
          <w:kern w:val="2"/>
          <w14:ligatures w14:val="standardContextual"/>
        </w:rPr>
        <w:t>EDES</w:t>
      </w:r>
      <w:r w:rsidRPr="00997873">
        <w:rPr>
          <w:kern w:val="2"/>
          <w14:ligatures w14:val="standardContextual"/>
        </w:rPr>
        <w:t xml:space="preserve">; uzsver, ka </w:t>
      </w:r>
      <w:r w:rsidRPr="00997873">
        <w:rPr>
          <w:i/>
          <w:iCs/>
          <w:kern w:val="2"/>
          <w14:ligatures w14:val="standardContextual"/>
        </w:rPr>
        <w:t>EPPO</w:t>
      </w:r>
      <w:r w:rsidRPr="00997873">
        <w:rPr>
          <w:kern w:val="2"/>
          <w14:ligatures w14:val="standardContextual"/>
        </w:rPr>
        <w:t xml:space="preserve"> darba slodze, kas sākotnēji nebija pietiekami novērtēta, ir ievērojami palielinājusies un paredzams, ka tā turpinās pieaugt, jo īpaši ar ANM saistīto lietu skaita pieauguma dēļ, un ka attiecīgā analīze liecina par krāpšanas, korupcijas, dubultas finansēšanas un interešu konfliktu gadījumu skaita iespējamu eksponenciālu pieaugumu turpmākajos gados; aicina </w:t>
      </w:r>
      <w:r w:rsidRPr="00997873">
        <w:rPr>
          <w:i/>
          <w:iCs/>
          <w:kern w:val="2"/>
          <w14:ligatures w14:val="standardContextual"/>
        </w:rPr>
        <w:t>EPPO</w:t>
      </w:r>
      <w:r w:rsidRPr="00997873">
        <w:rPr>
          <w:kern w:val="2"/>
          <w14:ligatures w14:val="standardContextual"/>
        </w:rPr>
        <w:t xml:space="preserve"> sistemātiski analizēt un identificēt krāpšanas modeļus dalībvalstīs, kurās ir konstatētas vairākas ANM lietas, un paziņot par šiem modeļiem dalībvalstīm, Komisijai un Atveseļošanas un noturības darba grupai, lai uzlabotu preventīvos pasākumus krāpšanas riska mazināšanai; aicina </w:t>
      </w:r>
      <w:r w:rsidRPr="00997873">
        <w:rPr>
          <w:i/>
          <w:iCs/>
          <w:kern w:val="2"/>
          <w14:ligatures w14:val="standardContextual"/>
        </w:rPr>
        <w:t>EPPO</w:t>
      </w:r>
      <w:r w:rsidRPr="00997873">
        <w:rPr>
          <w:kern w:val="2"/>
          <w14:ligatures w14:val="standardContextual"/>
        </w:rPr>
        <w:t xml:space="preserve">, Komisiju un </w:t>
      </w:r>
      <w:r w:rsidRPr="00997873">
        <w:rPr>
          <w:i/>
          <w:iCs/>
          <w:kern w:val="2"/>
          <w14:ligatures w14:val="standardContextual"/>
        </w:rPr>
        <w:t>OLAF</w:t>
      </w:r>
      <w:r w:rsidRPr="00997873">
        <w:rPr>
          <w:kern w:val="2"/>
          <w14:ligatures w14:val="standardContextual"/>
        </w:rPr>
        <w:t xml:space="preserve"> cieši sadarboties, lai pēc iespējas samazinātu šādu krāpniecisku pārkāpumu ietekmi uz Savienības budžetu un nodrošinātu ANM mērķu sasniegšanu; atkārtoti aicina Komisiju sniegt </w:t>
      </w:r>
      <w:r w:rsidRPr="00997873">
        <w:rPr>
          <w:i/>
          <w:iCs/>
          <w:kern w:val="2"/>
          <w14:ligatures w14:val="standardContextual"/>
        </w:rPr>
        <w:t>EPPO</w:t>
      </w:r>
      <w:r w:rsidRPr="00997873">
        <w:rPr>
          <w:kern w:val="2"/>
          <w14:ligatures w14:val="standardContextual"/>
        </w:rPr>
        <w:t xml:space="preserve"> atbilstīgus norādījumus par to, kā atbalstīt un veicināt korektīvu pasākumu pieņemšanu pēc </w:t>
      </w:r>
      <w:r w:rsidRPr="00997873">
        <w:rPr>
          <w:i/>
          <w:iCs/>
          <w:kern w:val="2"/>
          <w14:ligatures w14:val="standardContextual"/>
        </w:rPr>
        <w:t>EPPO</w:t>
      </w:r>
      <w:r w:rsidRPr="00997873">
        <w:rPr>
          <w:kern w:val="2"/>
          <w14:ligatures w14:val="standardContextual"/>
        </w:rPr>
        <w:t xml:space="preserve"> neatkarīgas izmeklēšanas un apsūdzības izvirzīšanas par krāpšanu, kas ietekmē ANM, un informēt budžeta lēmējinstitūciju par pieejamajām iespējām;</w:t>
      </w:r>
    </w:p>
    <w:p w14:paraId="7DDD6A59"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35.</w:t>
      </w:r>
      <w:r w:rsidRPr="00997873">
        <w:rPr>
          <w:kern w:val="2"/>
          <w14:ligatures w14:val="standardContextual"/>
        </w:rPr>
        <w:tab/>
        <w:t xml:space="preserve">ņem vērā, ka </w:t>
      </w:r>
      <w:r w:rsidRPr="00997873">
        <w:rPr>
          <w:i/>
          <w:iCs/>
          <w:kern w:val="2"/>
          <w14:ligatures w14:val="standardContextual"/>
        </w:rPr>
        <w:t>EPPO</w:t>
      </w:r>
      <w:r w:rsidRPr="00997873">
        <w:rPr>
          <w:kern w:val="2"/>
          <w14:ligatures w14:val="standardContextual"/>
        </w:rPr>
        <w:t xml:space="preserve"> reaģēja uz Parlamenta aicinājumu izveidot labāku uzraudzības sistēmu un uzlabot turpmākos pasākumus saistībā ar izmeklēšanām un kriminālvajāšanu, uzsākot digitālo statistikas rīku projektu, kas ļaus labāk izmantot datus, ko tā apstrādā, un attīstīt stratēģiskās analīzes spējas, lai noteiktu krāpšanas tendences; piekrīt </w:t>
      </w:r>
      <w:r w:rsidRPr="00997873">
        <w:rPr>
          <w:i/>
          <w:kern w:val="2"/>
          <w14:ligatures w14:val="standardContextual"/>
        </w:rPr>
        <w:t>EPPO</w:t>
      </w:r>
      <w:r w:rsidRPr="00997873">
        <w:rPr>
          <w:kern w:val="2"/>
          <w14:ligatures w14:val="standardContextual"/>
        </w:rPr>
        <w:t xml:space="preserve"> viedoklim, ka minēto centienu panākumi ir tieši saistīti ar pieejamajiem resursiem, un aicina Komisiju ņemt vērā šīs darbības un saistītās izmaksas turpmākajos priekšlikumos par Regulu (ES) 2017/1939 un budžeta piešķīrumiem;</w:t>
      </w:r>
    </w:p>
    <w:p w14:paraId="3245C2CE"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36.</w:t>
      </w:r>
      <w:r w:rsidRPr="00997873">
        <w:rPr>
          <w:kern w:val="2"/>
          <w14:ligatures w14:val="standardContextual"/>
        </w:rPr>
        <w:tab/>
        <w:t xml:space="preserve">atzinīgi vērtē </w:t>
      </w:r>
      <w:r w:rsidRPr="00997873">
        <w:rPr>
          <w:i/>
          <w:kern w:val="2"/>
          <w14:ligatures w14:val="standardContextual"/>
        </w:rPr>
        <w:t>EPPO</w:t>
      </w:r>
      <w:r w:rsidRPr="00997873">
        <w:rPr>
          <w:kern w:val="2"/>
          <w14:ligatures w14:val="standardContextual"/>
        </w:rPr>
        <w:t xml:space="preserve"> centienus noteikt galvenos snieguma rādītājus (</w:t>
      </w:r>
      <w:r w:rsidRPr="00997873">
        <w:rPr>
          <w:i/>
          <w:kern w:val="2"/>
          <w14:ligatures w14:val="standardContextual"/>
        </w:rPr>
        <w:t>KPI</w:t>
      </w:r>
      <w:r w:rsidRPr="00997873">
        <w:rPr>
          <w:kern w:val="2"/>
          <w14:ligatures w14:val="standardContextual"/>
        </w:rPr>
        <w:t xml:space="preserve">) gan operatīvajām, gan administratīvajām darbībām ar konkrētiem mērķiem, ņemot vērā tās īpašo </w:t>
      </w:r>
      <w:proofErr w:type="spellStart"/>
      <w:r w:rsidRPr="00997873">
        <w:rPr>
          <w:kern w:val="2"/>
          <w14:ligatures w14:val="standardContextual"/>
        </w:rPr>
        <w:t>darījumdarbības</w:t>
      </w:r>
      <w:proofErr w:type="spellEnd"/>
      <w:r w:rsidRPr="00997873">
        <w:rPr>
          <w:kern w:val="2"/>
          <w14:ligatures w14:val="standardContextual"/>
        </w:rPr>
        <w:t xml:space="preserve"> modeli; atkārtoti norāda, ka operatīvajās darbībās ir jāiekļauj atsauce uz izņemtajām, konfiscētajām un visbeidzot Savienības budžetā atgūtajām summām, jo tas galu galā ir Savienības krāpšanas apkarošanas arhitektūras, kuras būtisks komponents ir arī </w:t>
      </w:r>
      <w:r w:rsidRPr="00997873">
        <w:rPr>
          <w:i/>
          <w:kern w:val="2"/>
          <w14:ligatures w14:val="standardContextual"/>
        </w:rPr>
        <w:t>EPPO</w:t>
      </w:r>
      <w:r w:rsidRPr="00997873">
        <w:rPr>
          <w:kern w:val="2"/>
          <w14:ligatures w14:val="standardContextual"/>
        </w:rPr>
        <w:t xml:space="preserve">, </w:t>
      </w:r>
      <w:proofErr w:type="spellStart"/>
      <w:r w:rsidRPr="00997873">
        <w:rPr>
          <w:i/>
          <w:kern w:val="2"/>
          <w14:ligatures w14:val="standardContextual"/>
        </w:rPr>
        <w:t>raison</w:t>
      </w:r>
      <w:proofErr w:type="spellEnd"/>
      <w:r w:rsidRPr="00997873">
        <w:rPr>
          <w:i/>
          <w:kern w:val="2"/>
          <w14:ligatures w14:val="standardContextual"/>
        </w:rPr>
        <w:t xml:space="preserve"> </w:t>
      </w:r>
      <w:proofErr w:type="spellStart"/>
      <w:r w:rsidRPr="00997873">
        <w:rPr>
          <w:i/>
          <w:kern w:val="2"/>
          <w14:ligatures w14:val="standardContextual"/>
        </w:rPr>
        <w:t>d’être</w:t>
      </w:r>
      <w:proofErr w:type="spellEnd"/>
      <w:r w:rsidRPr="00997873">
        <w:rPr>
          <w:i/>
          <w:kern w:val="2"/>
          <w14:ligatures w14:val="standardContextual"/>
        </w:rPr>
        <w:t>;</w:t>
      </w:r>
      <w:r w:rsidRPr="00997873">
        <w:rPr>
          <w:kern w:val="2"/>
          <w14:ligatures w14:val="standardContextual"/>
        </w:rPr>
        <w:t xml:space="preserve"> apzinās, ka uzraudzība un turpmāki pasākumi, tai skaitā ziņošana par atgūšanas rezultātiem, nav </w:t>
      </w:r>
      <w:r w:rsidRPr="00997873">
        <w:rPr>
          <w:i/>
          <w:kern w:val="2"/>
          <w14:ligatures w14:val="standardContextual"/>
        </w:rPr>
        <w:t>EPPO</w:t>
      </w:r>
      <w:r w:rsidRPr="00997873">
        <w:rPr>
          <w:kern w:val="2"/>
          <w14:ligatures w14:val="standardContextual"/>
        </w:rPr>
        <w:t xml:space="preserve"> kompetencē un prasa resursus un īpašas prerogatīvas, kas nav daļa no </w:t>
      </w:r>
      <w:r w:rsidRPr="00997873">
        <w:rPr>
          <w:i/>
          <w:kern w:val="2"/>
          <w14:ligatures w14:val="standardContextual"/>
        </w:rPr>
        <w:t>EPPO</w:t>
      </w:r>
      <w:r w:rsidRPr="00997873">
        <w:rPr>
          <w:kern w:val="2"/>
          <w14:ligatures w14:val="standardContextual"/>
        </w:rPr>
        <w:t xml:space="preserve"> uzdevuma; aicina Komisiju atbalstīt </w:t>
      </w:r>
      <w:r w:rsidRPr="00997873">
        <w:rPr>
          <w:i/>
          <w:kern w:val="2"/>
          <w14:ligatures w14:val="standardContextual"/>
        </w:rPr>
        <w:t>EPPO</w:t>
      </w:r>
      <w:r w:rsidRPr="00997873">
        <w:rPr>
          <w:kern w:val="2"/>
          <w14:ligatures w14:val="standardContextual"/>
        </w:rPr>
        <w:t xml:space="preserve">, nosakot rādītājus, kas saistīti ar šā būtiskā uzdevuma izpildi, uzsverot, ka labāka uzraudzības sistēma un vairāk labas granularitātes datu, kas apkopoti klasteros pa pārkāpumu kategorijām, interešu nozarēm vai ģeogrāfiskajiem apgabaliem, ļautu uzlabot </w:t>
      </w:r>
      <w:r w:rsidRPr="00997873">
        <w:rPr>
          <w:i/>
          <w:kern w:val="2"/>
          <w14:ligatures w14:val="standardContextual"/>
        </w:rPr>
        <w:t>EPPO</w:t>
      </w:r>
      <w:r w:rsidRPr="00997873">
        <w:rPr>
          <w:kern w:val="2"/>
          <w14:ligatures w14:val="standardContextual"/>
        </w:rPr>
        <w:t xml:space="preserve"> izmeklēšanu ietekmes </w:t>
      </w:r>
      <w:proofErr w:type="spellStart"/>
      <w:r w:rsidRPr="00997873">
        <w:rPr>
          <w:kern w:val="2"/>
          <w14:ligatures w14:val="standardContextual"/>
        </w:rPr>
        <w:t>pamanāmību</w:t>
      </w:r>
      <w:proofErr w:type="spellEnd"/>
      <w:r w:rsidRPr="00997873">
        <w:rPr>
          <w:kern w:val="2"/>
          <w14:ligatures w14:val="standardContextual"/>
        </w:rPr>
        <w:t xml:space="preserve"> un apzināt krāpšanas tendences;</w:t>
      </w:r>
    </w:p>
    <w:p w14:paraId="394F3706" w14:textId="77777777" w:rsidR="00997873" w:rsidRPr="00997873" w:rsidRDefault="00997873" w:rsidP="00997873">
      <w:pPr>
        <w:spacing w:after="240"/>
        <w:ind w:left="567" w:hanging="567"/>
        <w:rPr>
          <w:b/>
          <w:i/>
          <w:kern w:val="2"/>
          <w:szCs w:val="24"/>
          <w14:ligatures w14:val="standardContextual"/>
        </w:rPr>
      </w:pPr>
      <w:r w:rsidRPr="00997873">
        <w:rPr>
          <w:b/>
          <w:i/>
          <w:kern w:val="2"/>
          <w14:ligatures w14:val="standardContextual"/>
        </w:rPr>
        <w:t xml:space="preserve">Cilvēkresursi, līdztiesība un darbinieku </w:t>
      </w:r>
      <w:proofErr w:type="spellStart"/>
      <w:r w:rsidRPr="00997873">
        <w:rPr>
          <w:b/>
          <w:i/>
          <w:kern w:val="2"/>
          <w14:ligatures w14:val="standardContextual"/>
        </w:rPr>
        <w:t>labbūtība</w:t>
      </w:r>
      <w:proofErr w:type="spellEnd"/>
    </w:p>
    <w:p w14:paraId="2EFEA105"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lastRenderedPageBreak/>
        <w:t>37.</w:t>
      </w:r>
      <w:r w:rsidRPr="00997873">
        <w:rPr>
          <w:kern w:val="2"/>
          <w14:ligatures w14:val="standardContextual"/>
        </w:rPr>
        <w:tab/>
        <w:t xml:space="preserve">novēro darbinieku skaita pieauguma tendenci – darbinieku skaits ir palielinājies no 58 darbiniekiem 2020. gadā līdz 122 darbiniekiem 2021. gadā, 217 darbiniekiem 2022. gada beigās un 238 darbiniekiem 2023. gada beigās; ņem vērā, ka 2023. gadam </w:t>
      </w:r>
      <w:r w:rsidRPr="00997873">
        <w:rPr>
          <w:i/>
          <w:kern w:val="2"/>
          <w14:ligatures w14:val="standardContextual"/>
        </w:rPr>
        <w:t>EPPO</w:t>
      </w:r>
      <w:r w:rsidRPr="00997873">
        <w:rPr>
          <w:kern w:val="2"/>
          <w14:ligatures w14:val="standardContextual"/>
        </w:rPr>
        <w:t xml:space="preserve"> pieprasīja budžeta lēmējinstitūcijai likvidēt 20 līgumdarbinieku amata vietas un izveidot 20 pagaidu darbinieku amata vietas un ka šīs darba vietas tajā pašā gadā tika piešķirtas un </w:t>
      </w:r>
      <w:r w:rsidRPr="00997873">
        <w:rPr>
          <w:i/>
          <w:iCs/>
          <w:kern w:val="2"/>
          <w14:ligatures w14:val="standardContextual"/>
        </w:rPr>
        <w:t>EPPO</w:t>
      </w:r>
      <w:r w:rsidRPr="00997873">
        <w:rPr>
          <w:kern w:val="2"/>
          <w14:ligatures w14:val="standardContextual"/>
        </w:rPr>
        <w:t xml:space="preserve"> tās aizpildīja, kā rezultātā darbinieku kopējais skaits nemainījās (248 darbinieki, no kuriem 171 pagaidu darbinieks, 48 līgumdarbinieki un 29 norīkotie valstu eksperti), bet mainījās darba vietu sadalījums (191 pagaidu darbinieks, 28 līgumdarbinieki un 29 norīkotie valstu eksperti); tomēr norāda, ka pēc vairāku drošības nepilnību konstatēšanas </w:t>
      </w:r>
      <w:r w:rsidRPr="00997873">
        <w:rPr>
          <w:i/>
          <w:kern w:val="2"/>
          <w14:ligatures w14:val="standardContextual"/>
        </w:rPr>
        <w:t>EPPO</w:t>
      </w:r>
      <w:r w:rsidRPr="00997873">
        <w:rPr>
          <w:kern w:val="2"/>
          <w14:ligatures w14:val="standardContextual"/>
        </w:rPr>
        <w:t xml:space="preserve"> 2023. gada maijā pieprasīja grozīt budžetu un piešķirt papildu amata vietas, lai uzlabotu fizisko un informācijas drošību un </w:t>
      </w:r>
      <w:proofErr w:type="spellStart"/>
      <w:r w:rsidRPr="00997873">
        <w:rPr>
          <w:kern w:val="2"/>
          <w14:ligatures w14:val="standardContextual"/>
        </w:rPr>
        <w:t>kiberdrošību</w:t>
      </w:r>
      <w:proofErr w:type="spellEnd"/>
      <w:r w:rsidRPr="00997873">
        <w:rPr>
          <w:kern w:val="2"/>
          <w14:ligatures w14:val="standardContextual"/>
        </w:rPr>
        <w:t xml:space="preserve"> centrālā un decentralizētā līmenī, un ka no 21 noteiktās amata vietas drošības jomā 2023. gada novembrī tika piešķirtas 8 amata vietas (viena AD 9 kategorijas amata vieta, četras AD6 kategorijas amata vietas un trīs AST3 kategorijas amata vietas) turpmāku drošības pasākumu īstenošanai, kas tika pabeigti 2024. gadā;</w:t>
      </w:r>
    </w:p>
    <w:p w14:paraId="79740D5C"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38.</w:t>
      </w:r>
      <w:r w:rsidRPr="00997873">
        <w:rPr>
          <w:kern w:val="2"/>
          <w14:ligatures w14:val="standardContextual"/>
        </w:rPr>
        <w:tab/>
        <w:t xml:space="preserve">norāda, ka 2023. gadā centrālajā birojā bija aizpildīti 92,97 % darba vietu, proti, bija nodarbināti 238 darbinieki salīdzinājumā ar 256 budžetā paredzētajām amata vietām; norāda, ka no 140 Eiropas deleģēto prokuroru amata vietām 2023. gada beigās amatu ieņēma 130 EDP un vēl 10 EDP sāka darbu 2024. gada sākumā, sasniedzot 100 % aizpildīto amata vietu rādītāju; konstatē, ka </w:t>
      </w:r>
      <w:r w:rsidRPr="00997873">
        <w:rPr>
          <w:i/>
          <w:iCs/>
          <w:kern w:val="2"/>
          <w14:ligatures w14:val="standardContextual"/>
        </w:rPr>
        <w:t>EPPO</w:t>
      </w:r>
      <w:r w:rsidRPr="00997873">
        <w:rPr>
          <w:kern w:val="2"/>
          <w14:ligatures w14:val="standardContextual"/>
        </w:rPr>
        <w:t xml:space="preserve"> pastiprināja spēju īstenot savlaicīgas un pārredzamas darbā pieņemšanas procedūras, 2023. gadā noslēdzot 24 darbinieku atlases procedūras, pieņemot 45 štata darbiniekus un 8 jaunus Eiropas prokurorus un ieceļot 35 jaunus EDP;</w:t>
      </w:r>
    </w:p>
    <w:p w14:paraId="74318CBD" w14:textId="77777777" w:rsidR="00997873" w:rsidRPr="00997873" w:rsidRDefault="00997873" w:rsidP="00997873">
      <w:pPr>
        <w:spacing w:after="240"/>
        <w:ind w:left="567" w:hanging="567"/>
        <w:rPr>
          <w:bCs/>
          <w:kern w:val="2"/>
          <w:szCs w:val="24"/>
          <w14:ligatures w14:val="standardContextual"/>
        </w:rPr>
      </w:pPr>
      <w:r w:rsidRPr="00997873">
        <w:rPr>
          <w:kern w:val="2"/>
          <w14:ligatures w14:val="standardContextual"/>
        </w:rPr>
        <w:t>39.</w:t>
      </w:r>
      <w:r w:rsidRPr="00997873">
        <w:rPr>
          <w:kern w:val="2"/>
          <w14:ligatures w14:val="standardContextual"/>
        </w:rPr>
        <w:tab/>
        <w:t>norāda, ka līdz 2023. gada decembrim personāla mainība (pagaidu darbinieki un līgumdarbinieki) bija 4,62 % </w:t>
      </w:r>
      <w:r w:rsidRPr="00997873">
        <w:rPr>
          <w:kern w:val="2"/>
          <w:szCs w:val="24"/>
          <w:vertAlign w:val="superscript"/>
          <w14:ligatures w14:val="standardContextual"/>
        </w:rPr>
        <w:footnoteReference w:id="15"/>
      </w:r>
      <w:r w:rsidRPr="00997873">
        <w:rPr>
          <w:kern w:val="2"/>
          <w14:ligatures w14:val="standardContextual"/>
        </w:rPr>
        <w:t xml:space="preserve"> un kopumā gada laikā tika pieņemti 11 atlūgumi, kuru galvenais iemesls bija amata atstāšana, lai uzsāktu darbu citā iestādē (četri gadījumi) un lai pieņemtu augstākus amatus, kas piedāvāti citās Savienības iestādēs (septiņi gadījumi); konstatē, ka personāla mainības galvenais iemesls ir Luksemburgas darba tirgus specifika, proti, ļoti ierobežots talantu fonds un neliels specializētu prasmju piedāvājums;</w:t>
      </w:r>
    </w:p>
    <w:p w14:paraId="2BF1147D" w14:textId="77777777" w:rsidR="00997873" w:rsidRPr="00997873" w:rsidRDefault="00997873" w:rsidP="00997873">
      <w:pPr>
        <w:spacing w:after="240"/>
        <w:ind w:left="567" w:hanging="567"/>
        <w:rPr>
          <w:bCs/>
          <w:kern w:val="2"/>
          <w:szCs w:val="24"/>
          <w14:ligatures w14:val="standardContextual"/>
        </w:rPr>
      </w:pPr>
      <w:r w:rsidRPr="00997873">
        <w:rPr>
          <w:color w:val="000000"/>
          <w:kern w:val="2"/>
          <w14:ligatures w14:val="standardContextual"/>
        </w:rPr>
        <w:t>40.</w:t>
      </w:r>
      <w:r w:rsidRPr="00997873">
        <w:rPr>
          <w:color w:val="000000"/>
          <w:kern w:val="2"/>
          <w14:ligatures w14:val="standardContextual"/>
        </w:rPr>
        <w:tab/>
      </w:r>
      <w:r w:rsidRPr="00997873">
        <w:rPr>
          <w:kern w:val="2"/>
          <w14:ligatures w14:val="standardContextual"/>
        </w:rPr>
        <w:t xml:space="preserve">atzinīgi vērtē Komisijas centienus apmierināt </w:t>
      </w:r>
      <w:r w:rsidRPr="00997873">
        <w:rPr>
          <w:i/>
          <w:iCs/>
          <w:kern w:val="2"/>
          <w14:ligatures w14:val="standardContextual"/>
        </w:rPr>
        <w:t>EPPO</w:t>
      </w:r>
      <w:r w:rsidRPr="00997873">
        <w:rPr>
          <w:kern w:val="2"/>
          <w14:ligatures w14:val="standardContextual"/>
        </w:rPr>
        <w:t xml:space="preserve"> prasības piešķirt papildu amata vietas; uzskata, ka darba slodzes iespējamās izmaiņas norāda, ka ir vajadzīgi papildu resursi, jo īpaši ņemot vērā neizskatīto lietu skaitu, papildu lietas saistībā ar ANM un krāpšanu PVN jomā ar tālejošām sekām, kā arī ņemot vērā to, ka ir sagaidāms administratīvo un galveno atbalsta funkciju pieaugums, ņemot vērā to, ka palielinās operatīvo darbību skaits; norāda</w:t>
      </w:r>
      <w:r w:rsidRPr="00997873">
        <w:rPr>
          <w:b/>
          <w:kern w:val="2"/>
          <w14:ligatures w14:val="standardContextual"/>
        </w:rPr>
        <w:t xml:space="preserve"> </w:t>
      </w:r>
      <w:r w:rsidRPr="00997873">
        <w:rPr>
          <w:kern w:val="2"/>
          <w14:ligatures w14:val="standardContextual"/>
        </w:rPr>
        <w:t xml:space="preserve">uz vajadzību un spēju nepietiekama novērtējuma risku; atzīmē, ka izmaksas saistībā ar pagaidu darbiniekiem un ārpakalpojumu sniedzējiem, kas strādā iestādē, 2023. gadā sasniedza 4 235 242 EUR; mudina Komisiju un </w:t>
      </w:r>
      <w:r w:rsidRPr="00997873">
        <w:rPr>
          <w:i/>
          <w:kern w:val="2"/>
          <w14:ligatures w14:val="standardContextual"/>
        </w:rPr>
        <w:t>EPPO</w:t>
      </w:r>
      <w:r w:rsidRPr="00997873">
        <w:rPr>
          <w:kern w:val="2"/>
          <w14:ligatures w14:val="standardContextual"/>
        </w:rPr>
        <w:t xml:space="preserve"> rast ilgtspējīgu ilgtermiņa risinājumu, kas nodrošina nepārtrauktību, aizsargā konfidencialitāti un saglabā iestrādātās kompetences; atzinīgi vērtē to, ka </w:t>
      </w:r>
      <w:r w:rsidRPr="00997873">
        <w:rPr>
          <w:i/>
          <w:kern w:val="2"/>
          <w14:ligatures w14:val="standardContextual"/>
        </w:rPr>
        <w:t>EPPO</w:t>
      </w:r>
      <w:r w:rsidRPr="00997873">
        <w:rPr>
          <w:kern w:val="2"/>
          <w14:ligatures w14:val="standardContextual"/>
        </w:rPr>
        <w:t xml:space="preserve"> papildu operatīvās vajadzības ir pilnībā integrētas </w:t>
      </w:r>
      <w:r w:rsidRPr="00997873">
        <w:rPr>
          <w:i/>
          <w:kern w:val="2"/>
          <w14:ligatures w14:val="standardContextual"/>
        </w:rPr>
        <w:t>EPPO</w:t>
      </w:r>
      <w:r w:rsidRPr="00997873">
        <w:rPr>
          <w:kern w:val="2"/>
          <w14:ligatures w14:val="standardContextual"/>
        </w:rPr>
        <w:t xml:space="preserve"> vienotajā programmdokumentā 2024.–2026. gadam un </w:t>
      </w:r>
      <w:r w:rsidRPr="00997873">
        <w:rPr>
          <w:i/>
          <w:kern w:val="2"/>
          <w14:ligatures w14:val="standardContextual"/>
        </w:rPr>
        <w:t>EPPO</w:t>
      </w:r>
      <w:r w:rsidRPr="00997873">
        <w:rPr>
          <w:kern w:val="2"/>
          <w14:ligatures w14:val="standardContextual"/>
        </w:rPr>
        <w:t xml:space="preserve"> finansējuma pieprasījumos;</w:t>
      </w:r>
    </w:p>
    <w:p w14:paraId="5AABD38E"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41.</w:t>
      </w:r>
      <w:r w:rsidRPr="00997873">
        <w:rPr>
          <w:kern w:val="2"/>
          <w14:ligatures w14:val="standardContextual"/>
        </w:rPr>
        <w:tab/>
        <w:t xml:space="preserve">ar bažām norāda, ka Luksemburgas darba tirgū ir augsta konkurence, Savienības administrācijas piedāvātie finansiālie nosacījumi nav pievilcīgi salīdzinājumā ar vietējo </w:t>
      </w:r>
      <w:r w:rsidRPr="00997873">
        <w:rPr>
          <w:kern w:val="2"/>
          <w14:ligatures w14:val="standardContextual"/>
        </w:rPr>
        <w:lastRenderedPageBreak/>
        <w:t xml:space="preserve">tirgu (atšķirīga atalgojuma indeksācija gada laikā) un pienācīgi netiek ņemta vērā dzīves dārdzība Luksemburgā, kas rada arvien lielākas grūtības, ņemot vērā inflācijas līmeni un ar mājokli saistīto izmaksu pieaugumu; norāda, ka </w:t>
      </w:r>
      <w:r w:rsidRPr="00997873">
        <w:rPr>
          <w:i/>
          <w:iCs/>
          <w:kern w:val="2"/>
          <w14:ligatures w14:val="standardContextual"/>
        </w:rPr>
        <w:t>EPPO</w:t>
      </w:r>
      <w:r w:rsidRPr="00997873">
        <w:rPr>
          <w:kern w:val="2"/>
          <w14:ligatures w14:val="standardContextual"/>
        </w:rPr>
        <w:t xml:space="preserve"> nevar piedāvāt saviem darbiniekiem tādas karjeras iespējas, lai viņi varētu kļūt par Savienības ierēdņiem, un tāpēc tās darba vietas ir vēl mazāk pievilcīgas par darba vietām četrās citās Savienības iestādēs, kas veic darbu Luksemburgā; uzsver, ka tas nozīmē vai nu ļoti ierobežotu pieteikumu skaitu uz vakantajiem amatiem, vai arī to, ka atlasītie kandidāti noraida darba piedāvājumu pēc tā saņemšanas augsto dzīvošanas izmaksu dēļ; aicina </w:t>
      </w:r>
      <w:r w:rsidRPr="00997873">
        <w:rPr>
          <w:i/>
          <w:iCs/>
          <w:kern w:val="2"/>
          <w14:ligatures w14:val="standardContextual"/>
        </w:rPr>
        <w:t>EPPO</w:t>
      </w:r>
      <w:r w:rsidRPr="00997873">
        <w:rPr>
          <w:kern w:val="2"/>
          <w14:ligatures w14:val="standardContextual"/>
        </w:rPr>
        <w:t xml:space="preserve"> un Komisiju īstenot pasākumus, kas padara </w:t>
      </w:r>
      <w:r w:rsidRPr="00997873">
        <w:rPr>
          <w:i/>
          <w:iCs/>
          <w:kern w:val="2"/>
          <w14:ligatures w14:val="standardContextual"/>
        </w:rPr>
        <w:t>EPPO</w:t>
      </w:r>
      <w:r w:rsidRPr="00997873">
        <w:rPr>
          <w:kern w:val="2"/>
          <w14:ligatures w14:val="standardContextual"/>
        </w:rPr>
        <w:t xml:space="preserve"> pievilcīgāku augsti kvalificētiem speciālistiem ar starptautisku pieredzi, piemēram, nodrošināt zemākas pakāpes darbiniekiem mājokļa pabalstu, ko budžeta lēmējinstitūcija apstiprinājusi 2025. gadam atbilstīgi augsta līmeņa </w:t>
      </w:r>
      <w:proofErr w:type="spellStart"/>
      <w:r w:rsidRPr="00997873">
        <w:rPr>
          <w:kern w:val="2"/>
          <w14:ligatures w14:val="standardContextual"/>
        </w:rPr>
        <w:t>starpiestāžu</w:t>
      </w:r>
      <w:proofErr w:type="spellEnd"/>
      <w:r w:rsidRPr="00997873">
        <w:rPr>
          <w:kern w:val="2"/>
          <w14:ligatures w14:val="standardContextual"/>
        </w:rPr>
        <w:t xml:space="preserve"> grupas ieteikumam; norāda uz atsevišķu valstu </w:t>
      </w:r>
      <w:proofErr w:type="spellStart"/>
      <w:r w:rsidRPr="00997873">
        <w:rPr>
          <w:kern w:val="2"/>
          <w14:ligatures w14:val="standardContextual"/>
        </w:rPr>
        <w:t>valstspiederīgo</w:t>
      </w:r>
      <w:proofErr w:type="spellEnd"/>
      <w:r w:rsidRPr="00997873">
        <w:rPr>
          <w:kern w:val="2"/>
          <w14:ligatures w14:val="standardContextual"/>
        </w:rPr>
        <w:t xml:space="preserve"> pārmērīgu pārstāvību personāla vidū;</w:t>
      </w:r>
    </w:p>
    <w:p w14:paraId="0CDFC7C1"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42.</w:t>
      </w:r>
      <w:r w:rsidRPr="00997873">
        <w:rPr>
          <w:kern w:val="2"/>
          <w14:ligatures w14:val="standardContextual"/>
        </w:rPr>
        <w:tab/>
        <w:t xml:space="preserve">norāda, ka 2023. gada beigās kopumā tika pienācīgi ievērots ģeogrāfiskais un dzimumu līdzsvars 238 darbinieku vidū (137 vīrieši un 101 sieviete); norāda, ka </w:t>
      </w:r>
      <w:r w:rsidRPr="00997873">
        <w:rPr>
          <w:i/>
          <w:kern w:val="2"/>
          <w14:ligatures w14:val="standardContextual"/>
        </w:rPr>
        <w:t>EPPO</w:t>
      </w:r>
      <w:r w:rsidRPr="00997873">
        <w:rPr>
          <w:kern w:val="2"/>
          <w14:ligatures w14:val="standardContextual"/>
        </w:rPr>
        <w:t xml:space="preserve"> personāla sadalījumu pēc valstspiederības pastāvīgi uzrauga tie, kas pieņem darbā jaunus darbiniekus, cenšoties nodrošināt līdzsvaru un jo īpaši ņemot vērā pieteikumu iesniedzēju nevienmērīgo sadalījumu, kā arī norāda, ka 26 dažādu valstspiederību darbinieku vidū visvairāk ir pārstāvēta Itālija (34), Rumānija (33), Grieķija (26) un Beļģija (24); mudina </w:t>
      </w:r>
      <w:r w:rsidRPr="00997873">
        <w:rPr>
          <w:i/>
          <w:iCs/>
          <w:kern w:val="2"/>
          <w14:ligatures w14:val="standardContextual"/>
        </w:rPr>
        <w:t>EPPO</w:t>
      </w:r>
      <w:r w:rsidRPr="00997873">
        <w:rPr>
          <w:kern w:val="2"/>
          <w14:ligatures w14:val="standardContextual"/>
        </w:rPr>
        <w:t xml:space="preserve"> pieņemt </w:t>
      </w:r>
      <w:proofErr w:type="spellStart"/>
      <w:r w:rsidRPr="00997873">
        <w:rPr>
          <w:kern w:val="2"/>
          <w14:ligatures w14:val="standardContextual"/>
        </w:rPr>
        <w:t>proaktīvus</w:t>
      </w:r>
      <w:proofErr w:type="spellEnd"/>
      <w:r w:rsidRPr="00997873">
        <w:rPr>
          <w:kern w:val="2"/>
          <w14:ligatures w14:val="standardContextual"/>
        </w:rPr>
        <w:t xml:space="preserve"> pasākumus, lai nodrošinātu dažādu </w:t>
      </w:r>
      <w:proofErr w:type="spellStart"/>
      <w:r w:rsidRPr="00997873">
        <w:rPr>
          <w:kern w:val="2"/>
          <w14:ligatures w14:val="standardContextual"/>
        </w:rPr>
        <w:t>valstspiederīgo</w:t>
      </w:r>
      <w:proofErr w:type="spellEnd"/>
      <w:r w:rsidRPr="00997873">
        <w:rPr>
          <w:kern w:val="2"/>
          <w14:ligatures w14:val="standardContextual"/>
        </w:rPr>
        <w:t xml:space="preserve"> līdzsvarotu pārstāvību personāla vidū, atspoguļojot iesaistīto dalībvalstu daudzveidību; pauž bažas par dzimumu sadalījumu augstākā līmeņa vadītāju amatos (četri vīrieši un viena sieviete) un aicina šo jautājumu risināt vispārējās daudzveidības stratēģijas ietvaros; aicina publicēt pēc dzimuma, valstspiederības un nodarbinātības kategorijas sadalītu gada ziņojumu, tostarp konkrētus pasākumus, kas paredzēti, lai novērstu nepilnības darbā pieņemšanas un karjeras izaugsmes jomā un uzraudzītu un novērstu nelīdzsvarotību;</w:t>
      </w:r>
    </w:p>
    <w:p w14:paraId="7FFEF06E" w14:textId="77777777" w:rsidR="00997873" w:rsidRPr="00997873" w:rsidRDefault="00997873" w:rsidP="00997873">
      <w:pPr>
        <w:spacing w:after="240"/>
        <w:ind w:left="567" w:hanging="567"/>
        <w:rPr>
          <w:color w:val="000000"/>
          <w:kern w:val="2"/>
          <w:szCs w:val="24"/>
          <w14:ligatures w14:val="standardContextual"/>
        </w:rPr>
      </w:pPr>
      <w:r w:rsidRPr="00997873">
        <w:rPr>
          <w:kern w:val="2"/>
          <w14:ligatures w14:val="standardContextual"/>
        </w:rPr>
        <w:t>43.</w:t>
      </w:r>
      <w:r w:rsidRPr="00997873">
        <w:rPr>
          <w:kern w:val="2"/>
          <w14:ligatures w14:val="standardContextual"/>
        </w:rPr>
        <w:tab/>
        <w:t xml:space="preserve">ņem vērā, ka lēmums īstenot Daudzveidības un </w:t>
      </w:r>
      <w:proofErr w:type="spellStart"/>
      <w:r w:rsidRPr="00997873">
        <w:rPr>
          <w:kern w:val="2"/>
          <w14:ligatures w14:val="standardContextual"/>
        </w:rPr>
        <w:t>iekļautības</w:t>
      </w:r>
      <w:proofErr w:type="spellEnd"/>
      <w:r w:rsidRPr="00997873">
        <w:rPr>
          <w:kern w:val="2"/>
          <w14:ligatures w14:val="standardContextual"/>
        </w:rPr>
        <w:t xml:space="preserve"> stratēģiju tika pieņemts 2023. gadā, izstrādājot stratēģiju, kas īstenojama 2024. gadā; </w:t>
      </w:r>
      <w:r w:rsidRPr="00997873">
        <w:rPr>
          <w:color w:val="000000"/>
          <w:kern w:val="2"/>
          <w14:ligatures w14:val="standardContextual"/>
        </w:rPr>
        <w:t xml:space="preserve">mudina </w:t>
      </w:r>
      <w:r w:rsidRPr="00997873">
        <w:rPr>
          <w:i/>
          <w:color w:val="000000"/>
          <w:kern w:val="2"/>
          <w14:ligatures w14:val="standardContextual"/>
        </w:rPr>
        <w:t>EPPO</w:t>
      </w:r>
      <w:r w:rsidRPr="00997873">
        <w:rPr>
          <w:color w:val="000000"/>
          <w:kern w:val="2"/>
          <w14:ligatures w14:val="standardContextual"/>
        </w:rPr>
        <w:t xml:space="preserve"> virzīties uz priekšu tās pieņemšanā un periodiski veikt savu darbinieku </w:t>
      </w:r>
      <w:proofErr w:type="spellStart"/>
      <w:r w:rsidRPr="00997873">
        <w:rPr>
          <w:color w:val="000000"/>
          <w:kern w:val="2"/>
          <w14:ligatures w14:val="standardContextual"/>
        </w:rPr>
        <w:t>apsekojumus</w:t>
      </w:r>
      <w:proofErr w:type="spellEnd"/>
      <w:r w:rsidRPr="00997873">
        <w:rPr>
          <w:color w:val="000000"/>
          <w:kern w:val="2"/>
          <w14:ligatures w14:val="standardContextual"/>
        </w:rPr>
        <w:t xml:space="preserve">, veicinot salīdzinošu izvērtēšanu ar citiem Savienības krāpšanas apkarošanas arhitektūras komponentiem, piemēram, </w:t>
      </w:r>
      <w:proofErr w:type="spellStart"/>
      <w:r w:rsidRPr="00997873">
        <w:rPr>
          <w:i/>
          <w:color w:val="000000"/>
          <w:kern w:val="2"/>
          <w14:ligatures w14:val="standardContextual"/>
        </w:rPr>
        <w:t>Eurojust</w:t>
      </w:r>
      <w:proofErr w:type="spellEnd"/>
      <w:r w:rsidRPr="00997873">
        <w:rPr>
          <w:color w:val="000000"/>
          <w:kern w:val="2"/>
          <w14:ligatures w14:val="standardContextual"/>
        </w:rPr>
        <w:t xml:space="preserve">, </w:t>
      </w:r>
      <w:r w:rsidRPr="00997873">
        <w:rPr>
          <w:i/>
          <w:color w:val="000000"/>
          <w:kern w:val="2"/>
          <w14:ligatures w14:val="standardContextual"/>
        </w:rPr>
        <w:t>OLAF</w:t>
      </w:r>
      <w:r w:rsidRPr="00997873">
        <w:rPr>
          <w:color w:val="000000"/>
          <w:kern w:val="2"/>
          <w14:ligatures w14:val="standardContextual"/>
        </w:rPr>
        <w:t xml:space="preserve"> un Eiropolu; apzinās, ka </w:t>
      </w:r>
      <w:r w:rsidRPr="00997873">
        <w:rPr>
          <w:i/>
          <w:color w:val="000000"/>
          <w:kern w:val="2"/>
          <w14:ligatures w14:val="standardContextual"/>
        </w:rPr>
        <w:t>EPPO</w:t>
      </w:r>
      <w:r w:rsidRPr="00997873">
        <w:rPr>
          <w:color w:val="000000"/>
          <w:kern w:val="2"/>
          <w14:ligatures w14:val="standardContextual"/>
        </w:rPr>
        <w:t xml:space="preserve"> daudzveidības un </w:t>
      </w:r>
      <w:proofErr w:type="spellStart"/>
      <w:r w:rsidRPr="00997873">
        <w:rPr>
          <w:color w:val="000000"/>
          <w:kern w:val="2"/>
          <w14:ligatures w14:val="standardContextual"/>
        </w:rPr>
        <w:t>iekļautības</w:t>
      </w:r>
      <w:proofErr w:type="spellEnd"/>
      <w:r w:rsidRPr="00997873">
        <w:rPr>
          <w:color w:val="000000"/>
          <w:kern w:val="2"/>
          <w14:ligatures w14:val="standardContextual"/>
        </w:rPr>
        <w:t xml:space="preserve"> politikas pamatā būs 2023. gada martā pieņemtā ES Aģentūru tīkla Harta par daudzveidību un </w:t>
      </w:r>
      <w:proofErr w:type="spellStart"/>
      <w:r w:rsidRPr="00997873">
        <w:rPr>
          <w:color w:val="000000"/>
          <w:kern w:val="2"/>
          <w14:ligatures w14:val="standardContextual"/>
        </w:rPr>
        <w:t>iekļautību</w:t>
      </w:r>
      <w:proofErr w:type="spellEnd"/>
      <w:r w:rsidRPr="00997873">
        <w:rPr>
          <w:color w:val="000000"/>
          <w:kern w:val="2"/>
          <w14:ligatures w14:val="standardContextual"/>
        </w:rPr>
        <w:t xml:space="preserve">, un uzskata, ka tā kopumā veicinās daudzveidību, lai darba vietu padarītu pievilcīgāku kandidātiem ar īpašām vajadzībām; atkārtoti prasa </w:t>
      </w:r>
      <w:r w:rsidRPr="00997873">
        <w:rPr>
          <w:i/>
          <w:color w:val="000000"/>
          <w:kern w:val="2"/>
          <w14:ligatures w14:val="standardContextual"/>
        </w:rPr>
        <w:t>EPPO</w:t>
      </w:r>
      <w:r w:rsidRPr="00997873">
        <w:rPr>
          <w:color w:val="000000"/>
          <w:kern w:val="2"/>
          <w14:ligatures w14:val="standardContextual"/>
        </w:rPr>
        <w:t xml:space="preserve"> nekavējoties pieņemt Hartu par daudzveidību un </w:t>
      </w:r>
      <w:proofErr w:type="spellStart"/>
      <w:r w:rsidRPr="00997873">
        <w:rPr>
          <w:color w:val="000000"/>
          <w:kern w:val="2"/>
          <w14:ligatures w14:val="standardContextual"/>
        </w:rPr>
        <w:t>iekļautību</w:t>
      </w:r>
      <w:proofErr w:type="spellEnd"/>
      <w:r w:rsidRPr="00997873">
        <w:rPr>
          <w:color w:val="000000"/>
          <w:kern w:val="2"/>
          <w14:ligatures w14:val="standardContextual"/>
        </w:rPr>
        <w:t>, ņemot vērā darbinieku skaita pieaugumu 2023. gadā;</w:t>
      </w:r>
    </w:p>
    <w:p w14:paraId="725AAA70" w14:textId="77777777" w:rsidR="00997873" w:rsidRPr="00997873" w:rsidRDefault="00997873" w:rsidP="00997873">
      <w:pPr>
        <w:spacing w:after="240"/>
        <w:ind w:left="567" w:hanging="567"/>
        <w:rPr>
          <w:bCs/>
          <w:kern w:val="2"/>
          <w:szCs w:val="24"/>
          <w14:ligatures w14:val="standardContextual"/>
        </w:rPr>
      </w:pPr>
      <w:r w:rsidRPr="00997873">
        <w:rPr>
          <w:color w:val="000000"/>
          <w:kern w:val="2"/>
          <w14:ligatures w14:val="standardContextual"/>
        </w:rPr>
        <w:t>44.</w:t>
      </w:r>
      <w:r w:rsidRPr="00997873">
        <w:rPr>
          <w:color w:val="000000"/>
          <w:kern w:val="2"/>
          <w14:ligatures w14:val="standardContextual"/>
        </w:rPr>
        <w:tab/>
      </w:r>
      <w:r w:rsidRPr="00997873">
        <w:rPr>
          <w:kern w:val="2"/>
          <w14:ligatures w14:val="standardContextual"/>
        </w:rPr>
        <w:t>atzīmē, ka, ieskaitot pagaidu darbiniekus, līgumdarbiniekus, norīkotos valstu ekspertus un EDP, 341 no 396 darbiniekiem (salīdzinājumā ar 275 no 332 darbiniekiem 2022. gadā) līdz 2023. gada beigām bija iesaistīti izmeklēšanas darbībās (tas ir 86,10 % salīdzinājumā ar 82,83 % 2022. gadā un 86 % 2021. gadā), savukārt 55 darbinieki (salīdzinājumā ar 57 darbiniekiem 2022. gadā) bija iesaistīti administratīvā atbalsta un kontroles funkciju nodrošināšanā;</w:t>
      </w:r>
    </w:p>
    <w:p w14:paraId="1B497BE8" w14:textId="77777777" w:rsidR="00997873" w:rsidRPr="00997873" w:rsidRDefault="00997873" w:rsidP="00997873">
      <w:pPr>
        <w:widowControl/>
        <w:autoSpaceDE w:val="0"/>
        <w:autoSpaceDN w:val="0"/>
        <w:adjustRightInd w:val="0"/>
        <w:spacing w:after="240"/>
        <w:ind w:left="567" w:hanging="567"/>
        <w:rPr>
          <w:kern w:val="2"/>
          <w14:ligatures w14:val="standardContextual"/>
        </w:rPr>
      </w:pPr>
      <w:r w:rsidRPr="00997873">
        <w:rPr>
          <w:kern w:val="2"/>
          <w14:ligatures w14:val="standardContextual"/>
        </w:rPr>
        <w:t>45.</w:t>
      </w:r>
      <w:r w:rsidRPr="00997873">
        <w:rPr>
          <w:kern w:val="2"/>
          <w14:ligatures w14:val="standardContextual"/>
        </w:rPr>
        <w:tab/>
        <w:t xml:space="preserve">atzinīgi vērtē to, ka 2023. gadā </w:t>
      </w:r>
      <w:r w:rsidRPr="00997873">
        <w:rPr>
          <w:i/>
          <w:iCs/>
          <w:kern w:val="2"/>
          <w14:ligatures w14:val="standardContextual"/>
        </w:rPr>
        <w:t>EPPO</w:t>
      </w:r>
      <w:r w:rsidRPr="00997873">
        <w:rPr>
          <w:kern w:val="2"/>
          <w14:ligatures w14:val="standardContextual"/>
        </w:rPr>
        <w:t xml:space="preserve"> iecelti 8 jauni Eiropas prokurori un 35 jauni EDP; atkārtoti norāda, ka savu uzdevumu </w:t>
      </w:r>
      <w:r w:rsidRPr="00997873">
        <w:rPr>
          <w:i/>
          <w:iCs/>
          <w:kern w:val="2"/>
          <w14:ligatures w14:val="standardContextual"/>
        </w:rPr>
        <w:t>EPPO</w:t>
      </w:r>
      <w:r w:rsidRPr="00997873">
        <w:rPr>
          <w:kern w:val="2"/>
          <w14:ligatures w14:val="standardContextual"/>
        </w:rPr>
        <w:t xml:space="preserve"> var pildīt tikai kā pilnīgi neatkarīga tiesu institūcija, pamatojoties uz nopelnos balstītu un objektīvu iecelšanas procedūru; šajā sakarībā mudina dalībvalstis veicināt pilnīgu </w:t>
      </w:r>
      <w:r w:rsidRPr="00997873">
        <w:rPr>
          <w:i/>
          <w:iCs/>
          <w:kern w:val="2"/>
          <w14:ligatures w14:val="standardContextual"/>
        </w:rPr>
        <w:t>EPPO</w:t>
      </w:r>
      <w:r w:rsidRPr="00997873">
        <w:rPr>
          <w:kern w:val="2"/>
          <w14:ligatures w14:val="standardContextual"/>
        </w:rPr>
        <w:t xml:space="preserve"> neatkarību;</w:t>
      </w:r>
    </w:p>
    <w:p w14:paraId="6D233870"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lastRenderedPageBreak/>
        <w:t>46.</w:t>
      </w:r>
      <w:r w:rsidRPr="00997873">
        <w:rPr>
          <w:kern w:val="2"/>
          <w14:ligatures w14:val="standardContextual"/>
        </w:rPr>
        <w:tab/>
        <w:t xml:space="preserve">uzsver, ka EDP iecelšana ir </w:t>
      </w:r>
      <w:r w:rsidRPr="00997873">
        <w:rPr>
          <w:i/>
          <w:iCs/>
          <w:kern w:val="2"/>
          <w14:ligatures w14:val="standardContextual"/>
        </w:rPr>
        <w:t>EPPO</w:t>
      </w:r>
      <w:r w:rsidRPr="00997873">
        <w:rPr>
          <w:kern w:val="2"/>
          <w14:ligatures w14:val="standardContextual"/>
        </w:rPr>
        <w:t xml:space="preserve"> un dalībvalstu kopīga atbildība; uzsver, ka iecelšanas procedūrai vienmēr ir jāatbilst Regulas (ES) 2017/1939 17. pantam un valstu procesuālās autonomijas principam;</w:t>
      </w:r>
    </w:p>
    <w:p w14:paraId="7B3913A0"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47.</w:t>
      </w:r>
      <w:r w:rsidRPr="00997873">
        <w:rPr>
          <w:kern w:val="2"/>
          <w14:ligatures w14:val="standardContextual"/>
        </w:rPr>
        <w:tab/>
        <w:t>uzsver, ka EDP ir nepieciešamas lielākas karjeras attīstības iespējas, lai piesaistītu un nezaudētu pieredzējušus speciālistus; aicina uzlabot nodarbinātības apstākļus, tostarp skaidru karjeras virzību un sociālā nodrošinājuma un pensiju sistēmu standartizāciju visās iesaistītajās dalībvalstīs, nodrošinot, ka valstu algu atšķirības neattur kvalificētus kandidātus no pieteikšanās;</w:t>
      </w:r>
    </w:p>
    <w:p w14:paraId="57B2D38A" w14:textId="77777777" w:rsidR="00997873" w:rsidRPr="00997873" w:rsidRDefault="00997873" w:rsidP="00997873">
      <w:pPr>
        <w:spacing w:after="240"/>
        <w:ind w:left="567" w:hanging="567"/>
        <w:rPr>
          <w:kern w:val="2"/>
          <w:szCs w:val="22"/>
          <w14:ligatures w14:val="standardContextual"/>
        </w:rPr>
      </w:pPr>
      <w:r w:rsidRPr="00997873">
        <w:rPr>
          <w:kern w:val="2"/>
          <w14:ligatures w14:val="standardContextual"/>
        </w:rPr>
        <w:t>48.</w:t>
      </w:r>
      <w:r w:rsidRPr="00997873">
        <w:rPr>
          <w:kern w:val="2"/>
          <w14:ligatures w14:val="standardContextual"/>
        </w:rPr>
        <w:tab/>
        <w:t xml:space="preserve">atzinīgi vērtē to, ka 2023. gada laikā un 2024. gada sākumā EDP skaits sasniedza sākotnēji paredzēto skaitu, proti, 140 EDP; atzinīgi vērtē lēmumu EDP atalgojumu pielāgot ES ierēdņu ar līdzvērtīgu atbildības līmeni atalgojumam, nevis 80 % no ES ierēdņu atalgojuma, kā bija sākotnēji paredzēts; uzskata, ka šis lēmums palielina EDP darba pievilcību, veicinot to, ka darbā tiek pieņemti </w:t>
      </w:r>
      <w:proofErr w:type="spellStart"/>
      <w:r w:rsidRPr="00997873">
        <w:rPr>
          <w:kern w:val="2"/>
          <w14:ligatures w14:val="standardContextual"/>
        </w:rPr>
        <w:t>pieredzējušāki</w:t>
      </w:r>
      <w:proofErr w:type="spellEnd"/>
      <w:r w:rsidRPr="00997873">
        <w:rPr>
          <w:kern w:val="2"/>
          <w14:ligatures w14:val="standardContextual"/>
        </w:rPr>
        <w:t xml:space="preserve"> valstu prokurori, kuriem valsts maksātā alga ir lielāka par </w:t>
      </w:r>
      <w:r w:rsidRPr="00997873">
        <w:rPr>
          <w:i/>
          <w:iCs/>
          <w:kern w:val="2"/>
          <w14:ligatures w14:val="standardContextual"/>
        </w:rPr>
        <w:t>EPPO</w:t>
      </w:r>
      <w:r w:rsidRPr="00997873">
        <w:rPr>
          <w:kern w:val="2"/>
          <w14:ligatures w14:val="standardContextual"/>
        </w:rPr>
        <w:t xml:space="preserve"> piedāvāto atalgojumu, un vienlaikus mazina </w:t>
      </w:r>
      <w:r w:rsidRPr="00997873">
        <w:rPr>
          <w:i/>
          <w:iCs/>
          <w:kern w:val="2"/>
          <w14:ligatures w14:val="standardContextual"/>
        </w:rPr>
        <w:t>EPPO</w:t>
      </w:r>
      <w:r w:rsidRPr="00997873">
        <w:rPr>
          <w:kern w:val="2"/>
          <w14:ligatures w14:val="standardContextual"/>
        </w:rPr>
        <w:t xml:space="preserve"> administratīvo slogu saistībā ar EDP nodarbinātības noteikumu 16. panta 1. punkta īstenošanu, kas paredz, ka, ja kopējais neto atalgojums ir zemāks par valsts maksāto algu, tiek piešķirta piemaksa, lai nodrošinātu atalgojuma atbilstību iepriekšējam līmenim;</w:t>
      </w:r>
    </w:p>
    <w:p w14:paraId="026A3D10"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49.</w:t>
      </w:r>
      <w:r w:rsidRPr="00997873">
        <w:rPr>
          <w:kern w:val="2"/>
          <w14:ligatures w14:val="standardContextual"/>
        </w:rPr>
        <w:tab/>
        <w:t xml:space="preserve">uzsver, ka </w:t>
      </w:r>
      <w:r w:rsidRPr="00997873">
        <w:rPr>
          <w:i/>
          <w:iCs/>
          <w:kern w:val="2"/>
          <w14:ligatures w14:val="standardContextual"/>
        </w:rPr>
        <w:t>EPPO</w:t>
      </w:r>
      <w:r w:rsidRPr="00997873">
        <w:rPr>
          <w:kern w:val="2"/>
          <w14:ligatures w14:val="standardContextual"/>
        </w:rPr>
        <w:t xml:space="preserve"> patstāvīgi nepārvalda Eiropas prokuroru un EDP atlases procesu, jo Eiropas prokurora amata kandidātus izvirza dalībvalstis un pēc tam tos amatā ieceļ Eiropadome, savukārt EDP izvirza dalībvalstis un amatā ieceļ Kolēģija; uzskata, ka varētu veicināt kvalificētu kandidātu pieteikšanos EDP vietām un ka iecelšanas process varētu būt selektīvāks, pieņemot skaidru karjeras perspektīvu un labvēlīgāku administratīvo disciplīnu sociālā nodrošinājuma un veselības apdrošināšanas jomā; atkārtoti norāda, ka īpaša statusa noteikšana EDP atbilstu to tiesu sistēmas funkcijām un veicinātu šo amata vietu pievilcību; aicina Komisiju ierosināt atbilstīgus risinājumus, ja tiek grozīta Regula (ES) 2017/1939;</w:t>
      </w:r>
    </w:p>
    <w:p w14:paraId="40B53FD1"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50.</w:t>
      </w:r>
      <w:r w:rsidRPr="00997873">
        <w:rPr>
          <w:kern w:val="2"/>
          <w14:ligatures w14:val="standardContextual"/>
        </w:rPr>
        <w:tab/>
        <w:t>apzinās, ka katrai dalībvalstij ir pienākums (saskaņā ar Regulas (ES) 2017/1939 96. panta 6. punktu) ieviest normatīvus vai administratīvus pasākumus, lai saglabātu EDP piederību un tiesības, tai skaitā jebkādas iemaksas attiecīgajās valsts sociālā nodrošinājuma, pensiju un apdrošināšanas shēmās, taču vairākas dalībvalstis šo pienākumu vēl nav pilnībā izpildījušas; tāpēc aicina Komisiju, pārskatot Regulu (ES) 2017/1939, ierosināt efektīvu risinājumu attiecībā uz EDP sociālā nodrošinājuma un veselības apdrošināšanas seguma atšķirībām;</w:t>
      </w:r>
    </w:p>
    <w:p w14:paraId="045E06D4"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51.</w:t>
      </w:r>
      <w:r w:rsidRPr="00997873">
        <w:rPr>
          <w:kern w:val="2"/>
          <w14:ligatures w14:val="standardContextual"/>
        </w:rPr>
        <w:tab/>
        <w:t xml:space="preserve">norāda, ka līdz 2023. gadam Tiesā tika iesniegtas 5 sūdzības lietas par EDP iecelšanu un no tām 3 tika slēgtas (noraidītas vai atsauktas) un 1 tika noraidīta, taču patlaban Tiesā tiek izskatīta apelācijas sūdzība, un 2024. gada jūlijā tika pieņemta pēdējā prasība atcelt Kolēģijas lēmumu par dalībvalsts izvirzītas kandidatūras noraidīšanu, atsaucoties uz pietiekama pamatojuma trūkumu Kolēģijas lēmumā, un patlaban tiek vērtēts, kā atcelšana tiks īstenota; konstatē, ka Vispārējā tiesā nav iesniegtas jaunas sūdzības par kandidātu iecelšanu </w:t>
      </w:r>
      <w:r w:rsidRPr="00997873">
        <w:rPr>
          <w:i/>
          <w:kern w:val="2"/>
          <w14:ligatures w14:val="standardContextual"/>
        </w:rPr>
        <w:t>EPPO</w:t>
      </w:r>
      <w:r w:rsidRPr="00997873">
        <w:rPr>
          <w:kern w:val="2"/>
          <w14:ligatures w14:val="standardContextual"/>
        </w:rPr>
        <w:t xml:space="preserve"> amatos;</w:t>
      </w:r>
    </w:p>
    <w:p w14:paraId="2638AB97"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52.</w:t>
      </w:r>
      <w:r w:rsidRPr="00997873">
        <w:rPr>
          <w:kern w:val="2"/>
          <w14:ligatures w14:val="standardContextual"/>
        </w:rPr>
        <w:tab/>
        <w:t xml:space="preserve">norāda, ka 2023. gadā tika uzsākta </w:t>
      </w:r>
      <w:r w:rsidRPr="00997873">
        <w:rPr>
          <w:i/>
          <w:iCs/>
          <w:kern w:val="2"/>
          <w14:ligatures w14:val="standardContextual"/>
        </w:rPr>
        <w:t>EPPO</w:t>
      </w:r>
      <w:r w:rsidRPr="00997873">
        <w:rPr>
          <w:kern w:val="2"/>
          <w14:ligatures w14:val="standardContextual"/>
        </w:rPr>
        <w:t xml:space="preserve"> mācību un attīstības stratēģijas īstenošana, kuras mērķis ir veicināt nepārtrauktas mācīšanās kultūru un sekmēt personāla mainīgo mācību vajadzību nepārtrauktu novērtēšanu un pielāgošanu, kā arī veikt mācību vajadzību izmēģinājuma novērtējumu;</w:t>
      </w:r>
    </w:p>
    <w:p w14:paraId="671B78A6"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lastRenderedPageBreak/>
        <w:t>53.</w:t>
      </w:r>
      <w:r w:rsidRPr="00997873">
        <w:rPr>
          <w:kern w:val="2"/>
          <w14:ligatures w14:val="standardContextual"/>
        </w:rPr>
        <w:tab/>
        <w:t xml:space="preserve">norāda, ka attiecībā uz pasākumiem un politikas pasākumiem darbinieku fiziskās un garīgās </w:t>
      </w:r>
      <w:proofErr w:type="spellStart"/>
      <w:r w:rsidRPr="00997873">
        <w:rPr>
          <w:kern w:val="2"/>
          <w14:ligatures w14:val="standardContextual"/>
        </w:rPr>
        <w:t>labbūtības</w:t>
      </w:r>
      <w:proofErr w:type="spellEnd"/>
      <w:r w:rsidRPr="00997873">
        <w:rPr>
          <w:kern w:val="2"/>
          <w14:ligatures w14:val="standardContextual"/>
        </w:rPr>
        <w:t xml:space="preserve"> aizsardzībai 2023. gadā visi pasākumi tika pārskatīti un par tiem notika apspriedes ar visām iesaistītajām ieinteresētajām personām (personāla komiteju, darbiniekiem un vadību), lai rastu līdzsvaru starp vēlmēm un reālo situāciju </w:t>
      </w:r>
      <w:r w:rsidRPr="00997873">
        <w:rPr>
          <w:i/>
          <w:iCs/>
          <w:kern w:val="2"/>
          <w14:ligatures w14:val="standardContextual"/>
        </w:rPr>
        <w:t>EPPO</w:t>
      </w:r>
      <w:r w:rsidRPr="00997873">
        <w:rPr>
          <w:kern w:val="2"/>
          <w14:ligatures w14:val="standardContextual"/>
        </w:rPr>
        <w:t xml:space="preserve">, kas ir augoša un strauji mainīga organizācija; konstatē, ka </w:t>
      </w:r>
      <w:r w:rsidRPr="00997873">
        <w:rPr>
          <w:i/>
          <w:iCs/>
          <w:kern w:val="2"/>
          <w14:ligatures w14:val="standardContextual"/>
        </w:rPr>
        <w:t>EPPO</w:t>
      </w:r>
      <w:r w:rsidRPr="00997873">
        <w:rPr>
          <w:kern w:val="2"/>
          <w14:ligatures w14:val="standardContextual"/>
        </w:rPr>
        <w:t xml:space="preserve"> izmanto elastīga darba laika shēmu un standarta shēmu “darbs no mājām”, kas paredz vismaz vienu tāldarba dienu nedēļā, bet ne vairāk kā trīs dienas nedēļā, kā arī tiek pieļauts lielāks tāldarba dienu skaits, ņemot vērā nopietnus ar veselību vai ģimeni saistītus ierobežojumus; norāda, ka pašreizējā sistēma ietver arī 10 dienu darbu ārpus darba vietas attiecīgajā gadā, kas jāizmanto bez saistības ar citām atvaļinājuma dienām; uzskata, ka </w:t>
      </w:r>
      <w:r w:rsidRPr="00997873">
        <w:rPr>
          <w:i/>
          <w:kern w:val="2"/>
          <w14:ligatures w14:val="standardContextual"/>
        </w:rPr>
        <w:t>EPPO</w:t>
      </w:r>
      <w:r w:rsidRPr="00997873">
        <w:rPr>
          <w:kern w:val="2"/>
          <w14:ligatures w14:val="standardContextual"/>
        </w:rPr>
        <w:t xml:space="preserve"> pašreizējie darba apstākļi ļauj darbiniekiem izmantot digitālo risinājumu priekšrocības, integrējot labu autonomijas līmeni darba modeļu pārvaldībā, atvieglojot privātās un darba dzīves saskaņošanu, uzlabojot komandas noskaņojumu un veicinot komandas garu; atzinīgi vērtē to, ka </w:t>
      </w:r>
      <w:proofErr w:type="spellStart"/>
      <w:r w:rsidRPr="00997873">
        <w:rPr>
          <w:kern w:val="2"/>
          <w14:ligatures w14:val="standardContextual"/>
        </w:rPr>
        <w:t>labbūtības</w:t>
      </w:r>
      <w:proofErr w:type="spellEnd"/>
      <w:r w:rsidRPr="00997873">
        <w:rPr>
          <w:kern w:val="2"/>
          <w14:ligatures w14:val="standardContextual"/>
        </w:rPr>
        <w:t xml:space="preserve"> politika tiek pastāvīgi pilnveidota un ka tajā tiks iekļauta iedaļa par to darbinieku </w:t>
      </w:r>
      <w:proofErr w:type="spellStart"/>
      <w:r w:rsidRPr="00997873">
        <w:rPr>
          <w:kern w:val="2"/>
          <w14:ligatures w14:val="standardContextual"/>
        </w:rPr>
        <w:t>labbūtību</w:t>
      </w:r>
      <w:proofErr w:type="spellEnd"/>
      <w:r w:rsidRPr="00997873">
        <w:rPr>
          <w:kern w:val="2"/>
          <w14:ligatures w14:val="standardContextual"/>
        </w:rPr>
        <w:t>, kuri izmanto tāldarbu;</w:t>
      </w:r>
    </w:p>
    <w:p w14:paraId="23F06C5F"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54.</w:t>
      </w:r>
      <w:r w:rsidRPr="00997873">
        <w:rPr>
          <w:kern w:val="2"/>
          <w14:ligatures w14:val="standardContextual"/>
        </w:rPr>
        <w:tab/>
        <w:t xml:space="preserve">uzsver, ka saskaņā ar Parlamenta ieteikumu 2023. gada otrajā pusgadā notika atklātas apspriedes par elastīgu darba režīmu, kā arī tika veikta 2021. un 2022. gadā pieņemto lēmumu </w:t>
      </w:r>
      <w:proofErr w:type="spellStart"/>
      <w:r w:rsidRPr="00997873">
        <w:rPr>
          <w:i/>
          <w:iCs/>
          <w:kern w:val="2"/>
          <w14:ligatures w14:val="standardContextual"/>
        </w:rPr>
        <w:t>ex</w:t>
      </w:r>
      <w:proofErr w:type="spellEnd"/>
      <w:r w:rsidRPr="00997873">
        <w:rPr>
          <w:i/>
          <w:iCs/>
          <w:kern w:val="2"/>
          <w14:ligatures w14:val="standardContextual"/>
        </w:rPr>
        <w:t> post</w:t>
      </w:r>
      <w:r w:rsidRPr="00997873">
        <w:rPr>
          <w:kern w:val="2"/>
          <w14:ligatures w14:val="standardContextual"/>
        </w:rPr>
        <w:t xml:space="preserve"> pārskatīšana; atzīmē, ka, ņemot vērā visu ieinteresēto personu ieguldījumu, administratīvais direktors 2023. gada decembrī iekļāva atjauninājumus noteikumos; norāda, ka izmaiņas ietvēra jēdziena “tāldarba vieta” paplašināšanu (</w:t>
      </w:r>
      <w:r w:rsidRPr="00997873">
        <w:rPr>
          <w:color w:val="000000"/>
          <w:kern w:val="2"/>
          <w14:ligatures w14:val="standardContextual"/>
        </w:rPr>
        <w:t xml:space="preserve">2–2,5 stundu brauciena attālumā no </w:t>
      </w:r>
      <w:r w:rsidRPr="00997873">
        <w:rPr>
          <w:i/>
          <w:color w:val="000000"/>
          <w:kern w:val="2"/>
          <w14:ligatures w14:val="standardContextual"/>
        </w:rPr>
        <w:t>EPPO</w:t>
      </w:r>
      <w:r w:rsidRPr="00997873">
        <w:rPr>
          <w:color w:val="000000"/>
          <w:kern w:val="2"/>
          <w14:ligatures w14:val="standardContextual"/>
        </w:rPr>
        <w:t xml:space="preserve"> galvenā biroja), kā arī tika ieviests darba </w:t>
      </w:r>
      <w:proofErr w:type="spellStart"/>
      <w:r w:rsidRPr="00997873">
        <w:rPr>
          <w:color w:val="000000"/>
          <w:kern w:val="2"/>
          <w14:ligatures w14:val="standardContextual"/>
        </w:rPr>
        <w:t>hibrīdmodelis</w:t>
      </w:r>
      <w:proofErr w:type="spellEnd"/>
      <w:r w:rsidRPr="00997873">
        <w:rPr>
          <w:color w:val="000000"/>
          <w:kern w:val="2"/>
          <w14:ligatures w14:val="standardContextual"/>
        </w:rPr>
        <w:t xml:space="preserve"> aģentūras pagaidu darbiniekiem; </w:t>
      </w:r>
      <w:r w:rsidRPr="00997873">
        <w:rPr>
          <w:kern w:val="2"/>
          <w14:ligatures w14:val="standardContextual"/>
        </w:rPr>
        <w:t>norāda, ka ar Kolēģijas lēmumiem citas izmaiņas netika pieņemtas, ņemot vērā to, ka administratīvā direktora lēmumos jau bija ņemti vērā apspriežu ar darbiniekiem laikā izdarītie secinājumi;</w:t>
      </w:r>
    </w:p>
    <w:p w14:paraId="597A39D9" w14:textId="77777777" w:rsidR="00997873" w:rsidRPr="00997873" w:rsidRDefault="00997873" w:rsidP="00997873">
      <w:pPr>
        <w:spacing w:after="240"/>
        <w:ind w:left="567" w:hanging="567"/>
        <w:rPr>
          <w:kern w:val="2"/>
          <w:szCs w:val="24"/>
          <w14:ligatures w14:val="standardContextual"/>
        </w:rPr>
      </w:pPr>
      <w:bookmarkStart w:id="8" w:name="_heading=h.3znysh7"/>
      <w:bookmarkEnd w:id="8"/>
      <w:r w:rsidRPr="00997873">
        <w:rPr>
          <w:kern w:val="2"/>
          <w14:ligatures w14:val="standardContextual"/>
        </w:rPr>
        <w:t>55.</w:t>
      </w:r>
      <w:r w:rsidRPr="00997873">
        <w:rPr>
          <w:kern w:val="2"/>
          <w14:ligatures w14:val="standardContextual"/>
        </w:rPr>
        <w:tab/>
        <w:t xml:space="preserve">norāda, ka, ņemot vērā Parlamenta aicinājumus, 2025. gada pirmajā ceturksnī ir paredzēts personāla apmierinātības (iesaistes) </w:t>
      </w:r>
      <w:proofErr w:type="spellStart"/>
      <w:r w:rsidRPr="00997873">
        <w:rPr>
          <w:kern w:val="2"/>
          <w14:ligatures w14:val="standardContextual"/>
        </w:rPr>
        <w:t>apsekojums</w:t>
      </w:r>
      <w:proofErr w:type="spellEnd"/>
      <w:r w:rsidRPr="00997873">
        <w:rPr>
          <w:kern w:val="2"/>
          <w14:ligatures w14:val="standardContextual"/>
        </w:rPr>
        <w:t xml:space="preserve">; ņem vērā, ka </w:t>
      </w:r>
      <w:r w:rsidRPr="00997873">
        <w:rPr>
          <w:i/>
          <w:kern w:val="2"/>
          <w14:ligatures w14:val="standardContextual"/>
        </w:rPr>
        <w:t>EPPO</w:t>
      </w:r>
      <w:r w:rsidRPr="00997873">
        <w:rPr>
          <w:kern w:val="2"/>
          <w14:ligatures w14:val="standardContextual"/>
        </w:rPr>
        <w:t xml:space="preserve"> personāla komiteja ir veikusi arī </w:t>
      </w:r>
      <w:proofErr w:type="spellStart"/>
      <w:r w:rsidRPr="00997873">
        <w:rPr>
          <w:kern w:val="2"/>
          <w14:ligatures w14:val="standardContextual"/>
        </w:rPr>
        <w:t>apsekojumu</w:t>
      </w:r>
      <w:proofErr w:type="spellEnd"/>
      <w:r w:rsidRPr="00997873">
        <w:rPr>
          <w:kern w:val="2"/>
          <w14:ligatures w14:val="standardContextual"/>
        </w:rPr>
        <w:t xml:space="preserve"> par personāla prioritātēm, un aicina veidot intensīvāku dialogu, lai uzlabotu darba un dzīves apstākļus;</w:t>
      </w:r>
    </w:p>
    <w:p w14:paraId="410A22A8"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56.</w:t>
      </w:r>
      <w:r w:rsidRPr="00997873">
        <w:rPr>
          <w:kern w:val="2"/>
          <w14:ligatures w14:val="standardContextual"/>
        </w:rPr>
        <w:tab/>
        <w:t xml:space="preserve">atzinīgi vērtē to, ka nav ziņots par izdegšanas vai aizskarošas izturēšanās gadījumiem un ka ilgstošu slimības atvaļinājumu skaits ir ļoti mazs; atzinīgi vērtē </w:t>
      </w:r>
      <w:r w:rsidRPr="00997873">
        <w:rPr>
          <w:i/>
          <w:iCs/>
          <w:kern w:val="2"/>
          <w14:ligatures w14:val="standardContextual"/>
        </w:rPr>
        <w:t>EPPO</w:t>
      </w:r>
      <w:r w:rsidRPr="00997873">
        <w:rPr>
          <w:kern w:val="2"/>
          <w14:ligatures w14:val="standardContextual"/>
        </w:rPr>
        <w:t xml:space="preserve"> izpratni par tās pienākumu nodrošināt darbinieku veselības un </w:t>
      </w:r>
      <w:proofErr w:type="spellStart"/>
      <w:r w:rsidRPr="00997873">
        <w:rPr>
          <w:kern w:val="2"/>
          <w14:ligatures w14:val="standardContextual"/>
        </w:rPr>
        <w:t>labbūtības</w:t>
      </w:r>
      <w:proofErr w:type="spellEnd"/>
      <w:r w:rsidRPr="00997873">
        <w:rPr>
          <w:kern w:val="2"/>
          <w14:ligatures w14:val="standardContextual"/>
        </w:rPr>
        <w:t xml:space="preserve"> veicināšanu un saglabāšanu, kā arī uzraudzības praksi, lai gūtu šādu izpratni, ņemot vērā neizmantoto ikgadējo atvaļinājumu, ikgadējā atvaļinājuma pārnešanu un prombūtnes laiku, kā arī tādu darbinieku skaitu, kas izmanto ilgāku slimības atvaļinājumu un prombūtnes ilgumu; atgādina, ka ir būtiski pieņemt skaidru un strukturētu procedūru, lai Eiropas galvenais prokurors un Eiropas prokurori varētu ziņot par aizskarošas izturēšanās gadījumiem un tos izpaust visiem darbiniekiem;</w:t>
      </w:r>
    </w:p>
    <w:p w14:paraId="3CE0654B"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57.</w:t>
      </w:r>
      <w:r w:rsidRPr="00997873">
        <w:rPr>
          <w:kern w:val="2"/>
          <w14:ligatures w14:val="standardContextual"/>
        </w:rPr>
        <w:tab/>
        <w:t xml:space="preserve">konstatē, ka 2023. gada sākumā </w:t>
      </w:r>
      <w:r w:rsidRPr="00997873">
        <w:rPr>
          <w:i/>
          <w:iCs/>
          <w:kern w:val="2"/>
          <w14:ligatures w14:val="standardContextual"/>
        </w:rPr>
        <w:t>EPPO</w:t>
      </w:r>
      <w:r w:rsidRPr="00997873">
        <w:rPr>
          <w:kern w:val="2"/>
          <w14:ligatures w14:val="standardContextual"/>
        </w:rPr>
        <w:t xml:space="preserve"> centrālais birojs īstenoja stažēšanās izmēģinājuma projektu un </w:t>
      </w:r>
      <w:r w:rsidRPr="00997873">
        <w:rPr>
          <w:i/>
          <w:iCs/>
          <w:kern w:val="2"/>
          <w14:ligatures w14:val="standardContextual"/>
        </w:rPr>
        <w:t>EPPO</w:t>
      </w:r>
      <w:r w:rsidRPr="00997873">
        <w:rPr>
          <w:kern w:val="2"/>
          <w14:ligatures w14:val="standardContextual"/>
        </w:rPr>
        <w:t xml:space="preserve"> juridisko pakalpojumu struktūrvienība uzņēma divus stažierus un pēc tam vēl divus 2023. gada martā un septembrī dalībai atalgotā piecus mēnešus ilgā klātienes praksē; norāda, ka, pamatojoties uz pozitīvajiem secinājumiem par izmēģinājuma projektu, 2024. gadā tika izstrādāta un apstiprināta stažēšanās politika, kam tajā pašā gadā sekoja pirmais piemērotu praktikantu uzņemšanas cikls; atzinīgi vērtē iniciatīvu uzsākt eksperimentālu attiecību veidošanu ar vietējo universitāti un – sekmīga rezultāta gadījumā – prasa to paplašināt, iesaistot vēl vairāk universitāšu visā ES, kas varētu piedāvāt interesantas iespējas, lai turpinātu attīstīt jauno talantu programmas daudzveidībai; uzsver, ka dzīves dārdzība Luksemburgā rada būtisku </w:t>
      </w:r>
      <w:r w:rsidRPr="00997873">
        <w:rPr>
          <w:kern w:val="2"/>
          <w14:ligatures w14:val="standardContextual"/>
        </w:rPr>
        <w:lastRenderedPageBreak/>
        <w:t>šķērsli potenciālajiem praktikantiem; uzsver, ka prakse būtu jāatalgo atbilstoši Eiropas Parlamenta 2023. gada 14. jūnija rezolūcijai ar ieteikumiem Komisijai par kvalitatīvu stažēšanos Eiropas Savienībā (2020/2005(INL)), kurā prasīts atalgot jebkādu Savienībā izietu praksi;</w:t>
      </w:r>
    </w:p>
    <w:p w14:paraId="079AB50F" w14:textId="77777777" w:rsidR="00997873" w:rsidRPr="00997873" w:rsidRDefault="00997873" w:rsidP="00997873">
      <w:pPr>
        <w:spacing w:after="240"/>
        <w:ind w:left="567" w:hanging="567"/>
        <w:rPr>
          <w:bCs/>
          <w:kern w:val="2"/>
          <w:szCs w:val="24"/>
          <w14:ligatures w14:val="standardContextual"/>
        </w:rPr>
      </w:pPr>
      <w:r w:rsidRPr="00997873">
        <w:rPr>
          <w:kern w:val="2"/>
          <w14:ligatures w14:val="standardContextual"/>
        </w:rPr>
        <w:t>58.</w:t>
      </w:r>
      <w:r w:rsidRPr="00997873">
        <w:rPr>
          <w:kern w:val="2"/>
          <w14:ligatures w14:val="standardContextual"/>
        </w:rPr>
        <w:tab/>
        <w:t xml:space="preserve">atzinīgi vērtē personāla komitejas intensīvo darbību, tās iekšējā reglamenta galīgu pieņemšanu, pirmās personāla komitejas atvērto durvju dienas rīkošanu, pirmās </w:t>
      </w:r>
      <w:r w:rsidRPr="00997873">
        <w:rPr>
          <w:i/>
          <w:kern w:val="2"/>
          <w14:ligatures w14:val="standardContextual"/>
        </w:rPr>
        <w:t>EPPO</w:t>
      </w:r>
      <w:r w:rsidRPr="00997873">
        <w:rPr>
          <w:kern w:val="2"/>
          <w14:ligatures w14:val="standardContextual"/>
        </w:rPr>
        <w:t xml:space="preserve"> mēroga personāla aptaujas uzsākšanu, komitejas pārstāvju dalību atlases procedūrās, visu </w:t>
      </w:r>
      <w:r w:rsidRPr="00997873">
        <w:rPr>
          <w:i/>
          <w:kern w:val="2"/>
          <w14:ligatures w14:val="standardContextual"/>
        </w:rPr>
        <w:t>EPPO</w:t>
      </w:r>
      <w:r w:rsidRPr="00997873">
        <w:rPr>
          <w:kern w:val="2"/>
          <w14:ligatures w14:val="standardContextual"/>
        </w:rPr>
        <w:t xml:space="preserve"> pirms personāla komitejas izveides pieņemto vispārīgo īstenošanas noteikumu pārskatīšanu ar atpakaļejošu spēku un informācijas par iekšējo reorganizāciju, darba laiku, </w:t>
      </w:r>
      <w:proofErr w:type="spellStart"/>
      <w:r w:rsidRPr="00997873">
        <w:rPr>
          <w:kern w:val="2"/>
          <w14:ligatures w14:val="standardContextual"/>
        </w:rPr>
        <w:t>hibrīddarbu</w:t>
      </w:r>
      <w:proofErr w:type="spellEnd"/>
      <w:r w:rsidRPr="00997873">
        <w:rPr>
          <w:kern w:val="2"/>
          <w14:ligatures w14:val="standardContextual"/>
        </w:rPr>
        <w:t>, īstenošanas noteikumiem un darba apstākļu uzlabošanu iesniegšanu;</w:t>
      </w:r>
    </w:p>
    <w:p w14:paraId="5520A683"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59.</w:t>
      </w:r>
      <w:r w:rsidRPr="00997873">
        <w:rPr>
          <w:kern w:val="2"/>
          <w14:ligatures w14:val="standardContextual"/>
        </w:rPr>
        <w:tab/>
        <w:t xml:space="preserve">apzinās, ka </w:t>
      </w:r>
      <w:r w:rsidRPr="00997873">
        <w:rPr>
          <w:i/>
          <w:iCs/>
          <w:kern w:val="2"/>
          <w14:ligatures w14:val="standardContextual"/>
        </w:rPr>
        <w:t>EPPO</w:t>
      </w:r>
      <w:r w:rsidRPr="00997873">
        <w:rPr>
          <w:kern w:val="2"/>
          <w14:ligatures w14:val="standardContextual"/>
        </w:rPr>
        <w:t xml:space="preserve"> virzās uz to, lai pabeigtu darbības nepārtrauktības plānu, kas ir iekļauts Savienības administrācijas pārvaldības standartos, un mudina </w:t>
      </w:r>
      <w:r w:rsidRPr="00997873">
        <w:rPr>
          <w:i/>
          <w:iCs/>
          <w:kern w:val="2"/>
          <w14:ligatures w14:val="standardContextual"/>
        </w:rPr>
        <w:t>EPPO</w:t>
      </w:r>
      <w:r w:rsidRPr="00997873">
        <w:rPr>
          <w:kern w:val="2"/>
          <w14:ligatures w14:val="standardContextual"/>
        </w:rPr>
        <w:t xml:space="preserve"> to pieņemt bez turpmākas kavēšanās;</w:t>
      </w:r>
    </w:p>
    <w:p w14:paraId="60A0D3EB" w14:textId="77777777" w:rsidR="00997873" w:rsidRPr="00997873" w:rsidRDefault="00997873" w:rsidP="00997873">
      <w:pPr>
        <w:spacing w:after="240"/>
        <w:ind w:left="567" w:hanging="567"/>
        <w:rPr>
          <w:b/>
          <w:i/>
          <w:kern w:val="2"/>
          <w:szCs w:val="24"/>
          <w14:ligatures w14:val="standardContextual"/>
        </w:rPr>
      </w:pPr>
      <w:r w:rsidRPr="00997873">
        <w:rPr>
          <w:b/>
          <w:i/>
          <w:kern w:val="2"/>
          <w14:ligatures w14:val="standardContextual"/>
        </w:rPr>
        <w:t xml:space="preserve">Ētikas regulējums un </w:t>
      </w:r>
      <w:proofErr w:type="spellStart"/>
      <w:r w:rsidRPr="00997873">
        <w:rPr>
          <w:b/>
          <w:i/>
          <w:kern w:val="2"/>
          <w14:ligatures w14:val="standardContextual"/>
        </w:rPr>
        <w:t>pārredzamība</w:t>
      </w:r>
      <w:proofErr w:type="spellEnd"/>
    </w:p>
    <w:p w14:paraId="14EEC088"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60.</w:t>
      </w:r>
      <w:r w:rsidRPr="00997873">
        <w:rPr>
          <w:kern w:val="2"/>
          <w14:ligatures w14:val="standardContextual"/>
        </w:rPr>
        <w:tab/>
        <w:t xml:space="preserve">apzinās, ka </w:t>
      </w:r>
      <w:r w:rsidRPr="00997873">
        <w:rPr>
          <w:i/>
          <w:kern w:val="2"/>
          <w14:ligatures w14:val="standardContextual"/>
        </w:rPr>
        <w:t>EPPO</w:t>
      </w:r>
      <w:r w:rsidRPr="00997873">
        <w:rPr>
          <w:kern w:val="2"/>
          <w14:ligatures w14:val="standardContextual"/>
        </w:rPr>
        <w:t xml:space="preserve"> ētikas satvars tiek veidots pakāpeniski; norāda, ka šī ētikas satvara pamatvērtības ir skaidri izklāstītas rīcības kodeksos, kuros noteikti rīcības standarti, ko sagaida no visu līmeņu darbiniekiem; norāda arī, ka ētikas satvars ir atkarīgs no </w:t>
      </w:r>
      <w:r w:rsidRPr="00997873">
        <w:rPr>
          <w:i/>
          <w:kern w:val="2"/>
          <w14:ligatures w14:val="standardContextual"/>
        </w:rPr>
        <w:t>EPPO</w:t>
      </w:r>
      <w:r w:rsidRPr="00997873">
        <w:rPr>
          <w:kern w:val="2"/>
          <w14:ligatures w14:val="standardContextual"/>
        </w:rPr>
        <w:t xml:space="preserve"> labas administratīvās prakses kodeksa, krāpšanas apkarošanas stratēģijas un mācību programmas ētikas jomā, kas aptver aizskaršanu, trauksmes celšanu, interešu konfliktu novēršanu un citus ētikas jautājumus; pauž nožēlu par to, ka </w:t>
      </w:r>
      <w:r w:rsidRPr="00997873">
        <w:rPr>
          <w:i/>
          <w:iCs/>
          <w:kern w:val="2"/>
          <w14:ligatures w14:val="standardContextual"/>
        </w:rPr>
        <w:t>EPPO</w:t>
      </w:r>
      <w:r w:rsidRPr="00997873">
        <w:rPr>
          <w:kern w:val="2"/>
          <w14:ligatures w14:val="standardContextual"/>
        </w:rPr>
        <w:t xml:space="preserve"> darbiniekiem nav pienākuma apmeklēt šo mācību programmu, kas nodrošinātu konsekventu izpratni par </w:t>
      </w:r>
      <w:r w:rsidRPr="00997873">
        <w:rPr>
          <w:i/>
          <w:iCs/>
          <w:kern w:val="2"/>
          <w14:ligatures w14:val="standardContextual"/>
        </w:rPr>
        <w:t>EPPO</w:t>
      </w:r>
      <w:r w:rsidRPr="00997873">
        <w:rPr>
          <w:kern w:val="2"/>
          <w14:ligatures w14:val="standardContextual"/>
        </w:rPr>
        <w:t xml:space="preserve"> rīcības kodeksiem un to piemērošanu; aicina </w:t>
      </w:r>
      <w:r w:rsidRPr="00997873">
        <w:rPr>
          <w:i/>
          <w:iCs/>
          <w:kern w:val="2"/>
          <w14:ligatures w14:val="standardContextual"/>
        </w:rPr>
        <w:t>EPPO</w:t>
      </w:r>
      <w:r w:rsidRPr="00997873">
        <w:rPr>
          <w:kern w:val="2"/>
          <w14:ligatures w14:val="standardContextual"/>
        </w:rPr>
        <w:t xml:space="preserve"> labot šo situāciju;</w:t>
      </w:r>
    </w:p>
    <w:p w14:paraId="265CD2F0" w14:textId="77777777" w:rsidR="00997873" w:rsidRPr="00997873" w:rsidRDefault="00997873" w:rsidP="00997873">
      <w:pPr>
        <w:spacing w:after="240"/>
        <w:ind w:left="567" w:hanging="567"/>
        <w:rPr>
          <w:bCs/>
          <w:kern w:val="2"/>
          <w14:ligatures w14:val="standardContextual"/>
        </w:rPr>
      </w:pPr>
      <w:r w:rsidRPr="00997873">
        <w:rPr>
          <w:kern w:val="2"/>
          <w14:ligatures w14:val="standardContextual"/>
        </w:rPr>
        <w:t>61.</w:t>
      </w:r>
      <w:r w:rsidRPr="00997873">
        <w:rPr>
          <w:kern w:val="2"/>
          <w14:ligatures w14:val="standardContextual"/>
        </w:rPr>
        <w:tab/>
        <w:t xml:space="preserve">ņem vērā </w:t>
      </w:r>
      <w:r w:rsidRPr="00997873">
        <w:rPr>
          <w:i/>
          <w:kern w:val="2"/>
          <w14:ligatures w14:val="standardContextual"/>
        </w:rPr>
        <w:t>EPPO</w:t>
      </w:r>
      <w:r w:rsidRPr="00997873">
        <w:rPr>
          <w:kern w:val="2"/>
          <w14:ligatures w14:val="standardContextual"/>
        </w:rPr>
        <w:t xml:space="preserve"> iesaistīšanos darbinieku izpratnes par ētikas satvaru un saistītajiem jautājumiem veicināšanas pasākumos; mudina </w:t>
      </w:r>
      <w:r w:rsidRPr="00997873">
        <w:rPr>
          <w:i/>
          <w:kern w:val="2"/>
          <w14:ligatures w14:val="standardContextual"/>
        </w:rPr>
        <w:t>EPPO</w:t>
      </w:r>
      <w:r w:rsidRPr="00997873">
        <w:rPr>
          <w:kern w:val="2"/>
          <w14:ligatures w14:val="standardContextual"/>
        </w:rPr>
        <w:t xml:space="preserve"> noteikt, ka Eiropas prokuroriem un EDP, stājoties amatā, šādu nodarbību apmeklēšana ir obligāta; uzskata, ka ir jāpastiprina iekšējais dialogs;</w:t>
      </w:r>
    </w:p>
    <w:p w14:paraId="5214F723"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62.</w:t>
      </w:r>
      <w:r w:rsidRPr="00997873">
        <w:rPr>
          <w:kern w:val="2"/>
          <w14:ligatures w14:val="standardContextual"/>
        </w:rPr>
        <w:tab/>
        <w:t xml:space="preserve">norāda, ka 2023. gadā netika konstatēts neviens faktisks interešu konflikta gadījums; ņem vērā, ka ir ieviestas īpašas interešu konflikta deklarēšanas veidlapas un ir spēkā noteikumi par interešu konfliktu, kas attiecas uz Kolēģijas locekļiem, EDP, operatīvo struktūrvienību darbiniekiem un citiem darbiniekiem </w:t>
      </w:r>
      <w:proofErr w:type="spellStart"/>
      <w:r w:rsidRPr="00997873">
        <w:rPr>
          <w:kern w:val="2"/>
          <w14:ligatures w14:val="standardContextual"/>
        </w:rPr>
        <w:t>sensitīvos</w:t>
      </w:r>
      <w:proofErr w:type="spellEnd"/>
      <w:r w:rsidRPr="00997873">
        <w:rPr>
          <w:kern w:val="2"/>
          <w14:ligatures w14:val="standardContextual"/>
        </w:rPr>
        <w:t xml:space="preserve"> amatos; atzinīgi vērtē to, ka pašlaik tiek izstrādāta strukturēta interešu konflikta politika, un aicina </w:t>
      </w:r>
      <w:r w:rsidRPr="00997873">
        <w:rPr>
          <w:i/>
          <w:iCs/>
          <w:kern w:val="2"/>
          <w14:ligatures w14:val="standardContextual"/>
        </w:rPr>
        <w:t>EPPO</w:t>
      </w:r>
      <w:r w:rsidRPr="00997873">
        <w:rPr>
          <w:kern w:val="2"/>
          <w14:ligatures w14:val="standardContextual"/>
        </w:rPr>
        <w:t xml:space="preserve"> pabeigt tās pieņemšanu; aicina ieviest obligātu ikgadēju profesionālās pilnveides ētikas un integritātes apmācības kursu visiem </w:t>
      </w:r>
      <w:r w:rsidRPr="00997873">
        <w:rPr>
          <w:i/>
          <w:iCs/>
          <w:kern w:val="2"/>
          <w14:ligatures w14:val="standardContextual"/>
        </w:rPr>
        <w:t>EPPO</w:t>
      </w:r>
      <w:r w:rsidRPr="00997873">
        <w:rPr>
          <w:kern w:val="2"/>
          <w14:ligatures w14:val="standardContextual"/>
        </w:rPr>
        <w:t xml:space="preserve"> darbiniekiem;</w:t>
      </w:r>
    </w:p>
    <w:p w14:paraId="0959CB2A"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63.</w:t>
      </w:r>
      <w:r w:rsidRPr="00997873">
        <w:rPr>
          <w:kern w:val="2"/>
          <w14:ligatures w14:val="standardContextual"/>
        </w:rPr>
        <w:tab/>
        <w:t xml:space="preserve">mudina </w:t>
      </w:r>
      <w:r w:rsidRPr="00997873">
        <w:rPr>
          <w:i/>
          <w:iCs/>
          <w:kern w:val="2"/>
          <w14:ligatures w14:val="standardContextual"/>
        </w:rPr>
        <w:t>EPPO</w:t>
      </w:r>
      <w:r w:rsidRPr="00997873">
        <w:rPr>
          <w:kern w:val="2"/>
          <w14:ligatures w14:val="standardContextual"/>
        </w:rPr>
        <w:t xml:space="preserve"> uzlabot savu iekšējo integritātes sistēmu, nosakot pienākumu publiskot visas augstāko amatpersonu, tostarp Kolēģijas locekļu, finanšu intereses un ārējās darbības; prasa periodiski revidēt šo informāciju, lai apzinātu un mazinātu iespējamos neatļautas ietekmēšanas riskus;</w:t>
      </w:r>
    </w:p>
    <w:p w14:paraId="54D3CEBE"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64.</w:t>
      </w:r>
      <w:r w:rsidRPr="00997873">
        <w:rPr>
          <w:kern w:val="2"/>
          <w14:ligatures w14:val="standardContextual"/>
        </w:rPr>
        <w:tab/>
        <w:t xml:space="preserve">apzinās, ka </w:t>
      </w:r>
      <w:r w:rsidRPr="00997873">
        <w:rPr>
          <w:i/>
          <w:iCs/>
          <w:kern w:val="2"/>
          <w14:ligatures w14:val="standardContextual"/>
        </w:rPr>
        <w:t>EPPO</w:t>
      </w:r>
      <w:r w:rsidRPr="00997873">
        <w:rPr>
          <w:kern w:val="2"/>
          <w14:ligatures w14:val="standardContextual"/>
        </w:rPr>
        <w:t xml:space="preserve"> cenšas novērst virpuļdurvju efektu, jo īpaši stiprinot Civildienesta noteikumu stingru piemērošanu, kas ir iekļauti visos </w:t>
      </w:r>
      <w:r w:rsidRPr="00997873">
        <w:rPr>
          <w:i/>
          <w:iCs/>
          <w:kern w:val="2"/>
          <w14:ligatures w14:val="standardContextual"/>
        </w:rPr>
        <w:t>EPPO</w:t>
      </w:r>
      <w:r w:rsidRPr="00997873">
        <w:rPr>
          <w:kern w:val="2"/>
          <w14:ligatures w14:val="standardContextual"/>
        </w:rPr>
        <w:t xml:space="preserve"> līgumos, tai skaitā izmantojot </w:t>
      </w:r>
      <w:proofErr w:type="spellStart"/>
      <w:r w:rsidRPr="00997873">
        <w:rPr>
          <w:i/>
          <w:iCs/>
          <w:kern w:val="2"/>
          <w14:ligatures w14:val="standardContextual"/>
        </w:rPr>
        <w:t>ad</w:t>
      </w:r>
      <w:proofErr w:type="spellEnd"/>
      <w:r w:rsidRPr="00997873">
        <w:rPr>
          <w:i/>
          <w:iCs/>
          <w:kern w:val="2"/>
          <w14:ligatures w14:val="standardContextual"/>
        </w:rPr>
        <w:t> </w:t>
      </w:r>
      <w:proofErr w:type="spellStart"/>
      <w:r w:rsidRPr="00997873">
        <w:rPr>
          <w:i/>
          <w:iCs/>
          <w:kern w:val="2"/>
          <w14:ligatures w14:val="standardContextual"/>
        </w:rPr>
        <w:t>hoc</w:t>
      </w:r>
      <w:proofErr w:type="spellEnd"/>
      <w:r w:rsidRPr="00997873">
        <w:rPr>
          <w:kern w:val="2"/>
          <w14:ligatures w14:val="standardContextual"/>
        </w:rPr>
        <w:t xml:space="preserve"> darba attiecību izbeigšanas veidlapas, kurās norādīti pienākumi, kas jāizpilda pēc darba attiecību pārtraukšanas;</w:t>
      </w:r>
      <w:r w:rsidRPr="00997873">
        <w:rPr>
          <w:color w:val="000000"/>
          <w:kern w:val="2"/>
          <w14:ligatures w14:val="standardContextual"/>
        </w:rPr>
        <w:t xml:space="preserve"> šajā sakarībā atzinīgi vērtē 2023. gadā </w:t>
      </w:r>
      <w:r w:rsidRPr="00997873">
        <w:rPr>
          <w:kern w:val="2"/>
          <w14:ligatures w14:val="standardContextual"/>
        </w:rPr>
        <w:t xml:space="preserve">pieņemtās Pamatnostādnes </w:t>
      </w:r>
      <w:r w:rsidRPr="00997873">
        <w:rPr>
          <w:i/>
          <w:kern w:val="2"/>
          <w14:ligatures w14:val="standardContextual"/>
        </w:rPr>
        <w:t>EPPO</w:t>
      </w:r>
      <w:r w:rsidRPr="00997873">
        <w:rPr>
          <w:kern w:val="2"/>
          <w14:ligatures w14:val="standardContextual"/>
        </w:rPr>
        <w:t xml:space="preserve"> darbiniekiem par ārējām darbībām un uzdevumiem, </w:t>
      </w:r>
      <w:r w:rsidRPr="00997873">
        <w:rPr>
          <w:kern w:val="2"/>
          <w14:ligatures w14:val="standardContextual"/>
        </w:rPr>
        <w:lastRenderedPageBreak/>
        <w:t xml:space="preserve">kas attiecas uz darbībām, kuras netiek uzskatītas par tādām, kas saistītas ar brīvā laika pavadīšanas aktivitātēm ārpus </w:t>
      </w:r>
      <w:r w:rsidRPr="00997873">
        <w:rPr>
          <w:i/>
          <w:kern w:val="2"/>
          <w14:ligatures w14:val="standardContextual"/>
        </w:rPr>
        <w:t>EPPO</w:t>
      </w:r>
      <w:r w:rsidRPr="00997873">
        <w:rPr>
          <w:kern w:val="2"/>
          <w14:ligatures w14:val="standardContextual"/>
        </w:rPr>
        <w:t xml:space="preserve"> darbības jomas;</w:t>
      </w:r>
    </w:p>
    <w:p w14:paraId="5CAF299C"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65.</w:t>
      </w:r>
      <w:r w:rsidRPr="00997873">
        <w:rPr>
          <w:kern w:val="2"/>
          <w14:ligatures w14:val="standardContextual"/>
        </w:rPr>
        <w:tab/>
        <w:t xml:space="preserve">aicina ieviest stingrāku virpuļdurvju efekta politiku, tostarp pagarināt vismaz divu gadu nogaidīšanas periodu </w:t>
      </w:r>
      <w:r w:rsidRPr="00997873">
        <w:rPr>
          <w:i/>
          <w:iCs/>
          <w:kern w:val="2"/>
          <w14:ligatures w14:val="standardContextual"/>
        </w:rPr>
        <w:t>EPPO</w:t>
      </w:r>
      <w:r w:rsidRPr="00997873">
        <w:rPr>
          <w:kern w:val="2"/>
          <w14:ligatures w14:val="standardContextual"/>
        </w:rPr>
        <w:t xml:space="preserve"> augstākajām amatpersonām, pirms tās var strādāt privātajā sektorā saistībā ar </w:t>
      </w:r>
      <w:r w:rsidRPr="00997873">
        <w:rPr>
          <w:i/>
          <w:iCs/>
          <w:kern w:val="2"/>
          <w14:ligatures w14:val="standardContextual"/>
        </w:rPr>
        <w:t>EPPO</w:t>
      </w:r>
      <w:r w:rsidRPr="00997873">
        <w:rPr>
          <w:kern w:val="2"/>
          <w14:ligatures w14:val="standardContextual"/>
        </w:rPr>
        <w:t xml:space="preserve"> izmeklēšanām; prasa </w:t>
      </w:r>
      <w:r w:rsidRPr="00997873">
        <w:rPr>
          <w:i/>
          <w:iCs/>
          <w:kern w:val="2"/>
          <w14:ligatures w14:val="standardContextual"/>
        </w:rPr>
        <w:t>EPPO</w:t>
      </w:r>
      <w:r w:rsidRPr="00997873">
        <w:rPr>
          <w:kern w:val="2"/>
          <w14:ligatures w14:val="standardContextual"/>
        </w:rPr>
        <w:t xml:space="preserve"> katru gadu pārskatīt atbilstību šiem </w:t>
      </w:r>
      <w:proofErr w:type="spellStart"/>
      <w:r w:rsidRPr="00997873">
        <w:rPr>
          <w:kern w:val="2"/>
          <w14:ligatures w14:val="standardContextual"/>
        </w:rPr>
        <w:t>pēcnodarbinātības</w:t>
      </w:r>
      <w:proofErr w:type="spellEnd"/>
      <w:r w:rsidRPr="00997873">
        <w:rPr>
          <w:kern w:val="2"/>
          <w14:ligatures w14:val="standardContextual"/>
        </w:rPr>
        <w:t xml:space="preserve"> ierobežojumiem;</w:t>
      </w:r>
    </w:p>
    <w:p w14:paraId="46DC36AA"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66.</w:t>
      </w:r>
      <w:r w:rsidRPr="00997873">
        <w:rPr>
          <w:kern w:val="2"/>
          <w14:ligatures w14:val="standardContextual"/>
        </w:rPr>
        <w:tab/>
        <w:t xml:space="preserve">prasa </w:t>
      </w:r>
      <w:r w:rsidRPr="00997873">
        <w:rPr>
          <w:i/>
          <w:iCs/>
          <w:kern w:val="2"/>
          <w14:ligatures w14:val="standardContextual"/>
        </w:rPr>
        <w:t>EPPO</w:t>
      </w:r>
      <w:r w:rsidRPr="00997873">
        <w:rPr>
          <w:kern w:val="2"/>
          <w14:ligatures w14:val="standardContextual"/>
        </w:rPr>
        <w:t xml:space="preserve"> nolūkā nodrošināt drošu un aizsargātu darbavietu pieņemt īpašu trauksmes celšanas un pretpasākumu procedūru, lai integrētu Kolēģijas pieņemtos Civildienesta noteikumu īstenošanas noteikumus (Kolēģijas Lēmums 2021/077, ar ko nosaka pamatnostādnes par trauksmes celšanu) un papildinātu </w:t>
      </w:r>
      <w:r w:rsidRPr="00997873">
        <w:rPr>
          <w:i/>
          <w:iCs/>
          <w:kern w:val="2"/>
          <w14:ligatures w14:val="standardContextual"/>
        </w:rPr>
        <w:t>EPPO</w:t>
      </w:r>
      <w:r w:rsidRPr="00997873">
        <w:rPr>
          <w:kern w:val="2"/>
          <w14:ligatures w14:val="standardContextual"/>
        </w:rPr>
        <w:t xml:space="preserve"> finanšu noteikumu 45.12. pantu (tajā noteiktas šādos apstākļos veicamās darbības); atzinīgi vērtē iniciatīvu pastiprināt iekšējo komunikāciju par pirmo konfidenciālu padomdevēju tīklu un par aizskarošas izturēšanās novēršanas noteikumiem, kā arī komunikāciju ar visiem valstu Eiropas deleģēto prokuroru palīgiem (VEDPP) par trauksmes celšanas mehānismu saistībā ar </w:t>
      </w:r>
      <w:r w:rsidRPr="00997873">
        <w:rPr>
          <w:i/>
          <w:kern w:val="2"/>
          <w14:ligatures w14:val="standardContextual"/>
        </w:rPr>
        <w:t>EPPO</w:t>
      </w:r>
      <w:r w:rsidRPr="00997873">
        <w:rPr>
          <w:kern w:val="2"/>
          <w14:ligatures w14:val="standardContextual"/>
        </w:rPr>
        <w:t xml:space="preserve"> pilnvaru pārkāpumiem;</w:t>
      </w:r>
    </w:p>
    <w:p w14:paraId="0929EE4E" w14:textId="77777777" w:rsidR="00997873" w:rsidRPr="00997873" w:rsidRDefault="00997873" w:rsidP="00997873">
      <w:pPr>
        <w:spacing w:after="240"/>
        <w:ind w:left="567" w:hanging="567"/>
        <w:rPr>
          <w:kern w:val="2"/>
          <w:szCs w:val="24"/>
          <w14:ligatures w14:val="standardContextual"/>
        </w:rPr>
      </w:pPr>
      <w:proofErr w:type="spellStart"/>
      <w:r w:rsidRPr="00997873">
        <w:rPr>
          <w:b/>
          <w:i/>
          <w:kern w:val="2"/>
          <w14:ligatures w14:val="standardContextual"/>
        </w:rPr>
        <w:t>Digitalizācija</w:t>
      </w:r>
      <w:proofErr w:type="spellEnd"/>
      <w:r w:rsidRPr="00997873">
        <w:rPr>
          <w:b/>
          <w:i/>
          <w:kern w:val="2"/>
          <w14:ligatures w14:val="standardContextual"/>
        </w:rPr>
        <w:t xml:space="preserve">, </w:t>
      </w:r>
      <w:proofErr w:type="spellStart"/>
      <w:r w:rsidRPr="00997873">
        <w:rPr>
          <w:b/>
          <w:i/>
          <w:kern w:val="2"/>
          <w14:ligatures w14:val="standardContextual"/>
        </w:rPr>
        <w:t>kiberdrošība</w:t>
      </w:r>
      <w:proofErr w:type="spellEnd"/>
      <w:r w:rsidRPr="00997873">
        <w:rPr>
          <w:b/>
          <w:i/>
          <w:kern w:val="2"/>
          <w14:ligatures w14:val="standardContextual"/>
        </w:rPr>
        <w:t xml:space="preserve"> un datu aizsardzība</w:t>
      </w:r>
    </w:p>
    <w:p w14:paraId="28A7D1F2"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67.</w:t>
      </w:r>
      <w:r w:rsidRPr="00997873">
        <w:rPr>
          <w:kern w:val="2"/>
          <w14:ligatures w14:val="standardContextual"/>
        </w:rPr>
        <w:tab/>
        <w:t xml:space="preserve">pauž nožēlu par </w:t>
      </w:r>
      <w:r w:rsidRPr="00997873">
        <w:rPr>
          <w:i/>
          <w:iCs/>
          <w:kern w:val="2"/>
          <w14:ligatures w14:val="standardContextual"/>
        </w:rPr>
        <w:t>EPPO</w:t>
      </w:r>
      <w:r w:rsidRPr="00997873">
        <w:rPr>
          <w:kern w:val="2"/>
          <w14:ligatures w14:val="standardContextual"/>
        </w:rPr>
        <w:t xml:space="preserve"> situāciju IT autonomijas jomā, ko negatīvi ietekmē Komisijas Digitālo pakalpojumu ģenerāldirektorāta (“Digitālo pakalpojumu ģenerāldirektorāts”, iepriekš – DIGIT ĢD) lēmums pārtraukt digitālās darbavietas pakalpojumu sniegšanu; norāda – lai nodrošinātu </w:t>
      </w:r>
      <w:r w:rsidRPr="00997873">
        <w:rPr>
          <w:i/>
          <w:kern w:val="2"/>
          <w14:ligatures w14:val="standardContextual"/>
        </w:rPr>
        <w:t>EPPO</w:t>
      </w:r>
      <w:r w:rsidRPr="00997873">
        <w:rPr>
          <w:kern w:val="2"/>
          <w14:ligatures w14:val="standardContextual"/>
        </w:rPr>
        <w:t xml:space="preserve"> IT autonomiju, ir nepieciešami papildu cilvēkresursi un finanšu resursi, kas līdz šim nav piešķirti, jo attiecīgajās pozīcijās ir ierobežoti kopējie pieejamie budžeta resursi; pauž nožēlu, ka </w:t>
      </w:r>
      <w:r w:rsidRPr="00997873">
        <w:rPr>
          <w:i/>
          <w:kern w:val="2"/>
          <w14:ligatures w14:val="standardContextual"/>
        </w:rPr>
        <w:t>EPPO</w:t>
      </w:r>
      <w:r w:rsidRPr="00997873">
        <w:rPr>
          <w:kern w:val="2"/>
          <w14:ligatures w14:val="standardContextual"/>
        </w:rPr>
        <w:t>, ņemot vērā riskus tās operatīvajām darbībām, bija jāveido savas digitālo pakalpojumu spējas, lai pielāgotos papildu cilvēkresursiem, kas tai tika piešķirti, ņemot vērā Polijas un Zviedrijas iesaistīšanos;</w:t>
      </w:r>
    </w:p>
    <w:p w14:paraId="492DFFD0" w14:textId="77777777" w:rsidR="00997873" w:rsidRPr="00997873" w:rsidRDefault="00997873" w:rsidP="00997873">
      <w:pPr>
        <w:spacing w:after="240"/>
        <w:ind w:left="567" w:hanging="567"/>
        <w:rPr>
          <w:kern w:val="2"/>
          <w14:ligatures w14:val="standardContextual"/>
        </w:rPr>
      </w:pPr>
      <w:r w:rsidRPr="00997873">
        <w:rPr>
          <w:color w:val="000000"/>
          <w:kern w:val="2"/>
          <w14:ligatures w14:val="standardContextual"/>
        </w:rPr>
        <w:t>68.</w:t>
      </w:r>
      <w:r w:rsidRPr="00997873">
        <w:rPr>
          <w:color w:val="000000"/>
          <w:kern w:val="2"/>
          <w14:ligatures w14:val="standardContextual"/>
        </w:rPr>
        <w:tab/>
      </w:r>
      <w:r w:rsidRPr="00997873">
        <w:rPr>
          <w:kern w:val="2"/>
          <w14:ligatures w14:val="standardContextual"/>
        </w:rPr>
        <w:t xml:space="preserve">norāda, ka </w:t>
      </w:r>
      <w:r w:rsidRPr="00997873">
        <w:rPr>
          <w:i/>
          <w:iCs/>
          <w:kern w:val="2"/>
          <w14:ligatures w14:val="standardContextual"/>
        </w:rPr>
        <w:t>EPPO</w:t>
      </w:r>
      <w:r w:rsidRPr="00997873">
        <w:rPr>
          <w:kern w:val="2"/>
          <w14:ligatures w14:val="standardContextual"/>
        </w:rPr>
        <w:t xml:space="preserve"> sākotnējā pieeja bija piešķirt prioritāti resursiem tādu būtisku digitālo pakalpojumu izveidei un darbībai, kas saistīti ar tās operatīvajām darbībām, piemēram, tās lietu pārvaldības sistēmai, vienlaikus atzīstot, ka </w:t>
      </w:r>
      <w:r w:rsidRPr="00997873">
        <w:rPr>
          <w:i/>
          <w:iCs/>
          <w:kern w:val="2"/>
          <w14:ligatures w14:val="standardContextual"/>
        </w:rPr>
        <w:t>EPPO</w:t>
      </w:r>
      <w:r w:rsidRPr="00997873">
        <w:rPr>
          <w:kern w:val="2"/>
          <w14:ligatures w14:val="standardContextual"/>
        </w:rPr>
        <w:t xml:space="preserve"> digitālajiem pakalpojumiem, kuri vismaz daļēji atšķiras no Komisijas pakalpojumiem, vidējā termiņā būtu bijusi vajadzīga pielāgota pieeja; konstatē, ka Komisija pārtrauc pakalpojumus ļoti būtiskā </w:t>
      </w:r>
      <w:r w:rsidRPr="00997873">
        <w:rPr>
          <w:i/>
          <w:kern w:val="2"/>
          <w14:ligatures w14:val="standardContextual"/>
        </w:rPr>
        <w:t>EPPO</w:t>
      </w:r>
      <w:r w:rsidRPr="00997873">
        <w:rPr>
          <w:kern w:val="2"/>
          <w14:ligatures w14:val="standardContextual"/>
        </w:rPr>
        <w:t xml:space="preserve"> veidošanas konsolidācijas posmā;</w:t>
      </w:r>
    </w:p>
    <w:p w14:paraId="04BBB2AC"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69.</w:t>
      </w:r>
      <w:r w:rsidRPr="00997873">
        <w:rPr>
          <w:kern w:val="2"/>
          <w14:ligatures w14:val="standardContextual"/>
        </w:rPr>
        <w:tab/>
        <w:t xml:space="preserve">ņem vērā, ka 2023. gadā </w:t>
      </w:r>
      <w:r w:rsidRPr="00997873">
        <w:rPr>
          <w:i/>
          <w:iCs/>
          <w:kern w:val="2"/>
          <w14:ligatures w14:val="standardContextual"/>
        </w:rPr>
        <w:t>EPPO</w:t>
      </w:r>
      <w:r w:rsidRPr="00997873">
        <w:rPr>
          <w:kern w:val="2"/>
          <w14:ligatures w14:val="standardContextual"/>
        </w:rPr>
        <w:t xml:space="preserve"> IT, drošības un korporatīvo pakalpojumu nodaļa turpināja īstenot divas būtiskas programmas, proti, IT autonomijas programmu, lai piedāvātu pilnīgu administratīvo IT pakalpojumu kopumu, kas pilnībā tiek pārvaldīts organizācijā, un </w:t>
      </w:r>
      <w:r w:rsidRPr="00997873">
        <w:rPr>
          <w:i/>
          <w:kern w:val="2"/>
          <w14:ligatures w14:val="standardContextual"/>
        </w:rPr>
        <w:t>EPPO</w:t>
      </w:r>
      <w:r w:rsidRPr="00997873">
        <w:rPr>
          <w:kern w:val="2"/>
          <w14:ligatures w14:val="standardContextual"/>
        </w:rPr>
        <w:t xml:space="preserve"> LPS programmu, lai turpinātu organizācijas </w:t>
      </w:r>
      <w:proofErr w:type="spellStart"/>
      <w:r w:rsidRPr="00997873">
        <w:rPr>
          <w:kern w:val="2"/>
          <w14:ligatures w14:val="standardContextual"/>
        </w:rPr>
        <w:t>digitalizāciju</w:t>
      </w:r>
      <w:proofErr w:type="spellEnd"/>
      <w:r w:rsidRPr="00997873">
        <w:rPr>
          <w:kern w:val="2"/>
          <w14:ligatures w14:val="standardContextual"/>
        </w:rPr>
        <w:t xml:space="preserve"> tās pamatdarbības jomā; atzīst, ka 2023. gadā </w:t>
      </w:r>
      <w:r w:rsidRPr="00997873">
        <w:rPr>
          <w:i/>
          <w:iCs/>
          <w:kern w:val="2"/>
          <w14:ligatures w14:val="standardContextual"/>
        </w:rPr>
        <w:t>EPPO</w:t>
      </w:r>
      <w:r w:rsidRPr="00997873">
        <w:rPr>
          <w:kern w:val="2"/>
          <w14:ligatures w14:val="standardContextual"/>
        </w:rPr>
        <w:t xml:space="preserve"> turpināja gatavoties pakāpeniskai pārejai no digitālās darbavietas pakalpojumiem, ko nodrošināja Digitālo pakalpojumu ģenerāldirektorāts, uz </w:t>
      </w:r>
      <w:r w:rsidRPr="00997873">
        <w:rPr>
          <w:i/>
          <w:kern w:val="2"/>
          <w14:ligatures w14:val="standardContextual"/>
        </w:rPr>
        <w:t>EPPO</w:t>
      </w:r>
      <w:r w:rsidRPr="00997873">
        <w:rPr>
          <w:kern w:val="2"/>
          <w14:ligatures w14:val="standardContextual"/>
        </w:rPr>
        <w:t xml:space="preserve"> piederošu un izmantotu risinājumu; ņem vērā, ka šo pārmaiņu īstenošanai vajadzīgie resursi tika iekļauti </w:t>
      </w:r>
      <w:r w:rsidRPr="00997873">
        <w:rPr>
          <w:i/>
          <w:kern w:val="2"/>
          <w14:ligatures w14:val="standardContextual"/>
        </w:rPr>
        <w:t>EPPO</w:t>
      </w:r>
      <w:r w:rsidRPr="00997873">
        <w:rPr>
          <w:kern w:val="2"/>
          <w14:ligatures w14:val="standardContextual"/>
        </w:rPr>
        <w:t xml:space="preserve"> finansējuma pieprasījumā 2023. gadam, taču budžeta lēmējinstitūcija tos nepiešķīra; norāda, ka pēc Digitālo pakalpojumu ģenerāldirektorāta paziņojuma </w:t>
      </w:r>
      <w:r w:rsidRPr="00997873">
        <w:rPr>
          <w:i/>
          <w:kern w:val="2"/>
          <w14:ligatures w14:val="standardContextual"/>
        </w:rPr>
        <w:t>EPPO</w:t>
      </w:r>
      <w:r w:rsidRPr="00997873">
        <w:rPr>
          <w:kern w:val="2"/>
          <w14:ligatures w14:val="standardContextual"/>
        </w:rPr>
        <w:t xml:space="preserve"> uzsāka sarunas, lai rastu risinājumu, kas vēl nav panākts;</w:t>
      </w:r>
    </w:p>
    <w:p w14:paraId="2FC21760"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70.</w:t>
      </w:r>
      <w:r w:rsidRPr="00997873">
        <w:rPr>
          <w:kern w:val="2"/>
          <w14:ligatures w14:val="standardContextual"/>
        </w:rPr>
        <w:tab/>
        <w:t xml:space="preserve">atzinīgi vērtē to, ka Komisija ir uz laiku līdz 2025. gada jūnijam pagarinājusi IT pakalpojumu sniegšanu, taču uzskata, ka šo pakalpojumu nodošana ārpakalpojumu sniedzējiem pašreizējā situācijā nav optimāls risinājums; uzskata, ka lēmums ir </w:t>
      </w:r>
      <w:r w:rsidRPr="00997873">
        <w:rPr>
          <w:kern w:val="2"/>
          <w14:ligatures w14:val="standardContextual"/>
        </w:rPr>
        <w:lastRenderedPageBreak/>
        <w:t xml:space="preserve">jāpārskata, ņemot vērā ne tikai drošības un konfidencialitātes apsvērumus, bet arī tīri finansiālus aspektus, </w:t>
      </w:r>
      <w:r w:rsidRPr="00997873">
        <w:rPr>
          <w:color w:val="000000"/>
          <w:kern w:val="2"/>
          <w14:ligatures w14:val="standardContextual"/>
        </w:rPr>
        <w:t xml:space="preserve">jo ārpakalpojumu izmantošana radītu daudz lielākas izmaksas nekā iekšējais risinājums, turklāt, ja tiktu pieņemts iekšējais risinājums, pēc Digitālo pakalpojumu ģenerāldirektorāta pakalpojumu pārtraukšanas, to pārvaldītu </w:t>
      </w:r>
      <w:r w:rsidRPr="00997873">
        <w:rPr>
          <w:i/>
          <w:color w:val="000000"/>
          <w:kern w:val="2"/>
          <w14:ligatures w14:val="standardContextual"/>
        </w:rPr>
        <w:t>EPPO</w:t>
      </w:r>
      <w:r w:rsidRPr="00997873">
        <w:rPr>
          <w:color w:val="000000"/>
          <w:kern w:val="2"/>
          <w14:ligatures w14:val="standardContextual"/>
        </w:rPr>
        <w:t>; uzsver</w:t>
      </w:r>
      <w:r w:rsidRPr="00997873">
        <w:rPr>
          <w:kern w:val="2"/>
          <w14:ligatures w14:val="standardContextual"/>
        </w:rPr>
        <w:t xml:space="preserve"> – lai īstenotu vēlamo iekšējo risinājumu, ņemot vērā sarežģītos administratīvos aspektus, </w:t>
      </w:r>
      <w:r w:rsidRPr="00997873">
        <w:rPr>
          <w:i/>
          <w:kern w:val="2"/>
          <w14:ligatures w14:val="standardContextual"/>
        </w:rPr>
        <w:t>EPPO</w:t>
      </w:r>
      <w:r w:rsidRPr="00997873">
        <w:rPr>
          <w:kern w:val="2"/>
          <w14:ligatures w14:val="standardContextual"/>
        </w:rPr>
        <w:t xml:space="preserve"> pieredzes trūkumu un </w:t>
      </w:r>
      <w:r w:rsidRPr="00997873">
        <w:rPr>
          <w:i/>
          <w:kern w:val="2"/>
          <w14:ligatures w14:val="standardContextual"/>
        </w:rPr>
        <w:t>EPPO</w:t>
      </w:r>
      <w:r w:rsidRPr="00997873">
        <w:rPr>
          <w:kern w:val="2"/>
          <w14:ligatures w14:val="standardContextual"/>
        </w:rPr>
        <w:t xml:space="preserve"> decentralizēto konfigurāciju, proti, EDP un VEDPP atrašanos vairākās vietās visā Savienībā, būs nepieciešams lielāks finansējums un ilgstošs pārejas periods;</w:t>
      </w:r>
    </w:p>
    <w:p w14:paraId="44077BC4"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71.</w:t>
      </w:r>
      <w:r w:rsidRPr="00997873">
        <w:rPr>
          <w:kern w:val="2"/>
          <w14:ligatures w14:val="standardContextual"/>
        </w:rPr>
        <w:tab/>
        <w:t xml:space="preserve">atkārtoti aicina Digitālo pakalpojumu ģenerāldirektorātu nepārtraukt atbalstu </w:t>
      </w:r>
      <w:r w:rsidRPr="00997873">
        <w:rPr>
          <w:i/>
          <w:kern w:val="2"/>
          <w14:ligatures w14:val="standardContextual"/>
        </w:rPr>
        <w:t>EPPO</w:t>
      </w:r>
      <w:r w:rsidRPr="00997873">
        <w:rPr>
          <w:kern w:val="2"/>
          <w14:ligatures w14:val="standardContextual"/>
        </w:rPr>
        <w:t xml:space="preserve"> līdz brīdim, kad </w:t>
      </w:r>
      <w:r w:rsidRPr="00997873">
        <w:rPr>
          <w:i/>
          <w:kern w:val="2"/>
          <w14:ligatures w14:val="standardContextual"/>
        </w:rPr>
        <w:t>EPPO</w:t>
      </w:r>
      <w:r w:rsidRPr="00997873">
        <w:rPr>
          <w:kern w:val="2"/>
          <w14:ligatures w14:val="standardContextual"/>
        </w:rPr>
        <w:t xml:space="preserve"> būs izveidojusi savu uzticamu IT sistēmu; uzskata, ka ir ļoti būtiski izvairīties no datu zuduma un nodrošināt </w:t>
      </w:r>
      <w:r w:rsidRPr="00997873">
        <w:rPr>
          <w:i/>
          <w:kern w:val="2"/>
          <w14:ligatures w14:val="standardContextual"/>
        </w:rPr>
        <w:t>EPPO</w:t>
      </w:r>
      <w:r w:rsidRPr="00997873">
        <w:rPr>
          <w:kern w:val="2"/>
          <w14:ligatures w14:val="standardContextual"/>
        </w:rPr>
        <w:t xml:space="preserve"> pilnīgu funkcionalitāti laikā, kad mainās IT pakalpojumu sniedzēji; uzskata, ka ir jānodrošina skaidra komunikācija un operatīvā koordinācija attiecībā uz pāreju, iesaistot Komisijas un </w:t>
      </w:r>
      <w:r w:rsidRPr="00997873">
        <w:rPr>
          <w:i/>
          <w:kern w:val="2"/>
          <w14:ligatures w14:val="standardContextual"/>
        </w:rPr>
        <w:t>EPPO</w:t>
      </w:r>
      <w:r w:rsidRPr="00997873">
        <w:rPr>
          <w:kern w:val="2"/>
          <w14:ligatures w14:val="standardContextual"/>
        </w:rPr>
        <w:t xml:space="preserve"> augstākā līmeņa lēmumu pieņēmējus; aicina Komisiju un </w:t>
      </w:r>
      <w:r w:rsidRPr="00997873">
        <w:rPr>
          <w:i/>
          <w:kern w:val="2"/>
          <w14:ligatures w14:val="standardContextual"/>
        </w:rPr>
        <w:t>EPPO</w:t>
      </w:r>
      <w:r w:rsidRPr="00997873">
        <w:rPr>
          <w:kern w:val="2"/>
          <w14:ligatures w14:val="standardContextual"/>
        </w:rPr>
        <w:t xml:space="preserve"> vienoties par kompetenču pakāpenisku nodošanu, lai nodrošinātu vienmērīgu un nepārtrauktu pāreju laikā pēc termiņa pagarinājuma beigām, kas var turpināties pēc 2025. gada jūnija;</w:t>
      </w:r>
    </w:p>
    <w:p w14:paraId="6E23E963"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72.</w:t>
      </w:r>
      <w:r w:rsidRPr="00997873">
        <w:rPr>
          <w:kern w:val="2"/>
          <w14:ligatures w14:val="standardContextual"/>
        </w:rPr>
        <w:tab/>
        <w:t xml:space="preserve">konstatē, ka </w:t>
      </w:r>
      <w:r w:rsidRPr="00997873">
        <w:rPr>
          <w:i/>
          <w:iCs/>
          <w:kern w:val="2"/>
          <w14:ligatures w14:val="standardContextual"/>
        </w:rPr>
        <w:t>EPPO</w:t>
      </w:r>
      <w:r w:rsidRPr="00997873">
        <w:rPr>
          <w:kern w:val="2"/>
          <w14:ligatures w14:val="standardContextual"/>
        </w:rPr>
        <w:t xml:space="preserve"> lūgums piešķirt papildu pastāvīgas amata vietas, lai nodrošinātu trūkstošos resursus saistībā ar Digitālo pakalpojumu ģenerāldirektorāta pakalpojumu pārtraukšanu, tika noraidīts gan 2023. gada janvārī, kad </w:t>
      </w:r>
      <w:r w:rsidRPr="00997873">
        <w:rPr>
          <w:i/>
          <w:iCs/>
          <w:kern w:val="2"/>
          <w14:ligatures w14:val="standardContextual"/>
        </w:rPr>
        <w:t>EPPO</w:t>
      </w:r>
      <w:r w:rsidRPr="00997873">
        <w:rPr>
          <w:kern w:val="2"/>
          <w14:ligatures w14:val="standardContextual"/>
        </w:rPr>
        <w:t xml:space="preserve"> pieprasīja 45 štata vietas, gan arī 2024. gada februāra beigās, kad tika noraidīts lūgums grozīt 2024. gada budžetu par 2,98 miljoniem EUR un 37 štata vietām; norāda, ka risinājums, kas paredz pieņemt darbā iekšējos darbuzņēmējus varētu būt daļa no pagaidu risinājuma, lai risinātu jautājumu par Digitālo pakalpojumu ģenerāldirektorāta pakalpojumu pārtraukšanu, taču, lai gan šī pieeja nodrošinātu tūlītēju darbības nepārtrauktību, to nevajadzētu uzskatīt par galīgu risinājumu </w:t>
      </w:r>
      <w:r w:rsidRPr="00997873">
        <w:rPr>
          <w:i/>
          <w:kern w:val="2"/>
          <w14:ligatures w14:val="standardContextual"/>
        </w:rPr>
        <w:t>EPPO</w:t>
      </w:r>
      <w:r w:rsidRPr="00997873">
        <w:rPr>
          <w:kern w:val="2"/>
          <w14:ligatures w14:val="standardContextual"/>
        </w:rPr>
        <w:t xml:space="preserve">, ņemot vērā tās darbību ārkārtīgi jutīgo raksturu un vajadzību nodrošināt tās digitālo pakalpojumu nepārtrauktību un uzticamību, kā arī tās IT infrastruktūras, sistēmu un aprīkojuma augstāko drošības līmeni; piekrīt viedoklim, ka </w:t>
      </w:r>
      <w:r w:rsidRPr="00997873">
        <w:rPr>
          <w:i/>
          <w:kern w:val="2"/>
          <w14:ligatures w14:val="standardContextual"/>
        </w:rPr>
        <w:t>EPPO</w:t>
      </w:r>
      <w:r w:rsidRPr="00997873">
        <w:rPr>
          <w:kern w:val="2"/>
          <w14:ligatures w14:val="standardContextual"/>
        </w:rPr>
        <w:t xml:space="preserve"> finansējuma pieprasījumu noraidīšana liecina par problēmas atšķirīgu novērtēšanu, kas negatīvi ietekmē </w:t>
      </w:r>
      <w:r w:rsidRPr="00997873">
        <w:rPr>
          <w:i/>
          <w:kern w:val="2"/>
          <w14:ligatures w14:val="standardContextual"/>
        </w:rPr>
        <w:t>EPPO</w:t>
      </w:r>
      <w:r w:rsidRPr="00997873">
        <w:rPr>
          <w:kern w:val="2"/>
          <w14:ligatures w14:val="standardContextual"/>
        </w:rPr>
        <w:t xml:space="preserve"> operatīvās darbības un rada iespējamu apdraudējumu Savienības reputācijai, ja tā rezultātā vājināsies </w:t>
      </w:r>
      <w:r w:rsidRPr="00997873">
        <w:rPr>
          <w:i/>
          <w:kern w:val="2"/>
          <w14:ligatures w14:val="standardContextual"/>
        </w:rPr>
        <w:t>EPPO</w:t>
      </w:r>
      <w:r w:rsidRPr="00997873">
        <w:rPr>
          <w:kern w:val="2"/>
          <w14:ligatures w14:val="standardContextual"/>
        </w:rPr>
        <w:t xml:space="preserve"> operatīvās spējas;</w:t>
      </w:r>
    </w:p>
    <w:p w14:paraId="72BD7D56"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73.</w:t>
      </w:r>
      <w:r w:rsidRPr="00997873">
        <w:rPr>
          <w:kern w:val="2"/>
          <w14:ligatures w14:val="standardContextual"/>
        </w:rPr>
        <w:tab/>
        <w:t xml:space="preserve">apzinās, ka katram EDP ir jāizmanto dažādas valsts un </w:t>
      </w:r>
      <w:r w:rsidRPr="00997873">
        <w:rPr>
          <w:i/>
          <w:iCs/>
          <w:kern w:val="2"/>
          <w14:ligatures w14:val="standardContextual"/>
        </w:rPr>
        <w:t>EPPO</w:t>
      </w:r>
      <w:r w:rsidRPr="00997873">
        <w:rPr>
          <w:kern w:val="2"/>
          <w14:ligatures w14:val="standardContextual"/>
        </w:rPr>
        <w:t xml:space="preserve"> LPS, kas ir atšķirīgas datubāzes, uz kurām attiecas atšķirīgas piekļuves tiesības; uzskata, ka šī situācija </w:t>
      </w:r>
      <w:proofErr w:type="spellStart"/>
      <w:r w:rsidRPr="00997873">
        <w:rPr>
          <w:kern w:val="2"/>
          <w14:ligatures w14:val="standardContextual"/>
        </w:rPr>
        <w:t>sarežģī</w:t>
      </w:r>
      <w:proofErr w:type="spellEnd"/>
      <w:r w:rsidRPr="00997873">
        <w:rPr>
          <w:kern w:val="2"/>
          <w14:ligatures w14:val="standardContextual"/>
        </w:rPr>
        <w:t xml:space="preserve"> datu ikdienas pārvaldību; apzinās arī to, ka, lai būtu iespējama informācijas apstrāde un apmaiņa starp EDP centrālajiem dienestiem un </w:t>
      </w:r>
      <w:r w:rsidRPr="00997873">
        <w:rPr>
          <w:i/>
          <w:kern w:val="2"/>
          <w14:ligatures w14:val="standardContextual"/>
        </w:rPr>
        <w:t>EPPO</w:t>
      </w:r>
      <w:r w:rsidRPr="00997873">
        <w:rPr>
          <w:kern w:val="2"/>
          <w14:ligatures w14:val="standardContextual"/>
        </w:rPr>
        <w:t xml:space="preserve">, EDP ir jāveic visu lietu </w:t>
      </w:r>
      <w:proofErr w:type="spellStart"/>
      <w:r w:rsidRPr="00997873">
        <w:rPr>
          <w:kern w:val="2"/>
          <w14:ligatures w14:val="standardContextual"/>
        </w:rPr>
        <w:t>digitalizācija</w:t>
      </w:r>
      <w:proofErr w:type="spellEnd"/>
      <w:r w:rsidRPr="00997873">
        <w:rPr>
          <w:kern w:val="2"/>
          <w14:ligatures w14:val="standardContextual"/>
        </w:rPr>
        <w:t xml:space="preserve">, izmantojot valsts digitālos rīkus un ievērojot valsts tiesību aktus; šajā sakarā atzinīgi vērtē formāla VEDPP statusa ieviešanu oficiālajā struktūrshēmā, kas ļauj piešķirt VEDPP (valsts biroja darbinieki) piekļuvi tieši </w:t>
      </w:r>
      <w:r w:rsidRPr="00997873">
        <w:rPr>
          <w:i/>
          <w:kern w:val="2"/>
          <w14:ligatures w14:val="standardContextual"/>
        </w:rPr>
        <w:t>EPPO</w:t>
      </w:r>
      <w:r w:rsidRPr="00997873">
        <w:rPr>
          <w:kern w:val="2"/>
          <w14:ligatures w14:val="standardContextual"/>
        </w:rPr>
        <w:t xml:space="preserve"> LPS, tādējādi atvieglojot EDP administratīvo slogu un nodrošinot pamatu abu lietu pārvaldības sistēmu lietu darbu lielākas precizitātes un saskaņotības nodrošināšanai; uzskata, virzību uz </w:t>
      </w:r>
      <w:r w:rsidRPr="00997873">
        <w:rPr>
          <w:i/>
          <w:kern w:val="2"/>
          <w14:ligatures w14:val="standardContextual"/>
        </w:rPr>
        <w:t>EPPO</w:t>
      </w:r>
      <w:r w:rsidRPr="00997873">
        <w:rPr>
          <w:kern w:val="2"/>
          <w14:ligatures w14:val="standardContextual"/>
        </w:rPr>
        <w:t xml:space="preserve"> LPS un valstu lietu pārvaldības sistēmu integrāciju veicinātu regulējuma atbilstīga pārskatīšana un ka šie pasākumi uzlabotu </w:t>
      </w:r>
      <w:r w:rsidRPr="00997873">
        <w:rPr>
          <w:i/>
          <w:kern w:val="2"/>
          <w14:ligatures w14:val="standardContextual"/>
        </w:rPr>
        <w:t>EPPO</w:t>
      </w:r>
      <w:r w:rsidRPr="00997873">
        <w:rPr>
          <w:kern w:val="2"/>
          <w14:ligatures w14:val="standardContextual"/>
        </w:rPr>
        <w:t xml:space="preserve"> izmeklēšanas efektivitāti; tomēr norāda, ka šāda integrācija galvenokārt būtu atkarīga no saderīgiem tehnoloģiskiem risinājumiem, ko izmanto dažādās dalībvalstīs un kas ir saistīti ar faktisko tiesvedības </w:t>
      </w:r>
      <w:proofErr w:type="spellStart"/>
      <w:r w:rsidRPr="00997873">
        <w:rPr>
          <w:kern w:val="2"/>
          <w14:ligatures w14:val="standardContextual"/>
        </w:rPr>
        <w:t>digitalizācijas</w:t>
      </w:r>
      <w:proofErr w:type="spellEnd"/>
      <w:r w:rsidRPr="00997873">
        <w:rPr>
          <w:kern w:val="2"/>
          <w14:ligatures w14:val="standardContextual"/>
        </w:rPr>
        <w:t xml:space="preserve"> līmeni šajās dalībvalstīs; konstatē, ka saistīto izmaksu slogs patlaban tiek dalīts un no valsts budžeta tiek segtas izmaksas saistībā ar aprīkojumu, kas vajadzīgs mijiedarbībai ar valsts lietu pārvaldības sistēmām, savukārt no </w:t>
      </w:r>
      <w:r w:rsidRPr="00997873">
        <w:rPr>
          <w:i/>
          <w:kern w:val="2"/>
          <w14:ligatures w14:val="standardContextual"/>
        </w:rPr>
        <w:t>EPPO</w:t>
      </w:r>
      <w:r w:rsidRPr="00997873">
        <w:rPr>
          <w:kern w:val="2"/>
          <w14:ligatures w14:val="standardContextual"/>
        </w:rPr>
        <w:t xml:space="preserve"> budžeta tiek segtas izmaksas saistībā ar iekārtām un digitālās darba vides izveidi, kas tiek nodrošināta atbilstīgi tādiem pašiem standartiem, kādi attiecas uz </w:t>
      </w:r>
      <w:r w:rsidRPr="00997873">
        <w:rPr>
          <w:i/>
          <w:kern w:val="2"/>
          <w14:ligatures w14:val="standardContextual"/>
        </w:rPr>
        <w:t>EPPO</w:t>
      </w:r>
      <w:r w:rsidRPr="00997873">
        <w:rPr>
          <w:kern w:val="2"/>
          <w14:ligatures w14:val="standardContextual"/>
        </w:rPr>
        <w:t xml:space="preserve"> centrālā biroja </w:t>
      </w:r>
      <w:r w:rsidRPr="00997873">
        <w:rPr>
          <w:kern w:val="2"/>
          <w14:ligatures w14:val="standardContextual"/>
        </w:rPr>
        <w:lastRenderedPageBreak/>
        <w:t>darbiniekiem, un šīs izmaksas uzskata par daļu no pamatdarbības un komunikācijas izmaksām, kas paredzētas Regulā (ES) 2017/1939;</w:t>
      </w:r>
    </w:p>
    <w:p w14:paraId="6A7E4E8A"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74.</w:t>
      </w:r>
      <w:r w:rsidRPr="00997873">
        <w:rPr>
          <w:kern w:val="2"/>
          <w14:ligatures w14:val="standardContextual"/>
        </w:rPr>
        <w:tab/>
        <w:t xml:space="preserve">apzinās, ka </w:t>
      </w:r>
      <w:proofErr w:type="spellStart"/>
      <w:r w:rsidRPr="00997873">
        <w:rPr>
          <w:kern w:val="2"/>
          <w14:ligatures w14:val="standardContextual"/>
        </w:rPr>
        <w:t>sadarbspēja</w:t>
      </w:r>
      <w:proofErr w:type="spellEnd"/>
      <w:r w:rsidRPr="00997873">
        <w:rPr>
          <w:kern w:val="2"/>
          <w14:ligatures w14:val="standardContextual"/>
        </w:rPr>
        <w:t xml:space="preserve"> ir būtiska, lai panāktu efektīvu datu apmaiņu un sadarbību, un ka, lai pieņemtu minimālos kopīgus datu apmaiņas noteikumus un ieviestu tiesiskās </w:t>
      </w:r>
      <w:proofErr w:type="spellStart"/>
      <w:r w:rsidRPr="00997873">
        <w:rPr>
          <w:kern w:val="2"/>
          <w14:ligatures w14:val="standardContextual"/>
        </w:rPr>
        <w:t>sadarbspējas</w:t>
      </w:r>
      <w:proofErr w:type="spellEnd"/>
      <w:r w:rsidRPr="00997873">
        <w:rPr>
          <w:kern w:val="2"/>
          <w14:ligatures w14:val="standardContextual"/>
        </w:rPr>
        <w:t xml:space="preserve"> rīkus, 2023. gadā uzsāktais </w:t>
      </w:r>
      <w:r w:rsidRPr="00997873">
        <w:rPr>
          <w:i/>
          <w:iCs/>
          <w:kern w:val="2"/>
          <w14:ligatures w14:val="standardContextual"/>
        </w:rPr>
        <w:t>e-CODEX EPPO</w:t>
      </w:r>
      <w:r w:rsidRPr="00997873">
        <w:rPr>
          <w:kern w:val="2"/>
          <w14:ligatures w14:val="standardContextual"/>
        </w:rPr>
        <w:t xml:space="preserve"> lietu izmantošanas projekts ietvēra vairākus darbseminārus kopā ar </w:t>
      </w:r>
      <w:r w:rsidRPr="00997873">
        <w:rPr>
          <w:i/>
          <w:iCs/>
          <w:kern w:val="2"/>
          <w14:ligatures w14:val="standardContextual"/>
        </w:rPr>
        <w:t>e-CODEX</w:t>
      </w:r>
      <w:r w:rsidRPr="00997873">
        <w:rPr>
          <w:kern w:val="2"/>
          <w14:ligatures w14:val="standardContextual"/>
        </w:rPr>
        <w:t xml:space="preserve"> konsorciju ar mērķi saskaņot tehniskās un funkcionālās prasības; pauž nožēlu, ka pēc vairākiem darbsemināriem kopā ar </w:t>
      </w:r>
      <w:r w:rsidRPr="00997873">
        <w:rPr>
          <w:i/>
          <w:kern w:val="2"/>
          <w14:ligatures w14:val="standardContextual"/>
        </w:rPr>
        <w:t>e-CODEX</w:t>
      </w:r>
      <w:r w:rsidRPr="00997873">
        <w:rPr>
          <w:kern w:val="2"/>
          <w14:ligatures w14:val="standardContextual"/>
        </w:rPr>
        <w:t xml:space="preserve"> konsorciju projekts tika apturēts, lai varētu veikt pārmaiņas saistībā ar </w:t>
      </w:r>
      <w:r w:rsidRPr="00997873">
        <w:rPr>
          <w:i/>
          <w:kern w:val="2"/>
          <w14:ligatures w14:val="standardContextual"/>
        </w:rPr>
        <w:t>e-CODEX</w:t>
      </w:r>
      <w:r w:rsidRPr="00997873">
        <w:rPr>
          <w:kern w:val="2"/>
          <w14:ligatures w14:val="standardContextual"/>
        </w:rPr>
        <w:t xml:space="preserve"> programmas jauno pārvaldītāju </w:t>
      </w:r>
      <w:proofErr w:type="spellStart"/>
      <w:r w:rsidRPr="00997873">
        <w:rPr>
          <w:i/>
          <w:kern w:val="2"/>
          <w14:ligatures w14:val="standardContextual"/>
        </w:rPr>
        <w:t>eu</w:t>
      </w:r>
      <w:proofErr w:type="spellEnd"/>
      <w:r w:rsidRPr="00997873">
        <w:rPr>
          <w:i/>
          <w:kern w:val="2"/>
          <w14:ligatures w14:val="standardContextual"/>
        </w:rPr>
        <w:t>-LISA</w:t>
      </w:r>
      <w:r w:rsidRPr="00997873">
        <w:rPr>
          <w:kern w:val="2"/>
          <w14:ligatures w14:val="standardContextual"/>
        </w:rPr>
        <w:t xml:space="preserve">, kā arī tāpēc, ka </w:t>
      </w:r>
      <w:r w:rsidRPr="00997873">
        <w:rPr>
          <w:i/>
          <w:kern w:val="2"/>
          <w14:ligatures w14:val="standardContextual"/>
        </w:rPr>
        <w:t>EPPO</w:t>
      </w:r>
      <w:r w:rsidRPr="00997873">
        <w:rPr>
          <w:kern w:val="2"/>
          <w14:ligatures w14:val="standardContextual"/>
        </w:rPr>
        <w:t xml:space="preserve"> trūka cilvēkresursu ar īpašām zināšanām šajā jomā; aicina Komisiju atbalstīt projekta turpmāko virzību un minētās darbības ņemt vērā arī </w:t>
      </w:r>
      <w:r w:rsidRPr="00997873">
        <w:rPr>
          <w:i/>
          <w:kern w:val="2"/>
          <w14:ligatures w14:val="standardContextual"/>
        </w:rPr>
        <w:t>EPPO</w:t>
      </w:r>
      <w:r w:rsidRPr="00997873">
        <w:rPr>
          <w:kern w:val="2"/>
          <w14:ligatures w14:val="standardContextual"/>
        </w:rPr>
        <w:t xml:space="preserve"> finansējuma vajadzību aplēsē;</w:t>
      </w:r>
    </w:p>
    <w:p w14:paraId="0A97FF8B"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75.</w:t>
      </w:r>
      <w:r w:rsidRPr="00997873">
        <w:rPr>
          <w:kern w:val="2"/>
          <w14:ligatures w14:val="standardContextual"/>
        </w:rPr>
        <w:tab/>
        <w:t xml:space="preserve">apzinās pieaugošo apdraudējumu </w:t>
      </w:r>
      <w:r w:rsidRPr="00997873">
        <w:rPr>
          <w:i/>
          <w:kern w:val="2"/>
          <w14:ligatures w14:val="standardContextual"/>
        </w:rPr>
        <w:t>EPPO</w:t>
      </w:r>
      <w:r w:rsidRPr="00997873">
        <w:rPr>
          <w:kern w:val="2"/>
          <w14:ligatures w14:val="standardContextual"/>
        </w:rPr>
        <w:t xml:space="preserve"> IT strukturālajai integritātei, kas izriet no organizētās noziedzības agresivitātes, kuru apkaro </w:t>
      </w:r>
      <w:r w:rsidRPr="00997873">
        <w:rPr>
          <w:i/>
          <w:kern w:val="2"/>
          <w14:ligatures w14:val="standardContextual"/>
        </w:rPr>
        <w:t>EPPO</w:t>
      </w:r>
      <w:r w:rsidRPr="00997873">
        <w:rPr>
          <w:kern w:val="2"/>
          <w14:ligatures w14:val="standardContextual"/>
        </w:rPr>
        <w:t xml:space="preserve">, un kā rezultātā ir jāpastiprina fiziskā un digitālā drošība; norāda, ka 2023. gadā </w:t>
      </w:r>
      <w:r w:rsidRPr="00997873">
        <w:rPr>
          <w:i/>
          <w:kern w:val="2"/>
          <w14:ligatures w14:val="standardContextual"/>
        </w:rPr>
        <w:t>EPPO</w:t>
      </w:r>
      <w:r w:rsidRPr="00997873">
        <w:rPr>
          <w:kern w:val="2"/>
          <w14:ligatures w14:val="standardContextual"/>
        </w:rPr>
        <w:t xml:space="preserve"> pievērsās savas drošības pārvaldības uzlabošanai; atzinīgi vērtē </w:t>
      </w:r>
      <w:r w:rsidRPr="00997873">
        <w:rPr>
          <w:i/>
          <w:kern w:val="2"/>
          <w14:ligatures w14:val="standardContextual"/>
        </w:rPr>
        <w:t>EPPO</w:t>
      </w:r>
      <w:r w:rsidRPr="00997873">
        <w:rPr>
          <w:kern w:val="2"/>
          <w14:ligatures w14:val="standardContextual"/>
        </w:rPr>
        <w:t xml:space="preserve"> lēmumu izveidot īpašu struktūrvienību </w:t>
      </w:r>
      <w:proofErr w:type="spellStart"/>
      <w:r w:rsidRPr="00997873">
        <w:rPr>
          <w:kern w:val="2"/>
          <w14:ligatures w14:val="standardContextual"/>
        </w:rPr>
        <w:t>kiberdrošības</w:t>
      </w:r>
      <w:proofErr w:type="spellEnd"/>
      <w:r w:rsidRPr="00997873">
        <w:rPr>
          <w:kern w:val="2"/>
          <w14:ligatures w14:val="standardContextual"/>
        </w:rPr>
        <w:t xml:space="preserve"> un fiziskās drošības jautājumu risināšanai; ņem vērā, ka </w:t>
      </w:r>
      <w:r w:rsidRPr="00997873">
        <w:rPr>
          <w:i/>
          <w:kern w:val="2"/>
          <w14:ligatures w14:val="standardContextual"/>
        </w:rPr>
        <w:t>EPPO</w:t>
      </w:r>
      <w:r w:rsidRPr="00997873">
        <w:rPr>
          <w:kern w:val="2"/>
          <w14:ligatures w14:val="standardContextual"/>
        </w:rPr>
        <w:t xml:space="preserve"> ir izstrādājusi satvaru, kurā iekļauti jauni procesi, funkcijas un atbildība, kā arī politikas pasākumi, lai uzlabotu operatīvo un administratīvo datu apstrādei izmantoto digitālo sistēmu drošību; ņem vērā, ka ir veikti vairāki riska novērtējumi, lai novērtētu digitālo sistēmu drošības sistēmu, un ka tie norāda uz nepieciešamību īstenot papildu tehniskos un pārvaldības pasākumus </w:t>
      </w:r>
      <w:r w:rsidRPr="00997873">
        <w:rPr>
          <w:i/>
          <w:kern w:val="2"/>
          <w14:ligatures w14:val="standardContextual"/>
        </w:rPr>
        <w:t>EPPO</w:t>
      </w:r>
      <w:r w:rsidRPr="00997873">
        <w:rPr>
          <w:kern w:val="2"/>
          <w14:ligatures w14:val="standardContextual"/>
        </w:rPr>
        <w:t xml:space="preserve"> drošības vides uzlabošanai; atzīmē, ka šajā sakarībā tika uzlabots politikas satvars, 2023. gadā ierosinot un 2024. gadā formāli apstiprinot un pieņemot drošības stratēģiju un vispārēju informācijas drošības politiku;</w:t>
      </w:r>
    </w:p>
    <w:p w14:paraId="04333132"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76.</w:t>
      </w:r>
      <w:r w:rsidRPr="00997873">
        <w:rPr>
          <w:kern w:val="2"/>
          <w14:ligatures w14:val="standardContextual"/>
        </w:rPr>
        <w:tab/>
        <w:t xml:space="preserve">norāda, ka </w:t>
      </w:r>
      <w:r w:rsidRPr="00997873">
        <w:rPr>
          <w:i/>
          <w:iCs/>
          <w:kern w:val="2"/>
          <w14:ligatures w14:val="standardContextual"/>
        </w:rPr>
        <w:t>EPPO</w:t>
      </w:r>
      <w:r w:rsidRPr="00997873">
        <w:rPr>
          <w:kern w:val="2"/>
          <w14:ligatures w14:val="standardContextual"/>
        </w:rPr>
        <w:t xml:space="preserve"> 2023. gadā pabeidza drošības kontaktpunktu izveidi visās iesaistītajās dalībvalstīs, lai uzlabotu šajās dalībvalstīs esošo darbinieku un </w:t>
      </w:r>
      <w:r w:rsidRPr="00997873">
        <w:rPr>
          <w:i/>
          <w:iCs/>
          <w:kern w:val="2"/>
          <w14:ligatures w14:val="standardContextual"/>
        </w:rPr>
        <w:t>EPPO</w:t>
      </w:r>
      <w:r w:rsidRPr="00997873">
        <w:rPr>
          <w:kern w:val="2"/>
          <w14:ligatures w14:val="standardContextual"/>
        </w:rPr>
        <w:t xml:space="preserve"> biroju sadarbību drošības jautājumos; atzinīgi vērtē to, ka ir noslēgts pakalpojumu līmeņa nolīgums ar </w:t>
      </w:r>
      <w:r w:rsidRPr="00997873">
        <w:rPr>
          <w:i/>
          <w:kern w:val="2"/>
          <w14:ligatures w14:val="standardContextual"/>
        </w:rPr>
        <w:t>CERT-EU</w:t>
      </w:r>
      <w:r w:rsidRPr="00997873">
        <w:rPr>
          <w:kern w:val="2"/>
          <w14:ligatures w14:val="standardContextual"/>
        </w:rPr>
        <w:t>, kas nodrošina atbalstu un uzraudzību īpašiem pakalpojumiem, risinot ar reaģēšanu uz incidentiem saistītus jautājumus; uzsver, ka ieviestā riska novērtēšanas un incidentu ziņošanas sistēma ir labi strukturēta un ka apmācība tiek nodrošināta efektīvi; atzinīgi vērtē ārējo novērtējumu, kurš veikts fiziskās drošības jomā un kura rezultāti ir iekļauti ceļvedī par uzlabojumiem uzņēmējā valstī;</w:t>
      </w:r>
    </w:p>
    <w:p w14:paraId="3AF2F965"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77.</w:t>
      </w:r>
      <w:r w:rsidRPr="00997873">
        <w:rPr>
          <w:kern w:val="2"/>
          <w14:ligatures w14:val="standardContextual"/>
        </w:rPr>
        <w:tab/>
        <w:t xml:space="preserve">atzinīgi vērtē 2023. gadā panākto ievērojamo progresu rezerves datu centra izveidē un ar to saistītā negadījuma seku novēršanas plāna ieviešanā; šajā sakarībā atzinīgi vērtē to, ka </w:t>
      </w:r>
      <w:r w:rsidRPr="00997873">
        <w:rPr>
          <w:i/>
          <w:kern w:val="2"/>
          <w14:ligatures w14:val="standardContextual"/>
        </w:rPr>
        <w:t>EPPO</w:t>
      </w:r>
      <w:r w:rsidRPr="00997873">
        <w:rPr>
          <w:kern w:val="2"/>
          <w14:ligatures w14:val="standardContextual"/>
        </w:rPr>
        <w:t xml:space="preserve"> ir izstrādājusi savu lietu pārvaldības ekosistēmu, kuras visi komponenti atrodas </w:t>
      </w:r>
      <w:r w:rsidRPr="00997873">
        <w:rPr>
          <w:i/>
          <w:kern w:val="2"/>
          <w14:ligatures w14:val="standardContextual"/>
        </w:rPr>
        <w:t>EPPO</w:t>
      </w:r>
      <w:r w:rsidRPr="00997873">
        <w:rPr>
          <w:kern w:val="2"/>
          <w14:ligatures w14:val="standardContextual"/>
        </w:rPr>
        <w:t xml:space="preserve"> datu centrā un kuru pārvalda </w:t>
      </w:r>
      <w:r w:rsidRPr="00997873">
        <w:rPr>
          <w:i/>
          <w:kern w:val="2"/>
          <w14:ligatures w14:val="standardContextual"/>
        </w:rPr>
        <w:t>EPPO</w:t>
      </w:r>
      <w:r w:rsidRPr="00997873">
        <w:rPr>
          <w:kern w:val="2"/>
          <w14:ligatures w14:val="standardContextual"/>
        </w:rPr>
        <w:t xml:space="preserve"> darbinieki, garantējot </w:t>
      </w:r>
      <w:r w:rsidRPr="00997873">
        <w:rPr>
          <w:i/>
          <w:kern w:val="2"/>
          <w14:ligatures w14:val="standardContextual"/>
        </w:rPr>
        <w:t>EPPO</w:t>
      </w:r>
      <w:r w:rsidRPr="00997873">
        <w:rPr>
          <w:kern w:val="2"/>
          <w14:ligatures w14:val="standardContextual"/>
        </w:rPr>
        <w:t xml:space="preserve"> kontroli, saglabāšanu un īpašumtiesības uz sistēmām un apstrādātajiem datiem;</w:t>
      </w:r>
    </w:p>
    <w:p w14:paraId="1656744E"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78.</w:t>
      </w:r>
      <w:r w:rsidRPr="00997873">
        <w:rPr>
          <w:kern w:val="2"/>
          <w14:ligatures w14:val="standardContextual"/>
        </w:rPr>
        <w:tab/>
        <w:t xml:space="preserve">atzīst, ka </w:t>
      </w:r>
      <w:r w:rsidRPr="00997873">
        <w:rPr>
          <w:i/>
          <w:iCs/>
          <w:kern w:val="2"/>
          <w14:ligatures w14:val="standardContextual"/>
        </w:rPr>
        <w:t>EPPO</w:t>
      </w:r>
      <w:r w:rsidRPr="00997873">
        <w:rPr>
          <w:kern w:val="2"/>
          <w14:ligatures w14:val="standardContextual"/>
        </w:rPr>
        <w:t xml:space="preserve"> ir nepieciešams mūsdienīgs aprīkojums un IT sistēmas, lai risinātu jautājumus saistībā ar arvien sarežģītākiem noziegumiem, kuros bieži iesaistīti digitālie elementi un digitālās metodoloģijas; uzsver arī to, ka ir steidzami jāizstrādā spēcīgs </w:t>
      </w:r>
      <w:proofErr w:type="spellStart"/>
      <w:r w:rsidRPr="00997873">
        <w:rPr>
          <w:kern w:val="2"/>
          <w14:ligatures w14:val="standardContextual"/>
        </w:rPr>
        <w:t>kiberdrošības</w:t>
      </w:r>
      <w:proofErr w:type="spellEnd"/>
      <w:r w:rsidRPr="00997873">
        <w:rPr>
          <w:kern w:val="2"/>
          <w14:ligatures w14:val="standardContextual"/>
        </w:rPr>
        <w:t xml:space="preserve"> satvars, ņemot vērā pieaugošos riskus, ko rada tehnoloģiju ziņā ļoti prasmīgi noziedzīgie tīkli un iespējama ārvalstu iejaukšanās, kas tiek īstenota, izmantojot kiberuzbrukumus; atbalsta </w:t>
      </w:r>
      <w:r w:rsidRPr="00997873">
        <w:rPr>
          <w:i/>
          <w:iCs/>
          <w:kern w:val="2"/>
          <w14:ligatures w14:val="standardContextual"/>
        </w:rPr>
        <w:t>EPPO</w:t>
      </w:r>
      <w:r w:rsidRPr="00997873">
        <w:rPr>
          <w:kern w:val="2"/>
          <w14:ligatures w14:val="standardContextual"/>
        </w:rPr>
        <w:t xml:space="preserve"> attiecībā uz tās prasību piešķirt resursus tās </w:t>
      </w:r>
      <w:proofErr w:type="spellStart"/>
      <w:r w:rsidRPr="00997873">
        <w:rPr>
          <w:kern w:val="2"/>
          <w14:ligatures w14:val="standardContextual"/>
        </w:rPr>
        <w:t>kiberdrošības</w:t>
      </w:r>
      <w:proofErr w:type="spellEnd"/>
      <w:r w:rsidRPr="00997873">
        <w:rPr>
          <w:kern w:val="2"/>
          <w14:ligatures w14:val="standardContextual"/>
        </w:rPr>
        <w:t xml:space="preserve"> aizsardzībai un aicina ātri īstenot stabilu </w:t>
      </w:r>
      <w:proofErr w:type="spellStart"/>
      <w:r w:rsidRPr="00997873">
        <w:rPr>
          <w:kern w:val="2"/>
          <w14:ligatures w14:val="standardContextual"/>
        </w:rPr>
        <w:t>kiberdrošības</w:t>
      </w:r>
      <w:proofErr w:type="spellEnd"/>
      <w:r w:rsidRPr="00997873">
        <w:rPr>
          <w:kern w:val="2"/>
          <w14:ligatures w14:val="standardContextual"/>
        </w:rPr>
        <w:t xml:space="preserve"> stratēģiju, lai aizsargātu </w:t>
      </w:r>
      <w:r w:rsidRPr="00997873">
        <w:rPr>
          <w:i/>
          <w:iCs/>
          <w:kern w:val="2"/>
          <w14:ligatures w14:val="standardContextual"/>
        </w:rPr>
        <w:t>EPPO</w:t>
      </w:r>
      <w:r w:rsidRPr="00997873">
        <w:rPr>
          <w:kern w:val="2"/>
          <w14:ligatures w14:val="standardContextual"/>
        </w:rPr>
        <w:t xml:space="preserve"> darbības un datu integritāti;</w:t>
      </w:r>
    </w:p>
    <w:p w14:paraId="0DB89B4C" w14:textId="77777777" w:rsidR="00997873" w:rsidRPr="00997873" w:rsidRDefault="00997873" w:rsidP="00997873">
      <w:pPr>
        <w:spacing w:after="240"/>
        <w:ind w:left="567" w:hanging="567"/>
        <w:rPr>
          <w:i/>
          <w:kern w:val="2"/>
          <w:szCs w:val="24"/>
          <w14:ligatures w14:val="standardContextual"/>
        </w:rPr>
      </w:pPr>
      <w:r w:rsidRPr="00997873">
        <w:rPr>
          <w:kern w:val="2"/>
          <w14:ligatures w14:val="standardContextual"/>
        </w:rPr>
        <w:lastRenderedPageBreak/>
        <w:t>79.</w:t>
      </w:r>
      <w:r w:rsidRPr="00997873">
        <w:rPr>
          <w:kern w:val="2"/>
          <w14:ligatures w14:val="standardContextual"/>
        </w:rPr>
        <w:tab/>
        <w:t xml:space="preserve">uzsver, ka </w:t>
      </w:r>
      <w:r w:rsidRPr="00997873">
        <w:rPr>
          <w:i/>
          <w:iCs/>
          <w:kern w:val="2"/>
          <w14:ligatures w14:val="standardContextual"/>
        </w:rPr>
        <w:t>EPPO</w:t>
      </w:r>
      <w:r w:rsidRPr="00997873">
        <w:rPr>
          <w:kern w:val="2"/>
          <w14:ligatures w14:val="standardContextual"/>
        </w:rPr>
        <w:t xml:space="preserve"> darbības būtībā ir saistītas ar nepieciešamību veikt īpašu uzraudzību un pievērst īpašu vērību personas datu aizsardzībai; uzskata, ka </w:t>
      </w:r>
      <w:r w:rsidRPr="00997873">
        <w:rPr>
          <w:i/>
          <w:iCs/>
          <w:kern w:val="2"/>
          <w14:ligatures w14:val="standardContextual"/>
        </w:rPr>
        <w:t>EPPO</w:t>
      </w:r>
      <w:r w:rsidRPr="00997873">
        <w:rPr>
          <w:kern w:val="2"/>
          <w14:ligatures w14:val="standardContextual"/>
        </w:rPr>
        <w:t xml:space="preserve"> un EDAU būtu jāiesaistās pastāvīgā dialogā, lai nodrošinātu datu </w:t>
      </w:r>
      <w:proofErr w:type="spellStart"/>
      <w:r w:rsidRPr="00997873">
        <w:rPr>
          <w:kern w:val="2"/>
          <w14:ligatures w14:val="standardContextual"/>
        </w:rPr>
        <w:t>izmantojamību</w:t>
      </w:r>
      <w:proofErr w:type="spellEnd"/>
      <w:r w:rsidRPr="00997873">
        <w:rPr>
          <w:kern w:val="2"/>
          <w14:ligatures w14:val="standardContextual"/>
        </w:rPr>
        <w:t xml:space="preserve"> izmeklēšanai un kriminālvajāšanai un vienlaikus nodrošinātu personas datu aizsardzību; apzinās, ka prasības attiecībā uz datu aizsardzības nodrošināšanu izriet no Regulas (ES) 2017/1939 un Eiropas Parlamenta un Padomes Regulas (ES) 2018/1725 </w:t>
      </w:r>
      <w:r w:rsidRPr="00997873">
        <w:rPr>
          <w:kern w:val="2"/>
          <w:szCs w:val="24"/>
          <w:vertAlign w:val="superscript"/>
          <w14:ligatures w14:val="standardContextual"/>
        </w:rPr>
        <w:footnoteReference w:id="16"/>
      </w:r>
      <w:r w:rsidRPr="00997873">
        <w:rPr>
          <w:kern w:val="2"/>
          <w14:ligatures w14:val="standardContextual"/>
        </w:rPr>
        <w:t xml:space="preserve"> un ka minētās prasības papildina un to īstenošanu nodrošina Kolēģijas lēmumi, kas pieņemti pēc apspriedēm ar EDAU; atzinīgi vērtē lēmumu nodrošināt obligātu apmācību visiem darbiniekiem, tai skaitā īpašu apmācību par datu aizsardzību, kas ir svarīga saistībā ar piekļuvi </w:t>
      </w:r>
      <w:r w:rsidRPr="00997873">
        <w:rPr>
          <w:i/>
          <w:iCs/>
          <w:kern w:val="2"/>
          <w14:ligatures w14:val="standardContextual"/>
        </w:rPr>
        <w:t>EPPO</w:t>
      </w:r>
      <w:r w:rsidRPr="00997873">
        <w:rPr>
          <w:kern w:val="2"/>
          <w14:ligatures w14:val="standardContextual"/>
        </w:rPr>
        <w:t xml:space="preserve"> LPS;</w:t>
      </w:r>
    </w:p>
    <w:p w14:paraId="7E2A669B" w14:textId="77777777" w:rsidR="00997873" w:rsidRPr="00997873" w:rsidRDefault="00997873" w:rsidP="00997873">
      <w:pPr>
        <w:spacing w:after="240"/>
        <w:ind w:left="567" w:hanging="567"/>
        <w:rPr>
          <w:b/>
          <w:i/>
          <w:kern w:val="2"/>
          <w:szCs w:val="24"/>
          <w14:ligatures w14:val="standardContextual"/>
        </w:rPr>
      </w:pPr>
      <w:r w:rsidRPr="00997873">
        <w:rPr>
          <w:b/>
          <w:i/>
          <w:kern w:val="2"/>
          <w14:ligatures w14:val="standardContextual"/>
        </w:rPr>
        <w:t>Ēkas un drošība</w:t>
      </w:r>
    </w:p>
    <w:p w14:paraId="3BAF4AC2" w14:textId="77777777" w:rsidR="00997873" w:rsidRPr="00997873" w:rsidRDefault="00997873" w:rsidP="00997873">
      <w:pPr>
        <w:spacing w:after="240"/>
        <w:ind w:left="567" w:hanging="567"/>
        <w:rPr>
          <w:bCs/>
          <w:kern w:val="2"/>
          <w:szCs w:val="24"/>
          <w14:ligatures w14:val="standardContextual"/>
        </w:rPr>
      </w:pPr>
      <w:r w:rsidRPr="00997873">
        <w:rPr>
          <w:kern w:val="2"/>
          <w14:ligatures w14:val="standardContextual"/>
        </w:rPr>
        <w:t>80.</w:t>
      </w:r>
      <w:r w:rsidRPr="00997873">
        <w:rPr>
          <w:kern w:val="2"/>
          <w14:ligatures w14:val="standardContextual"/>
        </w:rPr>
        <w:tab/>
        <w:t xml:space="preserve">konstatē, ka, pateicoties nomas līgumam, ar kuru Luksemburgas iestādes nodrošina atbrīvojumu no nomas maksas par ēku, kurā patlaban atrodas </w:t>
      </w:r>
      <w:r w:rsidRPr="00997873">
        <w:rPr>
          <w:i/>
          <w:iCs/>
          <w:kern w:val="2"/>
          <w14:ligatures w14:val="standardContextual"/>
        </w:rPr>
        <w:t>EPPO</w:t>
      </w:r>
      <w:r w:rsidRPr="00997873">
        <w:rPr>
          <w:kern w:val="2"/>
          <w14:ligatures w14:val="standardContextual"/>
        </w:rPr>
        <w:t xml:space="preserve"> galvenā mītne (TOB ēka), izmaksas veido tikai pakalpojumu maksas 716 724 EUR apmērā gadā; ņem vērā, ka 2023. gadā tām pašām Luksemburgas iestādēm tika samaksāti 248 103 EUR par drošības iekārtām divos papildu stāvos (9. un 10. stāvs), kas </w:t>
      </w:r>
      <w:r w:rsidRPr="00997873">
        <w:rPr>
          <w:i/>
          <w:iCs/>
          <w:kern w:val="2"/>
          <w14:ligatures w14:val="standardContextual"/>
        </w:rPr>
        <w:t>EPPO</w:t>
      </w:r>
      <w:r w:rsidRPr="00997873">
        <w:rPr>
          <w:kern w:val="2"/>
          <w14:ligatures w14:val="standardContextual"/>
        </w:rPr>
        <w:t xml:space="preserve"> tika nodoti 2023. gada 1. ceturksnī;</w:t>
      </w:r>
    </w:p>
    <w:p w14:paraId="4ED3D775"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81.</w:t>
      </w:r>
      <w:r w:rsidRPr="00997873">
        <w:rPr>
          <w:kern w:val="2"/>
          <w14:ligatures w14:val="standardContextual"/>
        </w:rPr>
        <w:tab/>
        <w:t xml:space="preserve">saistībā ar fizisko drošību, atzinīgi vērtē to, ka, grozot 2023. un 2024. gada budžetu, ir piešķirti resursi, kas vajadzīgi, lai nodrošinātu atbilstīgas spējas nodrošināt labākus drošības pakalpojumus (21 papildu postenis drošības spēju stiprināšanai), kā arī </w:t>
      </w:r>
      <w:r w:rsidRPr="00997873">
        <w:rPr>
          <w:i/>
          <w:iCs/>
          <w:kern w:val="2"/>
          <w14:ligatures w14:val="standardContextual"/>
        </w:rPr>
        <w:t>EPPO</w:t>
      </w:r>
      <w:r w:rsidRPr="00997873">
        <w:rPr>
          <w:kern w:val="2"/>
          <w14:ligatures w14:val="standardContextual"/>
        </w:rPr>
        <w:t xml:space="preserve"> centienus pastāvīgi uzlabot un efektīvi pielāgot fiziskās drošības procesus; uzskata, ka </w:t>
      </w:r>
      <w:r w:rsidRPr="00997873">
        <w:rPr>
          <w:i/>
          <w:kern w:val="2"/>
          <w14:ligatures w14:val="standardContextual"/>
        </w:rPr>
        <w:t>EPPO</w:t>
      </w:r>
      <w:r w:rsidRPr="00997873">
        <w:rPr>
          <w:kern w:val="2"/>
          <w14:ligatures w14:val="standardContextual"/>
        </w:rPr>
        <w:t xml:space="preserve"> pienācīga darbība nozīmē, ka prokuroriem un darbiniekiem ir jābūt aizsargātiem, lai viņi varētu pilnvērtīgi veikt savu uzdevumu bez draudiem, ietekmes vai spiediena;</w:t>
      </w:r>
    </w:p>
    <w:p w14:paraId="2FFD7B52" w14:textId="77777777" w:rsidR="00997873" w:rsidRPr="00997873" w:rsidRDefault="00997873" w:rsidP="00997873">
      <w:pPr>
        <w:spacing w:after="240"/>
        <w:ind w:left="567" w:hanging="567"/>
        <w:rPr>
          <w:b/>
          <w:i/>
          <w:kern w:val="2"/>
          <w:szCs w:val="24"/>
          <w14:ligatures w14:val="standardContextual"/>
        </w:rPr>
      </w:pPr>
      <w:r w:rsidRPr="00997873">
        <w:rPr>
          <w:b/>
          <w:i/>
          <w:kern w:val="2"/>
          <w14:ligatures w14:val="standardContextual"/>
        </w:rPr>
        <w:t>Vide un ilgtspēja</w:t>
      </w:r>
    </w:p>
    <w:p w14:paraId="2A70CE22"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82.</w:t>
      </w:r>
      <w:r w:rsidRPr="00997873">
        <w:rPr>
          <w:kern w:val="2"/>
          <w14:ligatures w14:val="standardContextual"/>
        </w:rPr>
        <w:tab/>
        <w:t xml:space="preserve">uzskata, ka Luksemburgas iestādēm, kas nodrošina </w:t>
      </w:r>
      <w:r w:rsidRPr="00997873">
        <w:rPr>
          <w:i/>
          <w:iCs/>
          <w:kern w:val="2"/>
          <w14:ligatures w14:val="standardContextual"/>
        </w:rPr>
        <w:t>EPPO</w:t>
      </w:r>
      <w:r w:rsidRPr="00997873">
        <w:rPr>
          <w:kern w:val="2"/>
          <w14:ligatures w14:val="standardContextual"/>
        </w:rPr>
        <w:t xml:space="preserve"> galveno mītni, būtu jāņem vērā tās ilgtspēja un energoefektivitāte; aicina </w:t>
      </w:r>
      <w:r w:rsidRPr="00997873">
        <w:rPr>
          <w:i/>
          <w:iCs/>
          <w:kern w:val="2"/>
          <w14:ligatures w14:val="standardContextual"/>
        </w:rPr>
        <w:t>EPPO</w:t>
      </w:r>
      <w:r w:rsidRPr="00997873">
        <w:rPr>
          <w:kern w:val="2"/>
          <w14:ligatures w14:val="standardContextual"/>
        </w:rPr>
        <w:t xml:space="preserve"> iesaistīties diskusijās ar Luksemburgas iestādēm, lai izpētītu konkrētas darbības tās telpu vides pēdas nospieduma uzlabošanai, tostarp </w:t>
      </w:r>
      <w:proofErr w:type="spellStart"/>
      <w:r w:rsidRPr="00997873">
        <w:rPr>
          <w:kern w:val="2"/>
          <w14:ligatures w14:val="standardContextual"/>
        </w:rPr>
        <w:t>atjaunīgo</w:t>
      </w:r>
      <w:proofErr w:type="spellEnd"/>
      <w:r w:rsidRPr="00997873">
        <w:rPr>
          <w:kern w:val="2"/>
          <w14:ligatures w14:val="standardContextual"/>
        </w:rPr>
        <w:t xml:space="preserve"> energoresursu, piemēram, saules enerģijas paneļu, uzstādīšanu, CO</w:t>
      </w:r>
      <w:r w:rsidRPr="00997873">
        <w:rPr>
          <w:kern w:val="2"/>
          <w:vertAlign w:val="subscript"/>
          <w14:ligatures w14:val="standardContextual"/>
        </w:rPr>
        <w:t>2</w:t>
      </w:r>
      <w:r w:rsidRPr="00997873">
        <w:rPr>
          <w:kern w:val="2"/>
          <w14:ligatures w14:val="standardContextual"/>
        </w:rPr>
        <w:t xml:space="preserve"> emisiju izlīdzināšanas pasākumu ieviešanu un vides vadības un audita sistēmas īstenošanu, lai novērtētu, ziņotu, uzlabotu organizāciju </w:t>
      </w:r>
      <w:proofErr w:type="spellStart"/>
      <w:r w:rsidRPr="00997873">
        <w:rPr>
          <w:kern w:val="2"/>
          <w14:ligatures w14:val="standardContextual"/>
        </w:rPr>
        <w:t>vidisko</w:t>
      </w:r>
      <w:proofErr w:type="spellEnd"/>
      <w:r w:rsidRPr="00997873">
        <w:rPr>
          <w:kern w:val="2"/>
          <w14:ligatures w14:val="standardContextual"/>
        </w:rPr>
        <w:t xml:space="preserve"> sniegumu un taupītu enerģiju; aicina Komisiju veicināt dialogu starp </w:t>
      </w:r>
      <w:r w:rsidRPr="00997873">
        <w:rPr>
          <w:i/>
          <w:iCs/>
          <w:kern w:val="2"/>
          <w14:ligatures w14:val="standardContextual"/>
        </w:rPr>
        <w:t>EPPO</w:t>
      </w:r>
      <w:r w:rsidRPr="00997873">
        <w:rPr>
          <w:kern w:val="2"/>
          <w14:ligatures w14:val="standardContextual"/>
        </w:rPr>
        <w:t xml:space="preserve"> un vietējām uzņēmējām iestādēm, lai nodrošinātu resursu optimālu izmantošanu un </w:t>
      </w:r>
      <w:r w:rsidRPr="00997873">
        <w:rPr>
          <w:i/>
          <w:iCs/>
          <w:kern w:val="2"/>
          <w14:ligatures w14:val="standardContextual"/>
        </w:rPr>
        <w:t>EPPO</w:t>
      </w:r>
      <w:r w:rsidRPr="00997873">
        <w:rPr>
          <w:kern w:val="2"/>
          <w14:ligatures w14:val="standardContextual"/>
        </w:rPr>
        <w:t xml:space="preserve"> darbību saskaņošanu ar Savienības ilgtspēju;</w:t>
      </w:r>
    </w:p>
    <w:p w14:paraId="44A0C3EB"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83.</w:t>
      </w:r>
      <w:r w:rsidRPr="00997873">
        <w:rPr>
          <w:kern w:val="2"/>
          <w14:ligatures w14:val="standardContextual"/>
        </w:rPr>
        <w:tab/>
        <w:t xml:space="preserve">norāda, ka </w:t>
      </w:r>
      <w:r w:rsidRPr="00997873">
        <w:rPr>
          <w:i/>
          <w:iCs/>
          <w:kern w:val="2"/>
          <w14:ligatures w14:val="standardContextual"/>
        </w:rPr>
        <w:t>EPPO</w:t>
      </w:r>
      <w:r w:rsidRPr="00997873">
        <w:rPr>
          <w:kern w:val="2"/>
          <w14:ligatures w14:val="standardContextual"/>
        </w:rPr>
        <w:t xml:space="preserve"> centrālais birojs ir integrēts Luksemburgas bezmaksas sabiedriskā transporta tīklā, kas padara to viegli sasniedzamu, izmantojot transportu ar nelielu ietekmi uz vidi, kas turklāt ir bez maksas darbiniekiem un apmeklētājiem, un ka centrālā biroja pazemes autostāvvietā ir paredzēta īpaša zona velosipēdu novietošanai; apzinās, ka notiek informācijas apmaiņa par e-transportlīdzekļu uzlādes staciju uzstādīšanu </w:t>
      </w:r>
      <w:r w:rsidRPr="00997873">
        <w:rPr>
          <w:kern w:val="2"/>
          <w14:ligatures w14:val="standardContextual"/>
        </w:rPr>
        <w:lastRenderedPageBreak/>
        <w:t>minētajā pazemes autostāvvietā;</w:t>
      </w:r>
    </w:p>
    <w:p w14:paraId="6688F8D8" w14:textId="77777777" w:rsidR="00997873" w:rsidRPr="00997873" w:rsidRDefault="00997873" w:rsidP="00997873">
      <w:pPr>
        <w:spacing w:after="240"/>
        <w:ind w:left="567" w:hanging="567"/>
        <w:rPr>
          <w:b/>
          <w:i/>
          <w:color w:val="000000"/>
          <w:kern w:val="2"/>
          <w:szCs w:val="24"/>
          <w14:ligatures w14:val="standardContextual"/>
        </w:rPr>
      </w:pPr>
      <w:r w:rsidRPr="00997873">
        <w:rPr>
          <w:b/>
          <w:i/>
          <w:color w:val="000000"/>
          <w:kern w:val="2"/>
          <w14:ligatures w14:val="standardContextual"/>
        </w:rPr>
        <w:t>Iestāžu sadarbība</w:t>
      </w:r>
    </w:p>
    <w:p w14:paraId="2FBF5494"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84.</w:t>
      </w:r>
      <w:r w:rsidRPr="00997873">
        <w:rPr>
          <w:kern w:val="2"/>
          <w14:ligatures w14:val="standardContextual"/>
        </w:rPr>
        <w:tab/>
        <w:t xml:space="preserve">uzskata, ka </w:t>
      </w:r>
      <w:r w:rsidRPr="00997873">
        <w:rPr>
          <w:i/>
          <w:iCs/>
          <w:kern w:val="2"/>
          <w14:ligatures w14:val="standardContextual"/>
        </w:rPr>
        <w:t>EPPO</w:t>
      </w:r>
      <w:r w:rsidRPr="00997873">
        <w:rPr>
          <w:kern w:val="2"/>
          <w14:ligatures w14:val="standardContextual"/>
        </w:rPr>
        <w:t xml:space="preserve"> kā būtisks Savienības krāpšanas apkarošanas arhitektūras operatīvais komponents var efektīvi veikt savas funkcijas tikai tad, ja tiek īstenota cieša sadarbība ar tās partneriem un ieinteresētajām personām un tie nodrošina savu atbalstu; atkārtoti norāda, ka savu uzdevumu </w:t>
      </w:r>
      <w:r w:rsidRPr="00997873">
        <w:rPr>
          <w:i/>
          <w:iCs/>
          <w:kern w:val="2"/>
          <w14:ligatures w14:val="standardContextual"/>
        </w:rPr>
        <w:t>EPPO</w:t>
      </w:r>
      <w:r w:rsidRPr="00997873">
        <w:rPr>
          <w:kern w:val="2"/>
          <w14:ligatures w14:val="standardContextual"/>
        </w:rPr>
        <w:t xml:space="preserve"> var pildīt tikai kā pilnīgi neatkarīga tiesu institūcija; mudina dalībvalstis šajā sakarībā veicināt </w:t>
      </w:r>
      <w:r w:rsidRPr="00997873">
        <w:rPr>
          <w:i/>
          <w:iCs/>
          <w:kern w:val="2"/>
          <w14:ligatures w14:val="standardContextual"/>
        </w:rPr>
        <w:t>EPPO</w:t>
      </w:r>
      <w:r w:rsidRPr="00997873">
        <w:rPr>
          <w:kern w:val="2"/>
          <w14:ligatures w14:val="standardContextual"/>
        </w:rPr>
        <w:t xml:space="preserve"> pilnīgu neatkarību un mudina </w:t>
      </w:r>
      <w:r w:rsidRPr="00997873">
        <w:rPr>
          <w:i/>
          <w:iCs/>
          <w:kern w:val="2"/>
          <w14:ligatures w14:val="standardContextual"/>
        </w:rPr>
        <w:t>EPPO</w:t>
      </w:r>
      <w:r w:rsidRPr="00997873">
        <w:rPr>
          <w:kern w:val="2"/>
          <w14:ligatures w14:val="standardContextual"/>
        </w:rPr>
        <w:t xml:space="preserve"> turpināt komunikācijas un koordinācijas centienus ar vairākiem partneriem, kuru darbība ir izstrādāta tā, lai tā būtu savstarpēja un papildinoša;</w:t>
      </w:r>
    </w:p>
    <w:p w14:paraId="5A1C9100"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85.</w:t>
      </w:r>
      <w:r w:rsidRPr="00997873">
        <w:rPr>
          <w:kern w:val="2"/>
          <w14:ligatures w14:val="standardContextual"/>
        </w:rPr>
        <w:tab/>
        <w:t xml:space="preserve">atzinīgi vērtē </w:t>
      </w:r>
      <w:r w:rsidRPr="00997873">
        <w:rPr>
          <w:i/>
          <w:iCs/>
          <w:kern w:val="2"/>
          <w14:ligatures w14:val="standardContextual"/>
        </w:rPr>
        <w:t>OLAF</w:t>
      </w:r>
      <w:r w:rsidRPr="00997873">
        <w:rPr>
          <w:kern w:val="2"/>
          <w14:ligatures w14:val="standardContextual"/>
        </w:rPr>
        <w:t xml:space="preserve"> un </w:t>
      </w:r>
      <w:r w:rsidRPr="00997873">
        <w:rPr>
          <w:i/>
          <w:iCs/>
          <w:kern w:val="2"/>
          <w14:ligatures w14:val="standardContextual"/>
        </w:rPr>
        <w:t>EPPO</w:t>
      </w:r>
      <w:r w:rsidRPr="00997873">
        <w:rPr>
          <w:kern w:val="2"/>
          <w14:ligatures w14:val="standardContextual"/>
        </w:rPr>
        <w:t xml:space="preserve"> uzsāktās iniciatīvas, lai pastiprinātu un racionalizētu savstarpējo operatīvo sadarbību un kopīgotu zināšanas iesaistīto dalībnieku starpā; atzinīgi vērtē pirmo starptautisko konferenci, kas deva iespēju apmainīties viedokļiem starp </w:t>
      </w:r>
      <w:r w:rsidRPr="00997873">
        <w:rPr>
          <w:i/>
          <w:iCs/>
          <w:kern w:val="2"/>
          <w14:ligatures w14:val="standardContextual"/>
        </w:rPr>
        <w:t>EPPO</w:t>
      </w:r>
      <w:r w:rsidRPr="00997873">
        <w:rPr>
          <w:kern w:val="2"/>
          <w14:ligatures w14:val="standardContextual"/>
        </w:rPr>
        <w:t xml:space="preserve"> prokuroriem un </w:t>
      </w:r>
      <w:r w:rsidRPr="00997873">
        <w:rPr>
          <w:i/>
          <w:iCs/>
          <w:kern w:val="2"/>
          <w14:ligatures w14:val="standardContextual"/>
        </w:rPr>
        <w:t>OLAF</w:t>
      </w:r>
      <w:r w:rsidRPr="00997873">
        <w:rPr>
          <w:kern w:val="2"/>
          <w14:ligatures w14:val="standardContextual"/>
        </w:rPr>
        <w:t xml:space="preserve"> izmeklētājiem un ko Parlaments rīkoja 2024. gadā; uzsver, ka </w:t>
      </w:r>
      <w:r w:rsidRPr="00997873">
        <w:rPr>
          <w:i/>
          <w:iCs/>
          <w:kern w:val="2"/>
          <w14:ligatures w14:val="standardContextual"/>
        </w:rPr>
        <w:t>OLAF</w:t>
      </w:r>
      <w:r w:rsidRPr="00997873">
        <w:rPr>
          <w:kern w:val="2"/>
          <w14:ligatures w14:val="standardContextual"/>
        </w:rPr>
        <w:t xml:space="preserve"> un </w:t>
      </w:r>
      <w:r w:rsidRPr="00997873">
        <w:rPr>
          <w:i/>
          <w:iCs/>
          <w:kern w:val="2"/>
          <w14:ligatures w14:val="standardContextual"/>
        </w:rPr>
        <w:t>EPPO</w:t>
      </w:r>
      <w:r w:rsidRPr="00997873">
        <w:rPr>
          <w:kern w:val="2"/>
          <w14:ligatures w14:val="standardContextual"/>
        </w:rPr>
        <w:t xml:space="preserve"> tiesiskā regulējuma pārskatīšana sniedz iespēju pārskatīt daudzus to sadarbības aspektus, ņemot vērā </w:t>
      </w:r>
      <w:r w:rsidRPr="00997873">
        <w:rPr>
          <w:i/>
          <w:iCs/>
          <w:kern w:val="2"/>
          <w14:ligatures w14:val="standardContextual"/>
        </w:rPr>
        <w:t>EPPO</w:t>
      </w:r>
      <w:r w:rsidRPr="00997873">
        <w:rPr>
          <w:kern w:val="2"/>
          <w14:ligatures w14:val="standardContextual"/>
        </w:rPr>
        <w:t xml:space="preserve"> darbības pirmajos gados gūto pieredzi un jo īpaši ņemot vērā </w:t>
      </w:r>
      <w:r w:rsidRPr="00997873">
        <w:rPr>
          <w:i/>
          <w:iCs/>
          <w:kern w:val="2"/>
          <w14:ligatures w14:val="standardContextual"/>
        </w:rPr>
        <w:t>OLAF</w:t>
      </w:r>
      <w:r w:rsidRPr="00997873">
        <w:rPr>
          <w:kern w:val="2"/>
          <w14:ligatures w14:val="standardContextual"/>
        </w:rPr>
        <w:t xml:space="preserve"> papildu izmeklēšanu un administratīvo izmeklēšanu uzsākšanu </w:t>
      </w:r>
      <w:r w:rsidRPr="00997873">
        <w:rPr>
          <w:i/>
          <w:iCs/>
          <w:kern w:val="2"/>
          <w14:ligatures w14:val="standardContextual"/>
        </w:rPr>
        <w:t>EPPO</w:t>
      </w:r>
      <w:r w:rsidRPr="00997873">
        <w:rPr>
          <w:kern w:val="2"/>
          <w14:ligatures w14:val="standardContextual"/>
        </w:rPr>
        <w:t xml:space="preserve"> atbalstam, kā arī </w:t>
      </w:r>
      <w:r w:rsidRPr="00997873">
        <w:rPr>
          <w:i/>
          <w:iCs/>
          <w:kern w:val="2"/>
          <w14:ligatures w14:val="standardContextual"/>
        </w:rPr>
        <w:t>OLAF</w:t>
      </w:r>
      <w:r w:rsidRPr="00997873">
        <w:rPr>
          <w:kern w:val="2"/>
          <w14:ligatures w14:val="standardContextual"/>
        </w:rPr>
        <w:t xml:space="preserve"> pieaugošo lomu krāpšanas atklāšanā un ziņošanā par to </w:t>
      </w:r>
      <w:r w:rsidRPr="00997873">
        <w:rPr>
          <w:i/>
          <w:iCs/>
          <w:kern w:val="2"/>
          <w14:ligatures w14:val="standardContextual"/>
        </w:rPr>
        <w:t>EPPO</w:t>
      </w:r>
      <w:r w:rsidRPr="00997873">
        <w:rPr>
          <w:kern w:val="2"/>
          <w14:ligatures w14:val="standardContextual"/>
        </w:rPr>
        <w:t xml:space="preserve"> nolūkā atbalstīt Savienības budžetam nodarītā zaudējuma atlīdzināšanu; uzskata, ka krāpšanas apkarošanas arhitektūrā dialoga un sadarbības efektivitāti varētu palielināt, izveidojot regulāru </w:t>
      </w:r>
      <w:proofErr w:type="spellStart"/>
      <w:r w:rsidRPr="00997873">
        <w:rPr>
          <w:kern w:val="2"/>
          <w14:ligatures w14:val="standardContextual"/>
        </w:rPr>
        <w:t>starpiestāžu</w:t>
      </w:r>
      <w:proofErr w:type="spellEnd"/>
      <w:r w:rsidRPr="00997873">
        <w:rPr>
          <w:kern w:val="2"/>
          <w14:ligatures w14:val="standardContextual"/>
        </w:rPr>
        <w:t xml:space="preserve"> forumu, lai optimizētu pieejamo resursu efektivitāti un lietderību darbībā;</w:t>
      </w:r>
    </w:p>
    <w:p w14:paraId="14F381AC"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86.</w:t>
      </w:r>
      <w:r w:rsidRPr="00997873">
        <w:rPr>
          <w:kern w:val="2"/>
          <w14:ligatures w14:val="standardContextual"/>
        </w:rPr>
        <w:tab/>
        <w:t xml:space="preserve">atzinīgi vērtē </w:t>
      </w:r>
      <w:r w:rsidRPr="00997873">
        <w:rPr>
          <w:i/>
          <w:iCs/>
          <w:kern w:val="2"/>
          <w14:ligatures w14:val="standardContextual"/>
        </w:rPr>
        <w:t>OLAF</w:t>
      </w:r>
      <w:r w:rsidRPr="00997873">
        <w:rPr>
          <w:kern w:val="2"/>
          <w14:ligatures w14:val="standardContextual"/>
        </w:rPr>
        <w:t xml:space="preserve"> un </w:t>
      </w:r>
      <w:r w:rsidRPr="00997873">
        <w:rPr>
          <w:i/>
          <w:iCs/>
          <w:kern w:val="2"/>
          <w14:ligatures w14:val="standardContextual"/>
        </w:rPr>
        <w:t>EPPO</w:t>
      </w:r>
      <w:r w:rsidRPr="00997873">
        <w:rPr>
          <w:kern w:val="2"/>
          <w14:ligatures w14:val="standardContextual"/>
        </w:rPr>
        <w:t xml:space="preserve"> uzsāktās iniciatīvas, lai pastiprinātu dialogu operatīvās darbības jomā un uzlabotu koordināciju; uzsver, cik svarīga ir pilnīga un efektīva datu apmaiņa starp </w:t>
      </w:r>
      <w:r w:rsidRPr="00997873">
        <w:rPr>
          <w:i/>
          <w:iCs/>
          <w:kern w:val="2"/>
          <w14:ligatures w14:val="standardContextual"/>
        </w:rPr>
        <w:t>EPPO</w:t>
      </w:r>
      <w:r w:rsidRPr="00997873">
        <w:rPr>
          <w:kern w:val="2"/>
          <w14:ligatures w14:val="standardContextual"/>
        </w:rPr>
        <w:t xml:space="preserve">, </w:t>
      </w:r>
      <w:r w:rsidRPr="00997873">
        <w:rPr>
          <w:i/>
          <w:iCs/>
          <w:kern w:val="2"/>
          <w14:ligatures w14:val="standardContextual"/>
        </w:rPr>
        <w:t>OLAF</w:t>
      </w:r>
      <w:r w:rsidRPr="00997873">
        <w:rPr>
          <w:kern w:val="2"/>
          <w14:ligatures w14:val="standardContextual"/>
        </w:rPr>
        <w:t xml:space="preserve">, </w:t>
      </w:r>
      <w:proofErr w:type="spellStart"/>
      <w:r w:rsidRPr="00997873">
        <w:rPr>
          <w:i/>
          <w:iCs/>
          <w:kern w:val="2"/>
          <w14:ligatures w14:val="standardContextual"/>
        </w:rPr>
        <w:t>Eurojust</w:t>
      </w:r>
      <w:proofErr w:type="spellEnd"/>
      <w:r w:rsidRPr="00997873">
        <w:rPr>
          <w:kern w:val="2"/>
          <w14:ligatures w14:val="standardContextual"/>
        </w:rPr>
        <w:t xml:space="preserve"> un Eiropolu, lai nodrošinātu netraucētu sadarbību cīņā pret pārrobežu krāpšanu; aicina izveidot kopīgu darba grupu, lai pārraudzītu datu integrāciju un lietu pārvaldības efektivitāti starp šīm struktūrām;</w:t>
      </w:r>
    </w:p>
    <w:p w14:paraId="5CC260B3"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87.</w:t>
      </w:r>
      <w:r w:rsidRPr="00997873">
        <w:rPr>
          <w:kern w:val="2"/>
          <w14:ligatures w14:val="standardContextual"/>
        </w:rPr>
        <w:tab/>
        <w:t xml:space="preserve">mudina turpināt un pastiprināt </w:t>
      </w:r>
      <w:r w:rsidRPr="00997873">
        <w:rPr>
          <w:i/>
          <w:iCs/>
          <w:kern w:val="2"/>
          <w14:ligatures w14:val="standardContextual"/>
        </w:rPr>
        <w:t>EPPO</w:t>
      </w:r>
      <w:r w:rsidRPr="00997873">
        <w:rPr>
          <w:kern w:val="2"/>
          <w14:ligatures w14:val="standardContextual"/>
        </w:rPr>
        <w:t xml:space="preserve"> un </w:t>
      </w:r>
      <w:r w:rsidRPr="00997873">
        <w:rPr>
          <w:i/>
          <w:iCs/>
          <w:kern w:val="2"/>
          <w14:ligatures w14:val="standardContextual"/>
        </w:rPr>
        <w:t>OLAF</w:t>
      </w:r>
      <w:r w:rsidRPr="00997873">
        <w:rPr>
          <w:kern w:val="2"/>
          <w14:ligatures w14:val="standardContextual"/>
        </w:rPr>
        <w:t xml:space="preserve"> sadarbību saskaņā ar to attiecīgajām regulām, kā arī </w:t>
      </w:r>
      <w:r w:rsidRPr="00997873">
        <w:rPr>
          <w:i/>
          <w:iCs/>
          <w:kern w:val="2"/>
          <w14:ligatures w14:val="standardContextual"/>
        </w:rPr>
        <w:t>OLAF</w:t>
      </w:r>
      <w:r w:rsidRPr="00997873">
        <w:rPr>
          <w:kern w:val="2"/>
          <w14:ligatures w14:val="standardContextual"/>
        </w:rPr>
        <w:t xml:space="preserve"> pienākumu bez liekas kavēšanās ziņot </w:t>
      </w:r>
      <w:r w:rsidRPr="00997873">
        <w:rPr>
          <w:i/>
          <w:iCs/>
          <w:kern w:val="2"/>
          <w14:ligatures w14:val="standardContextual"/>
        </w:rPr>
        <w:t>EPPO</w:t>
      </w:r>
      <w:r w:rsidRPr="00997873">
        <w:rPr>
          <w:kern w:val="2"/>
          <w14:ligatures w14:val="standardContextual"/>
        </w:rPr>
        <w:t xml:space="preserve"> par aizdomām par noziedzīgiem sakariem, lai tā varētu apkarot krāpšanu, korupciju un finanšu noziegumus, kas skar Savienības finanšu intereses; atbalsta to, ka starp </w:t>
      </w:r>
      <w:r w:rsidRPr="00997873">
        <w:rPr>
          <w:i/>
          <w:iCs/>
          <w:kern w:val="2"/>
          <w14:ligatures w14:val="standardContextual"/>
        </w:rPr>
        <w:t>EPPO</w:t>
      </w:r>
      <w:r w:rsidRPr="00997873">
        <w:rPr>
          <w:kern w:val="2"/>
          <w14:ligatures w14:val="standardContextual"/>
        </w:rPr>
        <w:t xml:space="preserve"> un </w:t>
      </w:r>
      <w:r w:rsidRPr="00997873">
        <w:rPr>
          <w:i/>
          <w:iCs/>
          <w:kern w:val="2"/>
          <w14:ligatures w14:val="standardContextual"/>
        </w:rPr>
        <w:t>OLAF</w:t>
      </w:r>
      <w:r w:rsidRPr="00997873">
        <w:rPr>
          <w:kern w:val="2"/>
          <w14:ligatures w14:val="standardContextual"/>
        </w:rPr>
        <w:t xml:space="preserve"> tiek vairāk attīstītas kopīgas iniciatīvas, informācijas apmaiņa un saskaņotas darbības, jo šāda sadarbība ir būtiska, lai stiprinātu Savienības finanšu interešu aizsardzību un Savienības cīņu pret finanšu noziegumiem un nodrošinātu Savienības resursu efektīvu un lietderīgu izmantošanu;</w:t>
      </w:r>
    </w:p>
    <w:p w14:paraId="28049C3A"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88.</w:t>
      </w:r>
      <w:r w:rsidRPr="00997873">
        <w:rPr>
          <w:kern w:val="2"/>
          <w14:ligatures w14:val="standardContextual"/>
        </w:rPr>
        <w:tab/>
        <w:t xml:space="preserve">atzinīgi vērtē </w:t>
      </w:r>
      <w:r w:rsidRPr="00997873">
        <w:rPr>
          <w:i/>
          <w:iCs/>
          <w:kern w:val="2"/>
          <w14:ligatures w14:val="standardContextual"/>
        </w:rPr>
        <w:t>EPPO</w:t>
      </w:r>
      <w:r w:rsidRPr="00997873">
        <w:rPr>
          <w:kern w:val="2"/>
          <w14:ligatures w14:val="standardContextual"/>
        </w:rPr>
        <w:t xml:space="preserve"> un Revīzijas palātas ciešo sadarbību 2023. gadā, kuras rezultātā savlaicīgi tika nosūtīta informācija saistībā ar aizdomām par noziedzīgiem nodarījumiem, kas ietilpst </w:t>
      </w:r>
      <w:r w:rsidRPr="00997873">
        <w:rPr>
          <w:i/>
          <w:iCs/>
          <w:kern w:val="2"/>
          <w14:ligatures w14:val="standardContextual"/>
        </w:rPr>
        <w:t>EPPO</w:t>
      </w:r>
      <w:r w:rsidRPr="00997873">
        <w:rPr>
          <w:kern w:val="2"/>
          <w14:ligatures w14:val="standardContextual"/>
        </w:rPr>
        <w:t xml:space="preserve"> kompetencē;</w:t>
      </w:r>
    </w:p>
    <w:p w14:paraId="53EA37CF"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89.</w:t>
      </w:r>
      <w:r w:rsidRPr="00997873">
        <w:rPr>
          <w:kern w:val="2"/>
          <w14:ligatures w14:val="standardContextual"/>
        </w:rPr>
        <w:tab/>
        <w:t xml:space="preserve">sagaida, ka darba grupa, kas izveidota kopā ar Komisiju, un sanāksmes par Komisijas un </w:t>
      </w:r>
      <w:r w:rsidRPr="00997873">
        <w:rPr>
          <w:i/>
          <w:iCs/>
          <w:kern w:val="2"/>
          <w14:ligatures w14:val="standardContextual"/>
        </w:rPr>
        <w:t>EPPO</w:t>
      </w:r>
      <w:r w:rsidRPr="00997873">
        <w:rPr>
          <w:kern w:val="2"/>
          <w14:ligatures w14:val="standardContextual"/>
        </w:rPr>
        <w:t xml:space="preserve"> darba kārtības īstenošanu nodrošinās, ka </w:t>
      </w:r>
      <w:r w:rsidRPr="00997873">
        <w:rPr>
          <w:i/>
          <w:iCs/>
          <w:kern w:val="2"/>
          <w14:ligatures w14:val="standardContextual"/>
        </w:rPr>
        <w:t>EPPO</w:t>
      </w:r>
      <w:r w:rsidRPr="00997873">
        <w:rPr>
          <w:kern w:val="2"/>
          <w14:ligatures w14:val="standardContextual"/>
        </w:rPr>
        <w:t xml:space="preserve"> paziņojumi administratīvās piedziņas nolūkā, kā paredzēts Regulas (ES) 2017/1939 103. panta 2. punkta c) apakšpunktā, pienācīgi un efektīvi ļaus Komisijai maksimāli palielināt Savienības budžetā atgūtos līdzekļus, vienlaikus ievērojot konfidencialitāti un pienācīgi veicot izmeklēšanas darbības; uzsver, ka šajā konkrētajā kontekstā neviena no pusēm vēl nav sniegusi atgriezenisko saiti, tādējādi liedzot likumdevējiem gūt visaptverošu izpratni par </w:t>
      </w:r>
      <w:r w:rsidRPr="00997873">
        <w:rPr>
          <w:kern w:val="2"/>
          <w14:ligatures w14:val="standardContextual"/>
        </w:rPr>
        <w:lastRenderedPageBreak/>
        <w:t xml:space="preserve">pamatā esošajām problēmām, tostarp par konkrētām summām, ko Komisija katru gadu atgūst no dalībvalstīm gadījumos, kad Savienības budžetam nodarīti zaudējumi; uzsver, ka Komisija joprojām ir atbildīga par līdzekļu atgūšanu, ko veic valstu iestādes, kā minēts pilnvarojuma vēstulē budžeta, krāpšanas apkarošanas un publiskās pārvaldes komisāram, savukārt </w:t>
      </w:r>
      <w:r w:rsidRPr="00997873">
        <w:rPr>
          <w:i/>
          <w:iCs/>
          <w:kern w:val="2"/>
          <w14:ligatures w14:val="standardContextual"/>
        </w:rPr>
        <w:t>EPPO</w:t>
      </w:r>
      <w:r w:rsidRPr="00997873">
        <w:rPr>
          <w:kern w:val="2"/>
          <w14:ligatures w14:val="standardContextual"/>
        </w:rPr>
        <w:t xml:space="preserve"> nav pilnvaru veikt turpmākus pasākumus saistībā ar atgūšanas procesu; aicina dalībvalstis stiprināt sadarbību un informēt gan Komisiju, gan </w:t>
      </w:r>
      <w:r w:rsidRPr="00997873">
        <w:rPr>
          <w:i/>
          <w:iCs/>
          <w:kern w:val="2"/>
          <w14:ligatures w14:val="standardContextual"/>
        </w:rPr>
        <w:t>EPPO</w:t>
      </w:r>
      <w:r w:rsidRPr="00997873">
        <w:rPr>
          <w:kern w:val="2"/>
          <w14:ligatures w14:val="standardContextual"/>
        </w:rPr>
        <w:t xml:space="preserve"> par galīgās konfiskācijas gadījumiem; mudina pārskatīt attiecīgās regulas, lai precizētu </w:t>
      </w:r>
      <w:r w:rsidRPr="00997873">
        <w:rPr>
          <w:i/>
          <w:iCs/>
          <w:kern w:val="2"/>
          <w14:ligatures w14:val="standardContextual"/>
        </w:rPr>
        <w:t>EPPO</w:t>
      </w:r>
      <w:r w:rsidRPr="00997873">
        <w:rPr>
          <w:kern w:val="2"/>
          <w14:ligatures w14:val="standardContextual"/>
        </w:rPr>
        <w:t xml:space="preserve"> lomu atgūšanas procesā; un mudina </w:t>
      </w:r>
      <w:r w:rsidRPr="00997873">
        <w:rPr>
          <w:i/>
          <w:iCs/>
          <w:kern w:val="2"/>
          <w14:ligatures w14:val="standardContextual"/>
        </w:rPr>
        <w:t>EPPO</w:t>
      </w:r>
      <w:r w:rsidRPr="00997873">
        <w:rPr>
          <w:kern w:val="2"/>
          <w14:ligatures w14:val="standardContextual"/>
        </w:rPr>
        <w:t xml:space="preserve"> un Komisiju pieņemt saskaņotu pieeju Parlamentam paredzēto ziņojumu sniegšanai; apzinās, ka šai sakarā varētu būt nepieciešama </w:t>
      </w:r>
      <w:r w:rsidRPr="00997873">
        <w:rPr>
          <w:i/>
          <w:kern w:val="2"/>
          <w14:ligatures w14:val="standardContextual"/>
        </w:rPr>
        <w:t>EPPO</w:t>
      </w:r>
      <w:r w:rsidRPr="00997873">
        <w:rPr>
          <w:kern w:val="2"/>
          <w14:ligatures w14:val="standardContextual"/>
        </w:rPr>
        <w:t xml:space="preserve"> LPS atbilstīga pilnveide, un prasa Komisijai noteikt prioritāti resursu piešķiršanai </w:t>
      </w:r>
      <w:r w:rsidRPr="00997873">
        <w:rPr>
          <w:i/>
          <w:kern w:val="2"/>
          <w14:ligatures w14:val="standardContextual"/>
        </w:rPr>
        <w:t>EPPO</w:t>
      </w:r>
      <w:r w:rsidRPr="00997873">
        <w:rPr>
          <w:kern w:val="2"/>
          <w14:ligatures w14:val="standardContextual"/>
        </w:rPr>
        <w:t>, lai nodrošinātu šo vajadzību;</w:t>
      </w:r>
    </w:p>
    <w:p w14:paraId="5B6BD8C3" w14:textId="77777777" w:rsidR="00997873" w:rsidRPr="00997873" w:rsidRDefault="00997873" w:rsidP="00997873">
      <w:pPr>
        <w:spacing w:after="240"/>
        <w:ind w:left="567" w:hanging="567"/>
        <w:rPr>
          <w:b/>
          <w:i/>
          <w:kern w:val="2"/>
          <w14:ligatures w14:val="standardContextual"/>
        </w:rPr>
      </w:pPr>
      <w:r w:rsidRPr="00997873">
        <w:rPr>
          <w:kern w:val="2"/>
          <w14:ligatures w14:val="standardContextual"/>
        </w:rPr>
        <w:t>90.</w:t>
      </w:r>
      <w:r w:rsidRPr="00997873">
        <w:rPr>
          <w:kern w:val="2"/>
          <w14:ligatures w14:val="standardContextual"/>
        </w:rPr>
        <w:tab/>
        <w:t>atzinīgi vērtē ciešāku sadarbību ar Eiropolu; norāda, ka Operatīvās digitālās infrastruktūras tīkla (</w:t>
      </w:r>
      <w:r w:rsidRPr="00997873">
        <w:rPr>
          <w:i/>
          <w:iCs/>
          <w:kern w:val="2"/>
          <w14:ligatures w14:val="standardContextual"/>
        </w:rPr>
        <w:t>ODIN</w:t>
      </w:r>
      <w:r w:rsidRPr="00997873">
        <w:rPr>
          <w:kern w:val="2"/>
          <w14:ligatures w14:val="standardContextual"/>
        </w:rPr>
        <w:t xml:space="preserve">) programma dotu iespēju pilnībā izmantot </w:t>
      </w:r>
      <w:r w:rsidRPr="00997873">
        <w:rPr>
          <w:i/>
          <w:iCs/>
          <w:kern w:val="2"/>
          <w14:ligatures w14:val="standardContextual"/>
        </w:rPr>
        <w:t>EPPO</w:t>
      </w:r>
      <w:r w:rsidRPr="00997873">
        <w:rPr>
          <w:kern w:val="2"/>
          <w14:ligatures w14:val="standardContextual"/>
        </w:rPr>
        <w:t xml:space="preserve"> izmeklēšanās iegūto datu apjomu (vairāk nekā 1 000 terabiti, turklāt apjoms turpina palielināties); norāda, ka minētajā satvarā </w:t>
      </w:r>
      <w:r w:rsidRPr="00997873">
        <w:rPr>
          <w:i/>
          <w:iCs/>
          <w:kern w:val="2"/>
          <w14:ligatures w14:val="standardContextual"/>
        </w:rPr>
        <w:t>EPPO</w:t>
      </w:r>
      <w:r w:rsidRPr="00997873">
        <w:rPr>
          <w:kern w:val="2"/>
          <w14:ligatures w14:val="standardContextual"/>
        </w:rPr>
        <w:t xml:space="preserve"> ir identificējusi iespējamus noziegumus ārpus tās kompetenču jomas, tai skaitā organizēto noziedzību, narkotiku tirdzniecību, nelegālu cigarešu ražošanu, krāpšanos ar ieguldījumiem, nelikumīgas azartspēles un prostitūciju (ar FIA nesaistīti nodarījumi) un citus noziegumus, kā rezultātā vairākas lietas kā būtiski pierādījumi ir nodotas notiekošo valstu izmeklēšanu veicējiem, un ka valstu prokuratūras ir ierosinājušas 28 jaunas lietas, lai turpinātu izmeklēt šādus ar FIA nesaistītus nodarījumus, kas ir ārpus </w:t>
      </w:r>
      <w:r w:rsidRPr="00997873">
        <w:rPr>
          <w:i/>
          <w:iCs/>
          <w:kern w:val="2"/>
          <w14:ligatures w14:val="standardContextual"/>
        </w:rPr>
        <w:t>EPPO</w:t>
      </w:r>
      <w:r w:rsidRPr="00997873">
        <w:rPr>
          <w:kern w:val="2"/>
          <w14:ligatures w14:val="standardContextual"/>
        </w:rPr>
        <w:t xml:space="preserve"> kompetences; tomēr saprot, ka saistībā ar šo un citām analīzēm sadarbību ar Eiropolu negatīvi ietekmē ierobežojumi, kas izriet no valstu kriminālprocesa tiesību aktiem un </w:t>
      </w:r>
      <w:r w:rsidRPr="00997873">
        <w:rPr>
          <w:i/>
          <w:kern w:val="2"/>
          <w14:ligatures w14:val="standardContextual"/>
        </w:rPr>
        <w:t>EPPO</w:t>
      </w:r>
      <w:r w:rsidRPr="00997873">
        <w:rPr>
          <w:kern w:val="2"/>
          <w14:ligatures w14:val="standardContextual"/>
        </w:rPr>
        <w:t xml:space="preserve"> piederošo datu pieejamību; uzsver, ka </w:t>
      </w:r>
      <w:r w:rsidRPr="00997873">
        <w:rPr>
          <w:i/>
          <w:iCs/>
          <w:kern w:val="2"/>
          <w14:ligatures w14:val="standardContextual"/>
        </w:rPr>
        <w:t>EPPO</w:t>
      </w:r>
      <w:r w:rsidRPr="00997873">
        <w:rPr>
          <w:kern w:val="2"/>
          <w14:ligatures w14:val="standardContextual"/>
        </w:rPr>
        <w:t xml:space="preserve"> pašreizējā kompetence izmeklēt organizēto noziedzību un nelikumīgi iegūtu līdzekļu legalizāciju saistībā ar krāpšanu, kas apdraud Savienības finanšu intereses, būtu jāatbalsta, nodrošinot pienācīgus resursus un īstenojot efektīvu sadarbību ar Eiropolu; uzskata – lai gan ir jāturpina uzlabot sadarbību ar Eiropolu, tā nevar pilnībā aizstāt </w:t>
      </w:r>
      <w:r w:rsidRPr="00997873">
        <w:rPr>
          <w:i/>
          <w:iCs/>
          <w:kern w:val="2"/>
          <w14:ligatures w14:val="standardContextual"/>
        </w:rPr>
        <w:t>EPPO</w:t>
      </w:r>
      <w:r w:rsidRPr="00997873">
        <w:rPr>
          <w:kern w:val="2"/>
          <w14:ligatures w14:val="standardContextual"/>
        </w:rPr>
        <w:t xml:space="preserve"> iekšējās analītiskās platformas izveidi, kas joprojām ir būtiska, lai ātri interpretētu tās izmeklēšanu laikā iegūtos datus un noteiktu darbības stratēģijas pārrobežu lietās, kurās nepieciešama piekļuve visai </w:t>
      </w:r>
      <w:r w:rsidRPr="00997873">
        <w:rPr>
          <w:i/>
          <w:iCs/>
          <w:kern w:val="2"/>
          <w14:ligatures w14:val="standardContextual"/>
        </w:rPr>
        <w:t>EPPO</w:t>
      </w:r>
      <w:r w:rsidRPr="00997873">
        <w:rPr>
          <w:kern w:val="2"/>
          <w14:ligatures w14:val="standardContextual"/>
        </w:rPr>
        <w:t xml:space="preserve"> LPS; atgādina, ka Komisijai, drīzumā gatavojot novērtējuma ziņojumu, vajadzētu rūpīgi izanalizēt, kādas jaunas noziegumu kategorijas ir jāiekļauj </w:t>
      </w:r>
      <w:r w:rsidRPr="00997873">
        <w:rPr>
          <w:i/>
          <w:iCs/>
          <w:kern w:val="2"/>
          <w14:ligatures w14:val="standardContextual"/>
        </w:rPr>
        <w:t>EPPO</w:t>
      </w:r>
      <w:r w:rsidRPr="00997873">
        <w:rPr>
          <w:kern w:val="2"/>
          <w14:ligatures w14:val="standardContextual"/>
        </w:rPr>
        <w:t xml:space="preserve"> pilnvarās, lai tā pilnībā izmantotu savas iespējas; atzinīgi vērtē </w:t>
      </w:r>
      <w:r w:rsidRPr="00997873">
        <w:rPr>
          <w:i/>
          <w:iCs/>
          <w:kern w:val="2"/>
          <w14:ligatures w14:val="standardContextual"/>
        </w:rPr>
        <w:t>EPPO</w:t>
      </w:r>
      <w:r w:rsidRPr="00997873">
        <w:rPr>
          <w:kern w:val="2"/>
          <w14:ligatures w14:val="standardContextual"/>
        </w:rPr>
        <w:t xml:space="preserve"> aicinājumu pastiprināt sadarbību ar Savienības iestādēm;</w:t>
      </w:r>
    </w:p>
    <w:p w14:paraId="5367A581"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91.</w:t>
      </w:r>
      <w:r w:rsidRPr="00997873">
        <w:rPr>
          <w:kern w:val="2"/>
          <w14:ligatures w14:val="standardContextual"/>
        </w:rPr>
        <w:tab/>
        <w:t xml:space="preserve">pauž bažas par pieaugošo lietu skaitu saistībā ar ANM; atzinīgi vērtē informācijas par šo jautājumu savlaicīgu sniegšanu Komisijai un attiecīgajām Parlamenta komitejām; uzskata, ka lielais ierosināto lietu skaits saistībā ar ANM līdzekļiem pamato intensīvāku informācijas apmaiņu, jo īpaši ar Atveseļošanas un noturības darba grupu, lai apzinātu iespējamos uzraudzības vai kontroles trūkumus vai krāpšanas modeļus un dotu iespēju Komisijai atjaunināt savus darbības uzraudzības mehānismus un īstenot nesen izstrādātos riska mazināšanas un piedziņas pasākumus; atkārtoti uzsver, ka ANM līdzekļi ir Savienības nevis valstu līdzekļi un ietilpst </w:t>
      </w:r>
      <w:r w:rsidRPr="00997873">
        <w:rPr>
          <w:i/>
          <w:kern w:val="2"/>
          <w14:ligatures w14:val="standardContextual"/>
        </w:rPr>
        <w:t>EPPO</w:t>
      </w:r>
      <w:r w:rsidRPr="00997873">
        <w:rPr>
          <w:kern w:val="2"/>
          <w14:ligatures w14:val="standardContextual"/>
        </w:rPr>
        <w:t xml:space="preserve"> jurisdikcijā, un mudina Komisiju un citas Savienības struktūras un iestādes pastiprināt atklāšanas centienus un ziņot </w:t>
      </w:r>
      <w:r w:rsidRPr="00997873">
        <w:rPr>
          <w:i/>
          <w:kern w:val="2"/>
          <w14:ligatures w14:val="standardContextual"/>
        </w:rPr>
        <w:t>EPPO</w:t>
      </w:r>
      <w:r w:rsidRPr="00997873">
        <w:rPr>
          <w:kern w:val="2"/>
          <w14:ligatures w14:val="standardContextual"/>
        </w:rPr>
        <w:t xml:space="preserve"> par katru attiecīgo situāciju;</w:t>
      </w:r>
    </w:p>
    <w:p w14:paraId="4A451895"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92.</w:t>
      </w:r>
      <w:r w:rsidRPr="00997873">
        <w:rPr>
          <w:kern w:val="2"/>
          <w14:ligatures w14:val="standardContextual"/>
        </w:rPr>
        <w:tab/>
        <w:t xml:space="preserve">atzinīgi vērtē to, ka </w:t>
      </w:r>
      <w:r w:rsidRPr="00997873">
        <w:rPr>
          <w:i/>
          <w:iCs/>
          <w:kern w:val="2"/>
          <w14:ligatures w14:val="standardContextual"/>
        </w:rPr>
        <w:t>EPPO</w:t>
      </w:r>
      <w:r w:rsidRPr="00997873">
        <w:rPr>
          <w:kern w:val="2"/>
          <w14:ligatures w14:val="standardContextual"/>
        </w:rPr>
        <w:t xml:space="preserve"> 2024. gada novembrī parakstīja darba vienošanos ar Parlamentu, nosakot skaidru sadarbības kārtību Savienības finanšu interešu aizsardzībai;</w:t>
      </w:r>
    </w:p>
    <w:p w14:paraId="57CCFA59" w14:textId="77777777" w:rsidR="00997873" w:rsidRPr="00997873" w:rsidRDefault="00997873" w:rsidP="00997873">
      <w:pPr>
        <w:spacing w:after="240"/>
        <w:ind w:left="567" w:hanging="567"/>
        <w:rPr>
          <w:bCs/>
          <w:kern w:val="2"/>
          <w:szCs w:val="24"/>
          <w14:ligatures w14:val="standardContextual"/>
        </w:rPr>
      </w:pPr>
      <w:r w:rsidRPr="00997873">
        <w:rPr>
          <w:kern w:val="2"/>
          <w14:ligatures w14:val="standardContextual"/>
        </w:rPr>
        <w:t>93.</w:t>
      </w:r>
      <w:r w:rsidRPr="00997873">
        <w:rPr>
          <w:kern w:val="2"/>
          <w14:ligatures w14:val="standardContextual"/>
        </w:rPr>
        <w:tab/>
        <w:t xml:space="preserve">norāda, ka 2023. gadā </w:t>
      </w:r>
      <w:r w:rsidRPr="00997873">
        <w:rPr>
          <w:i/>
          <w:iCs/>
          <w:kern w:val="2"/>
          <w14:ligatures w14:val="standardContextual"/>
        </w:rPr>
        <w:t>EPPO</w:t>
      </w:r>
      <w:r w:rsidRPr="00997873">
        <w:rPr>
          <w:kern w:val="2"/>
          <w14:ligatures w14:val="standardContextual"/>
        </w:rPr>
        <w:t xml:space="preserve"> turpināja atsaukties uz iestāžu nolīgumiem un divpusējiem </w:t>
      </w:r>
      <w:r w:rsidRPr="00997873">
        <w:rPr>
          <w:kern w:val="2"/>
          <w14:ligatures w14:val="standardContextual"/>
        </w:rPr>
        <w:lastRenderedPageBreak/>
        <w:t xml:space="preserve">nolīgumiem, lai iepirktu preces un pakalpojumus par zemāku cenu; konstatē, ka 2023. gada beigās </w:t>
      </w:r>
      <w:r w:rsidRPr="00997873">
        <w:rPr>
          <w:i/>
          <w:kern w:val="2"/>
          <w14:ligatures w14:val="standardContextual"/>
        </w:rPr>
        <w:t>EPPO</w:t>
      </w:r>
      <w:r w:rsidRPr="00997873">
        <w:rPr>
          <w:kern w:val="2"/>
          <w14:ligatures w14:val="standardContextual"/>
        </w:rPr>
        <w:t xml:space="preserve"> bija aktīva puse 80 iestāžu </w:t>
      </w:r>
      <w:proofErr w:type="spellStart"/>
      <w:r w:rsidRPr="00997873">
        <w:rPr>
          <w:kern w:val="2"/>
          <w14:ligatures w14:val="standardContextual"/>
        </w:rPr>
        <w:t>pamatnolīgumos</w:t>
      </w:r>
      <w:proofErr w:type="spellEnd"/>
      <w:r w:rsidRPr="00997873">
        <w:rPr>
          <w:kern w:val="2"/>
          <w14:ligatures w14:val="standardContextual"/>
        </w:rPr>
        <w:t xml:space="preserve"> un 22 pakalpojumu līmeņa nolīgumos vai citos divpusējos nolīgumos ar citām Savienības struktūrām, lai maksimāli palielinātu finanšu ietaupījumus, izmantojot spēkā esošos līgumiskos instrumentus atbilstīgi pareizas finanšu pārvaldības principiem;</w:t>
      </w:r>
    </w:p>
    <w:p w14:paraId="6DAD0996" w14:textId="77777777" w:rsidR="00997873" w:rsidRPr="00997873" w:rsidRDefault="00997873" w:rsidP="00997873">
      <w:pPr>
        <w:widowControl/>
        <w:autoSpaceDE w:val="0"/>
        <w:autoSpaceDN w:val="0"/>
        <w:adjustRightInd w:val="0"/>
        <w:spacing w:after="240"/>
        <w:ind w:left="567" w:hanging="567"/>
        <w:rPr>
          <w:rFonts w:eastAsia="Calibri"/>
          <w:color w:val="000000"/>
          <w:kern w:val="2"/>
          <w:szCs w:val="24"/>
          <w14:ligatures w14:val="standardContextual"/>
        </w:rPr>
      </w:pPr>
      <w:r w:rsidRPr="00997873">
        <w:rPr>
          <w:kern w:val="2"/>
          <w14:ligatures w14:val="standardContextual"/>
        </w:rPr>
        <w:t>94.</w:t>
      </w:r>
      <w:r w:rsidRPr="00997873">
        <w:rPr>
          <w:kern w:val="2"/>
          <w14:ligatures w14:val="standardContextual"/>
        </w:rPr>
        <w:tab/>
        <w:t xml:space="preserve">īpaši atzinīgi vērtē Polijas un Zviedrijas dalību </w:t>
      </w:r>
      <w:r w:rsidRPr="00997873">
        <w:rPr>
          <w:i/>
          <w:kern w:val="2"/>
          <w14:ligatures w14:val="standardContextual"/>
        </w:rPr>
        <w:t>EPPO</w:t>
      </w:r>
      <w:r w:rsidRPr="00997873">
        <w:rPr>
          <w:kern w:val="2"/>
          <w14:ligatures w14:val="standardContextual"/>
        </w:rPr>
        <w:t xml:space="preserve">; apzinās, ka tas ietekmēs </w:t>
      </w:r>
      <w:r w:rsidRPr="00997873">
        <w:rPr>
          <w:i/>
          <w:iCs/>
          <w:kern w:val="2"/>
          <w14:ligatures w14:val="standardContextual"/>
        </w:rPr>
        <w:t>EPPO</w:t>
      </w:r>
      <w:r w:rsidRPr="00997873">
        <w:rPr>
          <w:kern w:val="2"/>
          <w14:ligatures w14:val="standardContextual"/>
        </w:rPr>
        <w:t xml:space="preserve"> finansējuma vajadzības, un atbalsta </w:t>
      </w:r>
      <w:r w:rsidRPr="00997873">
        <w:rPr>
          <w:i/>
          <w:iCs/>
          <w:kern w:val="2"/>
          <w14:ligatures w14:val="standardContextual"/>
        </w:rPr>
        <w:t>EPPO</w:t>
      </w:r>
      <w:r w:rsidRPr="00997873">
        <w:rPr>
          <w:kern w:val="2"/>
          <w14:ligatures w14:val="standardContextual"/>
        </w:rPr>
        <w:t xml:space="preserve"> prasību nodrošināt </w:t>
      </w:r>
      <w:r w:rsidRPr="00997873">
        <w:rPr>
          <w:i/>
          <w:iCs/>
          <w:kern w:val="2"/>
          <w14:ligatures w14:val="standardContextual"/>
        </w:rPr>
        <w:t>EPPO</w:t>
      </w:r>
      <w:r w:rsidRPr="00997873">
        <w:rPr>
          <w:kern w:val="2"/>
          <w14:ligatures w14:val="standardContextual"/>
        </w:rPr>
        <w:t xml:space="preserve"> nepieciešamos resursus, lai izmantotu Polijas un Zviedrijas līdzdalību savās operatīvajās darbībās; norāda, ka Īrija un Dānija joprojām izmanto savu iespēju nepiedalīties </w:t>
      </w:r>
      <w:r w:rsidRPr="00997873">
        <w:rPr>
          <w:i/>
          <w:iCs/>
          <w:kern w:val="2"/>
          <w14:ligatures w14:val="standardContextual"/>
        </w:rPr>
        <w:t>EPPO</w:t>
      </w:r>
      <w:r w:rsidRPr="00997873">
        <w:rPr>
          <w:kern w:val="2"/>
          <w14:ligatures w14:val="standardContextual"/>
        </w:rPr>
        <w:t xml:space="preserve"> saskaņā ar LESD 21. un 22. protokolu, savukārt Ungārija ir vienīgā dalībvalsts, kas vēl nav pievienojusies </w:t>
      </w:r>
      <w:r w:rsidRPr="00997873">
        <w:rPr>
          <w:i/>
          <w:iCs/>
          <w:kern w:val="2"/>
          <w14:ligatures w14:val="standardContextual"/>
        </w:rPr>
        <w:t>EPPO</w:t>
      </w:r>
      <w:r w:rsidRPr="00997873">
        <w:rPr>
          <w:kern w:val="2"/>
          <w14:ligatures w14:val="standardContextual"/>
        </w:rPr>
        <w:t>;</w:t>
      </w:r>
      <w:r w:rsidRPr="00997873">
        <w:rPr>
          <w:color w:val="000000"/>
          <w:kern w:val="2"/>
          <w14:ligatures w14:val="standardContextual"/>
        </w:rPr>
        <w:t xml:space="preserve"> aicina Ungārijas valdību nekavējoties pievienoties </w:t>
      </w:r>
      <w:r w:rsidRPr="00997873">
        <w:rPr>
          <w:i/>
          <w:iCs/>
          <w:color w:val="000000"/>
          <w:kern w:val="2"/>
          <w14:ligatures w14:val="standardContextual"/>
        </w:rPr>
        <w:t>EPPO</w:t>
      </w:r>
      <w:r w:rsidRPr="00997873">
        <w:rPr>
          <w:color w:val="000000"/>
          <w:kern w:val="2"/>
          <w14:ligatures w14:val="standardContextual"/>
        </w:rPr>
        <w:t xml:space="preserve">; atgādina, ka ir savākti 680000 parakstu par pievienošanos </w:t>
      </w:r>
      <w:r w:rsidRPr="00997873">
        <w:rPr>
          <w:i/>
          <w:iCs/>
          <w:color w:val="000000"/>
          <w:kern w:val="2"/>
          <w14:ligatures w14:val="standardContextual"/>
        </w:rPr>
        <w:t>EPPO</w:t>
      </w:r>
      <w:r w:rsidRPr="00997873">
        <w:rPr>
          <w:color w:val="000000"/>
          <w:kern w:val="2"/>
          <w14:ligatures w14:val="standardContextual"/>
        </w:rPr>
        <w:t>, uzsverot izteiktu sabiedrības prasību pēc uzlabotām tiesiskajām garantijām pret krāpšanu un korupciju, kas ietekmē Savienības finanšu intereses;</w:t>
      </w:r>
    </w:p>
    <w:p w14:paraId="2255B6DB" w14:textId="77777777" w:rsidR="00997873" w:rsidRPr="00997873" w:rsidRDefault="00997873" w:rsidP="00997873">
      <w:pPr>
        <w:spacing w:after="240"/>
        <w:ind w:left="567" w:hanging="567"/>
        <w:rPr>
          <w:kern w:val="2"/>
          <w:szCs w:val="24"/>
          <w14:ligatures w14:val="standardContextual"/>
        </w:rPr>
      </w:pPr>
      <w:r w:rsidRPr="00997873">
        <w:rPr>
          <w:kern w:val="2"/>
          <w14:ligatures w14:val="standardContextual"/>
        </w:rPr>
        <w:t>95.</w:t>
      </w:r>
      <w:r w:rsidRPr="00997873">
        <w:rPr>
          <w:kern w:val="2"/>
          <w14:ligatures w14:val="standardContextual"/>
        </w:rPr>
        <w:tab/>
        <w:t xml:space="preserve">konstatē, ka 2023. gadā Īrijas iestādes nebija panākušas būtiskus uzlabojumus attiecībā uz dalību </w:t>
      </w:r>
      <w:r w:rsidRPr="00997873">
        <w:rPr>
          <w:i/>
          <w:iCs/>
          <w:kern w:val="2"/>
          <w14:ligatures w14:val="standardContextual"/>
        </w:rPr>
        <w:t>EPPO</w:t>
      </w:r>
      <w:r w:rsidRPr="00997873">
        <w:rPr>
          <w:kern w:val="2"/>
          <w14:ligatures w14:val="standardContextual"/>
        </w:rPr>
        <w:t xml:space="preserve">; atgādina, ka, ņemot vērā to nevēlēšanos sadarboties ar </w:t>
      </w:r>
      <w:r w:rsidRPr="00997873">
        <w:rPr>
          <w:i/>
          <w:iCs/>
          <w:kern w:val="2"/>
          <w14:ligatures w14:val="standardContextual"/>
        </w:rPr>
        <w:t>EPPO</w:t>
      </w:r>
      <w:r w:rsidRPr="00997873">
        <w:rPr>
          <w:kern w:val="2"/>
          <w14:ligatures w14:val="standardContextual"/>
        </w:rPr>
        <w:t xml:space="preserve"> vairāku EDP nosūtīto savstarpējās tiesiskās palīdzības lūgumu izpildē, </w:t>
      </w:r>
      <w:r w:rsidRPr="00997873">
        <w:rPr>
          <w:i/>
          <w:iCs/>
          <w:kern w:val="2"/>
          <w14:ligatures w14:val="standardContextual"/>
        </w:rPr>
        <w:t>EPPO</w:t>
      </w:r>
      <w:r w:rsidRPr="00997873">
        <w:rPr>
          <w:kern w:val="2"/>
          <w14:ligatures w14:val="standardContextual"/>
        </w:rPr>
        <w:t xml:space="preserve"> ziņoja par situāciju Komisijai saskaņā ar Eiropas Parlamenta un Padomes Regulu </w:t>
      </w:r>
      <w:r w:rsidRPr="00997873">
        <w:rPr>
          <w:color w:val="333333"/>
          <w:kern w:val="2"/>
          <w:shd w:val="clear" w:color="auto" w:fill="FFFFFF"/>
          <w14:ligatures w14:val="standardContextual"/>
        </w:rPr>
        <w:t>(ES, Euratom) 2020/2092 </w:t>
      </w:r>
      <w:r w:rsidRPr="00997873">
        <w:rPr>
          <w:bCs/>
          <w:color w:val="333333"/>
          <w:kern w:val="2"/>
          <w:szCs w:val="24"/>
          <w:shd w:val="clear" w:color="auto" w:fill="FFFFFF"/>
          <w:vertAlign w:val="superscript"/>
          <w14:ligatures w14:val="standardContextual"/>
        </w:rPr>
        <w:footnoteReference w:id="17"/>
      </w:r>
      <w:r w:rsidRPr="00997873">
        <w:rPr>
          <w:kern w:val="2"/>
          <w14:ligatures w14:val="standardContextual"/>
        </w:rPr>
        <w:t xml:space="preserve">; atzinīgi vērtē Īrijas iestāžu pēc tam pieņemto lēmumu grozīt valsts tiesību aktus, kas nodrošina tiesisko regulējumu par savstarpējo juridisko palīdzību </w:t>
      </w:r>
      <w:r w:rsidRPr="00997873">
        <w:rPr>
          <w:i/>
          <w:iCs/>
          <w:kern w:val="2"/>
          <w14:ligatures w14:val="standardContextual"/>
        </w:rPr>
        <w:t>EPPO</w:t>
      </w:r>
      <w:r w:rsidRPr="00997873">
        <w:rPr>
          <w:kern w:val="2"/>
          <w14:ligatures w14:val="standardContextual"/>
        </w:rPr>
        <w:t xml:space="preserve">, un uzsver, ka no 2023. gada 1. novembra tā sniedz savstarpēju juridisko palīdzību </w:t>
      </w:r>
      <w:r w:rsidRPr="00997873">
        <w:rPr>
          <w:i/>
          <w:kern w:val="2"/>
          <w14:ligatures w14:val="standardContextual"/>
        </w:rPr>
        <w:t>EPPO</w:t>
      </w:r>
      <w:r w:rsidRPr="00997873">
        <w:rPr>
          <w:kern w:val="2"/>
          <w14:ligatures w14:val="standardContextual"/>
        </w:rPr>
        <w:t xml:space="preserve">, pamatojoties uz šo vienpusējo atzīšanu; norāda, ka nav notikusi informācijas apmaiņa ar Īrijas </w:t>
      </w:r>
      <w:proofErr w:type="spellStart"/>
      <w:r w:rsidRPr="00997873">
        <w:rPr>
          <w:kern w:val="2"/>
          <w14:ligatures w14:val="standardContextual"/>
        </w:rPr>
        <w:t>starpaģentūru</w:t>
      </w:r>
      <w:proofErr w:type="spellEnd"/>
      <w:r w:rsidRPr="00997873">
        <w:rPr>
          <w:kern w:val="2"/>
          <w14:ligatures w14:val="standardContextual"/>
        </w:rPr>
        <w:t xml:space="preserve"> darba grupu, kas izveidota, lai vērtētu Īrijas iespējamo turpmāko dalību </w:t>
      </w:r>
      <w:r w:rsidRPr="00997873">
        <w:rPr>
          <w:i/>
          <w:kern w:val="2"/>
          <w14:ligatures w14:val="standardContextual"/>
        </w:rPr>
        <w:t>EPPO</w:t>
      </w:r>
      <w:r w:rsidRPr="00997873">
        <w:rPr>
          <w:kern w:val="2"/>
          <w14:ligatures w14:val="standardContextual"/>
        </w:rPr>
        <w:t xml:space="preserve">; mudina Komisiju, </w:t>
      </w:r>
      <w:r w:rsidRPr="00997873">
        <w:rPr>
          <w:i/>
          <w:iCs/>
          <w:kern w:val="2"/>
          <w14:ligatures w14:val="standardContextual"/>
        </w:rPr>
        <w:t>EPPO</w:t>
      </w:r>
      <w:r w:rsidRPr="00997873">
        <w:rPr>
          <w:kern w:val="2"/>
          <w14:ligatures w14:val="standardContextual"/>
        </w:rPr>
        <w:t xml:space="preserve"> un Īrijas iestādes iesaistīties konstruktīvā dialogā, lai atrastu efektīvu sadarbības veidu;</w:t>
      </w:r>
    </w:p>
    <w:p w14:paraId="4D54B0AC" w14:textId="77777777" w:rsidR="00997873" w:rsidRPr="00997873" w:rsidRDefault="00997873" w:rsidP="00997873">
      <w:pPr>
        <w:widowControl/>
        <w:autoSpaceDE w:val="0"/>
        <w:autoSpaceDN w:val="0"/>
        <w:adjustRightInd w:val="0"/>
        <w:spacing w:after="240"/>
        <w:ind w:left="567" w:hanging="567"/>
        <w:rPr>
          <w:kern w:val="2"/>
          <w:szCs w:val="24"/>
          <w14:ligatures w14:val="standardContextual"/>
        </w:rPr>
      </w:pPr>
      <w:r w:rsidRPr="00997873">
        <w:rPr>
          <w:kern w:val="2"/>
          <w14:ligatures w14:val="standardContextual"/>
        </w:rPr>
        <w:t>96.</w:t>
      </w:r>
      <w:r w:rsidRPr="00997873">
        <w:rPr>
          <w:kern w:val="2"/>
          <w14:ligatures w14:val="standardContextual"/>
        </w:rPr>
        <w:tab/>
        <w:t xml:space="preserve">atkārtoti norāda – tas, ka kāda dalībvalsts nesadarbojas ar </w:t>
      </w:r>
      <w:r w:rsidRPr="00997873">
        <w:rPr>
          <w:i/>
          <w:iCs/>
          <w:kern w:val="2"/>
          <w14:ligatures w14:val="standardContextual"/>
        </w:rPr>
        <w:t>EPPO</w:t>
      </w:r>
      <w:r w:rsidRPr="00997873">
        <w:rPr>
          <w:kern w:val="2"/>
          <w14:ligatures w14:val="standardContextual"/>
        </w:rPr>
        <w:t xml:space="preserve">, neatkarīgi no tā, vai tā piedalās ciešākā sadarbībā, kas ir pamatā </w:t>
      </w:r>
      <w:r w:rsidRPr="00997873">
        <w:rPr>
          <w:i/>
          <w:iCs/>
          <w:kern w:val="2"/>
          <w14:ligatures w14:val="standardContextual"/>
        </w:rPr>
        <w:t>EPPO</w:t>
      </w:r>
      <w:r w:rsidRPr="00997873">
        <w:rPr>
          <w:kern w:val="2"/>
          <w14:ligatures w14:val="standardContextual"/>
        </w:rPr>
        <w:t xml:space="preserve">, rada imunitātes un privilēģiju nišas, kas Savienības finanšu interešu aizsardzību labākajā gadījumā padara nevienmērīgu un neefektīvu; atkārtoti aicina Komisiju un attiecīgās dalībvalstis pielikt visas iespējamās pūles, lai pašreizējā scenārijā integrētu nedaudzus, bet joprojām ļoti svarīgus trūkstošus komponentus, veicinot to, ka pārējās dalībvalstis, kas joprojām nepiedalās, paplašina dalību </w:t>
      </w:r>
      <w:r w:rsidRPr="00997873">
        <w:rPr>
          <w:i/>
          <w:kern w:val="2"/>
          <w14:ligatures w14:val="standardContextual"/>
        </w:rPr>
        <w:t>EPPO</w:t>
      </w:r>
      <w:r w:rsidRPr="00997873">
        <w:rPr>
          <w:kern w:val="2"/>
          <w14:ligatures w14:val="standardContextual"/>
        </w:rPr>
        <w:t xml:space="preserve"> tā, lai stiprinātu Savienības un valstu budžetu aizsardzības efektivitāti; aicina Komisiju cieši uzraudzīt to, cik lielā mērā dalībvalstis sadarbojas ar </w:t>
      </w:r>
      <w:r w:rsidRPr="00997873">
        <w:rPr>
          <w:i/>
          <w:iCs/>
          <w:kern w:val="2"/>
          <w14:ligatures w14:val="standardContextual"/>
        </w:rPr>
        <w:t>EPPO</w:t>
      </w:r>
      <w:r w:rsidRPr="00997873">
        <w:rPr>
          <w:kern w:val="2"/>
          <w14:ligatures w14:val="standardContextual"/>
        </w:rPr>
        <w:t xml:space="preserve">, un mudina Komisiju sākt pārkāpuma procedūru pret jebkuru dalībvalsti, kas sistemātiski kavē </w:t>
      </w:r>
      <w:r w:rsidRPr="00997873">
        <w:rPr>
          <w:i/>
          <w:iCs/>
          <w:kern w:val="2"/>
          <w14:ligatures w14:val="standardContextual"/>
        </w:rPr>
        <w:t>EPPO</w:t>
      </w:r>
      <w:r w:rsidRPr="00997873">
        <w:rPr>
          <w:kern w:val="2"/>
          <w14:ligatures w14:val="standardContextual"/>
        </w:rPr>
        <w:t xml:space="preserve"> vadītas izmeklēšanas; uzskata, ka dalībai </w:t>
      </w:r>
      <w:r w:rsidRPr="00997873">
        <w:rPr>
          <w:i/>
          <w:iCs/>
          <w:kern w:val="2"/>
          <w14:ligatures w14:val="standardContextual"/>
        </w:rPr>
        <w:t>EPPO</w:t>
      </w:r>
      <w:r w:rsidRPr="00997873">
        <w:rPr>
          <w:kern w:val="2"/>
          <w14:ligatures w14:val="standardContextual"/>
        </w:rPr>
        <w:t xml:space="preserve"> vajadzētu būt vienam no Savienības līdzekļu saņemšanas priekšnoteikumiem;</w:t>
      </w:r>
    </w:p>
    <w:p w14:paraId="450A8A67" w14:textId="77777777" w:rsidR="00997873" w:rsidRPr="00997873" w:rsidRDefault="00997873" w:rsidP="00997873">
      <w:pPr>
        <w:spacing w:after="240"/>
        <w:ind w:left="567" w:hanging="567"/>
        <w:rPr>
          <w:kern w:val="2"/>
          <w14:ligatures w14:val="standardContextual"/>
        </w:rPr>
      </w:pPr>
      <w:r w:rsidRPr="00997873">
        <w:rPr>
          <w:kern w:val="2"/>
          <w14:ligatures w14:val="standardContextual"/>
        </w:rPr>
        <w:t>97.</w:t>
      </w:r>
      <w:r w:rsidRPr="00997873">
        <w:rPr>
          <w:kern w:val="2"/>
          <w14:ligatures w14:val="standardContextual"/>
        </w:rPr>
        <w:tab/>
        <w:t xml:space="preserve">nosoda nesenos ziņojumos norādīto sistemātisko spiegošanu, ko Ungārijas valdība organizēja pret </w:t>
      </w:r>
      <w:r w:rsidRPr="00997873">
        <w:rPr>
          <w:i/>
          <w:iCs/>
          <w:kern w:val="2"/>
          <w14:ligatures w14:val="standardContextual"/>
        </w:rPr>
        <w:t>OLAF</w:t>
      </w:r>
      <w:r w:rsidRPr="00997873">
        <w:rPr>
          <w:kern w:val="2"/>
          <w14:ligatures w14:val="standardContextual"/>
        </w:rPr>
        <w:t xml:space="preserve"> darbiniekiem izmeklēšanas misijā par Savienības līdzekļu iespējamu ļaunprātīgu izmantošanu, ko esot veicis ar Ungārijas ministru prezidenta znotu saistīts uzņēmums </w:t>
      </w:r>
      <w:r w:rsidRPr="00997873">
        <w:rPr>
          <w:i/>
          <w:iCs/>
          <w:kern w:val="2"/>
          <w14:ligatures w14:val="standardContextual"/>
        </w:rPr>
        <w:t>ELIOS</w:t>
      </w:r>
      <w:r w:rsidRPr="00997873">
        <w:rPr>
          <w:kern w:val="2"/>
          <w14:ligatures w14:val="standardContextual"/>
        </w:rPr>
        <w:t xml:space="preserve">; uzsver, ka </w:t>
      </w:r>
      <w:r w:rsidRPr="00997873">
        <w:rPr>
          <w:i/>
          <w:iCs/>
          <w:kern w:val="2"/>
          <w14:ligatures w14:val="standardContextual"/>
        </w:rPr>
        <w:t>OLAF</w:t>
      </w:r>
      <w:r w:rsidRPr="00997873">
        <w:rPr>
          <w:kern w:val="2"/>
          <w14:ligatures w14:val="standardContextual"/>
        </w:rPr>
        <w:t xml:space="preserve"> un </w:t>
      </w:r>
      <w:r w:rsidRPr="00997873">
        <w:rPr>
          <w:i/>
          <w:iCs/>
          <w:kern w:val="2"/>
          <w14:ligatures w14:val="standardContextual"/>
        </w:rPr>
        <w:t>EPPO</w:t>
      </w:r>
      <w:r w:rsidRPr="00997873">
        <w:rPr>
          <w:kern w:val="2"/>
          <w14:ligatures w14:val="standardContextual"/>
        </w:rPr>
        <w:t xml:space="preserve">, kas ir Savienības krāpšanas apkarošanas struktūras </w:t>
      </w:r>
      <w:proofErr w:type="spellStart"/>
      <w:r w:rsidRPr="00997873">
        <w:rPr>
          <w:kern w:val="2"/>
          <w14:ligatures w14:val="standardContextual"/>
        </w:rPr>
        <w:t>pamatiestādes</w:t>
      </w:r>
      <w:proofErr w:type="spellEnd"/>
      <w:r w:rsidRPr="00997873">
        <w:rPr>
          <w:kern w:val="2"/>
          <w14:ligatures w14:val="standardContextual"/>
        </w:rPr>
        <w:t xml:space="preserve">, diemžēl ir pakļauti šādiem draudiem ne tikai no trešo valstu puses, bet arī ES dalībvalstīs; uzsver, ka šādas darbības nopietni apdraud tiesiskumu un Savienības iestāžu integritāti; aicina ātri ieviest stingrus </w:t>
      </w:r>
      <w:r w:rsidRPr="00997873">
        <w:rPr>
          <w:kern w:val="2"/>
          <w14:ligatures w14:val="standardContextual"/>
        </w:rPr>
        <w:lastRenderedPageBreak/>
        <w:t>aizsardzības pasākumus, lai aizsargātu Savienības iestāžu personālu, kas atrodas misijās dalībvalstīs, un turpmāk novērstu šādus nepieņemamus pārkāpumus;</w:t>
      </w:r>
    </w:p>
    <w:p w14:paraId="406C7C0B" w14:textId="77777777" w:rsidR="00997873" w:rsidRPr="00997873" w:rsidRDefault="00997873" w:rsidP="00997873">
      <w:pPr>
        <w:spacing w:after="240"/>
        <w:rPr>
          <w:color w:val="000000"/>
          <w:kern w:val="2"/>
          <w:szCs w:val="24"/>
          <w14:ligatures w14:val="standardContextual"/>
        </w:rPr>
      </w:pPr>
      <w:r w:rsidRPr="00997873">
        <w:rPr>
          <w:b/>
          <w:i/>
          <w:color w:val="000000"/>
          <w:kern w:val="2"/>
          <w14:ligatures w14:val="standardContextual"/>
        </w:rPr>
        <w:t>Komunikācija</w:t>
      </w:r>
    </w:p>
    <w:p w14:paraId="1CDF77AF" w14:textId="77777777" w:rsidR="00997873" w:rsidRPr="00997873" w:rsidRDefault="00997873" w:rsidP="00997873">
      <w:pPr>
        <w:widowControl/>
        <w:autoSpaceDE w:val="0"/>
        <w:autoSpaceDN w:val="0"/>
        <w:adjustRightInd w:val="0"/>
        <w:spacing w:after="240"/>
        <w:ind w:left="567" w:hanging="567"/>
        <w:rPr>
          <w:kern w:val="2"/>
          <w14:ligatures w14:val="standardContextual"/>
        </w:rPr>
      </w:pPr>
      <w:r w:rsidRPr="00997873">
        <w:rPr>
          <w:kern w:val="2"/>
          <w14:ligatures w14:val="standardContextual"/>
        </w:rPr>
        <w:t>98.</w:t>
      </w:r>
      <w:r w:rsidRPr="00997873">
        <w:rPr>
          <w:kern w:val="2"/>
          <w14:ligatures w14:val="standardContextual"/>
        </w:rPr>
        <w:tab/>
        <w:t xml:space="preserve">ņem vērā, ka </w:t>
      </w:r>
      <w:r w:rsidRPr="00997873">
        <w:rPr>
          <w:i/>
          <w:kern w:val="2"/>
          <w14:ligatures w14:val="standardContextual"/>
        </w:rPr>
        <w:t>EPPO</w:t>
      </w:r>
      <w:r w:rsidRPr="00997873">
        <w:rPr>
          <w:kern w:val="2"/>
          <w14:ligatures w14:val="standardContextual"/>
        </w:rPr>
        <w:t xml:space="preserve"> pastāvīgi īsteno centienus, lai uzlabotu iekšējo un ārējo komunikāciju; atzinīgi vērtē darbības, kas veiktas, izmantojot sociālo tīklu platformas, un mudina </w:t>
      </w:r>
      <w:r w:rsidRPr="00997873">
        <w:rPr>
          <w:i/>
          <w:kern w:val="2"/>
          <w14:ligatures w14:val="standardContextual"/>
        </w:rPr>
        <w:t>EPPO</w:t>
      </w:r>
      <w:r w:rsidRPr="00997873">
        <w:rPr>
          <w:kern w:val="2"/>
          <w14:ligatures w14:val="standardContextual"/>
        </w:rPr>
        <w:t xml:space="preserve"> saglabāt savu </w:t>
      </w:r>
      <w:proofErr w:type="spellStart"/>
      <w:r w:rsidRPr="00997873">
        <w:rPr>
          <w:kern w:val="2"/>
          <w14:ligatures w14:val="standardContextual"/>
        </w:rPr>
        <w:t>proaktīvo</w:t>
      </w:r>
      <w:proofErr w:type="spellEnd"/>
      <w:r w:rsidRPr="00997873">
        <w:rPr>
          <w:kern w:val="2"/>
          <w14:ligatures w14:val="standardContextual"/>
        </w:rPr>
        <w:t xml:space="preserve"> un pārredzamo pieeju;</w:t>
      </w:r>
    </w:p>
    <w:p w14:paraId="43FF2534" w14:textId="77777777" w:rsidR="00997873" w:rsidRPr="00997873" w:rsidRDefault="00997873" w:rsidP="00997873">
      <w:pPr>
        <w:widowControl/>
        <w:autoSpaceDE w:val="0"/>
        <w:autoSpaceDN w:val="0"/>
        <w:adjustRightInd w:val="0"/>
        <w:spacing w:after="240"/>
        <w:ind w:left="567" w:hanging="567"/>
        <w:rPr>
          <w:kern w:val="2"/>
          <w14:ligatures w14:val="standardContextual"/>
        </w:rPr>
      </w:pPr>
      <w:r w:rsidRPr="00997873">
        <w:rPr>
          <w:kern w:val="2"/>
          <w14:ligatures w14:val="standardContextual"/>
        </w:rPr>
        <w:t>99.</w:t>
      </w:r>
      <w:r w:rsidRPr="00997873">
        <w:rPr>
          <w:kern w:val="2"/>
          <w14:ligatures w14:val="standardContextual"/>
        </w:rPr>
        <w:tab/>
        <w:t xml:space="preserve">uzskata, ka skaidrojumi par </w:t>
      </w:r>
      <w:r w:rsidRPr="00997873">
        <w:rPr>
          <w:i/>
          <w:kern w:val="2"/>
          <w14:ligatures w14:val="standardContextual"/>
        </w:rPr>
        <w:t>EPPO</w:t>
      </w:r>
      <w:r w:rsidRPr="00997873">
        <w:rPr>
          <w:kern w:val="2"/>
          <w14:ligatures w14:val="standardContextual"/>
        </w:rPr>
        <w:t xml:space="preserve"> intervencēm un darbībām, kā arī par to priekšvēsturi, ziņojot medijos un publicējot informāciju sociālajos tīklos, palīdzētu stiprināt iestāžu reputāciju iedzīvotāju vidū un vairotu nodokļu maksātāju izpratni par Savienības finanšu interešu aizsardzības sarežģītību;</w:t>
      </w:r>
    </w:p>
    <w:p w14:paraId="2E43114F" w14:textId="77777777" w:rsidR="00997873" w:rsidRPr="00997873" w:rsidRDefault="00997873" w:rsidP="00997873">
      <w:pPr>
        <w:widowControl/>
        <w:autoSpaceDE w:val="0"/>
        <w:autoSpaceDN w:val="0"/>
        <w:adjustRightInd w:val="0"/>
        <w:spacing w:after="240"/>
        <w:ind w:left="567" w:hanging="567"/>
        <w:rPr>
          <w:kern w:val="2"/>
          <w14:ligatures w14:val="standardContextual"/>
        </w:rPr>
      </w:pPr>
      <w:r w:rsidRPr="00997873">
        <w:rPr>
          <w:kern w:val="2"/>
          <w14:ligatures w14:val="standardContextual"/>
        </w:rPr>
        <w:t>100.</w:t>
      </w:r>
      <w:r w:rsidRPr="00997873">
        <w:rPr>
          <w:kern w:val="2"/>
          <w14:ligatures w14:val="standardContextual"/>
        </w:rPr>
        <w:tab/>
        <w:t xml:space="preserve">uzskata, ka atbilstīga un skaidra </w:t>
      </w:r>
      <w:r w:rsidRPr="00997873">
        <w:rPr>
          <w:i/>
          <w:kern w:val="2"/>
          <w14:ligatures w14:val="standardContextual"/>
        </w:rPr>
        <w:t>EPPO</w:t>
      </w:r>
      <w:r w:rsidRPr="00997873">
        <w:rPr>
          <w:kern w:val="2"/>
          <w14:ligatures w14:val="standardContextual"/>
        </w:rPr>
        <w:t xml:space="preserve"> komunikācija arī sekmētu pilsoniskās sabiedrības iesaisti un palielinātu iespējamo pienesumu izmeklēšanā; ņem vērā </w:t>
      </w:r>
      <w:r w:rsidRPr="00997873">
        <w:rPr>
          <w:i/>
          <w:kern w:val="2"/>
          <w14:ligatures w14:val="standardContextual"/>
        </w:rPr>
        <w:t>EPPO</w:t>
      </w:r>
      <w:r w:rsidRPr="00997873">
        <w:rPr>
          <w:kern w:val="2"/>
          <w14:ligatures w14:val="standardContextual"/>
        </w:rPr>
        <w:t xml:space="preserve"> lūgumu ziņošanas iespēju iekļaut visās standarta prezentācijās ārējai auditorijai vai konferencēs un semināros, kas vien tas ir iespējams un lietderīgi; norāda, ka 2023. gadā tika pilnībā pārveidota </w:t>
      </w:r>
      <w:r w:rsidRPr="00997873">
        <w:rPr>
          <w:i/>
          <w:kern w:val="2"/>
          <w14:ligatures w14:val="standardContextual"/>
        </w:rPr>
        <w:t>EPPO</w:t>
      </w:r>
      <w:r w:rsidRPr="00997873">
        <w:rPr>
          <w:kern w:val="2"/>
          <w14:ligatures w14:val="standardContextual"/>
        </w:rPr>
        <w:t xml:space="preserve"> korporatīvā tīmekļa vietne, galveno vērību pievēršot pieejamības un ērtas lietojamības uzlabošanai, un ka iespēja ziņot par noziegumu tagad ir labi redzama katras tīmekļa vietnes augšpusē kopā ar reklāmkarogu, kas izceļ šo iespēju mājaslapā;</w:t>
      </w:r>
    </w:p>
    <w:p w14:paraId="5DFBE03C" w14:textId="77777777" w:rsidR="00997873" w:rsidRPr="00997873" w:rsidRDefault="00997873" w:rsidP="00997873">
      <w:pPr>
        <w:widowControl/>
        <w:autoSpaceDE w:val="0"/>
        <w:autoSpaceDN w:val="0"/>
        <w:adjustRightInd w:val="0"/>
        <w:spacing w:after="240"/>
        <w:ind w:left="567" w:hanging="567"/>
        <w:rPr>
          <w:kern w:val="2"/>
          <w14:ligatures w14:val="standardContextual"/>
        </w:rPr>
      </w:pPr>
      <w:r w:rsidRPr="00997873">
        <w:rPr>
          <w:kern w:val="2"/>
          <w14:ligatures w14:val="standardContextual"/>
        </w:rPr>
        <w:t>101.</w:t>
      </w:r>
      <w:r w:rsidRPr="00997873">
        <w:rPr>
          <w:kern w:val="2"/>
          <w14:ligatures w14:val="standardContextual"/>
        </w:rPr>
        <w:tab/>
        <w:t xml:space="preserve">ņem vērā, ka </w:t>
      </w:r>
      <w:r w:rsidRPr="00997873">
        <w:rPr>
          <w:i/>
          <w:kern w:val="2"/>
          <w14:ligatures w14:val="standardContextual"/>
        </w:rPr>
        <w:t>EPPO</w:t>
      </w:r>
      <w:r w:rsidRPr="00997873">
        <w:rPr>
          <w:kern w:val="2"/>
          <w14:ligatures w14:val="standardContextual"/>
        </w:rPr>
        <w:t xml:space="preserve"> komunikācijai atvēlēto resursu līmenis ir ierobežots un, tā kā ir jānodrošina </w:t>
      </w:r>
      <w:r w:rsidRPr="00997873">
        <w:rPr>
          <w:i/>
          <w:kern w:val="2"/>
          <w14:ligatures w14:val="standardContextual"/>
        </w:rPr>
        <w:t>EPPO</w:t>
      </w:r>
      <w:r w:rsidRPr="00997873">
        <w:rPr>
          <w:kern w:val="2"/>
          <w14:ligatures w14:val="standardContextual"/>
        </w:rPr>
        <w:t xml:space="preserve"> digitālā autonomija, </w:t>
      </w:r>
      <w:r w:rsidRPr="00997873">
        <w:rPr>
          <w:i/>
          <w:kern w:val="2"/>
          <w14:ligatures w14:val="standardContextual"/>
        </w:rPr>
        <w:t>EPPO</w:t>
      </w:r>
      <w:r w:rsidRPr="00997873">
        <w:rPr>
          <w:kern w:val="2"/>
          <w14:ligatures w14:val="standardContextual"/>
        </w:rPr>
        <w:t xml:space="preserve"> tīmekļa vietnes pārvaldība būs jāveic pašai organizācijai, tāpēc pēc tam, kad Digitālo pakalpojumu ģenerāldirektorāts pārtrauks sniegt šo pasākumu, būs nepieciešami papildu resursi; uzsver, ka sakarā ar </w:t>
      </w:r>
      <w:r w:rsidRPr="00997873">
        <w:rPr>
          <w:i/>
          <w:kern w:val="2"/>
          <w14:ligatures w14:val="standardContextual"/>
        </w:rPr>
        <w:t>EPPO</w:t>
      </w:r>
      <w:r w:rsidRPr="00997873">
        <w:rPr>
          <w:kern w:val="2"/>
          <w14:ligatures w14:val="standardContextual"/>
        </w:rPr>
        <w:t xml:space="preserve"> izmeklēšanu pieaugošo skaitu un </w:t>
      </w:r>
      <w:proofErr w:type="spellStart"/>
      <w:r w:rsidRPr="00997873">
        <w:rPr>
          <w:kern w:val="2"/>
          <w14:ligatures w14:val="standardContextual"/>
        </w:rPr>
        <w:t>sensitīvo</w:t>
      </w:r>
      <w:proofErr w:type="spellEnd"/>
      <w:r w:rsidRPr="00997873">
        <w:rPr>
          <w:kern w:val="2"/>
          <w14:ligatures w14:val="standardContextual"/>
        </w:rPr>
        <w:t xml:space="preserve"> raksturu ir jāpievērš uzmanība informācijas apmaiņai ar medijiem, žurnālistiem, iedzīvotājiem un akadēmiskajām aprindām; atkārtoti aicina </w:t>
      </w:r>
      <w:r w:rsidRPr="00997873">
        <w:rPr>
          <w:i/>
          <w:kern w:val="2"/>
          <w14:ligatures w14:val="standardContextual"/>
        </w:rPr>
        <w:t>EPPO</w:t>
      </w:r>
      <w:r w:rsidRPr="00997873">
        <w:rPr>
          <w:kern w:val="2"/>
          <w14:ligatures w14:val="standardContextual"/>
        </w:rPr>
        <w:t xml:space="preserve"> noteikti panākt labāko iespējamo līdzsvaru starp </w:t>
      </w:r>
      <w:proofErr w:type="spellStart"/>
      <w:r w:rsidRPr="00997873">
        <w:rPr>
          <w:kern w:val="2"/>
          <w14:ligatures w14:val="standardContextual"/>
        </w:rPr>
        <w:t>pārredzamību</w:t>
      </w:r>
      <w:proofErr w:type="spellEnd"/>
      <w:r w:rsidRPr="00997873">
        <w:rPr>
          <w:kern w:val="2"/>
          <w14:ligatures w14:val="standardContextual"/>
        </w:rPr>
        <w:t xml:space="preserve"> un sabiedrības interesēm, no vienas puses, un konfidencialitāti un izmeklēšanas pienācīgu veikšanu, no otras puses, un nodrošināt neitralitāti tās komunikācijā par savām darbībām;</w:t>
      </w:r>
    </w:p>
    <w:p w14:paraId="22D64427" w14:textId="77777777" w:rsidR="00997873" w:rsidRPr="00997873" w:rsidRDefault="00997873" w:rsidP="00997873">
      <w:pPr>
        <w:widowControl/>
        <w:autoSpaceDE w:val="0"/>
        <w:autoSpaceDN w:val="0"/>
        <w:adjustRightInd w:val="0"/>
        <w:spacing w:after="240"/>
        <w:ind w:left="567" w:hanging="567"/>
        <w:rPr>
          <w:kern w:val="2"/>
          <w14:ligatures w14:val="standardContextual"/>
        </w:rPr>
      </w:pPr>
      <w:r w:rsidRPr="00997873">
        <w:rPr>
          <w:kern w:val="2"/>
          <w14:ligatures w14:val="standardContextual"/>
        </w:rPr>
        <w:t>102.</w:t>
      </w:r>
      <w:r w:rsidRPr="00997873">
        <w:rPr>
          <w:kern w:val="2"/>
          <w14:ligatures w14:val="standardContextual"/>
        </w:rPr>
        <w:tab/>
        <w:t xml:space="preserve">atgādina, cik svarīga ir </w:t>
      </w:r>
      <w:proofErr w:type="spellStart"/>
      <w:r w:rsidRPr="00997873">
        <w:rPr>
          <w:kern w:val="2"/>
          <w14:ligatures w14:val="standardContextual"/>
        </w:rPr>
        <w:t>pārredzamība</w:t>
      </w:r>
      <w:proofErr w:type="spellEnd"/>
      <w:r w:rsidRPr="00997873">
        <w:rPr>
          <w:kern w:val="2"/>
          <w14:ligatures w14:val="standardContextual"/>
        </w:rPr>
        <w:t xml:space="preserve"> </w:t>
      </w:r>
      <w:r w:rsidRPr="00997873">
        <w:rPr>
          <w:i/>
          <w:iCs/>
          <w:kern w:val="2"/>
          <w14:ligatures w14:val="standardContextual"/>
        </w:rPr>
        <w:t>EPPO</w:t>
      </w:r>
      <w:r w:rsidRPr="00997873">
        <w:rPr>
          <w:kern w:val="2"/>
          <w14:ligatures w14:val="standardContextual"/>
        </w:rPr>
        <w:t xml:space="preserve"> mijiedarbībā ar ārējiem dalībniekiem; aicina izveidot obligātu publisku reģistru par visām sanāksmēm starp </w:t>
      </w:r>
      <w:r w:rsidRPr="00997873">
        <w:rPr>
          <w:i/>
          <w:iCs/>
          <w:kern w:val="2"/>
          <w14:ligatures w14:val="standardContextual"/>
        </w:rPr>
        <w:t>EPPO</w:t>
      </w:r>
      <w:r w:rsidRPr="00997873">
        <w:rPr>
          <w:kern w:val="2"/>
          <w14:ligatures w14:val="standardContextual"/>
        </w:rPr>
        <w:t xml:space="preserve"> amatpersonām un trešo personu pārstāvjiem, tostarp </w:t>
      </w:r>
      <w:proofErr w:type="spellStart"/>
      <w:r w:rsidRPr="00997873">
        <w:rPr>
          <w:kern w:val="2"/>
          <w14:ligatures w14:val="standardContextual"/>
        </w:rPr>
        <w:t>lobistiem</w:t>
      </w:r>
      <w:proofErr w:type="spellEnd"/>
      <w:r w:rsidRPr="00997873">
        <w:rPr>
          <w:kern w:val="2"/>
          <w14:ligatures w14:val="standardContextual"/>
        </w:rPr>
        <w:t xml:space="preserve"> un valstu valdību pārstāvjiem, lai novērstu nepamatotu ietekmi un stiprinātu sabiedrības uzticēšanos </w:t>
      </w:r>
      <w:r w:rsidRPr="00997873">
        <w:rPr>
          <w:i/>
          <w:iCs/>
          <w:kern w:val="2"/>
          <w14:ligatures w14:val="standardContextual"/>
        </w:rPr>
        <w:t>EPPO</w:t>
      </w:r>
      <w:r w:rsidRPr="00997873">
        <w:rPr>
          <w:kern w:val="2"/>
          <w14:ligatures w14:val="standardContextual"/>
        </w:rPr>
        <w:t xml:space="preserve"> neatkarībai;</w:t>
      </w:r>
    </w:p>
    <w:p w14:paraId="1101444B" w14:textId="77777777" w:rsidR="00997873" w:rsidRPr="00997873" w:rsidRDefault="00997873" w:rsidP="00997873">
      <w:pPr>
        <w:spacing w:after="240"/>
        <w:ind w:left="709" w:hanging="709"/>
        <w:rPr>
          <w:b/>
          <w:i/>
          <w:kern w:val="2"/>
          <w:szCs w:val="24"/>
          <w14:ligatures w14:val="standardContextual"/>
        </w:rPr>
      </w:pPr>
      <w:r w:rsidRPr="00997873">
        <w:rPr>
          <w:b/>
          <w:i/>
          <w:kern w:val="2"/>
          <w14:ligatures w14:val="standardContextual"/>
        </w:rPr>
        <w:t>Krievijas agresijas kara pret Ukrainu sekas</w:t>
      </w:r>
    </w:p>
    <w:p w14:paraId="78A5A698" w14:textId="77777777" w:rsidR="00997873" w:rsidRPr="00997873" w:rsidRDefault="00997873" w:rsidP="00997873">
      <w:pPr>
        <w:widowControl/>
        <w:autoSpaceDE w:val="0"/>
        <w:autoSpaceDN w:val="0"/>
        <w:adjustRightInd w:val="0"/>
        <w:spacing w:after="240"/>
        <w:ind w:left="567" w:hanging="567"/>
        <w:rPr>
          <w:kern w:val="2"/>
          <w14:ligatures w14:val="standardContextual"/>
        </w:rPr>
      </w:pPr>
      <w:r w:rsidRPr="00997873">
        <w:rPr>
          <w:kern w:val="2"/>
          <w14:ligatures w14:val="standardContextual"/>
        </w:rPr>
        <w:t>103.</w:t>
      </w:r>
      <w:r w:rsidRPr="00997873">
        <w:rPr>
          <w:kern w:val="2"/>
          <w14:ligatures w14:val="standardContextual"/>
        </w:rPr>
        <w:tab/>
        <w:t xml:space="preserve">atgādina, ka </w:t>
      </w:r>
      <w:r w:rsidRPr="00997873">
        <w:rPr>
          <w:i/>
          <w:kern w:val="2"/>
          <w14:ligatures w14:val="standardContextual"/>
        </w:rPr>
        <w:t>EPPO</w:t>
      </w:r>
      <w:r w:rsidRPr="00997873">
        <w:rPr>
          <w:kern w:val="2"/>
          <w14:ligatures w14:val="standardContextual"/>
        </w:rPr>
        <w:t xml:space="preserve"> kompetence attiecas arī uz Savienības līdzekļiem arī tad, ja tos izmanto trešās valstīs; uzskata, ka darba vienošanās ar Ukrainas kompetentajām iestādēm varētu efektīvi uzlabot Savienības finanšu interešu aizsardzības līmeni, ievērojot attiecīgās uzņemtās saistības attiecībā uz atbalstu Ukrainai un tās iedzīvotājiem; atzinīgi vērtē Ukrainas iestāžu centienus korupcijas apkarošanas pasākumu jomā, taču atgādina, ka valstī joprojām ir augsts korupcijas un krāpšanas līmenis un sakarā ar to ir jāveic papildu piesardzības pasākumi un turpmāki korupcijas apkarošanas pasākumi, lai sekmīgi sasniegtu </w:t>
      </w:r>
      <w:proofErr w:type="spellStart"/>
      <w:r w:rsidRPr="00997873">
        <w:rPr>
          <w:kern w:val="2"/>
          <w14:ligatures w14:val="standardContextual"/>
        </w:rPr>
        <w:t>pārredzamības</w:t>
      </w:r>
      <w:proofErr w:type="spellEnd"/>
      <w:r w:rsidRPr="00997873">
        <w:rPr>
          <w:kern w:val="2"/>
          <w14:ligatures w14:val="standardContextual"/>
        </w:rPr>
        <w:t xml:space="preserve"> mērķus; apzinās, ka pierādījumu nosūtīšana ir notikusi, izpildot savstarpējās tiesiskās palīdzības lūgumus, un </w:t>
      </w:r>
      <w:r w:rsidRPr="00997873">
        <w:rPr>
          <w:kern w:val="2"/>
          <w14:ligatures w14:val="standardContextual"/>
        </w:rPr>
        <w:lastRenderedPageBreak/>
        <w:t xml:space="preserve">atzinīgi vērtē izredzes, ka darbu varētu uzsākt ar Ukrainas iestādēm kopīga darba grupa izmeklēšanu koordinēšanai; atgādina Komisijai un citām Savienības iestādēm, struktūrām, birojiem un aģentūrām, cik būtiski ir atklāt un savlaicīgi sniegt pienesumu </w:t>
      </w:r>
      <w:r w:rsidRPr="00997873">
        <w:rPr>
          <w:i/>
          <w:kern w:val="2"/>
          <w14:ligatures w14:val="standardContextual"/>
        </w:rPr>
        <w:t>EPPO</w:t>
      </w:r>
      <w:r w:rsidRPr="00997873">
        <w:rPr>
          <w:kern w:val="2"/>
          <w14:ligatures w14:val="standardContextual"/>
        </w:rPr>
        <w:t xml:space="preserve"> veiktajās izmeklēšanās.</w:t>
      </w:r>
    </w:p>
    <w:p w14:paraId="5D0BB027" w14:textId="77777777" w:rsidR="00997873" w:rsidRPr="00997873" w:rsidRDefault="00997873" w:rsidP="00997873">
      <w:pPr>
        <w:widowControl/>
        <w:jc w:val="both"/>
        <w:rPr>
          <w:rFonts w:eastAsia="Aptos"/>
          <w:kern w:val="2"/>
          <w:szCs w:val="24"/>
          <w:lang w:eastAsia="en-US"/>
          <w14:ligatures w14:val="standardContextual"/>
        </w:rPr>
      </w:pPr>
    </w:p>
    <w:p w14:paraId="51CD071F" w14:textId="2471AADA" w:rsidR="00E365E1" w:rsidRPr="00B03949" w:rsidRDefault="00E365E1" w:rsidP="00997873">
      <w:pPr>
        <w:pStyle w:val="NormalHanging12a"/>
      </w:pPr>
    </w:p>
    <w:sectPr w:rsidR="00E365E1" w:rsidRPr="00B03949" w:rsidSect="009978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74A9F" w14:textId="77777777" w:rsidR="00B0166B" w:rsidRPr="00CE4991" w:rsidRDefault="00B0166B">
      <w:r w:rsidRPr="00CE4991">
        <w:separator/>
      </w:r>
    </w:p>
  </w:endnote>
  <w:endnote w:type="continuationSeparator" w:id="0">
    <w:p w14:paraId="09E3456D" w14:textId="77777777" w:rsidR="00B0166B" w:rsidRPr="00CE4991" w:rsidRDefault="00B0166B">
      <w:r w:rsidRPr="00CE49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2D404" w14:textId="77777777" w:rsidR="00064002" w:rsidRPr="00CE49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029B" w14:textId="77777777" w:rsidR="00064002" w:rsidRPr="00CE49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952A" w14:textId="77777777" w:rsidR="00064002" w:rsidRPr="00CE49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772CE" w14:textId="77777777" w:rsidR="00B0166B" w:rsidRPr="00CE4991" w:rsidRDefault="00B0166B">
      <w:r w:rsidRPr="00CE4991">
        <w:separator/>
      </w:r>
    </w:p>
  </w:footnote>
  <w:footnote w:type="continuationSeparator" w:id="0">
    <w:p w14:paraId="2994B524" w14:textId="77777777" w:rsidR="00B0166B" w:rsidRPr="00CE4991" w:rsidRDefault="00B0166B">
      <w:r w:rsidRPr="00CE4991">
        <w:continuationSeparator/>
      </w:r>
    </w:p>
  </w:footnote>
  <w:footnote w:id="1">
    <w:p w14:paraId="77C9ED90"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t xml:space="preserve">OV C, C/2024/6332, 24.10.2024., ELI: </w:t>
      </w:r>
      <w:hyperlink r:id="rId1" w:history="1">
        <w:r>
          <w:rPr>
            <w:rStyle w:val="Hyperlink1"/>
            <w:sz w:val="24"/>
            <w:szCs w:val="24"/>
            <w:lang w:val="lv-LV"/>
          </w:rPr>
          <w:t>http://data.europa.eu/eli/C/2024/6332/oj</w:t>
        </w:r>
      </w:hyperlink>
      <w:r>
        <w:rPr>
          <w:sz w:val="24"/>
          <w:szCs w:val="24"/>
          <w:lang w:val="lv-LV"/>
        </w:rPr>
        <w:t>.</w:t>
      </w:r>
    </w:p>
  </w:footnote>
  <w:footnote w:id="2">
    <w:p w14:paraId="18ABA5E0"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C/2024/6041, 10.10.2024., ELI: </w:t>
      </w:r>
      <w:hyperlink r:id="rId2" w:history="1">
        <w:r>
          <w:rPr>
            <w:rStyle w:val="Hyperlink1"/>
            <w:sz w:val="24"/>
            <w:szCs w:val="24"/>
            <w:lang w:val="lv-LV"/>
          </w:rPr>
          <w:t>http://data.europa.eu/eli/C/2024/6041/oj</w:t>
        </w:r>
      </w:hyperlink>
      <w:r>
        <w:rPr>
          <w:rStyle w:val="Hyperlink1"/>
          <w:sz w:val="24"/>
          <w:szCs w:val="24"/>
          <w:lang w:val="lv-LV"/>
        </w:rPr>
        <w:t>.</w:t>
      </w:r>
    </w:p>
  </w:footnote>
  <w:footnote w:id="3">
    <w:p w14:paraId="0C073FE5"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193, 30.7.2018., 1. lpp., ELI: </w:t>
      </w:r>
      <w:hyperlink r:id="rId3" w:history="1">
        <w:r>
          <w:rPr>
            <w:rStyle w:val="Hyperlink1"/>
            <w:sz w:val="24"/>
            <w:szCs w:val="24"/>
            <w:lang w:val="lv-LV"/>
          </w:rPr>
          <w:t>http://data.europa.eu/eli/reg/2018/1046/oj</w:t>
        </w:r>
      </w:hyperlink>
      <w:r>
        <w:rPr>
          <w:sz w:val="24"/>
          <w:szCs w:val="24"/>
          <w:lang w:val="lv-LV"/>
        </w:rPr>
        <w:t>.</w:t>
      </w:r>
    </w:p>
  </w:footnote>
  <w:footnote w:id="4">
    <w:p w14:paraId="0D2AEC8A"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2024/2509, 26.9.2024., ELI: </w:t>
      </w:r>
      <w:hyperlink r:id="rId4" w:history="1">
        <w:r>
          <w:rPr>
            <w:rStyle w:val="Hyperlink1"/>
            <w:sz w:val="24"/>
            <w:szCs w:val="24"/>
            <w:lang w:val="lv-LV"/>
          </w:rPr>
          <w:t>http://data.europa.eu/eli/reg/2024/2509/oj</w:t>
        </w:r>
      </w:hyperlink>
      <w:r>
        <w:rPr>
          <w:rStyle w:val="Hyperlink1"/>
          <w:sz w:val="24"/>
          <w:szCs w:val="24"/>
          <w:lang w:val="lv-LV"/>
        </w:rPr>
        <w:t>.</w:t>
      </w:r>
    </w:p>
  </w:footnote>
  <w:footnote w:id="5">
    <w:p w14:paraId="42C13463"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283, 31.10.2017., 1. lpp., ELI: </w:t>
      </w:r>
      <w:hyperlink r:id="rId5" w:history="1">
        <w:r>
          <w:rPr>
            <w:rStyle w:val="Hyperlink1"/>
            <w:sz w:val="24"/>
            <w:szCs w:val="24"/>
            <w:lang w:val="lv-LV"/>
          </w:rPr>
          <w:t>http://data.europa.eu/eli/reg/2017/1939/oj</w:t>
        </w:r>
      </w:hyperlink>
      <w:r>
        <w:rPr>
          <w:rStyle w:val="Hyperlink1"/>
          <w:sz w:val="24"/>
          <w:szCs w:val="24"/>
          <w:lang w:val="lv-LV"/>
        </w:rPr>
        <w:t>.</w:t>
      </w:r>
    </w:p>
  </w:footnote>
  <w:footnote w:id="6">
    <w:p w14:paraId="09039408"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122, 10.5.2019., 1. lpp., ELI: </w:t>
      </w:r>
      <w:hyperlink r:id="rId6" w:history="1">
        <w:r>
          <w:rPr>
            <w:rStyle w:val="Hyperlink1"/>
            <w:sz w:val="24"/>
            <w:szCs w:val="24"/>
            <w:lang w:val="lv-LV"/>
          </w:rPr>
          <w:t>http://data.europa.eu/eli/reg_del/2019/715/oj</w:t>
        </w:r>
      </w:hyperlink>
      <w:r>
        <w:rPr>
          <w:rStyle w:val="Hyperlink1"/>
          <w:sz w:val="24"/>
          <w:szCs w:val="24"/>
          <w:lang w:val="lv-LV"/>
        </w:rPr>
        <w:t>.</w:t>
      </w:r>
    </w:p>
  </w:footnote>
  <w:footnote w:id="7">
    <w:p w14:paraId="6952B71E"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C/2024/6332, 24.10.2024., ELI: </w:t>
      </w:r>
      <w:hyperlink r:id="rId7" w:history="1">
        <w:r>
          <w:rPr>
            <w:rStyle w:val="Hyperlink1"/>
            <w:sz w:val="24"/>
            <w:szCs w:val="24"/>
            <w:lang w:val="lv-LV"/>
          </w:rPr>
          <w:t>http://data.europa.eu/eli/C/2024/6332/oj</w:t>
        </w:r>
      </w:hyperlink>
      <w:r>
        <w:rPr>
          <w:sz w:val="24"/>
          <w:szCs w:val="24"/>
          <w:lang w:val="lv-LV"/>
        </w:rPr>
        <w:t>.</w:t>
      </w:r>
    </w:p>
  </w:footnote>
  <w:footnote w:id="8">
    <w:p w14:paraId="2547ED4A"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C/2024/6041, 10.10.2024., ELI: </w:t>
      </w:r>
      <w:hyperlink r:id="rId8" w:history="1">
        <w:r>
          <w:rPr>
            <w:rStyle w:val="Hyperlink1"/>
            <w:sz w:val="24"/>
            <w:szCs w:val="24"/>
            <w:lang w:val="lv-LV"/>
          </w:rPr>
          <w:t>http://data.europa.eu/eli/C/2024/6041/oj</w:t>
        </w:r>
      </w:hyperlink>
      <w:r>
        <w:rPr>
          <w:rStyle w:val="Hyperlink1"/>
          <w:sz w:val="24"/>
          <w:szCs w:val="24"/>
          <w:lang w:val="lv-LV"/>
        </w:rPr>
        <w:t>.</w:t>
      </w:r>
    </w:p>
  </w:footnote>
  <w:footnote w:id="9">
    <w:p w14:paraId="5366FF3B"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193, 30.7.2018., 1. lpp., ELI: </w:t>
      </w:r>
      <w:hyperlink r:id="rId9" w:history="1">
        <w:r>
          <w:rPr>
            <w:rStyle w:val="Hyperlink1"/>
            <w:sz w:val="24"/>
            <w:szCs w:val="24"/>
            <w:lang w:val="lv-LV"/>
          </w:rPr>
          <w:t>http://data.europa.eu/eli/reg/2018/1046/oj</w:t>
        </w:r>
      </w:hyperlink>
      <w:r>
        <w:rPr>
          <w:sz w:val="24"/>
          <w:szCs w:val="24"/>
          <w:lang w:val="lv-LV"/>
        </w:rPr>
        <w:t>.</w:t>
      </w:r>
    </w:p>
  </w:footnote>
  <w:footnote w:id="10">
    <w:p w14:paraId="315A61FC"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2024/2509, 26.9.2024., ELI: </w:t>
      </w:r>
      <w:hyperlink r:id="rId10" w:history="1">
        <w:r>
          <w:rPr>
            <w:rStyle w:val="Hyperlink1"/>
            <w:sz w:val="24"/>
            <w:szCs w:val="24"/>
            <w:lang w:val="lv-LV"/>
          </w:rPr>
          <w:t>http://data.europa.eu/eli/reg/2024/2509/oj</w:t>
        </w:r>
      </w:hyperlink>
      <w:r>
        <w:rPr>
          <w:sz w:val="24"/>
          <w:szCs w:val="24"/>
          <w:lang w:val="lv-LV"/>
        </w:rPr>
        <w:t xml:space="preserve">. </w:t>
      </w:r>
    </w:p>
  </w:footnote>
  <w:footnote w:id="11">
    <w:p w14:paraId="736DDB6F"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283, 31.10.2017., 1. lpp., ELI: </w:t>
      </w:r>
      <w:hyperlink r:id="rId11" w:history="1">
        <w:r>
          <w:rPr>
            <w:rStyle w:val="Hyperlink1"/>
            <w:sz w:val="24"/>
            <w:szCs w:val="24"/>
            <w:lang w:val="lv-LV"/>
          </w:rPr>
          <w:t>http://data.europa.eu/eli/reg/2017/1939/oj</w:t>
        </w:r>
      </w:hyperlink>
      <w:r>
        <w:rPr>
          <w:sz w:val="24"/>
          <w:szCs w:val="24"/>
          <w:lang w:val="lv-LV"/>
        </w:rPr>
        <w:t>.</w:t>
      </w:r>
    </w:p>
  </w:footnote>
  <w:footnote w:id="12">
    <w:p w14:paraId="588817D3" w14:textId="77777777" w:rsidR="00997873" w:rsidRDefault="00997873" w:rsidP="0099787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122, 10.5.2019., 1. lpp., ELI: </w:t>
      </w:r>
      <w:hyperlink r:id="rId12" w:history="1">
        <w:r>
          <w:rPr>
            <w:rStyle w:val="Hyperlink1"/>
            <w:sz w:val="24"/>
            <w:szCs w:val="24"/>
            <w:lang w:val="lv-LV"/>
          </w:rPr>
          <w:t>http://data.europa.eu/eli/reg_del/2019/715/oj</w:t>
        </w:r>
      </w:hyperlink>
      <w:r>
        <w:rPr>
          <w:rStyle w:val="Hyperlink1"/>
          <w:sz w:val="24"/>
          <w:szCs w:val="24"/>
          <w:lang w:val="lv-LV"/>
        </w:rPr>
        <w:t>.</w:t>
      </w:r>
    </w:p>
  </w:footnote>
  <w:footnote w:id="13">
    <w:p w14:paraId="7806E612" w14:textId="77777777" w:rsidR="00997873" w:rsidRDefault="00997873" w:rsidP="00997873">
      <w:pPr>
        <w:pStyle w:val="FootnoteText"/>
        <w:ind w:left="567" w:hanging="567"/>
        <w:rPr>
          <w:sz w:val="24"/>
          <w:szCs w:val="24"/>
          <w:lang w:val="lv-LV"/>
        </w:rPr>
      </w:pPr>
      <w:r>
        <w:rPr>
          <w:rStyle w:val="FootnoteReference"/>
          <w:sz w:val="24"/>
          <w:lang w:val="lv-LV"/>
        </w:rPr>
        <w:footnoteRef/>
      </w:r>
      <w:r>
        <w:rPr>
          <w:sz w:val="24"/>
          <w:lang w:val="lv-LV"/>
        </w:rPr>
        <w:tab/>
      </w:r>
      <w:r>
        <w:rPr>
          <w:sz w:val="24"/>
          <w:lang w:val="lv-LV"/>
        </w:rPr>
        <w:t>Eiropas Parlamenta un Padomes Direktīva (ES) 2017/1371 (2017. gada 5. jūlijs) par cīņu pret krāpšanu, kas skar Savienības finanšu intereses, izmantojot krimināltiesības (OV L 198, 28.7.2017., 29. lpp., ELI:</w:t>
      </w:r>
      <w:r>
        <w:rPr>
          <w:color w:val="333333"/>
          <w:sz w:val="24"/>
          <w:shd w:val="clear" w:color="auto" w:fill="FFFFFF"/>
          <w:lang w:val="lv-LV"/>
        </w:rPr>
        <w:t xml:space="preserve"> </w:t>
      </w:r>
      <w:hyperlink r:id="rId13" w:tooltip="Sniedz piekļuvi šim dokumentam, izmantojot tā ELI URI." w:history="1">
        <w:r>
          <w:rPr>
            <w:rStyle w:val="Hyperlink"/>
            <w:color w:val="23527C"/>
            <w:sz w:val="24"/>
            <w:shd w:val="clear" w:color="auto" w:fill="FFFFFF"/>
            <w:lang w:val="lv-LV"/>
          </w:rPr>
          <w:t>http://data.europa.eu/eli/dir/2017/1371/oj</w:t>
        </w:r>
      </w:hyperlink>
      <w:r>
        <w:rPr>
          <w:sz w:val="24"/>
          <w:lang w:val="lv-LV"/>
        </w:rPr>
        <w:t>).</w:t>
      </w:r>
    </w:p>
  </w:footnote>
  <w:footnote w:id="14">
    <w:p w14:paraId="3BB53A60" w14:textId="77777777" w:rsidR="00997873" w:rsidRDefault="00997873" w:rsidP="00997873">
      <w:pPr>
        <w:pStyle w:val="FootnoteText"/>
        <w:ind w:left="567" w:hanging="567"/>
        <w:rPr>
          <w:sz w:val="24"/>
          <w:szCs w:val="24"/>
          <w:lang w:val="lv-LV"/>
        </w:rPr>
      </w:pPr>
      <w:r>
        <w:rPr>
          <w:rStyle w:val="FootnoteReference"/>
          <w:sz w:val="24"/>
          <w:lang w:val="lv-LV"/>
        </w:rPr>
        <w:footnoteRef/>
      </w:r>
      <w:r>
        <w:rPr>
          <w:sz w:val="24"/>
          <w:lang w:val="lv-LV"/>
        </w:rPr>
        <w:tab/>
      </w:r>
      <w:r>
        <w:rPr>
          <w:sz w:val="24"/>
          <w:lang w:val="lv-LV"/>
        </w:rPr>
        <w:t>Padomes Regula (ES) 2017/1939 (2017. gada 12. oktobris), ar ko īsteno ciešāku sadarbību Eiropas Prokuratūras (</w:t>
      </w:r>
      <w:r>
        <w:rPr>
          <w:i/>
          <w:sz w:val="24"/>
          <w:lang w:val="lv-LV"/>
        </w:rPr>
        <w:t>EPPO</w:t>
      </w:r>
      <w:r>
        <w:rPr>
          <w:sz w:val="24"/>
          <w:lang w:val="lv-LV"/>
        </w:rPr>
        <w:t>) izveidei (OV L 283, 31.10.2017., 1. lpp., ELI:</w:t>
      </w:r>
      <w:r>
        <w:rPr>
          <w:color w:val="333333"/>
          <w:sz w:val="24"/>
          <w:shd w:val="clear" w:color="auto" w:fill="FFFFFF"/>
          <w:lang w:val="lv-LV"/>
        </w:rPr>
        <w:t xml:space="preserve"> </w:t>
      </w:r>
      <w:hyperlink r:id="rId14" w:tooltip="Sniedz piekļuvi šim dokumentam, izmantojot tā ELI URI." w:history="1">
        <w:r>
          <w:rPr>
            <w:rStyle w:val="Hyperlink"/>
            <w:color w:val="23527C"/>
            <w:sz w:val="24"/>
            <w:shd w:val="clear" w:color="auto" w:fill="FFFFFF"/>
            <w:lang w:val="lv-LV"/>
          </w:rPr>
          <w:t>http://data.europa.eu/eli/reg/2017/1939/oj</w:t>
        </w:r>
      </w:hyperlink>
      <w:r>
        <w:rPr>
          <w:sz w:val="24"/>
          <w:lang w:val="lv-LV"/>
        </w:rPr>
        <w:t>).</w:t>
      </w:r>
    </w:p>
  </w:footnote>
  <w:footnote w:id="15">
    <w:p w14:paraId="328D35D7" w14:textId="77777777" w:rsidR="00997873" w:rsidRDefault="00997873" w:rsidP="00997873">
      <w:pPr>
        <w:pStyle w:val="FootnoteText"/>
        <w:ind w:left="567" w:hanging="567"/>
        <w:rPr>
          <w:sz w:val="24"/>
          <w:szCs w:val="24"/>
          <w:lang w:val="lv-LV"/>
        </w:rPr>
      </w:pPr>
      <w:r>
        <w:rPr>
          <w:rStyle w:val="FootnoteReference"/>
          <w:sz w:val="24"/>
          <w:lang w:val="lv-LV"/>
        </w:rPr>
        <w:footnoteRef/>
      </w:r>
      <w:r>
        <w:rPr>
          <w:sz w:val="24"/>
          <w:lang w:val="lv-LV"/>
        </w:rPr>
        <w:tab/>
      </w:r>
      <w:r>
        <w:rPr>
          <w:sz w:val="24"/>
          <w:lang w:val="lv-LV"/>
        </w:rPr>
        <w:t>Saskaņā ar 2023. gada konsolidēto gada darbības pārskatu pagaidu darbiniekiem un līgumdarbiniekiem mainības rādītājs bija 5,9 %.</w:t>
      </w:r>
    </w:p>
  </w:footnote>
  <w:footnote w:id="16">
    <w:p w14:paraId="6E573F16" w14:textId="77777777" w:rsidR="00997873" w:rsidRDefault="00997873" w:rsidP="00997873">
      <w:pPr>
        <w:pStyle w:val="FootnoteText"/>
        <w:ind w:left="567" w:hanging="567"/>
        <w:rPr>
          <w:sz w:val="24"/>
          <w:szCs w:val="24"/>
          <w:lang w:val="lv-LV"/>
        </w:rPr>
      </w:pPr>
      <w:r>
        <w:rPr>
          <w:rStyle w:val="FootnoteReference"/>
          <w:sz w:val="24"/>
          <w:lang w:val="lv-LV"/>
        </w:rPr>
        <w:footnoteRef/>
      </w:r>
      <w:r>
        <w:rPr>
          <w:sz w:val="24"/>
          <w:lang w:val="lv-LV"/>
        </w:rPr>
        <w:tab/>
      </w:r>
      <w:r>
        <w:rPr>
          <w:sz w:val="24"/>
          <w:lang w:val="lv-LV"/>
        </w:rPr>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 ELI:</w:t>
      </w:r>
      <w:r>
        <w:rPr>
          <w:color w:val="333333"/>
          <w:sz w:val="24"/>
          <w:shd w:val="clear" w:color="auto" w:fill="FFFFFF"/>
          <w:lang w:val="lv-LV"/>
        </w:rPr>
        <w:t xml:space="preserve"> </w:t>
      </w:r>
      <w:hyperlink r:id="rId15" w:tooltip="Sniedz piekļuvi šim dokumentam, izmantojot tā ELI URI." w:history="1">
        <w:r>
          <w:rPr>
            <w:rStyle w:val="Hyperlink1"/>
            <w:color w:val="337AB7"/>
            <w:sz w:val="24"/>
            <w:shd w:val="clear" w:color="auto" w:fill="FFFFFF"/>
            <w:lang w:val="lv-LV"/>
          </w:rPr>
          <w:t>http://data.europa.eu/eli/reg/2018/1725/oj</w:t>
        </w:r>
      </w:hyperlink>
      <w:r>
        <w:rPr>
          <w:sz w:val="24"/>
          <w:lang w:val="lv-LV"/>
        </w:rPr>
        <w:t>).</w:t>
      </w:r>
    </w:p>
  </w:footnote>
  <w:footnote w:id="17">
    <w:p w14:paraId="241C21DC" w14:textId="77777777" w:rsidR="00997873" w:rsidRDefault="00997873" w:rsidP="00997873">
      <w:pPr>
        <w:pStyle w:val="FootnoteText"/>
        <w:ind w:left="567" w:hanging="567"/>
        <w:rPr>
          <w:sz w:val="24"/>
          <w:szCs w:val="24"/>
          <w:lang w:val="lv-LV"/>
        </w:rPr>
      </w:pPr>
      <w:r>
        <w:rPr>
          <w:rStyle w:val="FootnoteReference"/>
          <w:sz w:val="24"/>
          <w:lang w:val="lv-LV"/>
        </w:rPr>
        <w:footnoteRef/>
      </w:r>
      <w:r>
        <w:rPr>
          <w:color w:val="333333"/>
          <w:sz w:val="24"/>
          <w:shd w:val="clear" w:color="auto" w:fill="FFFFFF"/>
          <w:lang w:val="lv-LV"/>
        </w:rPr>
        <w:tab/>
      </w:r>
      <w:r>
        <w:rPr>
          <w:color w:val="333333"/>
          <w:sz w:val="24"/>
          <w:shd w:val="clear" w:color="auto" w:fill="FFFFFF"/>
          <w:lang w:val="lv-LV"/>
        </w:rPr>
        <w:t xml:space="preserve">Eiropas Parlamenta un Padomes Regula (ES, </w:t>
      </w:r>
      <w:r>
        <w:rPr>
          <w:iCs/>
          <w:color w:val="333333"/>
          <w:sz w:val="24"/>
          <w:shd w:val="clear" w:color="auto" w:fill="FFFFFF"/>
          <w:lang w:val="lv-LV"/>
        </w:rPr>
        <w:t>Euratom</w:t>
      </w:r>
      <w:r>
        <w:rPr>
          <w:color w:val="333333"/>
          <w:sz w:val="24"/>
          <w:shd w:val="clear" w:color="auto" w:fill="FFFFFF"/>
          <w:lang w:val="lv-LV"/>
        </w:rPr>
        <w:t xml:space="preserve">) 2020/2092 (2020. gada 16. decembris) par vispārēju nosacītības režīmu Savienības budžeta aizsardzībai (OV L 433 I, 22.12.2020., 1. lpp., ELI: </w:t>
      </w:r>
      <w:r>
        <w:rPr>
          <w:color w:val="23527C"/>
          <w:sz w:val="24"/>
          <w:u w:val="single"/>
          <w:shd w:val="clear" w:color="auto" w:fill="FFFFFF"/>
          <w:lang w:val="lv-LV"/>
        </w:rPr>
        <w:t>http://data.europa.eu/eli/reg/2020/2092/oj</w:t>
      </w:r>
      <w:r>
        <w:rPr>
          <w:color w:val="333333"/>
          <w:sz w:val="24"/>
          <w:shd w:val="clear" w:color="auto" w:fill="FFFFFF"/>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E6BE0" w14:textId="77777777" w:rsidR="00064002" w:rsidRPr="00CE49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C7D8E" w14:textId="77777777" w:rsidR="00064002" w:rsidRPr="00CE49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281E3" w14:textId="77777777" w:rsidR="00064002" w:rsidRPr="00CE49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6039755">
    <w:abstractNumId w:val="9"/>
  </w:num>
  <w:num w:numId="2" w16cid:durableId="1401363904">
    <w:abstractNumId w:val="9"/>
  </w:num>
  <w:num w:numId="3" w16cid:durableId="1383753251">
    <w:abstractNumId w:val="7"/>
  </w:num>
  <w:num w:numId="4" w16cid:durableId="1068768177">
    <w:abstractNumId w:val="7"/>
  </w:num>
  <w:num w:numId="5" w16cid:durableId="769814639">
    <w:abstractNumId w:val="6"/>
  </w:num>
  <w:num w:numId="6" w16cid:durableId="222375926">
    <w:abstractNumId w:val="6"/>
  </w:num>
  <w:num w:numId="7" w16cid:durableId="2105563710">
    <w:abstractNumId w:val="5"/>
  </w:num>
  <w:num w:numId="8" w16cid:durableId="189683429">
    <w:abstractNumId w:val="5"/>
  </w:num>
  <w:num w:numId="9" w16cid:durableId="1697735700">
    <w:abstractNumId w:val="4"/>
  </w:num>
  <w:num w:numId="10" w16cid:durableId="774056646">
    <w:abstractNumId w:val="4"/>
  </w:num>
  <w:num w:numId="11" w16cid:durableId="85463522">
    <w:abstractNumId w:val="8"/>
  </w:num>
  <w:num w:numId="12" w16cid:durableId="894662329">
    <w:abstractNumId w:val="8"/>
  </w:num>
  <w:num w:numId="13" w16cid:durableId="433745218">
    <w:abstractNumId w:val="3"/>
  </w:num>
  <w:num w:numId="14" w16cid:durableId="364184855">
    <w:abstractNumId w:val="3"/>
  </w:num>
  <w:num w:numId="15" w16cid:durableId="961418179">
    <w:abstractNumId w:val="2"/>
  </w:num>
  <w:num w:numId="16" w16cid:durableId="593442168">
    <w:abstractNumId w:val="2"/>
  </w:num>
  <w:num w:numId="17" w16cid:durableId="1425420983">
    <w:abstractNumId w:val="1"/>
  </w:num>
  <w:num w:numId="18" w16cid:durableId="676619467">
    <w:abstractNumId w:val="1"/>
  </w:num>
  <w:num w:numId="19" w16cid:durableId="89355083">
    <w:abstractNumId w:val="0"/>
  </w:num>
  <w:num w:numId="20" w16cid:durableId="1430471548">
    <w:abstractNumId w:val="0"/>
  </w:num>
  <w:num w:numId="21" w16cid:durableId="1400253626">
    <w:abstractNumId w:val="9"/>
  </w:num>
  <w:num w:numId="22" w16cid:durableId="982739523">
    <w:abstractNumId w:val="7"/>
  </w:num>
  <w:num w:numId="23" w16cid:durableId="375158450">
    <w:abstractNumId w:val="6"/>
  </w:num>
  <w:num w:numId="24" w16cid:durableId="495805084">
    <w:abstractNumId w:val="5"/>
  </w:num>
  <w:num w:numId="25" w16cid:durableId="967711434">
    <w:abstractNumId w:val="4"/>
  </w:num>
  <w:num w:numId="26" w16cid:durableId="1373991923">
    <w:abstractNumId w:val="8"/>
  </w:num>
  <w:num w:numId="27" w16cid:durableId="102656787">
    <w:abstractNumId w:val="3"/>
  </w:num>
  <w:num w:numId="28" w16cid:durableId="1662545312">
    <w:abstractNumId w:val="2"/>
  </w:num>
  <w:num w:numId="29" w16cid:durableId="663553527">
    <w:abstractNumId w:val="1"/>
  </w:num>
  <w:num w:numId="30" w16cid:durableId="812336789">
    <w:abstractNumId w:val="0"/>
  </w:num>
  <w:num w:numId="31" w16cid:durableId="1424456321">
    <w:abstractNumId w:val="9"/>
  </w:num>
  <w:num w:numId="32" w16cid:durableId="1649245978">
    <w:abstractNumId w:val="7"/>
  </w:num>
  <w:num w:numId="33" w16cid:durableId="1041175338">
    <w:abstractNumId w:val="6"/>
  </w:num>
  <w:num w:numId="34" w16cid:durableId="594096005">
    <w:abstractNumId w:val="5"/>
  </w:num>
  <w:num w:numId="35" w16cid:durableId="1840654547">
    <w:abstractNumId w:val="4"/>
  </w:num>
  <w:num w:numId="36" w16cid:durableId="657419172">
    <w:abstractNumId w:val="8"/>
  </w:num>
  <w:num w:numId="37" w16cid:durableId="845706870">
    <w:abstractNumId w:val="3"/>
  </w:num>
  <w:num w:numId="38" w16cid:durableId="1552614784">
    <w:abstractNumId w:val="2"/>
  </w:num>
  <w:num w:numId="39" w16cid:durableId="777261917">
    <w:abstractNumId w:val="1"/>
  </w:num>
  <w:num w:numId="40" w16cid:durableId="1323698473">
    <w:abstractNumId w:val="0"/>
  </w:num>
  <w:num w:numId="41" w16cid:durableId="671835276">
    <w:abstractNumId w:val="10"/>
  </w:num>
  <w:num w:numId="42" w16cid:durableId="655842451">
    <w:abstractNumId w:val="10"/>
  </w:num>
  <w:num w:numId="43" w16cid:durableId="121726965">
    <w:abstractNumId w:val="10"/>
  </w:num>
  <w:num w:numId="44" w16cid:durableId="853111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LV"/>
    <w:docVar w:name="dvnumam" w:val="0"/>
    <w:docVar w:name="dvpe" w:val="764.989"/>
    <w:docVar w:name="dvrapporteur" w:val="Referents: "/>
    <w:docVar w:name="dvtitre" w:val="Eiropas Parlamenta 2025. gada XX. XXX lēmums par Eiropas Prokuratūras 2023. finanšu gada budžeta izpildes apstiprināšanu(2024/2029(DEC))"/>
  </w:docVars>
  <w:rsids>
    <w:rsidRoot w:val="00B0166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5341"/>
    <w:rsid w:val="00361C00"/>
    <w:rsid w:val="00395FA1"/>
    <w:rsid w:val="003C6BFA"/>
    <w:rsid w:val="003D68A4"/>
    <w:rsid w:val="003E15D4"/>
    <w:rsid w:val="003F775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7248"/>
    <w:rsid w:val="006F74FA"/>
    <w:rsid w:val="00731ADD"/>
    <w:rsid w:val="0073443F"/>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873"/>
    <w:rsid w:val="009F5D56"/>
    <w:rsid w:val="00A1687D"/>
    <w:rsid w:val="00A43E52"/>
    <w:rsid w:val="00A4678D"/>
    <w:rsid w:val="00A778C7"/>
    <w:rsid w:val="00AB441E"/>
    <w:rsid w:val="00AB6293"/>
    <w:rsid w:val="00AE0928"/>
    <w:rsid w:val="00AF3B82"/>
    <w:rsid w:val="00B0166B"/>
    <w:rsid w:val="00B03949"/>
    <w:rsid w:val="00B12E95"/>
    <w:rsid w:val="00B22876"/>
    <w:rsid w:val="00B558F0"/>
    <w:rsid w:val="00BD48FE"/>
    <w:rsid w:val="00BD7BD8"/>
    <w:rsid w:val="00BE6ADC"/>
    <w:rsid w:val="00C05BFE"/>
    <w:rsid w:val="00C23CD4"/>
    <w:rsid w:val="00C61C0C"/>
    <w:rsid w:val="00C941CB"/>
    <w:rsid w:val="00CC2357"/>
    <w:rsid w:val="00CE4991"/>
    <w:rsid w:val="00CF071A"/>
    <w:rsid w:val="00D058B8"/>
    <w:rsid w:val="00D56C11"/>
    <w:rsid w:val="00D834A0"/>
    <w:rsid w:val="00D872DF"/>
    <w:rsid w:val="00D91E21"/>
    <w:rsid w:val="00DA7FCD"/>
    <w:rsid w:val="00E365E1"/>
    <w:rsid w:val="00E820A4"/>
    <w:rsid w:val="00EB006A"/>
    <w:rsid w:val="00EB4772"/>
    <w:rsid w:val="00EC4BE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35D2A"/>
  <w15:chartTrackingRefBased/>
  <w15:docId w15:val="{B8824B3C-0B6B-4679-9F49-940446A0A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F775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F775B"/>
    <w:pPr>
      <w:spacing w:before="480" w:after="240"/>
    </w:pPr>
  </w:style>
  <w:style w:type="paragraph" w:customStyle="1" w:styleId="PageHeading">
    <w:name w:val="PageHeading"/>
    <w:basedOn w:val="Normal"/>
    <w:rsid w:val="003F775B"/>
    <w:pPr>
      <w:keepNext/>
      <w:spacing w:after="480"/>
      <w:jc w:val="center"/>
    </w:pPr>
    <w:rPr>
      <w:rFonts w:ascii="Arial" w:hAnsi="Arial" w:cs="Arial"/>
      <w:b/>
    </w:rPr>
  </w:style>
  <w:style w:type="paragraph" w:customStyle="1" w:styleId="NormalBold">
    <w:name w:val="NormalBold"/>
    <w:basedOn w:val="Normal"/>
    <w:rsid w:val="003F775B"/>
    <w:rPr>
      <w:b/>
    </w:rPr>
  </w:style>
  <w:style w:type="paragraph" w:customStyle="1" w:styleId="NormalHanging12a">
    <w:name w:val="NormalHanging12a"/>
    <w:basedOn w:val="Normal"/>
    <w:link w:val="NormalHanging12aChar"/>
    <w:rsid w:val="003F775B"/>
    <w:pPr>
      <w:spacing w:after="240"/>
      <w:ind w:left="567" w:hanging="567"/>
    </w:pPr>
  </w:style>
  <w:style w:type="paragraph" w:styleId="Header">
    <w:name w:val="header"/>
    <w:basedOn w:val="Normal"/>
    <w:link w:val="HeaderChar"/>
    <w:rsid w:val="003F775B"/>
    <w:pPr>
      <w:tabs>
        <w:tab w:val="center" w:pos="4513"/>
        <w:tab w:val="right" w:pos="9026"/>
      </w:tabs>
    </w:pPr>
  </w:style>
  <w:style w:type="character" w:customStyle="1" w:styleId="HeaderChar">
    <w:name w:val="Header Char"/>
    <w:basedOn w:val="DefaultParagraphFont"/>
    <w:link w:val="Header"/>
    <w:rsid w:val="003F775B"/>
    <w:rPr>
      <w:sz w:val="24"/>
      <w:lang w:val="lv-LV"/>
    </w:rPr>
  </w:style>
  <w:style w:type="paragraph" w:customStyle="1" w:styleId="EPFooter">
    <w:name w:val="EPFooter"/>
    <w:basedOn w:val="Normal"/>
    <w:rsid w:val="003F775B"/>
    <w:pPr>
      <w:tabs>
        <w:tab w:val="center" w:pos="4535"/>
        <w:tab w:val="right" w:pos="9071"/>
      </w:tabs>
      <w:spacing w:before="240" w:after="240"/>
    </w:pPr>
    <w:rPr>
      <w:color w:val="010000"/>
      <w:sz w:val="22"/>
    </w:rPr>
  </w:style>
  <w:style w:type="character" w:styleId="Hyperlink">
    <w:name w:val="Hyperlink"/>
    <w:basedOn w:val="DefaultParagraphFont"/>
    <w:uiPriority w:val="99"/>
    <w:rsid w:val="003F775B"/>
    <w:rPr>
      <w:color w:val="0563C1" w:themeColor="hyperlink"/>
      <w:u w:val="single"/>
    </w:rPr>
  </w:style>
  <w:style w:type="character" w:customStyle="1" w:styleId="NormalHanging12aChar">
    <w:name w:val="NormalHanging12a Char"/>
    <w:basedOn w:val="DefaultParagraphFont"/>
    <w:link w:val="NormalHanging12a"/>
    <w:locked/>
    <w:rsid w:val="003F775B"/>
    <w:rPr>
      <w:sz w:val="24"/>
      <w:lang w:val="lv-LV"/>
    </w:rPr>
  </w:style>
  <w:style w:type="paragraph" w:customStyle="1" w:styleId="Default">
    <w:name w:val="Default"/>
    <w:rsid w:val="003F775B"/>
    <w:pPr>
      <w:autoSpaceDE w:val="0"/>
      <w:autoSpaceDN w:val="0"/>
      <w:adjustRightInd w:val="0"/>
    </w:pPr>
    <w:rPr>
      <w:rFonts w:ascii="Calibri" w:hAnsi="Calibri" w:cs="Calibri"/>
      <w:color w:val="000000"/>
      <w:sz w:val="24"/>
      <w:szCs w:val="24"/>
      <w:lang w:val="lv-LV"/>
    </w:rPr>
  </w:style>
  <w:style w:type="paragraph" w:styleId="BalloonText">
    <w:name w:val="Balloon Text"/>
    <w:basedOn w:val="Normal"/>
    <w:link w:val="BalloonTextChar"/>
    <w:rsid w:val="0073443F"/>
    <w:rPr>
      <w:rFonts w:ascii="Segoe UI" w:hAnsi="Segoe UI" w:cs="Segoe UI"/>
      <w:sz w:val="18"/>
      <w:szCs w:val="18"/>
    </w:rPr>
  </w:style>
  <w:style w:type="character" w:customStyle="1" w:styleId="BalloonTextChar">
    <w:name w:val="Balloon Text Char"/>
    <w:basedOn w:val="DefaultParagraphFont"/>
    <w:link w:val="BalloonText"/>
    <w:rsid w:val="0073443F"/>
    <w:rPr>
      <w:rFonts w:ascii="Segoe UI" w:hAnsi="Segoe UI" w:cs="Segoe UI"/>
      <w:sz w:val="18"/>
      <w:szCs w:val="18"/>
      <w:lang w:val="lv-LV"/>
    </w:rPr>
  </w:style>
  <w:style w:type="paragraph" w:styleId="CommentText">
    <w:name w:val="annotation text"/>
    <w:basedOn w:val="Normal"/>
    <w:link w:val="CommentTextChar"/>
    <w:uiPriority w:val="99"/>
    <w:unhideWhenUsed/>
    <w:rsid w:val="00997873"/>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997873"/>
    <w:rPr>
      <w:rFonts w:eastAsia="Aptos"/>
      <w:kern w:val="2"/>
      <w:lang w:eastAsia="en-US"/>
      <w14:ligatures w14:val="standardContextual"/>
    </w:rPr>
  </w:style>
  <w:style w:type="character" w:styleId="CommentReference">
    <w:name w:val="annotation reference"/>
    <w:basedOn w:val="DefaultParagraphFont"/>
    <w:uiPriority w:val="99"/>
    <w:unhideWhenUsed/>
    <w:rsid w:val="00997873"/>
    <w:rPr>
      <w:sz w:val="16"/>
      <w:szCs w:val="16"/>
    </w:rPr>
  </w:style>
  <w:style w:type="character" w:customStyle="1" w:styleId="Hyperlink1">
    <w:name w:val="Hyperlink1"/>
    <w:basedOn w:val="DefaultParagraphFont"/>
    <w:uiPriority w:val="99"/>
    <w:rsid w:val="0099787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309148">
      <w:bodyDiv w:val="1"/>
      <w:marLeft w:val="0"/>
      <w:marRight w:val="0"/>
      <w:marTop w:val="0"/>
      <w:marBottom w:val="0"/>
      <w:divBdr>
        <w:top w:val="none" w:sz="0" w:space="0" w:color="auto"/>
        <w:left w:val="none" w:sz="0" w:space="0" w:color="auto"/>
        <w:bottom w:val="none" w:sz="0" w:space="0" w:color="auto"/>
        <w:right w:val="none" w:sz="0" w:space="0" w:color="auto"/>
      </w:divBdr>
    </w:div>
    <w:div w:id="612517365">
      <w:bodyDiv w:val="1"/>
      <w:marLeft w:val="0"/>
      <w:marRight w:val="0"/>
      <w:marTop w:val="0"/>
      <w:marBottom w:val="0"/>
      <w:divBdr>
        <w:top w:val="none" w:sz="0" w:space="0" w:color="auto"/>
        <w:left w:val="none" w:sz="0" w:space="0" w:color="auto"/>
        <w:bottom w:val="none" w:sz="0" w:space="0" w:color="auto"/>
        <w:right w:val="none" w:sz="0" w:space="0" w:color="auto"/>
      </w:divBdr>
    </w:div>
    <w:div w:id="154409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30B05-DF03-4D63-8AC4-2A2F18B40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11016</Words>
  <Characters>71554</Characters>
  <Application>Microsoft Office Word</Application>
  <DocSecurity>0</DocSecurity>
  <Lines>596</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2025-12-02T13:58:00Z</dcterms:created>
  <dcterms:modified xsi:type="dcterms:W3CDTF">2025-12-02T13:58:00Z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P10_TA(2025)0087_</vt:lpwstr>
  </property>
  <property fmtid="{D5CDD505-2E9C-101B-9397-08002B2CF9AE}" pid="4" name="&lt;Type&gt;">
    <vt:lpwstr>RR</vt:lpwstr>
  </property>
</Properties>
</file>