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02F" w14:paraId="1503DEE2" w14:textId="77777777" w:rsidTr="0010095E">
        <w:trPr>
          <w:trHeight w:hRule="exact" w:val="1418"/>
        </w:trPr>
        <w:tc>
          <w:tcPr>
            <w:tcW w:w="6804" w:type="dxa"/>
            <w:shd w:val="clear" w:color="auto" w:fill="auto"/>
            <w:vAlign w:val="center"/>
          </w:tcPr>
          <w:p w14:paraId="691D5757" w14:textId="77777777" w:rsidR="00751A4A" w:rsidRPr="007A602F" w:rsidRDefault="00996223" w:rsidP="0010095E">
            <w:pPr>
              <w:pStyle w:val="EPName"/>
            </w:pPr>
            <w:r w:rsidRPr="007A602F">
              <w:t>Európsky parlament</w:t>
            </w:r>
          </w:p>
          <w:p w14:paraId="25AC9826" w14:textId="77777777" w:rsidR="00751A4A" w:rsidRPr="007A602F" w:rsidRDefault="005F1B17" w:rsidP="005F1B17">
            <w:pPr>
              <w:pStyle w:val="EPTerm"/>
              <w:rPr>
                <w:rStyle w:val="HideTWBExt"/>
                <w:noProof w:val="0"/>
                <w:vanish w:val="0"/>
                <w:color w:val="auto"/>
              </w:rPr>
            </w:pPr>
            <w:r w:rsidRPr="007A602F">
              <w:t>2024</w:t>
            </w:r>
            <w:r w:rsidR="00817416" w:rsidRPr="007A602F">
              <w:t>-202</w:t>
            </w:r>
            <w:r w:rsidRPr="007A602F">
              <w:t>9</w:t>
            </w:r>
          </w:p>
        </w:tc>
        <w:tc>
          <w:tcPr>
            <w:tcW w:w="2268" w:type="dxa"/>
            <w:shd w:val="clear" w:color="auto" w:fill="auto"/>
          </w:tcPr>
          <w:p w14:paraId="6955A0BA" w14:textId="77777777" w:rsidR="00751A4A" w:rsidRPr="007A602F" w:rsidRDefault="00187494" w:rsidP="0010095E">
            <w:pPr>
              <w:pStyle w:val="EPLogo"/>
            </w:pPr>
            <w:r w:rsidRPr="007A602F">
              <w:rPr>
                <w:noProof/>
                <w:lang w:val="en-GB"/>
              </w:rPr>
              <w:drawing>
                <wp:inline distT="0" distB="0" distL="0" distR="0" wp14:anchorId="6D5796EF" wp14:editId="544635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A3960" w14:textId="77777777" w:rsidR="00D058B8" w:rsidRPr="007A602F" w:rsidRDefault="00D058B8" w:rsidP="004C5D52">
      <w:pPr>
        <w:pStyle w:val="LineTop"/>
      </w:pPr>
    </w:p>
    <w:p w14:paraId="61C7F755" w14:textId="77777777" w:rsidR="00680577" w:rsidRPr="007A602F" w:rsidRDefault="00996223" w:rsidP="00680577">
      <w:pPr>
        <w:pStyle w:val="EPBodyTA1"/>
      </w:pPr>
      <w:r w:rsidRPr="007A602F">
        <w:t>PRIJATÉ TEXTY</w:t>
      </w:r>
    </w:p>
    <w:p w14:paraId="4F686174" w14:textId="77777777" w:rsidR="00D058B8" w:rsidRPr="007A602F" w:rsidRDefault="00D058B8" w:rsidP="00D058B8">
      <w:pPr>
        <w:pStyle w:val="LineBottom"/>
      </w:pPr>
    </w:p>
    <w:p w14:paraId="726F765B" w14:textId="77777777" w:rsidR="00996223" w:rsidRPr="007A602F" w:rsidRDefault="00996223" w:rsidP="00996223">
      <w:pPr>
        <w:pStyle w:val="ATHeading1"/>
      </w:pPr>
      <w:bookmarkStart w:id="0" w:name="TANumber"/>
      <w:r w:rsidRPr="007A602F">
        <w:t>P10_TA(2025)00</w:t>
      </w:r>
      <w:r w:rsidR="007A602F" w:rsidRPr="007A602F">
        <w:t>87</w:t>
      </w:r>
      <w:bookmarkEnd w:id="0"/>
    </w:p>
    <w:p w14:paraId="391C6B62" w14:textId="2FC77EAB" w:rsidR="00996223" w:rsidRPr="007A602F" w:rsidRDefault="00996223" w:rsidP="00996223">
      <w:pPr>
        <w:pStyle w:val="ATHeading2"/>
      </w:pPr>
      <w:bookmarkStart w:id="1" w:name="title"/>
      <w:r w:rsidRPr="007A602F">
        <w:t>Absolutórium za rok 2023: Európska prokuratúr</w:t>
      </w:r>
      <w:r w:rsidR="00A505AB" w:rsidRPr="007A602F">
        <w:t>a</w:t>
      </w:r>
      <w:bookmarkEnd w:id="1"/>
    </w:p>
    <w:p w14:paraId="12505EDA" w14:textId="77777777" w:rsidR="00996223" w:rsidRPr="007A602F" w:rsidRDefault="00996223" w:rsidP="00996223">
      <w:pPr>
        <w:rPr>
          <w:i/>
          <w:vanish/>
        </w:rPr>
      </w:pPr>
      <w:r w:rsidRPr="007A602F">
        <w:rPr>
          <w:i/>
        </w:rPr>
        <w:fldChar w:fldCharType="begin"/>
      </w:r>
      <w:r w:rsidRPr="007A602F">
        <w:rPr>
          <w:i/>
        </w:rPr>
        <w:instrText xml:space="preserve"> TC"(</w:instrText>
      </w:r>
      <w:bookmarkStart w:id="2" w:name="DocNumber"/>
      <w:r w:rsidRPr="007A602F">
        <w:rPr>
          <w:i/>
        </w:rPr>
        <w:instrText>A10-0051/2025</w:instrText>
      </w:r>
      <w:bookmarkEnd w:id="2"/>
      <w:r w:rsidRPr="007A602F">
        <w:rPr>
          <w:i/>
        </w:rPr>
        <w:instrText xml:space="preserve"> - Spravodajca: Tomáš </w:instrText>
      </w:r>
      <w:proofErr w:type="spellStart"/>
      <w:r w:rsidRPr="007A602F">
        <w:rPr>
          <w:i/>
        </w:rPr>
        <w:instrText>Zdechovský</w:instrText>
      </w:r>
      <w:proofErr w:type="spellEnd"/>
      <w:r w:rsidRPr="007A602F">
        <w:rPr>
          <w:i/>
        </w:rPr>
        <w:instrText xml:space="preserve">)"\l3 \n&gt; \* MERGEFORMAT </w:instrText>
      </w:r>
      <w:r w:rsidRPr="007A602F">
        <w:rPr>
          <w:i/>
        </w:rPr>
        <w:fldChar w:fldCharType="end"/>
      </w:r>
    </w:p>
    <w:p w14:paraId="30539947" w14:textId="77777777" w:rsidR="00996223" w:rsidRPr="007A602F" w:rsidRDefault="00996223" w:rsidP="00996223">
      <w:pPr>
        <w:rPr>
          <w:vanish/>
        </w:rPr>
      </w:pPr>
      <w:bookmarkStart w:id="3" w:name="Commission"/>
      <w:r w:rsidRPr="007A602F">
        <w:rPr>
          <w:vanish/>
        </w:rPr>
        <w:t>Výbor pre kontrolu rozpočtu</w:t>
      </w:r>
      <w:bookmarkEnd w:id="3"/>
    </w:p>
    <w:p w14:paraId="122C0898" w14:textId="77777777" w:rsidR="00996223" w:rsidRPr="007A602F" w:rsidRDefault="00996223" w:rsidP="00996223">
      <w:pPr>
        <w:rPr>
          <w:vanish/>
        </w:rPr>
      </w:pPr>
      <w:bookmarkStart w:id="4" w:name="PE"/>
      <w:r w:rsidRPr="007A602F">
        <w:rPr>
          <w:vanish/>
        </w:rPr>
        <w:t>PE764.989</w:t>
      </w:r>
      <w:bookmarkEnd w:id="4"/>
    </w:p>
    <w:p w14:paraId="3E5273DA" w14:textId="77777777" w:rsidR="00996223" w:rsidRPr="007A602F" w:rsidRDefault="0021032E" w:rsidP="00996223">
      <w:pPr>
        <w:pStyle w:val="ATHeading3"/>
      </w:pPr>
      <w:bookmarkStart w:id="5" w:name="Sujet"/>
      <w:r w:rsidRPr="007A602F">
        <w:t xml:space="preserve">1. </w:t>
      </w:r>
      <w:r w:rsidR="00996223" w:rsidRPr="007A602F">
        <w:t>Rozhodnutie Európskeho parlamentu z</w:t>
      </w:r>
      <w:r w:rsidR="00530C72" w:rsidRPr="007A602F">
        <w:t>o</w:t>
      </w:r>
      <w:r w:rsidR="007A602F" w:rsidRPr="007A602F">
        <w:t xml:space="preserve"> </w:t>
      </w:r>
      <w:r w:rsidR="00530C72" w:rsidRPr="007A602F">
        <w:t>7</w:t>
      </w:r>
      <w:r w:rsidR="00996223" w:rsidRPr="007A602F">
        <w:t>. mája 2025 o absolutóriu za plnenie rozpočtu Európskej prokuratúry za rozpočtový rok 2023</w:t>
      </w:r>
      <w:bookmarkEnd w:id="5"/>
      <w:r w:rsidR="00996223" w:rsidRPr="007A602F">
        <w:t xml:space="preserve"> </w:t>
      </w:r>
      <w:bookmarkStart w:id="6" w:name="References"/>
      <w:r w:rsidR="00996223" w:rsidRPr="007A602F">
        <w:t>(2024/2029(DEC))</w:t>
      </w:r>
      <w:bookmarkEnd w:id="6"/>
    </w:p>
    <w:p w14:paraId="7C335AB8" w14:textId="77777777" w:rsidR="009627A5" w:rsidRPr="007A602F" w:rsidRDefault="009627A5" w:rsidP="009627A5">
      <w:pPr>
        <w:pStyle w:val="EPComma"/>
      </w:pPr>
      <w:bookmarkStart w:id="7" w:name="TextBodyBegin"/>
      <w:bookmarkEnd w:id="7"/>
      <w:r w:rsidRPr="007A602F">
        <w:rPr>
          <w:i/>
        </w:rPr>
        <w:t>Európsky parlament</w:t>
      </w:r>
      <w:r w:rsidRPr="007A602F">
        <w:t>,</w:t>
      </w:r>
    </w:p>
    <w:p w14:paraId="3DBF0EE8"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konečnú ročnú účtovnú závierku Európskej prokuratúry za rozpočtový rok 2023,</w:t>
      </w:r>
    </w:p>
    <w:p w14:paraId="65ABA7D4"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výročnú správu Dvora audítorov o agentúrach EÚ za rozpočtový rok 2023 spolu s odpoveďami agentúr</w:t>
      </w:r>
      <w:r w:rsidRPr="00FC59BD">
        <w:rPr>
          <w:kern w:val="2"/>
          <w:vertAlign w:val="superscript"/>
          <w14:ligatures w14:val="standardContextual"/>
        </w:rPr>
        <w:footnoteReference w:id="1"/>
      </w:r>
      <w:r w:rsidRPr="00FC59BD">
        <w:rPr>
          <w:kern w:val="2"/>
          <w14:ligatures w14:val="standardContextual"/>
        </w:rPr>
        <w:t>,</w:t>
      </w:r>
    </w:p>
    <w:p w14:paraId="05527026"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vyhlásenie o vierohodnosti</w:t>
      </w:r>
      <w:r w:rsidRPr="00FC59BD">
        <w:rPr>
          <w:kern w:val="2"/>
          <w:vertAlign w:val="superscript"/>
          <w14:ligatures w14:val="standardContextual"/>
        </w:rPr>
        <w:footnoteReference w:id="2"/>
      </w:r>
      <w:r w:rsidRPr="00FC59BD">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46A5062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odporúčanie Rady zo 17. februára 2025 o udelení absolutória Európskej prokuratúre za plnenie rozpočtu za rozpočtový rok 2023 (05754/2025 – C10-0023/2025),</w:t>
      </w:r>
    </w:p>
    <w:p w14:paraId="43E996F4"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článok 319 Zmluvy o fungovaní Európskej únie,</w:t>
      </w:r>
    </w:p>
    <w:p w14:paraId="7350DC7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nariadenie Európskeho parlamentu a Rady (EÚ, </w:t>
      </w:r>
      <w:proofErr w:type="spellStart"/>
      <w:r w:rsidRPr="00FC59BD">
        <w:rPr>
          <w:kern w:val="2"/>
          <w14:ligatures w14:val="standardContextual"/>
        </w:rPr>
        <w:t>Euratom</w:t>
      </w:r>
      <w:proofErr w:type="spellEnd"/>
      <w:r w:rsidRPr="00FC59BD">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FC59BD">
        <w:rPr>
          <w:kern w:val="2"/>
          <w14:ligatures w14:val="standardContextual"/>
        </w:rPr>
        <w:t>Euratom</w:t>
      </w:r>
      <w:proofErr w:type="spellEnd"/>
      <w:r w:rsidRPr="00FC59BD">
        <w:rPr>
          <w:kern w:val="2"/>
          <w14:ligatures w14:val="standardContextual"/>
        </w:rPr>
        <w:t>) č. 966/2012</w:t>
      </w:r>
      <w:r w:rsidRPr="00FC59BD">
        <w:rPr>
          <w:kern w:val="2"/>
          <w:vertAlign w:val="superscript"/>
          <w14:ligatures w14:val="standardContextual"/>
        </w:rPr>
        <w:footnoteReference w:id="3"/>
      </w:r>
      <w:r w:rsidRPr="00FC59BD">
        <w:rPr>
          <w:kern w:val="2"/>
          <w14:ligatures w14:val="standardContextual"/>
        </w:rPr>
        <w:t>, a najmä na jeho článok 70,</w:t>
      </w:r>
    </w:p>
    <w:p w14:paraId="00279D0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nariadenie Európskeho parlamentu a Rady (EÚ, </w:t>
      </w:r>
      <w:proofErr w:type="spellStart"/>
      <w:r w:rsidRPr="00FC59BD">
        <w:rPr>
          <w:kern w:val="2"/>
          <w14:ligatures w14:val="standardContextual"/>
        </w:rPr>
        <w:t>Euratom</w:t>
      </w:r>
      <w:proofErr w:type="spellEnd"/>
      <w:r w:rsidRPr="00FC59BD">
        <w:rPr>
          <w:kern w:val="2"/>
          <w14:ligatures w14:val="standardContextual"/>
        </w:rPr>
        <w:t xml:space="preserve">) 2024/2509 z 23. septembra 2024 o rozpočtových pravidlách, ktoré sa vzťahujú na všeobecný </w:t>
      </w:r>
      <w:r w:rsidRPr="00FC59BD">
        <w:rPr>
          <w:kern w:val="2"/>
          <w14:ligatures w14:val="standardContextual"/>
        </w:rPr>
        <w:lastRenderedPageBreak/>
        <w:t>rozpočet Únie</w:t>
      </w:r>
      <w:r w:rsidRPr="00FC59BD">
        <w:rPr>
          <w:kern w:val="2"/>
          <w:vertAlign w:val="superscript"/>
          <w14:ligatures w14:val="standardContextual"/>
        </w:rPr>
        <w:footnoteReference w:id="4"/>
      </w:r>
      <w:r w:rsidRPr="00FC59BD">
        <w:rPr>
          <w:kern w:val="2"/>
          <w14:ligatures w14:val="standardContextual"/>
        </w:rPr>
        <w:t>, a najmä na jeho článok 70,</w:t>
      </w:r>
    </w:p>
    <w:p w14:paraId="0AC0B618"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nariadenie Rady (EÚ) 2017/1939 z 12. októbra 2017, ktorým sa vykonáva posilnená spolupráca na účely zriadenia Európskej prokuratúry (EPPO)</w:t>
      </w:r>
      <w:r w:rsidRPr="00FC59BD">
        <w:rPr>
          <w:kern w:val="2"/>
          <w:vertAlign w:val="superscript"/>
          <w14:ligatures w14:val="standardContextual"/>
        </w:rPr>
        <w:footnoteReference w:id="5"/>
      </w:r>
      <w:r w:rsidRPr="00FC59BD">
        <w:rPr>
          <w:kern w:val="2"/>
          <w14:ligatures w14:val="standardContextual"/>
        </w:rPr>
        <w:t>, a najmä na jeho článok 94,</w:t>
      </w:r>
    </w:p>
    <w:p w14:paraId="1E167D4E"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delegované nariadenie Komisie (EÚ) 2019/715 z 18. decembra 2018 o rámcovom nariadení o rozpočtových pravidlách pre subjekty zriadené podľa ZFEÚ a Zmluvy o </w:t>
      </w:r>
      <w:proofErr w:type="spellStart"/>
      <w:r w:rsidRPr="00FC59BD">
        <w:rPr>
          <w:kern w:val="2"/>
          <w14:ligatures w14:val="standardContextual"/>
        </w:rPr>
        <w:t>Euratome</w:t>
      </w:r>
      <w:proofErr w:type="spellEnd"/>
      <w:r w:rsidRPr="00FC59BD">
        <w:rPr>
          <w:kern w:val="2"/>
          <w14:ligatures w14:val="standardContextual"/>
        </w:rPr>
        <w:t xml:space="preserve"> a uvedené v článku 70 nariadenia Európskeho parlamentu a Rady (EÚ, </w:t>
      </w:r>
      <w:proofErr w:type="spellStart"/>
      <w:r w:rsidRPr="00FC59BD">
        <w:rPr>
          <w:kern w:val="2"/>
          <w14:ligatures w14:val="standardContextual"/>
        </w:rPr>
        <w:t>Euratom</w:t>
      </w:r>
      <w:proofErr w:type="spellEnd"/>
      <w:r w:rsidRPr="00FC59BD">
        <w:rPr>
          <w:kern w:val="2"/>
          <w14:ligatures w14:val="standardContextual"/>
        </w:rPr>
        <w:t>) 2018/1046</w:t>
      </w:r>
      <w:r w:rsidRPr="00FC59BD">
        <w:rPr>
          <w:kern w:val="2"/>
          <w:vertAlign w:val="superscript"/>
          <w14:ligatures w14:val="standardContextual"/>
        </w:rPr>
        <w:footnoteReference w:id="6"/>
      </w:r>
      <w:r w:rsidRPr="00FC59BD">
        <w:rPr>
          <w:kern w:val="2"/>
          <w14:ligatures w14:val="standardContextual"/>
        </w:rPr>
        <w:t>, a najmä na jeho článok 105,</w:t>
      </w:r>
    </w:p>
    <w:p w14:paraId="5FD1DF3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článok 102 a prílohu V k rokovaciemu poriadku,</w:t>
      </w:r>
    </w:p>
    <w:p w14:paraId="116DDD73"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stanovisko Výboru pre občianske slobody, spravodlivosť a vnútorné veci,</w:t>
      </w:r>
    </w:p>
    <w:p w14:paraId="3ED53C13"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správu Výboru pre kontrolu rozpočtu (A10-0051/2025),</w:t>
      </w:r>
    </w:p>
    <w:p w14:paraId="156E80B1"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w:t>
      </w:r>
      <w:r w:rsidRPr="00FC59BD">
        <w:rPr>
          <w:kern w:val="2"/>
          <w14:ligatures w14:val="standardContextual"/>
        </w:rPr>
        <w:tab/>
        <w:t>udeľuje absolutórium administratívnemu riaditeľovi Európskej prokuratúry za plnenie rozpočtu Európskej prokuratúry za rozpočtový rok 2023;</w:t>
      </w:r>
    </w:p>
    <w:p w14:paraId="4B4BCD5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2.</w:t>
      </w:r>
      <w:r w:rsidRPr="00FC59BD">
        <w:rPr>
          <w:kern w:val="2"/>
          <w14:ligatures w14:val="standardContextual"/>
        </w:rPr>
        <w:tab/>
        <w:t>uvádza svoje poznámky v priloženom uznesení;</w:t>
      </w:r>
    </w:p>
    <w:p w14:paraId="36111736"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3.</w:t>
      </w:r>
      <w:r w:rsidRPr="00FC59BD">
        <w:rPr>
          <w:kern w:val="2"/>
          <w14:ligatures w14:val="standardContextual"/>
        </w:rPr>
        <w:tab/>
        <w:t>poveruje svoju predsedníčku, aby postúpila toto rozhodnutie a uznesenie, ktoré je jeho neoddeliteľnou súčasťou, administratívnemu riaditeľovi Európskej prokuratúry, Európskej rade, Rade, Komisii a Dvoru audítorov a aby zabezpečila ich uverejnenie v </w:t>
      </w:r>
      <w:r w:rsidRPr="00FC59BD">
        <w:rPr>
          <w:i/>
          <w:kern w:val="2"/>
          <w14:ligatures w14:val="standardContextual"/>
        </w:rPr>
        <w:t>Úradnom vestníku Európskej únie</w:t>
      </w:r>
      <w:r w:rsidRPr="00FC59BD">
        <w:rPr>
          <w:kern w:val="2"/>
          <w14:ligatures w14:val="standardContextual"/>
        </w:rPr>
        <w:t xml:space="preserve"> (v sérii L).</w:t>
      </w:r>
    </w:p>
    <w:p w14:paraId="48B44A95" w14:textId="77777777" w:rsidR="00FC59BD" w:rsidRPr="00FC59BD" w:rsidRDefault="00FC59BD" w:rsidP="00FC59BD">
      <w:pPr>
        <w:widowControl/>
        <w:rPr>
          <w:rFonts w:eastAsia="Aptos"/>
          <w:kern w:val="2"/>
          <w:szCs w:val="24"/>
          <w:lang w:eastAsia="en-US"/>
          <w14:ligatures w14:val="standardContextual"/>
        </w:rPr>
        <w:sectPr w:rsidR="00FC59BD" w:rsidRPr="00FC59BD" w:rsidSect="00FC59BD">
          <w:footnotePr>
            <w:numRestart w:val="eachSect"/>
          </w:footnotePr>
          <w:endnotePr>
            <w:numFmt w:val="decimal"/>
          </w:endnotePr>
          <w:pgSz w:w="11906" w:h="16838"/>
          <w:pgMar w:top="1440" w:right="1440" w:bottom="1440" w:left="1440" w:header="708" w:footer="708" w:gutter="0"/>
          <w:cols w:space="708"/>
          <w:docGrid w:linePitch="360"/>
        </w:sectPr>
      </w:pPr>
    </w:p>
    <w:p w14:paraId="479E1969" w14:textId="77777777" w:rsidR="00FC59BD" w:rsidRPr="00FC59BD" w:rsidRDefault="00FC59BD" w:rsidP="00FC59BD">
      <w:pPr>
        <w:pStyle w:val="ATHeading3"/>
      </w:pPr>
      <w:r w:rsidRPr="00FC59BD">
        <w:lastRenderedPageBreak/>
        <w:t>2. Rozhodnutie Európskeho parlamentu zo 7. mája 2025 o účtovnej závierke Európskej prokuratúry za rozpočtový rok 2023 (2024/2029(DEC))</w:t>
      </w:r>
    </w:p>
    <w:p w14:paraId="17419E79" w14:textId="28E6ED2F" w:rsidR="00FC59BD" w:rsidRPr="00FC59BD" w:rsidRDefault="00FC59BD" w:rsidP="00FC59BD">
      <w:pPr>
        <w:spacing w:before="480" w:after="240"/>
        <w:rPr>
          <w:iCs/>
          <w:kern w:val="2"/>
          <w14:ligatures w14:val="standardContextual"/>
        </w:rPr>
      </w:pPr>
      <w:r w:rsidRPr="007A602F">
        <w:rPr>
          <w:i/>
        </w:rPr>
        <w:t>Európsky parlament</w:t>
      </w:r>
      <w:r w:rsidRPr="00FC59BD">
        <w:rPr>
          <w:iCs/>
          <w:kern w:val="2"/>
          <w14:ligatures w14:val="standardContextual"/>
        </w:rPr>
        <w:t>,</w:t>
      </w:r>
    </w:p>
    <w:p w14:paraId="4B694CD1"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konečnú ročnú účtovnú závierku Európskej prokuratúry za rozpočtový rok 2023,</w:t>
      </w:r>
    </w:p>
    <w:p w14:paraId="21B4C4FF"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výročnú správu Dvora audítorov o agentúrach EÚ za rozpočtový rok 2023 spolu s odpoveďami agentúr</w:t>
      </w:r>
      <w:r w:rsidRPr="00FC59BD">
        <w:rPr>
          <w:kern w:val="2"/>
          <w:vertAlign w:val="superscript"/>
          <w14:ligatures w14:val="standardContextual"/>
        </w:rPr>
        <w:footnoteReference w:id="7"/>
      </w:r>
      <w:r w:rsidRPr="00FC59BD">
        <w:rPr>
          <w:kern w:val="2"/>
          <w14:ligatures w14:val="standardContextual"/>
        </w:rPr>
        <w:t>,</w:t>
      </w:r>
    </w:p>
    <w:p w14:paraId="2EF620A9"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vyhlásenie o vierohodnosti</w:t>
      </w:r>
      <w:r w:rsidRPr="00FC59BD">
        <w:rPr>
          <w:kern w:val="2"/>
          <w:vertAlign w:val="superscript"/>
          <w14:ligatures w14:val="standardContextual"/>
        </w:rPr>
        <w:footnoteReference w:id="8"/>
      </w:r>
      <w:r w:rsidRPr="00FC59BD">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334FCBD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odporúčanie Rady zo 17. februára 2025 o udelení absolutória Európskej prokuratúre za plnenie rozpočtu za rozpočtový rok 2023 (05754/2025 – C10-0023/2025),</w:t>
      </w:r>
    </w:p>
    <w:p w14:paraId="174AAAEE"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článok 319 Zmluvy o fungovaní Európskej únie,</w:t>
      </w:r>
    </w:p>
    <w:p w14:paraId="268C211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nariadenie Európskeho parlamentu a Rady (EÚ, </w:t>
      </w:r>
      <w:proofErr w:type="spellStart"/>
      <w:r w:rsidRPr="00FC59BD">
        <w:rPr>
          <w:kern w:val="2"/>
          <w14:ligatures w14:val="standardContextual"/>
        </w:rPr>
        <w:t>Euratom</w:t>
      </w:r>
      <w:proofErr w:type="spellEnd"/>
      <w:r w:rsidRPr="00FC59BD">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FC59BD">
        <w:rPr>
          <w:kern w:val="2"/>
          <w14:ligatures w14:val="standardContextual"/>
        </w:rPr>
        <w:t>Euratom</w:t>
      </w:r>
      <w:proofErr w:type="spellEnd"/>
      <w:r w:rsidRPr="00FC59BD">
        <w:rPr>
          <w:kern w:val="2"/>
          <w14:ligatures w14:val="standardContextual"/>
        </w:rPr>
        <w:t>) č. 966/2012</w:t>
      </w:r>
      <w:r w:rsidRPr="00FC59BD">
        <w:rPr>
          <w:kern w:val="2"/>
          <w:vertAlign w:val="superscript"/>
          <w14:ligatures w14:val="standardContextual"/>
        </w:rPr>
        <w:footnoteReference w:id="9"/>
      </w:r>
      <w:r w:rsidRPr="00FC59BD">
        <w:rPr>
          <w:kern w:val="2"/>
          <w14:ligatures w14:val="standardContextual"/>
        </w:rPr>
        <w:t>, a najmä na jeho článok 70,</w:t>
      </w:r>
    </w:p>
    <w:p w14:paraId="68DD29EB"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nariadenie Európskeho parlamentu a Rady (EÚ, </w:t>
      </w:r>
      <w:proofErr w:type="spellStart"/>
      <w:r w:rsidRPr="00FC59BD">
        <w:rPr>
          <w:kern w:val="2"/>
          <w14:ligatures w14:val="standardContextual"/>
        </w:rPr>
        <w:t>Euratom</w:t>
      </w:r>
      <w:proofErr w:type="spellEnd"/>
      <w:r w:rsidRPr="00FC59BD">
        <w:rPr>
          <w:kern w:val="2"/>
          <w14:ligatures w14:val="standardContextual"/>
        </w:rPr>
        <w:t>) 2024/2509 z 23. septembra 2024 o rozpočtových pravidlách, ktoré sa vzťahujú na všeobecný rozpočet Únie</w:t>
      </w:r>
      <w:r w:rsidRPr="00FC59BD">
        <w:rPr>
          <w:kern w:val="2"/>
          <w:vertAlign w:val="superscript"/>
          <w14:ligatures w14:val="standardContextual"/>
        </w:rPr>
        <w:footnoteReference w:id="10"/>
      </w:r>
      <w:r w:rsidRPr="00FC59BD">
        <w:rPr>
          <w:kern w:val="2"/>
          <w14:ligatures w14:val="standardContextual"/>
        </w:rPr>
        <w:t>, a najmä na jeho článok 70,</w:t>
      </w:r>
    </w:p>
    <w:p w14:paraId="079E04A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nariadenie Rady (EÚ) 2017/1939 z 12. októbra 2017, ktorým sa vykonáva posilnená spolupráca na účely zriadenia Európskej prokuratúry (EPPO)</w:t>
      </w:r>
      <w:r w:rsidRPr="00FC59BD">
        <w:rPr>
          <w:kern w:val="2"/>
          <w:vertAlign w:val="superscript"/>
          <w14:ligatures w14:val="standardContextual"/>
        </w:rPr>
        <w:footnoteReference w:id="11"/>
      </w:r>
      <w:r w:rsidRPr="00FC59BD">
        <w:rPr>
          <w:kern w:val="2"/>
          <w14:ligatures w14:val="standardContextual"/>
        </w:rPr>
        <w:t>, a najmä na jeho článok 94,</w:t>
      </w:r>
    </w:p>
    <w:p w14:paraId="54260E54"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delegované nariadenie Komisie (EÚ) 2019/715 z 18. decembra 2018 o rámcovom nariadení o rozpočtových pravidlách pre subjekty zriadené podľa ZFEÚ a Zmluvy o </w:t>
      </w:r>
      <w:proofErr w:type="spellStart"/>
      <w:r w:rsidRPr="00FC59BD">
        <w:rPr>
          <w:kern w:val="2"/>
          <w14:ligatures w14:val="standardContextual"/>
        </w:rPr>
        <w:t>Euratome</w:t>
      </w:r>
      <w:proofErr w:type="spellEnd"/>
      <w:r w:rsidRPr="00FC59BD">
        <w:rPr>
          <w:kern w:val="2"/>
          <w14:ligatures w14:val="standardContextual"/>
        </w:rPr>
        <w:t xml:space="preserve"> a uvedené v článku 70 nariadenia Európskeho parlamentu a Rady (EÚ, </w:t>
      </w:r>
      <w:proofErr w:type="spellStart"/>
      <w:r w:rsidRPr="00FC59BD">
        <w:rPr>
          <w:kern w:val="2"/>
          <w14:ligatures w14:val="standardContextual"/>
        </w:rPr>
        <w:t>Euratom</w:t>
      </w:r>
      <w:proofErr w:type="spellEnd"/>
      <w:r w:rsidRPr="00FC59BD">
        <w:rPr>
          <w:kern w:val="2"/>
          <w14:ligatures w14:val="standardContextual"/>
        </w:rPr>
        <w:t>) 2018/1046</w:t>
      </w:r>
      <w:r w:rsidRPr="00FC59BD">
        <w:rPr>
          <w:kern w:val="2"/>
          <w:vertAlign w:val="superscript"/>
          <w14:ligatures w14:val="standardContextual"/>
        </w:rPr>
        <w:footnoteReference w:id="12"/>
      </w:r>
      <w:r w:rsidRPr="00FC59BD">
        <w:rPr>
          <w:kern w:val="2"/>
          <w14:ligatures w14:val="standardContextual"/>
        </w:rPr>
        <w:t>, a najmä na jeho článok 105,</w:t>
      </w:r>
    </w:p>
    <w:p w14:paraId="5300902B"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článok 102 a prílohu V k rokovaciemu poriadku,</w:t>
      </w:r>
    </w:p>
    <w:p w14:paraId="57A7B1CA"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 xml:space="preserve">so zreteľom na stanovisko Výboru pre občianske slobody, spravodlivosť a vnútorné </w:t>
      </w:r>
      <w:r w:rsidRPr="00FC59BD">
        <w:rPr>
          <w:kern w:val="2"/>
          <w14:ligatures w14:val="standardContextual"/>
        </w:rPr>
        <w:lastRenderedPageBreak/>
        <w:t>veci,</w:t>
      </w:r>
    </w:p>
    <w:p w14:paraId="575C690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správu Výboru pre kontrolu rozpočtu (A10-0051/2025),</w:t>
      </w:r>
    </w:p>
    <w:p w14:paraId="0F34FDF1"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w:t>
      </w:r>
      <w:r w:rsidRPr="00FC59BD">
        <w:rPr>
          <w:kern w:val="2"/>
          <w14:ligatures w14:val="standardContextual"/>
        </w:rPr>
        <w:tab/>
        <w:t>schvaľuje účtovnú závierku Európskej prokuratúry za rozpočtový rok 2023;</w:t>
      </w:r>
    </w:p>
    <w:p w14:paraId="7EFED153"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2.</w:t>
      </w:r>
      <w:r w:rsidRPr="00FC59BD">
        <w:rPr>
          <w:kern w:val="2"/>
          <w14:ligatures w14:val="standardContextual"/>
        </w:rPr>
        <w:tab/>
        <w:t xml:space="preserve">poveruje svoju predsedníčku, aby postúpila toto rozhodnutie administratívnemu riaditeľovi Európskej prokuratúry, Európskej rade, Rade, Komisii a Dvoru audítorov a aby zabezpečila jeho uverejnenie v </w:t>
      </w:r>
      <w:r w:rsidRPr="00FC59BD">
        <w:rPr>
          <w:i/>
          <w:kern w:val="2"/>
          <w14:ligatures w14:val="standardContextual"/>
        </w:rPr>
        <w:t>Úradnom vestníku Európskej únie</w:t>
      </w:r>
      <w:r w:rsidRPr="00FC59BD">
        <w:rPr>
          <w:kern w:val="2"/>
          <w14:ligatures w14:val="standardContextual"/>
        </w:rPr>
        <w:t xml:space="preserve"> (v sérii L).</w:t>
      </w:r>
    </w:p>
    <w:p w14:paraId="10B167FF" w14:textId="77777777" w:rsidR="00FC59BD" w:rsidRPr="00FC59BD" w:rsidRDefault="00FC59BD" w:rsidP="00FC59BD">
      <w:pPr>
        <w:widowControl/>
        <w:rPr>
          <w:rFonts w:eastAsia="Aptos"/>
          <w:kern w:val="2"/>
          <w:szCs w:val="24"/>
          <w:lang w:eastAsia="en-US"/>
          <w14:ligatures w14:val="standardContextual"/>
        </w:rPr>
        <w:sectPr w:rsidR="00FC59BD" w:rsidRPr="00FC59BD" w:rsidSect="00FC59BD">
          <w:footnotePr>
            <w:numRestart w:val="eachSect"/>
          </w:footnotePr>
          <w:endnotePr>
            <w:numFmt w:val="decimal"/>
          </w:endnotePr>
          <w:pgSz w:w="11906" w:h="16838"/>
          <w:pgMar w:top="1440" w:right="1440" w:bottom="1440" w:left="1440" w:header="708" w:footer="708" w:gutter="0"/>
          <w:cols w:space="708"/>
          <w:docGrid w:linePitch="360"/>
        </w:sectPr>
      </w:pPr>
    </w:p>
    <w:p w14:paraId="00EF6B72" w14:textId="77777777" w:rsidR="00FC59BD" w:rsidRPr="00FC59BD" w:rsidRDefault="00FC59BD" w:rsidP="00FC59BD">
      <w:pPr>
        <w:pStyle w:val="ATHeading3"/>
      </w:pPr>
      <w:r w:rsidRPr="00FC59BD">
        <w:lastRenderedPageBreak/>
        <w:t>3. Uznesenie Európskeho parlamentu zo 7. mája 2025 s poznámkami, ktoré je neoddeliteľnou súčasťou rozhodnutia o absolutóriu za plnenie rozpočtu Európskej prokuratúry za rozpočtový rok 2023 (2024/2029(DEC))</w:t>
      </w:r>
    </w:p>
    <w:p w14:paraId="7BF9A4AA" w14:textId="23257823" w:rsidR="00FC59BD" w:rsidRPr="00FC59BD" w:rsidRDefault="00FC59BD" w:rsidP="00FC59BD">
      <w:pPr>
        <w:spacing w:before="480" w:after="240"/>
        <w:rPr>
          <w:iCs/>
          <w:kern w:val="2"/>
          <w14:ligatures w14:val="standardContextual"/>
        </w:rPr>
      </w:pPr>
      <w:r w:rsidRPr="007A602F">
        <w:rPr>
          <w:i/>
        </w:rPr>
        <w:t>Európsky parlament</w:t>
      </w:r>
      <w:r w:rsidRPr="00FC59BD">
        <w:rPr>
          <w:iCs/>
          <w:kern w:val="2"/>
          <w14:ligatures w14:val="standardContextual"/>
        </w:rPr>
        <w:t>,</w:t>
      </w:r>
    </w:p>
    <w:p w14:paraId="332F0D1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svoje rozhodnutie o absolutóriu za plnenie rozpočtu Európskej prokuratúry za rozpočtový rok 2023,</w:t>
      </w:r>
    </w:p>
    <w:p w14:paraId="2F14F53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článok 102 a prílohu V k rokovaciemu poriadku,</w:t>
      </w:r>
    </w:p>
    <w:p w14:paraId="520FB64A"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stanovisko Výboru pre občianske slobody, spravodlivosť a vnútorné veci,</w:t>
      </w:r>
    </w:p>
    <w:p w14:paraId="3FD10C06"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w:t>
      </w:r>
      <w:r w:rsidRPr="00FC59BD">
        <w:rPr>
          <w:kern w:val="2"/>
          <w14:ligatures w14:val="standardContextual"/>
        </w:rPr>
        <w:tab/>
        <w:t>so zreteľom na správu Výboru pre kontrolu rozpočtu (A10-0051/2025),</w:t>
      </w:r>
    </w:p>
    <w:p w14:paraId="51C72589"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A.</w:t>
      </w:r>
      <w:r w:rsidRPr="00FC59BD">
        <w:rPr>
          <w:kern w:val="2"/>
          <w14:ligatures w14:val="standardContextual"/>
        </w:rPr>
        <w:tab/>
        <w:t>keďže Európska prokuratúra je nezávislá prokuratúra Únie, ktorá zodpovedá za vyšetrovanie a stíhanie trestných činov proti finančným záujmom Únie, podstatné posilňovanie schopnosti Únie chrániť finančné prostriedky daňovníkov a za obžalobu páchateľov a spolupáchateľov trestných činov stanovených v smernici Európskeho parlamentu a Rady (EÚ) 2017/1371 </w:t>
      </w:r>
      <w:r w:rsidRPr="00FC59BD">
        <w:rPr>
          <w:kern w:val="2"/>
          <w:szCs w:val="24"/>
          <w:vertAlign w:val="superscript"/>
          <w14:ligatures w14:val="standardContextual"/>
        </w:rPr>
        <w:footnoteReference w:id="13"/>
      </w:r>
      <w:r w:rsidRPr="00FC59BD">
        <w:rPr>
          <w:kern w:val="2"/>
          <w14:ligatures w14:val="standardContextual"/>
        </w:rPr>
        <w:t xml:space="preserve"> a uvedených v nariadení Rady (EÚ) 2017/1939 </w:t>
      </w:r>
      <w:r w:rsidRPr="00FC59BD">
        <w:rPr>
          <w:kern w:val="2"/>
          <w:szCs w:val="24"/>
          <w:vertAlign w:val="superscript"/>
          <w14:ligatures w14:val="standardContextual"/>
        </w:rPr>
        <w:footnoteReference w:id="14"/>
      </w:r>
      <w:r w:rsidRPr="00FC59BD">
        <w:rPr>
          <w:kern w:val="2"/>
          <w14:ligatures w14:val="standardContextual"/>
        </w:rPr>
        <w:t>;</w:t>
      </w:r>
    </w:p>
    <w:p w14:paraId="5FF7CD1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B.</w:t>
      </w:r>
      <w:r w:rsidRPr="00FC59BD">
        <w:rPr>
          <w:kern w:val="2"/>
          <w14:ligatures w14:val="standardContextual"/>
        </w:rPr>
        <w:tab/>
        <w:t xml:space="preserve">keďže právomoc Európskej prokuratúry zahŕňa niekoľko druhov podvodov a patrí medzi </w:t>
      </w:r>
      <w:proofErr w:type="spellStart"/>
      <w:r w:rsidRPr="00FC59BD">
        <w:rPr>
          <w:kern w:val="2"/>
          <w14:ligatures w14:val="standardContextual"/>
        </w:rPr>
        <w:t>ne</w:t>
      </w:r>
      <w:proofErr w:type="spellEnd"/>
      <w:r w:rsidRPr="00FC59BD">
        <w:rPr>
          <w:kern w:val="2"/>
          <w14:ligatures w14:val="standardContextual"/>
        </w:rPr>
        <w:t xml:space="preserve"> cezhraničný podvod v oblasti DPH s celkovou škodou aspoň 10 miliónov EUR, pranie špinavých peňazí, korupcia, organizovaná trestná činnosť a iné trestné činy, v súvislosti s ktorými Európska prokuratúra vykonáva prokurátorskú funkciu na príslušných súdoch zúčastnených členských štátov;</w:t>
      </w:r>
    </w:p>
    <w:p w14:paraId="4082C5EA"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C.</w:t>
      </w:r>
      <w:r w:rsidRPr="00FC59BD">
        <w:rPr>
          <w:kern w:val="2"/>
          <w14:ligatures w14:val="standardContextual"/>
        </w:rPr>
        <w:tab/>
        <w:t>keďže Európska prokuratúra je jednou zo zložiek štruktúry Únie na boj proti podvodom a jej činnosť je koordinovaná a komplementárna s činnosťami ostatných zložiek tejto štruktúry s cieľom dosiahnuť efektívnu a účinnú koordináciu, ktorá posilňuje celkovú účinnosť tejto štruktúry;</w:t>
      </w:r>
    </w:p>
    <w:p w14:paraId="73EF7972"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D.</w:t>
      </w:r>
      <w:r w:rsidRPr="00FC59BD">
        <w:rPr>
          <w:kern w:val="2"/>
          <w14:ligatures w14:val="standardContextual"/>
        </w:rPr>
        <w:tab/>
        <w:t>keďže Európska prokuratúra zasahuje vtedy, keď vnútroštátne orgány by mohli vyšetrovať a stíhať trestné činy, ale ich právomoci sa končia na hraniciach ich krajiny a iné organizácie, napríklad Agentúra Európskej únie pre justičnú spoluprácu v trestných veciach (</w:t>
      </w:r>
      <w:proofErr w:type="spellStart"/>
      <w:r w:rsidRPr="00FC59BD">
        <w:rPr>
          <w:kern w:val="2"/>
          <w14:ligatures w14:val="standardContextual"/>
        </w:rPr>
        <w:t>Eurojust</w:t>
      </w:r>
      <w:proofErr w:type="spellEnd"/>
      <w:r w:rsidRPr="00FC59BD">
        <w:rPr>
          <w:kern w:val="2"/>
          <w14:ligatures w14:val="standardContextual"/>
        </w:rPr>
        <w:t>), Európsky úrad pre boj proti podvodom (OLAF) a Agentúra Európskej únie pre spoluprácu v oblasti presadzovania práva (</w:t>
      </w:r>
      <w:proofErr w:type="spellStart"/>
      <w:r w:rsidRPr="00FC59BD">
        <w:rPr>
          <w:kern w:val="2"/>
          <w14:ligatures w14:val="standardContextual"/>
        </w:rPr>
        <w:t>Europol</w:t>
      </w:r>
      <w:proofErr w:type="spellEnd"/>
      <w:r w:rsidRPr="00FC59BD">
        <w:rPr>
          <w:kern w:val="2"/>
          <w14:ligatures w14:val="standardContextual"/>
        </w:rPr>
        <w:t>), nemajú potrebné právomoci na vedenie príslušných vyšetrovaní trestných činov a trestných stíhaní;</w:t>
      </w:r>
    </w:p>
    <w:p w14:paraId="451309A4"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E.</w:t>
      </w:r>
      <w:r w:rsidRPr="00FC59BD">
        <w:rPr>
          <w:kern w:val="2"/>
          <w14:ligatures w14:val="standardContextual"/>
        </w:rPr>
        <w:tab/>
        <w:t xml:space="preserve">keďže procedurálne akty Európskej prokuratúry podliehajú súdnemu preskúmaniu vnútroštátnymi súdmi a Súdny dvor Európskej únie (ďalej len „Súdny dvor“) má prostredníctvom prejudiciálnych konaní alebo súdneho preskúmania týchto aktov </w:t>
      </w:r>
      <w:r w:rsidRPr="00FC59BD">
        <w:rPr>
          <w:kern w:val="2"/>
          <w14:ligatures w14:val="standardContextual"/>
        </w:rPr>
        <w:lastRenderedPageBreak/>
        <w:t>zvyškovú právomoc na zabezpečenie jednotného uplatňovania práva Únie;</w:t>
      </w:r>
    </w:p>
    <w:p w14:paraId="0665C2E8" w14:textId="77777777" w:rsidR="00FC59BD" w:rsidRPr="00FC59BD" w:rsidRDefault="00FC59BD" w:rsidP="00FC59BD">
      <w:pPr>
        <w:spacing w:after="240"/>
        <w:ind w:left="567" w:hanging="567"/>
        <w:rPr>
          <w:color w:val="000000"/>
          <w:kern w:val="2"/>
          <w:szCs w:val="24"/>
          <w14:ligatures w14:val="standardContextual"/>
        </w:rPr>
      </w:pPr>
      <w:r w:rsidRPr="00FC59BD">
        <w:rPr>
          <w:kern w:val="2"/>
          <w14:ligatures w14:val="standardContextual"/>
        </w:rPr>
        <w:t>F.</w:t>
      </w:r>
      <w:r w:rsidRPr="00FC59BD">
        <w:rPr>
          <w:kern w:val="2"/>
          <w14:ligatures w14:val="standardContextual"/>
        </w:rPr>
        <w:tab/>
      </w:r>
      <w:r w:rsidRPr="00FC59BD">
        <w:rPr>
          <w:color w:val="000000"/>
          <w:kern w:val="2"/>
          <w14:ligatures w14:val="standardContextual"/>
        </w:rPr>
        <w:t xml:space="preserve">keďže </w:t>
      </w:r>
      <w:r w:rsidRPr="00FC59BD">
        <w:rPr>
          <w:kern w:val="2"/>
          <w14:ligatures w14:val="standardContextual"/>
        </w:rPr>
        <w:t xml:space="preserve">Európska prokuratúra </w:t>
      </w:r>
      <w:r w:rsidRPr="00FC59BD">
        <w:rPr>
          <w:color w:val="000000"/>
          <w:kern w:val="2"/>
          <w14:ligatures w14:val="standardContextual"/>
        </w:rPr>
        <w:t>sa skladá z ústrednej úrovne so sídlom v Luxemburgu, ktorú tvorí hlavný európsky prokurátor, 22 európskych prokurátorov (jeden za každý zúčastnený členský štát) a administratívny riaditeľ, a z decentralizovanej, vnútroštátnej úrovne, ktorú tvoria európski delegovaní prokurátori (EDP) v 22 zúčastnených členských štátoch;</w:t>
      </w:r>
    </w:p>
    <w:p w14:paraId="08F2E818"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G.</w:t>
      </w:r>
      <w:r w:rsidRPr="00FC59BD">
        <w:rPr>
          <w:color w:val="000000"/>
          <w:kern w:val="2"/>
          <w14:ligatures w14:val="standardContextual"/>
        </w:rPr>
        <w:tab/>
        <w:t>keďže hlavný európsky prokurátor a 22 európskych prokurátorov tvoria na ústrednej úrovni kolégium Európskej prokuratúry (ďalej len „kolégium“) a dohliadajú na vyšetrovania a trestné stíhania vykonávané európskymi delegovanými prokurátormi na vnútroštátnej úrovni, ktorí pôsobia úplne nezávisle od svojich vnútroštátnych orgánov;</w:t>
      </w:r>
    </w:p>
    <w:p w14:paraId="69BEA1D4"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H.</w:t>
      </w:r>
      <w:r w:rsidRPr="00FC59BD">
        <w:rPr>
          <w:color w:val="000000"/>
          <w:kern w:val="2"/>
          <w14:ligatures w14:val="standardContextual"/>
        </w:rPr>
        <w:tab/>
        <w:t>keďže podľa článku 93 nariadenia (EÚ) 2017/1939 administratívny riaditeľ Európskej prokuratúry, ktorý koná ako povoľujúci úradník prokuratúry, plní rozpočet prokuratúry na vlastnú zodpovednosť a v rámci limitov schválených v rozpočte a každý rok zasiela rozpočtovému orgánu všetky informácie týkajúce sa zistení všetkých postupov hodnotenia;</w:t>
      </w:r>
    </w:p>
    <w:p w14:paraId="51533C4C"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I.</w:t>
      </w:r>
      <w:r w:rsidRPr="00FC59BD">
        <w:rPr>
          <w:color w:val="000000"/>
          <w:kern w:val="2"/>
          <w14:ligatures w14:val="standardContextual"/>
        </w:rPr>
        <w:tab/>
        <w:t>keďže v súlade s článkom 50 ods. 2 rozpočtových pravidiel Európskej prokuratúry účtovník Komisie pôsobí aj ako účtovník Európskej prokuratúry a je zodpovedný za prípravu ročnej účtovnej závierky, ktorá sa konsoliduje s účtovnou závierkou Únie;</w:t>
      </w:r>
    </w:p>
    <w:p w14:paraId="013D1A3D"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J.</w:t>
      </w:r>
      <w:r w:rsidRPr="00FC59BD">
        <w:rPr>
          <w:color w:val="000000"/>
          <w:kern w:val="2"/>
          <w14:ligatures w14:val="standardContextual"/>
        </w:rPr>
        <w:tab/>
        <w:t xml:space="preserve">keďže podľa súčasného rámca kontroluje konečnú ročnú uzávierku </w:t>
      </w:r>
      <w:r w:rsidRPr="00FC59BD">
        <w:rPr>
          <w:kern w:val="2"/>
          <w14:ligatures w14:val="standardContextual"/>
        </w:rPr>
        <w:t>Dvor audítorov</w:t>
      </w:r>
      <w:r w:rsidRPr="00FC59BD">
        <w:rPr>
          <w:color w:val="000000"/>
          <w:kern w:val="2"/>
          <w14:ligatures w14:val="standardContextual"/>
        </w:rPr>
        <w:t xml:space="preserve"> a je na Rade, aby odporučila, a na Európskom parlamente, aby rozhodol, či udelí administratívnemu riaditeľovi </w:t>
      </w:r>
      <w:r w:rsidRPr="00FC59BD">
        <w:rPr>
          <w:kern w:val="2"/>
          <w14:ligatures w14:val="standardContextual"/>
        </w:rPr>
        <w:t xml:space="preserve">Európskej prokuratúry </w:t>
      </w:r>
      <w:r w:rsidRPr="00FC59BD">
        <w:rPr>
          <w:color w:val="000000"/>
          <w:kern w:val="2"/>
          <w14:ligatures w14:val="standardContextual"/>
        </w:rPr>
        <w:t>absolutórium za plnenie rozpočtu za daný rozpočtový rok;</w:t>
      </w:r>
    </w:p>
    <w:p w14:paraId="2024357C"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K.</w:t>
      </w:r>
      <w:r w:rsidRPr="00FC59BD">
        <w:rPr>
          <w:color w:val="000000"/>
          <w:kern w:val="2"/>
          <w14:ligatures w14:val="standardContextual"/>
        </w:rPr>
        <w:tab/>
        <w:t xml:space="preserve">keďže pri kontrole riadenia zdrojov </w:t>
      </w:r>
      <w:r w:rsidRPr="00FC59BD">
        <w:rPr>
          <w:kern w:val="2"/>
          <w14:ligatures w14:val="standardContextual"/>
        </w:rPr>
        <w:t xml:space="preserve">Európskej prokuratúry </w:t>
      </w:r>
      <w:r w:rsidRPr="00FC59BD">
        <w:rPr>
          <w:color w:val="000000"/>
          <w:kern w:val="2"/>
          <w14:ligatures w14:val="standardContextual"/>
        </w:rPr>
        <w:t>a</w:t>
      </w:r>
      <w:r w:rsidRPr="00FC59BD">
        <w:rPr>
          <w:kern w:val="2"/>
          <w14:ligatures w14:val="standardContextual"/>
        </w:rPr>
        <w:t> </w:t>
      </w:r>
      <w:r w:rsidRPr="00FC59BD">
        <w:rPr>
          <w:color w:val="000000"/>
          <w:kern w:val="2"/>
          <w14:ligatures w14:val="standardContextual"/>
        </w:rPr>
        <w:t>súvisiacich výdavkov nemožno opomenúť preskúmanie operatívnych činností, ich dôsledkov a vplyvu a spôsobov ich plnenia;</w:t>
      </w:r>
    </w:p>
    <w:p w14:paraId="282486AE"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L.</w:t>
      </w:r>
      <w:r w:rsidRPr="00FC59BD">
        <w:rPr>
          <w:color w:val="000000"/>
          <w:kern w:val="2"/>
          <w14:ligatures w14:val="standardContextual"/>
        </w:rPr>
        <w:tab/>
        <w:t xml:space="preserve">keďže </w:t>
      </w:r>
      <w:r w:rsidRPr="00FC59BD">
        <w:rPr>
          <w:kern w:val="2"/>
          <w14:ligatures w14:val="standardContextual"/>
        </w:rPr>
        <w:t xml:space="preserve">Európska prokuratúra </w:t>
      </w:r>
      <w:r w:rsidRPr="00FC59BD">
        <w:rPr>
          <w:color w:val="000000"/>
          <w:kern w:val="2"/>
          <w14:ligatures w14:val="standardContextual"/>
        </w:rPr>
        <w:t xml:space="preserve">koná pri plnení svojho rozpočtu autonómne len od 24. júna 2021 a svoje operatívne činnosti, ktoré si vyžadujú nepretržité hodnotenie, aby sa zabezpečilo, že zdroje zodpovedajú operatívnej efektivite, začala vykonávať 1. júna 2021, t. j. v deň, keď začalo plynúť päťročné obdobie uvedené v článku 119 </w:t>
      </w:r>
      <w:r w:rsidRPr="00FC59BD">
        <w:rPr>
          <w:color w:val="333333"/>
          <w:kern w:val="2"/>
          <w:shd w:val="clear" w:color="auto" w:fill="FFFFFF"/>
          <w14:ligatures w14:val="standardContextual"/>
        </w:rPr>
        <w:t xml:space="preserve">nariadenia (EÚ) 2017/1939, </w:t>
      </w:r>
      <w:r w:rsidRPr="00FC59BD">
        <w:rPr>
          <w:color w:val="000000"/>
          <w:kern w:val="2"/>
          <w14:ligatures w14:val="standardContextual"/>
        </w:rPr>
        <w:t>po ktorého uplynutí bude Komisia musieť predložiť Európskemu parlamentu a Rade, ako aj národným parlamentom hodnotiacu správu o plnení a vplyve tohto nariadenia a o efektívnosti a účinnosti Európskej prokuratúry a jej pracovných postupov a spolu s ňou svoje závery;</w:t>
      </w:r>
    </w:p>
    <w:p w14:paraId="1C4F7BC5" w14:textId="77777777" w:rsidR="00FC59BD" w:rsidRPr="00FC59BD" w:rsidRDefault="00FC59BD" w:rsidP="00FC59BD">
      <w:pPr>
        <w:spacing w:after="240"/>
        <w:ind w:left="567" w:hanging="567"/>
        <w:rPr>
          <w:color w:val="000000"/>
          <w:kern w:val="2"/>
          <w:szCs w:val="24"/>
          <w14:ligatures w14:val="standardContextual"/>
        </w:rPr>
      </w:pPr>
      <w:r w:rsidRPr="00FC59BD">
        <w:rPr>
          <w:color w:val="000000"/>
          <w:kern w:val="2"/>
          <w14:ligatures w14:val="standardContextual"/>
        </w:rPr>
        <w:t>M.</w:t>
      </w:r>
      <w:r w:rsidRPr="00FC59BD">
        <w:rPr>
          <w:color w:val="000000"/>
          <w:kern w:val="2"/>
          <w14:ligatures w14:val="standardContextual"/>
        </w:rPr>
        <w:tab/>
        <w:t xml:space="preserve">keďže Komisia musí v súlade s článkom 119 ods. 2 </w:t>
      </w:r>
      <w:r w:rsidRPr="00FC59BD">
        <w:rPr>
          <w:color w:val="333333"/>
          <w:kern w:val="2"/>
          <w:shd w:val="clear" w:color="auto" w:fill="FFFFFF"/>
          <w14:ligatures w14:val="standardContextual"/>
        </w:rPr>
        <w:t xml:space="preserve">nariadenia (EÚ) 2017/1939 </w:t>
      </w:r>
      <w:r w:rsidRPr="00FC59BD">
        <w:rPr>
          <w:color w:val="000000"/>
          <w:kern w:val="2"/>
          <w14:ligatures w14:val="standardContextual"/>
        </w:rPr>
        <w:t>predložiť Európskemu parlamentu a Rade legislatívne návrhy, ak dospeje k záveru, že sú potrebné ďalšie alebo podrobnejšie pravidlá týkajúce sa zriadenia Európskej prokuratúry, jej úloh alebo postupu vzťahujúceho sa na jej činnosti vrátane cezhraničných vyšetrovaní;</w:t>
      </w:r>
    </w:p>
    <w:p w14:paraId="304BF964"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1.</w:t>
      </w:r>
      <w:r w:rsidRPr="00FC59BD">
        <w:rPr>
          <w:kern w:val="2"/>
          <w14:ligatures w14:val="standardContextual"/>
        </w:rPr>
        <w:tab/>
        <w:t>víta kladné stanovisko Dvora audítorov k spoľahlivosti účtovnej závierky Európskej prokuratúry za rok končiaci sa 31. decembra 2023 a k zákonnosti a správnosti príslušných príjmov a platieb;</w:t>
      </w:r>
    </w:p>
    <w:p w14:paraId="6DAB31BA" w14:textId="77777777" w:rsidR="00FC59BD" w:rsidRPr="00FC59BD" w:rsidRDefault="00FC59BD" w:rsidP="00FC59BD">
      <w:pPr>
        <w:spacing w:after="240"/>
        <w:ind w:left="567" w:hanging="567"/>
        <w:rPr>
          <w:color w:val="000000"/>
          <w:kern w:val="2"/>
          <w14:ligatures w14:val="standardContextual"/>
        </w:rPr>
      </w:pPr>
      <w:r w:rsidRPr="00FC59BD">
        <w:rPr>
          <w:kern w:val="2"/>
          <w14:ligatures w14:val="standardContextual"/>
        </w:rPr>
        <w:t>2.</w:t>
      </w:r>
      <w:r w:rsidRPr="00FC59BD">
        <w:rPr>
          <w:kern w:val="2"/>
          <w14:ligatures w14:val="standardContextual"/>
        </w:rPr>
        <w:tab/>
      </w:r>
      <w:r w:rsidRPr="00FC59BD">
        <w:rPr>
          <w:color w:val="000000"/>
          <w:kern w:val="2"/>
          <w14:ligatures w14:val="standardContextual"/>
        </w:rPr>
        <w:t xml:space="preserve">pripomína, že Európsky parlament dôrazne podporoval zriadenie Európskej </w:t>
      </w:r>
      <w:r w:rsidRPr="00FC59BD">
        <w:rPr>
          <w:color w:val="000000"/>
          <w:kern w:val="2"/>
          <w14:ligatures w14:val="standardContextual"/>
        </w:rPr>
        <w:lastRenderedPageBreak/>
        <w:t xml:space="preserve">prokuratúry; uznáva </w:t>
      </w:r>
      <w:r w:rsidRPr="00FC59BD">
        <w:rPr>
          <w:kern w:val="2"/>
          <w14:ligatures w14:val="standardContextual"/>
        </w:rPr>
        <w:t xml:space="preserve">Európsku prokuratúru </w:t>
      </w:r>
      <w:r w:rsidRPr="00FC59BD">
        <w:rPr>
          <w:color w:val="000000"/>
          <w:kern w:val="2"/>
          <w14:ligatures w14:val="standardContextual"/>
        </w:rPr>
        <w:t xml:space="preserve">ako nezávislý orgán Únie; zdôrazňuje, že </w:t>
      </w:r>
      <w:r w:rsidRPr="00FC59BD">
        <w:rPr>
          <w:kern w:val="2"/>
          <w14:ligatures w14:val="standardContextual"/>
        </w:rPr>
        <w:t xml:space="preserve">Európska prokuratúra </w:t>
      </w:r>
      <w:r w:rsidRPr="00FC59BD">
        <w:rPr>
          <w:color w:val="000000"/>
          <w:kern w:val="2"/>
          <w14:ligatures w14:val="standardContextual"/>
        </w:rPr>
        <w:t xml:space="preserve">zohráva dôležitú rolu pri ochrane finančných záujmov Únie a je významnou zložkou štruktúry Únie pre boj proti podvodom a širšieho systému Únie založeného na integrite, zodpovednosti, transparentnosti a správnom finančnom riadení zdrojov; chváli </w:t>
      </w:r>
      <w:r w:rsidRPr="00FC59BD">
        <w:rPr>
          <w:kern w:val="2"/>
          <w14:ligatures w14:val="standardContextual"/>
        </w:rPr>
        <w:t xml:space="preserve">Európsku prokuratúru </w:t>
      </w:r>
      <w:r w:rsidRPr="00FC59BD">
        <w:rPr>
          <w:color w:val="000000"/>
          <w:kern w:val="2"/>
          <w14:ligatures w14:val="standardContextual"/>
        </w:rPr>
        <w:t>za jej prácu pri vyšetrovaní, stíhaní a zabezpečovaní spravodlivosti v prípade trestných činov poškodzujúcich rozpočet Únie, ako sú podvody, korupcia a cezhraničný podvod v oblasti DPH;</w:t>
      </w:r>
    </w:p>
    <w:p w14:paraId="5B9F9E33"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3.</w:t>
      </w:r>
      <w:r w:rsidRPr="00FC59BD">
        <w:rPr>
          <w:kern w:val="2"/>
          <w14:ligatures w14:val="standardContextual"/>
        </w:rPr>
        <w:tab/>
        <w:t>zdôrazňuje, že je mimoriadne dôležité urýchlene vyčleniť potrebné zdroje na zabezpečenie včasného uzavretia prebiehajúceho vyšetrovania v súvislosti s nákupom vakcín proti ochoreniu COVID-19 v Únii, najmä vzhľadom na značný záujem verejnosti o túto záležitosť spolu so skutočnosťou, že vyšetrovanie sa začalo už v roku 2022 a do dnešného dňa nebolo verejne oznámené žiadne rozhodnutie;</w:t>
      </w:r>
    </w:p>
    <w:p w14:paraId="1584E2DF"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4.</w:t>
      </w:r>
      <w:r w:rsidRPr="00FC59BD">
        <w:rPr>
          <w:kern w:val="2"/>
          <w14:ligatures w14:val="standardContextual"/>
        </w:rPr>
        <w:tab/>
        <w:t xml:space="preserve">konštatuje, že rozpočtovú a operatívnu výkonnosť Európskej prokuratúry je možné porovnať len za dva posledné roky, a to za obdobie 2022 až 2023, nasledujúce po tom, ako Európska prokuratúra získala v júni 2021 finančnú autonómiu; konštatuje, že v tejto súvislosti je naďalej veľmi ťažké odhadnúť zvýšenia rozpočtu súvisiace s činnosťami Európskej prokuratúry vzhľadom na to, že bola zriadená len nedávno, a vzhľadom na jedinečnú povahu Európskej prokuratúry a jej hlavné činnosti, nepredvídateľnú mieru odhaľovania podvodov, široký rozsah jej prípadov, nedostatok </w:t>
      </w:r>
      <w:proofErr w:type="spellStart"/>
      <w:r w:rsidRPr="00FC59BD">
        <w:rPr>
          <w:kern w:val="2"/>
          <w14:ligatures w14:val="standardContextual"/>
        </w:rPr>
        <w:t>diskrečnej</w:t>
      </w:r>
      <w:proofErr w:type="spellEnd"/>
      <w:r w:rsidRPr="00FC59BD">
        <w:rPr>
          <w:kern w:val="2"/>
          <w14:ligatures w14:val="standardContextual"/>
        </w:rPr>
        <w:t xml:space="preserve"> právomoci v súvislosti so stíhaním trestných činov, spolu s odkázanosťou na zdroje a procesné obmedzenia vnútroštátnych justičných systémov, absenciou pevnej korelácie medzi počtom vyšetrovaní a nákladmi na </w:t>
      </w:r>
      <w:proofErr w:type="spellStart"/>
      <w:r w:rsidRPr="00FC59BD">
        <w:rPr>
          <w:kern w:val="2"/>
          <w14:ligatures w14:val="standardContextual"/>
        </w:rPr>
        <w:t>ne</w:t>
      </w:r>
      <w:proofErr w:type="spellEnd"/>
      <w:r w:rsidRPr="00FC59BD">
        <w:rPr>
          <w:kern w:val="2"/>
          <w14:ligatures w14:val="standardContextual"/>
        </w:rPr>
        <w:t>, ako aj rozsahom finančných záujmov Únie, ktoré treba chrániť; konštatuje tiež, že vzhľadom na bezprecedentný spôsob vykonávania a samotný objem zdrojov je ťažké odhadnúť výdavky na zaťaženosť v súvislosti s Mechanizmom na podporu obnovy a odolnosti;</w:t>
      </w:r>
    </w:p>
    <w:p w14:paraId="26003E69" w14:textId="77777777" w:rsidR="00FC59BD" w:rsidRPr="00FC59BD" w:rsidRDefault="00FC59BD" w:rsidP="00FC59BD">
      <w:pPr>
        <w:spacing w:after="240"/>
        <w:ind w:left="567" w:hanging="567"/>
        <w:rPr>
          <w:b/>
          <w:i/>
          <w:kern w:val="2"/>
          <w:szCs w:val="24"/>
          <w14:ligatures w14:val="standardContextual"/>
        </w:rPr>
      </w:pPr>
      <w:r w:rsidRPr="00FC59BD">
        <w:rPr>
          <w:b/>
          <w:i/>
          <w:kern w:val="2"/>
          <w14:ligatures w14:val="standardContextual"/>
        </w:rPr>
        <w:t>Rozpočtové a finančné riadenie</w:t>
      </w:r>
    </w:p>
    <w:p w14:paraId="7266FAD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w:t>
      </w:r>
      <w:r w:rsidRPr="00FC59BD">
        <w:rPr>
          <w:kern w:val="2"/>
          <w14:ligatures w14:val="standardContextual"/>
        </w:rPr>
        <w:tab/>
      </w:r>
      <w:r w:rsidRPr="00FC59BD">
        <w:rPr>
          <w:color w:val="000000"/>
          <w:kern w:val="2"/>
          <w14:ligatures w14:val="standardContextual"/>
        </w:rPr>
        <w:t xml:space="preserve">konštatuje, že celkový konečný rozpočet pridelený Európskej prokuratúre na rok 2023 bol 65,9 milióna EUR, čo predstavovalo značné zvýšenie (o 14,7 %) oproti 51,2 milióna EUR, ktoré jej boli pridelené v roku 2022, zatiaľ čo rozpočet na rok 2021 (26,2 milióna EUR) sa vzťahoval na obdobie pred tým, ako </w:t>
      </w:r>
      <w:r w:rsidRPr="00FC59BD">
        <w:rPr>
          <w:kern w:val="2"/>
          <w14:ligatures w14:val="standardContextual"/>
        </w:rPr>
        <w:t xml:space="preserve">Európska prokuratúra </w:t>
      </w:r>
      <w:r w:rsidRPr="00FC59BD">
        <w:rPr>
          <w:color w:val="000000"/>
          <w:kern w:val="2"/>
          <w14:ligatures w14:val="standardContextual"/>
        </w:rPr>
        <w:t xml:space="preserve">získala finančnú autonómiu; konštatuje, že rozpočet </w:t>
      </w:r>
      <w:r w:rsidRPr="00FC59BD">
        <w:rPr>
          <w:kern w:val="2"/>
          <w14:ligatures w14:val="standardContextual"/>
        </w:rPr>
        <w:t xml:space="preserve">Európskej prokuratúry </w:t>
      </w:r>
      <w:r w:rsidRPr="00FC59BD">
        <w:rPr>
          <w:color w:val="000000"/>
          <w:kern w:val="2"/>
          <w14:ligatures w14:val="standardContextual"/>
        </w:rPr>
        <w:t xml:space="preserve">zahŕňa zvýšenie o 500 000 EUR, ktoré rozpočtový orgán schválil na jej žiadosť v júni 2023 (žiadosť sa týkala aj ľudských zdrojov súvisiacich s podstatným posilnením bezpečnostnej kapacity Európskej prokuratúry, v dôsledku čoho bolo schválených osem ďalších miest v pláne pracovných miest); oceňuje, že v roku 2023 neboli vrátené žiadne rozpočtové prostriedky v porovnaní s 10 % (5,9 milióna EUR) z pôvodného rozpočtu v roku 2022 a 21 % (9,5 milióna EUR) v roku 2021; opätovne zdôrazňuje, že treba, aby sa </w:t>
      </w:r>
      <w:r w:rsidRPr="00FC59BD">
        <w:rPr>
          <w:kern w:val="2"/>
          <w14:ligatures w14:val="standardContextual"/>
        </w:rPr>
        <w:t xml:space="preserve">Európskej prokuratúre </w:t>
      </w:r>
      <w:r w:rsidRPr="00FC59BD">
        <w:rPr>
          <w:color w:val="000000"/>
          <w:kern w:val="2"/>
          <w14:ligatures w14:val="standardContextual"/>
        </w:rPr>
        <w:t>poskytli dostatočné zdroje na primerané plnenie jej mandátu;</w:t>
      </w:r>
    </w:p>
    <w:p w14:paraId="73B2DD61"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6.</w:t>
      </w:r>
      <w:r w:rsidRPr="00FC59BD">
        <w:rPr>
          <w:kern w:val="2"/>
          <w14:ligatures w14:val="standardContextual"/>
        </w:rPr>
        <w:tab/>
        <w:t>víta zvýšenie miery plnenie rozpočtu, ktorá bola v roku 2023 na úrovni 99,6 % (v porovnaní s 98,1 % v roku 2022 a 97,4 % v roku 2021); oceňuje, že celková miera plnenia platieb v roku 2023 napredovala a dosiahla úroveň 85,3 % (v porovnaní so 76,6 % v roku 2022 a 71 % v roku 2021) a priemerný čas úhrady sa skrátil na 17 dní (oproti 23,8 v roku 2022 a 21,0 v roku 2021); konštatuje, že v júni 2023 sa zaviedol modul elektronickej fakturácie (e-</w:t>
      </w:r>
      <w:proofErr w:type="spellStart"/>
      <w:r w:rsidRPr="00FC59BD">
        <w:rPr>
          <w:kern w:val="2"/>
          <w14:ligatures w14:val="standardContextual"/>
        </w:rPr>
        <w:t>invoicing</w:t>
      </w:r>
      <w:proofErr w:type="spellEnd"/>
      <w:r w:rsidRPr="00FC59BD">
        <w:rPr>
          <w:kern w:val="2"/>
          <w14:ligatures w14:val="standardContextual"/>
        </w:rPr>
        <w:t xml:space="preserve">), ktorý prispeje k ďalšiemu zníženiu </w:t>
      </w:r>
      <w:r w:rsidRPr="00FC59BD">
        <w:rPr>
          <w:kern w:val="2"/>
          <w:shd w:val="clear" w:color="auto" w:fill="FFFFFF"/>
          <w14:ligatures w14:val="standardContextual"/>
        </w:rPr>
        <w:t>administratívnej záťaže, času potrebného na úhrady a celkových nákladov na spracovanie;</w:t>
      </w:r>
      <w:r w:rsidRPr="00FC59BD">
        <w:rPr>
          <w:kern w:val="2"/>
          <w14:ligatures w14:val="standardContextual"/>
        </w:rPr>
        <w:t xml:space="preserve"> nabáda na ďalšie zdokonalenie operačných postupov, aby sa </w:t>
      </w:r>
      <w:r w:rsidRPr="00FC59BD">
        <w:rPr>
          <w:kern w:val="2"/>
          <w14:ligatures w14:val="standardContextual"/>
        </w:rPr>
        <w:lastRenderedPageBreak/>
        <w:t>maximalizovala efektivita;</w:t>
      </w:r>
    </w:p>
    <w:p w14:paraId="2FE3BE10"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w:t>
      </w:r>
      <w:r w:rsidRPr="00FC59BD">
        <w:rPr>
          <w:kern w:val="2"/>
          <w14:ligatures w14:val="standardContextual"/>
        </w:rPr>
        <w:tab/>
        <w:t>chápe, že vzhľadom na to, že žiadosti o rozpočtové prostriedky boli splnené len čiastočne, Európska prokuratúra zameriavala svoje finančné zdroje na prijímanie ďalších európskych delegovaných prokurátorov, čo malo vplyv na jej schopnosť viesť čoraz väčší počet vyšetrovaní a trestných stíhaní, na potrebu zlepšiť zabezpečenie prokuratúry a údržbu jej systému správy prípadov (CMS), čo mohlo negatívne ovplyvniť riadenie cezhraničných vyšetrovaní; zdôrazňuje význam dodatočného financovania a posilnenia jej personálu s cieľom umožniť Európskej prokuratúre účinne bojovať proti organizovanej trestnej činnosti, chrániť finančné záujmy EÚ a presadzovať právny štát, čo sú kľúčové priority Únie; vyzýva na osobitné zvýšenie finančných prostriedkov v budúcom viacročnom finančnom rámci (VFR) s cieľom zabezpečiť, aby mohla naďalej plniť svoje ciele a povinnosti;</w:t>
      </w:r>
    </w:p>
    <w:p w14:paraId="4EFF2DF9" w14:textId="77777777" w:rsidR="00FC59BD" w:rsidRPr="00FC59BD" w:rsidRDefault="00FC59BD" w:rsidP="00FC59BD">
      <w:pPr>
        <w:spacing w:after="240"/>
        <w:ind w:left="567" w:hanging="567"/>
        <w:rPr>
          <w:bCs/>
          <w:kern w:val="2"/>
          <w:szCs w:val="24"/>
          <w14:ligatures w14:val="standardContextual"/>
        </w:rPr>
      </w:pPr>
      <w:r w:rsidRPr="00FC59BD">
        <w:rPr>
          <w:kern w:val="2"/>
          <w14:ligatures w14:val="standardContextual"/>
        </w:rPr>
        <w:t>8.</w:t>
      </w:r>
      <w:r w:rsidRPr="00FC59BD">
        <w:rPr>
          <w:kern w:val="2"/>
          <w14:ligatures w14:val="standardContextual"/>
        </w:rPr>
        <w:tab/>
        <w:t>uvedomuje si, že Európska prokuratúra po dosiahnutí finančnej autonómie v júni 2021 uprednostnila operatívne výdavky súvisiace s opatreniami v oblasti vyšetrovania, stíhania a bezpečnosti a že to viedlo k obmedzeniu neoperatívnych výdavkov na základné podporné služby; poznamenáva, že v tejto súvislosti bolo vyčlenených celkovo 28 312 075 EUR na operatívne výdavky (Hlava 3), čo predstavuje 43 % konečného rozpočtu Európskej prokuratúry na rok 2023 (v porovnaní so sumou 21 047 346 EUR, t. j. 41 % v roku 2022); konštatuje, že hlavnými faktormi ovplyvňujúcimi náklady na tieto činnosti boli odmeny európskych delegovaných prokurátorov (51 % operatívnych činností v porovnaní so 42 % v roku 2022), potom operatívne činnosti v oblasti IKT, ako je údržba a vývoj systému správy prípadov Európskej prokuratúry (19 % v porovnaní s 28 % v roku 2022), a jazykové služby (činnosti týkajúce sa prekladu a tlmočenia) (14 %, rovnako ako v roku 2022);</w:t>
      </w:r>
    </w:p>
    <w:p w14:paraId="2E93923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9.</w:t>
      </w:r>
      <w:r w:rsidRPr="00FC59BD">
        <w:rPr>
          <w:kern w:val="2"/>
          <w14:ligatures w14:val="standardContextual"/>
        </w:rPr>
        <w:tab/>
        <w:t>konštatuje, že odmeny európskych delegovaných prokurátorov dosiahli 14,5 milióna EUR (v porovnaní s 8,7 milióna EUR v roku 2022), čo predstavuje hlavné operatívne výdavky z dôvodu vyššieho počtu európskych delegovaných prokurátorov v roku 2023; víta pristúpenie Poľska a Švédska k Európskej prokuratúre, ktoré bolo ohlásené v roku 2024; poznamenáva, že toto pristúpenie neovplyvnilo výdavky v roku 2023 a rozpočtu na rok 2024 sa dotýka len okrajovo v dôsledku neskoršieho a postupného prijatia dvoch európskych prokurátorov a niekoľkých európskych delegovaných prokurátorov; chápe, že spoľahlivejší odhad nákladov nebude možný skôr ako v roku 2025; víta, že do programu novej írskej vlády sa začlenil cieľ pripojiť sa k Európskej prokuratúre; vyzýva maďarskú vládu, aby sa Maďarsko ako jediný zostávajúci členský štát, ktorý sa ešte nepripojil k Európskej prokuratúre napriek tomu, že neexistuje žiadna právna alebo ústavná prekážka, bezodkladne pripojilo k Európskej prokuratúre;</w:t>
      </w:r>
    </w:p>
    <w:p w14:paraId="6E5CD28B"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10.</w:t>
      </w:r>
      <w:r w:rsidRPr="00FC59BD">
        <w:rPr>
          <w:kern w:val="2"/>
          <w14:ligatures w14:val="standardContextual"/>
        </w:rPr>
        <w:tab/>
        <w:t>konštatuje, že náklady na služobné cesty a operačné zasadnutia v roku 2023 ešte vzrástli (náklady na služobné cesty predstavovali 1 175 000 EUR v roku 2023 a 980 000 EUR v roku 2022; náklady na operačné zasadnutia v roku 2023 predstavovali 659 752 EUR v porovnaní so 170 000 EUR v roku 2022), čo zodpovedá zvyšujúcej sa miere vyšetrovaní;</w:t>
      </w:r>
    </w:p>
    <w:p w14:paraId="7A060FC9"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11.</w:t>
      </w:r>
      <w:r w:rsidRPr="00FC59BD">
        <w:rPr>
          <w:kern w:val="2"/>
          <w14:ligatures w14:val="standardContextual"/>
        </w:rPr>
        <w:tab/>
        <w:t xml:space="preserve">uvedomuje si, že v prípade prekladateľských služieb sa očakáva ďalší nárast nákladov zodpovedajúci rastúcej záťaži Európskej prokuratúry, a uznáva potrebu dodatočných zdrojov na preklad; víta jednak vnútorné usmernenia k využívaniu prekladateľských služieb, ktoré boli vypracované s cieľom zvýšiť kontrolu nákladov a zaviesť odporúčanie používať v rámci možnosti služby strojového prekladu, a jednak </w:t>
      </w:r>
      <w:r w:rsidRPr="00FC59BD">
        <w:rPr>
          <w:kern w:val="2"/>
          <w14:ligatures w14:val="standardContextual"/>
        </w:rPr>
        <w:lastRenderedPageBreak/>
        <w:t>využívanie vnútroštátnych poskytovateľov služieb v rozsahu, ktorý umožňuje súčasné nariadenie, na riešenie tohto problému; v tejto súvislosti konštatuje, že článok 107 nariadenia (EÚ) 2017/1939 síce stanovuje, že prekladateľské služby potrebné na administratívne fungovanie Európskej prokuratúry na ústrednej úrovni zabezpečuje Prekladateľské stredisko pre orgány Európskej únie, upravuje však aj vybavovanie operačných a naliehavých záležitostí a oprávňuje európskych delegovaných prokurátorov rozhodovať o podmienkach prekladania na účely vyšetrovania v súlade s uplatniteľným vnútroštátnym právom;</w:t>
      </w:r>
    </w:p>
    <w:p w14:paraId="5598846F"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12.</w:t>
      </w:r>
      <w:r w:rsidRPr="00FC59BD">
        <w:rPr>
          <w:kern w:val="2"/>
          <w14:ligatures w14:val="standardContextual"/>
        </w:rPr>
        <w:tab/>
        <w:t>konštatuje, že v roku 2023 Európska prokuratúra podpísala 234 konkrétnych zmlúv na základe existujúcich rámcových zmlúv v celkovej hodnote viac ako 11 miliónov EUR, pričom využívanie rámcových zmlúv Európskej prokuratúry značne vzrástlo (82 konkrétnych zmlúv v hodnote vyše 6,5 milióna EUR), čo vyplynulo do veľkej miery z využívania rámcovej zmluvy Európskej prokuratúry na poskytovanie služieb v oblasti informačných systémov; konštatuje, že len jedna zákazka, ktorá sa týkala systému správy prípadov Európskej prokuratúry, bola z dôvodu mimoriadnej naliehavosti zadaná prostredníctvom rokovacieho konania bez predchádzajúceho zverejnenia oznámenia o vyhlásení verejného obstarávania;</w:t>
      </w:r>
    </w:p>
    <w:p w14:paraId="571D7E40"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13.</w:t>
      </w:r>
      <w:r w:rsidRPr="00FC59BD">
        <w:rPr>
          <w:kern w:val="2"/>
          <w14:ligatures w14:val="standardContextual"/>
        </w:rPr>
        <w:tab/>
        <w:t>konštatuje, že prenosy rozpočtových prostriedkov z predchádzajúceho rozpočtového roka v roku 2022 predstavovali 10 969 680 EUR (24,4 % konečného rozpočtu Európskej prokuratúry na rok 2022), z čoho 84,8 % sa využilo (EUR 9 307 392) a 15,2 % sa zrušilo (v porovnaní s 21,4 % v roku 2022), a konštatuje, že podľa prognóz dôjde v roku 2024, pred dokončením požadovaných výstupov, k ďalšiemu prenosu platobných rozpočtových prostriedkov (prenos z roku 2023 do roku 2024 predstavoval 9 392 989 EUR); vychádza z toho, že čiastočné zrušenie vyplynulo z postupného zavádzania administratívnych postupov Európskej prokuratúry po tom, ako získala finančnú autonómiu v roku 2021; konštatuje, že prenesené rozpočtové prostriedky, ktoré sa zrušili v schválených rozpočtoch na roky 2022 a 2023, sa nemohli využiť v existujúcich ani v nových zmluvách ani synchronizovať so zásadou ročnej platnosti a že plánovanie zodpovedajúcich výdavkov, najmä v súvislosti s prekladom, schôdzami, služobnými cestami a externými dodávateľmi, nemohlo byť presné, pretože neboli k dispozícii žiadne údaje z minulosti a prokuratúra sa rýchlo rozvíjala; oceňuje, že trvalé posilňovanie administratívnej kapacity Európskej prokuratúry postupne rieši tieto záležitosti a že hoci nie je možný úplný odhad vopred vzhľadom na povahu operatívnej činnosti Európskej prokuratúry, očakávaná úroveň zrušených prostriedkov bude v roku 2024 klesať;</w:t>
      </w:r>
    </w:p>
    <w:p w14:paraId="2181349E"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14.</w:t>
      </w:r>
      <w:r w:rsidRPr="00FC59BD">
        <w:rPr>
          <w:kern w:val="2"/>
          <w14:ligatures w14:val="standardContextual"/>
        </w:rPr>
        <w:tab/>
        <w:t>konštatuje, že hlavný európsky prokurátor v roku 2023 prijal dva rozpočtové presuny na základe návrhu, ktorý vypracoval administratívny riaditeľ, a že kolégium o nich bolo informované a celková výška prostriedkov prevedených medzi hlavami predstavovala 1,2 milióna EUR;</w:t>
      </w:r>
    </w:p>
    <w:p w14:paraId="74CC634B"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15.</w:t>
      </w:r>
      <w:r w:rsidRPr="00FC59BD">
        <w:rPr>
          <w:kern w:val="2"/>
          <w14:ligatures w14:val="standardContextual"/>
        </w:rPr>
        <w:tab/>
        <w:t>berie na vedomie, že je potrebná primeraná rozpočtová flexibilita, aby bolo možné riešiť neočakávané operačné potreby, ako bola v roku 2023 vojna na Ukrajine, inflačné tlaky alebo iné celosvetové výzvy, a vychádza z toho, že Európska prokuratúra využila svoje nariadenie o rozpočtových pravidlách tým, že včas prerozdelila rozpočtové prostriedky prostredníctvom zmien rozpočtu (jednej v júni a druhej v novembri) a rozpočtových presunov (jedného v septembri a druhého v decembri);</w:t>
      </w:r>
    </w:p>
    <w:p w14:paraId="600A228A"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lastRenderedPageBreak/>
        <w:t>16.</w:t>
      </w:r>
      <w:r w:rsidRPr="00FC59BD">
        <w:rPr>
          <w:kern w:val="2"/>
          <w14:ligatures w14:val="standardContextual"/>
        </w:rPr>
        <w:tab/>
        <w:t>opakuje svoju poznámku týkajúcu sa zastaraného legislatívneho finančného výkazu z roku 2017, ktorý už nespĺňa svoj účel v dôsledku výrazne podhodnotenej pracovnej záťaže; pripomína svoje predchádzajúce uznesenie, v ktorom zdôrazňuje, že nevykonanie preskúmania rozpočtu Európskej prokuratúry v polovici obdobia núti prokuratúru čakať do ukončenia procesu prijímania rozpočtu, aby mala jasný prehľad o tom, aký objem zdrojov bude mať k dispozícii v nasledujúcom roku, a že to obmedzuje jej schopnosť predvídať prípravné činnosti súvisiace s plnením rozpočtu, ako aj možnosti, ktoré by mali byť k dispozícii na dosiahnutie čo najväčšej flexibility pri vytváraní organizačnej infraštruktúry takého inovatívneho projektu, ako je Európska prokuratúra; konštatuje, že to má vplyv najmä na včasné začatie prijímania zamestnancov, čo spomaľuje okrem iného dosahovanie plnej obsadenosti pracovných miest a celkovú absorpčnú kapacitu Európskej prokuratúry;</w:t>
      </w:r>
    </w:p>
    <w:p w14:paraId="7FDBF05B"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17.</w:t>
      </w:r>
      <w:r w:rsidRPr="00FC59BD">
        <w:rPr>
          <w:kern w:val="2"/>
          <w14:ligatures w14:val="standardContextual"/>
        </w:rPr>
        <w:tab/>
        <w:t>zastáva názor, že rozpočtové a ľudské zdroje pridelené Európskej prokuratúre by mali byť primerané na to, aby umožnili efektívne a úspešné vykonávanie jej mandátu a normálne riadenie súvisiacich administratívnych postupov; pripomína svoju výzvu adresovanú Komisiu, aby v úzkej spolupráci s Európskou prokuratúrou preskúmala rozpočtový rámec Európskej prokuratúry s cieľom nájsť primerané spôsoby jej podpory pri jej práci; vyzýva Komisiu, aby vyčlenila dodatočné zdroje odôvodnené rastúcim počtom zložitých prípadov, a zdôrazňuje, že tieto zdroje by nemali závisieť od revízie nariadenia (EÚ) 2017/1939 a mandátu Európskej prokuratúry, ale skôr od významu boja proti organizovanej trestnej činnosti a ochrany finančných záujmov Únie v budúcom VFR;</w:t>
      </w:r>
    </w:p>
    <w:p w14:paraId="33A0C64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18.</w:t>
      </w:r>
      <w:r w:rsidRPr="00FC59BD">
        <w:rPr>
          <w:kern w:val="2"/>
          <w14:ligatures w14:val="standardContextual"/>
        </w:rPr>
        <w:tab/>
        <w:t>zdôrazňuje, že činnosti Európskej prokuratúry prispievajú k ochrane finančných záujmov Únie a že sa tiež očakáva, že umožnia vymôcť sumy z rozpočtu Únie, ktoré sa nepoužili na zamýšľaný účel z dôvodu trestnej činnosti; domnieva sa, že sumy vyplývajúce z opatrení na zaistenie a konfiškáciu, ktoré prijali európski delegovaní prokurátori v členských štátoch, by sa po odpočítaní nákladov, ktoré vznikli orgánom členských štátov pri vykonávaní týchto opatrení, mohli vrátiť do rozpočtu Únie v súlade s článkom 38 nariadenia (EÚ) 2017/1939; domnieva sa, že potenciálne príjmy z opatrení na zaistenie a konfiškáciu by sa mali započítať do rozpočtu Únie ako nepripísané príjmy; vyzýva Komisiu, aby s príslušnými vnútroštátnymi orgánmi prijala potrebné opatrenia s cieľom umožniť zahrnutie týchto súm do rozpočtu Únie;</w:t>
      </w:r>
    </w:p>
    <w:p w14:paraId="39E43989"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19.</w:t>
      </w:r>
      <w:r w:rsidRPr="00FC59BD">
        <w:rPr>
          <w:kern w:val="2"/>
          <w14:ligatures w14:val="standardContextual"/>
        </w:rPr>
        <w:tab/>
        <w:t xml:space="preserve">uznáva, že Európska prokuratúra jasne prispieva k európskej pridanej hodnote, pokiaľ ide o koordináciu a spoluprácu s členskými štátmi pri vyšetrovaní a stíhaní trestných činov proti finančným záujmom Únie, a že Európska prokuratúra v tejto súvislosti dosahuje ciele stanovené v nariadení (EÚ) 2017/1939; očakáva, že členské štáty budú dodržiavať zákonné povinnosti a oznamovať Európskej prokuratúre všetky príslušné prípady; so znepokojením konštatuje, že členské štáty v niekoľkých prípadoch vyhlásili trestné činy poškodzujúce finančné záujmy Únie za vnútroštátne prípady, hoci patria do právomoci Európskej prokuratúry; konštatuje, že otázky právomoci medzi vnútroštátnymi orgánmi a európskymi delegovanými prokurátormi sa objavili vo viacerých prípadoch vo viacerých krajinách; uvedomuje si, že podľa článku 25 ods. 6 nariadenia (EÚ) 2017/1939 má o prípadoch nezhody týkajúcej sa právomocí Európskej prokuratúry rozhodovať ten istý vnútroštátny súdny orgán, ktorý je zodpovedný za určenie príslušného orgánu pre trestné stíhanie na vnútroštátnej úrovni; vyjadruje poľutovanie nad tým, že v mnohých zúčastnených členských štátoch nie sú platné postupy a vnútroštátne orgány poverené rozhodovaním o takýchto prípadoch týkajúcich sa kompetenčných sporov stanovené v súlade s nariadením (EÚ) 2017/1939, </w:t>
      </w:r>
      <w:r w:rsidRPr="00FC59BD">
        <w:rPr>
          <w:kern w:val="2"/>
          <w14:ligatures w14:val="standardContextual"/>
        </w:rPr>
        <w:lastRenderedPageBreak/>
        <w:t>zdôrazňuje, že v prípadoch kompetenčných sporov medzi Európskou prokuratúrou a vnútroštátnym orgánom prokuratúry by vnútroštátny orgán príslušný rozhodovať o pridelení právomoci mohol dospieť k záveru bez toho, aby požiadal Súdny dvor o prejudiciálne rozhodnutie, a namiesto toho prijať rozhodnutie, ktoré je pre Európsku prokuratúru záväzné, a poukazuje na to, že je to v rozpore s duchom nariadenia (EÚ) 2017/1939, v ktorom je stanovené, že Súdny dvor má v súlade s článkom 267 ZFEÚ právomoc vydať prejudiciálne rozhodnutie o výklade ustanovenia vo vzťahu k sporom o právomoc medzi Európskou prokuratúrou a vnútroštátnymi orgánmi; domnieva sa, že súčasnej situácii chýba právna zrozumiteľnosť; nabáda všetky členské štáty, aby s Európskou prokuratúrou užšie spolupracovali; zdôrazňuje, že právomoc Európskej prokuratúry je jasne stanovená v článku 22 ods. 1 a 2 a v článku 23 nariadenia (EÚ) 2017/1939 a že všetky členské štáty by mali toto nariadenie dodržiavať; konštatuje, že ak majú členské štáty pochybnosti o právomoci Európskej prokuratúry v konkrétnom prípade, existuje možnosť položiť Súdnemu dvoru prejudiciálnu otázku na základe článku 267 ZFEÚ a článku 42 ods. 2 písm. c) nariadenia (EÚ) 2017/1939; naliehavo vyzýva Komisiu, aby v prípade porušenia nariadenia (EÚ) 2017/1939 predložila vec Súdnemu dvoru; so znepokojením konštatuje, že otázka právomoci môže viesť k zastaveniu vyšetrovania; vyjadruje znepokojenie nad potenciálnou stratou dôkazov, keď sa prípady prerušia; vyzýva Komisiu, aby na účel hodnotiacej správy, ktorá sa predloží v roku 2026, zhromažďovala informácie o prípadoch týkajúcich sa konfliktov právomocí;</w:t>
      </w:r>
    </w:p>
    <w:p w14:paraId="03801424"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20.</w:t>
      </w:r>
      <w:r w:rsidRPr="00FC59BD">
        <w:rPr>
          <w:kern w:val="2"/>
          <w14:ligatures w14:val="standardContextual"/>
        </w:rPr>
        <w:tab/>
        <w:t>pripomína, že je potrebné riadne vykonávať článok 91 ods. 6 nariadenia (EÚ) 2017/1939, a zdôrazňuje, že treba zohľadniť osobitosti výdavkov na trestné stíhanie a vyšetrovanie vrátane mimoriadnych prípadov operatívnych nákladov Európskej prokuratúry, ktoré sú upravené v uvedenom ustanovení; chápe, že v roku 2023 bola podpísaná prvá dohoda o financovaní v rámci pilotnej dohody o úhrade žiadostí predložených podľa článku 91 ods. 6 nariadenia (EÚ) 2017/1939 s cieľom pokryť mimoriadne nákladné vyšetrovacie opatrenia vykonávané na vnútroštátnej úrovni v mene Európskej prokuratúry; oceňuje, že príslušnú platbu skontroloval Dvor audítorov počas auditu v roku 2023 a že ju vyhodnotil ako zákonnú a správnu;</w:t>
      </w:r>
    </w:p>
    <w:p w14:paraId="6391549C" w14:textId="77777777" w:rsidR="00FC59BD" w:rsidRPr="00FC59BD" w:rsidRDefault="00FC59BD" w:rsidP="00FC59BD">
      <w:pPr>
        <w:spacing w:after="240"/>
        <w:ind w:left="567" w:hanging="567"/>
        <w:rPr>
          <w:b/>
          <w:i/>
          <w:kern w:val="2"/>
          <w:szCs w:val="24"/>
          <w14:ligatures w14:val="standardContextual"/>
        </w:rPr>
      </w:pPr>
      <w:r w:rsidRPr="00FC59BD">
        <w:rPr>
          <w:b/>
          <w:i/>
          <w:kern w:val="2"/>
          <w14:ligatures w14:val="standardContextual"/>
        </w:rPr>
        <w:t>Vnútorné riadenie, výkonnosť a vnútorná kontrola</w:t>
      </w:r>
    </w:p>
    <w:p w14:paraId="5967D2F7"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21.</w:t>
      </w:r>
      <w:r w:rsidRPr="00FC59BD">
        <w:rPr>
          <w:kern w:val="2"/>
          <w14:ligatures w14:val="standardContextual"/>
        </w:rPr>
        <w:tab/>
        <w:t>víta, že kolégium sa v roku 2023 stretlo 22-krát a prijalo 73 rozhodnutí, medzi ktorými je stratégia na boj proti podvodom na roky 2023 – 2025, politika proti obťažovaniu týkajúca sa zamestnancov a členov kolégia alebo európskych delegovaných prokurátorov;</w:t>
      </w:r>
    </w:p>
    <w:p w14:paraId="7F1535F4"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szCs w:val="24"/>
          <w14:ligatures w14:val="standardContextual"/>
        </w:rPr>
        <w:t>22.</w:t>
      </w:r>
      <w:r w:rsidRPr="00FC59BD">
        <w:rPr>
          <w:kern w:val="2"/>
          <w:szCs w:val="24"/>
          <w14:ligatures w14:val="standardContextual"/>
        </w:rPr>
        <w:tab/>
        <w:t>berie na vedomie, že Európska prokuratúra pokračovala v úsilí o zavedenie systému na monitorovanie zvýšenia efektívnosti a úspor nákladov, a konštatuje, že v roku 2023 začala preskúmanie strategického a operatívneho plánovania a monitorovacích procesov týkajúcich sa rozpočtu a činností a preskúmanie postupov prijímania zamestnancov s cieľom dosiahnuť ich urýchlenie a rozšírenie získaných kompetencií; poukazuje na to, že platné systémy vnútornej kontroly sú celkovo účinné;</w:t>
      </w:r>
    </w:p>
    <w:p w14:paraId="6BC3C4E1"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szCs w:val="24"/>
          <w14:ligatures w14:val="standardContextual"/>
        </w:rPr>
        <w:t>23.</w:t>
      </w:r>
      <w:r w:rsidRPr="00FC59BD">
        <w:rPr>
          <w:kern w:val="2"/>
          <w:szCs w:val="24"/>
          <w14:ligatures w14:val="standardContextual"/>
        </w:rPr>
        <w:tab/>
        <w:t>konštatuje, že vnútorný audítor Európskej prokuratúry</w:t>
      </w:r>
      <w:r w:rsidRPr="00FC59BD">
        <w:rPr>
          <w:color w:val="000000"/>
          <w:kern w:val="2"/>
          <w:szCs w:val="24"/>
          <w14:ligatures w14:val="standardContextual"/>
        </w:rPr>
        <w:t xml:space="preserve"> </w:t>
      </w:r>
      <w:r w:rsidRPr="00FC59BD">
        <w:rPr>
          <w:kern w:val="2"/>
          <w:szCs w:val="24"/>
          <w14:ligatures w14:val="standardContextual"/>
        </w:rPr>
        <w:t xml:space="preserve">pre neoperatívne veci (IAS) začal v roku 2023 obmedzené preskúmanie hlavných prvkov vyhlásenia Európskej prokuratúry o vierohodnosti na účel ďalšieho rozvoja rámca uistenia; domnieva sa, že tento krok, ktorý sa má dokončiť v priebehu roka 2024, má viesť k odporúčaniam, na </w:t>
      </w:r>
      <w:r w:rsidRPr="00FC59BD">
        <w:rPr>
          <w:kern w:val="2"/>
          <w:szCs w:val="24"/>
          <w14:ligatures w14:val="standardContextual"/>
        </w:rPr>
        <w:lastRenderedPageBreak/>
        <w:t>základe ktorých sa posilní právomoc povoľujúceho úradníka vydávať dôveryhodné vyhlásenie o vierohodnosti;</w:t>
      </w:r>
    </w:p>
    <w:p w14:paraId="5064D3AA"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szCs w:val="24"/>
          <w14:ligatures w14:val="standardContextual"/>
        </w:rPr>
        <w:t>24.</w:t>
      </w:r>
      <w:r w:rsidRPr="00FC59BD">
        <w:rPr>
          <w:kern w:val="2"/>
          <w:szCs w:val="24"/>
          <w14:ligatures w14:val="standardContextual"/>
        </w:rPr>
        <w:tab/>
        <w:t>víta porovnávaciu analýzu, ktorú uskutočnil oddelenie vnútorného auditu a v ktorej porovnal použité ľudské zdroje Európskej prokuratúry so súborom iných subjektov Únie a národných prokuratúr na základe štandardizovaného súboru pilierov zahŕňajúceho administratívnu podporu a operatívne činnosti; konštatuje, že oddelenie vnútorného auditu v roku 2023 testovalo prostredie vnútorného dohľadu a uskutočnilo prvý vnútorný audit ako analýzu pracovného prostredia a vnútorných kontrol decentralizovaných kancelárií Európskej prokuratúry v Sofii (Bulharsko);</w:t>
      </w:r>
    </w:p>
    <w:p w14:paraId="4718F833" w14:textId="77777777" w:rsidR="00FC59BD" w:rsidRPr="00FC59BD" w:rsidRDefault="00FC59BD" w:rsidP="00FC59BD">
      <w:pPr>
        <w:autoSpaceDN w:val="0"/>
        <w:spacing w:after="240"/>
        <w:ind w:left="567" w:hanging="567"/>
        <w:rPr>
          <w:bCs/>
          <w:kern w:val="2"/>
          <w:szCs w:val="24"/>
          <w14:ligatures w14:val="standardContextual"/>
        </w:rPr>
      </w:pPr>
      <w:r w:rsidRPr="00FC59BD">
        <w:rPr>
          <w:kern w:val="2"/>
          <w:szCs w:val="24"/>
          <w14:ligatures w14:val="standardContextual"/>
        </w:rPr>
        <w:t>25.</w:t>
      </w:r>
      <w:r w:rsidRPr="00FC59BD">
        <w:rPr>
          <w:kern w:val="2"/>
          <w:szCs w:val="24"/>
          <w14:ligatures w14:val="standardContextual"/>
        </w:rPr>
        <w:tab/>
        <w:t>pripomína svoj názor, že Útvar pre vnútorný audit a oddelenie vnútorného auditu by mali koordinovať svoje činnosti s cieľom poskytovať Európskej prokuratúre poradenstvo a podporu pri vytváraní vlastných hlavných procesov a dosahovaní jej cieľov;</w:t>
      </w:r>
    </w:p>
    <w:p w14:paraId="23F69565"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26.</w:t>
      </w:r>
      <w:r w:rsidRPr="00FC59BD">
        <w:rPr>
          <w:kern w:val="2"/>
          <w14:ligatures w14:val="standardContextual"/>
        </w:rPr>
        <w:tab/>
        <w:t xml:space="preserve">konštatuje, že Európska prokuratúra si vytvorila vlastnú obstarávaciu kapacitu, a to na základe vlastných postupov verejného obstarávania začatých v roku 2023, a spravuje vlastné konkrétne zmluvy a objednávkové formuláre týkajúce sa plnenia existujúcich rámcových zmlúv, ktoré boli podpísané v roku 2023; konštatuje, že Európska prokuratúra súčasne naďalej prevádzkuje svoju obstarávaciu kapacitu prostredníctvom dohôd o úrovni poskytovaných služieb s inými inštitúciami, orgánmi, úradmi a agentúrami Únie a zapojením sa do </w:t>
      </w:r>
      <w:proofErr w:type="spellStart"/>
      <w:r w:rsidRPr="00FC59BD">
        <w:rPr>
          <w:kern w:val="2"/>
          <w14:ligatures w14:val="standardContextual"/>
        </w:rPr>
        <w:t>medziinštitucionálnych</w:t>
      </w:r>
      <w:proofErr w:type="spellEnd"/>
      <w:r w:rsidRPr="00FC59BD">
        <w:rPr>
          <w:kern w:val="2"/>
          <w14:ligatures w14:val="standardContextual"/>
        </w:rPr>
        <w:t xml:space="preserve"> zmlúv s rôznymi trhovými subjektmi;</w:t>
      </w:r>
    </w:p>
    <w:p w14:paraId="45CE0780"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27.</w:t>
      </w:r>
      <w:r w:rsidRPr="00FC59BD">
        <w:rPr>
          <w:kern w:val="2"/>
          <w14:ligatures w14:val="standardContextual"/>
        </w:rPr>
        <w:tab/>
        <w:t>uvedomuje si, že v roku 2023 administratívny riaditeľ zaviedol minimálne normy (kritériá posúdenia) ku každej zo 17 zásad vnútornej kontroly, ktoré sú založené na rámci integrovanej kontroly COSO 2013 a na základe rámca vnútornej kontroly Európskej prokuratúry tvoria hlavné prvky systému vnútornej kontroly Európskej prokuratúry; konštatuje, že 51 zo 72 kritérií súladu bolo považovaných za splnené, pri 20 sú zavedené určité prvky, ale je potrebné na nich ešte pracovať, a len pri jednom kritériu nebolo zaznamenané žiadne významné plnenie; oceňuje, že odkedy kolégium prijalo v marci 2021 posúdenie rámca vnútornej kontroly, sa z tohto posúdenia úspešne vykonalo 71 %, pričom je potrebné ďalšie úsilie o úplné plnenie zvyšných 29 %;</w:t>
      </w:r>
    </w:p>
    <w:p w14:paraId="0C02A21A"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28.</w:t>
      </w:r>
      <w:r w:rsidRPr="00FC59BD">
        <w:rPr>
          <w:kern w:val="2"/>
          <w14:ligatures w14:val="standardContextual"/>
        </w:rPr>
        <w:tab/>
        <w:t>víta, že 1. marca 2023 bola prijatá aktualizovaná verzia stratégie Európskej prokuratúry proti podvodom na roky 2023 – 2025, v ktorej sú stanovené ciele bojovať proti podvodom na všetkých úrovniach prokuratúry, spolu s osobitným akčným plánom, ktorý je súčasťou vnútornej kontroly prokuratúry a pravidelne sa monitoruje; oceňuje ročné preskúmanie akčného plánu stratégie pre boj proti podvodom, ktoré vykonáva pracovník Európskej prokuratúry pre vnútornú kontrolu, ktorý výsledky preskúmania hlási administratívnemu riaditeľovi;</w:t>
      </w:r>
    </w:p>
    <w:p w14:paraId="5C1188C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29.</w:t>
      </w:r>
      <w:r w:rsidRPr="00FC59BD">
        <w:rPr>
          <w:kern w:val="2"/>
          <w14:ligatures w14:val="standardContextual"/>
        </w:rPr>
        <w:tab/>
        <w:t xml:space="preserve">je si vedomý toho, že Európska prokuratúra zabezpečuje v súlade s rozpočtovými pravidlami Európskej prokuratúry primeranú úroveň finančných transakcií a postupov obstarávania prostredníctvom </w:t>
      </w:r>
      <w:r w:rsidRPr="00FC59BD">
        <w:rPr>
          <w:i/>
          <w:kern w:val="2"/>
          <w14:ligatures w14:val="standardContextual"/>
        </w:rPr>
        <w:t xml:space="preserve">ex post </w:t>
      </w:r>
      <w:r w:rsidRPr="00FC59BD">
        <w:rPr>
          <w:kern w:val="2"/>
          <w14:ligatures w14:val="standardContextual"/>
        </w:rPr>
        <w:t>kontrol finančných transakcií (platieb, záväzkov a príkazov na vymáhanie) a postupov obstarávania za obdobie od 1. januára do 31. decembra 2023;</w:t>
      </w:r>
    </w:p>
    <w:p w14:paraId="27B9F3A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30.</w:t>
      </w:r>
      <w:r w:rsidRPr="00FC59BD">
        <w:rPr>
          <w:kern w:val="2"/>
          <w14:ligatures w14:val="standardContextual"/>
        </w:rPr>
        <w:tab/>
        <w:t xml:space="preserve">konštatuje nárast počtu oznámení o trestných činoch, ktoré boli predložené Európskej prokuratúre (4 187 v roku 2023 v porovnaní s 3 318 v roku 2022 a 2 832 v roku 2021), </w:t>
      </w:r>
      <w:r w:rsidRPr="00FC59BD">
        <w:rPr>
          <w:kern w:val="2"/>
          <w14:ligatures w14:val="standardContextual"/>
        </w:rPr>
        <w:lastRenderedPageBreak/>
        <w:t>a z toho vyplývajúci nárast začatých vyšetrovaní (1 371 v roku 2023 v porovnaní s 865 v roku 2022 a 567 v roku 2021) a odhadovaných škôd (19,27 EUR miliardy v roku 2023 v porovnaní so 14,1 miliardy EUR v roku 2022 a 5,4 miliardy EUR v roku 2021); konštatuje, že najväčší podiel operačných vstupov tvoria oznámenia, ktoré podali súkromné subjekty (2 494, t. j. o 29 % ako v roku 2022) a vnútroštátne orgány (1 562, t. j. o 24 % viac ako v roku 2022), pričom vyjadruje poľutovanie nad tým, že oznámení od iných inštitúcií, orgánov, úradov a agentúr Únie bolo naďalej veľmi málo (108), z čoho možno usúdiť, že na ich strane nenastalo žiadne významné zlepšenie v oblasti odhaľovania a oznamovania trestnej činnosti; konštatuje, že počet obvinení (139 v roku 2023 oproti 87 v roku 2022 a 5 v roku 2021) spolu s príkazmi na zaistenie, ktoré Európska prokuratúra dosiahla (1,5 miliardy EUR v porovnaní s 359,1 milióna EUR v roku 2022 a so 147 miliónmi EUR v roku 2021), svedčia o jej čoraz väčšej výkonnosti;</w:t>
      </w:r>
    </w:p>
    <w:p w14:paraId="23C4CC3F"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31.</w:t>
      </w:r>
      <w:r w:rsidRPr="00FC59BD">
        <w:rPr>
          <w:kern w:val="2"/>
          <w14:ligatures w14:val="standardContextual"/>
        </w:rPr>
        <w:tab/>
        <w:t xml:space="preserve">konštatuje, že v porovnaní s rokom 2022 sa počet prípadov Európskej prokuratúry v roku 2023 takmer zdvojnásobil a dosiahol až 1 927 aktívnych vyšetrovaní; vyjadruje Európskej prokuratúre pochvalu za úspešnú činnosť v roku 2023, ktorá zahŕňala 139 obvinení, 339 prípadov súvisiacich s DPH a viac ako 200 vyšetrovaní týkajúcich sa vykonávania nástroja </w:t>
      </w:r>
      <w:proofErr w:type="spellStart"/>
      <w:r w:rsidRPr="00FC59BD">
        <w:rPr>
          <w:kern w:val="2"/>
          <w14:ligatures w14:val="standardContextual"/>
        </w:rPr>
        <w:t>NextGenerationEU</w:t>
      </w:r>
      <w:proofErr w:type="spellEnd"/>
      <w:r w:rsidRPr="00FC59BD">
        <w:rPr>
          <w:kern w:val="2"/>
          <w14:ligatures w14:val="standardContextual"/>
        </w:rPr>
        <w:t>; ďalej konštatuje, že Európska prokuratúra začala podávať viac obžalôb na páchateľov podvodov v Únii na vnútroštátnych súdoch;</w:t>
      </w:r>
    </w:p>
    <w:p w14:paraId="4FDC556B"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32.</w:t>
      </w:r>
      <w:r w:rsidRPr="00FC59BD">
        <w:rPr>
          <w:kern w:val="2"/>
          <w14:ligatures w14:val="standardContextual"/>
        </w:rPr>
        <w:tab/>
        <w:t xml:space="preserve">konštatuje, že v roku 2023 sa 48 prípadov uzavrelo vynesením súdneho rozsudku (v porovnaní s 20 prípadmi v roku 2022) a že bolo skonfiškovaných 60 miliónov EUR (v porovnaní s 2 miliónmi EUR v roku 2021); zdôrazňuje, že je dôležité systematicky podávať správy o následných opatreniach v týchto prípadoch z hľadiska prijatých finančných opatrení (konfiškácia a vymáhanie), aby bolo možné lepšie pochopiť vplyv činností Európskej prokuratúry; víta opatrenia, ktoré prijali Európska prokuratúra a Komisia s cieľom zefektívniť vzájomnú komunikáciu a zabezpečiť, aby zodpovedala ich potrebám prípadných administratívnych postupov na prijatie opatrení na obnovu rozpočtu Únie poškodeného hospodárskymi trestnými činmi; pripomína svoju výzvu adresovanú Komisii, aby poskytovala podporu Európskej prokuratúre pri monitorovaní a následných činnostiach tak, aby sa obmedzené zdroje Európskej prokuratúry vyčlenené na jej úlohy v oblasti vyšetrovania a trestného stíhania nevyužívali na iné účely; nabáda Európsku prokuratúru, aby, ak je to možné a vhodné, lepšie spolupracovala s inými zložkami štruktúry Únie boja proti podvodom, ako sú </w:t>
      </w:r>
      <w:proofErr w:type="spellStart"/>
      <w:r w:rsidRPr="00FC59BD">
        <w:rPr>
          <w:kern w:val="2"/>
          <w14:ligatures w14:val="standardContextual"/>
        </w:rPr>
        <w:t>Eurojust</w:t>
      </w:r>
      <w:proofErr w:type="spellEnd"/>
      <w:r w:rsidRPr="00FC59BD">
        <w:rPr>
          <w:kern w:val="2"/>
          <w14:ligatures w14:val="standardContextual"/>
        </w:rPr>
        <w:t xml:space="preserve"> a </w:t>
      </w:r>
      <w:proofErr w:type="spellStart"/>
      <w:r w:rsidRPr="00FC59BD">
        <w:rPr>
          <w:kern w:val="2"/>
          <w14:ligatures w14:val="standardContextual"/>
        </w:rPr>
        <w:t>Europol</w:t>
      </w:r>
      <w:proofErr w:type="spellEnd"/>
      <w:r w:rsidRPr="00FC59BD">
        <w:rPr>
          <w:kern w:val="2"/>
          <w14:ligatures w14:val="standardContextual"/>
        </w:rPr>
        <w:t>, alebo aby – prostredníctvom úradu OLAF – využívala koordinačné útvary pre boj proti podvodom zriadené v členských štátoch na monitorovanie výsledkov svojich vyšetrovaní;</w:t>
      </w:r>
    </w:p>
    <w:p w14:paraId="52C5BD1E"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33.</w:t>
      </w:r>
      <w:r w:rsidRPr="00FC59BD">
        <w:rPr>
          <w:kern w:val="2"/>
          <w14:ligatures w14:val="standardContextual"/>
        </w:rPr>
        <w:tab/>
        <w:t>zdôrazňuje zásadnú úlohu vymáhania majetku pri vytváraní dôveryhodného odstrašujúceho prostriedku proti organizovanej trestnej činnosti; víta zapojenie Európskej prokuratúry do medzinárodných sietí s cieľom ďalej pokročiť v operáciách vymáhania majetku; zdôrazňuje, že je potrebné, aby Komisia vyzvala Európsku prokuratúru, aby sa zapojila do novovytvorenej siete spolupráce v oblasti vymáhania a konfiškácie majetku; konštatuje, že včasné a účinné vyšetrovanie a stíhanie trestných činov súvisiacich s podvodmi môže priniesť značné úspory pre rozpočet Únie a rozpočty členských štátov;</w:t>
      </w:r>
    </w:p>
    <w:p w14:paraId="06F4FA2C"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34.</w:t>
      </w:r>
      <w:r w:rsidRPr="00FC59BD">
        <w:rPr>
          <w:kern w:val="2"/>
          <w14:ligatures w14:val="standardContextual"/>
        </w:rPr>
        <w:tab/>
        <w:t xml:space="preserve">vyjadruje znepokojenie nad čoraz väčším počtom vyšetrovaní, ktoré vedie Európska prokuratúra v súvislosti s vykonávaním plánov podpory obnovy a odolnosti (na konci roka 2023 to bolo 233 vyšetrovaní v porovnaní s 15 prípadmi vyšetrovanými na konci </w:t>
      </w:r>
      <w:r w:rsidRPr="00FC59BD">
        <w:rPr>
          <w:kern w:val="2"/>
          <w14:ligatures w14:val="standardContextual"/>
        </w:rPr>
        <w:lastRenderedPageBreak/>
        <w:t>roka 2022), a nad ich súvisiacou odhadovanou finančnou škodou (1,86 miliardy EUR); vyjadruje osobitné znepokojenie nad tým, že napriek vysokému počtu vyšetrovaní členské štáty v súčasnosti nie sú povinné oznamovať Komisii prípady týkajúce sa Mechanizmu na podporu obnovy a odolnosti prostredníctvom systému riadenia nezrovnalostí (IMS); pripomína povinnosť oznamovať Európskej prokuratúre všetky prípady podvodu, ktoré sa týkajú Mechanizmu na podporu obnovy a odolnosti, a zdôrazňuje, že takéto prípady sú závažné aj pre opatrenia týkajúce sa systému EDES; zdôrazňuje, že pracovné zaťaženie Európskej prokuratúry, ktoré sa spočiatku podceňovalo, sa výrazne zvýšilo a očakáva sa, že v nadchádzajúcich rokoch naďalej porastie, najmä z dôvodu rastúceho počtu prípadov súvisiacich s Mechanizmom na podporu obnovy a odolnosti, a že podľa príslušných analýz by mohol v nasledujúcich rokoch exponenciálne narásť počet prípadov podvodov, korupcie, dvojitého financovania a konfliktov záujmov; vyzýva Európsku prokuratúru, aby systematicky analyzovala a identifikovala vzorce podvodov v členských štátoch, v ktorých boli odhalené viaceré prípady týkajúce sa Mechanizmu na podporu obnovy a odolnosti, a aby o týchto vzorcoch informovala členské štáty, Komisiu a pracovnú skupinu pre obnovu a odolnosť s cieľom posilniť preventívne opatrenia na zmiernenie rizika podvodov; vyzýva Európsku prokuratúru, Komisiu a úrad OLAF, aby navzájom úzko spolupracovali s cieľom čo najviac minimalizovať vplyv takéhoto podvodného konania na rozpočet Únie a chrániť plnenie cieľov Mechanizmu na podporu obnovy a odolnosti; pripomína výzvu Komisii, aby Európska prokuratúra poskytla vhodné usmernenia k tomu, ako podporovať a upevňovať prijímanie nápravných opatrení, ktoré nasledujú po nezávislom vyšetrovaní a stíhaní Európskou prokuratúrou, pokiaľ ide o podvody ovplyvňujúce Mechanizmus na podporu obnovy a odolnosti, a aby priebežne informovala rozpočtový orgán o dostupných možnostiach;</w:t>
      </w:r>
    </w:p>
    <w:p w14:paraId="7F2E2E64"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35.</w:t>
      </w:r>
      <w:r w:rsidRPr="00FC59BD">
        <w:rPr>
          <w:kern w:val="2"/>
          <w14:ligatures w14:val="standardContextual"/>
        </w:rPr>
        <w:tab/>
      </w:r>
      <w:r w:rsidRPr="00FC59BD">
        <w:rPr>
          <w:color w:val="000000"/>
          <w:kern w:val="2"/>
          <w14:ligatures w14:val="standardContextual"/>
        </w:rPr>
        <w:t>chápe,</w:t>
      </w:r>
      <w:r w:rsidRPr="00FC59BD">
        <w:rPr>
          <w:kern w:val="2"/>
          <w14:ligatures w14:val="standardContextual"/>
        </w:rPr>
        <w:t xml:space="preserve"> že Európska prokuratúra reagovala na výzvu </w:t>
      </w:r>
      <w:r w:rsidRPr="00FC59BD">
        <w:rPr>
          <w:color w:val="000000"/>
          <w:kern w:val="2"/>
          <w14:ligatures w14:val="standardContextual"/>
        </w:rPr>
        <w:t xml:space="preserve">Európskeho </w:t>
      </w:r>
      <w:r w:rsidRPr="00FC59BD">
        <w:rPr>
          <w:kern w:val="2"/>
          <w14:ligatures w14:val="standardContextual"/>
        </w:rPr>
        <w:t>parlamentu, aby zdokonalila systém monitorovania a posilnila opatrenia nadväzujúce na vyšetrovania a stíhania spustením projektu digitálnych štatistických nástrojov, ktorý by umožnil lepšie využívanie údajov, ktoré spracúva, a rozvoj kapacity strategickej analýzy na účel identifikácie vzorcov podvodov; súhlasí s Európskou prokuratúrou v tom, že úspech tohto úsilia priamo súvisí s dostupnými zdrojmi, a vyzýva Komisiu, aby tieto činnosti a súvisiace náklady zohľadnila v budúcich návrhoch týkajúcich sa nariadenia (EÚ) 2017/1939 a rozpočtových prostriedkov;</w:t>
      </w:r>
    </w:p>
    <w:p w14:paraId="29B6AC50"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36.</w:t>
      </w:r>
      <w:r w:rsidRPr="00FC59BD">
        <w:rPr>
          <w:kern w:val="2"/>
          <w14:ligatures w14:val="standardContextual"/>
        </w:rPr>
        <w:tab/>
        <w:t>oceňuje úsilie Európskej prokuratúry stanoviť vzhľadom na jej osobitný model činností kľúčové ukazovatele výkonnosti pre operatívne aj administratívne činnosti s konkrétnymi cieľmi; trvá na tom, že operačné činnosti musia obsahovať odkaz na sumy, ktoré boli zaistené, skonfiškované a nakoniec získané späť do rozpočtu Únie, ktorého ochrana je v konečnom dôsledku dôvodom existencie štruktúry Únie na boj proti podvodom, ktorej dôležitou zložkou je Európska prokuratúra; chápe, že monitorovanie a následné opatrenia vrátane podávania správ o výsledkoch vymáhania nepatria do pôsobnosti Európskej prokuratúry a vyžadujú zdroje a osobitné právomoci, ktoré nie sú súčasťou jej poslania; žiada Komisiu, aby podporila Európsku prokuratúru pri identifikácii ukazovateľov súvisiacich s plnením tejto základnej úlohy, a zdôrazňuje, že lepší systém monitorovania a väčšie množstvo údajov s dobrou mierou podrobnosti spojených do klastrov podľa typu pochybenia, odvetvia záujmu alebo zemepisnej oblasti by mohli umožniť hmatateľnejší dosah vyšetrovaní Európskej prokuratúry a identifikáciu vzorcov podvodov;</w:t>
      </w:r>
    </w:p>
    <w:p w14:paraId="5FFD47CF" w14:textId="77777777" w:rsidR="00FC59BD" w:rsidRPr="00FC59BD" w:rsidRDefault="00FC59BD" w:rsidP="00FC59BD">
      <w:pPr>
        <w:spacing w:after="240"/>
        <w:ind w:left="567" w:hanging="567"/>
        <w:rPr>
          <w:b/>
          <w:i/>
          <w:kern w:val="2"/>
          <w:szCs w:val="24"/>
          <w14:ligatures w14:val="standardContextual"/>
        </w:rPr>
      </w:pPr>
      <w:r w:rsidRPr="00FC59BD">
        <w:rPr>
          <w:b/>
          <w:i/>
          <w:color w:val="000000"/>
          <w:kern w:val="2"/>
          <w14:ligatures w14:val="standardContextual"/>
        </w:rPr>
        <w:t xml:space="preserve">Ľudské zdroje, </w:t>
      </w:r>
      <w:r w:rsidRPr="00FC59BD">
        <w:rPr>
          <w:b/>
          <w:i/>
          <w:kern w:val="2"/>
          <w14:ligatures w14:val="standardContextual"/>
        </w:rPr>
        <w:t>rovnosť a dobré pracovné podmienky zamestnancov</w:t>
      </w:r>
    </w:p>
    <w:p w14:paraId="12B8CCBC"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lastRenderedPageBreak/>
        <w:t>37.</w:t>
      </w:r>
      <w:r w:rsidRPr="00FC59BD">
        <w:rPr>
          <w:kern w:val="2"/>
          <w14:ligatures w14:val="standardContextual"/>
        </w:rPr>
        <w:tab/>
      </w:r>
      <w:r w:rsidRPr="00FC59BD">
        <w:rPr>
          <w:color w:val="000000"/>
          <w:kern w:val="2"/>
          <w14:ligatures w14:val="standardContextual"/>
        </w:rPr>
        <w:t>berie na vedomie</w:t>
      </w:r>
      <w:r w:rsidRPr="00FC59BD">
        <w:rPr>
          <w:kern w:val="2"/>
          <w14:ligatures w14:val="standardContextual"/>
        </w:rPr>
        <w:t xml:space="preserve"> priebežný nárast počtu zamestnancov, ktorý sa zvýšil z 58 v roku 2020 na 122 v roku 2021, 217 do konca roka 2022 a na 238 do konca roka 2023; uvedomuje si, že na rok 2023 Európska prokuratúra požiadala rozpočtový orgán o zrušenie 20 pracovných miest zmluvných zamestnancov a vytvorenie 20 pracovných miest dočasných zamestnancov, čo bolo schválené a čo Európska prokuratúra ešte v ten istý rok uskutočnila, v dôsledku čoho sa celkový počet zamestnancov nezmenil (248, z toho 171 dočasných zamestnancov, 48 zmluvných zamestnancov a 29 vyslaných národných expertov), ale nastala zmena v prerozdelení pracovných miest (191 dočasných zamestnancov, 28 zmluvných zamestnancov a 29 vyslaných národných expertov); upozorňuje však, že v nadväznosti na určité zistené bezpečnostné nedostatky Európska prokuratúra v máji 2023 požiadala o opravný rozpočet a dodatočné pracovné miesta s cieľom posilniť fyzickú, informačnú a kybernetickú bezpečnosť na ústrednej a decentralizovanej úrovni a že z 21 požadovaných pracovných miest v oblasti bezpečnosti bolo v novembri 2023 schválených len osem (1 AD 9, 4 AD 6 a 3 AST 3) na účel ďalších bezpečnostných opatrení, ktoré boli dokončené v roku 2024;</w:t>
      </w:r>
    </w:p>
    <w:p w14:paraId="5692F76D"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38.</w:t>
      </w:r>
      <w:r w:rsidRPr="00FC59BD">
        <w:rPr>
          <w:kern w:val="2"/>
          <w14:ligatures w14:val="standardContextual"/>
        </w:rPr>
        <w:tab/>
      </w:r>
      <w:r w:rsidRPr="00FC59BD">
        <w:rPr>
          <w:color w:val="000000"/>
          <w:kern w:val="2"/>
          <w14:ligatures w14:val="standardContextual"/>
        </w:rPr>
        <w:t>poukazuje</w:t>
      </w:r>
      <w:r w:rsidRPr="00FC59BD">
        <w:rPr>
          <w:kern w:val="2"/>
          <w14:ligatures w14:val="standardContextual"/>
        </w:rPr>
        <w:t xml:space="preserve"> na to, že v roku 2023 bola miera obsadenosti v ústredí prokuratúry 92,97 %, pričom z 256 pracovných miest plánovaných v rozpočte bolo obsadených 238; konštatuje, že zo 140 pracovných miest pre európskych delegovaných prokurátorov bolo na konci roka 2023 obsadených 130 a ďalších 10 nastúpilo na začiatku roka 2024, takže miera obsadenosti dosiahla 100 %; konštatuje, že Európska prokuratúra posilnila svoju schopnosť včas a transparentne viesť náborové konania, keďže v roku 2023 uzavrela 24 výberových konaní a prijala 45 štatutárnych zamestnancov a 8 nových európskych prokurátorov a bolo vymenovaných 35 nových európskych delegovaných prokurátorov;</w:t>
      </w:r>
    </w:p>
    <w:p w14:paraId="5F2AF41A" w14:textId="77777777" w:rsidR="00FC59BD" w:rsidRPr="00FC59BD" w:rsidRDefault="00FC59BD" w:rsidP="00FC59BD">
      <w:pPr>
        <w:spacing w:after="240"/>
        <w:ind w:left="567" w:hanging="567"/>
        <w:rPr>
          <w:bCs/>
          <w:kern w:val="2"/>
          <w:szCs w:val="24"/>
          <w14:ligatures w14:val="standardContextual"/>
        </w:rPr>
      </w:pPr>
      <w:r w:rsidRPr="00FC59BD">
        <w:rPr>
          <w:kern w:val="2"/>
          <w14:ligatures w14:val="standardContextual"/>
        </w:rPr>
        <w:t>39.</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že k decembru 2023 bola fluktuácia zamestnancov (dočasných a zmluvných) na úrovni 4,62 % </w:t>
      </w:r>
      <w:r w:rsidRPr="00FC59BD">
        <w:rPr>
          <w:kern w:val="2"/>
          <w:szCs w:val="24"/>
          <w:vertAlign w:val="superscript"/>
          <w14:ligatures w14:val="standardContextual"/>
        </w:rPr>
        <w:footnoteReference w:id="15"/>
      </w:r>
      <w:r w:rsidRPr="00FC59BD">
        <w:rPr>
          <w:kern w:val="2"/>
          <w14:ligatures w14:val="standardContextual"/>
        </w:rPr>
        <w:t>, keďže počas roka bolo zaznamenaných celkom 11 výpovedí, ktorých hlavným dôvodom bol odchod do inej inštitúcie (v štyroch prípadoch) a na vyššie pracovné miesto v inej inštitúcii Únie (v siedmich prípadoch); konštatuje, že hlavnou príčinou tejto fluktuácie je špecifickosť luxemburského trhu práce, ktorý sa vyznačuje veľmi malým okruhom talentov a malou ponukou špecializovaných zručností;</w:t>
      </w:r>
    </w:p>
    <w:p w14:paraId="0DE36BAE" w14:textId="77777777" w:rsidR="00FC59BD" w:rsidRPr="00FC59BD" w:rsidRDefault="00FC59BD" w:rsidP="00FC59BD">
      <w:pPr>
        <w:spacing w:after="240"/>
        <w:ind w:left="567" w:hanging="567"/>
        <w:rPr>
          <w:bCs/>
          <w:kern w:val="2"/>
          <w:szCs w:val="24"/>
          <w14:ligatures w14:val="standardContextual"/>
        </w:rPr>
      </w:pPr>
      <w:r w:rsidRPr="00FC59BD">
        <w:rPr>
          <w:color w:val="000000"/>
          <w:kern w:val="2"/>
          <w14:ligatures w14:val="standardContextual"/>
        </w:rPr>
        <w:t>40.</w:t>
      </w:r>
      <w:r w:rsidRPr="00FC59BD">
        <w:rPr>
          <w:color w:val="000000"/>
          <w:kern w:val="2"/>
          <w14:ligatures w14:val="standardContextual"/>
        </w:rPr>
        <w:tab/>
        <w:t xml:space="preserve">berie na vedomie úsilie Komisie </w:t>
      </w:r>
      <w:r w:rsidRPr="00FC59BD">
        <w:rPr>
          <w:kern w:val="2"/>
          <w14:ligatures w14:val="standardContextual"/>
        </w:rPr>
        <w:t>vyhovieť žiadostiam Európskej prokuratúry o ďalšie pracovné miesta; domnieva sa, že z predpokladanej pracovnej záťaže vyplýva, že sú potrebné ďalšie zdroje, najmä vzhľadom na nevybavené záležitosti a ďalšie prípady súvisiace s Mechanizmom na podporu obnovy a odolnosti a rozsiahle podvody s DPH, a tiež vzhľadom na očakávaný nárast administratívnych úloh a úloh centrálnej podpory z dôvodu väčšieho počtu operatívnych pracovníkov; poukazuje na</w:t>
      </w:r>
      <w:r w:rsidRPr="00FC59BD">
        <w:rPr>
          <w:b/>
          <w:kern w:val="2"/>
          <w14:ligatures w14:val="standardContextual"/>
        </w:rPr>
        <w:t xml:space="preserve"> </w:t>
      </w:r>
      <w:r w:rsidRPr="00FC59BD">
        <w:rPr>
          <w:kern w:val="2"/>
          <w14:ligatures w14:val="standardContextual"/>
        </w:rPr>
        <w:t>riziko podcenenia potrieb a kapacít; poznamenáva, že náklady na dočasných agentúrnych zamestnancov a externých poskytovateľov služieb pracujúcich v Európskej prokuratúre v roku 2023 dosiahli 4 235 242 EUR; nabáda Komisiu a Európsku prokuratúru, aby našli udržateľné dlhodobé riešenie, ktoré umožní kontinuitu, ochráni dôvernosť a zachová existujúce kompetencie; oceňuje, že dodatočné operačné potreby Európskej prokuratúry boli v plnej miere zahrnuté do jednotného programového dokumentu Európskej prokuratúry na roky 2024 – 2026 a do jej rozpočtových požiadaviek;</w:t>
      </w:r>
    </w:p>
    <w:p w14:paraId="68A6AAB4"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lastRenderedPageBreak/>
        <w:t>41.</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xml:space="preserve"> so znepokojením, že luxemburský trh práce je veľmi konkurenčný, že finančné podmienky, ktoré ponúka administratíva Únie, nie sú v porovnaní s miestnym trhom atraktívne (v priebehu roka sa uplatňuje rozdielna indexácia platov) a že primerane nezohľadňujú vysoké životné náklady v Luxembursku, ktoré sú ešte problematickejšie v dôsledku inflácie a vyšších nákladov na bývanie; konštatuje, že Európska prokuratúra nemôže svojim zamestnancom ponúknuť </w:t>
      </w:r>
      <w:proofErr w:type="spellStart"/>
      <w:r w:rsidRPr="00FC59BD">
        <w:rPr>
          <w:kern w:val="2"/>
          <w14:ligatures w14:val="standardContextual"/>
        </w:rPr>
        <w:t>profesnú</w:t>
      </w:r>
      <w:proofErr w:type="spellEnd"/>
      <w:r w:rsidRPr="00FC59BD">
        <w:rPr>
          <w:kern w:val="2"/>
          <w14:ligatures w14:val="standardContextual"/>
        </w:rPr>
        <w:t xml:space="preserve"> dráhu, ktorá by im umožnila stať sa úradníkom Únie, a že jej pracovné miesta sú preto ešte menej atraktívne ako v ostatných štyroch inštitúciách Únie pôsobiacich v Luxembursku; zdôrazňuje, že v dôsledku toho sa na voľné miesta hlási veľmi málo uchádzačov alebo vybraní uchádzači pracovnú ponuku odmietajú z dôvodu vysokých životných nákladov; vyzýva Európsku prokuratúru a Komisiu, aby zaviedli opatrenia, ktorými sa zvýši atraktívnosť Európskej prokuratúry pre vysokokvalifikovaných odborníkov s medzinárodnými skúsenosťami, ako je príspevok na bývanie pre zamestnancov nižších platových tried schválený rozpočtovým orgánom na rok 2025, ako odporúča </w:t>
      </w:r>
      <w:proofErr w:type="spellStart"/>
      <w:r w:rsidRPr="00FC59BD">
        <w:rPr>
          <w:kern w:val="2"/>
          <w14:ligatures w14:val="standardContextual"/>
        </w:rPr>
        <w:t>medziinštitucionálna</w:t>
      </w:r>
      <w:proofErr w:type="spellEnd"/>
      <w:r w:rsidRPr="00FC59BD">
        <w:rPr>
          <w:kern w:val="2"/>
          <w14:ligatures w14:val="standardContextual"/>
        </w:rPr>
        <w:t xml:space="preserve"> skupina na vysokej úrovni; </w:t>
      </w:r>
      <w:r w:rsidRPr="00FC59BD">
        <w:rPr>
          <w:color w:val="000000"/>
          <w:kern w:val="2"/>
          <w14:ligatures w14:val="standardContextual"/>
        </w:rPr>
        <w:t>poznamenáva</w:t>
      </w:r>
      <w:r w:rsidRPr="00FC59BD">
        <w:rPr>
          <w:kern w:val="2"/>
          <w14:ligatures w14:val="standardContextual"/>
        </w:rPr>
        <w:t>, že niektoré krajiny sú medzi zamestnancami nadmerne zastúpené;</w:t>
      </w:r>
    </w:p>
    <w:p w14:paraId="5CEFB9F1"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42.</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xml:space="preserve"> že na konci roka 2023 bola celková geografická a rodová rovnováha pri 238 zamestnancoch primeraná (137 mužov a 101 žien); zastáva názor, že pracovníci, ktorí prijímajú nových zamestnancov, nepretržite monitorujú zastúpenie jednotlivých členských štátov medzi zamestnancami Európskej prokuratúry v snahe zabezpečiť rovnováhu, najmä vzhľadom na nerovnomerné zastúpenie medzi uchádzačmi a na skutočnosť, že spomedzi 26 rôznych národností sú najviac zastúpené Taliansko (34), Rumunsko (33), Grécko (26) a Belgicko (24); nabáda Európsku prokuratúru, aby prijala proaktívne opatrenia na zabezpečenie vyváženého zastúpenia štátnych príslušností medzi svojimi zamestnancami, ktoré by odrážalo rozmanitosť zúčastnených členských štátov; vyjadruje znepokojenie nad zastúpením mužov a žien na pozíciách vyššieho manažmentu (štyria muži k jednej žene) a žiada, aby sa táto otázka zohľadnila v celkovej stratégii rozmanitosti; vyzýva, aby sa uverejňovala výročná správa rozčlenená podľa rodu, štátnej príslušnosti a kategórie zamestnania vrátane konkrétnych opatrení na odstránenie rozdielov pri prijímaní do zamestnania a v kariérnom postupe a na sledovanie a riešenie nerovnováhy;</w:t>
      </w:r>
    </w:p>
    <w:p w14:paraId="73BD4ABC" w14:textId="77777777" w:rsidR="00FC59BD" w:rsidRPr="00FC59BD" w:rsidRDefault="00FC59BD" w:rsidP="00FC59BD">
      <w:pPr>
        <w:spacing w:after="240"/>
        <w:ind w:left="567" w:hanging="567"/>
        <w:rPr>
          <w:color w:val="000000"/>
          <w:kern w:val="2"/>
          <w:szCs w:val="24"/>
          <w14:ligatures w14:val="standardContextual"/>
        </w:rPr>
      </w:pPr>
      <w:r w:rsidRPr="00FC59BD">
        <w:rPr>
          <w:kern w:val="2"/>
          <w14:ligatures w14:val="standardContextual"/>
        </w:rPr>
        <w:t>43.</w:t>
      </w:r>
      <w:r w:rsidRPr="00FC59BD">
        <w:rPr>
          <w:kern w:val="2"/>
          <w14:ligatures w14:val="standardContextual"/>
        </w:rPr>
        <w:tab/>
        <w:t xml:space="preserve">je si </w:t>
      </w:r>
      <w:r w:rsidRPr="00FC59BD">
        <w:rPr>
          <w:color w:val="000000"/>
          <w:kern w:val="2"/>
          <w14:ligatures w14:val="standardContextual"/>
        </w:rPr>
        <w:t>vedomý</w:t>
      </w:r>
      <w:r w:rsidRPr="00FC59BD">
        <w:rPr>
          <w:kern w:val="2"/>
          <w14:ligatures w14:val="standardContextual"/>
        </w:rPr>
        <w:t xml:space="preserve"> toho, že rozhodnutie uplatňovať stratégiu pre rozmanitosť a začlenenie bolo prijaté v roku 2023 a že stratégia sa má v priebehu roka 2024 ďalej rozpracovať; </w:t>
      </w:r>
      <w:r w:rsidRPr="00FC59BD">
        <w:rPr>
          <w:color w:val="000000"/>
          <w:kern w:val="2"/>
          <w14:ligatures w14:val="standardContextual"/>
        </w:rPr>
        <w:t xml:space="preserve">nabáda Európsku prokuratúru, aby pokročila v prijímaní stratégie a pravidelne robila prieskumy v radoch zamestnancov a na tento účel podporovala partnerské hodnotenie za účasti ďalších zložiek štruktúry Únie na boj proti podvodom, ako sú </w:t>
      </w:r>
      <w:proofErr w:type="spellStart"/>
      <w:r w:rsidRPr="00FC59BD">
        <w:rPr>
          <w:color w:val="000000"/>
          <w:kern w:val="2"/>
          <w14:ligatures w14:val="standardContextual"/>
        </w:rPr>
        <w:t>Eurojust</w:t>
      </w:r>
      <w:proofErr w:type="spellEnd"/>
      <w:r w:rsidRPr="00FC59BD">
        <w:rPr>
          <w:color w:val="000000"/>
          <w:kern w:val="2"/>
          <w14:ligatures w14:val="standardContextual"/>
        </w:rPr>
        <w:t>, OLAF a </w:t>
      </w:r>
      <w:proofErr w:type="spellStart"/>
      <w:r w:rsidRPr="00FC59BD">
        <w:rPr>
          <w:color w:val="000000"/>
          <w:kern w:val="2"/>
          <w14:ligatures w14:val="standardContextual"/>
        </w:rPr>
        <w:t>Europol</w:t>
      </w:r>
      <w:proofErr w:type="spellEnd"/>
      <w:r w:rsidRPr="00FC59BD">
        <w:rPr>
          <w:color w:val="000000"/>
          <w:kern w:val="2"/>
          <w14:ligatures w14:val="standardContextual"/>
        </w:rPr>
        <w:t>; chápe, že politika Európskej prokuratúry v oblasti rozmanitosti a začlenenia bude vychádzať z Charty siete agentúr EÚ pre rozmanitosť a začlenenie, ktorá bola prijatá v marci 2023, a domnieva sa, že všeobecne podporí rozmanitosť s cieľom zvýšiť atraktívnosť pracoviska pre uchádzačov s osobitnými potrebami; opakuje svoju žiadosť adresovanú Európskej prokuratúre, aby vzhľadom na zvýšenie počtu zamestnancov počas roka 2023 bezodkladne prijala svoju chartu pre rozmanitosť a začlenenie;</w:t>
      </w:r>
    </w:p>
    <w:p w14:paraId="3FE8F5A0" w14:textId="77777777" w:rsidR="00FC59BD" w:rsidRPr="00FC59BD" w:rsidRDefault="00FC59BD" w:rsidP="00FC59BD">
      <w:pPr>
        <w:spacing w:after="240"/>
        <w:ind w:left="567" w:hanging="567"/>
        <w:rPr>
          <w:bCs/>
          <w:kern w:val="2"/>
          <w:szCs w:val="24"/>
          <w14:ligatures w14:val="standardContextual"/>
        </w:rPr>
      </w:pPr>
      <w:r w:rsidRPr="00FC59BD">
        <w:rPr>
          <w:color w:val="000000"/>
          <w:kern w:val="2"/>
          <w14:ligatures w14:val="standardContextual"/>
        </w:rPr>
        <w:t>44.</w:t>
      </w:r>
      <w:r w:rsidRPr="00FC59BD">
        <w:rPr>
          <w:color w:val="000000"/>
          <w:kern w:val="2"/>
          <w14:ligatures w14:val="standardContextual"/>
        </w:rPr>
        <w:tab/>
        <w:t>poznamenáva,</w:t>
      </w:r>
      <w:r w:rsidRPr="00FC59BD">
        <w:rPr>
          <w:kern w:val="2"/>
          <w14:ligatures w14:val="standardContextual"/>
        </w:rPr>
        <w:t xml:space="preserve"> že do konca roka 2023 bolo do vyšetrovacích činností nasadených 341 z 396 zamestnancov (v porovnaní s 275 z 332 v roku 2022) vrátane dočasných a zmluvných zamestnancov, vyslaných národných expertov a európskych delegovaných prokurátorov (86,10 % v porovnaní s 82,83 % v roku 2022 a 86 % v roku 2021), zatiaľ čo 55 zamestnancov zastávalo funkcie administratívnej podpory a kontroly (oproti 57 v roku 2022);</w:t>
      </w:r>
    </w:p>
    <w:p w14:paraId="6723C12E"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lastRenderedPageBreak/>
        <w:t>45.</w:t>
      </w:r>
      <w:r w:rsidRPr="00FC59BD">
        <w:rPr>
          <w:kern w:val="2"/>
          <w14:ligatures w14:val="standardContextual"/>
        </w:rPr>
        <w:tab/>
        <w:t>víta vymenovanie ôsmich nových európskych prokurátorov a 35 nových európskych delegovaných prokurátorov do Európskej prokuratúry v roku 2023; opakovane zdôrazňuje, že Európska prokuratúra môže plniť svoju úlohu len vtedy, ak má úplnú súdnu nezávislosť, ktorá vyplýva z objektívneho postupu menovania založeného na zásluhách; nabáda členské štáty, aby v tejto súvislosti prispievali k úplnej nezávislosti Európskej prokuratúry;</w:t>
      </w:r>
    </w:p>
    <w:p w14:paraId="61B6FB8B"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46.</w:t>
      </w:r>
      <w:r w:rsidRPr="00FC59BD">
        <w:rPr>
          <w:kern w:val="2"/>
          <w14:ligatures w14:val="standardContextual"/>
        </w:rPr>
        <w:tab/>
      </w:r>
      <w:r w:rsidRPr="00FC59BD">
        <w:rPr>
          <w:color w:val="000000"/>
          <w:kern w:val="2"/>
          <w14:ligatures w14:val="standardContextual"/>
        </w:rPr>
        <w:t>vyjadruje názor</w:t>
      </w:r>
      <w:r w:rsidRPr="00FC59BD">
        <w:rPr>
          <w:kern w:val="2"/>
          <w14:ligatures w14:val="standardContextual"/>
        </w:rPr>
        <w:t>, že vymenovanie európskych delegovaných prokurátorov je spoločnou zodpovednosťou Európskej prokuratúry a členských štátov; zdôrazňuje, že postup vymenovania musí byť vždy v súlade s článkom 17 nariadenia (EÚ) 2017/1939 a so zásadou vnútroštátnej procesnej autonómie;</w:t>
      </w:r>
    </w:p>
    <w:p w14:paraId="43DCEAA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47.</w:t>
      </w:r>
      <w:r w:rsidRPr="00FC59BD">
        <w:rPr>
          <w:kern w:val="2"/>
          <w14:ligatures w14:val="standardContextual"/>
        </w:rPr>
        <w:tab/>
      </w:r>
      <w:r w:rsidRPr="00FC59BD">
        <w:rPr>
          <w:color w:val="000000"/>
          <w:kern w:val="2"/>
          <w14:ligatures w14:val="standardContextual"/>
        </w:rPr>
        <w:t>zdôrazňuje,</w:t>
      </w:r>
      <w:r w:rsidRPr="00FC59BD">
        <w:rPr>
          <w:kern w:val="2"/>
          <w14:ligatures w14:val="standardContextual"/>
        </w:rPr>
        <w:t xml:space="preserve"> že európski delegovaní prokurátori musia mať väčšie príležitosti na kariérny rast, aby bolo možné prilákať a udržať si skúsených odborníkov; vyzýva na zlepšenie podmienok zamestnávania vrátane jasného kariérneho postupu a štandardizácie systémov sociálneho zabezpečenia a dôchodkového zabezpečenia vo všetkých zúčastnených členských štátoch, aby rozdiely v odmeňovaní v jednotlivých členských štátoch neodrádzali kvalifikovaných kandidátov od uchádzania sa;</w:t>
      </w:r>
    </w:p>
    <w:p w14:paraId="0D23A6E6"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48.</w:t>
      </w:r>
      <w:r w:rsidRPr="00FC59BD">
        <w:rPr>
          <w:kern w:val="2"/>
          <w14:ligatures w14:val="standardContextual"/>
        </w:rPr>
        <w:tab/>
      </w:r>
      <w:r w:rsidRPr="00FC59BD">
        <w:rPr>
          <w:color w:val="000000"/>
          <w:kern w:val="2"/>
          <w14:ligatures w14:val="standardContextual"/>
        </w:rPr>
        <w:t>oceňuje,</w:t>
      </w:r>
      <w:r w:rsidRPr="00FC59BD">
        <w:rPr>
          <w:kern w:val="2"/>
          <w14:ligatures w14:val="standardContextual"/>
        </w:rPr>
        <w:t xml:space="preserve"> že počet európskych delegovaných prokurátorov počas roka 2023 a na začiatku roka 2024 dosiahol pôvodne stanovenú úroveň 140; víta rozhodnutie zosúladiť odmeny európskych delegovaných prokurátorov s odmenami úradníkov EÚ, ktorí majú rovnakú úroveň zodpovednosti, namiesto 80 % platu úradníkov EÚ, ako bolo stanovené pôvodne; zastáva názor, že toto rozhodnutie zvyšuje príťažlivosť funkcie európskeho delegovaného prokurátora a umožní prijať skúsenejších národných prokurátorov, ktorých vnútroštátny plat bol vyšší ako odmena ponúkaná Európskou prokuratúrou, a dovtedy zníži administratívne zaťaženie Európskej prokuratúry pri plnení článku 16 ods. 1 podmienok zamestnávania európskych delegovaných prokurátorov, v ktorom je stanovené, že ak je celková čistá odmena nižšia ako vnútroštátny plat, musí sa zvýšiť na úroveň zodpovedajúcu vnútroštátnemu platu;</w:t>
      </w:r>
    </w:p>
    <w:p w14:paraId="2BC673F0"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49.</w:t>
      </w:r>
      <w:r w:rsidRPr="00FC59BD">
        <w:rPr>
          <w:kern w:val="2"/>
          <w14:ligatures w14:val="standardContextual"/>
        </w:rPr>
        <w:tab/>
      </w:r>
      <w:r w:rsidRPr="00FC59BD">
        <w:rPr>
          <w:color w:val="000000"/>
          <w:kern w:val="2"/>
          <w14:ligatures w14:val="standardContextual"/>
        </w:rPr>
        <w:t>zdôrazňuje,</w:t>
      </w:r>
      <w:r w:rsidRPr="00FC59BD">
        <w:rPr>
          <w:kern w:val="2"/>
          <w14:ligatures w14:val="standardContextual"/>
        </w:rPr>
        <w:t xml:space="preserve"> že proces výberu európskych prokurátorov a európskych delegovaných prokurátorov neriadi sama Európska prokuratúra, pretože európskych prokurátorov nominujú členské štáty a potom ich vymenúva Európska rada, zatiaľ čo európskych delegovaných prokurátorov nominujú členské štáty a vymenúva ich kolégium; zastáva názor, že počet kvalifikovaných uchádzačov o pozície európskych delegovaných prokurátorov by sa mohol zvýšiť a proces vymenovania by mohol byť selektívnejší, ak by sa prijala jasná kariérna perspektíva a priaznivejšia administratívna disciplína v oblasti sociálneho zabezpečenia a zdravotného poistenia; opakuje, že vytvorenie osobitného štatútu európskych delegovaných prokurátorov by bolo v súlade s povahou ich súdnej funkcie a prispelo k väčšej atraktívnosti týchto pracovných miest; vyzýva Komisiu, aby v prípade zmeny nariadenia (EÚ) 2017/1939 navrhla vhodné riešenia;</w:t>
      </w:r>
    </w:p>
    <w:p w14:paraId="775A825F"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50.</w:t>
      </w:r>
      <w:r w:rsidRPr="00FC59BD">
        <w:rPr>
          <w:kern w:val="2"/>
          <w14:ligatures w14:val="standardContextual"/>
        </w:rPr>
        <w:tab/>
      </w:r>
      <w:r w:rsidRPr="00FC59BD">
        <w:rPr>
          <w:color w:val="000000"/>
          <w:kern w:val="2"/>
          <w14:ligatures w14:val="standardContextual"/>
        </w:rPr>
        <w:t>berie na vedomie,</w:t>
      </w:r>
      <w:r w:rsidRPr="00FC59BD">
        <w:rPr>
          <w:kern w:val="2"/>
          <w14:ligatures w14:val="standardContextual"/>
        </w:rPr>
        <w:t xml:space="preserve"> že každý členský štát je (podľa článku 96 ods. 6 nariadenia (EÚ) 2017/1939) povinný zaviesť opatrenia legislatívnej alebo administratívnej povahy, aby zostali zachované nároky a krytie európskych delegovaných prokurátorov vrátane akýchkoľvek príspevkov do príslušného vnútroštátneho systému sociálneho zabezpečenia, dôchodkov a poistného krytia, avšak túto povinnosť ešte nesplnil celý rad členských štátov; vyzýva preto Komisiu, aby pri revízii nariadenia (EÚ) 2017/1939 navrhla účinné riešenie medzery v sociálnom zabezpečení a zdravotnom poistení európskych delegovaných prokurátorov;</w:t>
      </w:r>
    </w:p>
    <w:p w14:paraId="66485B97"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lastRenderedPageBreak/>
        <w:t>51.</w:t>
      </w:r>
      <w:r w:rsidRPr="00FC59BD">
        <w:rPr>
          <w:kern w:val="2"/>
          <w14:ligatures w14:val="standardContextual"/>
        </w:rPr>
        <w:tab/>
        <w:t xml:space="preserve">konštatuje, že do roku 2023 bolo </w:t>
      </w:r>
      <w:r w:rsidRPr="00FC59BD">
        <w:rPr>
          <w:color w:val="000000"/>
          <w:kern w:val="2"/>
          <w14:ligatures w14:val="standardContextual"/>
        </w:rPr>
        <w:t>Súdnemu</w:t>
      </w:r>
      <w:r w:rsidRPr="00FC59BD">
        <w:rPr>
          <w:kern w:val="2"/>
          <w14:ligatures w14:val="standardContextual"/>
        </w:rPr>
        <w:t xml:space="preserve"> dvoru predložených päť sťažností týkajúcich sa vymenovania európskych delegovaných prokurátorov, z ktorých tri boli uzavreté (buď zamietnuté, alebo stiahnuté) a jedna zamietnutá, ale v súčasnosti konanie o jednom odvolaní na Súdnom dvore ešte prebieha, a že posledná žaloba o neplatnosť rozhodnutia kolégia, ktorým bola zamietnutá nominácia osoby navrhnutej jedným členským štátom na pozíciu európskeho delegovaného prokurátora, bola prijatá v júli 2024 z dôvodu nedostatočného odôvodnenia rozhodnutia kolégia a teraz prebieha analýza spôsobu, akým sa má neplatnosť vykonať; konštatuje, že Všeobecnému súdu neboli predložené žiadne nové sťažnosti týkajúce sa vymenovania do Európskej prokuratúry;</w:t>
      </w:r>
    </w:p>
    <w:p w14:paraId="00EE8B0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52.</w:t>
      </w:r>
      <w:r w:rsidRPr="00FC59BD">
        <w:rPr>
          <w:kern w:val="2"/>
          <w14:ligatures w14:val="standardContextual"/>
        </w:rPr>
        <w:tab/>
        <w:t xml:space="preserve">konštatuje, že spolu s pilotnou analýzou vzdelávacích potrieb bola v roku 2023 spustená stratégia Európskej prokuratúry v oblasti vzdelávania a rozvoja s cieľom </w:t>
      </w:r>
      <w:r w:rsidRPr="00FC59BD">
        <w:rPr>
          <w:color w:val="000000"/>
          <w:kern w:val="2"/>
          <w14:ligatures w14:val="standardContextual"/>
        </w:rPr>
        <w:t>podporovať</w:t>
      </w:r>
      <w:r w:rsidRPr="00FC59BD">
        <w:rPr>
          <w:kern w:val="2"/>
          <w14:ligatures w14:val="standardContextual"/>
        </w:rPr>
        <w:t xml:space="preserve"> kultúru celoživotného vzdelávania a uľahčovať priebežné posudzovanie a prispôsobovanie vyvíjajúcich sa potrieb zamestnancov v oblasti vzdelávania;</w:t>
      </w:r>
    </w:p>
    <w:p w14:paraId="5A590102"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53.</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xml:space="preserve"> že pokiaľ ide o opatrenia a politiky zavedené na ochranu fyzickej a duševnej pohody zamestnancov, v roku 2023 boli všetky opatrenia predmetom revízie a konzultácií so všetkými zainteresovanými stranami (výbor zamestnancov, zamestnanci všeobecne a vedenie) s cieľom nájsť rovnováhu medzi očakávaniami a realitou v Európskej prokuratúre ako rastúcej a rýchlo sa meniacej organizácie; konštatuje, že v Európskej prokuratúre sa využíva pružný pracovný čas a štandardný systém práce z domu, v rámci ktorého platí ako základ práca z domu jeden deň v týždni a najviac tri dni v týždni a ktorý umožňuje rozšírenie z vážnych zdravotných alebo rodinných dôvodov; poznamenáva, že súčasný rámec stanovuje aj 10 dní práce z iného miesta, ako je miesto výkonu práce, v danom roku, ktoré sa však nesmú využívať v spojení s dovolenkou; domnieva sa, že súčasné pracovné podmienky Európskej prokuratúry umožňujú zamestnancom využívať digitálne riešenia tým, že im poskytujú primeranú mieru autonómie pri organizovaní práce, uľahčujú zosúladenie súkromného a pracovného života a podporujú tímového ducha; víta prebiehajúcu tvorbu politiky duševnej pohody, ktorej súčasťou bude oddiel venovaný duševnej pohode zamestnancov pracujúcich na diaľku;</w:t>
      </w:r>
    </w:p>
    <w:p w14:paraId="238885AB"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54.</w:t>
      </w:r>
      <w:r w:rsidRPr="00FC59BD">
        <w:rPr>
          <w:kern w:val="2"/>
          <w14:ligatures w14:val="standardContextual"/>
        </w:rPr>
        <w:tab/>
        <w:t xml:space="preserve">zdôrazňuje, že v súlade s návrhom </w:t>
      </w:r>
      <w:r w:rsidRPr="00FC59BD">
        <w:rPr>
          <w:color w:val="000000"/>
          <w:kern w:val="2"/>
          <w14:ligatures w14:val="standardContextual"/>
        </w:rPr>
        <w:t xml:space="preserve">Európskeho </w:t>
      </w:r>
      <w:r w:rsidRPr="00FC59BD">
        <w:rPr>
          <w:kern w:val="2"/>
          <w14:ligatures w14:val="standardContextual"/>
        </w:rPr>
        <w:t xml:space="preserve">parlamentu sa v druhom polroku 2023 uskutočnila otvorená </w:t>
      </w:r>
      <w:r w:rsidRPr="00FC59BD">
        <w:rPr>
          <w:color w:val="000000"/>
          <w:kern w:val="2"/>
          <w14:ligatures w14:val="standardContextual"/>
        </w:rPr>
        <w:t>konzultácia</w:t>
      </w:r>
      <w:r w:rsidRPr="00FC59BD">
        <w:rPr>
          <w:kern w:val="2"/>
          <w14:ligatures w14:val="standardContextual"/>
        </w:rPr>
        <w:t xml:space="preserve"> o pružných formách organizácie práce a že rozhodnutia prijaté v rokoch 2021 a 2022 sa následne zrevidovali; konštatuje, že so zreteľom na príspevky všetkých zainteresovaných strán administratívny riaditeľ v decembri 2023 ustanovenia zaktualizoval; konštatuje, že medzi zmenami bolo rozšírenie pojmu „miesto práce na diaľku“ (od 2 do 2,5 hod. času/vzdialenosť </w:t>
      </w:r>
      <w:r w:rsidRPr="00FC59BD">
        <w:rPr>
          <w:color w:val="000000"/>
          <w:kern w:val="2"/>
          <w14:ligatures w14:val="standardContextual"/>
        </w:rPr>
        <w:t xml:space="preserve">od ústredia </w:t>
      </w:r>
      <w:r w:rsidRPr="00FC59BD">
        <w:rPr>
          <w:kern w:val="2"/>
          <w14:ligatures w14:val="standardContextual"/>
        </w:rPr>
        <w:t>Európskej prokuratúry</w:t>
      </w:r>
      <w:r w:rsidRPr="00FC59BD">
        <w:rPr>
          <w:color w:val="000000"/>
          <w:kern w:val="2"/>
          <w14:ligatures w14:val="standardContextual"/>
        </w:rPr>
        <w:t xml:space="preserve">) a zavedenie hybridnej formy práce v prípade dočasných agentúrnych zamestnancov; </w:t>
      </w:r>
      <w:r w:rsidRPr="00FC59BD">
        <w:rPr>
          <w:kern w:val="2"/>
          <w14:ligatures w14:val="standardContextual"/>
        </w:rPr>
        <w:t>konštatuje, že kolégium neprijalo žiadne ďalšie rozhodnutie o zmenách vzhľadom na to, že rozhodnutia administratívneho riaditeľa už zahŕňali závery konzultácií so zamestnancami;</w:t>
      </w:r>
    </w:p>
    <w:p w14:paraId="477CAB31" w14:textId="77777777" w:rsidR="00FC59BD" w:rsidRPr="00FC59BD" w:rsidRDefault="00FC59BD" w:rsidP="00FC59BD">
      <w:pPr>
        <w:spacing w:after="240"/>
        <w:ind w:left="567" w:hanging="567"/>
        <w:rPr>
          <w:kern w:val="2"/>
          <w:szCs w:val="24"/>
          <w14:ligatures w14:val="standardContextual"/>
        </w:rPr>
      </w:pPr>
      <w:bookmarkStart w:id="8" w:name="_heading=h.3znysh7"/>
      <w:bookmarkEnd w:id="8"/>
      <w:r w:rsidRPr="00FC59BD">
        <w:rPr>
          <w:kern w:val="2"/>
          <w14:ligatures w14:val="standardContextual"/>
        </w:rPr>
        <w:t>55.</w:t>
      </w:r>
      <w:r w:rsidRPr="00FC59BD">
        <w:rPr>
          <w:kern w:val="2"/>
          <w14:ligatures w14:val="standardContextual"/>
        </w:rPr>
        <w:tab/>
        <w:t xml:space="preserve">konštatuje, že v nadväznosti na výzvy </w:t>
      </w:r>
      <w:r w:rsidRPr="00FC59BD">
        <w:rPr>
          <w:color w:val="000000"/>
          <w:kern w:val="2"/>
          <w14:ligatures w14:val="standardContextual"/>
        </w:rPr>
        <w:t xml:space="preserve">Európskeho </w:t>
      </w:r>
      <w:r w:rsidRPr="00FC59BD">
        <w:rPr>
          <w:kern w:val="2"/>
          <w14:ligatures w14:val="standardContextual"/>
        </w:rPr>
        <w:t xml:space="preserve">parlamentu sa na prvý štvrťrok 2025 </w:t>
      </w:r>
      <w:r w:rsidRPr="00FC59BD">
        <w:rPr>
          <w:color w:val="000000"/>
          <w:kern w:val="2"/>
          <w14:ligatures w14:val="standardContextual"/>
        </w:rPr>
        <w:t>plánuje</w:t>
      </w:r>
      <w:r w:rsidRPr="00FC59BD">
        <w:rPr>
          <w:kern w:val="2"/>
          <w14:ligatures w14:val="standardContextual"/>
        </w:rPr>
        <w:t xml:space="preserve"> prieskum spokojnosti (zapojenia) zamestnancov; berie na vedomie, že výbor zamestnancov Európskej prokuratúry uskutočnil tiež prieskum priorít zamestnancov, a nabáda na intenzívnejší dialóg s cieľom zlepšiť podmienky pracovného a súkromného života;</w:t>
      </w:r>
    </w:p>
    <w:p w14:paraId="14C047E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56.</w:t>
      </w:r>
      <w:r w:rsidRPr="00FC59BD">
        <w:rPr>
          <w:kern w:val="2"/>
          <w14:ligatures w14:val="standardContextual"/>
        </w:rPr>
        <w:tab/>
        <w:t xml:space="preserve">víta, že nebol hlásený žiadny prípad vyhorenia ani obťažovania a že počet prípadov dlhodobej práceneschopnosti je veľmi nízky; víta, že Európska prokuratúra si je vedomá </w:t>
      </w:r>
      <w:r w:rsidRPr="00FC59BD">
        <w:rPr>
          <w:kern w:val="2"/>
          <w14:ligatures w14:val="standardContextual"/>
        </w:rPr>
        <w:lastRenderedPageBreak/>
        <w:t>svojej povinnosti zabezpečovať podporu a ochranu zdravia a pohody všetkých zamestnancov, ako aj monitorovacie postupy umožňujúce získať prehľad o nevyčerpanej ročnej dovolenke, prevodoch dovolenkových dní za kalendárny rok a absenciách, počte zamestnancov s dlhodobou pracovnou neschopnosťou a dĺžke absencií; pripomína, že je dôležité zaviesť jasný a štruktúrovaný postup oznamovania prípadov obťažovania zo strany hlavného európskeho prokurátora a európskych prokurátorov a sprístupniť ho všetkým zamestnancom;</w:t>
      </w:r>
    </w:p>
    <w:p w14:paraId="2F922462"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57.</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xml:space="preserve"> že ústredie Európskej prokuratúry uskutočnilo na začiatku roka 2023 pilotný projekt stáží a na útvare právnej služby Európskej prokuratúry boli dvaja stážisti, po ktorých prišli v marci a septembri 2023 ďalší dvaja na platenú päťmesačnú prezenčnú stáž; konštatuje, že na základe pozitívnych záverov tohto pilotného projektu bola vypracovaná a v roku 2024 schválená politika stáží a následne prišla v tom istom roku prvá várka stážistov; víta iniciatívu, ktorej cieľom je nadviazať skúšobne vzťahy s miestnou univerzitou, a pokiaľ sa osvedčí, požaduje jej rozšírene na ďalšie univerzity v EÚ, pretože by mohla priniesť zaujímavé možnosti ďalšieho rozvoja programov mladých talentov v oblasti rozmanitosti; zdôrazňuje, že vysoké životné náklady v Luxembursku predstavujú značnú prekážku pre potenciálnych stážistov; podčiarkuje, že stáže by mali byť platené v súlade s uznesením Európskeho parlamentu zo 14. júna 2023 s odporúčaniami Komisie o kvalitných stážach v Únii (2020/2005(INL)), v ktorom sa požaduje, aby všetky stáže v Únii boli platené;</w:t>
      </w:r>
    </w:p>
    <w:p w14:paraId="148A8C6F" w14:textId="77777777" w:rsidR="00FC59BD" w:rsidRPr="00FC59BD" w:rsidRDefault="00FC59BD" w:rsidP="00FC59BD">
      <w:pPr>
        <w:spacing w:after="240"/>
        <w:ind w:left="567" w:hanging="567"/>
        <w:rPr>
          <w:bCs/>
          <w:kern w:val="2"/>
          <w:szCs w:val="24"/>
          <w14:ligatures w14:val="standardContextual"/>
        </w:rPr>
      </w:pPr>
      <w:r w:rsidRPr="00FC59BD">
        <w:rPr>
          <w:kern w:val="2"/>
          <w14:ligatures w14:val="standardContextual"/>
        </w:rPr>
        <w:t>58.</w:t>
      </w:r>
      <w:r w:rsidRPr="00FC59BD">
        <w:rPr>
          <w:kern w:val="2"/>
          <w14:ligatures w14:val="standardContextual"/>
        </w:rPr>
        <w:tab/>
        <w:t>víta intenzívne činnosti výboru zamestnancov, konečné prijatie jeho vnútorného rokovacieho poriadku, usporiadanie prvého dňa otvorených dverí výboru zamestnancov, spustenie prvého prieskumu medzi zamestnancami celej Európskej prokuratúry, účasť zástupcov výboru zamestnancov na výberových konaniach, spätnú revíziu všetkých všeobecných vykonávacích ustanovení, ktoré prijala Európska prokuratúra pred zriadením výboru zamestnancov, predloženie návrhov týkajúcich sa vnútornej reorganizácie, pracovného času a hybridnej formy práce, vykonávacích pravidiel a zlepšenia pracovných podmienok;</w:t>
      </w:r>
    </w:p>
    <w:p w14:paraId="223A4715"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59.</w:t>
      </w:r>
      <w:r w:rsidRPr="00FC59BD">
        <w:rPr>
          <w:kern w:val="2"/>
          <w14:ligatures w14:val="standardContextual"/>
        </w:rPr>
        <w:tab/>
        <w:t xml:space="preserve">berie na vedomie, že Európska prokuratúra pracuje na dokončení plánu </w:t>
      </w:r>
      <w:r w:rsidRPr="00FC59BD">
        <w:rPr>
          <w:color w:val="000000"/>
          <w:kern w:val="2"/>
          <w14:ligatures w14:val="standardContextual"/>
        </w:rPr>
        <w:t>kontinuity</w:t>
      </w:r>
      <w:r w:rsidRPr="00FC59BD">
        <w:rPr>
          <w:kern w:val="2"/>
          <w14:ligatures w14:val="standardContextual"/>
        </w:rPr>
        <w:t xml:space="preserve"> činností, ktorý je súčasťou noriem Únie v oblasti riadenia správy, a naliehavo vyzýva Európsku prokuratúru, aby ho bezodkladne prijala;</w:t>
      </w:r>
    </w:p>
    <w:p w14:paraId="30C5B26B" w14:textId="77777777" w:rsidR="00FC59BD" w:rsidRPr="00FC59BD" w:rsidRDefault="00FC59BD" w:rsidP="00FC59BD">
      <w:pPr>
        <w:spacing w:after="240"/>
        <w:ind w:left="567" w:hanging="567"/>
        <w:rPr>
          <w:b/>
          <w:i/>
          <w:kern w:val="2"/>
          <w:szCs w:val="24"/>
          <w14:ligatures w14:val="standardContextual"/>
        </w:rPr>
      </w:pPr>
      <w:r w:rsidRPr="00FC59BD">
        <w:rPr>
          <w:b/>
          <w:i/>
          <w:kern w:val="2"/>
          <w14:ligatures w14:val="standardContextual"/>
        </w:rPr>
        <w:t>Etický rámec a transparentnosť</w:t>
      </w:r>
    </w:p>
    <w:p w14:paraId="2B5A78C8"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60.</w:t>
      </w:r>
      <w:r w:rsidRPr="00FC59BD">
        <w:rPr>
          <w:kern w:val="2"/>
          <w14:ligatures w14:val="standardContextual"/>
        </w:rPr>
        <w:tab/>
        <w:t xml:space="preserve">berie na vedomie, že etický rámec Európskej prokuratúry sa postupne tvorí; konštatuje, že </w:t>
      </w:r>
      <w:r w:rsidRPr="00FC59BD">
        <w:rPr>
          <w:color w:val="000000"/>
          <w:kern w:val="2"/>
          <w14:ligatures w14:val="standardContextual"/>
        </w:rPr>
        <w:t>základné</w:t>
      </w:r>
      <w:r w:rsidRPr="00FC59BD">
        <w:rPr>
          <w:kern w:val="2"/>
          <w14:ligatures w14:val="standardContextual"/>
        </w:rPr>
        <w:t xml:space="preserve"> hodnoty tohto etického rámca sú jasne stanovené v kódexoch správania, v ktorých sa uvádzajú normy správania očakávané od zamestnancov na všetkých úrovniach; konštatuje tiež, že etický rámec závisí od kódexu dobrého úradného postupu Európskej prokuratúry, jej stratégie boja proti podvodom a vzdelávacieho programu v oblasti etiky, ktorý zahŕňa obťažovanie, oznamovanie nekalých praktík, predchádzanie konfliktom záujmov a ďalšie etické otázky; vyjadruje poľutovanie nad tým, že zamestnanci Európskej prokuratúry nie sú povinní zúčastňovať sa na tomto vzdelávacom programe, ktorý by zabezpečil jednotné chápanie a uplatňovanie kódexov správania Európskej prokuratúry; vyzýva Európsku prokuratúru, aby toto napravila;</w:t>
      </w:r>
    </w:p>
    <w:p w14:paraId="48D85631" w14:textId="77777777" w:rsidR="00FC59BD" w:rsidRPr="00FC59BD" w:rsidRDefault="00FC59BD" w:rsidP="00FC59BD">
      <w:pPr>
        <w:spacing w:after="240"/>
        <w:ind w:left="567" w:hanging="567"/>
        <w:rPr>
          <w:bCs/>
          <w:kern w:val="2"/>
          <w14:ligatures w14:val="standardContextual"/>
        </w:rPr>
      </w:pPr>
      <w:r w:rsidRPr="00FC59BD">
        <w:rPr>
          <w:kern w:val="2"/>
          <w14:ligatures w14:val="standardContextual"/>
        </w:rPr>
        <w:t>61.</w:t>
      </w:r>
      <w:r w:rsidRPr="00FC59BD">
        <w:rPr>
          <w:kern w:val="2"/>
          <w14:ligatures w14:val="standardContextual"/>
        </w:rPr>
        <w:tab/>
        <w:t xml:space="preserve">konštatuje, že Európska prokuratúra sa venuje opatreniam na zvyšovanie informovanosti zamestnancov o etickom rámci a súvisiacich otázkach; nabáda Európsku prokuratúru, aby zaviedla povinnú účasť európskych prokurátorov a európskych </w:t>
      </w:r>
      <w:r w:rsidRPr="00FC59BD">
        <w:rPr>
          <w:kern w:val="2"/>
          <w14:ligatures w14:val="standardContextual"/>
        </w:rPr>
        <w:lastRenderedPageBreak/>
        <w:t>delegovaných prokurátorov na takýchto vzdelávacích opatreniach pri nástupe do funkcie; domnieva sa, že treba zintenzívniť dialóg v rámci prokuratúry;</w:t>
      </w:r>
    </w:p>
    <w:p w14:paraId="2E6F5EDB"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62.</w:t>
      </w:r>
      <w:r w:rsidRPr="00FC59BD">
        <w:rPr>
          <w:kern w:val="2"/>
          <w14:ligatures w14:val="standardContextual"/>
        </w:rPr>
        <w:tab/>
        <w:t>konštatuje, že v roku 2023 neboli zistené žiadne existujúce prípady konfliktu záujmov; je si vedomý toho, že boli vytvorené osobitné formuláre vyhlásenia o konflikte záujmov a pre členov kolégia, európskych delegovaných prokurátorov, zamestnancov operatívnych oddelení a iné citlivé pozície platia pravidlá týkajúce sa konfliktu záujmov; víta prebiehajúcu tvorbu štruktúrovanej politiky v oblasti konfliktu záujmov a vyzýva Európsku prokuratúru, aby ukončila jej prijímanie; vyzýva na zavedenie povinných každoročných doškoľovacích kurzov v oblasti etiky a integrity pre všetkých zamestnancov Európskej prokuratúry;</w:t>
      </w:r>
    </w:p>
    <w:p w14:paraId="0196D539"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63.</w:t>
      </w:r>
      <w:r w:rsidRPr="00FC59BD">
        <w:rPr>
          <w:kern w:val="2"/>
          <w14:ligatures w14:val="standardContextual"/>
        </w:rPr>
        <w:tab/>
        <w:t>naliehavo vyzýva Európsku prokuratúru, aby posilnila svoj vnútorný rámec bezúhonnosti tým, že zavedie povinnosť zverejňovať všetky finančné záujmy a vonkajšie činnosti vyšších úradníkov vrátane členov kolégia; požaduje pravidelný audit týchto zverejnení s cieľom identifikovať a zmierňovať potenciálne riziká neprimeraného vplyvu;</w:t>
      </w:r>
    </w:p>
    <w:p w14:paraId="127EA122"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64.</w:t>
      </w:r>
      <w:r w:rsidRPr="00FC59BD">
        <w:rPr>
          <w:kern w:val="2"/>
          <w14:ligatures w14:val="standardContextual"/>
        </w:rPr>
        <w:tab/>
      </w:r>
      <w:r w:rsidRPr="00FC59BD">
        <w:rPr>
          <w:color w:val="000000"/>
          <w:kern w:val="2"/>
          <w14:ligatures w14:val="standardContextual"/>
        </w:rPr>
        <w:t>berie na vedomie,</w:t>
      </w:r>
      <w:r w:rsidRPr="00FC59BD">
        <w:rPr>
          <w:kern w:val="2"/>
          <w14:ligatures w14:val="standardContextual"/>
        </w:rPr>
        <w:t xml:space="preserve"> že Európska prokuratúra sa snaží predchádzať javu otáčavých dverí najmä tým, že podporuje dôsledné uplatňovanie ustanovení služobného poriadku, ktoré sú uvedené vo všetkých zmluvách Európskej prokuratúry vrátane formulárov v prípade ad hoc odchodu, v ktorých sú uvedené povinnosti </w:t>
      </w:r>
      <w:r w:rsidRPr="00FC59BD">
        <w:rPr>
          <w:color w:val="000000"/>
          <w:kern w:val="2"/>
          <w14:ligatures w14:val="standardContextual"/>
        </w:rPr>
        <w:t xml:space="preserve">platné po ukončení pracovného pomeru; v tejto súvislosti víta, že v roku 2023 boli prijaté </w:t>
      </w:r>
      <w:r w:rsidRPr="00FC59BD">
        <w:rPr>
          <w:kern w:val="2"/>
          <w14:ligatures w14:val="standardContextual"/>
        </w:rPr>
        <w:t>usmernenia pre zamestnancov Európskej prokuratúry týkajúce sa vonkajších činností a úloh a vzťahujúce sa na činnosti, ktoré sa nepovažujú za voľnočasové aktivity mimo pôsobnosti Európskej prokuratúry;</w:t>
      </w:r>
    </w:p>
    <w:p w14:paraId="1EF85C63"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65.</w:t>
      </w:r>
      <w:r w:rsidRPr="00FC59BD">
        <w:rPr>
          <w:kern w:val="2"/>
          <w14:ligatures w14:val="standardContextual"/>
        </w:rPr>
        <w:tab/>
        <w:t xml:space="preserve">vyzýva, </w:t>
      </w:r>
      <w:r w:rsidRPr="00FC59BD">
        <w:rPr>
          <w:color w:val="000000"/>
          <w:kern w:val="2"/>
          <w14:ligatures w14:val="standardContextual"/>
        </w:rPr>
        <w:t>aby</w:t>
      </w:r>
      <w:r w:rsidRPr="00FC59BD">
        <w:rPr>
          <w:kern w:val="2"/>
          <w14:ligatures w14:val="standardContextual"/>
        </w:rPr>
        <w:t xml:space="preserve"> sa zaviedla dôraznejšia politika „otáčavých dverí“ vrátane predĺženého obdobia, počas ktorého sa vyšší úradníci Európskej prokuratúry musia vyhýbať akýmkoľvek konfliktom záujmov, trvajúceho najmenej dva roky pred tým, ako môžu nastúpiť do zamestnania v súkromnom sektore, ktoré súvisí s vyšetrovaniami Európskej prokuratúry; žiada, aby Európska prokuratúra každoročne preskúmala dodržiavanie týchto obmedzení po skončení pracovného pomeru;</w:t>
      </w:r>
    </w:p>
    <w:p w14:paraId="38FD0870"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66.</w:t>
      </w:r>
      <w:r w:rsidRPr="00FC59BD">
        <w:rPr>
          <w:kern w:val="2"/>
          <w14:ligatures w14:val="standardContextual"/>
        </w:rPr>
        <w:tab/>
        <w:t xml:space="preserve">vyzýva Európsku prokuratúru, aby prijala osobitný postup na oznamovanie protispoločenskej činnosti a ochranu pred odvetnými opatreniami s cieľom </w:t>
      </w:r>
      <w:r w:rsidRPr="00FC59BD">
        <w:rPr>
          <w:color w:val="000000"/>
          <w:kern w:val="2"/>
          <w14:ligatures w14:val="standardContextual"/>
        </w:rPr>
        <w:t>začleniť</w:t>
      </w:r>
      <w:r w:rsidRPr="00FC59BD">
        <w:rPr>
          <w:kern w:val="2"/>
          <w14:ligatures w14:val="standardContextual"/>
        </w:rPr>
        <w:t xml:space="preserve"> do služobného poriadku, ktorý prijalo kolégium (rozhodnutie kolégia 2021/077, ktorým sa stanovujú usmernenia k oznamovaniu protispoločenskej činnosti v Európskej prokuratúry), príslušné vykonávacie pravidlá a doplniť článok 45 ods. 12 nariadenia o finančných pravidlách Európskej prokuratúry (ktorým sa stanovujú opatrenia, ktoré sa majú vykonať za daných okolností), a to v záujme zaručenia bezpečného a chráneného pracoviska; víta iniciatívu na posilnenie vnútornej komunikácie o prvej sieti dôverných poradcov a o ustanoveniach na boj proti obťažovaniu a informovania všetkých vnútroštátnych asistentov európskych delegovaných prokurátorov o mechanizme oznamovania protispoločenskej činnosti v prípade konania v rozpore s mandátom Európskej prokuratúry;</w:t>
      </w:r>
    </w:p>
    <w:p w14:paraId="5E3970F0" w14:textId="77777777" w:rsidR="00FC59BD" w:rsidRPr="00FC59BD" w:rsidRDefault="00FC59BD" w:rsidP="00FC59BD">
      <w:pPr>
        <w:spacing w:after="240"/>
        <w:ind w:left="567" w:hanging="567"/>
        <w:rPr>
          <w:i/>
          <w:kern w:val="2"/>
          <w:szCs w:val="24"/>
          <w14:ligatures w14:val="standardContextual"/>
        </w:rPr>
      </w:pPr>
      <w:r w:rsidRPr="00FC59BD">
        <w:rPr>
          <w:b/>
          <w:i/>
          <w:kern w:val="2"/>
          <w14:ligatures w14:val="standardContextual"/>
        </w:rPr>
        <w:t>Digitalizácia, kybernetická bezpečnosť a ochrana údajov</w:t>
      </w:r>
    </w:p>
    <w:p w14:paraId="5CAE8AD7"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67.</w:t>
      </w:r>
      <w:r w:rsidRPr="00FC59BD">
        <w:rPr>
          <w:kern w:val="2"/>
          <w14:ligatures w14:val="standardContextual"/>
        </w:rPr>
        <w:tab/>
      </w:r>
      <w:r w:rsidRPr="00FC59BD">
        <w:rPr>
          <w:color w:val="000000"/>
          <w:kern w:val="2"/>
          <w14:ligatures w14:val="standardContextual"/>
        </w:rPr>
        <w:t>vyjadruje poľutovanie</w:t>
      </w:r>
      <w:r w:rsidRPr="00FC59BD">
        <w:rPr>
          <w:kern w:val="2"/>
          <w14:ligatures w14:val="standardContextual"/>
        </w:rPr>
        <w:t xml:space="preserve"> nad situáciou Európskej prokuratúry, pokiaľ ide o jej IT autonómiu, ktorú nepriaznivo postihlo rozhodnutie Generálneho riaditeľstva Komisie </w:t>
      </w:r>
      <w:r w:rsidRPr="00FC59BD">
        <w:rPr>
          <w:kern w:val="2"/>
          <w14:ligatures w14:val="standardContextual"/>
        </w:rPr>
        <w:lastRenderedPageBreak/>
        <w:t>pre digitálne služby (GR pre digitálne služby, predtým DIGIT) o ukončení poskytovania služieb digitálneho pracoviska; poukazuje na to, že autonómia Európskej prokuratúry v IT oblasti si vyžaduje dodatočné ľudské a finančné zdroje, ktoré zatiaľ neboli poskytnuté z dôvodu obmedzenia vyplývajúceho z celkových dostupných rozpočtových zdrojov v dotknutých položkách; vyjadruje poľutovanie nad tým, že Európska prokuratúra musela vzhľadom na riziká ohrozujúce jej operatívne činnosti zriadiť vlastnú kapacitu digitálnych služieb, aby pokryla dodatočné ľudské zdroje, ktoré jej boli poskytnuté so zreteľom na účasť Poľska a Švédska;</w:t>
      </w:r>
    </w:p>
    <w:p w14:paraId="2F114A46" w14:textId="77777777" w:rsidR="00FC59BD" w:rsidRPr="00FC59BD" w:rsidRDefault="00FC59BD" w:rsidP="00FC59BD">
      <w:pPr>
        <w:spacing w:after="240"/>
        <w:ind w:left="567" w:hanging="567"/>
        <w:rPr>
          <w:kern w:val="2"/>
          <w14:ligatures w14:val="standardContextual"/>
        </w:rPr>
      </w:pPr>
      <w:r w:rsidRPr="00FC59BD">
        <w:rPr>
          <w:color w:val="000000"/>
          <w:kern w:val="2"/>
          <w14:ligatures w14:val="standardContextual"/>
        </w:rPr>
        <w:t>68.</w:t>
      </w:r>
      <w:r w:rsidRPr="00FC59BD">
        <w:rPr>
          <w:color w:val="000000"/>
          <w:kern w:val="2"/>
          <w14:ligatures w14:val="standardContextual"/>
        </w:rPr>
        <w:tab/>
      </w:r>
      <w:r w:rsidRPr="00FC59BD">
        <w:rPr>
          <w:kern w:val="2"/>
          <w14:ligatures w14:val="standardContextual"/>
        </w:rPr>
        <w:t xml:space="preserve">konštatuje, </w:t>
      </w:r>
      <w:r w:rsidRPr="00FC59BD">
        <w:rPr>
          <w:color w:val="000000"/>
          <w:kern w:val="2"/>
          <w14:ligatures w14:val="standardContextual"/>
        </w:rPr>
        <w:t>že</w:t>
      </w:r>
      <w:r w:rsidRPr="00FC59BD">
        <w:rPr>
          <w:kern w:val="2"/>
          <w14:ligatures w14:val="standardContextual"/>
        </w:rPr>
        <w:t xml:space="preserve"> Európska prokuratúra chcela pôvodne uprednostniť zdroje na vytváranie a fungovanie základných digitálnych služieb spojených s jej operatívnymi činnosťami, ako je jej systém správy prípadov, pričom uznáva, že digitálne služby Európskej prokuratúry, ktoré sa prinajmenšom čiastočne líšia od digitálnych služieb Komisie, by si v strednodobom horizonte vyžadovali individuálny prístup; konštatuje, že k prerušeniu poskytovania služieb Komisiou došlo v kľúčovej fáze konsolidácie plánu pracovných miest Európskej prokuratúry;</w:t>
      </w:r>
    </w:p>
    <w:p w14:paraId="455B360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69.</w:t>
      </w:r>
      <w:r w:rsidRPr="00FC59BD">
        <w:rPr>
          <w:kern w:val="2"/>
          <w14:ligatures w14:val="standardContextual"/>
        </w:rPr>
        <w:tab/>
      </w:r>
      <w:r w:rsidRPr="00FC59BD">
        <w:rPr>
          <w:color w:val="000000"/>
          <w:kern w:val="2"/>
          <w14:ligatures w14:val="standardContextual"/>
        </w:rPr>
        <w:t>berie na vedomie</w:t>
      </w:r>
      <w:r w:rsidRPr="00FC59BD">
        <w:rPr>
          <w:kern w:val="2"/>
          <w14:ligatures w14:val="standardContextual"/>
        </w:rPr>
        <w:t>, že oddelenie Európskej prokuratúry pre služby v oblasti IT, bezpečnosti a chodu organizácie v roku 2023 pokračovalo vo vykonávaní dvoch hlavných programov: programu autonómie v oblasti IT s cieľom ponúkať kompletný súbor administratívnych IT služieb, ktoré sa riadia v plnej miere interne, a programu CMS Európskej prokuratúry s cieľom ďalej rozvíjať digitalizáciu prokuratúry v oblastiach jej hlavnej činnosti; berie na vedomie, že Európska prokuratúra v roku 2023 pokračovala v príprave na postupný prechod z digitálneho pracoviska, ktoré poskytovalo GR pre digitálne služby, na riešenie, ktoré vlastní a prevádzkuje Európska prokuratúra; je si vedomý toho, že zdroje potrebné na uskutočnenie tejto zmeny boli síce uvedené v rozpočtových požiadavkách Európskej prokuratúry na rok 2023, no rozpočtový orgán ich neschválil; konštatuje, že Európska prokuratúra začala po oznámení GR pre digitálne služby rokovania s cieľom nájsť riešenie, čo sa jej ešte nepodarilo;</w:t>
      </w:r>
    </w:p>
    <w:p w14:paraId="5735434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70.</w:t>
      </w:r>
      <w:r w:rsidRPr="00FC59BD">
        <w:rPr>
          <w:kern w:val="2"/>
          <w14:ligatures w14:val="standardContextual"/>
        </w:rPr>
        <w:tab/>
        <w:t>oceňuje, že Komisia dočasne predĺžila poskytovanie IT služieb do júna 2025, zastáva však názor, že externé zabezpečovanie týchto činností nie je v súčasnej situácii optimálne riešenie; berie na vedomie, že nielen argumenty týkajúce sa bezpečnosti a dôvernosti, ale aj čisto finančné aspekty hovoria v prospech prehodnotenia uvedeného rozhodnutia</w:t>
      </w:r>
      <w:r w:rsidRPr="00FC59BD">
        <w:rPr>
          <w:color w:val="000000"/>
          <w:kern w:val="2"/>
          <w14:ligatures w14:val="standardContextual"/>
        </w:rPr>
        <w:t>, pretože externé zabezpečovanie činností sa zdá omnoho nákladnejšie ako interné riešenie a prijatie interného riešenia by potom, ako GR pre digitálne služby prestane poskytovať svoje služby, riadila Európska prokuratúra; zdôrazňuje,</w:t>
      </w:r>
      <w:r w:rsidRPr="00FC59BD">
        <w:rPr>
          <w:kern w:val="2"/>
          <w14:ligatures w14:val="standardContextual"/>
        </w:rPr>
        <w:t xml:space="preserve"> že na to, aby sa uprednostňované interné riešenie mohlo zrealizovať, budú vzhľadom na komplexné administratívne aspekty, nedostatok odborných skúseností Európskej prokuratúry a decentralizované usporiadanie Európskej prokuratúry, ktorú tvoria aj európski delegovaní prokurátori a vnútroštátni asistenti európskych delegovaných prokurátorov na niekoľkých miestach v celej Únii, potrebné vyššie rozpočtové prostriedky a dlhé prechodné obdobie;</w:t>
      </w:r>
    </w:p>
    <w:p w14:paraId="3163ABC1"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71.</w:t>
      </w:r>
      <w:r w:rsidRPr="00FC59BD">
        <w:rPr>
          <w:kern w:val="2"/>
          <w14:ligatures w14:val="standardContextual"/>
        </w:rPr>
        <w:tab/>
        <w:t xml:space="preserve">pripomína svoju výzvu adresovanú GR pre digitálne služby, aby neprerušovalo podporu, ktorú poskytuje Európskej prokuratúre, kým Európska prokuratúra nebude mať vlastný spoľahlivý IT systém; považuje za nevyhnutné predísť strate údajov a zachovať plnú funkčnosť Európskej prokuratúry v období zmeny poskytovateľov IT služieb; trvá na tom, že v súvislosti so zmenou treba zabezpečiť jasnú komunikáciu a operatívnu koordináciu, do ktorej musia byť zapojené najvyššie rozhodovacie úrovne Komisie </w:t>
      </w:r>
      <w:r w:rsidRPr="00FC59BD">
        <w:rPr>
          <w:kern w:val="2"/>
          <w14:ligatures w14:val="standardContextual"/>
        </w:rPr>
        <w:lastRenderedPageBreak/>
        <w:t>a Európskej prokuratúry; žiada Komisiu a Európsku prokuratúru, aby sa dohodli na postupnom prenose právomocí v záujme plynulého a kontinuálneho prechodu v období po predĺžení, ktoré by mohlo trvať aj po júni 2025;</w:t>
      </w:r>
    </w:p>
    <w:p w14:paraId="57C0C93A"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72.</w:t>
      </w:r>
      <w:r w:rsidRPr="00FC59BD">
        <w:rPr>
          <w:kern w:val="2"/>
          <w14:ligatures w14:val="standardContextual"/>
        </w:rPr>
        <w:tab/>
        <w:t xml:space="preserve">konštatuje, že požiadavky Európskej prokuratúry o pridelenie ďalších stálych pracovných miest </w:t>
      </w:r>
      <w:r w:rsidRPr="00FC59BD">
        <w:rPr>
          <w:color w:val="000000"/>
          <w:kern w:val="2"/>
          <w14:ligatures w14:val="standardContextual"/>
        </w:rPr>
        <w:t>na</w:t>
      </w:r>
      <w:r w:rsidRPr="00FC59BD">
        <w:rPr>
          <w:kern w:val="2"/>
          <w14:ligatures w14:val="standardContextual"/>
        </w:rPr>
        <w:t xml:space="preserve"> vyplnenie medzery, ktorá vznikne ukončením podpory GR pre digitálne služby, boli zamietnuté v januári 2023, keď Európska prokuratúra požiadala o 45 pracovných miest v pláne pracovných miest, a na konci februára 2024, keď bola zamietnutá aj žiadosť o opravný rozpočet na rok 2024 vo výške 2,98 milióna EUR a 37 pracovných miest v pláne pracovných miest; konštatuje, že riešenie spočívajúce v prijatí interných zmluvných poskytovateľov by mohlo byť súčasťou dočasného riešenia ukončenia podpory GR pre digitálne služby, ale aj keď by sa týmto spôsobom umožnila okamžitá operatívna kontinuita, nemalo by sa považovať za konečné riešenie pre Európsku prokuratúru vzhľadom na mimoriadne citlivú povahu jej činností a potrebu zabezpečiť kontinuitu a spoľahlivosť jej digitálnych služieb, ako aj najvyššiu mieru bezpečnosti jej IT infraštruktúry, systémov a vybavenia; súhlasí s názorom, že odmietnutie rozpočtových požiadaviek Európskej prokuratúry svedčí o rozdielnom posudzovaní problému, čo má negatívny dosah na operatívne činnosti Európskej prokuratúry a mohlo by prípadne ohroziť dobrú povesť Únie v prípade, že by to viedlo k oslabeniu operatívnej kapacity Európskej prokuratúry;</w:t>
      </w:r>
    </w:p>
    <w:p w14:paraId="19F4A62A"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73.</w:t>
      </w:r>
      <w:r w:rsidRPr="00FC59BD">
        <w:rPr>
          <w:kern w:val="2"/>
          <w14:ligatures w14:val="standardContextual"/>
        </w:rPr>
        <w:tab/>
      </w:r>
      <w:r w:rsidRPr="00FC59BD">
        <w:rPr>
          <w:color w:val="000000"/>
          <w:kern w:val="2"/>
          <w14:ligatures w14:val="standardContextual"/>
        </w:rPr>
        <w:t>berie na vedomie,</w:t>
      </w:r>
      <w:r w:rsidRPr="00FC59BD">
        <w:rPr>
          <w:kern w:val="2"/>
          <w14:ligatures w14:val="standardContextual"/>
        </w:rPr>
        <w:t xml:space="preserve"> že každý európsky delegovaný prokurátor musí používať vnútroštátny systém správy prípadov a systém správy prípadov Európskej prokuratúry, čo sú rôzne databázy, pre ktoré platia rôzne prístupové práva; domnieva sa, že v dôsledku tejto situácie sa zvyšuje komplexnosť každodennej správy údajov; uvedomuje si aj to, že na to, aby bolo možné spracúvať a vymieňať informácie medzi centrálnymi útvarmi európskych delegovaných prokurátorov a Európskou prokuratúrou, musia európski delegovaní prokurátori všetky spisy digitalizovať pomocou vnútroštátnych digitálnych nástrojov a v súlade s vnútroštátnym právom; v tejto súvislosti oceňuje formálne vytvorenie statusu vnútroštátnych asistentov európskych delegovaných prokurátorov v oficiálnej organizačnej štruktúre, vďaka ktorému je možné udeliť vnútroštátnym asistentom európskych delegovaných prokurátorov (pracovníkom vnútroštátnych prokuratúr) priamy prístup k CMS Európskej prokuratúry, a teda odbremeniť európskych delegovaných prokurátorov od administratívnych úloh a vytvoriť podmienky na dosiahnutie väčšej presnosti a konzistencie údajov v oboch systémoch správy prípadov; zastáva názor, že úsilie o integráciu medzi CMS Európskej prokuratúry a vnútroštátnymi systémami správy prípadov by uľahčilo primeranú revíziu nariadenia a že tieto kroky by zvýšili účinnosť vyšetrovaní Európskej prokuratúry; konštatuje však, že takáto integrácia by si mohla v prvom rade vyžadovať kompatibilné technologické riešenia používané v jednotlivých členských štátoch a závisela by od skutočnej miery digitalizácie súdnych konaní v týchto členských štátoch; konštatuje, že príslušné náklady sa v súčasnosti zdieľajú, pričom náklady na vybavenie potrebné na interakciu s vnútroštátnymi systémami správy prípadov sa hradia z vnútroštátnych rozpočtov a z rozpočtu Európskej prokuratúry sa hradia náklady na hardvér a nastavenie digitálneho pracovného prostredia zabezpečeného na rovnakej úrovni ako u zamestnancov ústredia Európskej prokuratúry, pričom tieto náklady sa považujú za súčasť nákladov na operatívnu komunikáciu podľa nariadenia (EÚ) 2017/1939;</w:t>
      </w:r>
    </w:p>
    <w:p w14:paraId="599768E8"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74.</w:t>
      </w:r>
      <w:r w:rsidRPr="00FC59BD">
        <w:rPr>
          <w:kern w:val="2"/>
          <w14:ligatures w14:val="standardContextual"/>
        </w:rPr>
        <w:tab/>
        <w:t xml:space="preserve">berie na vedomie, že </w:t>
      </w:r>
      <w:proofErr w:type="spellStart"/>
      <w:r w:rsidRPr="00FC59BD">
        <w:rPr>
          <w:kern w:val="2"/>
          <w14:ligatures w14:val="standardContextual"/>
        </w:rPr>
        <w:t>interoperabilita</w:t>
      </w:r>
      <w:proofErr w:type="spellEnd"/>
      <w:r w:rsidRPr="00FC59BD">
        <w:rPr>
          <w:kern w:val="2"/>
          <w14:ligatures w14:val="standardContextual"/>
        </w:rPr>
        <w:t xml:space="preserve"> má zásadný význam pri zabezpečovaní účinnej výmeny údajov a </w:t>
      </w:r>
      <w:r w:rsidRPr="00FC59BD">
        <w:rPr>
          <w:color w:val="000000"/>
          <w:kern w:val="2"/>
          <w14:ligatures w14:val="standardContextual"/>
        </w:rPr>
        <w:t>spolupráce</w:t>
      </w:r>
      <w:r w:rsidRPr="00FC59BD">
        <w:rPr>
          <w:kern w:val="2"/>
          <w14:ligatures w14:val="standardContextual"/>
        </w:rPr>
        <w:t xml:space="preserve"> a že s cieľom prijať minimálne spoločné dohody o výmene údajov a uplatňovať nástroje justičnej </w:t>
      </w:r>
      <w:proofErr w:type="spellStart"/>
      <w:r w:rsidRPr="00FC59BD">
        <w:rPr>
          <w:kern w:val="2"/>
          <w14:ligatures w14:val="standardContextual"/>
        </w:rPr>
        <w:t>interoperability</w:t>
      </w:r>
      <w:proofErr w:type="spellEnd"/>
      <w:r w:rsidRPr="00FC59BD">
        <w:rPr>
          <w:kern w:val="2"/>
          <w14:ligatures w14:val="standardContextual"/>
        </w:rPr>
        <w:t xml:space="preserve"> sa v roku 2023 začal projekt </w:t>
      </w:r>
      <w:r w:rsidRPr="00FC59BD">
        <w:rPr>
          <w:kern w:val="2"/>
          <w14:ligatures w14:val="standardContextual"/>
        </w:rPr>
        <w:lastRenderedPageBreak/>
        <w:t xml:space="preserve">CASE zameraný na postupy používania systémov e-CODEX v Európskej prokuratúre, ktorého súčasťou bolo niekoľko workshopov s konzorciom systému e-CODEX s cieľom zosúladiť technické a funkčné požiadavky; vyjadruje poľutovanie nad tým, že po niekoľkých workshopoch s konzorciom e-CODEX sa projekt pozastavil, aby bol možný prechod na nového správcu programu e-CODEX, agentúru </w:t>
      </w:r>
      <w:proofErr w:type="spellStart"/>
      <w:r w:rsidRPr="00FC59BD">
        <w:rPr>
          <w:kern w:val="2"/>
          <w14:ligatures w14:val="standardContextual"/>
        </w:rPr>
        <w:t>eu</w:t>
      </w:r>
      <w:proofErr w:type="spellEnd"/>
      <w:r w:rsidRPr="00FC59BD">
        <w:rPr>
          <w:kern w:val="2"/>
          <w14:ligatures w14:val="standardContextual"/>
        </w:rPr>
        <w:t>-LISA, a vzhľadom na to, že Európska prokuratúra nemala dostatok zdrojov s odbornými znalosťami v tejto oblasti; vyzýva Komisiu, aby sa ako sprostredkovateľ zasadila za ďalší pokrok v tomto projekte a tieto opatrenia zohľadnila aj v odhade rozpočtových potrieb Európskej prokuratúry;</w:t>
      </w:r>
    </w:p>
    <w:p w14:paraId="20A06958"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75.</w:t>
      </w:r>
      <w:r w:rsidRPr="00FC59BD">
        <w:rPr>
          <w:kern w:val="2"/>
          <w14:ligatures w14:val="standardContextual"/>
        </w:rPr>
        <w:tab/>
        <w:t>uvedomuje si zvýšenú hrozbu pre štrukturálnu integritu Európskej prokuratúry v oblasti IT, ktorá vyplýva z agresívnosti organizovanej trestnej činnosti, proti ktorej Európska prokuratúra bojuje, a ktorá vyžaduje zvýšenie fyzickej a digitálnej bezpečnosti; konštatuje, že Európska prokuratúra sa v roku 2023 zameriavala na posilnenie bezpečnosti svojej správy a riadenia; oceňuje rozhodnutie Európskej prokuratúry vytvoriť špecializované oddelenie pre riešenie kybernetickej a fyzickej bezpečnosti; konštatuje, že Európska prokuratúra pripravila rámec zahŕňajúci nové postupy, úlohy a povinnosti a politiky s cieľom zvýšiť bezpečnosť digitálnych systémov používaných na zaobchádzanie s prevádzkovými a administratívnymi údajmi; berie na vedomie, že boli vykonané viaceré posúdenia rizík s cieľom posúdiť bezpečnostný rámec digitálnych systémov a že sa v nich navrhlo zavedenie ďalších technických a správnych opatrení na posilnenie bezpečnostného prostredia Európskej prokuratúry; poznamenáva, že rámec politiky v tejto oblasti sa vzhľadom na okolnosti zlepšil, pričom v roku 2023 bola navrhnutá bezpečnostná stratégie a globálna politika informačnej bezpečnosti, ktorá bola formálne schválená a prijatá v roku 2024;</w:t>
      </w:r>
    </w:p>
    <w:p w14:paraId="44F61F5F"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76.</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že Európska prokuratúra v roku 2023 dokončila zriaďovanie bezpečnostných kontaktných miest vo všetkých zúčastnených členských štátoch, aby sa posilnila spolupráca v bezpečnostných veciach týkajúcich sa zamestnancov a kancelárií Európskej prokuratúry nachádzajúcich sa v týchto členských štátoch; víta dohodu o úrovni poskytovania služieb so službou CERT-EU, ktorá zaisťuje podporu a monitorovanie špecifických služieb súvisiacich s reakciou na incidenty; zdôrazňuje, že zavedený systém na posudzovanie rizík a oznamovanie incidentov je dobre štruktúrovaný a odborná príprava sa poskytuje účinne; oceňuje externé posudzovanie fyzickej bezpečnosti, ktorého zistenia sa premietli do plánu zlepšení zo strany hostiteľskej krajiny;</w:t>
      </w:r>
    </w:p>
    <w:p w14:paraId="311E6783"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77.</w:t>
      </w:r>
      <w:r w:rsidRPr="00FC59BD">
        <w:rPr>
          <w:kern w:val="2"/>
          <w14:ligatures w14:val="standardContextual"/>
        </w:rPr>
        <w:tab/>
      </w:r>
      <w:r w:rsidRPr="00FC59BD">
        <w:rPr>
          <w:color w:val="000000"/>
          <w:kern w:val="2"/>
          <w14:ligatures w14:val="standardContextual"/>
        </w:rPr>
        <w:t>oceňuje</w:t>
      </w:r>
      <w:r w:rsidRPr="00FC59BD">
        <w:rPr>
          <w:kern w:val="2"/>
          <w14:ligatures w14:val="standardContextual"/>
        </w:rPr>
        <w:t xml:space="preserve"> značný pokrok, ktorý sa v roku 2023 dosiahol pri zavádzaní záložného dátového centra a súvisiaceho scenára obnovy prevádzky po havárii; v tejto súvislosti oceňuje, že Európska prokuratúra vyvinula vlastný systém správy prípadov, ktorého všetky zložky sú umiestnené v dátovom centre Európskej prokuratúry a spravujú ich zamestnanci Európskej prokuratúry, čím sa zaručuje kontrola, uchovávanie a vlastníctvo systémov a spracúvaných údajov zo strany Európskej prokuratúry;</w:t>
      </w:r>
    </w:p>
    <w:p w14:paraId="7675EAE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78.</w:t>
      </w:r>
      <w:r w:rsidRPr="00FC59BD">
        <w:rPr>
          <w:kern w:val="2"/>
          <w14:ligatures w14:val="standardContextual"/>
        </w:rPr>
        <w:tab/>
      </w:r>
      <w:r w:rsidRPr="00FC59BD">
        <w:rPr>
          <w:color w:val="000000"/>
          <w:kern w:val="2"/>
          <w14:ligatures w14:val="standardContextual"/>
        </w:rPr>
        <w:t>uznáva</w:t>
      </w:r>
      <w:r w:rsidRPr="00FC59BD">
        <w:rPr>
          <w:kern w:val="2"/>
          <w14:ligatures w14:val="standardContextual"/>
        </w:rPr>
        <w:t xml:space="preserve">, že Európska prokuratúra potrebuje moderné vybavenie a IT systémy na riešenie čoraz zložitejších trestných činov, ktoré často zahŕňajú digitálne prvky a digitálne metódy; zdôrazňuje tiež naliehavosť vytvorenia silného rámca kybernetickej bezpečnosti vzhľadom na rastúce riziká, ktoré predstavujú zločinecké siete s vysokou úrovňou technológií, a na potenciálne zahraničné zasahovanie prostredníctvom kybernetických útokov; podporuje Európsku prokuratúru v jej žiadosti o pridelenie zdrojov na ochranu jej kybernetickej bezpečnosti a vyzýva na urýchlené vykonávanie </w:t>
      </w:r>
      <w:r w:rsidRPr="00FC59BD">
        <w:rPr>
          <w:kern w:val="2"/>
          <w14:ligatures w14:val="standardContextual"/>
        </w:rPr>
        <w:lastRenderedPageBreak/>
        <w:t>spoľahlivej stratégie kybernetickej bezpečnosti na ochranu operácií a integrity údajov Európskej prokuratúry;</w:t>
      </w:r>
    </w:p>
    <w:p w14:paraId="24C253E0" w14:textId="77777777" w:rsidR="00FC59BD" w:rsidRPr="00FC59BD" w:rsidRDefault="00FC59BD" w:rsidP="00FC59BD">
      <w:pPr>
        <w:spacing w:after="240"/>
        <w:ind w:left="567" w:hanging="567"/>
        <w:rPr>
          <w:i/>
          <w:kern w:val="2"/>
          <w:szCs w:val="24"/>
          <w14:ligatures w14:val="standardContextual"/>
        </w:rPr>
      </w:pPr>
      <w:r w:rsidRPr="00FC59BD">
        <w:rPr>
          <w:kern w:val="2"/>
          <w14:ligatures w14:val="standardContextual"/>
        </w:rPr>
        <w:t>79.</w:t>
      </w:r>
      <w:r w:rsidRPr="00FC59BD">
        <w:rPr>
          <w:kern w:val="2"/>
          <w14:ligatures w14:val="standardContextual"/>
        </w:rPr>
        <w:tab/>
      </w:r>
      <w:r w:rsidRPr="00FC59BD">
        <w:rPr>
          <w:color w:val="000000"/>
          <w:kern w:val="2"/>
          <w14:ligatures w14:val="standardContextual"/>
        </w:rPr>
        <w:t>zdôrazňuje</w:t>
      </w:r>
      <w:r w:rsidRPr="00FC59BD">
        <w:rPr>
          <w:kern w:val="2"/>
          <w14:ligatures w14:val="standardContextual"/>
        </w:rPr>
        <w:t>, že povaha činností Európskej prokuratúry vyžaduje osobitný dohľad a osobitný dôraz na ochranu osobných údajov; zastáva názor, že Európska prokuratúra a európsky dozorný úradník pre ochranu údajov by mali viesť nepretržitý dialóg, aby sa zabezpečila použiteľnosť údajov pri vyšetrovaniach a stíhaní a zároveň zaručilo dodržiavanie ochrany osobných údajov; berie na vedomie, že požiadavky týkajúce sa prístupu k ochrane údajov vyplývajú z nariadenia (EÚ) 2017/1939 a z nariadenia Európskeho parlamentu a Rady (EÚ) 2018/1725 </w:t>
      </w:r>
      <w:r w:rsidRPr="00FC59BD">
        <w:rPr>
          <w:kern w:val="2"/>
          <w:szCs w:val="24"/>
          <w:vertAlign w:val="superscript"/>
          <w14:ligatures w14:val="standardContextual"/>
        </w:rPr>
        <w:footnoteReference w:id="16"/>
      </w:r>
      <w:r w:rsidRPr="00FC59BD">
        <w:rPr>
          <w:kern w:val="2"/>
          <w14:ligatures w14:val="standardContextual"/>
        </w:rPr>
        <w:t xml:space="preserve"> a že tieto požiadavky sú doplnené a vykonávané na základe rozhodnutí kolégia, ktoré sa prijímajú po konzultácii s európsky dozorným úradníkom pre ochranu údajov; oceňuje rozhodnutie poskytnúť všetkým zamestnancom povinnú odbornú prípravu vrátane špecializovanej odbornej prípravy o ochrane údajov, ktorá je potrebná na prístup k CMS Európskej prokuratúry;</w:t>
      </w:r>
    </w:p>
    <w:p w14:paraId="4E1880D5" w14:textId="77777777" w:rsidR="00FC59BD" w:rsidRPr="00FC59BD" w:rsidRDefault="00FC59BD" w:rsidP="00FC59BD">
      <w:pPr>
        <w:spacing w:after="240"/>
        <w:ind w:left="567" w:hanging="567"/>
        <w:rPr>
          <w:b/>
          <w:i/>
          <w:kern w:val="2"/>
          <w:szCs w:val="24"/>
          <w14:ligatures w14:val="standardContextual"/>
        </w:rPr>
      </w:pPr>
      <w:r w:rsidRPr="00FC59BD">
        <w:rPr>
          <w:b/>
          <w:i/>
          <w:kern w:val="2"/>
          <w14:ligatures w14:val="standardContextual"/>
        </w:rPr>
        <w:t>Budovy a bezpečnosť</w:t>
      </w:r>
    </w:p>
    <w:p w14:paraId="1D1337A9" w14:textId="77777777" w:rsidR="00FC59BD" w:rsidRPr="00FC59BD" w:rsidRDefault="00FC59BD" w:rsidP="00FC59BD">
      <w:pPr>
        <w:spacing w:after="240"/>
        <w:ind w:left="567" w:hanging="567"/>
        <w:rPr>
          <w:bCs/>
          <w:kern w:val="2"/>
          <w:szCs w:val="24"/>
          <w14:ligatures w14:val="standardContextual"/>
        </w:rPr>
      </w:pPr>
      <w:r w:rsidRPr="00FC59BD">
        <w:rPr>
          <w:kern w:val="2"/>
          <w14:ligatures w14:val="standardContextual"/>
        </w:rPr>
        <w:t>80.</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xml:space="preserve"> že vďaka dohode o prenájme, na základe ktorej luxemburské orgány umožňujú bezplatný nájom budovy, v ktorej sa v súčasnosti nachádza ústredie Európskej prokuratúry (budova TOB), sa náklady týkajú len poplatku za služby vo výške 716 724 EUR ročne; konštatuje, že v roku 2023 sa tým istým luxemburským orgánom vyplatilo 248 103 EUR za bezpečnostné zariadenia na dvoch ďalších poschodiach (9 a 10), ktoré boli Európskej prokuratúre dodané v 1. štvrťroku 2023;</w:t>
      </w:r>
    </w:p>
    <w:p w14:paraId="054AFE6D"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81.</w:t>
      </w:r>
      <w:r w:rsidRPr="00FC59BD">
        <w:rPr>
          <w:kern w:val="2"/>
          <w14:ligatures w14:val="standardContextual"/>
        </w:rPr>
        <w:tab/>
      </w:r>
      <w:r w:rsidRPr="00FC59BD">
        <w:rPr>
          <w:color w:val="000000"/>
          <w:kern w:val="2"/>
          <w14:ligatures w14:val="standardContextual"/>
        </w:rPr>
        <w:t>víta</w:t>
      </w:r>
      <w:r w:rsidRPr="00FC59BD">
        <w:rPr>
          <w:kern w:val="2"/>
          <w14:ligatures w14:val="standardContextual"/>
        </w:rPr>
        <w:t xml:space="preserve">, že so zreteľom na fyzickú bezpečnosť boli v rámci opravného rozpočtu 2023 a rozpočtu na rok 2024 pridelené zdroje potrebné na zabezpečenie primeranej kapacity na </w:t>
      </w:r>
      <w:r w:rsidRPr="00FC59BD">
        <w:rPr>
          <w:color w:val="000000"/>
          <w:kern w:val="2"/>
          <w14:ligatures w14:val="standardContextual"/>
        </w:rPr>
        <w:t>poskytovanie</w:t>
      </w:r>
      <w:r w:rsidRPr="00FC59BD">
        <w:rPr>
          <w:kern w:val="2"/>
          <w14:ligatures w14:val="standardContextual"/>
        </w:rPr>
        <w:t xml:space="preserve"> posilnených bezpečnostných služieb (21 ďalších pracovných miest na posilnenie jej bezpečnostnej kapacity), a víta úsilie Európskej prokuratúry o nepretržité zlepšovanie a zosúladenie efektivity postupov fyzickej bezpečnosti; trvá na tom, že riadne fungovanie Európskej prokuratúry si vyžaduje ochranu prokurátorov a zamestnancov, aby boli schopní plniť svoje poslanie v plnom rozsahu bez vystavenia hrozbám, vplyvom alebo nátlaku;</w:t>
      </w:r>
    </w:p>
    <w:p w14:paraId="290F5FA2" w14:textId="77777777" w:rsidR="00FC59BD" w:rsidRPr="00FC59BD" w:rsidRDefault="00FC59BD" w:rsidP="00FC59BD">
      <w:pPr>
        <w:spacing w:after="240"/>
        <w:ind w:left="567" w:hanging="567"/>
        <w:rPr>
          <w:b/>
          <w:i/>
          <w:kern w:val="2"/>
          <w:szCs w:val="24"/>
          <w14:ligatures w14:val="standardContextual"/>
        </w:rPr>
      </w:pPr>
      <w:r w:rsidRPr="00FC59BD">
        <w:rPr>
          <w:b/>
          <w:i/>
          <w:kern w:val="2"/>
          <w14:ligatures w14:val="standardContextual"/>
        </w:rPr>
        <w:t>Životné prostredie a udržateľnosť</w:t>
      </w:r>
    </w:p>
    <w:p w14:paraId="4DD4A0FE"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82.</w:t>
      </w:r>
      <w:r w:rsidRPr="00FC59BD">
        <w:rPr>
          <w:kern w:val="2"/>
          <w14:ligatures w14:val="standardContextual"/>
        </w:rPr>
        <w:tab/>
        <w:t xml:space="preserve">domnieva sa, že luxemburské orgány, ktoré poskytujú priestory ústrediu Európskej prokuratúry, by mali </w:t>
      </w:r>
      <w:r w:rsidRPr="00FC59BD">
        <w:rPr>
          <w:color w:val="000000"/>
          <w:kern w:val="2"/>
          <w14:ligatures w14:val="standardContextual"/>
        </w:rPr>
        <w:t>posúdiť</w:t>
      </w:r>
      <w:r w:rsidRPr="00FC59BD">
        <w:rPr>
          <w:kern w:val="2"/>
          <w14:ligatures w14:val="standardContextual"/>
        </w:rPr>
        <w:t xml:space="preserve"> ich udržateľnosť a energetickú výkonnosť; vyzýva Európsku prokuratúru, aby začala diskusie s luxemburskými orgánmi s cieľom preskúmať konkrétne opatrenia na zlepšenie environmentálnej stopy jej priestorov vrátane inštalácie obnoviteľných zdrojov energie, ako sú solárne panely, zavedenia opatrení na kompenzáciu emisií CO</w:t>
      </w:r>
      <w:r w:rsidRPr="00FC59BD">
        <w:rPr>
          <w:kern w:val="2"/>
          <w:vertAlign w:val="subscript"/>
          <w14:ligatures w14:val="standardContextual"/>
        </w:rPr>
        <w:t>2</w:t>
      </w:r>
      <w:r w:rsidRPr="00FC59BD">
        <w:rPr>
          <w:kern w:val="2"/>
          <w14:ligatures w14:val="standardContextual"/>
        </w:rPr>
        <w:t xml:space="preserve"> a vykonávania schémy pre environmentálne manažérstvo a audit, aby bolo možné hodnotiť environmentálnu výkonnosť prokuratúry, informovať o nej, posilniť ju a dosahovať úspory energie; vyzýva Komisiu, aby bola nápomocná pri dialógu medzi Európskou prokuratúrou a miestnymi hostiteľskými orgánmi s cieľom zabezpečiť optimálne využívanie zdrojov a zosúladenie operácií </w:t>
      </w:r>
      <w:r w:rsidRPr="00FC59BD">
        <w:rPr>
          <w:kern w:val="2"/>
          <w14:ligatures w14:val="standardContextual"/>
        </w:rPr>
        <w:lastRenderedPageBreak/>
        <w:t>Európskej prokuratúry s udržateľnosťou Únie;</w:t>
      </w:r>
    </w:p>
    <w:p w14:paraId="713113A0"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83.</w:t>
      </w:r>
      <w:r w:rsidRPr="00FC59BD">
        <w:rPr>
          <w:kern w:val="2"/>
          <w14:ligatures w14:val="standardContextual"/>
        </w:rPr>
        <w:tab/>
        <w:t xml:space="preserve">konštatuje, že ústredie Európskej prokuratúry je súčasťou luxemburskej siete bezplatnej </w:t>
      </w:r>
      <w:r w:rsidRPr="00FC59BD">
        <w:rPr>
          <w:color w:val="000000"/>
          <w:kern w:val="2"/>
          <w14:ligatures w14:val="standardContextual"/>
        </w:rPr>
        <w:t>verejnej</w:t>
      </w:r>
      <w:r w:rsidRPr="00FC59BD">
        <w:rPr>
          <w:kern w:val="2"/>
          <w14:ligatures w14:val="standardContextual"/>
        </w:rPr>
        <w:t xml:space="preserve"> dopravy, takže sa k nej možno ľahko dostať dopravnými prostriedkami s nízkym vplyvom na životné prostredie bez toho, aby zamestnancom a návštevníkom vznikli akékoľvek náklady, a že v podzemnom parkovisku ústredia je vyhradená osobitná časť pre bicykle; berie na vedomie, že prebiehajú diskusie týkajúce sa inštalácie nabíjacích staníc pre elektronické vozidlá v tomto podzemnom parkovisku;</w:t>
      </w:r>
    </w:p>
    <w:p w14:paraId="02CADBC9" w14:textId="77777777" w:rsidR="00FC59BD" w:rsidRPr="00FC59BD" w:rsidRDefault="00FC59BD" w:rsidP="00FC59BD">
      <w:pPr>
        <w:spacing w:after="240"/>
        <w:ind w:left="567" w:hanging="567"/>
        <w:rPr>
          <w:b/>
          <w:i/>
          <w:color w:val="000000"/>
          <w:kern w:val="2"/>
          <w:szCs w:val="24"/>
          <w14:ligatures w14:val="standardContextual"/>
        </w:rPr>
      </w:pPr>
      <w:proofErr w:type="spellStart"/>
      <w:r w:rsidRPr="00FC59BD">
        <w:rPr>
          <w:b/>
          <w:i/>
          <w:color w:val="000000"/>
          <w:kern w:val="2"/>
          <w14:ligatures w14:val="standardContextual"/>
        </w:rPr>
        <w:t>Medziinštitucionálna</w:t>
      </w:r>
      <w:proofErr w:type="spellEnd"/>
      <w:r w:rsidRPr="00FC59BD">
        <w:rPr>
          <w:b/>
          <w:i/>
          <w:color w:val="000000"/>
          <w:kern w:val="2"/>
          <w14:ligatures w14:val="standardContextual"/>
        </w:rPr>
        <w:t xml:space="preserve"> spolupráca</w:t>
      </w:r>
    </w:p>
    <w:p w14:paraId="3B5E6ED5"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84.</w:t>
      </w:r>
      <w:r w:rsidRPr="00FC59BD">
        <w:rPr>
          <w:kern w:val="2"/>
          <w14:ligatures w14:val="standardContextual"/>
        </w:rPr>
        <w:tab/>
      </w:r>
      <w:r w:rsidRPr="00FC59BD">
        <w:rPr>
          <w:color w:val="000000"/>
          <w:kern w:val="2"/>
          <w14:ligatures w14:val="standardContextual"/>
        </w:rPr>
        <w:t>zastáva názor</w:t>
      </w:r>
      <w:r w:rsidRPr="00FC59BD">
        <w:rPr>
          <w:kern w:val="2"/>
          <w14:ligatures w14:val="standardContextual"/>
        </w:rPr>
        <w:t>, že úlohu Európskej prokuratúry, ktorá je hlavnou operačnou zložkou štruktúry Únie pre boj proti podvodom, možno účinne plniť len pomocou intenzívnej spolupráce a podpory od jej partnerov a zainteresovaných strán; opakovane zdôrazňuje, že Európska prokuratúra môže plniť svoju úlohu len vtedy, ak má úplnú súdnu nezávislosť; nabáda členské štáty, aby v tejto prispievali k úplnej nezávislosti Európskej prokuratúry, a nabáda Európsku prokuratúru, aby ďalej vyvíjala úsilie zamerané na komunikáciu a koordináciu s viacerými partnermi, ktorých činnosť bola koncipovaná tak, aby sa vzájomne dopĺňali;</w:t>
      </w:r>
    </w:p>
    <w:p w14:paraId="30CEBFCB"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85.</w:t>
      </w:r>
      <w:r w:rsidRPr="00FC59BD">
        <w:rPr>
          <w:kern w:val="2"/>
          <w14:ligatures w14:val="standardContextual"/>
        </w:rPr>
        <w:tab/>
      </w:r>
      <w:r w:rsidRPr="00FC59BD">
        <w:rPr>
          <w:color w:val="000000"/>
          <w:kern w:val="2"/>
          <w14:ligatures w14:val="standardContextual"/>
        </w:rPr>
        <w:t>víta</w:t>
      </w:r>
      <w:r w:rsidRPr="00FC59BD">
        <w:rPr>
          <w:kern w:val="2"/>
          <w14:ligatures w14:val="standardContextual"/>
        </w:rPr>
        <w:t xml:space="preserve"> iniciatívy, ktoré spustili OLAF a Európska prokuratúra s cieľom zintenzívniť a zefektívniť ich operačnú spoluprácu a vymieňať znalosti medzi zúčastnenými aktérmi; oceňuje prvú medzinárodnú konferenciu, ktorá umožnila výmenu názorov medzi prokurátormi Európskej prokuratúry a vyšetrovateľmi úradu OLAF a ktorú usporiadal </w:t>
      </w:r>
      <w:r w:rsidRPr="00FC59BD">
        <w:rPr>
          <w:color w:val="000000"/>
          <w:kern w:val="2"/>
          <w14:ligatures w14:val="standardContextual"/>
        </w:rPr>
        <w:t xml:space="preserve">Európsky </w:t>
      </w:r>
      <w:r w:rsidRPr="00FC59BD">
        <w:rPr>
          <w:kern w:val="2"/>
          <w14:ligatures w14:val="standardContextual"/>
        </w:rPr>
        <w:t xml:space="preserve">parlament v roku 2024; zdôrazňuje, že revízia regulačných rámcov úradu OLAF a Európskej prokuratúry poskytuje príležitosť prehodnotiť mnohé aspekty ich spolupráce so zreteľom na ich skúsenosti získané v prvých rokoch operatívnej činnosti Európskej prokuratúry a s osobitným zreteľom na začatie doplňujúcich vyšetrovaní úradu OLAF a administratívnych vyšetrovaní, ktoré majú pomôcť Európskej prokuratúre, ako aj na významnejšiu úlohu úradu OLAF pri odhaľovaní podvodov a ich nahlasovaní podvodov Európskej prokuratúre s cieľom podporovať vymáhanie škody spôsobenej rozpočtu Únie; domnieva sa, že dialóg a spolupráca v rámci štruktúry boja proti podvodom by sa mohli zefektívniť zriadením pravidelného </w:t>
      </w:r>
      <w:proofErr w:type="spellStart"/>
      <w:r w:rsidRPr="00FC59BD">
        <w:rPr>
          <w:kern w:val="2"/>
          <w14:ligatures w14:val="standardContextual"/>
        </w:rPr>
        <w:t>medziinštitucionálneho</w:t>
      </w:r>
      <w:proofErr w:type="spellEnd"/>
      <w:r w:rsidRPr="00FC59BD">
        <w:rPr>
          <w:kern w:val="2"/>
          <w14:ligatures w14:val="standardContextual"/>
        </w:rPr>
        <w:t xml:space="preserve"> fóra s cieľom optimalizovať efektívnosť a účinnosť dostupných zdrojov v praxi;</w:t>
      </w:r>
    </w:p>
    <w:p w14:paraId="06A09422"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86.</w:t>
      </w:r>
      <w:r w:rsidRPr="00FC59BD">
        <w:rPr>
          <w:kern w:val="2"/>
          <w14:ligatures w14:val="standardContextual"/>
        </w:rPr>
        <w:tab/>
      </w:r>
      <w:r w:rsidRPr="00FC59BD">
        <w:rPr>
          <w:color w:val="000000"/>
          <w:kern w:val="2"/>
          <w14:ligatures w14:val="standardContextual"/>
        </w:rPr>
        <w:t>víta</w:t>
      </w:r>
      <w:r w:rsidRPr="00FC59BD">
        <w:rPr>
          <w:kern w:val="2"/>
          <w14:ligatures w14:val="standardContextual"/>
        </w:rPr>
        <w:t xml:space="preserve"> iniciatívy úradu OLAF a Európskej prokuratúry na zintenzívnenie operačného dialógu a zlepšenie koordinácie; zdôrazňuje význam úplnej a účinnej výmeny údajov medzi Európskou prokuratúrou, úradom OLAF, </w:t>
      </w:r>
      <w:proofErr w:type="spellStart"/>
      <w:r w:rsidRPr="00FC59BD">
        <w:rPr>
          <w:kern w:val="2"/>
          <w14:ligatures w14:val="standardContextual"/>
        </w:rPr>
        <w:t>Eurojustom</w:t>
      </w:r>
      <w:proofErr w:type="spellEnd"/>
      <w:r w:rsidRPr="00FC59BD">
        <w:rPr>
          <w:kern w:val="2"/>
          <w14:ligatures w14:val="standardContextual"/>
        </w:rPr>
        <w:t xml:space="preserve"> a </w:t>
      </w:r>
      <w:proofErr w:type="spellStart"/>
      <w:r w:rsidRPr="00FC59BD">
        <w:rPr>
          <w:kern w:val="2"/>
          <w14:ligatures w14:val="standardContextual"/>
        </w:rPr>
        <w:t>Europolom</w:t>
      </w:r>
      <w:proofErr w:type="spellEnd"/>
      <w:r w:rsidRPr="00FC59BD">
        <w:rPr>
          <w:kern w:val="2"/>
          <w14:ligatures w14:val="standardContextual"/>
        </w:rPr>
        <w:t xml:space="preserve"> s cieľom zabezpečiť bezproblémovú spoluprácu v boji proti cezhraničným podvodom; vyzýva na vytvorenie spoločnej pracovnej skupiny, ktorá by dohliadala na integráciu údajov a efektívnosť správy prípadov medzi týmito orgánmi;</w:t>
      </w:r>
    </w:p>
    <w:p w14:paraId="595F9778"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87.</w:t>
      </w:r>
      <w:r w:rsidRPr="00FC59BD">
        <w:rPr>
          <w:kern w:val="2"/>
          <w14:ligatures w14:val="standardContextual"/>
        </w:rPr>
        <w:tab/>
        <w:t>nabáda na nepretržitú a posilnenú spoluprácu medzi Európskou prokuratúrou a úradom OLAF v súlade s ich príslušnými nariadeniami a na povinnosť úradu OLAF bezodkladne oznamovať podozrenia z kontaktov medzi páchateľmi trestnej činnosti a Európskou prokuratúrou, aby mohla bojovať proti podvodom, korupcii a finančnej trestnej činnosti poškodzujúcej finančné záujmy Únie; podporuje ďalší rozvoj spoločných iniciatív, výmenu informácií a koordinované opatrenia medzi Európskou prokuratúrou a úradom OLAF, keďže takáto spolupráca je nevyhnutná na posilnenie ochrany finančných záujmov Únie a boja Únie proti finančnej trestnej činnosti a na zabezpečenie účinného a efektívneho využívania zdrojov Únie;</w:t>
      </w:r>
    </w:p>
    <w:p w14:paraId="4342BC7F"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lastRenderedPageBreak/>
        <w:t>88.</w:t>
      </w:r>
      <w:r w:rsidRPr="00FC59BD">
        <w:rPr>
          <w:kern w:val="2"/>
          <w14:ligatures w14:val="standardContextual"/>
        </w:rPr>
        <w:tab/>
        <w:t xml:space="preserve">oceňuje úzku spoluprácu medzi Európskou prokuratúrou a Dvorom audítorov, ktorej </w:t>
      </w:r>
      <w:r w:rsidRPr="00FC59BD">
        <w:rPr>
          <w:color w:val="000000"/>
          <w:kern w:val="2"/>
          <w14:ligatures w14:val="standardContextual"/>
        </w:rPr>
        <w:t>výsledkom</w:t>
      </w:r>
      <w:r w:rsidRPr="00FC59BD">
        <w:rPr>
          <w:kern w:val="2"/>
          <w14:ligatures w14:val="standardContextual"/>
        </w:rPr>
        <w:t xml:space="preserve"> je včasné zasielanie informácií o podozrení z trestných činov spadajúcich do pôsobnosti Európskej prokuratúry;</w:t>
      </w:r>
    </w:p>
    <w:p w14:paraId="72462F2C"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89.</w:t>
      </w:r>
      <w:r w:rsidRPr="00FC59BD">
        <w:rPr>
          <w:kern w:val="2"/>
          <w14:ligatures w14:val="standardContextual"/>
        </w:rPr>
        <w:tab/>
      </w:r>
      <w:r w:rsidRPr="00FC59BD">
        <w:rPr>
          <w:color w:val="000000"/>
          <w:kern w:val="2"/>
          <w14:ligatures w14:val="standardContextual"/>
        </w:rPr>
        <w:t>očakáva</w:t>
      </w:r>
      <w:r w:rsidRPr="00FC59BD">
        <w:rPr>
          <w:kern w:val="2"/>
          <w14:ligatures w14:val="standardContextual"/>
        </w:rPr>
        <w:t xml:space="preserve">, že pracovná skupina, ktorá bola zriadená s Komisiou, a zasadnutia týkajúce sa vykonávania pracovného dojednania medzi Komisiou a Európskou prokuratúrou zabezpečia, aby oznámenia Európskej prokuratúry na účel administratívneho vymáhania v súlade s článkom 103 ods. 2 písm. c) nariadenia (EÚ) 2017/1939 riadne a účinne umožňovali Komisii maximálne vymáhanie prostriedkov v prospech rozpočtu Únie a zároveň zachovávali dôvernosť a zabezpečovali riadny priebeh vyšetrovacích opatrení; zdôrazňuje, že v tejto konkrétnej súvislosti žiadna zo strán ešte neposkytla spätnú väzbu, čo zákonodarcom bráni v tom, aby plne porozumeli základným problémom, vrátane konkrétnych ročných súm vymožených Komisiou od členských štátov v prípadoch škody na rozpočte Únie; zdôrazňuje, že vymáhanie finančných prostriedkov vnútroštátnymi orgánmi zostáva v zodpovednosti Komisie, ako sa uvádza v poverovacom liste pre komisára pre rozpočet, boj proti podvodom a verejnú správu, zatiaľ čo Európska prokuratúra nemá mandát na sledovanie procesu vymáhania prostriedkov; vyzýva členské štáty, aby posilnili spoluprácu a informovali Komisiu aj Európsku prokuratúru o konečných konfiškáciách; naliehavo vyzýva na revíziu príslušných nariadení s cieľom objasniť úlohu Európskej prokuratúry v procese vymáhania; a naliehavo vyzýva Európsku prokuratúru a Komisiu, aby prijali dohodnutú formu podávania správ </w:t>
      </w:r>
      <w:r w:rsidRPr="00FC59BD">
        <w:rPr>
          <w:color w:val="000000"/>
          <w:kern w:val="2"/>
          <w14:ligatures w14:val="standardContextual"/>
        </w:rPr>
        <w:t xml:space="preserve">Európskemu </w:t>
      </w:r>
      <w:r w:rsidRPr="00FC59BD">
        <w:rPr>
          <w:kern w:val="2"/>
          <w14:ligatures w14:val="standardContextual"/>
        </w:rPr>
        <w:t>parlamentu; berie na vedomie, že to by si mohlo vyžadovať primeraný vývoj systému správy prípadov Európskej prokuratúry, a žiada Komisiu, aby prednostne pridelila Európskej prokuratúre zdroje umožňujúce pokrytie tejto potreby;</w:t>
      </w:r>
    </w:p>
    <w:p w14:paraId="098C9F6D" w14:textId="77777777" w:rsidR="00FC59BD" w:rsidRPr="00FC59BD" w:rsidRDefault="00FC59BD" w:rsidP="00FC59BD">
      <w:pPr>
        <w:spacing w:after="240"/>
        <w:ind w:left="567" w:hanging="567"/>
        <w:rPr>
          <w:b/>
          <w:i/>
          <w:kern w:val="2"/>
          <w14:ligatures w14:val="standardContextual"/>
        </w:rPr>
      </w:pPr>
      <w:r w:rsidRPr="00FC59BD">
        <w:rPr>
          <w:kern w:val="2"/>
          <w14:ligatures w14:val="standardContextual"/>
        </w:rPr>
        <w:t>90.</w:t>
      </w:r>
      <w:r w:rsidRPr="00FC59BD">
        <w:rPr>
          <w:kern w:val="2"/>
          <w14:ligatures w14:val="standardContextual"/>
        </w:rPr>
        <w:tab/>
      </w:r>
      <w:r w:rsidRPr="00FC59BD">
        <w:rPr>
          <w:color w:val="000000"/>
          <w:kern w:val="2"/>
          <w14:ligatures w14:val="standardContextual"/>
        </w:rPr>
        <w:t>víta</w:t>
      </w:r>
      <w:r w:rsidRPr="00FC59BD">
        <w:rPr>
          <w:kern w:val="2"/>
          <w14:ligatures w14:val="standardContextual"/>
        </w:rPr>
        <w:t xml:space="preserve"> posilnenú spoluprácu s </w:t>
      </w:r>
      <w:proofErr w:type="spellStart"/>
      <w:r w:rsidRPr="00FC59BD">
        <w:rPr>
          <w:kern w:val="2"/>
          <w14:ligatures w14:val="standardContextual"/>
        </w:rPr>
        <w:t>Europolom</w:t>
      </w:r>
      <w:proofErr w:type="spellEnd"/>
      <w:r w:rsidRPr="00FC59BD">
        <w:rPr>
          <w:kern w:val="2"/>
          <w14:ligatures w14:val="standardContextual"/>
        </w:rPr>
        <w:t xml:space="preserve">; konštatuje, že program ODIN (operačná sieť digitálnej infraštruktúry) by umožnil plne využívať množstvo údajov, ktoré Európska prokuratúra získava pri svojich vyšetrovaniach (viac ako 1 000 </w:t>
      </w:r>
      <w:proofErr w:type="spellStart"/>
      <w:r w:rsidRPr="00FC59BD">
        <w:rPr>
          <w:kern w:val="2"/>
          <w14:ligatures w14:val="standardContextual"/>
        </w:rPr>
        <w:t>terabajtov</w:t>
      </w:r>
      <w:proofErr w:type="spellEnd"/>
      <w:r w:rsidRPr="00FC59BD">
        <w:rPr>
          <w:kern w:val="2"/>
          <w14:ligatures w14:val="standardContextual"/>
        </w:rPr>
        <w:t>, pričom toto množstvo rastie); konštatuje, že Európska prokuratúra v tomto rámci označila možné trestné činy, ktoré nepatria do jej pôsobnosti, vrátane organizovanej trestnej činnosti, obchodovania s drogami, nezákonnej výroby cigariet, investičných podvodov, nezákonných hazardných hier a prostitúcie (trestné činy bez súvislosti s ochranou finančných záujmov) a i., čo viedlo k postúpeniu niekoľkých spisov ako kľúčových dôkazov v prebiehajúcich vnútroštátnych vyšetrovaniach a že prokuratúry členských štátov otvorili 28 nových prípadov na účel ďalšieho vyšetrovania týchto trestných činov bez súvislosti s ochranou finančných záujmov, ktoré nepatria do pôsobnosti Európskej prokuratúry; berie na vedomie, že v prípade tejto a ďalších analýz však spolupráca s </w:t>
      </w:r>
      <w:proofErr w:type="spellStart"/>
      <w:r w:rsidRPr="00FC59BD">
        <w:rPr>
          <w:kern w:val="2"/>
          <w14:ligatures w14:val="standardContextual"/>
        </w:rPr>
        <w:t>Europolom</w:t>
      </w:r>
      <w:proofErr w:type="spellEnd"/>
      <w:r w:rsidRPr="00FC59BD">
        <w:rPr>
          <w:kern w:val="2"/>
          <w14:ligatures w14:val="standardContextual"/>
        </w:rPr>
        <w:t xml:space="preserve"> naráža na obmedzenia vyplývajúce z vnútroštátneho trestného práva procesného a prístupnosti údajov, ktoré vlastní Európska prokuratúra; zdôrazňuje, že existujúca právomoc Európskej prokuratúry vyšetrovať organizovanú trestnú činnosť a pranie špinavých peňazí, ktoré sú spojené s podvodmi poškodzujúcimi finančné záujmy Únie, by sa mala podporovať prostredníctvom primeraných zdrojov a účinnej spolupráce s </w:t>
      </w:r>
      <w:proofErr w:type="spellStart"/>
      <w:r w:rsidRPr="00FC59BD">
        <w:rPr>
          <w:kern w:val="2"/>
          <w14:ligatures w14:val="standardContextual"/>
        </w:rPr>
        <w:t>Europolom</w:t>
      </w:r>
      <w:proofErr w:type="spellEnd"/>
      <w:r w:rsidRPr="00FC59BD">
        <w:rPr>
          <w:kern w:val="2"/>
          <w14:ligatures w14:val="standardContextual"/>
        </w:rPr>
        <w:t>; domnieva sa, že hoci treba spoluprácu s </w:t>
      </w:r>
      <w:proofErr w:type="spellStart"/>
      <w:r w:rsidRPr="00FC59BD">
        <w:rPr>
          <w:kern w:val="2"/>
          <w14:ligatures w14:val="standardContextual"/>
        </w:rPr>
        <w:t>Europolom</w:t>
      </w:r>
      <w:proofErr w:type="spellEnd"/>
      <w:r w:rsidRPr="00FC59BD">
        <w:rPr>
          <w:kern w:val="2"/>
          <w14:ligatures w14:val="standardContextual"/>
        </w:rPr>
        <w:t xml:space="preserve"> ešte viac posilniť, nemôže úplne nahradiť vývoj internej analytickej platformy Európskej prokuratúry, ktorá má aj naďalej zásadný význam pre rýchlu interpretáciu údajov zhromaždených počas jej vyšetrovaní a pre stanovenie operačných stratégií v cezhraničných prípadoch, ktoré vyžadujú prístup k celému systému správy prípadov Európskej prokuratúry; pripomína, že Komisia by mala vo svojej nadchádzajúcej hodnotiacej správe dôkladne zanalyzovať, na ktoré kategórie trestných činov treba rozšíriť mandát Európskej prokuratúry, aby sa v plnej využíval jej potenciál; víta výzvu </w:t>
      </w:r>
      <w:r w:rsidRPr="00FC59BD">
        <w:rPr>
          <w:kern w:val="2"/>
          <w14:ligatures w14:val="standardContextual"/>
        </w:rPr>
        <w:lastRenderedPageBreak/>
        <w:t>Európskej prokuratúry na posilnenie spolupráce s inštitúciami Únie;</w:t>
      </w:r>
    </w:p>
    <w:p w14:paraId="72CCD690"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91.</w:t>
      </w:r>
      <w:r w:rsidRPr="00FC59BD">
        <w:rPr>
          <w:kern w:val="2"/>
          <w14:ligatures w14:val="standardContextual"/>
        </w:rPr>
        <w:tab/>
        <w:t xml:space="preserve">vyjadruje </w:t>
      </w:r>
      <w:r w:rsidRPr="00FC59BD">
        <w:rPr>
          <w:color w:val="000000"/>
          <w:kern w:val="2"/>
          <w14:ligatures w14:val="standardContextual"/>
        </w:rPr>
        <w:t>znepokojenie</w:t>
      </w:r>
      <w:r w:rsidRPr="00FC59BD">
        <w:rPr>
          <w:kern w:val="2"/>
          <w14:ligatures w14:val="standardContextual"/>
        </w:rPr>
        <w:t xml:space="preserve"> v súvislosti s čoraz väčším počtom prípadov týkajúcich sa Mechanizmu na podporu obnovy a odolnosti; oceňuje včasné informácie poskytované Komisii a príslušným výborom </w:t>
      </w:r>
      <w:r w:rsidRPr="00FC59BD">
        <w:rPr>
          <w:color w:val="000000"/>
          <w:kern w:val="2"/>
          <w14:ligatures w14:val="standardContextual"/>
        </w:rPr>
        <w:t xml:space="preserve">Európskeho </w:t>
      </w:r>
      <w:r w:rsidRPr="00FC59BD">
        <w:rPr>
          <w:kern w:val="2"/>
          <w14:ligatures w14:val="standardContextual"/>
        </w:rPr>
        <w:t>parlamentu v tejto záležitosti; domnieva sa, že veľký počet aktívnych prípadov týkajúcich sa finančných prostriedkov z Mechanizmu na podporu obnovy a odolnosti je dôvodom intenzívnejšej komunikácie, najmä s pracovnou skupinou pre obnovu a odolnosť s cieľom identifikovať možné nedostatky v dohľade alebo kontrole alebo odhaliť vzorce podvodov a umožniť Komisii, aby priebežne aktualizovala svoje mechanizmy monitorovania výkonnosti a presadzovala nedávno navrhnuté opatrenia na zníženie prostriedkov alebo ich vymáhanie; pripomína, že prostriedky z Mechanizmu na podporu obnovy a odolnosti sú finančné prostriedky Únie, a nie členských štátov a patria do právomoci Európskej prokuratúry, a vyzýva Komisiu a ďalšie orgány Únie, aby zvýšili úsilie o odhaľovanie podvodov a informovanie Európskej prokuratúry o každom príslušnom prípade;</w:t>
      </w:r>
    </w:p>
    <w:p w14:paraId="37503478"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92.</w:t>
      </w:r>
      <w:r w:rsidRPr="00FC59BD">
        <w:rPr>
          <w:kern w:val="2"/>
          <w14:ligatures w14:val="standardContextual"/>
        </w:rPr>
        <w:tab/>
      </w:r>
      <w:r w:rsidRPr="00FC59BD">
        <w:rPr>
          <w:color w:val="000000"/>
          <w:kern w:val="2"/>
          <w14:ligatures w14:val="standardContextual"/>
        </w:rPr>
        <w:t>víta</w:t>
      </w:r>
      <w:r w:rsidRPr="00FC59BD">
        <w:rPr>
          <w:kern w:val="2"/>
          <w14:ligatures w14:val="standardContextual"/>
        </w:rPr>
        <w:t xml:space="preserve"> skutočnosť, že Európska prokuratúra podpísala v novembri 2024 s Európskym parlamentom pracovnú dohodu, v ktorej sa stanovujú jasné spôsoby spolupráce na účely ochrany finančných záujmov Únie;</w:t>
      </w:r>
    </w:p>
    <w:p w14:paraId="1AF9B7A3" w14:textId="77777777" w:rsidR="00FC59BD" w:rsidRPr="00FC59BD" w:rsidRDefault="00FC59BD" w:rsidP="00FC59BD">
      <w:pPr>
        <w:spacing w:after="240"/>
        <w:ind w:left="567" w:hanging="567"/>
        <w:rPr>
          <w:bCs/>
          <w:kern w:val="2"/>
          <w:szCs w:val="24"/>
          <w14:ligatures w14:val="standardContextual"/>
        </w:rPr>
      </w:pPr>
      <w:r w:rsidRPr="00FC59BD">
        <w:rPr>
          <w:kern w:val="2"/>
          <w14:ligatures w14:val="standardContextual"/>
        </w:rPr>
        <w:t>93.</w:t>
      </w:r>
      <w:r w:rsidRPr="00FC59BD">
        <w:rPr>
          <w:kern w:val="2"/>
          <w14:ligatures w14:val="standardContextual"/>
        </w:rPr>
        <w:tab/>
        <w:t xml:space="preserve">konštatuje, že Európska prokuratúra v roku 2023 naďalej využívala </w:t>
      </w:r>
      <w:proofErr w:type="spellStart"/>
      <w:r w:rsidRPr="00FC59BD">
        <w:rPr>
          <w:kern w:val="2"/>
          <w14:ligatures w14:val="standardContextual"/>
        </w:rPr>
        <w:t>medziinštitucionálne</w:t>
      </w:r>
      <w:proofErr w:type="spellEnd"/>
      <w:r w:rsidRPr="00FC59BD">
        <w:rPr>
          <w:kern w:val="2"/>
          <w14:ligatures w14:val="standardContextual"/>
        </w:rPr>
        <w:t xml:space="preserve"> zmluvy a </w:t>
      </w:r>
      <w:r w:rsidRPr="00FC59BD">
        <w:rPr>
          <w:color w:val="000000"/>
          <w:kern w:val="2"/>
          <w14:ligatures w14:val="standardContextual"/>
        </w:rPr>
        <w:t>dvojstranné</w:t>
      </w:r>
      <w:r w:rsidRPr="00FC59BD">
        <w:rPr>
          <w:kern w:val="2"/>
          <w14:ligatures w14:val="standardContextual"/>
        </w:rPr>
        <w:t xml:space="preserve"> dohody na nákup tovaru a služieb za nižšie ceny; konštatuje, že Európska prokuratúra sa na konci roka 2023 aktívne podieľala na 80 </w:t>
      </w:r>
      <w:proofErr w:type="spellStart"/>
      <w:r w:rsidRPr="00FC59BD">
        <w:rPr>
          <w:kern w:val="2"/>
          <w14:ligatures w14:val="standardContextual"/>
        </w:rPr>
        <w:t>medziinštitucionálnych</w:t>
      </w:r>
      <w:proofErr w:type="spellEnd"/>
      <w:r w:rsidRPr="00FC59BD">
        <w:rPr>
          <w:kern w:val="2"/>
          <w14:ligatures w14:val="standardContextual"/>
        </w:rPr>
        <w:t xml:space="preserve"> rámcových zmluvách a 22 dohodách o úrovni poskytovaných služieb alebo iných dvojstranných zmluvách s inými subjektmi Únie s cieľom maximalizovať rozpočtové úspory zo zavedených zmluvných nástrojov v súlade so zásadami správneho finančného riadenia;</w:t>
      </w:r>
    </w:p>
    <w:p w14:paraId="7906AC19" w14:textId="77777777" w:rsidR="00FC59BD" w:rsidRPr="00FC59BD" w:rsidRDefault="00FC59BD" w:rsidP="00FC59BD">
      <w:pPr>
        <w:widowControl/>
        <w:autoSpaceDE w:val="0"/>
        <w:autoSpaceDN w:val="0"/>
        <w:adjustRightInd w:val="0"/>
        <w:spacing w:after="240"/>
        <w:ind w:left="567" w:hanging="567"/>
        <w:rPr>
          <w:rFonts w:eastAsia="Calibri"/>
          <w:color w:val="000000"/>
          <w:kern w:val="2"/>
          <w:szCs w:val="24"/>
          <w14:ligatures w14:val="standardContextual"/>
        </w:rPr>
      </w:pPr>
      <w:r w:rsidRPr="00FC59BD">
        <w:rPr>
          <w:kern w:val="2"/>
          <w14:ligatures w14:val="standardContextual"/>
        </w:rPr>
        <w:t>94.</w:t>
      </w:r>
      <w:r w:rsidRPr="00FC59BD">
        <w:rPr>
          <w:kern w:val="2"/>
          <w14:ligatures w14:val="standardContextual"/>
        </w:rPr>
        <w:tab/>
        <w:t>veľmi víta účasť Poľska a Švédska na činnosti Európskej prokuratúry; uvedomuje si, že to bude mať vplyv na rozpočtové potreby Európskej prokuratúry, a podporuje žiadosť Európskej prokuratúry o pridelenie potrebných zdrojov, ktoré jej umožnia využiť účasť Poľska a Švédska na jej operatívnych činnostiach; konštatuje,</w:t>
      </w:r>
      <w:r w:rsidRPr="00FC59BD">
        <w:rPr>
          <w:color w:val="000000"/>
          <w:kern w:val="2"/>
          <w14:ligatures w14:val="standardContextual"/>
        </w:rPr>
        <w:t xml:space="preserve"> že zatiaľ čo Írsko a Dánsko naďalej uplatňujú doložku o neúčasti podľa Protokolov č. 21 a č. 22 k ZFEÚ, Maďarsko sa zatiaľ ako posledný členský štát nepripojilo k </w:t>
      </w:r>
      <w:r w:rsidRPr="00FC59BD">
        <w:rPr>
          <w:kern w:val="2"/>
          <w14:ligatures w14:val="standardContextual"/>
        </w:rPr>
        <w:t>Európskej prokuratúre</w:t>
      </w:r>
      <w:r w:rsidRPr="00FC59BD">
        <w:rPr>
          <w:color w:val="000000"/>
          <w:kern w:val="2"/>
          <w14:ligatures w14:val="standardContextual"/>
        </w:rPr>
        <w:t>; vyzýva maďarskú vládu, aby sa bezodkladne pripojilo k </w:t>
      </w:r>
      <w:r w:rsidRPr="00FC59BD">
        <w:rPr>
          <w:kern w:val="2"/>
          <w14:ligatures w14:val="standardContextual"/>
        </w:rPr>
        <w:t>Európskej prokuratúre</w:t>
      </w:r>
      <w:r w:rsidRPr="00FC59BD">
        <w:rPr>
          <w:color w:val="000000"/>
          <w:kern w:val="2"/>
          <w14:ligatures w14:val="standardContextual"/>
        </w:rPr>
        <w:t>; pripomína, že sa vyzbieralo 680 000 podpisov za pristúpenie k </w:t>
      </w:r>
      <w:r w:rsidRPr="00FC59BD">
        <w:rPr>
          <w:kern w:val="2"/>
          <w14:ligatures w14:val="standardContextual"/>
        </w:rPr>
        <w:t>Európskej prokuratúre</w:t>
      </w:r>
      <w:r w:rsidRPr="00FC59BD">
        <w:rPr>
          <w:color w:val="000000"/>
          <w:kern w:val="2"/>
          <w14:ligatures w14:val="standardContextual"/>
        </w:rPr>
        <w:t>, čo podčiarkuje silnú požiadavku spoločnosti, aby sa posilnili právne záruky proti podvodom a korupcii poškodzujúcim finančné záujmy Únie;</w:t>
      </w:r>
    </w:p>
    <w:p w14:paraId="10052AA7" w14:textId="77777777" w:rsidR="00FC59BD" w:rsidRPr="00FC59BD" w:rsidRDefault="00FC59BD" w:rsidP="00FC59BD">
      <w:pPr>
        <w:spacing w:after="240"/>
        <w:ind w:left="567" w:hanging="567"/>
        <w:rPr>
          <w:kern w:val="2"/>
          <w:szCs w:val="24"/>
          <w14:ligatures w14:val="standardContextual"/>
        </w:rPr>
      </w:pPr>
      <w:r w:rsidRPr="00FC59BD">
        <w:rPr>
          <w:kern w:val="2"/>
          <w14:ligatures w14:val="standardContextual"/>
        </w:rPr>
        <w:t>95.</w:t>
      </w:r>
      <w:r w:rsidRPr="00FC59BD">
        <w:rPr>
          <w:kern w:val="2"/>
          <w14:ligatures w14:val="standardContextual"/>
        </w:rPr>
        <w:tab/>
      </w:r>
      <w:r w:rsidRPr="00FC59BD">
        <w:rPr>
          <w:color w:val="000000"/>
          <w:kern w:val="2"/>
          <w14:ligatures w14:val="standardContextual"/>
        </w:rPr>
        <w:t>konštatuje</w:t>
      </w:r>
      <w:r w:rsidRPr="00FC59BD">
        <w:rPr>
          <w:kern w:val="2"/>
          <w14:ligatures w14:val="standardContextual"/>
        </w:rPr>
        <w:t>, že v roku 2023 nenastalo žiadne významné zlepšenie na strane írskych orgánov v súvislosti s účasťou na činnosti Európskej prokuratúry; pripomína, že ich odmietnutie spolupracovať s Európskou prokuratúrou na vybavení viacerých žiadostí o vzájomnú právnu pomoc, ktoré poslali európski delegovaní prokurátori, viedlo k tomu, že Európska prokuratúra o tejto situácii informovala Komisiu v súlade s </w:t>
      </w:r>
      <w:r w:rsidRPr="00FC59BD">
        <w:rPr>
          <w:color w:val="000000"/>
          <w:kern w:val="2"/>
          <w14:ligatures w14:val="standardContextual"/>
        </w:rPr>
        <w:t>nariadením</w:t>
      </w:r>
      <w:r w:rsidRPr="00FC59BD">
        <w:rPr>
          <w:color w:val="333333"/>
          <w:kern w:val="2"/>
          <w:shd w:val="clear" w:color="auto" w:fill="FFFFFF"/>
          <w14:ligatures w14:val="standardContextual"/>
        </w:rPr>
        <w:t xml:space="preserve"> Európskeho parlamentu a Rady (EÚ, </w:t>
      </w:r>
      <w:proofErr w:type="spellStart"/>
      <w:r w:rsidRPr="00FC59BD">
        <w:rPr>
          <w:color w:val="333333"/>
          <w:kern w:val="2"/>
          <w:shd w:val="clear" w:color="auto" w:fill="FFFFFF"/>
          <w14:ligatures w14:val="standardContextual"/>
        </w:rPr>
        <w:t>Euratom</w:t>
      </w:r>
      <w:proofErr w:type="spellEnd"/>
      <w:r w:rsidRPr="00FC59BD">
        <w:rPr>
          <w:color w:val="333333"/>
          <w:kern w:val="2"/>
          <w:shd w:val="clear" w:color="auto" w:fill="FFFFFF"/>
          <w14:ligatures w14:val="standardContextual"/>
        </w:rPr>
        <w:t>) 2020/2092 </w:t>
      </w:r>
      <w:r w:rsidRPr="00FC59BD">
        <w:rPr>
          <w:bCs/>
          <w:color w:val="333333"/>
          <w:kern w:val="2"/>
          <w:szCs w:val="24"/>
          <w:shd w:val="clear" w:color="auto" w:fill="FFFFFF"/>
          <w:vertAlign w:val="superscript"/>
          <w14:ligatures w14:val="standardContextual"/>
        </w:rPr>
        <w:footnoteReference w:id="17"/>
      </w:r>
      <w:r w:rsidRPr="00FC59BD">
        <w:rPr>
          <w:color w:val="333333"/>
          <w:kern w:val="2"/>
          <w:shd w:val="clear" w:color="auto" w:fill="FFFFFF"/>
          <w14:ligatures w14:val="standardContextual"/>
        </w:rPr>
        <w:t>;</w:t>
      </w:r>
      <w:r w:rsidRPr="00FC59BD">
        <w:rPr>
          <w:kern w:val="2"/>
          <w14:ligatures w14:val="standardContextual"/>
        </w:rPr>
        <w:t xml:space="preserve"> oceňuje následné rozhodnutie írskych orgánov, že zmenia svoje vnútroštátne právne predpisy, ktorými sa stanovuje právny rámec pre vzájomnú právnu pomoc Európskej prokuratúre, </w:t>
      </w:r>
      <w:r w:rsidRPr="00FC59BD">
        <w:rPr>
          <w:kern w:val="2"/>
          <w14:ligatures w14:val="standardContextual"/>
        </w:rPr>
        <w:lastRenderedPageBreak/>
        <w:t xml:space="preserve">a zdôrazňuje, že od 1. novembra 2023 sa na základe tohto jednostranného uznania poskytuje vzájomná právna pomoc Európskej prokuratúre; konštatuje, že sa neuskutočnila žiadna komunikácia s írskou </w:t>
      </w:r>
      <w:proofErr w:type="spellStart"/>
      <w:r w:rsidRPr="00FC59BD">
        <w:rPr>
          <w:kern w:val="2"/>
          <w14:ligatures w14:val="standardContextual"/>
        </w:rPr>
        <w:t>medziagentúrnou</w:t>
      </w:r>
      <w:proofErr w:type="spellEnd"/>
      <w:r w:rsidRPr="00FC59BD">
        <w:rPr>
          <w:kern w:val="2"/>
          <w14:ligatures w14:val="standardContextual"/>
        </w:rPr>
        <w:t xml:space="preserve"> pracovnou skupinou, ktorá bola zriadená, aby preskúmala prípadné budúce pristúpenie Írska k Európskej prokuratúre; naliehavo vyzýva Komisiu, Európsku prokuratúru a írske orgány, aby nadviazali konštruktívny dialóg s cieľom nájsť účinný spôsob spolupráce;</w:t>
      </w:r>
    </w:p>
    <w:p w14:paraId="31420DFA" w14:textId="77777777" w:rsidR="00FC59BD" w:rsidRPr="00FC59BD" w:rsidRDefault="00FC59BD" w:rsidP="00FC59BD">
      <w:pPr>
        <w:widowControl/>
        <w:autoSpaceDE w:val="0"/>
        <w:autoSpaceDN w:val="0"/>
        <w:adjustRightInd w:val="0"/>
        <w:spacing w:after="240"/>
        <w:ind w:left="567" w:hanging="567"/>
        <w:rPr>
          <w:kern w:val="2"/>
          <w:szCs w:val="24"/>
          <w14:ligatures w14:val="standardContextual"/>
        </w:rPr>
      </w:pPr>
      <w:r w:rsidRPr="00FC59BD">
        <w:rPr>
          <w:kern w:val="2"/>
          <w14:ligatures w14:val="standardContextual"/>
        </w:rPr>
        <w:t>96.</w:t>
      </w:r>
      <w:r w:rsidRPr="00FC59BD">
        <w:rPr>
          <w:kern w:val="2"/>
          <w14:ligatures w14:val="standardContextual"/>
        </w:rPr>
        <w:tab/>
        <w:t>zastáva názor, že v dôsledku nedostatočnej spolupráce s Európskou prokuratúrou zo strany ktoréhokoľvek členského štátu bez ohľadu na to, či sa zúčastňuje na posilnenej spolupráci, na ktorej základe bola zriadená Európska prokuratúra, vznikajú medzery v systéme imunít a výsad, v dôsledku čoho je ochrana finančných záujmov Únie prinajmenšom nerovnomerná a neefektívna; opakovane vyzýva Komisiu a dotknuté členské štáty, aby vynaložili maximálne úsilie na začlenenie súčasného scenára s niekoľkými, ale stále veľmi dôležitými chýbajúcimi prvkami, a podporili tak rozšírenie účasti ďalších stále nezúčastnených členských štátov v Európskej prokuratúre takým spôsobom, ktorý ešte účinnejšie ochráni rozpočet Únie a členských štátov; vyzýva Komisiu, aby dôkladne monitorovala úroveň spolupráce členských štátov s Európskou prokuratúrou, a naliehavo vyzýva Komisiu, aby začala konanie o nesplnení povinnosti proti ktorémukoľvek členskému štátu, ktorý systematicky bráni vyšetrovaniam vedeným Európskou prokuratúrou; zastáva názor, že členstvo v Európskej prokuratúre by malo byť podmienkou získania finančných prostriedkov Únie;</w:t>
      </w:r>
    </w:p>
    <w:p w14:paraId="4E1F0A55" w14:textId="77777777" w:rsidR="00FC59BD" w:rsidRPr="00FC59BD" w:rsidRDefault="00FC59BD" w:rsidP="00FC59BD">
      <w:pPr>
        <w:spacing w:after="240"/>
        <w:ind w:left="567" w:hanging="567"/>
        <w:rPr>
          <w:kern w:val="2"/>
          <w14:ligatures w14:val="standardContextual"/>
        </w:rPr>
      </w:pPr>
      <w:r w:rsidRPr="00FC59BD">
        <w:rPr>
          <w:kern w:val="2"/>
          <w14:ligatures w14:val="standardContextual"/>
        </w:rPr>
        <w:t>97.</w:t>
      </w:r>
      <w:r w:rsidRPr="00FC59BD">
        <w:rPr>
          <w:kern w:val="2"/>
          <w14:ligatures w14:val="standardContextual"/>
        </w:rPr>
        <w:tab/>
      </w:r>
      <w:r w:rsidRPr="00FC59BD">
        <w:rPr>
          <w:color w:val="000000"/>
          <w:kern w:val="2"/>
          <w14:ligatures w14:val="standardContextual"/>
        </w:rPr>
        <w:t>odsudzuje</w:t>
      </w:r>
      <w:r w:rsidRPr="00FC59BD">
        <w:rPr>
          <w:kern w:val="2"/>
          <w14:ligatures w14:val="standardContextual"/>
        </w:rPr>
        <w:t xml:space="preserve"> nedávno nahlásenú systematickú špionáž organizovanú maďarskou vládou voči zamestnancom úradu OLAF počas vyšetrovacej misie, ktorej predmetom bolo potenciálne zneužitie finančných prostriedkov Únie spoločnosťou ELIOS, s ktorou je spájaný zať maďarského premiéra; zdôrazňuje, že úrad OLAF a Európska prokuratúra sú ako inštitucionálne piliere štruktúry Únie na boj proti podvodom, bohužiaľ, vystavené takýmto hrozbám nielen z tretích krajín, ale aj v rámci členských štátov EÚ; zdôrazňuje, že takéto konanie vážne podkopáva právny štát a integritu inštitúcií Únie; požaduje, aby sa rýchlo zriadili spoľahlivé ochranné mechanizmy na ochranu zamestnancov inštitúcií Únie počas služobných ciest v členských štátoch a aby sa v budúcnosti zabránilo takýmto neprijateľným porušeniam;</w:t>
      </w:r>
    </w:p>
    <w:p w14:paraId="17DC48E8" w14:textId="77777777" w:rsidR="00FC59BD" w:rsidRPr="00FC59BD" w:rsidRDefault="00FC59BD" w:rsidP="00FC59BD">
      <w:pPr>
        <w:spacing w:after="240"/>
        <w:rPr>
          <w:i/>
          <w:color w:val="000000"/>
          <w:kern w:val="2"/>
          <w:szCs w:val="24"/>
          <w14:ligatures w14:val="standardContextual"/>
        </w:rPr>
      </w:pPr>
      <w:r w:rsidRPr="00FC59BD">
        <w:rPr>
          <w:b/>
          <w:i/>
          <w:color w:val="000000"/>
          <w:kern w:val="2"/>
          <w14:ligatures w14:val="standardContextual"/>
        </w:rPr>
        <w:t>Komunikácia</w:t>
      </w:r>
    </w:p>
    <w:p w14:paraId="78E5A094"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98.</w:t>
      </w:r>
      <w:r w:rsidRPr="00FC59BD">
        <w:rPr>
          <w:kern w:val="2"/>
          <w14:ligatures w14:val="standardContextual"/>
        </w:rPr>
        <w:tab/>
        <w:t>konštatuje, že Európska prokuratúra naďalej vyvíja úsilie o posilnenie internej a externej komunikácie; oceňuje opatrenia vykonávané prostredníctvom platforiem sociálnych sietí a nabáda Európsku prokuratúru, aby zachovala tento proaktívny a transparentný prístup;</w:t>
      </w:r>
    </w:p>
    <w:p w14:paraId="1C4E45BA"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99.</w:t>
      </w:r>
      <w:r w:rsidRPr="00FC59BD">
        <w:rPr>
          <w:kern w:val="2"/>
          <w14:ligatures w14:val="standardContextual"/>
        </w:rPr>
        <w:tab/>
        <w:t>domnieva sa, že pokiaľ by sa vysvetlenia zásahov a operácií Európskej prokuratúry a ich súvislostí zverejňovali v médiách a na sociálnych sieťach, prispelo by to k lepšej povesti inštitúcií medzi občanmi a zvýšilo povedomie daňovníkov o komplexnosti ochrany finančných záujmov Únie;</w:t>
      </w:r>
    </w:p>
    <w:p w14:paraId="01D5C312"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100.</w:t>
      </w:r>
      <w:r w:rsidRPr="00FC59BD">
        <w:rPr>
          <w:kern w:val="2"/>
          <w14:ligatures w14:val="standardContextual"/>
        </w:rPr>
        <w:tab/>
        <w:t xml:space="preserve">zastáva názor, že riadna a presná komunikácia zo strany Európskej prokuratúry by okrem toho zvýšila zapojenie občianskej spoločnosti a predkladanie prípadných podnetov na vyšetrovanie; chápe, že Európska prokuratúra žiada, aby sa možnosť oznamovania začlenila do každej štandardnej prezentácie pre externé publikum alebo v rámci konferencií alebo seminárov vždy, keď je to možné a vhodné; konštatuje, že </w:t>
      </w:r>
      <w:r w:rsidRPr="00FC59BD">
        <w:rPr>
          <w:kern w:val="2"/>
          <w14:ligatures w14:val="standardContextual"/>
        </w:rPr>
        <w:lastRenderedPageBreak/>
        <w:t>webové sídlo Európskej prokuratúry bolo kompletne prepracované s primárnym cieľom zlepšiť prístupnosť a používateľskú ústretovosť a že možnosť oznámiť trestný čin je teraz zreteľne zobrazená v hornej časti každej webovej stránky spolu s bannerom jasne upozorňujúcim na túto funkciu na domovskej stránke;</w:t>
      </w:r>
    </w:p>
    <w:p w14:paraId="00A93C7F"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101.</w:t>
      </w:r>
      <w:r w:rsidRPr="00FC59BD">
        <w:rPr>
          <w:kern w:val="2"/>
          <w14:ligatures w14:val="standardContextual"/>
        </w:rPr>
        <w:tab/>
        <w:t>konštatuje, že zdroje Európskej prokuratúry vyhradené na komunikáciu sú obmedzené a že vzhľadom na potrebu zabezpečiť digitálnu autonómiu Európskej prokuratúry sa bude musieť správa webového sídla Európskej prokuratúry vykonávať interne, takže potom, čo GR pre digitálne služby prestane poskytovať túto službu, budú potrebné dodatočné zdroje; zdôrazňuje, že v komunikácii s médiami, novinármi, občanmi a akademickou obcou treba dbať na čoraz väčší objem a citlivosť vyšetrovaní Európskej prokuratúry; pripomína svoju výzvu adresovanú Európskej prokuratúre, aby sa zreteľne usilovala o čo najlepšiu rovnováhu medzi transparentnosťou a verejným záujmom na jednej strane a riadnym vedením vyšetrovaní na druhej strane a zabezpečila neutralitu komunikácie o svojich činnostiach;</w:t>
      </w:r>
    </w:p>
    <w:p w14:paraId="77827508"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102.</w:t>
      </w:r>
      <w:r w:rsidRPr="00FC59BD">
        <w:rPr>
          <w:kern w:val="2"/>
          <w14:ligatures w14:val="standardContextual"/>
        </w:rPr>
        <w:tab/>
        <w:t>pripomína význam transparentnosti v interakciách Európskej prokuratúry s externými aktérmi; vyzýva na vytvorenie povinného verejného registra všetkých stretnutí medzi úradníkmi Európskej prokuratúry a zástupcami tretích strán vrátane lobistov a zástupcov národných vlád s cieľom zabrániť neprimeranému vplyvu a posilniť dôveru verejnosti v nezávislosť Európskej prokuratúry;</w:t>
      </w:r>
    </w:p>
    <w:p w14:paraId="62D09AC6" w14:textId="77777777" w:rsidR="00FC59BD" w:rsidRPr="00FC59BD" w:rsidRDefault="00FC59BD" w:rsidP="00FC59BD">
      <w:pPr>
        <w:spacing w:after="240"/>
        <w:ind w:left="709" w:hanging="709"/>
        <w:rPr>
          <w:b/>
          <w:i/>
          <w:kern w:val="2"/>
          <w:szCs w:val="24"/>
          <w14:ligatures w14:val="standardContextual"/>
        </w:rPr>
      </w:pPr>
      <w:r w:rsidRPr="00FC59BD">
        <w:rPr>
          <w:b/>
          <w:i/>
          <w:kern w:val="2"/>
          <w14:ligatures w14:val="standardContextual"/>
        </w:rPr>
        <w:t>Vplyv útočnej vojny Ruska proti Ukrajine</w:t>
      </w:r>
    </w:p>
    <w:p w14:paraId="77CE9A15" w14:textId="77777777" w:rsidR="00FC59BD" w:rsidRPr="00FC59BD" w:rsidRDefault="00FC59BD" w:rsidP="00FC59BD">
      <w:pPr>
        <w:widowControl/>
        <w:autoSpaceDE w:val="0"/>
        <w:autoSpaceDN w:val="0"/>
        <w:adjustRightInd w:val="0"/>
        <w:spacing w:after="240"/>
        <w:ind w:left="567" w:hanging="567"/>
        <w:rPr>
          <w:kern w:val="2"/>
          <w14:ligatures w14:val="standardContextual"/>
        </w:rPr>
      </w:pPr>
      <w:r w:rsidRPr="00FC59BD">
        <w:rPr>
          <w:kern w:val="2"/>
          <w14:ligatures w14:val="standardContextual"/>
        </w:rPr>
        <w:t>103.</w:t>
      </w:r>
      <w:r w:rsidRPr="00FC59BD">
        <w:rPr>
          <w:kern w:val="2"/>
          <w14:ligatures w14:val="standardContextual"/>
        </w:rPr>
        <w:tab/>
        <w:t>pripomína, že právomoci Európskej prokuratúry sa vzťahujú aj na finančné prostriedky Únie, a to aj keď sa tieto využívajú v tretích krajinách; domnieva sa, že v nadväznosti na prijatie príslušných záväzkov na podporu Ukrajiny a jej obyvateľstva by pracovné podmienky dohodnuté s príslušnými orgánmi Ukrajiny mohli skutočne posilniť úroveň ochrany finančných záujmov Únie; víta úsilie ukrajinských orgánov v oblasti protikorupčných opatrení, ale pripomína, že Ukrajina je stále vystavená vysokej miere korupcie a podvodov, čo si vyžaduje prijatie dodatočných preventívnych opatrení a ďalšie protikorupčné opatrenia s cieľom úspešne dosiahnuť ciele v oblasti transparentnosti; uvedomuje si, že pri vybavovaní žiadostí o vzájomnú právnu pomoc dochádza k postúpeniu dôkazov, a víta, že by sa mohla zriadiť spoločná pracovná skupina s ukrajinskými orgánmi na koordináciu vyšetrovaní; pripomína Komisii a ďalším inštitúciám, orgánom, úradom a agentúram Únie význam odhaľovania a včasného predkladania vyšetrovacích podnetov Európskej prokuratúre.</w:t>
      </w:r>
    </w:p>
    <w:sectPr w:rsidR="00FC59BD" w:rsidRPr="00FC59BD" w:rsidSect="00FC59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6054E" w14:textId="77777777" w:rsidR="001B4044" w:rsidRPr="00935745" w:rsidRDefault="001B4044">
      <w:r w:rsidRPr="00935745">
        <w:separator/>
      </w:r>
    </w:p>
  </w:endnote>
  <w:endnote w:type="continuationSeparator" w:id="0">
    <w:p w14:paraId="7F613236" w14:textId="77777777" w:rsidR="001B4044" w:rsidRPr="00935745" w:rsidRDefault="001B4044">
      <w:r w:rsidRPr="009357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FF5C2" w14:textId="77777777" w:rsidR="001B4044" w:rsidRPr="00935745" w:rsidRDefault="001B40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C6A7" w14:textId="77777777" w:rsidR="001B4044" w:rsidRPr="00935745" w:rsidRDefault="001B40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9DB76" w14:textId="77777777" w:rsidR="001B4044" w:rsidRPr="00935745" w:rsidRDefault="001B40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699E6" w14:textId="77777777" w:rsidR="001B4044" w:rsidRPr="00935745" w:rsidRDefault="001B4044">
      <w:r w:rsidRPr="00935745">
        <w:separator/>
      </w:r>
    </w:p>
  </w:footnote>
  <w:footnote w:type="continuationSeparator" w:id="0">
    <w:p w14:paraId="708FBE5E" w14:textId="77777777" w:rsidR="001B4044" w:rsidRPr="00935745" w:rsidRDefault="001B4044">
      <w:r w:rsidRPr="00935745">
        <w:continuationSeparator/>
      </w:r>
    </w:p>
  </w:footnote>
  <w:footnote w:id="1">
    <w:p w14:paraId="30F5A888"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t xml:space="preserve">Ú. v. EÚ C, C/2024/6332, 24.10.2024, ELI: </w:t>
      </w:r>
      <w:hyperlink r:id="rId1" w:history="1">
        <w:r w:rsidRPr="00FC59BD">
          <w:rPr>
            <w:rStyle w:val="Hyperlink"/>
            <w:sz w:val="24"/>
            <w:szCs w:val="24"/>
            <w:lang w:val="fi-FI"/>
          </w:rPr>
          <w:t>http://data.europa.eu/eli/C/2024/6332/oj</w:t>
        </w:r>
      </w:hyperlink>
      <w:r w:rsidRPr="00FC59BD">
        <w:rPr>
          <w:sz w:val="24"/>
          <w:szCs w:val="24"/>
          <w:lang w:val="sk-SK"/>
        </w:rPr>
        <w:t>.</w:t>
      </w:r>
    </w:p>
  </w:footnote>
  <w:footnote w:id="2">
    <w:p w14:paraId="5B4F3588"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C, C/2024/6041, 10.10.2024, ELI: </w:t>
      </w:r>
      <w:hyperlink r:id="rId2" w:history="1">
        <w:r w:rsidRPr="00FC59BD">
          <w:rPr>
            <w:rStyle w:val="Hyperlink"/>
            <w:sz w:val="24"/>
            <w:szCs w:val="24"/>
            <w:lang w:val="fi-FI"/>
          </w:rPr>
          <w:t>http://data.europa.eu/eli/C/2024/6041/oj</w:t>
        </w:r>
      </w:hyperlink>
      <w:r w:rsidRPr="00FC59BD">
        <w:rPr>
          <w:rStyle w:val="Hyperlink"/>
          <w:sz w:val="24"/>
          <w:szCs w:val="24"/>
          <w:lang w:val="fi-FI"/>
        </w:rPr>
        <w:t>.</w:t>
      </w:r>
    </w:p>
  </w:footnote>
  <w:footnote w:id="3">
    <w:p w14:paraId="08C5913B"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193, 30.7.2018, s. 1, ELI: </w:t>
      </w:r>
      <w:hyperlink r:id="rId3" w:history="1">
        <w:r w:rsidRPr="00FC59BD">
          <w:rPr>
            <w:rStyle w:val="Hyperlink"/>
            <w:sz w:val="24"/>
            <w:szCs w:val="24"/>
            <w:lang w:val="fi-FI"/>
          </w:rPr>
          <w:t>http://data.europa.eu/eli/reg/2018/1046/oj</w:t>
        </w:r>
      </w:hyperlink>
      <w:r w:rsidRPr="00FC59BD">
        <w:rPr>
          <w:sz w:val="24"/>
          <w:szCs w:val="24"/>
          <w:lang w:val="sk-SK"/>
        </w:rPr>
        <w:t>.</w:t>
      </w:r>
    </w:p>
  </w:footnote>
  <w:footnote w:id="4">
    <w:p w14:paraId="1E612A5A"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2024/2509, 26.9.2024, ELI: </w:t>
      </w:r>
      <w:hyperlink r:id="rId4" w:history="1">
        <w:r w:rsidRPr="00FC59BD">
          <w:rPr>
            <w:rStyle w:val="Hyperlink"/>
            <w:sz w:val="24"/>
            <w:szCs w:val="24"/>
            <w:lang w:val="fi-FI"/>
          </w:rPr>
          <w:t>http://data.europa.eu/eli/reg/2024/2509/oj</w:t>
        </w:r>
      </w:hyperlink>
      <w:r w:rsidRPr="00FC59BD">
        <w:rPr>
          <w:rStyle w:val="Hyperlink"/>
          <w:sz w:val="24"/>
          <w:szCs w:val="24"/>
          <w:lang w:val="fi-FI"/>
        </w:rPr>
        <w:t>.</w:t>
      </w:r>
    </w:p>
  </w:footnote>
  <w:footnote w:id="5">
    <w:p w14:paraId="10A26EBA"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283, 31.10.2017, s. 1, ELI: </w:t>
      </w:r>
      <w:hyperlink r:id="rId5" w:history="1">
        <w:r w:rsidRPr="00FC59BD">
          <w:rPr>
            <w:rStyle w:val="Hyperlink"/>
            <w:sz w:val="24"/>
            <w:szCs w:val="24"/>
            <w:lang w:val="fi-FI"/>
          </w:rPr>
          <w:t>http://data.europa.eu/eli/reg/2017/1939/oj</w:t>
        </w:r>
      </w:hyperlink>
      <w:r w:rsidRPr="00FC59BD">
        <w:rPr>
          <w:rStyle w:val="Hyperlink"/>
          <w:sz w:val="24"/>
          <w:szCs w:val="24"/>
          <w:lang w:val="fi-FI"/>
        </w:rPr>
        <w:t>.</w:t>
      </w:r>
    </w:p>
  </w:footnote>
  <w:footnote w:id="6">
    <w:p w14:paraId="427E999B"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122, 10.5.2019, s. 1, ELI: </w:t>
      </w:r>
      <w:hyperlink r:id="rId6" w:history="1">
        <w:r w:rsidRPr="00FC59BD">
          <w:rPr>
            <w:rStyle w:val="Hyperlink"/>
            <w:sz w:val="24"/>
            <w:szCs w:val="24"/>
            <w:lang w:val="fi-FI"/>
          </w:rPr>
          <w:t>http://data.europa.eu/eli/reg_del/2019/715/oj</w:t>
        </w:r>
      </w:hyperlink>
      <w:r w:rsidRPr="00FC59BD">
        <w:rPr>
          <w:rStyle w:val="Hyperlink"/>
          <w:sz w:val="24"/>
          <w:szCs w:val="24"/>
          <w:lang w:val="fi-FI"/>
        </w:rPr>
        <w:t>.</w:t>
      </w:r>
    </w:p>
  </w:footnote>
  <w:footnote w:id="7">
    <w:p w14:paraId="0DD7A674"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C, C/2024/6332, 24.10.2024, ELI: </w:t>
      </w:r>
      <w:hyperlink r:id="rId7" w:history="1">
        <w:r w:rsidRPr="00FC59BD">
          <w:rPr>
            <w:rStyle w:val="Hyperlink"/>
            <w:sz w:val="24"/>
            <w:szCs w:val="24"/>
            <w:lang w:val="fi-FI"/>
          </w:rPr>
          <w:t>http://data.europa.eu/eli/C/2024/6332/oj</w:t>
        </w:r>
      </w:hyperlink>
      <w:r w:rsidRPr="00FC59BD">
        <w:rPr>
          <w:sz w:val="24"/>
          <w:szCs w:val="24"/>
          <w:lang w:val="sk-SK"/>
        </w:rPr>
        <w:t>.</w:t>
      </w:r>
    </w:p>
  </w:footnote>
  <w:footnote w:id="8">
    <w:p w14:paraId="25196D22"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C, C/2024/6041, 10.10.2024, ELI: </w:t>
      </w:r>
      <w:hyperlink r:id="rId8" w:history="1">
        <w:r w:rsidRPr="00FC59BD">
          <w:rPr>
            <w:rStyle w:val="Hyperlink"/>
            <w:sz w:val="24"/>
            <w:szCs w:val="24"/>
            <w:lang w:val="fi-FI"/>
          </w:rPr>
          <w:t>http://data.europa.eu/eli/C/2024/6041/oj</w:t>
        </w:r>
      </w:hyperlink>
      <w:r w:rsidRPr="00FC59BD">
        <w:rPr>
          <w:rStyle w:val="Hyperlink"/>
          <w:sz w:val="24"/>
          <w:szCs w:val="24"/>
          <w:lang w:val="fi-FI"/>
        </w:rPr>
        <w:t>.</w:t>
      </w:r>
    </w:p>
  </w:footnote>
  <w:footnote w:id="9">
    <w:p w14:paraId="5B7C85A5"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193, 30.7.2018, s. 1, ELI: </w:t>
      </w:r>
      <w:hyperlink r:id="rId9" w:history="1">
        <w:r w:rsidRPr="00FC59BD">
          <w:rPr>
            <w:rStyle w:val="Hyperlink"/>
            <w:sz w:val="24"/>
            <w:szCs w:val="24"/>
            <w:lang w:val="fi-FI"/>
          </w:rPr>
          <w:t>http://data.europa.eu/eli/reg/2018/1046/oj</w:t>
        </w:r>
      </w:hyperlink>
      <w:r w:rsidRPr="00FC59BD">
        <w:rPr>
          <w:sz w:val="24"/>
          <w:szCs w:val="24"/>
          <w:lang w:val="sk-SK"/>
        </w:rPr>
        <w:t>.</w:t>
      </w:r>
    </w:p>
  </w:footnote>
  <w:footnote w:id="10">
    <w:p w14:paraId="531FF20B"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2024/2509, 26.9.2024, ELI: </w:t>
      </w:r>
      <w:hyperlink r:id="rId10" w:history="1">
        <w:r w:rsidRPr="00FC59BD">
          <w:rPr>
            <w:rStyle w:val="Hyperlink"/>
            <w:sz w:val="24"/>
            <w:szCs w:val="24"/>
            <w:lang w:val="fi-FI"/>
          </w:rPr>
          <w:t>http://data.europa.eu/eli/reg/2024/2509/oj</w:t>
        </w:r>
      </w:hyperlink>
      <w:r w:rsidRPr="00FC59BD">
        <w:rPr>
          <w:sz w:val="24"/>
          <w:szCs w:val="24"/>
          <w:lang w:val="sk-SK"/>
        </w:rPr>
        <w:t>.</w:t>
      </w:r>
    </w:p>
  </w:footnote>
  <w:footnote w:id="11">
    <w:p w14:paraId="0B956771"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283, 31.10.2017, s. 1, ELI: </w:t>
      </w:r>
      <w:hyperlink r:id="rId11" w:history="1">
        <w:r w:rsidRPr="00FC59BD">
          <w:rPr>
            <w:rStyle w:val="Hyperlink"/>
            <w:sz w:val="24"/>
            <w:szCs w:val="24"/>
            <w:lang w:val="fi-FI"/>
          </w:rPr>
          <w:t>http://data.europa.eu/eli/reg/2017/1939/oj</w:t>
        </w:r>
      </w:hyperlink>
      <w:r w:rsidRPr="00FC59BD">
        <w:rPr>
          <w:sz w:val="24"/>
          <w:szCs w:val="24"/>
          <w:lang w:val="sk-SK"/>
        </w:rPr>
        <w:t>.</w:t>
      </w:r>
    </w:p>
  </w:footnote>
  <w:footnote w:id="12">
    <w:p w14:paraId="7DAE0C8D"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Ú. v. EÚ L 122, 10.5.2019, s. 1, ELI: </w:t>
      </w:r>
      <w:hyperlink r:id="rId12" w:history="1">
        <w:r w:rsidRPr="00FC59BD">
          <w:rPr>
            <w:rStyle w:val="Hyperlink"/>
            <w:sz w:val="24"/>
            <w:szCs w:val="24"/>
            <w:lang w:val="fi-FI"/>
          </w:rPr>
          <w:t>http://data.europa.eu/eli/reg_del/2019/715/oj</w:t>
        </w:r>
      </w:hyperlink>
      <w:r w:rsidRPr="00FC59BD">
        <w:rPr>
          <w:rStyle w:val="Hyperlink"/>
          <w:sz w:val="24"/>
          <w:szCs w:val="24"/>
          <w:lang w:val="fi-FI"/>
        </w:rPr>
        <w:t>.</w:t>
      </w:r>
    </w:p>
  </w:footnote>
  <w:footnote w:id="13">
    <w:p w14:paraId="19246766"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Smernica Európskeho parlamentu a Rady (EÚ) 2017/1371 z 5. júla 2017 o boji proti podvodom, ktoré poškodzujú finančné záujmy Únie, prostredníctvom trestného práva (Ú. v. EÚ L 198, 28.7.2017, s. 29, </w:t>
      </w:r>
      <w:r w:rsidRPr="00FC59BD">
        <w:rPr>
          <w:color w:val="333333"/>
          <w:sz w:val="24"/>
          <w:szCs w:val="24"/>
          <w:shd w:val="clear" w:color="auto" w:fill="FFFFFF"/>
          <w:lang w:val="sk-SK"/>
        </w:rPr>
        <w:t xml:space="preserve">ELI: </w:t>
      </w:r>
      <w:hyperlink r:id="rId13" w:tooltip="Umožňuje prístup k tomuto dokumentu prostredníctvom identifikátora URI používaného v rámci ELI." w:history="1">
        <w:r w:rsidRPr="00FC59BD">
          <w:rPr>
            <w:color w:val="23527C"/>
            <w:sz w:val="24"/>
            <w:szCs w:val="24"/>
            <w:u w:val="single"/>
            <w:shd w:val="clear" w:color="auto" w:fill="FFFFFF"/>
            <w:lang w:val="sk-SK"/>
          </w:rPr>
          <w:t>http://data.europa.eu/eli/dir/2017/1371/oj</w:t>
        </w:r>
      </w:hyperlink>
      <w:r w:rsidRPr="00FC59BD">
        <w:rPr>
          <w:sz w:val="24"/>
          <w:szCs w:val="24"/>
          <w:lang w:val="sk-SK"/>
        </w:rPr>
        <w:t>).</w:t>
      </w:r>
    </w:p>
  </w:footnote>
  <w:footnote w:id="14">
    <w:p w14:paraId="249F765E"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 xml:space="preserve">Nariadenie Rady (EÚ) 2017/1939 z 12. októbra 2017, ktorým sa vykonáva posilnená spolupráca na účely zriadenia Európskej prokuratúry (Ú. v. EÚ L 283, 31.10.2017, s. 1, </w:t>
      </w:r>
      <w:r w:rsidRPr="00FC59BD">
        <w:rPr>
          <w:color w:val="333333"/>
          <w:sz w:val="24"/>
          <w:szCs w:val="24"/>
          <w:shd w:val="clear" w:color="auto" w:fill="FFFFFF"/>
          <w:lang w:val="sk-SK"/>
        </w:rPr>
        <w:t xml:space="preserve">ELI: </w:t>
      </w:r>
      <w:hyperlink r:id="rId14" w:tooltip="Umožňuje prístup k tomuto dokumentu prostredníctvom identifikátora URI používaného v rámci ELI." w:history="1">
        <w:r w:rsidRPr="00FC59BD">
          <w:rPr>
            <w:color w:val="23527C"/>
            <w:sz w:val="24"/>
            <w:szCs w:val="24"/>
            <w:u w:val="single"/>
            <w:shd w:val="clear" w:color="auto" w:fill="FFFFFF"/>
            <w:lang w:val="sk-SK"/>
          </w:rPr>
          <w:t>http://data.europa.eu/eli/reg/2017/1939/oj</w:t>
        </w:r>
      </w:hyperlink>
      <w:r w:rsidRPr="00FC59BD">
        <w:rPr>
          <w:sz w:val="24"/>
          <w:szCs w:val="24"/>
          <w:lang w:val="sk-SK"/>
        </w:rPr>
        <w:t>).</w:t>
      </w:r>
    </w:p>
  </w:footnote>
  <w:footnote w:id="15">
    <w:p w14:paraId="148CC479"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Podľa konsolidovanej výročnej správy o činnosti za rok 2023 bola miera fluktuácie dočasných a zmluvných zamestnancov 5,9 %.</w:t>
      </w:r>
    </w:p>
  </w:footnote>
  <w:footnote w:id="16">
    <w:p w14:paraId="775A2501"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sz w:val="24"/>
          <w:szCs w:val="24"/>
          <w:lang w:val="sk-SK"/>
        </w:rPr>
        <w:tab/>
      </w:r>
      <w:r w:rsidRPr="00FC59BD">
        <w:rPr>
          <w:sz w:val="24"/>
          <w:szCs w:val="24"/>
          <w:lang w:val="sk-SK"/>
        </w:rP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w:t>
      </w:r>
      <w:r w:rsidRPr="00FC59BD">
        <w:rPr>
          <w:color w:val="333333"/>
          <w:sz w:val="24"/>
          <w:szCs w:val="24"/>
          <w:shd w:val="clear" w:color="auto" w:fill="FFFFFF"/>
          <w:lang w:val="sk-SK"/>
        </w:rPr>
        <w:t xml:space="preserve">LI: </w:t>
      </w:r>
      <w:hyperlink r:id="rId15" w:tooltip="Umožňuje prístup k tomuto dokumentu prostredníctvom identifikátora URI používaného v rámci ELI." w:history="1">
        <w:r w:rsidRPr="00FC59BD">
          <w:rPr>
            <w:rStyle w:val="Hyperlink"/>
            <w:color w:val="337AB7"/>
            <w:sz w:val="24"/>
            <w:szCs w:val="24"/>
            <w:shd w:val="clear" w:color="auto" w:fill="FFFFFF"/>
            <w:lang w:val="sk-SK"/>
          </w:rPr>
          <w:t>http://data.europa.eu/eli/reg/2018/1725/oj</w:t>
        </w:r>
      </w:hyperlink>
      <w:r w:rsidRPr="00FC59BD">
        <w:rPr>
          <w:sz w:val="24"/>
          <w:szCs w:val="24"/>
          <w:lang w:val="sk-SK"/>
        </w:rPr>
        <w:t>).</w:t>
      </w:r>
    </w:p>
  </w:footnote>
  <w:footnote w:id="17">
    <w:p w14:paraId="584A8967" w14:textId="77777777" w:rsidR="00FC59BD" w:rsidRPr="00FC59BD" w:rsidRDefault="00FC59BD" w:rsidP="00FC59BD">
      <w:pPr>
        <w:pStyle w:val="FootnoteText"/>
        <w:ind w:left="567" w:hanging="567"/>
        <w:rPr>
          <w:sz w:val="24"/>
          <w:szCs w:val="24"/>
          <w:lang w:val="sk-SK"/>
        </w:rPr>
      </w:pPr>
      <w:r w:rsidRPr="00FC59BD">
        <w:rPr>
          <w:rStyle w:val="FootnoteReference"/>
          <w:sz w:val="24"/>
          <w:szCs w:val="24"/>
          <w:lang w:val="sk-SK"/>
        </w:rPr>
        <w:footnoteRef/>
      </w:r>
      <w:r w:rsidRPr="00FC59BD">
        <w:rPr>
          <w:color w:val="333333"/>
          <w:sz w:val="24"/>
          <w:szCs w:val="24"/>
          <w:shd w:val="clear" w:color="auto" w:fill="FFFFFF"/>
          <w:lang w:val="sk-SK"/>
        </w:rPr>
        <w:tab/>
      </w:r>
      <w:r w:rsidRPr="00FC59BD">
        <w:rPr>
          <w:color w:val="333333"/>
          <w:sz w:val="24"/>
          <w:szCs w:val="24"/>
          <w:shd w:val="clear" w:color="auto" w:fill="FFFFFF"/>
          <w:lang w:val="sk-SK"/>
        </w:rPr>
        <w:t xml:space="preserve">Nariadenie Európskeho parlamentu a Rady (EÚ, </w:t>
      </w:r>
      <w:proofErr w:type="spellStart"/>
      <w:r w:rsidRPr="00FC59BD">
        <w:rPr>
          <w:color w:val="333333"/>
          <w:sz w:val="24"/>
          <w:szCs w:val="24"/>
          <w:shd w:val="clear" w:color="auto" w:fill="FFFFFF"/>
          <w:lang w:val="sk-SK"/>
        </w:rPr>
        <w:t>Euratom</w:t>
      </w:r>
      <w:proofErr w:type="spellEnd"/>
      <w:r w:rsidRPr="00FC59BD">
        <w:rPr>
          <w:color w:val="333333"/>
          <w:sz w:val="24"/>
          <w:szCs w:val="24"/>
          <w:shd w:val="clear" w:color="auto" w:fill="FFFFFF"/>
          <w:lang w:val="sk-SK"/>
        </w:rPr>
        <w:t xml:space="preserve">) 2020/2092 zo 16. decembra 2020 o všeobecnom režime podmienenosti na ochranu rozpočtu Únie (Ú. v. EÚ L 433I, 22.12.2020, s. 1, ELI: </w:t>
      </w:r>
      <w:hyperlink r:id="rId16" w:history="1">
        <w:r w:rsidRPr="00FC59BD">
          <w:rPr>
            <w:rStyle w:val="Hyperlink"/>
            <w:sz w:val="24"/>
            <w:szCs w:val="24"/>
            <w:shd w:val="clear" w:color="auto" w:fill="FFFFFF"/>
            <w:lang w:val="sk-SK"/>
          </w:rPr>
          <w:t>http://data.europa.eu/eli/reg/2020/2092/oj</w:t>
        </w:r>
      </w:hyperlink>
      <w:r w:rsidRPr="00FC59BD">
        <w:rPr>
          <w:color w:val="333333"/>
          <w:sz w:val="24"/>
          <w:szCs w:val="24"/>
          <w:shd w:val="clear" w:color="auto" w:fill="FFFFFF"/>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E592" w14:textId="77777777" w:rsidR="001B4044" w:rsidRPr="00935745" w:rsidRDefault="001B40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B1B46" w14:textId="77777777" w:rsidR="001B4044" w:rsidRPr="00935745" w:rsidRDefault="001B40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B407" w14:textId="77777777" w:rsidR="001B4044" w:rsidRPr="00935745" w:rsidRDefault="001B40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262037">
    <w:abstractNumId w:val="9"/>
  </w:num>
  <w:num w:numId="2" w16cid:durableId="41029736">
    <w:abstractNumId w:val="9"/>
  </w:num>
  <w:num w:numId="3" w16cid:durableId="1004632272">
    <w:abstractNumId w:val="7"/>
  </w:num>
  <w:num w:numId="4" w16cid:durableId="1889217591">
    <w:abstractNumId w:val="7"/>
  </w:num>
  <w:num w:numId="5" w16cid:durableId="798718947">
    <w:abstractNumId w:val="6"/>
  </w:num>
  <w:num w:numId="6" w16cid:durableId="193660147">
    <w:abstractNumId w:val="6"/>
  </w:num>
  <w:num w:numId="7" w16cid:durableId="918639462">
    <w:abstractNumId w:val="5"/>
  </w:num>
  <w:num w:numId="8" w16cid:durableId="990669271">
    <w:abstractNumId w:val="5"/>
  </w:num>
  <w:num w:numId="9" w16cid:durableId="612832294">
    <w:abstractNumId w:val="4"/>
  </w:num>
  <w:num w:numId="10" w16cid:durableId="83453045">
    <w:abstractNumId w:val="4"/>
  </w:num>
  <w:num w:numId="11" w16cid:durableId="2146509677">
    <w:abstractNumId w:val="8"/>
  </w:num>
  <w:num w:numId="12" w16cid:durableId="1186947441">
    <w:abstractNumId w:val="8"/>
  </w:num>
  <w:num w:numId="13" w16cid:durableId="1151555491">
    <w:abstractNumId w:val="3"/>
  </w:num>
  <w:num w:numId="14" w16cid:durableId="1298608894">
    <w:abstractNumId w:val="3"/>
  </w:num>
  <w:num w:numId="15" w16cid:durableId="2107774215">
    <w:abstractNumId w:val="2"/>
  </w:num>
  <w:num w:numId="16" w16cid:durableId="931619725">
    <w:abstractNumId w:val="2"/>
  </w:num>
  <w:num w:numId="17" w16cid:durableId="185101647">
    <w:abstractNumId w:val="1"/>
  </w:num>
  <w:num w:numId="18" w16cid:durableId="401802184">
    <w:abstractNumId w:val="1"/>
  </w:num>
  <w:num w:numId="19" w16cid:durableId="883440832">
    <w:abstractNumId w:val="0"/>
  </w:num>
  <w:num w:numId="20" w16cid:durableId="196281072">
    <w:abstractNumId w:val="0"/>
  </w:num>
  <w:num w:numId="21" w16cid:durableId="559053784">
    <w:abstractNumId w:val="9"/>
  </w:num>
  <w:num w:numId="22" w16cid:durableId="1886330168">
    <w:abstractNumId w:val="7"/>
  </w:num>
  <w:num w:numId="23" w16cid:durableId="1439914539">
    <w:abstractNumId w:val="6"/>
  </w:num>
  <w:num w:numId="24" w16cid:durableId="491062846">
    <w:abstractNumId w:val="5"/>
  </w:num>
  <w:num w:numId="25" w16cid:durableId="1999185141">
    <w:abstractNumId w:val="4"/>
  </w:num>
  <w:num w:numId="26" w16cid:durableId="1327784277">
    <w:abstractNumId w:val="8"/>
  </w:num>
  <w:num w:numId="27" w16cid:durableId="366221481">
    <w:abstractNumId w:val="3"/>
  </w:num>
  <w:num w:numId="28" w16cid:durableId="823157430">
    <w:abstractNumId w:val="2"/>
  </w:num>
  <w:num w:numId="29" w16cid:durableId="1076123485">
    <w:abstractNumId w:val="1"/>
  </w:num>
  <w:num w:numId="30" w16cid:durableId="1334381746">
    <w:abstractNumId w:val="0"/>
  </w:num>
  <w:num w:numId="31" w16cid:durableId="750782116">
    <w:abstractNumId w:val="9"/>
  </w:num>
  <w:num w:numId="32" w16cid:durableId="1946500174">
    <w:abstractNumId w:val="7"/>
  </w:num>
  <w:num w:numId="33" w16cid:durableId="727849672">
    <w:abstractNumId w:val="6"/>
  </w:num>
  <w:num w:numId="34" w16cid:durableId="37123069">
    <w:abstractNumId w:val="5"/>
  </w:num>
  <w:num w:numId="35" w16cid:durableId="1034161932">
    <w:abstractNumId w:val="4"/>
  </w:num>
  <w:num w:numId="36" w16cid:durableId="1067803148">
    <w:abstractNumId w:val="8"/>
  </w:num>
  <w:num w:numId="37" w16cid:durableId="284510780">
    <w:abstractNumId w:val="3"/>
  </w:num>
  <w:num w:numId="38" w16cid:durableId="30571011">
    <w:abstractNumId w:val="2"/>
  </w:num>
  <w:num w:numId="39" w16cid:durableId="813789467">
    <w:abstractNumId w:val="1"/>
  </w:num>
  <w:num w:numId="40" w16cid:durableId="1653945185">
    <w:abstractNumId w:val="0"/>
  </w:num>
  <w:num w:numId="41" w16cid:durableId="1743212204">
    <w:abstractNumId w:val="10"/>
  </w:num>
  <w:num w:numId="42" w16cid:durableId="21906311">
    <w:abstractNumId w:val="10"/>
  </w:num>
  <w:num w:numId="43" w16cid:durableId="1455098148">
    <w:abstractNumId w:val="10"/>
  </w:num>
  <w:num w:numId="44" w16cid:durableId="18815054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SK"/>
    <w:docVar w:name="dvnumam" w:val="0"/>
    <w:docVar w:name="dvpe" w:val="764.989"/>
    <w:docVar w:name="dvrapporteur" w:val="Spravodajca: "/>
    <w:docVar w:name="dvtitre" w:val="Rozhodnutie Európskeho parlamentu z xx. mája 2025 o absolutóriu za plnenie rozpočtu Európskej prokuratúry za rozpočtový rok 2023(2024/2029(DEC))"/>
  </w:docVars>
  <w:rsids>
    <w:rsidRoot w:val="00996223"/>
    <w:rsid w:val="00002272"/>
    <w:rsid w:val="00043E94"/>
    <w:rsid w:val="00064002"/>
    <w:rsid w:val="000677B9"/>
    <w:rsid w:val="000831BA"/>
    <w:rsid w:val="000A42CC"/>
    <w:rsid w:val="000E7DD9"/>
    <w:rsid w:val="0010095E"/>
    <w:rsid w:val="00125B37"/>
    <w:rsid w:val="00187494"/>
    <w:rsid w:val="001B0644"/>
    <w:rsid w:val="001B4044"/>
    <w:rsid w:val="001F32AE"/>
    <w:rsid w:val="0021032E"/>
    <w:rsid w:val="00234819"/>
    <w:rsid w:val="002767FF"/>
    <w:rsid w:val="002A6165"/>
    <w:rsid w:val="002B18FE"/>
    <w:rsid w:val="002B1CB4"/>
    <w:rsid w:val="002B5493"/>
    <w:rsid w:val="002C5EB9"/>
    <w:rsid w:val="002F0272"/>
    <w:rsid w:val="00343214"/>
    <w:rsid w:val="00361C00"/>
    <w:rsid w:val="00395FA1"/>
    <w:rsid w:val="003B288A"/>
    <w:rsid w:val="003E15D4"/>
    <w:rsid w:val="003F4BC3"/>
    <w:rsid w:val="00411CCE"/>
    <w:rsid w:val="0041666E"/>
    <w:rsid w:val="00421060"/>
    <w:rsid w:val="00471C19"/>
    <w:rsid w:val="004867E3"/>
    <w:rsid w:val="00494A28"/>
    <w:rsid w:val="004C0004"/>
    <w:rsid w:val="004C5D52"/>
    <w:rsid w:val="0050519A"/>
    <w:rsid w:val="005072A1"/>
    <w:rsid w:val="00514517"/>
    <w:rsid w:val="00530C72"/>
    <w:rsid w:val="00545827"/>
    <w:rsid w:val="00553F45"/>
    <w:rsid w:val="00560270"/>
    <w:rsid w:val="005A041D"/>
    <w:rsid w:val="005C2568"/>
    <w:rsid w:val="005F1B17"/>
    <w:rsid w:val="006037C0"/>
    <w:rsid w:val="006631B6"/>
    <w:rsid w:val="00680577"/>
    <w:rsid w:val="006F74FA"/>
    <w:rsid w:val="00731ADD"/>
    <w:rsid w:val="00734777"/>
    <w:rsid w:val="00747932"/>
    <w:rsid w:val="00751A4A"/>
    <w:rsid w:val="00756632"/>
    <w:rsid w:val="00762C74"/>
    <w:rsid w:val="00786EC0"/>
    <w:rsid w:val="007A602F"/>
    <w:rsid w:val="007D1690"/>
    <w:rsid w:val="007E22AD"/>
    <w:rsid w:val="00817416"/>
    <w:rsid w:val="0083552B"/>
    <w:rsid w:val="00842779"/>
    <w:rsid w:val="00865F67"/>
    <w:rsid w:val="00881A7B"/>
    <w:rsid w:val="008840E5"/>
    <w:rsid w:val="00887B3E"/>
    <w:rsid w:val="00891746"/>
    <w:rsid w:val="008B6D3B"/>
    <w:rsid w:val="008C2AC6"/>
    <w:rsid w:val="00930C23"/>
    <w:rsid w:val="0093193B"/>
    <w:rsid w:val="009355DF"/>
    <w:rsid w:val="00935745"/>
    <w:rsid w:val="00940641"/>
    <w:rsid w:val="009509D8"/>
    <w:rsid w:val="00950B64"/>
    <w:rsid w:val="009602C1"/>
    <w:rsid w:val="009627A5"/>
    <w:rsid w:val="00981893"/>
    <w:rsid w:val="00996223"/>
    <w:rsid w:val="00A1687D"/>
    <w:rsid w:val="00A43E52"/>
    <w:rsid w:val="00A4678D"/>
    <w:rsid w:val="00A505AB"/>
    <w:rsid w:val="00A778C7"/>
    <w:rsid w:val="00AB441E"/>
    <w:rsid w:val="00AB6293"/>
    <w:rsid w:val="00AE0928"/>
    <w:rsid w:val="00AF3B82"/>
    <w:rsid w:val="00B12E95"/>
    <w:rsid w:val="00B22876"/>
    <w:rsid w:val="00B4638C"/>
    <w:rsid w:val="00B558F0"/>
    <w:rsid w:val="00BD48FE"/>
    <w:rsid w:val="00BD7BD8"/>
    <w:rsid w:val="00BE6ADC"/>
    <w:rsid w:val="00C05BFE"/>
    <w:rsid w:val="00C23CD4"/>
    <w:rsid w:val="00C61C0C"/>
    <w:rsid w:val="00C941CB"/>
    <w:rsid w:val="00CB5DAE"/>
    <w:rsid w:val="00CC2357"/>
    <w:rsid w:val="00CF071A"/>
    <w:rsid w:val="00D01B5E"/>
    <w:rsid w:val="00D058B8"/>
    <w:rsid w:val="00D1603E"/>
    <w:rsid w:val="00D56C11"/>
    <w:rsid w:val="00D834A0"/>
    <w:rsid w:val="00D872DF"/>
    <w:rsid w:val="00D91E21"/>
    <w:rsid w:val="00DA7FCD"/>
    <w:rsid w:val="00DE7D6A"/>
    <w:rsid w:val="00E365E1"/>
    <w:rsid w:val="00E820A4"/>
    <w:rsid w:val="00E96DB5"/>
    <w:rsid w:val="00EB006A"/>
    <w:rsid w:val="00EB4772"/>
    <w:rsid w:val="00ED169E"/>
    <w:rsid w:val="00ED4235"/>
    <w:rsid w:val="00EF740D"/>
    <w:rsid w:val="00F04346"/>
    <w:rsid w:val="00F075DC"/>
    <w:rsid w:val="00F149E9"/>
    <w:rsid w:val="00F5134D"/>
    <w:rsid w:val="00F73875"/>
    <w:rsid w:val="00F74202"/>
    <w:rsid w:val="00F87713"/>
    <w:rsid w:val="00FA0A98"/>
    <w:rsid w:val="00FB4360"/>
    <w:rsid w:val="00FC59B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10A5D"/>
  <w15:chartTrackingRefBased/>
  <w15:docId w15:val="{53CAB34C-D662-452B-B271-649B3C68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627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627A5"/>
    <w:pPr>
      <w:spacing w:before="480" w:after="240"/>
    </w:pPr>
  </w:style>
  <w:style w:type="paragraph" w:customStyle="1" w:styleId="PageHeading">
    <w:name w:val="PageHeading"/>
    <w:basedOn w:val="Normal"/>
    <w:rsid w:val="009627A5"/>
    <w:pPr>
      <w:keepNext/>
      <w:spacing w:after="480"/>
      <w:jc w:val="center"/>
    </w:pPr>
    <w:rPr>
      <w:rFonts w:ascii="Arial" w:hAnsi="Arial" w:cs="Arial"/>
      <w:b/>
    </w:rPr>
  </w:style>
  <w:style w:type="paragraph" w:customStyle="1" w:styleId="NormalBold">
    <w:name w:val="NormalBold"/>
    <w:basedOn w:val="Normal"/>
    <w:rsid w:val="009627A5"/>
    <w:rPr>
      <w:b/>
    </w:rPr>
  </w:style>
  <w:style w:type="paragraph" w:customStyle="1" w:styleId="NormalHanging12a">
    <w:name w:val="NormalHanging12a"/>
    <w:basedOn w:val="Normal"/>
    <w:link w:val="NormalHanging12aChar"/>
    <w:rsid w:val="009627A5"/>
    <w:pPr>
      <w:spacing w:after="240"/>
      <w:ind w:left="567" w:hanging="567"/>
    </w:pPr>
  </w:style>
  <w:style w:type="paragraph" w:styleId="Header">
    <w:name w:val="header"/>
    <w:basedOn w:val="Normal"/>
    <w:link w:val="HeaderChar"/>
    <w:rsid w:val="009627A5"/>
    <w:pPr>
      <w:tabs>
        <w:tab w:val="center" w:pos="4513"/>
        <w:tab w:val="right" w:pos="9026"/>
      </w:tabs>
    </w:pPr>
  </w:style>
  <w:style w:type="character" w:customStyle="1" w:styleId="HeaderChar">
    <w:name w:val="Header Char"/>
    <w:basedOn w:val="DefaultParagraphFont"/>
    <w:link w:val="Header"/>
    <w:rsid w:val="009627A5"/>
    <w:rPr>
      <w:sz w:val="24"/>
      <w:lang w:val="sk-SK"/>
    </w:rPr>
  </w:style>
  <w:style w:type="paragraph" w:customStyle="1" w:styleId="EPFooter">
    <w:name w:val="EPFooter"/>
    <w:basedOn w:val="Normal"/>
    <w:rsid w:val="009627A5"/>
    <w:pPr>
      <w:tabs>
        <w:tab w:val="center" w:pos="4535"/>
        <w:tab w:val="right" w:pos="9071"/>
      </w:tabs>
      <w:spacing w:before="240" w:after="240"/>
    </w:pPr>
    <w:rPr>
      <w:color w:val="010000"/>
      <w:sz w:val="22"/>
    </w:rPr>
  </w:style>
  <w:style w:type="character" w:styleId="Hyperlink">
    <w:name w:val="Hyperlink"/>
    <w:basedOn w:val="DefaultParagraphFont"/>
    <w:uiPriority w:val="99"/>
    <w:rsid w:val="009627A5"/>
    <w:rPr>
      <w:color w:val="0563C1" w:themeColor="hyperlink"/>
      <w:u w:val="single"/>
    </w:rPr>
  </w:style>
  <w:style w:type="character" w:customStyle="1" w:styleId="NormalHanging12aChar">
    <w:name w:val="NormalHanging12a Char"/>
    <w:basedOn w:val="DefaultParagraphFont"/>
    <w:link w:val="NormalHanging12a"/>
    <w:locked/>
    <w:rsid w:val="009627A5"/>
    <w:rPr>
      <w:sz w:val="24"/>
      <w:lang w:val="sk-SK"/>
    </w:rPr>
  </w:style>
  <w:style w:type="paragraph" w:customStyle="1" w:styleId="Default">
    <w:name w:val="Default"/>
    <w:rsid w:val="009627A5"/>
    <w:pPr>
      <w:autoSpaceDE w:val="0"/>
      <w:autoSpaceDN w:val="0"/>
      <w:adjustRightInd w:val="0"/>
    </w:pPr>
    <w:rPr>
      <w:rFonts w:ascii="Calibri" w:hAnsi="Calibri" w:cs="Calibri"/>
      <w:color w:val="000000"/>
      <w:sz w:val="24"/>
      <w:szCs w:val="24"/>
      <w:lang w:val="sk-SK"/>
    </w:rPr>
  </w:style>
  <w:style w:type="paragraph" w:styleId="Footer">
    <w:name w:val="footer"/>
    <w:basedOn w:val="Normal"/>
    <w:link w:val="FooterChar"/>
    <w:rsid w:val="00530C72"/>
    <w:pPr>
      <w:tabs>
        <w:tab w:val="center" w:pos="4513"/>
        <w:tab w:val="right" w:pos="9026"/>
      </w:tabs>
    </w:pPr>
  </w:style>
  <w:style w:type="character" w:customStyle="1" w:styleId="FooterChar">
    <w:name w:val="Footer Char"/>
    <w:basedOn w:val="DefaultParagraphFont"/>
    <w:link w:val="Footer"/>
    <w:rsid w:val="00530C72"/>
    <w:rPr>
      <w:sz w:val="24"/>
      <w:lang w:val="sk-SK"/>
    </w:rPr>
  </w:style>
  <w:style w:type="paragraph" w:styleId="BalloonText">
    <w:name w:val="Balloon Text"/>
    <w:basedOn w:val="Normal"/>
    <w:link w:val="BalloonTextChar"/>
    <w:rsid w:val="003B288A"/>
    <w:rPr>
      <w:rFonts w:ascii="Segoe UI" w:hAnsi="Segoe UI" w:cs="Segoe UI"/>
      <w:sz w:val="18"/>
      <w:szCs w:val="18"/>
    </w:rPr>
  </w:style>
  <w:style w:type="character" w:customStyle="1" w:styleId="BalloonTextChar">
    <w:name w:val="Balloon Text Char"/>
    <w:basedOn w:val="DefaultParagraphFont"/>
    <w:link w:val="BalloonText"/>
    <w:rsid w:val="003B288A"/>
    <w:rPr>
      <w:rFonts w:ascii="Segoe UI" w:hAnsi="Segoe UI" w:cs="Segoe UI"/>
      <w:sz w:val="18"/>
      <w:szCs w:val="18"/>
      <w:lang w:val="sk-SK"/>
    </w:rPr>
  </w:style>
  <w:style w:type="character" w:styleId="CommentReference">
    <w:name w:val="annotation reference"/>
    <w:basedOn w:val="DefaultParagraphFont"/>
    <w:rsid w:val="003B288A"/>
    <w:rPr>
      <w:sz w:val="16"/>
      <w:szCs w:val="16"/>
    </w:rPr>
  </w:style>
  <w:style w:type="paragraph" w:styleId="CommentText">
    <w:name w:val="annotation text"/>
    <w:basedOn w:val="Normal"/>
    <w:link w:val="CommentTextChar"/>
    <w:rsid w:val="003B288A"/>
    <w:rPr>
      <w:sz w:val="20"/>
    </w:rPr>
  </w:style>
  <w:style w:type="character" w:customStyle="1" w:styleId="CommentTextChar">
    <w:name w:val="Comment Text Char"/>
    <w:basedOn w:val="DefaultParagraphFont"/>
    <w:link w:val="CommentText"/>
    <w:rsid w:val="003B288A"/>
    <w:rPr>
      <w:lang w:val="sk-SK"/>
    </w:rPr>
  </w:style>
  <w:style w:type="paragraph" w:styleId="CommentSubject">
    <w:name w:val="annotation subject"/>
    <w:basedOn w:val="CommentText"/>
    <w:next w:val="CommentText"/>
    <w:link w:val="CommentSubjectChar"/>
    <w:rsid w:val="003B288A"/>
    <w:rPr>
      <w:b/>
      <w:bCs/>
    </w:rPr>
  </w:style>
  <w:style w:type="character" w:customStyle="1" w:styleId="CommentSubjectChar">
    <w:name w:val="Comment Subject Char"/>
    <w:basedOn w:val="CommentTextChar"/>
    <w:link w:val="CommentSubject"/>
    <w:rsid w:val="003B288A"/>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s://eur-lex.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B5705-67F3-42D1-9795-44084E7D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12504</Words>
  <Characters>78813</Characters>
  <Application>Microsoft Office Word</Application>
  <DocSecurity>0</DocSecurity>
  <Lines>656</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2025-11-27T15:31:00Z</dcterms:created>
  <dcterms:modified xsi:type="dcterms:W3CDTF">2025-11-27T15:31:00Z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P10_TA(2025)0087_</vt:lpwstr>
  </property>
  <property fmtid="{D5CDD505-2E9C-101B-9397-08002B2CF9AE}" pid="4" name="&lt;Type&gt;">
    <vt:lpwstr>RR</vt:lpwstr>
  </property>
</Properties>
</file>