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3.xml" ContentType="application/vnd.openxmlformats-officedocument.wordprocessingml.head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4F91" w14:paraId="0E03640C" w14:textId="77777777" w:rsidTr="0010095E">
        <w:trPr>
          <w:trHeight w:hRule="exact" w:val="1418"/>
        </w:trPr>
        <w:tc>
          <w:tcPr>
            <w:tcW w:w="6804" w:type="dxa"/>
            <w:shd w:val="clear" w:color="auto" w:fill="auto"/>
            <w:vAlign w:val="center"/>
          </w:tcPr>
          <w:p w14:paraId="6FDB8E31" w14:textId="77777777" w:rsidR="00751A4A" w:rsidRPr="00B84F91" w:rsidRDefault="0056199F" w:rsidP="0010095E">
            <w:pPr>
              <w:pStyle w:val="EPName"/>
            </w:pPr>
            <w:r w:rsidRPr="00B84F91">
              <w:t>Европейски</w:t>
            </w:r>
            <w:r w:rsidR="00FD39BA" w:rsidRPr="00B84F91">
              <w:t xml:space="preserve"> парламент</w:t>
            </w:r>
          </w:p>
          <w:p w14:paraId="54EAE217" w14:textId="77777777" w:rsidR="00751A4A" w:rsidRPr="00B84F91" w:rsidRDefault="005F1B17" w:rsidP="005F1B17">
            <w:pPr>
              <w:pStyle w:val="EPTerm"/>
              <w:rPr>
                <w:rStyle w:val="HideTWBExt"/>
                <w:noProof w:val="0"/>
                <w:vanish w:val="0"/>
                <w:color w:val="auto"/>
              </w:rPr>
            </w:pPr>
            <w:r w:rsidRPr="00B84F91">
              <w:t>2024</w:t>
            </w:r>
            <w:r w:rsidR="0056199F">
              <w:t> – </w:t>
            </w:r>
            <w:r w:rsidR="00817416" w:rsidRPr="00B84F91">
              <w:t>202</w:t>
            </w:r>
            <w:r w:rsidRPr="00B84F91">
              <w:t>9</w:t>
            </w:r>
          </w:p>
        </w:tc>
        <w:tc>
          <w:tcPr>
            <w:tcW w:w="2268" w:type="dxa"/>
            <w:shd w:val="clear" w:color="auto" w:fill="auto"/>
          </w:tcPr>
          <w:p w14:paraId="51F06299" w14:textId="77777777" w:rsidR="00751A4A" w:rsidRPr="00B84F91" w:rsidRDefault="00187494" w:rsidP="0010095E">
            <w:pPr>
              <w:pStyle w:val="EPLogo"/>
            </w:pPr>
            <w:r w:rsidRPr="00B84F91">
              <w:rPr>
                <w:noProof/>
                <w:lang w:val="en-GB"/>
              </w:rPr>
              <w:drawing>
                <wp:inline distT="0" distB="0" distL="0" distR="0" wp14:anchorId="31BA46F3" wp14:editId="5240A3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21D962" w14:textId="77777777" w:rsidR="00D058B8" w:rsidRPr="00B84F91" w:rsidRDefault="00D058B8" w:rsidP="004C5D52">
      <w:pPr>
        <w:pStyle w:val="LineTop"/>
      </w:pPr>
    </w:p>
    <w:p w14:paraId="349D40D8" w14:textId="77777777" w:rsidR="00680577" w:rsidRPr="00B84F91" w:rsidRDefault="00FD39BA" w:rsidP="00680577">
      <w:pPr>
        <w:pStyle w:val="EPBodyTA1"/>
      </w:pPr>
      <w:r w:rsidRPr="00B84F91">
        <w:t>ПРИЕТИ ТЕКСТОВЕ</w:t>
      </w:r>
    </w:p>
    <w:p w14:paraId="0FCD79CF" w14:textId="77777777" w:rsidR="00D058B8" w:rsidRPr="00B84F91" w:rsidRDefault="00D058B8" w:rsidP="00D058B8">
      <w:pPr>
        <w:pStyle w:val="LineBottom"/>
      </w:pPr>
    </w:p>
    <w:p w14:paraId="58C6BDC9" w14:textId="77777777" w:rsidR="00FD39BA" w:rsidRPr="00B84F91" w:rsidRDefault="00FD39BA" w:rsidP="00FD39BA">
      <w:pPr>
        <w:pStyle w:val="ATHeading1"/>
      </w:pPr>
      <w:bookmarkStart w:id="0" w:name="TANumber"/>
      <w:r w:rsidRPr="00B84F91">
        <w:t>P10_TA(2025)00</w:t>
      </w:r>
      <w:r w:rsidR="001413E5">
        <w:t>88</w:t>
      </w:r>
      <w:bookmarkEnd w:id="0"/>
    </w:p>
    <w:p w14:paraId="5B6B9BB7" w14:textId="77777777" w:rsidR="00FD39BA" w:rsidRPr="00B84F91" w:rsidRDefault="00FD39BA" w:rsidP="00FD39BA">
      <w:pPr>
        <w:pStyle w:val="ATHeading2"/>
      </w:pPr>
      <w:bookmarkStart w:id="1" w:name="title"/>
      <w:r w:rsidRPr="00B84F91">
        <w:t>Освобождаване от отговорност във връзка с изпълнението на бюджета за 2023 г.: Агенции</w:t>
      </w:r>
      <w:bookmarkEnd w:id="1"/>
    </w:p>
    <w:p w14:paraId="4A419133" w14:textId="77777777" w:rsidR="00FD39BA" w:rsidRPr="00B84F91" w:rsidRDefault="00FD39BA" w:rsidP="00FD39BA">
      <w:pPr>
        <w:rPr>
          <w:i/>
          <w:vanish/>
        </w:rPr>
      </w:pPr>
      <w:r w:rsidRPr="00B84F91">
        <w:rPr>
          <w:i/>
        </w:rPr>
        <w:fldChar w:fldCharType="begin"/>
      </w:r>
      <w:r w:rsidRPr="00B84F91">
        <w:rPr>
          <w:i/>
        </w:rPr>
        <w:instrText xml:space="preserve"> TC"(</w:instrText>
      </w:r>
      <w:bookmarkStart w:id="2" w:name="DocNumber"/>
      <w:r w:rsidRPr="00B84F91">
        <w:rPr>
          <w:i/>
        </w:rPr>
        <w:instrText>A10-0065/2025</w:instrText>
      </w:r>
      <w:bookmarkEnd w:id="2"/>
      <w:r w:rsidRPr="00B84F91">
        <w:rPr>
          <w:i/>
        </w:rPr>
        <w:instrText xml:space="preserve"> - Докладчик: Ерик </w:instrText>
      </w:r>
      <w:proofErr w:type="spellStart"/>
      <w:r w:rsidRPr="00B84F91">
        <w:rPr>
          <w:i/>
        </w:rPr>
        <w:instrText>Маркварт</w:instrText>
      </w:r>
      <w:proofErr w:type="spellEnd"/>
      <w:r w:rsidRPr="00B84F91">
        <w:rPr>
          <w:i/>
        </w:rPr>
        <w:instrText xml:space="preserve">)"\l3 \n&gt; \* MERGEFORMAT </w:instrText>
      </w:r>
      <w:r w:rsidRPr="00B84F91">
        <w:rPr>
          <w:i/>
        </w:rPr>
        <w:fldChar w:fldCharType="end"/>
      </w:r>
    </w:p>
    <w:p w14:paraId="506C2393" w14:textId="77777777" w:rsidR="00FD39BA" w:rsidRPr="00B84F91" w:rsidRDefault="00FD39BA" w:rsidP="00FD39BA">
      <w:pPr>
        <w:rPr>
          <w:vanish/>
        </w:rPr>
      </w:pPr>
      <w:bookmarkStart w:id="3" w:name="Commission"/>
      <w:r w:rsidRPr="00B84F91">
        <w:rPr>
          <w:vanish/>
        </w:rPr>
        <w:t>Комисия по бюджетен контрол</w:t>
      </w:r>
      <w:bookmarkEnd w:id="3"/>
    </w:p>
    <w:p w14:paraId="5F9D9445" w14:textId="77777777" w:rsidR="00FD39BA" w:rsidRPr="00B84F91" w:rsidRDefault="00FD39BA" w:rsidP="00FD39BA">
      <w:pPr>
        <w:rPr>
          <w:vanish/>
        </w:rPr>
      </w:pPr>
      <w:bookmarkStart w:id="4" w:name="PE"/>
      <w:r w:rsidRPr="00B84F91">
        <w:rPr>
          <w:vanish/>
        </w:rPr>
        <w:t>PE765.000</w:t>
      </w:r>
      <w:bookmarkEnd w:id="4"/>
    </w:p>
    <w:p w14:paraId="3B4DFB0D" w14:textId="77777777" w:rsidR="00FD39BA" w:rsidRPr="00B84F91" w:rsidRDefault="006142BC" w:rsidP="0056199F">
      <w:pPr>
        <w:pStyle w:val="ATHeading3"/>
      </w:pPr>
      <w:bookmarkStart w:id="5" w:name="Sujet"/>
      <w:r>
        <w:t xml:space="preserve">1. </w:t>
      </w:r>
      <w:r w:rsidR="00FD39BA" w:rsidRPr="00B84F91">
        <w:t xml:space="preserve">Решение на Европейския парламент от </w:t>
      </w:r>
      <w:r w:rsidR="0056199F">
        <w:t>7 май</w:t>
      </w:r>
      <w:r w:rsidR="00FD39BA" w:rsidRPr="00B84F91">
        <w:t xml:space="preserve"> 2025 г. относно освобождаването от отговорност във връзка с изпълнението на бюджета на </w:t>
      </w:r>
      <w:r w:rsidR="00FC5007" w:rsidRPr="00B84F91">
        <w:t xml:space="preserve">Агенцията на Европейския съюз за сътрудничество между регулаторите на енергия </w:t>
      </w:r>
      <w:r w:rsidR="00FD39BA" w:rsidRPr="00B84F91">
        <w:t>за финансовата 2023 година</w:t>
      </w:r>
      <w:bookmarkEnd w:id="5"/>
      <w:r w:rsidR="00FD39BA" w:rsidRPr="00B84F91">
        <w:t xml:space="preserve"> </w:t>
      </w:r>
      <w:bookmarkStart w:id="6" w:name="References"/>
      <w:r w:rsidR="00FD39BA" w:rsidRPr="00B84F91">
        <w:t>(2024/2030(DEC))</w:t>
      </w:r>
      <w:bookmarkEnd w:id="6"/>
    </w:p>
    <w:p w14:paraId="39A4EF59" w14:textId="77777777" w:rsidR="004D1A97" w:rsidRPr="00B84F91" w:rsidRDefault="004D1A97" w:rsidP="004D1A97">
      <w:pPr>
        <w:pStyle w:val="EPComma"/>
      </w:pPr>
      <w:bookmarkStart w:id="7" w:name="TextBodyBegin"/>
      <w:bookmarkEnd w:id="7"/>
      <w:r w:rsidRPr="00B84F91">
        <w:rPr>
          <w:i/>
        </w:rPr>
        <w:t>Европейският парламент</w:t>
      </w:r>
      <w:r w:rsidRPr="00B84F91">
        <w:t>,</w:t>
      </w:r>
    </w:p>
    <w:p w14:paraId="077F0A11"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на Европейския съюз за сътрудничество между регулаторите на енергия за финансовата 2023 година,</w:t>
      </w:r>
    </w:p>
    <w:p w14:paraId="2FB1F4C2"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
      </w:r>
      <w:r w:rsidRPr="00B84F91">
        <w:t>,</w:t>
      </w:r>
    </w:p>
    <w:p w14:paraId="5907945C"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12D37E1E"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5699FF91"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6CEE4021" w14:textId="77777777" w:rsidR="004D1A97" w:rsidRPr="00B84F91" w:rsidRDefault="004D1A97" w:rsidP="004D1A97">
      <w:pPr>
        <w:pStyle w:val="NormalHanging12a"/>
      </w:pPr>
      <w:r w:rsidRPr="00B84F91">
        <w:t>–</w:t>
      </w:r>
      <w:r w:rsidRPr="00B84F91">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w:t>
      </w:r>
      <w:r w:rsidRPr="00B84F91">
        <w:lastRenderedPageBreak/>
        <w:t>за отмяна на Регламент (ЕС, Евратом) № 966/2012</w:t>
      </w:r>
      <w:r w:rsidRPr="00B84F91">
        <w:rPr>
          <w:rStyle w:val="FootnoteReference"/>
        </w:rPr>
        <w:footnoteReference w:id="3"/>
      </w:r>
      <w:r w:rsidRPr="00B84F91">
        <w:t>, и по-специално член 70 от него,</w:t>
      </w:r>
    </w:p>
    <w:p w14:paraId="0B1F25C2"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4"/>
      </w:r>
      <w:r w:rsidRPr="00B84F91">
        <w:t>, и по-специално член 70 от него,</w:t>
      </w:r>
    </w:p>
    <w:p w14:paraId="44F82904" w14:textId="77777777" w:rsidR="004D1A97" w:rsidRPr="00B84F91" w:rsidRDefault="004D1A97" w:rsidP="004D1A97">
      <w:pPr>
        <w:pStyle w:val="NormalHanging12a"/>
      </w:pPr>
      <w:r w:rsidRPr="00B84F91">
        <w:t>–</w:t>
      </w:r>
      <w:r w:rsidRPr="00B84F91">
        <w:tab/>
        <w:t>като взе предвид Регламент (ЕС) 2019/942 на Европейския парламент и на Съвета от 5 юни 2019 г. за създаване на Агенция на Европейския съюз за сътрудничество между регулаторите на енергия</w:t>
      </w:r>
      <w:r w:rsidRPr="00B84F91">
        <w:rPr>
          <w:rStyle w:val="FootnoteReference"/>
        </w:rPr>
        <w:footnoteReference w:id="5"/>
      </w:r>
      <w:r w:rsidRPr="00B84F91">
        <w:t>, и по-специално член 35 от него,</w:t>
      </w:r>
    </w:p>
    <w:p w14:paraId="7F4A585D"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6"/>
      </w:r>
      <w:r w:rsidRPr="00B84F91">
        <w:t>, и по-специално член 105 от него,</w:t>
      </w:r>
    </w:p>
    <w:p w14:paraId="622CE6C9"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6F9EA8B9"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34BBBD24"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2153D257" w14:textId="77777777" w:rsidR="004D1A97" w:rsidRPr="00B84F91" w:rsidRDefault="004D1A97" w:rsidP="004D1A97">
      <w:pPr>
        <w:pStyle w:val="NormalHanging12a"/>
      </w:pPr>
      <w:r w:rsidRPr="00B84F91">
        <w:t>1.</w:t>
      </w:r>
      <w:r w:rsidRPr="00B84F91">
        <w:tab/>
        <w:t>освобождава от отговорност директора на Агенцията на Европейския съюз за сътрудничество между регулаторите на енергия във връзка с изпълнението на бюджета на Агенцията за финансовата 2023 година;</w:t>
      </w:r>
    </w:p>
    <w:p w14:paraId="27B9194A"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030C02E1"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директора на Агенцията на Европейския съюз за сътрудничество между регулаторите на енергия,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7ED720CA" w14:textId="77777777" w:rsidR="004D1A97" w:rsidRPr="00B84F91" w:rsidRDefault="004D1A97" w:rsidP="004D1A97"/>
    <w:p w14:paraId="1E11E84A" w14:textId="77777777" w:rsidR="004D1A97" w:rsidRPr="00B84F91" w:rsidRDefault="004D1A97" w:rsidP="004D1A97">
      <w:pPr>
        <w:pStyle w:val="PageHeadingDec"/>
        <w:sectPr w:rsidR="004D1A97" w:rsidRPr="00B84F91" w:rsidSect="00B84F91">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0090F83" w14:textId="77777777" w:rsidR="006142BC" w:rsidRDefault="006142BC" w:rsidP="006142BC">
      <w:pPr>
        <w:pStyle w:val="ATHeading3"/>
      </w:pPr>
      <w:r>
        <w:lastRenderedPageBreak/>
        <w:t>2. Решение на Европейския парламент от 7 май 2025 г. относно приключването на сметките на Агенцията на Европейския съюз за сътрудничество между регулаторите на енергия за финансовата 2023 година (2024/2030(DEC))</w:t>
      </w:r>
    </w:p>
    <w:p w14:paraId="66A4EA02" w14:textId="77777777" w:rsidR="004D1A97" w:rsidRPr="00B84F91" w:rsidRDefault="004D1A97" w:rsidP="004D1A97">
      <w:pPr>
        <w:pStyle w:val="EPComma"/>
      </w:pPr>
      <w:r w:rsidRPr="00B84F91">
        <w:rPr>
          <w:i/>
        </w:rPr>
        <w:t>Европейският парламент</w:t>
      </w:r>
      <w:r w:rsidRPr="00B84F91">
        <w:t>,</w:t>
      </w:r>
    </w:p>
    <w:p w14:paraId="5FB22B43"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на Европейския съюз за сътрудничество между регулаторите на енергия за финансовата 2023 година,</w:t>
      </w:r>
    </w:p>
    <w:p w14:paraId="51328FB1"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7"/>
      </w:r>
      <w:r w:rsidRPr="00B84F91">
        <w:t>,</w:t>
      </w:r>
    </w:p>
    <w:p w14:paraId="1BBF57CA"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8"/>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169795BC"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50580D5C"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5D0567E0"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9"/>
      </w:r>
      <w:r w:rsidRPr="00B84F91">
        <w:t>, и по-специално член 70 от него,</w:t>
      </w:r>
    </w:p>
    <w:p w14:paraId="336ED3F8"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0"/>
      </w:r>
      <w:r w:rsidRPr="00B84F91">
        <w:t>, и по-специално член 70 от него,</w:t>
      </w:r>
    </w:p>
    <w:p w14:paraId="3DC69188" w14:textId="77777777" w:rsidR="004D1A97" w:rsidRPr="00B84F91" w:rsidRDefault="004D1A97" w:rsidP="004D1A97">
      <w:pPr>
        <w:pStyle w:val="NormalHanging12a"/>
      </w:pPr>
      <w:r w:rsidRPr="00B84F91">
        <w:t>–</w:t>
      </w:r>
      <w:r w:rsidRPr="00B84F91">
        <w:tab/>
        <w:t>като взе предвид Регламент (ЕС) 2019/942 на Европейския парламент и на Съвета от 5 юни 2019 г. за създаване на Агенция на Европейския съюз за сътрудничество между регулаторите на енергия</w:t>
      </w:r>
      <w:r w:rsidRPr="00B84F91">
        <w:rPr>
          <w:rStyle w:val="FootnoteReference"/>
        </w:rPr>
        <w:footnoteReference w:id="11"/>
      </w:r>
      <w:r w:rsidRPr="00B84F91">
        <w:t>, и по-специално член 35 от него,</w:t>
      </w:r>
    </w:p>
    <w:p w14:paraId="05C9F057"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12"/>
      </w:r>
      <w:r w:rsidRPr="00B84F91">
        <w:t xml:space="preserve">, и по-специално </w:t>
      </w:r>
      <w:r w:rsidRPr="00B84F91">
        <w:lastRenderedPageBreak/>
        <w:t>член 105 от него,</w:t>
      </w:r>
    </w:p>
    <w:p w14:paraId="2F15FC98"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79881587"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74AED2BA"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71D71EFB" w14:textId="77777777" w:rsidR="004D1A97" w:rsidRPr="00B84F91" w:rsidRDefault="004D1A97" w:rsidP="004D1A97">
      <w:pPr>
        <w:pStyle w:val="NormalHanging12a"/>
      </w:pPr>
      <w:r w:rsidRPr="00B84F91">
        <w:t>1.</w:t>
      </w:r>
      <w:r w:rsidRPr="00B84F91">
        <w:tab/>
        <w:t>одобрява приключването на сметките на Агенцията на Европейския съюз за сътрудничество между регулаторите на енергия за финансовата 2023 година;</w:t>
      </w:r>
    </w:p>
    <w:p w14:paraId="64CC754C"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директора на Агенцията на Европейския съюз за сътрудничество между регулаторите на енергия,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12BCD707" w14:textId="77777777" w:rsidR="004D1A97" w:rsidRPr="00B84F91" w:rsidRDefault="004D1A97" w:rsidP="004D1A97"/>
    <w:p w14:paraId="7191E907" w14:textId="77777777" w:rsidR="004D1A97" w:rsidRPr="00B84F91" w:rsidRDefault="004D1A97" w:rsidP="004D1A97"/>
    <w:p w14:paraId="05A5A84F" w14:textId="77777777" w:rsidR="004D1A97" w:rsidRPr="00B84F91" w:rsidRDefault="004D1A97" w:rsidP="004D1A97"/>
    <w:p w14:paraId="3F368E6E" w14:textId="77777777" w:rsidR="004D1A97" w:rsidRPr="00B84F91" w:rsidRDefault="004D1A97" w:rsidP="004D1A97">
      <w:pPr>
        <w:pStyle w:val="PageHeadingDec"/>
        <w:sectPr w:rsidR="004D1A97" w:rsidRPr="00B84F91" w:rsidSect="00B84F91">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B02E07D" w14:textId="77777777" w:rsidR="006142BC" w:rsidRDefault="006142BC" w:rsidP="006142BC">
      <w:pPr>
        <w:pStyle w:val="ATHeading3"/>
      </w:pPr>
      <w:r>
        <w:lastRenderedPageBreak/>
        <w:t>3. Решение на Европейския парламент от 7 май 2025 г. относно освобождаването от отговорност във връзка с изпълнението на бюджета на Агенцията за подкрепа на ОЕРЕС за финансовата 2023 година (2024/2030(DEC))</w:t>
      </w:r>
    </w:p>
    <w:p w14:paraId="286ADCAD" w14:textId="77777777" w:rsidR="004D1A97" w:rsidRPr="00B84F91" w:rsidRDefault="004D1A97" w:rsidP="004D1A97">
      <w:pPr>
        <w:pStyle w:val="EPComma"/>
      </w:pPr>
      <w:r w:rsidRPr="00B84F91">
        <w:rPr>
          <w:i/>
        </w:rPr>
        <w:t>Европейският парламент</w:t>
      </w:r>
      <w:r w:rsidRPr="00B84F91">
        <w:t>,</w:t>
      </w:r>
    </w:p>
    <w:p w14:paraId="26A09458"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за подкрепа на ОЕРЕС за финансовата 2023 година,</w:t>
      </w:r>
    </w:p>
    <w:p w14:paraId="7967AFFC"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3"/>
      </w:r>
      <w:r w:rsidRPr="00B84F91">
        <w:t>,</w:t>
      </w:r>
    </w:p>
    <w:p w14:paraId="19D74358"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14"/>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723F56EA"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02F647F2"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3D32C8FC"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15"/>
      </w:r>
      <w:r w:rsidRPr="00B84F91">
        <w:t>, и по-специално член 70 от него,</w:t>
      </w:r>
    </w:p>
    <w:p w14:paraId="60553C9F"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6"/>
      </w:r>
      <w:r w:rsidRPr="00B84F91">
        <w:t>, и по-специално член 70 от него,</w:t>
      </w:r>
    </w:p>
    <w:p w14:paraId="41037EC5" w14:textId="77777777" w:rsidR="004D1A97" w:rsidRPr="00B84F91" w:rsidRDefault="004D1A97" w:rsidP="004D1A97">
      <w:pPr>
        <w:pStyle w:val="NormalHanging12a"/>
      </w:pPr>
      <w:r w:rsidRPr="00B84F91">
        <w:t>–</w:t>
      </w:r>
      <w:r w:rsidRPr="00B84F91">
        <w:tab/>
        <w:t>като взе предвид Регламент (ЕС) 2018/1971 на Европейския парламент и на Съвета от 11 декември 2018 г. за създаване на Орган на европейските регулатори в областта на електронните съобщения (ОЕРЕС) и на Агенция за подкрепа на ОЕРЕС (Службата на ОЕРЕС), за изменение на Регламент (ЕС) 2015/2120 и за отмяна на Регламент (ЕО) № 1211/2009</w:t>
      </w:r>
      <w:r w:rsidRPr="00B84F91">
        <w:rPr>
          <w:rStyle w:val="FootnoteReference"/>
        </w:rPr>
        <w:footnoteReference w:id="17"/>
      </w:r>
      <w:r w:rsidRPr="00B84F91">
        <w:t>, и по-специално член 28 от него,</w:t>
      </w:r>
    </w:p>
    <w:p w14:paraId="3E2331B2"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18"/>
      </w:r>
      <w:r w:rsidRPr="00B84F91">
        <w:t xml:space="preserve">, и по-специално </w:t>
      </w:r>
      <w:r w:rsidRPr="00B84F91">
        <w:lastRenderedPageBreak/>
        <w:t>член 105 от него,</w:t>
      </w:r>
    </w:p>
    <w:p w14:paraId="6736433E"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27BE899A"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53B197E2"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5F1CA91E" w14:textId="77777777" w:rsidR="004D1A97" w:rsidRPr="00B84F91" w:rsidRDefault="004D1A97" w:rsidP="004D1A97">
      <w:pPr>
        <w:pStyle w:val="NormalHanging12a"/>
      </w:pPr>
      <w:r w:rsidRPr="00B84F91">
        <w:t>1.</w:t>
      </w:r>
      <w:r w:rsidRPr="00B84F91">
        <w:tab/>
        <w:t>освобождава от отговорност директора на Агенцията за подкрепа на ОЕРЕС във връзка с изпълнението на бюджета на Агенцията за финансовата 2023 година;</w:t>
      </w:r>
    </w:p>
    <w:p w14:paraId="6990D2F1"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73F948BB"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директора на Агенцията за подкрепа на ОЕРЕС,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3D681E54" w14:textId="77777777" w:rsidR="004D1A97" w:rsidRPr="00B84F91" w:rsidRDefault="004D1A97" w:rsidP="004D1A97"/>
    <w:p w14:paraId="5E6041AC" w14:textId="77777777" w:rsidR="004D1A97" w:rsidRPr="00B84F91" w:rsidRDefault="004D1A97" w:rsidP="004D1A97">
      <w:pPr>
        <w:pStyle w:val="PageHeadingDec"/>
        <w:sectPr w:rsidR="004D1A97" w:rsidRPr="00B84F91" w:rsidSect="00B84F91">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C4566D" w14:textId="77777777" w:rsidR="006142BC" w:rsidRDefault="006142BC" w:rsidP="006142BC">
      <w:pPr>
        <w:pStyle w:val="ATHeading3"/>
      </w:pPr>
      <w:r>
        <w:lastRenderedPageBreak/>
        <w:t>4. Решение на Европейския парламент от 7 май 2025 г. относно приключването на сметките на Агенцията за подкрепа на ОЕРЕС за финансовата 2023 година (2024/2030(DEC))</w:t>
      </w:r>
    </w:p>
    <w:p w14:paraId="60345F80" w14:textId="77777777" w:rsidR="004D1A97" w:rsidRPr="00B84F91" w:rsidRDefault="004D1A97" w:rsidP="004D1A97">
      <w:pPr>
        <w:pStyle w:val="EPComma"/>
      </w:pPr>
      <w:r w:rsidRPr="00B84F91">
        <w:rPr>
          <w:i/>
        </w:rPr>
        <w:t>Европейският парламент</w:t>
      </w:r>
      <w:r w:rsidRPr="00B84F91">
        <w:t>,</w:t>
      </w:r>
    </w:p>
    <w:p w14:paraId="54408B6A"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за подкрепа на ОЕРЕС за финансовата 2023 година,</w:t>
      </w:r>
    </w:p>
    <w:p w14:paraId="4B313A26"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9"/>
      </w:r>
      <w:r w:rsidRPr="00B84F91">
        <w:t>,</w:t>
      </w:r>
    </w:p>
    <w:p w14:paraId="3A909913"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0"/>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584D3C80"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2616E919"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57F91B74"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1"/>
      </w:r>
      <w:r w:rsidRPr="00B84F91">
        <w:t>, и по-специално член 70 от него,</w:t>
      </w:r>
    </w:p>
    <w:p w14:paraId="0A9F13E6"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2"/>
      </w:r>
      <w:r w:rsidRPr="00B84F91">
        <w:t>, и по-специално член 70 от него,</w:t>
      </w:r>
    </w:p>
    <w:p w14:paraId="13CB2178" w14:textId="77777777" w:rsidR="004D1A97" w:rsidRPr="00B84F91" w:rsidRDefault="004D1A97" w:rsidP="004D1A97">
      <w:pPr>
        <w:pStyle w:val="NormalHanging12a"/>
      </w:pPr>
      <w:r w:rsidRPr="00B84F91">
        <w:t>–</w:t>
      </w:r>
      <w:r w:rsidRPr="00B84F91">
        <w:tab/>
        <w:t>като взе предвид Регламент (ЕС) 2018/1971 на Европейския парламент и на Съвета от 11 декември 2018 г. за създаване на Орган на европейските регулатори в областта на електронните съобщения (ОЕРЕС) и на Агенция за подкрепа на ОЕРЕС (Службата на ОЕРЕС), за изменение на Регламент (ЕС) 2015/2120 и за отмяна на Регламент (ЕО) № 1211/2009</w:t>
      </w:r>
      <w:r w:rsidRPr="00B84F91">
        <w:rPr>
          <w:rStyle w:val="FootnoteReference"/>
        </w:rPr>
        <w:footnoteReference w:id="23"/>
      </w:r>
      <w:r w:rsidRPr="00B84F91">
        <w:t>, и по-специално член 28 от него,</w:t>
      </w:r>
    </w:p>
    <w:p w14:paraId="72CFB3EF"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24"/>
      </w:r>
      <w:r w:rsidRPr="00B84F91">
        <w:t xml:space="preserve">, и по-специално </w:t>
      </w:r>
      <w:r w:rsidRPr="00B84F91">
        <w:lastRenderedPageBreak/>
        <w:t>член 105 от него,</w:t>
      </w:r>
    </w:p>
    <w:p w14:paraId="2536D2A2"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433B5F9A"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57CF6D1D"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4B99C707" w14:textId="77777777" w:rsidR="004D1A97" w:rsidRPr="00B84F91" w:rsidRDefault="004D1A97" w:rsidP="004D1A97">
      <w:pPr>
        <w:pStyle w:val="NormalHanging12a"/>
      </w:pPr>
      <w:r w:rsidRPr="00B84F91">
        <w:t>1.</w:t>
      </w:r>
      <w:r w:rsidRPr="00B84F91">
        <w:tab/>
        <w:t>одобрява приключването на сметките на Агенцията за подкрепа на ОЕРЕС за финансовата 2023 година;</w:t>
      </w:r>
    </w:p>
    <w:p w14:paraId="65753B0C"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директора на Агенцията за подкрепа на ОЕРЕС,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5D671D97" w14:textId="77777777" w:rsidR="004D1A97" w:rsidRPr="00B84F91" w:rsidRDefault="004D1A97" w:rsidP="004D1A97">
      <w:pPr>
        <w:pStyle w:val="PageHeadingDec"/>
        <w:sectPr w:rsidR="004D1A97" w:rsidRPr="00B84F91" w:rsidSect="00B84F91">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7E708B7" w14:textId="77777777" w:rsidR="006142BC" w:rsidRDefault="006142BC" w:rsidP="006142BC">
      <w:pPr>
        <w:pStyle w:val="ATHeading3"/>
      </w:pPr>
      <w:r>
        <w:lastRenderedPageBreak/>
        <w:t>5. Решение на Европейския парламент от 7 май 2025 г. относно освобождаването от отговорност във връзка с изпълнението на бюджета на Центъра за преводи за органите на Европейския съюз за финансовата 2023 година (2024/2030(DEC))</w:t>
      </w:r>
    </w:p>
    <w:p w14:paraId="55462CAC" w14:textId="77777777" w:rsidR="004D1A97" w:rsidRPr="00B84F91" w:rsidRDefault="004D1A97" w:rsidP="004D1A97">
      <w:pPr>
        <w:pStyle w:val="EPComma"/>
      </w:pPr>
      <w:r w:rsidRPr="00B84F91">
        <w:rPr>
          <w:i/>
        </w:rPr>
        <w:t>Европейският парламент</w:t>
      </w:r>
      <w:r w:rsidRPr="00B84F91">
        <w:t>,</w:t>
      </w:r>
    </w:p>
    <w:p w14:paraId="002C944F" w14:textId="77777777" w:rsidR="004D1A97" w:rsidRPr="00B84F91" w:rsidRDefault="004D1A97" w:rsidP="004D1A97">
      <w:pPr>
        <w:pStyle w:val="NormalHanging12a"/>
      </w:pPr>
      <w:r w:rsidRPr="00B84F91">
        <w:t>–</w:t>
      </w:r>
      <w:r w:rsidRPr="00B84F91">
        <w:tab/>
        <w:t>като взе предвид окончателните годишни отчети на Центъра за преводи за органите на Европейския съюз за финансовата 2023 година,</w:t>
      </w:r>
    </w:p>
    <w:p w14:paraId="49425BA9"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25"/>
      </w:r>
      <w:r w:rsidRPr="00B84F91">
        <w:t>,</w:t>
      </w:r>
    </w:p>
    <w:p w14:paraId="11C34EBF"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6"/>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CB0A9EA"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Центъра във връзка с изпълнението на бюджета за финансовата 2023 година (05755/2025 – C10</w:t>
      </w:r>
      <w:r w:rsidRPr="00B84F91">
        <w:noBreakHyphen/>
        <w:t>0024/2025),</w:t>
      </w:r>
    </w:p>
    <w:p w14:paraId="70733625"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0EF115DE"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7"/>
      </w:r>
      <w:r w:rsidRPr="00B84F91">
        <w:t>, и по-специално член 70 от него,</w:t>
      </w:r>
    </w:p>
    <w:p w14:paraId="51E092D4"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8"/>
      </w:r>
      <w:r w:rsidRPr="00B84F91">
        <w:t>, и по-специално член 70 от него,</w:t>
      </w:r>
    </w:p>
    <w:p w14:paraId="2F6DBD29" w14:textId="77777777" w:rsidR="004D1A97" w:rsidRPr="00B84F91" w:rsidRDefault="004D1A97" w:rsidP="004D1A97">
      <w:pPr>
        <w:pStyle w:val="NormalHanging12a"/>
      </w:pPr>
      <w:r w:rsidRPr="00B84F91">
        <w:t>–</w:t>
      </w:r>
      <w:r w:rsidRPr="00B84F91">
        <w:tab/>
        <w:t>като взе предвид Регламент (ЕО) № 2965/94 на Съвета от 28 ноември 1994 г. относно създаване на Център за преводи за органите на Европейския съюз</w:t>
      </w:r>
      <w:r w:rsidRPr="00B84F91">
        <w:rPr>
          <w:rStyle w:val="FootnoteReference"/>
        </w:rPr>
        <w:footnoteReference w:id="29"/>
      </w:r>
      <w:r w:rsidRPr="00B84F91">
        <w:t>, и по-специално член 14,</w:t>
      </w:r>
    </w:p>
    <w:p w14:paraId="1FFEA82F"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30"/>
      </w:r>
      <w:r w:rsidRPr="00B84F91">
        <w:t>, и по-специално член 105 от него,</w:t>
      </w:r>
    </w:p>
    <w:p w14:paraId="0786E832" w14:textId="77777777" w:rsidR="004D1A97" w:rsidRPr="00B84F91" w:rsidRDefault="004D1A97" w:rsidP="004D1A97">
      <w:pPr>
        <w:pStyle w:val="NormalHanging12a"/>
      </w:pPr>
      <w:r w:rsidRPr="00B84F91">
        <w:lastRenderedPageBreak/>
        <w:t>–</w:t>
      </w:r>
      <w:r w:rsidRPr="00B84F91">
        <w:tab/>
        <w:t>като взе предвид член 102 и приложение V към своя Правилник за дейността,</w:t>
      </w:r>
    </w:p>
    <w:p w14:paraId="5D8686D3"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0CEF437E"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51FCEF65" w14:textId="77777777" w:rsidR="004D1A97" w:rsidRPr="00B84F91" w:rsidRDefault="004D1A97" w:rsidP="004D1A97">
      <w:pPr>
        <w:pStyle w:val="NormalHanging12a"/>
      </w:pPr>
      <w:r w:rsidRPr="00B84F91">
        <w:t>1.</w:t>
      </w:r>
      <w:r w:rsidRPr="00B84F91">
        <w:tab/>
        <w:t>освобождава от отговорност директора на Центъра за преводи за органите на Европейския съюз във връзка с изпълнението на бюджета на Центъра за финансовата 2023 година;</w:t>
      </w:r>
    </w:p>
    <w:p w14:paraId="6F78DF7D"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0B22AA89"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директора на Центъра за преводи за органите на Европейския съюз,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4BF50171" w14:textId="77777777" w:rsidR="004D1A97" w:rsidRPr="00B84F91" w:rsidRDefault="004D1A97" w:rsidP="004D1A97"/>
    <w:p w14:paraId="11452452" w14:textId="77777777" w:rsidR="004D1A97" w:rsidRPr="00B84F91" w:rsidRDefault="004D1A97" w:rsidP="004D1A97">
      <w:pPr>
        <w:pStyle w:val="PageHeadingDec"/>
        <w:sectPr w:rsidR="004D1A97" w:rsidRPr="00B84F91" w:rsidSect="00B84F91">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8F1038" w14:textId="77777777" w:rsidR="006142BC" w:rsidRDefault="006142BC" w:rsidP="006142BC">
      <w:pPr>
        <w:pStyle w:val="ATHeading3"/>
      </w:pPr>
      <w:r>
        <w:lastRenderedPageBreak/>
        <w:t>6. Решение на Европейския парламент от 7 май 2025 г. относно приключването на сметките на Центъра за преводи за органите на Европейския съюз за финансовата 2023 година (2024/2030(DEC))</w:t>
      </w:r>
    </w:p>
    <w:p w14:paraId="1F6DF130" w14:textId="77777777" w:rsidR="004D1A97" w:rsidRPr="00B84F91" w:rsidRDefault="004D1A97" w:rsidP="004D1A97">
      <w:pPr>
        <w:pStyle w:val="EPComma"/>
      </w:pPr>
      <w:r w:rsidRPr="00B84F91">
        <w:rPr>
          <w:i/>
        </w:rPr>
        <w:t>Европейският парламент</w:t>
      </w:r>
      <w:r w:rsidRPr="00B84F91">
        <w:t>,</w:t>
      </w:r>
    </w:p>
    <w:p w14:paraId="57CA84CB" w14:textId="77777777" w:rsidR="004D1A97" w:rsidRPr="00B84F91" w:rsidRDefault="004D1A97" w:rsidP="004D1A97">
      <w:pPr>
        <w:pStyle w:val="NormalHanging12a"/>
      </w:pPr>
      <w:r w:rsidRPr="00B84F91">
        <w:t>–</w:t>
      </w:r>
      <w:r w:rsidRPr="00B84F91">
        <w:tab/>
        <w:t>като взе предвид окончателните годишни отчети на Центъра за преводи за органите на Европейския съюз за финансовата 2023 година,</w:t>
      </w:r>
    </w:p>
    <w:p w14:paraId="0F554F18"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31"/>
      </w:r>
      <w:r w:rsidRPr="00B84F91">
        <w:t>,</w:t>
      </w:r>
    </w:p>
    <w:p w14:paraId="56C7FC0C"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32"/>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511D3844"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Центъра във връзка с изпълнението на бюджета за финансовата 2023 година (05755/2025 – C10</w:t>
      </w:r>
      <w:r w:rsidRPr="00B84F91">
        <w:noBreakHyphen/>
        <w:t>0024/2025),</w:t>
      </w:r>
    </w:p>
    <w:p w14:paraId="690475B9"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6B251F0F"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33"/>
      </w:r>
      <w:r w:rsidRPr="00B84F91">
        <w:t>, и по-специално член 70 от него,</w:t>
      </w:r>
    </w:p>
    <w:p w14:paraId="0A256F06"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34"/>
      </w:r>
      <w:r w:rsidRPr="00B84F91">
        <w:t>, и по-специално член 70 от него,</w:t>
      </w:r>
    </w:p>
    <w:p w14:paraId="5920F44C" w14:textId="77777777" w:rsidR="004D1A97" w:rsidRPr="00B84F91" w:rsidRDefault="004D1A97" w:rsidP="004D1A97">
      <w:pPr>
        <w:pStyle w:val="NormalHanging12a"/>
      </w:pPr>
      <w:r w:rsidRPr="00B84F91">
        <w:t>–</w:t>
      </w:r>
      <w:r w:rsidRPr="00B84F91">
        <w:tab/>
        <w:t>като взе предвид Регламент (ЕО) № 2965/94 на Съвета от 28 ноември 1994 г. относно създаване на Център за преводи за органите на Европейския съюз</w:t>
      </w:r>
      <w:r w:rsidRPr="00B84F91">
        <w:rPr>
          <w:rStyle w:val="FootnoteReference"/>
        </w:rPr>
        <w:footnoteReference w:id="35"/>
      </w:r>
      <w:r w:rsidRPr="00B84F91">
        <w:t>, и по-специално член 14,</w:t>
      </w:r>
    </w:p>
    <w:p w14:paraId="6048ED83"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36"/>
      </w:r>
      <w:r w:rsidRPr="00B84F91">
        <w:t>, и по-специално член 105 от него,</w:t>
      </w:r>
    </w:p>
    <w:p w14:paraId="68CC95A0" w14:textId="77777777" w:rsidR="004D1A97" w:rsidRPr="00B84F91" w:rsidRDefault="004D1A97" w:rsidP="004D1A97">
      <w:pPr>
        <w:pStyle w:val="NormalHanging12a"/>
      </w:pPr>
      <w:r w:rsidRPr="00B84F91">
        <w:lastRenderedPageBreak/>
        <w:t>–</w:t>
      </w:r>
      <w:r w:rsidRPr="00B84F91">
        <w:tab/>
        <w:t>като взе предвид член 102 и приложение V към своя Правилник за дейността,</w:t>
      </w:r>
    </w:p>
    <w:p w14:paraId="0B950F91"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7082EB7D"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699114FE" w14:textId="77777777" w:rsidR="004D1A97" w:rsidRPr="00B84F91" w:rsidRDefault="004D1A97" w:rsidP="004D1A97">
      <w:pPr>
        <w:pStyle w:val="NormalHanging12a"/>
      </w:pPr>
      <w:r w:rsidRPr="00B84F91">
        <w:t>1.</w:t>
      </w:r>
      <w:r w:rsidRPr="00B84F91">
        <w:tab/>
        <w:t>одобрява приключването на сметките на Центъра за преводи за органите на Европейския съюз за финансовата 2023 година;</w:t>
      </w:r>
    </w:p>
    <w:p w14:paraId="7DDF3467"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директора на Центъра за преводи за органите на Европейския съюз,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76EA5557" w14:textId="77777777" w:rsidR="004D1A97" w:rsidRPr="00B84F91" w:rsidRDefault="004D1A97" w:rsidP="004D1A97"/>
    <w:p w14:paraId="16D8E99D" w14:textId="77777777" w:rsidR="004D1A97" w:rsidRPr="00B84F91" w:rsidRDefault="004D1A97" w:rsidP="004D1A97"/>
    <w:p w14:paraId="1A86DB05" w14:textId="77777777" w:rsidR="004D1A97" w:rsidRPr="00B84F91" w:rsidRDefault="004D1A97" w:rsidP="004D1A97">
      <w:pPr>
        <w:pStyle w:val="PageHeadingDec"/>
        <w:sectPr w:rsidR="004D1A97" w:rsidRPr="00B84F91" w:rsidSect="00B84F91">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28CFE05" w14:textId="77777777" w:rsidR="006142BC" w:rsidRDefault="006142BC" w:rsidP="006142BC">
      <w:pPr>
        <w:pStyle w:val="ATHeading3"/>
      </w:pPr>
      <w:r>
        <w:lastRenderedPageBreak/>
        <w:t>7. Решение на Европейския парламент от 7 май 2025 г. относно освобождаването от отговорност във връзка с изпълнението на бюджета на Европейския център за развитие на професионалното обучение за финансовата 2023 година (2024/2030(DEC))</w:t>
      </w:r>
    </w:p>
    <w:p w14:paraId="35F9F04A" w14:textId="77777777" w:rsidR="004D1A97" w:rsidRPr="00B84F91" w:rsidRDefault="004D1A97" w:rsidP="004D1A97">
      <w:pPr>
        <w:pStyle w:val="EPComma"/>
      </w:pPr>
      <w:r w:rsidRPr="00B84F91">
        <w:rPr>
          <w:i/>
        </w:rPr>
        <w:t>Европейският парламент</w:t>
      </w:r>
      <w:r w:rsidRPr="00B84F91">
        <w:t>,</w:t>
      </w:r>
    </w:p>
    <w:p w14:paraId="508424FE"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център за развитие на професионалното обучение за финансовата 2023 година,</w:t>
      </w:r>
    </w:p>
    <w:p w14:paraId="788C0381"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37"/>
      </w:r>
      <w:r w:rsidRPr="00B84F91">
        <w:t>,</w:t>
      </w:r>
    </w:p>
    <w:p w14:paraId="2E6F66E6"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38"/>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2CB42ED"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Центъра във връзка с изпълнението на бюджета за финансовата 2023 година (05755/2025 – C10</w:t>
      </w:r>
      <w:r w:rsidRPr="00B84F91">
        <w:noBreakHyphen/>
        <w:t>0024/2025),</w:t>
      </w:r>
    </w:p>
    <w:p w14:paraId="4AD32882"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21C5D5BA"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39"/>
      </w:r>
      <w:r w:rsidRPr="00B84F91">
        <w:t>, и по-специално член 70 от него,</w:t>
      </w:r>
    </w:p>
    <w:p w14:paraId="3DA50A86"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40"/>
      </w:r>
      <w:r w:rsidRPr="00B84F91">
        <w:t>, и по-специално член 70 от него,</w:t>
      </w:r>
    </w:p>
    <w:p w14:paraId="7F919B3B" w14:textId="77777777" w:rsidR="004D1A97" w:rsidRPr="00B84F91" w:rsidRDefault="004D1A97" w:rsidP="004D1A97">
      <w:pPr>
        <w:pStyle w:val="NormalHanging12a"/>
      </w:pPr>
      <w:r w:rsidRPr="00B84F91">
        <w:t>–</w:t>
      </w:r>
      <w:r w:rsidRPr="00B84F91">
        <w:tab/>
        <w:t>като взе предвид Регламент (ЕС) 2019/128 на Европейския парламент и на Съвета от 16 януари 2019 г. за създаване на Европейски център за развитие на професионалното обучение (</w:t>
      </w:r>
      <w:proofErr w:type="spellStart"/>
      <w:r w:rsidRPr="00B84F91">
        <w:t>Cedefop</w:t>
      </w:r>
      <w:proofErr w:type="spellEnd"/>
      <w:r w:rsidRPr="00B84F91">
        <w:t>) и за отмяна на Регламент (ЕИО) № 337/75 на Съвета</w:t>
      </w:r>
      <w:r w:rsidRPr="00B84F91">
        <w:rPr>
          <w:rStyle w:val="FootnoteReference"/>
        </w:rPr>
        <w:footnoteReference w:id="41"/>
      </w:r>
      <w:r w:rsidRPr="00B84F91">
        <w:t>, и по-специално член 15 от него,</w:t>
      </w:r>
    </w:p>
    <w:p w14:paraId="0FFD1D7F"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42"/>
      </w:r>
      <w:r w:rsidRPr="00B84F91">
        <w:t xml:space="preserve">, и по-специално </w:t>
      </w:r>
      <w:r w:rsidRPr="00B84F91">
        <w:lastRenderedPageBreak/>
        <w:t>член 105 от него,</w:t>
      </w:r>
    </w:p>
    <w:p w14:paraId="7C615CBC"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3E2FA311"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448F85F0"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51121BF5" w14:textId="77777777" w:rsidR="004D1A97" w:rsidRPr="00B84F91" w:rsidRDefault="004D1A97" w:rsidP="004D1A97">
      <w:pPr>
        <w:pStyle w:val="NormalHanging12a"/>
      </w:pPr>
      <w:r w:rsidRPr="00B84F91">
        <w:t>1.</w:t>
      </w:r>
      <w:r w:rsidRPr="00B84F91">
        <w:tab/>
        <w:t>освобождава от отговорност изпълнителния директор на Европейския център за развитие на професионалното обучение във връзка с изпълнението на бюджета на Центъра за финансовата 2023 година;</w:t>
      </w:r>
    </w:p>
    <w:p w14:paraId="3EC762B1"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0221EE3B"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Европейския център за развитие на професионалното обучение,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6ABCFD4F" w14:textId="77777777" w:rsidR="004D1A97" w:rsidRPr="00B84F91" w:rsidRDefault="004D1A97" w:rsidP="004D1A97"/>
    <w:p w14:paraId="6F4EC286" w14:textId="77777777" w:rsidR="004D1A97" w:rsidRPr="00B84F91" w:rsidRDefault="004D1A97" w:rsidP="004D1A97">
      <w:pPr>
        <w:pStyle w:val="PageHeadingDec"/>
        <w:sectPr w:rsidR="004D1A97" w:rsidRPr="00B84F91" w:rsidSect="00B84F91">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898511" w14:textId="77777777" w:rsidR="006142BC" w:rsidRDefault="006142BC" w:rsidP="006142BC">
      <w:pPr>
        <w:pStyle w:val="ATHeading3"/>
      </w:pPr>
      <w:r>
        <w:lastRenderedPageBreak/>
        <w:t>8. Решение на Европейския парламент от 7 май 2025 г. относно приключването на сметките на Европейския център за развитие на професионалното обучение за финансовата 2023 година (2024/2030(DEC))</w:t>
      </w:r>
    </w:p>
    <w:p w14:paraId="25C2B6B8" w14:textId="77777777" w:rsidR="004D1A97" w:rsidRPr="00B84F91" w:rsidRDefault="004D1A97" w:rsidP="004D1A97">
      <w:pPr>
        <w:pStyle w:val="EPComma"/>
      </w:pPr>
      <w:r w:rsidRPr="00B84F91">
        <w:rPr>
          <w:i/>
        </w:rPr>
        <w:t>Европейският парламент</w:t>
      </w:r>
      <w:r w:rsidRPr="00B84F91">
        <w:t>,</w:t>
      </w:r>
    </w:p>
    <w:p w14:paraId="39E866A5"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център за развитие на професионалното обучение за финансовата 2023 година,</w:t>
      </w:r>
    </w:p>
    <w:p w14:paraId="23B68B74"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43"/>
      </w:r>
      <w:r w:rsidRPr="00B84F91">
        <w:t>,</w:t>
      </w:r>
    </w:p>
    <w:p w14:paraId="2D10ADDE"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44"/>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73EAF77C"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Центъра във връзка с изпълнението на бюджета за финансовата 2023 година (05755/2025 – C10</w:t>
      </w:r>
      <w:r w:rsidRPr="00B84F91">
        <w:noBreakHyphen/>
        <w:t>0024/2025),</w:t>
      </w:r>
    </w:p>
    <w:p w14:paraId="18254816"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694B272B"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45"/>
      </w:r>
      <w:r w:rsidRPr="00B84F91">
        <w:t>, и по-специално член 70 от него,</w:t>
      </w:r>
    </w:p>
    <w:p w14:paraId="032A78C9"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46"/>
      </w:r>
      <w:r w:rsidRPr="00B84F91">
        <w:t>, и по-специално член 70 от него,</w:t>
      </w:r>
    </w:p>
    <w:p w14:paraId="0F687A89" w14:textId="77777777" w:rsidR="004D1A97" w:rsidRPr="00B84F91" w:rsidRDefault="004D1A97" w:rsidP="004D1A97">
      <w:pPr>
        <w:pStyle w:val="NormalHanging12a"/>
      </w:pPr>
      <w:r w:rsidRPr="00B84F91">
        <w:t>–</w:t>
      </w:r>
      <w:r w:rsidRPr="00B84F91">
        <w:tab/>
        <w:t>като взе предвид Регламент (ЕС) 2019/128 на Европейския парламент и на Съвета от 16 януари 2019 г. за създаване на Европейски център за развитие на професионалното обучение (</w:t>
      </w:r>
      <w:proofErr w:type="spellStart"/>
      <w:r w:rsidRPr="00B84F91">
        <w:t>Cedefop</w:t>
      </w:r>
      <w:proofErr w:type="spellEnd"/>
      <w:r w:rsidRPr="00B84F91">
        <w:t>) и за отмяна на Регламент (ЕИО) № 337/75 на Съвета</w:t>
      </w:r>
      <w:r w:rsidRPr="00B84F91">
        <w:rPr>
          <w:rStyle w:val="FootnoteReference"/>
        </w:rPr>
        <w:footnoteReference w:id="47"/>
      </w:r>
      <w:r w:rsidRPr="00B84F91">
        <w:t>, и по-специално член 15 от него,</w:t>
      </w:r>
    </w:p>
    <w:p w14:paraId="36318023"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48"/>
      </w:r>
      <w:r w:rsidRPr="00B84F91">
        <w:t xml:space="preserve">, и по-специално </w:t>
      </w:r>
      <w:r w:rsidRPr="00B84F91">
        <w:lastRenderedPageBreak/>
        <w:t>член 105 от него,</w:t>
      </w:r>
    </w:p>
    <w:p w14:paraId="240D8932"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36550BC5"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77B15EC7"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6A8DECCE" w14:textId="77777777" w:rsidR="004D1A97" w:rsidRPr="00B84F91" w:rsidRDefault="004D1A97" w:rsidP="004D1A97">
      <w:pPr>
        <w:pStyle w:val="NormalHanging12a"/>
      </w:pPr>
      <w:r w:rsidRPr="00B84F91">
        <w:t>1.</w:t>
      </w:r>
      <w:r w:rsidRPr="00B84F91">
        <w:tab/>
        <w:t>одобрява приключването на сметките на Европейския център за развитие на професионалното обучение за финансовата 2023 година;</w:t>
      </w:r>
    </w:p>
    <w:p w14:paraId="61C2860E"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изпълнителния директор на Европейския център за развитие на професионалното обучение,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7E9DC483" w14:textId="77777777" w:rsidR="004D1A97" w:rsidRPr="00B84F91" w:rsidRDefault="004D1A97" w:rsidP="004D1A97"/>
    <w:p w14:paraId="0588D858" w14:textId="77777777" w:rsidR="004D1A97" w:rsidRPr="00B84F91" w:rsidRDefault="004D1A97" w:rsidP="004D1A97"/>
    <w:p w14:paraId="6DE05A18" w14:textId="77777777" w:rsidR="004D1A97" w:rsidRPr="00B84F91" w:rsidRDefault="004D1A97" w:rsidP="004D1A97">
      <w:pPr>
        <w:pStyle w:val="PageHeadingDec"/>
        <w:sectPr w:rsidR="004D1A97" w:rsidRPr="00B84F91" w:rsidSect="00B84F91">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2ED386A" w14:textId="77777777" w:rsidR="006142BC" w:rsidRDefault="006142BC" w:rsidP="006142BC">
      <w:pPr>
        <w:pStyle w:val="ATHeading3"/>
      </w:pPr>
      <w:r>
        <w:lastRenderedPageBreak/>
        <w:t>9. Решение на Европейския парламент от 7 май 2025 г. относно освобождаването от отговорност във връзка с изпълнението на бюджета на Агенцията на Европейския съюз за обучение в областта на правоприлагането за финансовата 2023 година (2024/2030(DEC))</w:t>
      </w:r>
    </w:p>
    <w:p w14:paraId="719A1159" w14:textId="77777777" w:rsidR="004D1A97" w:rsidRPr="00B84F91" w:rsidRDefault="004D1A97" w:rsidP="004D1A97">
      <w:pPr>
        <w:pStyle w:val="EPComma"/>
      </w:pPr>
      <w:r w:rsidRPr="00B84F91">
        <w:rPr>
          <w:i/>
        </w:rPr>
        <w:t>Европейският парламент</w:t>
      </w:r>
      <w:r w:rsidRPr="00B84F91">
        <w:t>,</w:t>
      </w:r>
    </w:p>
    <w:p w14:paraId="3E98712D"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на Европейския съюз за обучение в областта на правоприлагането за финансовата 2023 година,</w:t>
      </w:r>
    </w:p>
    <w:p w14:paraId="793AB046"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49"/>
      </w:r>
      <w:r w:rsidRPr="00B84F91">
        <w:t>,</w:t>
      </w:r>
    </w:p>
    <w:p w14:paraId="5B8960F8"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50"/>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4059E788"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5414134A"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2134D148"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51"/>
      </w:r>
      <w:r w:rsidRPr="00B84F91">
        <w:t>, и по-специално член 70 от него,</w:t>
      </w:r>
    </w:p>
    <w:p w14:paraId="024D7101"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52"/>
      </w:r>
      <w:r w:rsidRPr="00B84F91">
        <w:t>, и по-специално член 70 от него,</w:t>
      </w:r>
    </w:p>
    <w:p w14:paraId="6FF4EF87" w14:textId="77777777" w:rsidR="004D1A97" w:rsidRPr="00B84F91" w:rsidRDefault="004D1A97" w:rsidP="004D1A97">
      <w:pPr>
        <w:pStyle w:val="NormalHanging12a"/>
      </w:pPr>
      <w:r w:rsidRPr="00B84F91">
        <w:t>–</w:t>
      </w:r>
      <w:r w:rsidRPr="00B84F91">
        <w:tab/>
        <w:t>като взе предвид Регламент (ЕС) 2015/2219 на Европейския парламент и на Съвета от 25 ноември 2015 г. относно Агенцията на Европейския съюз за обучение в областта на правоприлагането (CEPOL) и за замяна и отмяна на Решение 2005/681/ПВР на Съвета</w:t>
      </w:r>
      <w:r w:rsidRPr="00B84F91">
        <w:rPr>
          <w:rStyle w:val="FootnoteReference"/>
        </w:rPr>
        <w:footnoteReference w:id="53"/>
      </w:r>
      <w:r w:rsidRPr="00B84F91">
        <w:t>, и по-специално член 20 от него,</w:t>
      </w:r>
    </w:p>
    <w:p w14:paraId="229608C8"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54"/>
      </w:r>
      <w:r w:rsidRPr="00B84F91">
        <w:t xml:space="preserve">, и по-специално </w:t>
      </w:r>
      <w:r w:rsidRPr="00B84F91">
        <w:lastRenderedPageBreak/>
        <w:t>член 105 от него,</w:t>
      </w:r>
    </w:p>
    <w:p w14:paraId="70DB9913"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338C657D"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2C1E425B"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1FE45DA6" w14:textId="77777777" w:rsidR="004D1A97" w:rsidRPr="00B84F91" w:rsidRDefault="004D1A97" w:rsidP="004D1A97">
      <w:pPr>
        <w:pStyle w:val="NormalHanging12a"/>
      </w:pPr>
      <w:r w:rsidRPr="00B84F91">
        <w:t>1.</w:t>
      </w:r>
      <w:r w:rsidRPr="00B84F91">
        <w:tab/>
        <w:t>освобождава от отговорност изпълнителния директор на Агенцията на Европейския съюз за обучение в областта на правоприлагането във връзка с изпълнението на бюджета на Агенцията за финансовата 2023 година;</w:t>
      </w:r>
    </w:p>
    <w:p w14:paraId="16E972D0"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14E6504F"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на Европейския съюз за обучение в областта на правоприлагането,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62A3A9C2" w14:textId="77777777" w:rsidR="004D1A97" w:rsidRPr="00B84F91" w:rsidRDefault="004D1A97" w:rsidP="004D1A97"/>
    <w:p w14:paraId="3BB4671F" w14:textId="77777777" w:rsidR="004D1A97" w:rsidRPr="00B84F91" w:rsidRDefault="004D1A97" w:rsidP="004D1A97">
      <w:pPr>
        <w:pStyle w:val="PageHeadingDec"/>
        <w:sectPr w:rsidR="004D1A97" w:rsidRPr="00B84F91" w:rsidSect="00B84F91">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E4DC78" w14:textId="77777777" w:rsidR="006142BC" w:rsidRDefault="006142BC" w:rsidP="006142BC">
      <w:pPr>
        <w:pStyle w:val="ATHeading3"/>
      </w:pPr>
      <w:r>
        <w:lastRenderedPageBreak/>
        <w:t>10. Решение на Европейския парламент от 7 май 2025 г. относно приключването на сметките на Агенцията на Европейския съюз за обучение в областта на правоприлагането за финансовата 2023 година (2024/2030(DEC))</w:t>
      </w:r>
    </w:p>
    <w:p w14:paraId="70EA90A7" w14:textId="77777777" w:rsidR="004D1A97" w:rsidRPr="00B84F91" w:rsidRDefault="004D1A97" w:rsidP="004D1A97">
      <w:pPr>
        <w:pStyle w:val="EPComma"/>
      </w:pPr>
      <w:r w:rsidRPr="00B84F91">
        <w:rPr>
          <w:i/>
        </w:rPr>
        <w:t>Европейският парламент</w:t>
      </w:r>
      <w:r w:rsidRPr="00B84F91">
        <w:t>,</w:t>
      </w:r>
    </w:p>
    <w:p w14:paraId="71BC452F"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на Европейския съюз за обучение в областта на правоприлагането за финансовата 2023 година,</w:t>
      </w:r>
    </w:p>
    <w:p w14:paraId="5EB71947"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55"/>
      </w:r>
      <w:r w:rsidRPr="00B84F91">
        <w:t>,</w:t>
      </w:r>
    </w:p>
    <w:p w14:paraId="3151A6B7"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56"/>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24757FDE"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4AB722C4"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6EBD9F1A"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57"/>
      </w:r>
      <w:r w:rsidRPr="00B84F91">
        <w:t>, и по-специално член 70 от него,</w:t>
      </w:r>
    </w:p>
    <w:p w14:paraId="7B8DA9D8"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58"/>
      </w:r>
      <w:r w:rsidRPr="00B84F91">
        <w:t>, и по-специално член 70 от него,</w:t>
      </w:r>
    </w:p>
    <w:p w14:paraId="04B9B7FC" w14:textId="77777777" w:rsidR="004D1A97" w:rsidRPr="00B84F91" w:rsidRDefault="004D1A97" w:rsidP="004D1A97">
      <w:pPr>
        <w:pStyle w:val="NormalHanging12a"/>
      </w:pPr>
      <w:r w:rsidRPr="00B84F91">
        <w:t>–</w:t>
      </w:r>
      <w:r w:rsidRPr="00B84F91">
        <w:tab/>
        <w:t>като взе предвид Регламент (ЕС) 2015/2219 на Европейския парламент и на Съвета от 25 ноември 2015 г. относно Агенцията на Европейския съюз за обучение в областта на правоприлагането (CEPOL) и за замяна и отмяна на Решение 2005/681/ПВР на Съвета</w:t>
      </w:r>
      <w:r w:rsidRPr="00B84F91">
        <w:rPr>
          <w:rStyle w:val="FootnoteReference"/>
        </w:rPr>
        <w:footnoteReference w:id="59"/>
      </w:r>
      <w:r w:rsidRPr="00B84F91">
        <w:t>, и по-специално член 20 от него,</w:t>
      </w:r>
    </w:p>
    <w:p w14:paraId="63D40367"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60"/>
      </w:r>
      <w:r w:rsidRPr="00B84F91">
        <w:t xml:space="preserve">, и по-специално </w:t>
      </w:r>
      <w:r w:rsidRPr="00B84F91">
        <w:lastRenderedPageBreak/>
        <w:t>член 105 от него,</w:t>
      </w:r>
    </w:p>
    <w:p w14:paraId="579383D9"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5135F838"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1E8054C3"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3C407D34" w14:textId="77777777" w:rsidR="004D1A97" w:rsidRPr="00B84F91" w:rsidRDefault="004D1A97" w:rsidP="004D1A97">
      <w:pPr>
        <w:pStyle w:val="NormalHanging12a"/>
      </w:pPr>
      <w:r w:rsidRPr="00B84F91">
        <w:t>1.</w:t>
      </w:r>
      <w:r w:rsidRPr="00B84F91">
        <w:tab/>
        <w:t>одобрява приключването на сметките на Агенцията на Европейския съюз за обучение в областта на правоприлагането за финансовата 2023 година;</w:t>
      </w:r>
    </w:p>
    <w:p w14:paraId="11100EDB"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изпълнителния директор на Агенцията на Европейския съюз за обучение в областта на правоприлагането,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3016AEAB" w14:textId="77777777" w:rsidR="004D1A97" w:rsidRPr="00B84F91" w:rsidRDefault="004D1A97" w:rsidP="004D1A97"/>
    <w:p w14:paraId="7137980E" w14:textId="77777777" w:rsidR="004D1A97" w:rsidRPr="00B84F91" w:rsidRDefault="004D1A97" w:rsidP="004D1A97"/>
    <w:p w14:paraId="7CD14B4A" w14:textId="77777777" w:rsidR="004D1A97" w:rsidRPr="00B84F91" w:rsidRDefault="004D1A97" w:rsidP="004D1A97">
      <w:pPr>
        <w:pStyle w:val="PageHeadingDec"/>
        <w:sectPr w:rsidR="004D1A97" w:rsidRPr="00B84F91" w:rsidSect="00B84F91">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4425FFB" w14:textId="77777777" w:rsidR="006142BC" w:rsidRDefault="006142BC" w:rsidP="006142BC">
      <w:pPr>
        <w:pStyle w:val="ATHeading3"/>
      </w:pPr>
      <w:r>
        <w:lastRenderedPageBreak/>
        <w:t>11. Решение на Европейския парламент от 7 май 2025 г. относно освобождаването от отговорност във връзка с изпълнението на бюджета на Агенцията за авиационна безопасност на Европейския съюз за финансовата 2023 година (2024/2030(DEC))</w:t>
      </w:r>
    </w:p>
    <w:p w14:paraId="0168CAAC" w14:textId="77777777" w:rsidR="004D1A97" w:rsidRPr="00B84F91" w:rsidRDefault="004D1A97" w:rsidP="004D1A97">
      <w:pPr>
        <w:pStyle w:val="EPComma"/>
      </w:pPr>
      <w:r w:rsidRPr="00B84F91">
        <w:rPr>
          <w:i/>
        </w:rPr>
        <w:t>Европейският парламент</w:t>
      </w:r>
      <w:r w:rsidRPr="00B84F91">
        <w:t>,</w:t>
      </w:r>
    </w:p>
    <w:p w14:paraId="2C33DB96"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за авиационна безопасност на Европейския съюз за финансовата 2023 година,</w:t>
      </w:r>
    </w:p>
    <w:p w14:paraId="5C7BDEAF"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61"/>
      </w:r>
      <w:r w:rsidRPr="00B84F91">
        <w:t>,</w:t>
      </w:r>
    </w:p>
    <w:p w14:paraId="171AD913"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62"/>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7C066280"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1BFDB5F9"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6F3AD377"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63"/>
      </w:r>
      <w:r w:rsidRPr="00B84F91">
        <w:t>, и по-специално член 70 от него,</w:t>
      </w:r>
    </w:p>
    <w:p w14:paraId="3ECF7D68"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64"/>
      </w:r>
      <w:r w:rsidRPr="00B84F91">
        <w:t>, и по-специално член 70 от него,</w:t>
      </w:r>
    </w:p>
    <w:p w14:paraId="390ADE51" w14:textId="77777777" w:rsidR="004D1A97" w:rsidRPr="00B84F91" w:rsidRDefault="004D1A97" w:rsidP="004D1A97">
      <w:pPr>
        <w:pStyle w:val="NormalHanging12a"/>
      </w:pPr>
      <w:r w:rsidRPr="00B84F91">
        <w:t>–</w:t>
      </w:r>
      <w:r w:rsidRPr="00B84F91">
        <w:tab/>
        <w:t>като взе предвид Регламент (ЕС) 2018/1139 на Европейския парламент и на Съвета от 4 юли 2018 г. относно общи правила в областта на гражданското въздухоплаване и за създаването на Агенция за авиационна безопасност на Европейския съюз и за изменение на регламенти (ЕО) № 2111/2005, (ЕО) № 1008/2008, (ЕС) № 996/2010, (ЕС) № 376/2014 и на директиви 2014/30/ЕС и 2014/53/ЕС на Европейския парламент и на Съвета и за отмяна на регламенти (ЕО) № 552/2004 и (ЕО) № 216/2008 на Европейския парламент и на Съвета и Регламент (ЕИО) № 3922/91 на Съвета</w:t>
      </w:r>
      <w:r w:rsidRPr="00B84F91">
        <w:rPr>
          <w:rStyle w:val="FootnoteReference"/>
        </w:rPr>
        <w:footnoteReference w:id="65"/>
      </w:r>
      <w:r w:rsidRPr="00B84F91">
        <w:t>, и по-специално член 121 от него,</w:t>
      </w:r>
    </w:p>
    <w:p w14:paraId="70FF939A" w14:textId="77777777" w:rsidR="004D1A97" w:rsidRPr="00B84F91" w:rsidRDefault="004D1A97" w:rsidP="004D1A97">
      <w:pPr>
        <w:pStyle w:val="NormalHanging12a"/>
      </w:pPr>
      <w:r w:rsidRPr="00B84F91">
        <w:t>–</w:t>
      </w:r>
      <w:r w:rsidRPr="00B84F91">
        <w:tab/>
        <w:t xml:space="preserve">като взе предвид Делегиран регламент (ЕС) 2019/715 на Комисията от </w:t>
      </w:r>
      <w:r w:rsidRPr="00B84F91">
        <w:lastRenderedPageBreak/>
        <w:t>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66"/>
      </w:r>
      <w:r w:rsidRPr="00B84F91">
        <w:t>, и по-специално член 105 от него,</w:t>
      </w:r>
    </w:p>
    <w:p w14:paraId="17CE7468"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66547E30"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5279F16C"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2B2F8AFC" w14:textId="77777777" w:rsidR="004D1A97" w:rsidRPr="00B84F91" w:rsidRDefault="004D1A97" w:rsidP="004D1A97">
      <w:pPr>
        <w:pStyle w:val="NormalHanging12a"/>
      </w:pPr>
      <w:r w:rsidRPr="00B84F91">
        <w:t>1.</w:t>
      </w:r>
      <w:r w:rsidRPr="00B84F91">
        <w:tab/>
        <w:t>освобождава от отговорност изпълнителния директор на Агенцията за авиационна безопасност на Европейския съюз във връзка с изпълнението на бюджета на Агенцията за финансовата 2023 година;</w:t>
      </w:r>
    </w:p>
    <w:p w14:paraId="59F3BBB7"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767530F8" w14:textId="77777777" w:rsidR="004D1A97" w:rsidRPr="00B84F91" w:rsidRDefault="004D1A97" w:rsidP="004D1A97">
      <w:pPr>
        <w:pStyle w:val="NormalHanging12a"/>
      </w:pPr>
      <w:r w:rsidRPr="00B84F91">
        <w:t>3.</w:t>
      </w:r>
      <w:r w:rsidRPr="00B84F91">
        <w:tab/>
        <w:t>възлага на своя председател да предаде настоящото решение, както и резолюцията, която е неразделна част от него, на изпълнителн</w:t>
      </w:r>
      <w:r w:rsidR="00D81D8B">
        <w:t>ия</w:t>
      </w:r>
      <w:r w:rsidRPr="00B84F91">
        <w:t xml:space="preserve"> директор на Агенцията за авиационна безопасност на Европейския съюз,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08E4A3F7" w14:textId="77777777" w:rsidR="004D1A97" w:rsidRPr="00B84F91" w:rsidRDefault="004D1A97" w:rsidP="004D1A97"/>
    <w:p w14:paraId="4672F699" w14:textId="77777777" w:rsidR="004D1A97" w:rsidRPr="00B84F91" w:rsidRDefault="004D1A97" w:rsidP="004D1A97">
      <w:pPr>
        <w:pStyle w:val="PageHeadingDec"/>
        <w:sectPr w:rsidR="004D1A97" w:rsidRPr="00B84F91" w:rsidSect="00B84F91">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36B2A71" w14:textId="77777777" w:rsidR="006142BC" w:rsidRDefault="006142BC" w:rsidP="006142BC">
      <w:pPr>
        <w:pStyle w:val="ATHeading3"/>
      </w:pPr>
      <w:r>
        <w:lastRenderedPageBreak/>
        <w:t>12. Решение на Европейския парламент от 7 май 2025 г. относно приключването на сметките на Агенцията за авиационна безопасност на Европейския съюз за финансовата 2023 година (2024/2030(DEC))</w:t>
      </w:r>
    </w:p>
    <w:p w14:paraId="0148093F" w14:textId="77777777" w:rsidR="004D1A97" w:rsidRPr="00B84F91" w:rsidRDefault="004D1A97" w:rsidP="004D1A97">
      <w:pPr>
        <w:pStyle w:val="EPComma"/>
      </w:pPr>
      <w:r w:rsidRPr="00B84F91">
        <w:rPr>
          <w:i/>
        </w:rPr>
        <w:t>Европейският парламент</w:t>
      </w:r>
      <w:r w:rsidRPr="00B84F91">
        <w:t>,</w:t>
      </w:r>
    </w:p>
    <w:p w14:paraId="43976158"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за авиационна безопасност на Европейския съюз за финансовата 2023 година,</w:t>
      </w:r>
    </w:p>
    <w:p w14:paraId="217E544C"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67"/>
      </w:r>
      <w:r w:rsidRPr="00B84F91">
        <w:t>,</w:t>
      </w:r>
    </w:p>
    <w:p w14:paraId="0674B90F"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68"/>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46EC38EF"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6F510369"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11FCC424"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69"/>
      </w:r>
      <w:r w:rsidRPr="00B84F91">
        <w:t>, и по-специално член 70 от него,</w:t>
      </w:r>
    </w:p>
    <w:p w14:paraId="28FD4942"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70"/>
      </w:r>
      <w:r w:rsidRPr="00B84F91">
        <w:t>, и по-специално член 70 от него,</w:t>
      </w:r>
    </w:p>
    <w:p w14:paraId="17F03AF3" w14:textId="77777777" w:rsidR="004D1A97" w:rsidRPr="00B84F91" w:rsidRDefault="004D1A97" w:rsidP="004D1A97">
      <w:pPr>
        <w:pStyle w:val="NormalHanging12a"/>
      </w:pPr>
      <w:r w:rsidRPr="00B84F91">
        <w:t>–</w:t>
      </w:r>
      <w:r w:rsidRPr="00B84F91">
        <w:tab/>
        <w:t>като взе предвид Регламент (ЕС) 2018/1139 на Европейския парламент и на Съвета от 4 юли 2018 г. относно общи правила в областта на гражданското въздухоплаване и за създаването на Агенция за авиационна безопасност на Европейския съюз и за изменение на регламенти (ЕО) № 2111/2005, (ЕО) № 1008/2008, (ЕС) № 996/2010, (ЕС) № 376/2014 и на директиви 2014/30/ЕС и 2014/53/ЕС на Европейския парламент и на Съвета и за отмяна на регламенти (ЕО) № 552/2004 и (ЕО) № 216/2008 на Европейския парламент и на Съвета и Регламент (ЕИО) № 3922/91 на Съвета</w:t>
      </w:r>
      <w:r w:rsidRPr="00B84F91">
        <w:rPr>
          <w:rStyle w:val="FootnoteReference"/>
        </w:rPr>
        <w:footnoteReference w:id="71"/>
      </w:r>
      <w:r w:rsidRPr="00B84F91">
        <w:t>, и по-специално член 121 от него,</w:t>
      </w:r>
    </w:p>
    <w:p w14:paraId="76124B2D" w14:textId="77777777" w:rsidR="004D1A97" w:rsidRPr="00B84F91" w:rsidRDefault="004D1A97" w:rsidP="004D1A97">
      <w:pPr>
        <w:pStyle w:val="NormalHanging12a"/>
      </w:pPr>
      <w:r w:rsidRPr="00B84F91">
        <w:t>–</w:t>
      </w:r>
      <w:r w:rsidRPr="00B84F91">
        <w:tab/>
        <w:t xml:space="preserve">като взе предвид Делегиран регламент (ЕС) 2019/715 на Комисията от 18 декември 2018 г. относно рамковия финансов регламент за органите, създадени </w:t>
      </w:r>
      <w:r w:rsidRPr="00B84F91">
        <w:lastRenderedPageBreak/>
        <w:t>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72"/>
      </w:r>
      <w:r w:rsidRPr="00B84F91">
        <w:t>, и по-специално член 105 от него,</w:t>
      </w:r>
    </w:p>
    <w:p w14:paraId="36DAE174"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0607EC65"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79049C94"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40F7DB51" w14:textId="77777777" w:rsidR="004D1A97" w:rsidRPr="00B84F91" w:rsidRDefault="004D1A97" w:rsidP="004D1A97">
      <w:pPr>
        <w:pStyle w:val="NormalHanging12a"/>
      </w:pPr>
      <w:r w:rsidRPr="00B84F91">
        <w:t>1.</w:t>
      </w:r>
      <w:r w:rsidRPr="00B84F91">
        <w:tab/>
        <w:t>одобрява приключването на сметките на Агенцията за авиационна безопасност на Европейския съюз за финансовата 2023 година;</w:t>
      </w:r>
    </w:p>
    <w:p w14:paraId="7FA58E82"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изпълнителния директор на Агенцията за авиационна безопасност на Европейския съюз,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0D591A80" w14:textId="77777777" w:rsidR="004D1A97" w:rsidRPr="00B84F91" w:rsidRDefault="004D1A97" w:rsidP="004D1A97"/>
    <w:p w14:paraId="2E5A4AFC" w14:textId="77777777" w:rsidR="004D1A97" w:rsidRPr="00B84F91" w:rsidRDefault="004D1A97" w:rsidP="004D1A97"/>
    <w:p w14:paraId="58FB7F03" w14:textId="77777777" w:rsidR="004D1A97" w:rsidRPr="00B84F91" w:rsidRDefault="004D1A97" w:rsidP="004D1A97">
      <w:pPr>
        <w:pStyle w:val="PageHeadingDec"/>
        <w:sectPr w:rsidR="004D1A97" w:rsidRPr="00B84F91" w:rsidSect="00B84F91">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3446B49" w14:textId="77777777" w:rsidR="006142BC" w:rsidRDefault="006142BC" w:rsidP="006142BC">
      <w:pPr>
        <w:pStyle w:val="ATHeading3"/>
      </w:pPr>
      <w:r>
        <w:lastRenderedPageBreak/>
        <w:t>13. Решение на Европейския парламент от 7 май 2025 г. относно освобождаването от отговорност във връзка с изпълнението на бюджета на Европейския банков орган за финансовата 2023 година (2024/2030(DEC))</w:t>
      </w:r>
    </w:p>
    <w:p w14:paraId="32D49727" w14:textId="77777777" w:rsidR="004D1A97" w:rsidRPr="00B84F91" w:rsidRDefault="004D1A97" w:rsidP="004D1A97">
      <w:pPr>
        <w:pStyle w:val="EPComma"/>
      </w:pPr>
      <w:r w:rsidRPr="00B84F91">
        <w:rPr>
          <w:i/>
        </w:rPr>
        <w:t>Европейският парламент</w:t>
      </w:r>
      <w:r w:rsidRPr="00B84F91">
        <w:t>,</w:t>
      </w:r>
    </w:p>
    <w:p w14:paraId="20B77F86"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банков орган за финансовата 2023 година,</w:t>
      </w:r>
    </w:p>
    <w:p w14:paraId="3AA3EEAD"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73"/>
      </w:r>
      <w:r w:rsidRPr="00B84F91">
        <w:t>,</w:t>
      </w:r>
    </w:p>
    <w:p w14:paraId="3E084920"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74"/>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5EEA2824"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Органа във връзка с изпълнението на бюджета за финансовата 2023 година (05755/2025 – C10</w:t>
      </w:r>
      <w:r w:rsidRPr="00B84F91">
        <w:noBreakHyphen/>
        <w:t>0024/2025),</w:t>
      </w:r>
    </w:p>
    <w:p w14:paraId="5812CCE9"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644BECB2"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75"/>
      </w:r>
      <w:r w:rsidRPr="00B84F91">
        <w:t>, и по-специално член 70 от него,</w:t>
      </w:r>
    </w:p>
    <w:p w14:paraId="4FC451A3"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76"/>
      </w:r>
      <w:r w:rsidRPr="00B84F91">
        <w:t>, и по-специално член 70 от него,</w:t>
      </w:r>
    </w:p>
    <w:p w14:paraId="397CC669" w14:textId="77777777" w:rsidR="004D1A97" w:rsidRPr="00B84F91" w:rsidRDefault="004D1A97" w:rsidP="004D1A97">
      <w:pPr>
        <w:pStyle w:val="NormalHanging12a"/>
      </w:pPr>
      <w:r w:rsidRPr="00B84F91">
        <w:t>–</w:t>
      </w:r>
      <w:r w:rsidRPr="00B84F91">
        <w:tab/>
        <w:t>като взе предвид Регламент (ЕС) № 1093/2010 на Европейския парламент и на Съвета от 24 ноември 2010 г. за създаване на Европейски надзорен орган (Европейски банков орган), за изменение на Решение № 716/2009/ЕО и за отмяна на Решение 2009/78/ЕО на Комисията</w:t>
      </w:r>
      <w:r w:rsidRPr="00B84F91">
        <w:rPr>
          <w:rStyle w:val="FootnoteReference"/>
        </w:rPr>
        <w:footnoteReference w:id="77"/>
      </w:r>
      <w:r w:rsidRPr="00B84F91">
        <w:t>, и по-специално член 64 от него,</w:t>
      </w:r>
    </w:p>
    <w:p w14:paraId="02D48F14"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78"/>
      </w:r>
      <w:r w:rsidRPr="00B84F91">
        <w:t xml:space="preserve">, и по-специално </w:t>
      </w:r>
      <w:r w:rsidRPr="00B84F91">
        <w:lastRenderedPageBreak/>
        <w:t>член 105 от него,</w:t>
      </w:r>
    </w:p>
    <w:p w14:paraId="2F819914"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19DA718E"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6C432488"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66DD6E57" w14:textId="77777777" w:rsidR="004D1A97" w:rsidRPr="00B84F91" w:rsidRDefault="004D1A97" w:rsidP="004D1A97">
      <w:pPr>
        <w:pStyle w:val="NormalHanging12a"/>
      </w:pPr>
      <w:r w:rsidRPr="00B84F91">
        <w:t>1.</w:t>
      </w:r>
      <w:r w:rsidRPr="00B84F91">
        <w:tab/>
        <w:t>освобождава от отговорност изпълнителния директор на Европейския банков орган във връзка с изпълнението на бюджета на Органа за финансовата 2023 година;</w:t>
      </w:r>
    </w:p>
    <w:p w14:paraId="57DEE009"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1C45B0B5"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Европейския банков орган,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3898D7C3" w14:textId="77777777" w:rsidR="004D1A97" w:rsidRPr="00B84F91" w:rsidRDefault="004D1A97" w:rsidP="004D1A97"/>
    <w:p w14:paraId="5A9A1CAB" w14:textId="77777777" w:rsidR="004D1A97" w:rsidRPr="00B84F91" w:rsidRDefault="004D1A97" w:rsidP="004D1A97">
      <w:pPr>
        <w:pStyle w:val="PageHeadingDec"/>
        <w:sectPr w:rsidR="004D1A97" w:rsidRPr="00B84F91" w:rsidSect="00B84F91">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54ABB3D" w14:textId="77777777" w:rsidR="006142BC" w:rsidRDefault="006142BC" w:rsidP="006142BC">
      <w:pPr>
        <w:pStyle w:val="ATHeading3"/>
      </w:pPr>
      <w:r>
        <w:lastRenderedPageBreak/>
        <w:t>14. Решение на Европейския парламент от 7 май 2025 г. относно приключването на сметките на Европейския банков орган за финансовата 2023 година (2024/2030(DEC))</w:t>
      </w:r>
    </w:p>
    <w:p w14:paraId="7EFDFB4F" w14:textId="77777777" w:rsidR="004D1A97" w:rsidRPr="00B84F91" w:rsidRDefault="004D1A97" w:rsidP="004D1A97">
      <w:pPr>
        <w:pStyle w:val="EPComma"/>
      </w:pPr>
      <w:r w:rsidRPr="00B84F91">
        <w:rPr>
          <w:i/>
        </w:rPr>
        <w:t>Европейският парламент</w:t>
      </w:r>
      <w:r w:rsidRPr="00B84F91">
        <w:t>,</w:t>
      </w:r>
    </w:p>
    <w:p w14:paraId="709EF1F8"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банков орган за финансовата 2023 година,</w:t>
      </w:r>
    </w:p>
    <w:p w14:paraId="1CB5A311"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79"/>
      </w:r>
      <w:r w:rsidRPr="00B84F91">
        <w:t>,</w:t>
      </w:r>
    </w:p>
    <w:p w14:paraId="7F3D9345"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80"/>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7847C4EF"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Органа във връзка с изпълнението на бюджета за финансовата 2023 година (05755/2025 – C10</w:t>
      </w:r>
      <w:r w:rsidRPr="00B84F91">
        <w:noBreakHyphen/>
        <w:t>0024/2025),</w:t>
      </w:r>
    </w:p>
    <w:p w14:paraId="745B033A"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6297B264"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81"/>
      </w:r>
      <w:r w:rsidRPr="00B84F91">
        <w:t>, и по-специално член 70 от него,</w:t>
      </w:r>
    </w:p>
    <w:p w14:paraId="70A39CF0"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82"/>
      </w:r>
      <w:r w:rsidRPr="00B84F91">
        <w:t>, и по-специално член 70 от него,</w:t>
      </w:r>
    </w:p>
    <w:p w14:paraId="4FC891A2" w14:textId="77777777" w:rsidR="004D1A97" w:rsidRPr="00B84F91" w:rsidRDefault="004D1A97" w:rsidP="004D1A97">
      <w:pPr>
        <w:pStyle w:val="NormalHanging12a"/>
      </w:pPr>
      <w:r w:rsidRPr="00B84F91">
        <w:t>–</w:t>
      </w:r>
      <w:r w:rsidRPr="00B84F91">
        <w:tab/>
        <w:t>като взе предвид Регламент (ЕС) № 1093/2010 на Европейския парламент и на Съвета от 24 ноември 2010 г. за създаване на Европейски надзорен орган (Европейски банков орган), за изменение на Решение № 716/2009/ЕО и за отмяна на Решение 2009/78/ЕО на Комисията</w:t>
      </w:r>
      <w:r w:rsidRPr="00B84F91">
        <w:rPr>
          <w:rStyle w:val="FootnoteReference"/>
        </w:rPr>
        <w:footnoteReference w:id="83"/>
      </w:r>
      <w:r w:rsidRPr="00B84F91">
        <w:t>, и по-специално член 64 от него,</w:t>
      </w:r>
    </w:p>
    <w:p w14:paraId="5C87C3CC"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84"/>
      </w:r>
      <w:r w:rsidRPr="00B84F91">
        <w:t xml:space="preserve">, и по-специално </w:t>
      </w:r>
      <w:r w:rsidRPr="00B84F91">
        <w:lastRenderedPageBreak/>
        <w:t>член 105 от него,</w:t>
      </w:r>
    </w:p>
    <w:p w14:paraId="5F6F620B"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4F112047"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5F102D4A"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0AA6667F" w14:textId="77777777" w:rsidR="004D1A97" w:rsidRPr="00B84F91" w:rsidRDefault="004D1A97" w:rsidP="004D1A97">
      <w:pPr>
        <w:pStyle w:val="NormalHanging12a"/>
      </w:pPr>
      <w:r w:rsidRPr="00B84F91">
        <w:t>1.</w:t>
      </w:r>
      <w:r w:rsidRPr="00B84F91">
        <w:tab/>
        <w:t>одобрява приключването на сметките на Европейския банков орган за финансовата 2023 година;</w:t>
      </w:r>
    </w:p>
    <w:p w14:paraId="2CB6DE38"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изпълнителния директор на Европейския банков орган,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7E77DA24" w14:textId="77777777" w:rsidR="004D1A97" w:rsidRPr="00B84F91" w:rsidRDefault="004D1A97" w:rsidP="004D1A97"/>
    <w:p w14:paraId="56F88213" w14:textId="77777777" w:rsidR="004D1A97" w:rsidRPr="00B84F91" w:rsidRDefault="004D1A97" w:rsidP="004D1A97"/>
    <w:p w14:paraId="16A2FB6E" w14:textId="77777777" w:rsidR="004D1A97" w:rsidRPr="00B84F91" w:rsidRDefault="004D1A97" w:rsidP="004D1A97">
      <w:pPr>
        <w:pStyle w:val="PageHeadingDec"/>
        <w:sectPr w:rsidR="004D1A97" w:rsidRPr="00B84F91" w:rsidSect="00B84F91">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5946D5A" w14:textId="77777777" w:rsidR="006142BC" w:rsidRDefault="006142BC" w:rsidP="006142BC">
      <w:pPr>
        <w:pStyle w:val="ATHeading3"/>
      </w:pPr>
      <w:r>
        <w:lastRenderedPageBreak/>
        <w:t>15. Решение на Европейския парламент от 7 май 2025 г. относно освобождаването от отговорност във връзка с изпълнението на бюджета на Европейския център за профилактика и контрол върху заболяванията за финансовата 2023 година (2024/2030(DEC))</w:t>
      </w:r>
    </w:p>
    <w:p w14:paraId="2A33C6A0" w14:textId="77777777" w:rsidR="004D1A97" w:rsidRPr="00B84F91" w:rsidRDefault="004D1A97" w:rsidP="004D1A97">
      <w:pPr>
        <w:pStyle w:val="EPComma"/>
      </w:pPr>
      <w:r w:rsidRPr="00B84F91">
        <w:rPr>
          <w:i/>
        </w:rPr>
        <w:t>Европейският парламент</w:t>
      </w:r>
      <w:r w:rsidRPr="00B84F91">
        <w:t>,</w:t>
      </w:r>
    </w:p>
    <w:p w14:paraId="1F57B30E"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център за профилактика и контрол върху заболяванията за финансовата 2023 година,</w:t>
      </w:r>
    </w:p>
    <w:p w14:paraId="027CEC24"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85"/>
      </w:r>
      <w:r w:rsidRPr="00B84F91">
        <w:t>,</w:t>
      </w:r>
    </w:p>
    <w:p w14:paraId="0D7BE292"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86"/>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64AFA513"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Центъра във връзка с изпълнението на бюджета за финансовата 2023 година (05755/2025 – C10</w:t>
      </w:r>
      <w:r w:rsidRPr="00B84F91">
        <w:noBreakHyphen/>
        <w:t>0024/2025),</w:t>
      </w:r>
    </w:p>
    <w:p w14:paraId="415CB6EC"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1CE26097"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87"/>
      </w:r>
      <w:r w:rsidRPr="00B84F91">
        <w:t>, и по-специално член 70 от него,</w:t>
      </w:r>
    </w:p>
    <w:p w14:paraId="33A04710"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88"/>
      </w:r>
      <w:r w:rsidRPr="00B84F91">
        <w:t>, и по-специално член 70 от него,</w:t>
      </w:r>
    </w:p>
    <w:p w14:paraId="26D31239" w14:textId="77777777" w:rsidR="004D1A97" w:rsidRPr="00B84F91" w:rsidRDefault="004D1A97" w:rsidP="004D1A97">
      <w:pPr>
        <w:pStyle w:val="NormalHanging12a"/>
      </w:pPr>
      <w:r w:rsidRPr="00B84F91">
        <w:t>–</w:t>
      </w:r>
      <w:r w:rsidRPr="00B84F91">
        <w:tab/>
        <w:t>като взе предвид Регламент (ЕО) № 851/2004 на Европейския парламент и на Съвета от 21 април 2004 г. за създаване на Европейски център за профилактика и контрол върху заболяванията</w:t>
      </w:r>
      <w:r w:rsidRPr="00B84F91">
        <w:rPr>
          <w:rStyle w:val="FootnoteReference"/>
        </w:rPr>
        <w:footnoteReference w:id="89"/>
      </w:r>
      <w:r w:rsidRPr="00B84F91">
        <w:t>, и по-специално член 23 от него,</w:t>
      </w:r>
    </w:p>
    <w:p w14:paraId="0A6ECD48"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90"/>
      </w:r>
      <w:r w:rsidRPr="00B84F91">
        <w:t xml:space="preserve">, и по-специално </w:t>
      </w:r>
      <w:r w:rsidRPr="00B84F91">
        <w:lastRenderedPageBreak/>
        <w:t>член 105 от него,</w:t>
      </w:r>
    </w:p>
    <w:p w14:paraId="57C5FBF3"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615F8D57"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29BE2A4F"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7F69DB28" w14:textId="77777777" w:rsidR="004D1A97" w:rsidRPr="00B84F91" w:rsidRDefault="004D1A97" w:rsidP="004D1A97">
      <w:pPr>
        <w:pStyle w:val="NormalHanging12a"/>
      </w:pPr>
      <w:r w:rsidRPr="00B84F91">
        <w:t>1.</w:t>
      </w:r>
      <w:r w:rsidRPr="00B84F91">
        <w:tab/>
        <w:t>освобождава от отговорност директора на Европейския център за профилактика и контрол върху заболяванията във връзка с изпълнението на бюджета на Центъра за финансовата 2023 година;</w:t>
      </w:r>
    </w:p>
    <w:p w14:paraId="1B099228"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5938CF7D"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директора на Европейския център за профилактика и контрол върху заболяванията,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737CC8C5" w14:textId="77777777" w:rsidR="004D1A97" w:rsidRPr="00B84F91" w:rsidRDefault="004D1A97" w:rsidP="004D1A97"/>
    <w:p w14:paraId="152F3005" w14:textId="77777777" w:rsidR="004D1A97" w:rsidRPr="00B84F91" w:rsidRDefault="004D1A97" w:rsidP="004D1A97">
      <w:pPr>
        <w:pStyle w:val="PageHeadingDec"/>
        <w:sectPr w:rsidR="004D1A97" w:rsidRPr="00B84F91" w:rsidSect="00B84F91">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E51EC6F" w14:textId="77777777" w:rsidR="006142BC" w:rsidRDefault="006142BC" w:rsidP="006142BC">
      <w:pPr>
        <w:pStyle w:val="ATHeading3"/>
      </w:pPr>
      <w:r>
        <w:lastRenderedPageBreak/>
        <w:t>16. Решение на Европейския парламент от 7 май 2025 г. относно приключването на сметките на Европейския център за профилактика и контрол върху заболяванията за финансовата 2023 година (2024/2030(DEC))</w:t>
      </w:r>
    </w:p>
    <w:p w14:paraId="37E83624" w14:textId="77777777" w:rsidR="004D1A97" w:rsidRPr="00B84F91" w:rsidRDefault="004D1A97" w:rsidP="004D1A97">
      <w:pPr>
        <w:pStyle w:val="EPComma"/>
      </w:pPr>
      <w:r w:rsidRPr="00B84F91">
        <w:rPr>
          <w:i/>
        </w:rPr>
        <w:t>Европейският парламент</w:t>
      </w:r>
      <w:r w:rsidRPr="00B84F91">
        <w:t>,</w:t>
      </w:r>
    </w:p>
    <w:p w14:paraId="6271D86B"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център за профилактика и контрол върху заболяванията за финансовата 2023 година,</w:t>
      </w:r>
    </w:p>
    <w:p w14:paraId="44887CCD"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91"/>
      </w:r>
      <w:r w:rsidRPr="00B84F91">
        <w:t>,</w:t>
      </w:r>
    </w:p>
    <w:p w14:paraId="4328AEF2"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92"/>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ACC5807"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Центъра във връзка с изпълнението на бюджета за финансовата 2023 година (05755/2025 – C10</w:t>
      </w:r>
      <w:r w:rsidRPr="00B84F91">
        <w:noBreakHyphen/>
        <w:t>0024/2025),</w:t>
      </w:r>
    </w:p>
    <w:p w14:paraId="5C59BD6A"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79C4602C"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93"/>
      </w:r>
      <w:r w:rsidRPr="00B84F91">
        <w:t>, и по-специално член 70 от него,</w:t>
      </w:r>
    </w:p>
    <w:p w14:paraId="7DAA81ED"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94"/>
      </w:r>
      <w:r w:rsidRPr="00B84F91">
        <w:t>, и по-специално член 70 от него,</w:t>
      </w:r>
    </w:p>
    <w:p w14:paraId="11474A60" w14:textId="77777777" w:rsidR="004D1A97" w:rsidRPr="00B84F91" w:rsidRDefault="004D1A97" w:rsidP="004D1A97">
      <w:pPr>
        <w:pStyle w:val="NormalHanging12a"/>
      </w:pPr>
      <w:r w:rsidRPr="00B84F91">
        <w:t>–</w:t>
      </w:r>
      <w:r w:rsidRPr="00B84F91">
        <w:tab/>
        <w:t>като взе предвид Регламент (ЕО) № 851/2004 на Европейския парламент и на Съвета от 21 април 2004 г. за създаване на Европейски център за профилактика и контрол върху заболяванията</w:t>
      </w:r>
      <w:r w:rsidRPr="00B84F91">
        <w:rPr>
          <w:rStyle w:val="FootnoteReference"/>
        </w:rPr>
        <w:footnoteReference w:id="95"/>
      </w:r>
      <w:r w:rsidRPr="00B84F91">
        <w:t>, и по-специално член 23 от него,</w:t>
      </w:r>
    </w:p>
    <w:p w14:paraId="76FD004A"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96"/>
      </w:r>
      <w:r w:rsidRPr="00B84F91">
        <w:t>, и по-специално член 105 от него,</w:t>
      </w:r>
    </w:p>
    <w:p w14:paraId="630118A8" w14:textId="77777777" w:rsidR="004D1A97" w:rsidRPr="00B84F91" w:rsidRDefault="004D1A97" w:rsidP="004D1A97">
      <w:pPr>
        <w:pStyle w:val="NormalHanging12a"/>
      </w:pPr>
      <w:r w:rsidRPr="00B84F91">
        <w:lastRenderedPageBreak/>
        <w:t>–</w:t>
      </w:r>
      <w:r w:rsidRPr="00B84F91">
        <w:tab/>
        <w:t>като взе предвид член 102 и приложение V към своя Правилник за дейността,</w:t>
      </w:r>
    </w:p>
    <w:p w14:paraId="3C1BD5F3"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12EB9ADB"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73A07349" w14:textId="77777777" w:rsidR="004D1A97" w:rsidRPr="00B84F91" w:rsidRDefault="004D1A97" w:rsidP="004D1A97">
      <w:pPr>
        <w:pStyle w:val="NormalHanging12a"/>
      </w:pPr>
      <w:r w:rsidRPr="00B84F91">
        <w:t>1.</w:t>
      </w:r>
      <w:r w:rsidRPr="00B84F91">
        <w:tab/>
        <w:t>одобрява приключването на сметките на Европейския център за профилактика и контрол върху заболяванията за финансовата 2023 година;</w:t>
      </w:r>
    </w:p>
    <w:p w14:paraId="6D73AC68"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директора на Европейския център за профилактика и контрол върху заболяванията,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09A9F969" w14:textId="77777777" w:rsidR="004D1A97" w:rsidRPr="00B84F91" w:rsidRDefault="004D1A97" w:rsidP="004D1A97"/>
    <w:p w14:paraId="58D1ECB6" w14:textId="77777777" w:rsidR="004D1A97" w:rsidRPr="00B84F91" w:rsidRDefault="004D1A97" w:rsidP="004D1A97"/>
    <w:p w14:paraId="0872EB78" w14:textId="77777777" w:rsidR="004D1A97" w:rsidRPr="00B84F91" w:rsidRDefault="004D1A97" w:rsidP="004D1A97">
      <w:pPr>
        <w:pStyle w:val="PageHeadingDec"/>
        <w:sectPr w:rsidR="004D1A97" w:rsidRPr="00B84F91" w:rsidSect="00B84F91">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BC01CE8" w14:textId="77777777" w:rsidR="006142BC" w:rsidRDefault="006142BC" w:rsidP="006142BC">
      <w:pPr>
        <w:pStyle w:val="ATHeading3"/>
      </w:pPr>
      <w:r>
        <w:lastRenderedPageBreak/>
        <w:t>17. Решение на Европейския парламент от 7 май 2025 г. относно освобождаването от отговорност във връзка с изпълнението на бюджета на Европейската агенция по химикали за финансовата 2023 година (2024/2030(DEC))</w:t>
      </w:r>
    </w:p>
    <w:p w14:paraId="5421C09A" w14:textId="77777777" w:rsidR="004D1A97" w:rsidRPr="00B84F91" w:rsidRDefault="004D1A97" w:rsidP="004D1A97">
      <w:pPr>
        <w:pStyle w:val="EPComma"/>
      </w:pPr>
      <w:r w:rsidRPr="00B84F91">
        <w:rPr>
          <w:i/>
        </w:rPr>
        <w:t>Европейският парламент</w:t>
      </w:r>
      <w:r w:rsidRPr="00B84F91">
        <w:t>,</w:t>
      </w:r>
    </w:p>
    <w:p w14:paraId="2DE6C95C"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Европейската агенция по химикали за финансовата 2023 година,</w:t>
      </w:r>
    </w:p>
    <w:p w14:paraId="09C79A1A"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97"/>
      </w:r>
      <w:r w:rsidRPr="00B84F91">
        <w:t>,</w:t>
      </w:r>
    </w:p>
    <w:p w14:paraId="496F9C74"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98"/>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59D1F325"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6669A695"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7E28A1A7"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99"/>
      </w:r>
      <w:r w:rsidRPr="00B84F91">
        <w:t>, и по-специално член 70 от него,</w:t>
      </w:r>
    </w:p>
    <w:p w14:paraId="77CE89B6"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00"/>
      </w:r>
      <w:r w:rsidRPr="00B84F91">
        <w:t>, и по-специално член 70 от него,</w:t>
      </w:r>
    </w:p>
    <w:p w14:paraId="498609AC" w14:textId="77777777" w:rsidR="004D1A97" w:rsidRPr="00B84F91" w:rsidRDefault="004D1A97" w:rsidP="004D1A97">
      <w:pPr>
        <w:pStyle w:val="NormalHanging12a"/>
      </w:pPr>
      <w:r w:rsidRPr="00B84F91">
        <w:t>–</w:t>
      </w:r>
      <w:r w:rsidRPr="00B84F91">
        <w:tab/>
        <w:t>като взе предвид 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 на Комисията</w:t>
      </w:r>
      <w:r w:rsidRPr="00B84F91">
        <w:rPr>
          <w:rStyle w:val="FootnoteReference"/>
        </w:rPr>
        <w:footnoteReference w:id="101"/>
      </w:r>
      <w:r w:rsidRPr="00B84F91">
        <w:t>, и по-специално член 97 от него,</w:t>
      </w:r>
    </w:p>
    <w:p w14:paraId="362DDD62" w14:textId="77777777" w:rsidR="004D1A97" w:rsidRPr="00B84F91" w:rsidRDefault="004D1A97" w:rsidP="004D1A97">
      <w:pPr>
        <w:pStyle w:val="NormalHanging12a"/>
      </w:pPr>
      <w:r w:rsidRPr="00B84F91">
        <w:t>–</w:t>
      </w:r>
      <w:r w:rsidRPr="00B84F91">
        <w:tab/>
        <w:t xml:space="preserve">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w:t>
      </w:r>
      <w:r w:rsidRPr="00B84F91">
        <w:lastRenderedPageBreak/>
        <w:t>(ЕС, Евратом) 2018/1046 на Европейския парламент и на Съвета</w:t>
      </w:r>
      <w:r w:rsidRPr="00B84F91">
        <w:rPr>
          <w:rStyle w:val="FootnoteReference"/>
        </w:rPr>
        <w:footnoteReference w:id="102"/>
      </w:r>
      <w:r w:rsidRPr="00B84F91">
        <w:t>, и по-специално член 105 от него,</w:t>
      </w:r>
    </w:p>
    <w:p w14:paraId="1892C089"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50F109A1"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4A0B58BA"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3057BF59" w14:textId="77777777" w:rsidR="004D1A97" w:rsidRPr="00B84F91" w:rsidRDefault="004D1A97" w:rsidP="004D1A97">
      <w:pPr>
        <w:pStyle w:val="NormalHanging12a"/>
      </w:pPr>
      <w:r w:rsidRPr="00B84F91">
        <w:t>1.</w:t>
      </w:r>
      <w:r w:rsidRPr="00B84F91">
        <w:tab/>
        <w:t>освобождава от отговорност изпълнителния директор на Европейската агенция по химикали във връзка с изпълнението на бюджета на Агенцията за финансовата 2023 година;</w:t>
      </w:r>
    </w:p>
    <w:p w14:paraId="315482C3"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12294CFB"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по химикали,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557B005D" w14:textId="77777777" w:rsidR="004D1A97" w:rsidRPr="00B84F91" w:rsidRDefault="004D1A97" w:rsidP="004D1A97"/>
    <w:p w14:paraId="6AC9DF0D" w14:textId="77777777" w:rsidR="004D1A97" w:rsidRPr="00B84F91" w:rsidRDefault="004D1A97" w:rsidP="004D1A97">
      <w:pPr>
        <w:pStyle w:val="PageHeadingDec"/>
        <w:sectPr w:rsidR="004D1A97" w:rsidRPr="00B84F91" w:rsidSect="00B84F91">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7EEBCF" w14:textId="77777777" w:rsidR="006142BC" w:rsidRDefault="006142BC" w:rsidP="006142BC">
      <w:pPr>
        <w:pStyle w:val="ATHeading3"/>
      </w:pPr>
      <w:r>
        <w:lastRenderedPageBreak/>
        <w:t>18. Решение на Европейския парламент от 7 май 2025 г. относно приключването на сметките на Европейската агенция по химикали за финансовата 2023 година (2024/2030(DEC))</w:t>
      </w:r>
    </w:p>
    <w:p w14:paraId="6929483A" w14:textId="77777777" w:rsidR="004D1A97" w:rsidRPr="00B84F91" w:rsidRDefault="004D1A97" w:rsidP="004D1A97">
      <w:pPr>
        <w:pStyle w:val="EPComma"/>
      </w:pPr>
      <w:r w:rsidRPr="00B84F91">
        <w:rPr>
          <w:i/>
        </w:rPr>
        <w:t>Европейският парламент</w:t>
      </w:r>
      <w:r w:rsidRPr="00B84F91">
        <w:t>,</w:t>
      </w:r>
    </w:p>
    <w:p w14:paraId="6FC4C5B7"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Европейската агенция по химикали за финансовата 2023 година,</w:t>
      </w:r>
    </w:p>
    <w:p w14:paraId="6AE1E5DA"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03"/>
      </w:r>
      <w:r w:rsidRPr="00B84F91">
        <w:t>,</w:t>
      </w:r>
    </w:p>
    <w:p w14:paraId="773BDD72"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104"/>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4EAB44FE"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1B829161"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7B0FE630"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105"/>
      </w:r>
      <w:r w:rsidRPr="00B84F91">
        <w:t>, и по-специално член 70 от него,</w:t>
      </w:r>
    </w:p>
    <w:p w14:paraId="2BFEC93B"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06"/>
      </w:r>
      <w:r w:rsidRPr="00B84F91">
        <w:t>, и по-специално член 70 от него,</w:t>
      </w:r>
    </w:p>
    <w:p w14:paraId="687AB7C5" w14:textId="77777777" w:rsidR="004D1A97" w:rsidRPr="00B84F91" w:rsidRDefault="004D1A97" w:rsidP="004D1A97">
      <w:pPr>
        <w:pStyle w:val="NormalHanging12a"/>
      </w:pPr>
      <w:r w:rsidRPr="00B84F91">
        <w:t>–</w:t>
      </w:r>
      <w:r w:rsidRPr="00B84F91">
        <w:tab/>
        <w:t>като взе предвид 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 на Комисията</w:t>
      </w:r>
      <w:r w:rsidRPr="00B84F91">
        <w:rPr>
          <w:rStyle w:val="FootnoteReference"/>
        </w:rPr>
        <w:footnoteReference w:id="107"/>
      </w:r>
      <w:r w:rsidRPr="00B84F91">
        <w:t>, и по-специално член 97 от него,</w:t>
      </w:r>
    </w:p>
    <w:p w14:paraId="46E8EA84" w14:textId="77777777" w:rsidR="004D1A97" w:rsidRPr="00B84F91" w:rsidRDefault="004D1A97" w:rsidP="004D1A97">
      <w:pPr>
        <w:pStyle w:val="NormalHanging12a"/>
      </w:pPr>
      <w:r w:rsidRPr="00B84F91">
        <w:t>–</w:t>
      </w:r>
      <w:r w:rsidRPr="00B84F91">
        <w:tab/>
        <w:t xml:space="preserve">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w:t>
      </w:r>
      <w:r w:rsidRPr="00B84F91">
        <w:lastRenderedPageBreak/>
        <w:t>(ЕС, Евратом) 2018/1046 на Европейския парламент и на Съвета</w:t>
      </w:r>
      <w:r w:rsidRPr="00B84F91">
        <w:rPr>
          <w:rStyle w:val="FootnoteReference"/>
        </w:rPr>
        <w:footnoteReference w:id="108"/>
      </w:r>
      <w:r w:rsidRPr="00B84F91">
        <w:t>, и по-специално член 105 от него,</w:t>
      </w:r>
    </w:p>
    <w:p w14:paraId="70799DA5"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04A1BF07"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4C2A1B3A"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066355F1" w14:textId="77777777" w:rsidR="004D1A97" w:rsidRPr="00B84F91" w:rsidRDefault="004D1A97" w:rsidP="004D1A97">
      <w:pPr>
        <w:pStyle w:val="NormalHanging12a"/>
      </w:pPr>
      <w:r w:rsidRPr="00B84F91">
        <w:t>1.</w:t>
      </w:r>
      <w:r w:rsidRPr="00B84F91">
        <w:tab/>
        <w:t>одобрява приключването на сметките на Европейската агенция по химикали за финансовата 2023 година;</w:t>
      </w:r>
    </w:p>
    <w:p w14:paraId="2BE4B82C"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изпълнителния директор на Европейската агенция по химикали,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007A3D9D" w14:textId="77777777" w:rsidR="004D1A97" w:rsidRPr="00B84F91" w:rsidRDefault="004D1A97" w:rsidP="004D1A97"/>
    <w:p w14:paraId="6C9A6A67" w14:textId="77777777" w:rsidR="004D1A97" w:rsidRPr="00B84F91" w:rsidRDefault="004D1A97" w:rsidP="004D1A97"/>
    <w:p w14:paraId="7AF0DE5D" w14:textId="77777777" w:rsidR="004D1A97" w:rsidRPr="00B84F91" w:rsidRDefault="004D1A97" w:rsidP="004D1A97">
      <w:pPr>
        <w:pStyle w:val="PageHeadingDec"/>
        <w:sectPr w:rsidR="004D1A97" w:rsidRPr="00B84F91" w:rsidSect="00B84F91">
          <w:footerReference w:type="first" r:id="rId2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58F7F37" w14:textId="77777777" w:rsidR="006142BC" w:rsidRDefault="006142BC" w:rsidP="006142BC">
      <w:pPr>
        <w:pStyle w:val="ATHeading3"/>
      </w:pPr>
      <w:r>
        <w:lastRenderedPageBreak/>
        <w:t>19. Решение на Европейския парламент от 7 май 2025 г. относно освобождаването от отговорност във връзка с изпълнението на бюджета на Европейската агенция за околна среда за финансовата 2023 година (2024/2030(DEC))</w:t>
      </w:r>
    </w:p>
    <w:p w14:paraId="6D1003F8" w14:textId="77777777" w:rsidR="004D1A97" w:rsidRPr="00B84F91" w:rsidRDefault="004D1A97" w:rsidP="004D1A97">
      <w:pPr>
        <w:pStyle w:val="EPComma"/>
      </w:pPr>
      <w:r w:rsidRPr="00B84F91">
        <w:rPr>
          <w:i/>
        </w:rPr>
        <w:t>Европейският парламент</w:t>
      </w:r>
      <w:r w:rsidRPr="00B84F91">
        <w:t>,</w:t>
      </w:r>
    </w:p>
    <w:p w14:paraId="1A753AA1"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Европейската агенция за околна среда за финансовата 2023 година,</w:t>
      </w:r>
    </w:p>
    <w:p w14:paraId="1E56FDF2"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09"/>
      </w:r>
      <w:r w:rsidRPr="00B84F91">
        <w:t>,</w:t>
      </w:r>
    </w:p>
    <w:p w14:paraId="0A58DD06"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110"/>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E23D3D3"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0F81F250"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0739A46F"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111"/>
      </w:r>
      <w:r w:rsidRPr="00B84F91">
        <w:t>, и по-специално член 70 от него,</w:t>
      </w:r>
    </w:p>
    <w:p w14:paraId="4965E0BC"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12"/>
      </w:r>
      <w:r w:rsidRPr="00B84F91">
        <w:t>, и по-специално член 70 от него,</w:t>
      </w:r>
    </w:p>
    <w:p w14:paraId="646B5ECB" w14:textId="77777777" w:rsidR="004D1A97" w:rsidRPr="00B84F91" w:rsidRDefault="004D1A97" w:rsidP="004D1A97">
      <w:pPr>
        <w:pStyle w:val="NormalHanging12a"/>
      </w:pPr>
      <w:r w:rsidRPr="00B84F91">
        <w:t>–</w:t>
      </w:r>
      <w:r w:rsidRPr="00B84F91">
        <w:tab/>
        <w:t>като взе предвид Регламент (ЕО) № 401/2009 на Европейския парламент и на Съвета от 23 април 2009 г. относно Европейската агенция за околната среда и Европейската мрежа за информация и наблюдение на околната среда</w:t>
      </w:r>
      <w:r w:rsidRPr="00B84F91">
        <w:rPr>
          <w:rStyle w:val="FootnoteReference"/>
        </w:rPr>
        <w:footnoteReference w:id="113"/>
      </w:r>
      <w:r w:rsidRPr="00B84F91">
        <w:t>, и по-специално член 13 от него,</w:t>
      </w:r>
    </w:p>
    <w:p w14:paraId="06206B11"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114"/>
      </w:r>
      <w:r w:rsidRPr="00B84F91">
        <w:t xml:space="preserve">, и по-специално </w:t>
      </w:r>
      <w:r w:rsidRPr="00B84F91">
        <w:lastRenderedPageBreak/>
        <w:t>член 105 от него,</w:t>
      </w:r>
    </w:p>
    <w:p w14:paraId="24B80C12"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43B3DE6A"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6668541C"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4B6F9A93" w14:textId="77777777" w:rsidR="004D1A97" w:rsidRPr="00B84F91" w:rsidRDefault="004D1A97" w:rsidP="004D1A97">
      <w:pPr>
        <w:pStyle w:val="NormalHanging12a"/>
      </w:pPr>
      <w:r w:rsidRPr="00B84F91">
        <w:t>1.</w:t>
      </w:r>
      <w:r w:rsidRPr="00B84F91">
        <w:tab/>
        <w:t>освобождава от отговорност изпълнителния директор на Европейската агенция за околна среда във връзка с изпълнението на бюджета на Агенцията за финансовата 2023 година;</w:t>
      </w:r>
    </w:p>
    <w:p w14:paraId="1389E288"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2BC428D0"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за околна среда,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1F5E9040" w14:textId="77777777" w:rsidR="004D1A97" w:rsidRPr="00B84F91" w:rsidRDefault="004D1A97" w:rsidP="004D1A97"/>
    <w:p w14:paraId="09D0B52E" w14:textId="77777777" w:rsidR="004D1A97" w:rsidRPr="00B84F91" w:rsidRDefault="004D1A97" w:rsidP="004D1A97">
      <w:pPr>
        <w:pStyle w:val="PageHeadingDec"/>
        <w:sectPr w:rsidR="004D1A97" w:rsidRPr="00B84F91" w:rsidSect="00B84F91">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C35598" w14:textId="77777777" w:rsidR="006142BC" w:rsidRDefault="006142BC" w:rsidP="006142BC">
      <w:pPr>
        <w:pStyle w:val="ATHeading3"/>
      </w:pPr>
      <w:r>
        <w:lastRenderedPageBreak/>
        <w:t>20. Решение на Европейския парламент от 7 май 2025 г. относно приключването на сметките на Европейската агенция за околна среда за финансовата 2023 година (2024/2030(DEC))</w:t>
      </w:r>
    </w:p>
    <w:p w14:paraId="2EB75E52" w14:textId="77777777" w:rsidR="004D1A97" w:rsidRPr="00B84F91" w:rsidRDefault="004D1A97" w:rsidP="004D1A97">
      <w:pPr>
        <w:pStyle w:val="EPComma"/>
      </w:pPr>
      <w:r w:rsidRPr="00B84F91">
        <w:rPr>
          <w:i/>
        </w:rPr>
        <w:t>Европейският парламент</w:t>
      </w:r>
      <w:r w:rsidRPr="00B84F91">
        <w:t>,</w:t>
      </w:r>
    </w:p>
    <w:p w14:paraId="4BAA28CF"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Европейската агенция за околна среда за финансовата 2023 година,</w:t>
      </w:r>
    </w:p>
    <w:p w14:paraId="59EC6FCE"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15"/>
      </w:r>
      <w:r w:rsidRPr="00B84F91">
        <w:t>,</w:t>
      </w:r>
    </w:p>
    <w:p w14:paraId="5E8A0D2C"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116"/>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71283AEE"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2F69B685"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058BE21D"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117"/>
      </w:r>
      <w:r w:rsidRPr="00B84F91">
        <w:t>, и по-специално член 70 от него,</w:t>
      </w:r>
    </w:p>
    <w:p w14:paraId="626E252F"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18"/>
      </w:r>
      <w:r w:rsidRPr="00B84F91">
        <w:t>, и по-специално член 70 от него,</w:t>
      </w:r>
    </w:p>
    <w:p w14:paraId="3695742F" w14:textId="77777777" w:rsidR="004D1A97" w:rsidRPr="00B84F91" w:rsidRDefault="004D1A97" w:rsidP="004D1A97">
      <w:pPr>
        <w:pStyle w:val="NormalHanging12a"/>
      </w:pPr>
      <w:r w:rsidRPr="00B84F91">
        <w:t>–</w:t>
      </w:r>
      <w:r w:rsidRPr="00B84F91">
        <w:tab/>
        <w:t>като взе предвид Регламент (ЕО) № 401/2009 на Европейския парламент и на Съвета от 23 април 2009 г. относно Европейската агенция за околната среда и Европейската мрежа за информация и наблюдение на околната среда</w:t>
      </w:r>
      <w:r w:rsidRPr="00B84F91">
        <w:rPr>
          <w:rStyle w:val="FootnoteReference"/>
        </w:rPr>
        <w:footnoteReference w:id="119"/>
      </w:r>
      <w:r w:rsidRPr="00B84F91">
        <w:t>, и по-специално член 13 от него,</w:t>
      </w:r>
    </w:p>
    <w:p w14:paraId="1E970F6F"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120"/>
      </w:r>
      <w:r w:rsidRPr="00B84F91">
        <w:t xml:space="preserve">, и по-специално </w:t>
      </w:r>
      <w:r w:rsidRPr="00B84F91">
        <w:lastRenderedPageBreak/>
        <w:t>член 105 от него,</w:t>
      </w:r>
    </w:p>
    <w:p w14:paraId="2437DF6E"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0E834B17"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5DE479CF"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2121ECD7" w14:textId="77777777" w:rsidR="004D1A97" w:rsidRPr="00B84F91" w:rsidRDefault="004D1A97" w:rsidP="004D1A97">
      <w:pPr>
        <w:pStyle w:val="NormalHanging12a"/>
      </w:pPr>
      <w:r w:rsidRPr="00B84F91">
        <w:t>1.</w:t>
      </w:r>
      <w:r w:rsidRPr="00B84F91">
        <w:tab/>
        <w:t>одобрява приключването на сметките на Европейската агенция за околна среда за финансовата 2023 година;</w:t>
      </w:r>
    </w:p>
    <w:p w14:paraId="2D87CA80"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изпълнителния директор на Европейската агенция за околна среда,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4D705489" w14:textId="77777777" w:rsidR="004D1A97" w:rsidRPr="00B84F91" w:rsidRDefault="004D1A97" w:rsidP="004D1A97"/>
    <w:p w14:paraId="6967E2E9" w14:textId="77777777" w:rsidR="004D1A97" w:rsidRPr="00B84F91" w:rsidRDefault="004D1A97" w:rsidP="004D1A97"/>
    <w:p w14:paraId="5178E800" w14:textId="77777777" w:rsidR="004D1A97" w:rsidRPr="00B84F91" w:rsidRDefault="004D1A97" w:rsidP="004D1A97">
      <w:pPr>
        <w:pStyle w:val="PageHeadingDec"/>
        <w:sectPr w:rsidR="004D1A97" w:rsidRPr="00B84F91" w:rsidSect="00B84F91">
          <w:footerReference w:type="first" r:id="rId2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691C4C" w14:textId="77777777" w:rsidR="006142BC" w:rsidRDefault="006142BC" w:rsidP="006142BC">
      <w:pPr>
        <w:pStyle w:val="ATHeading3"/>
      </w:pPr>
      <w:r>
        <w:lastRenderedPageBreak/>
        <w:t>21. Решение на Европейския парламент от 7 май 2025 г. относно освобождаването от отговорност във връзка с изпълнението на бюджета на Европейската агенция за контрол на рибарството за финансовата 2023 година (2024/2030(DEC))</w:t>
      </w:r>
    </w:p>
    <w:p w14:paraId="296F5059" w14:textId="77777777" w:rsidR="004D1A97" w:rsidRPr="00B84F91" w:rsidRDefault="004D1A97" w:rsidP="004D1A97">
      <w:pPr>
        <w:pStyle w:val="EPComma"/>
      </w:pPr>
      <w:r w:rsidRPr="00B84F91">
        <w:rPr>
          <w:i/>
        </w:rPr>
        <w:t>Европейският парламент</w:t>
      </w:r>
      <w:r w:rsidRPr="00B84F91">
        <w:t>,</w:t>
      </w:r>
    </w:p>
    <w:p w14:paraId="2E6A3DC6"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Европейската агенция за контрол на рибарството за финансовата 2023 година,</w:t>
      </w:r>
    </w:p>
    <w:p w14:paraId="3CD0ADCC"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21"/>
      </w:r>
      <w:r w:rsidRPr="00B84F91">
        <w:t>,</w:t>
      </w:r>
    </w:p>
    <w:p w14:paraId="2CA82EEC"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122"/>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4B1CD5F8"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2C497AD0"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19F950BC"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123"/>
      </w:r>
      <w:r w:rsidRPr="00B84F91">
        <w:t>, и по-специално член 70 от него,</w:t>
      </w:r>
    </w:p>
    <w:p w14:paraId="0C9B079A"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24"/>
      </w:r>
      <w:r w:rsidRPr="00B84F91">
        <w:t>, и по-специално член 70 от него,</w:t>
      </w:r>
    </w:p>
    <w:p w14:paraId="327F677A" w14:textId="77777777" w:rsidR="004D1A97" w:rsidRPr="00B84F91" w:rsidRDefault="004D1A97" w:rsidP="004D1A97">
      <w:pPr>
        <w:pStyle w:val="NormalHanging12a"/>
      </w:pPr>
      <w:r w:rsidRPr="00B84F91">
        <w:t>–</w:t>
      </w:r>
      <w:r w:rsidRPr="00B84F91">
        <w:tab/>
        <w:t>като взе предвид Регламент (ЕС) 2019/473 на Европейския парламент и на Съвета от 19 март 2019 г. относно Европейската агенция за контрол на рибарството</w:t>
      </w:r>
      <w:r w:rsidRPr="00B84F91">
        <w:rPr>
          <w:rStyle w:val="FootnoteReference"/>
        </w:rPr>
        <w:footnoteReference w:id="125"/>
      </w:r>
      <w:r w:rsidRPr="00B84F91">
        <w:t>, и по-специално член 45 от него,</w:t>
      </w:r>
    </w:p>
    <w:p w14:paraId="5CB18690"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126"/>
      </w:r>
      <w:r w:rsidRPr="00B84F91">
        <w:t>, и по-специално член 105 от него,</w:t>
      </w:r>
    </w:p>
    <w:p w14:paraId="21843AF3" w14:textId="77777777" w:rsidR="004D1A97" w:rsidRPr="00B84F91" w:rsidRDefault="004D1A97" w:rsidP="004D1A97">
      <w:pPr>
        <w:pStyle w:val="NormalHanging12a"/>
      </w:pPr>
      <w:r w:rsidRPr="00B84F91">
        <w:lastRenderedPageBreak/>
        <w:t>–</w:t>
      </w:r>
      <w:r w:rsidRPr="00B84F91">
        <w:tab/>
        <w:t>като взе предвид член 102 и приложение V към своя Правилник за дейността,</w:t>
      </w:r>
    </w:p>
    <w:p w14:paraId="68D640AF"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7E7C738E"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076A03B4" w14:textId="77777777" w:rsidR="004D1A97" w:rsidRPr="00B84F91" w:rsidRDefault="004D1A97" w:rsidP="004D1A97">
      <w:pPr>
        <w:pStyle w:val="NormalHanging12a"/>
      </w:pPr>
      <w:r w:rsidRPr="00B84F91">
        <w:t>1.</w:t>
      </w:r>
      <w:r w:rsidRPr="00B84F91">
        <w:tab/>
        <w:t>освобождава от отговорност изпълнителния директор на Европейската агенция за контрол на рибарството във връзка с изпълнението на бюджета на Агенцията за финансовата 2023 година;</w:t>
      </w:r>
    </w:p>
    <w:p w14:paraId="091CC046"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2F08F387"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за контрол на рибарството,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0573616E" w14:textId="77777777" w:rsidR="004D1A97" w:rsidRPr="00B84F91" w:rsidRDefault="004D1A97" w:rsidP="004D1A97"/>
    <w:p w14:paraId="366D7534" w14:textId="77777777" w:rsidR="004D1A97" w:rsidRPr="00B84F91" w:rsidRDefault="004D1A97" w:rsidP="004D1A97">
      <w:pPr>
        <w:pStyle w:val="PageHeadingDec"/>
        <w:sectPr w:rsidR="004D1A97" w:rsidRPr="00B84F91" w:rsidSect="00B84F91">
          <w:footerReference w:type="first" r:id="rId2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036273B" w14:textId="77777777" w:rsidR="006142BC" w:rsidRDefault="006142BC" w:rsidP="006142BC">
      <w:pPr>
        <w:pStyle w:val="ATHeading3"/>
      </w:pPr>
      <w:r>
        <w:lastRenderedPageBreak/>
        <w:t>22. Решение на Европейския парламент от 7 май 2025 г. относно приключването на сметките на Европейската агенция за контрол на рибарството за финансовата 2023 година (2024/2030(DEC))</w:t>
      </w:r>
    </w:p>
    <w:p w14:paraId="588BC605" w14:textId="77777777" w:rsidR="004D1A97" w:rsidRPr="00B84F91" w:rsidRDefault="004D1A97" w:rsidP="004D1A97">
      <w:pPr>
        <w:pStyle w:val="EPComma"/>
      </w:pPr>
      <w:r w:rsidRPr="00B84F91">
        <w:rPr>
          <w:i/>
        </w:rPr>
        <w:t>Европейският парламент</w:t>
      </w:r>
      <w:r w:rsidRPr="00B84F91">
        <w:t>,</w:t>
      </w:r>
    </w:p>
    <w:p w14:paraId="05388184"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Европейската агенция за контрол на рибарството за финансовата 2023 година,</w:t>
      </w:r>
    </w:p>
    <w:p w14:paraId="63CD544E"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27"/>
      </w:r>
      <w:r w:rsidRPr="00B84F91">
        <w:t>,</w:t>
      </w:r>
    </w:p>
    <w:p w14:paraId="57282CBF"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128"/>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3B497141"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0B8AAA9A"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61BF7D35"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129"/>
      </w:r>
      <w:r w:rsidRPr="00B84F91">
        <w:t>, и по-специално член 70 от него,</w:t>
      </w:r>
    </w:p>
    <w:p w14:paraId="0A333AFD"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30"/>
      </w:r>
      <w:r w:rsidRPr="00B84F91">
        <w:t>, и по-специално член 70 от него,</w:t>
      </w:r>
    </w:p>
    <w:p w14:paraId="6A6AC27E" w14:textId="77777777" w:rsidR="004D1A97" w:rsidRPr="00B84F91" w:rsidRDefault="004D1A97" w:rsidP="004D1A97">
      <w:pPr>
        <w:pStyle w:val="NormalHanging12a"/>
      </w:pPr>
      <w:r w:rsidRPr="00B84F91">
        <w:t>–</w:t>
      </w:r>
      <w:r w:rsidRPr="00B84F91">
        <w:tab/>
        <w:t>като взе предвид Регламент (ЕС) 2019/473 на Европейския парламент и на Съвета от 19 март 2019 г. относно Европейската агенция за контрол на рибарството</w:t>
      </w:r>
      <w:r w:rsidRPr="00B84F91">
        <w:rPr>
          <w:rStyle w:val="FootnoteReference"/>
        </w:rPr>
        <w:footnoteReference w:id="131"/>
      </w:r>
      <w:r w:rsidRPr="00B84F91">
        <w:t>, и по-специално член 45 от него,</w:t>
      </w:r>
    </w:p>
    <w:p w14:paraId="1CB439A9"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132"/>
      </w:r>
      <w:r w:rsidRPr="00B84F91">
        <w:t>, и по-специално член 105 от него,</w:t>
      </w:r>
    </w:p>
    <w:p w14:paraId="4914D2B9" w14:textId="77777777" w:rsidR="004D1A97" w:rsidRPr="00B84F91" w:rsidRDefault="004D1A97" w:rsidP="004D1A97">
      <w:pPr>
        <w:pStyle w:val="NormalHanging12a"/>
      </w:pPr>
      <w:r w:rsidRPr="00B84F91">
        <w:lastRenderedPageBreak/>
        <w:t>–</w:t>
      </w:r>
      <w:r w:rsidRPr="00B84F91">
        <w:tab/>
        <w:t>като взе предвид член 102 и приложение V към своя Правилник за дейността,</w:t>
      </w:r>
    </w:p>
    <w:p w14:paraId="3EE4E43D"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6E14DA9D"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3113ACCD" w14:textId="77777777" w:rsidR="004D1A97" w:rsidRPr="00B84F91" w:rsidRDefault="004D1A97" w:rsidP="004D1A97">
      <w:pPr>
        <w:pStyle w:val="NormalHanging12a"/>
      </w:pPr>
      <w:r w:rsidRPr="00B84F91">
        <w:t>1.</w:t>
      </w:r>
      <w:r w:rsidRPr="00B84F91">
        <w:tab/>
        <w:t>одобрява приключването на сметките на Европейската агенция за контрол на рибарството за финансовата 2023 година;</w:t>
      </w:r>
    </w:p>
    <w:p w14:paraId="5AD90060"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изпълнителния директор на Европейската агенция за контрол на рибарството,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51F03CCA" w14:textId="77777777" w:rsidR="004D1A97" w:rsidRPr="00B84F91" w:rsidRDefault="004D1A97" w:rsidP="004D1A97"/>
    <w:p w14:paraId="0858EA07" w14:textId="77777777" w:rsidR="004D1A97" w:rsidRPr="00B84F91" w:rsidRDefault="004D1A97" w:rsidP="004D1A97"/>
    <w:p w14:paraId="5616BD72" w14:textId="77777777" w:rsidR="004D1A97" w:rsidRPr="00B84F91" w:rsidRDefault="004D1A97" w:rsidP="004D1A97">
      <w:pPr>
        <w:pStyle w:val="PageHeadingDec"/>
        <w:sectPr w:rsidR="004D1A97" w:rsidRPr="00B84F91" w:rsidSect="00B84F91">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16EB361" w14:textId="77777777" w:rsidR="006142BC" w:rsidRDefault="006142BC" w:rsidP="006142BC">
      <w:pPr>
        <w:pStyle w:val="ATHeading3"/>
      </w:pPr>
      <w:r>
        <w:lastRenderedPageBreak/>
        <w:t>23. Решение на Европейския парламент от 7 май 2025 г. относно освобождаването от отговорност във връзка с изпълнението на бюджета на Европейския орган за безопасност на храните за финансовата 2023 година (2024/2030(DEC))</w:t>
      </w:r>
    </w:p>
    <w:p w14:paraId="4EE45878" w14:textId="77777777" w:rsidR="004D1A97" w:rsidRPr="00B84F91" w:rsidRDefault="004D1A97" w:rsidP="004D1A97">
      <w:pPr>
        <w:pStyle w:val="EPComma"/>
      </w:pPr>
      <w:r w:rsidRPr="00B84F91">
        <w:rPr>
          <w:i/>
        </w:rPr>
        <w:t>Европейският парламент</w:t>
      </w:r>
      <w:r w:rsidRPr="00B84F91">
        <w:t>,</w:t>
      </w:r>
    </w:p>
    <w:p w14:paraId="2922D155"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орган за безопасност на храните за финансовата 2023 година,</w:t>
      </w:r>
    </w:p>
    <w:p w14:paraId="37C56646"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33"/>
      </w:r>
      <w:r w:rsidRPr="00B84F91">
        <w:t>,</w:t>
      </w:r>
    </w:p>
    <w:p w14:paraId="2AF14E58"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134"/>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6574151"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Органа във връзка с изпълнението на бюджета за финансовата 2023 година (05755/2025 – C10</w:t>
      </w:r>
      <w:r w:rsidRPr="00B84F91">
        <w:noBreakHyphen/>
        <w:t>0024/2025),</w:t>
      </w:r>
    </w:p>
    <w:p w14:paraId="5C716E81"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06A93FE8"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135"/>
      </w:r>
      <w:r w:rsidRPr="00B84F91">
        <w:t>, и по-специално член 70 от него,</w:t>
      </w:r>
    </w:p>
    <w:p w14:paraId="2605501E"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36"/>
      </w:r>
      <w:r w:rsidRPr="00B84F91">
        <w:t>, и по-специално член 70 от него,</w:t>
      </w:r>
    </w:p>
    <w:p w14:paraId="34DF6884" w14:textId="77777777" w:rsidR="004D1A97" w:rsidRPr="00B84F91" w:rsidRDefault="004D1A97" w:rsidP="004D1A97">
      <w:pPr>
        <w:pStyle w:val="NormalHanging12a"/>
      </w:pPr>
      <w:r w:rsidRPr="00B84F91">
        <w:t>–</w:t>
      </w:r>
      <w:r w:rsidRPr="00B84F91">
        <w:tab/>
        <w:t>като взе предвид 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w:t>
      </w:r>
      <w:r w:rsidRPr="00B84F91">
        <w:rPr>
          <w:rStyle w:val="FootnoteReference"/>
        </w:rPr>
        <w:footnoteReference w:id="137"/>
      </w:r>
      <w:r w:rsidRPr="00B84F91">
        <w:t>, и по-специално член 44 от него,</w:t>
      </w:r>
    </w:p>
    <w:p w14:paraId="79B94CB7"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138"/>
      </w:r>
      <w:r w:rsidRPr="00B84F91">
        <w:t xml:space="preserve">, и по-специално </w:t>
      </w:r>
      <w:r w:rsidRPr="00B84F91">
        <w:lastRenderedPageBreak/>
        <w:t>член 105 от него,</w:t>
      </w:r>
    </w:p>
    <w:p w14:paraId="54C11498"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0E3FFED6"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482015A2"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11EAC30B" w14:textId="77777777" w:rsidR="004D1A97" w:rsidRPr="00B84F91" w:rsidRDefault="004D1A97" w:rsidP="004D1A97">
      <w:pPr>
        <w:pStyle w:val="NormalHanging12a"/>
      </w:pPr>
      <w:r w:rsidRPr="00B84F91">
        <w:t>1.</w:t>
      </w:r>
      <w:r w:rsidRPr="00B84F91">
        <w:tab/>
        <w:t>освобождава от отговорност изпълняващия длъжността изпълнителен директор на Европейския орган за безопасност на храните във връзка с изпълнението на бюджета на Органа за финансовата 2023 година;</w:t>
      </w:r>
    </w:p>
    <w:p w14:paraId="764932A4"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7128BFE0"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изпълняващия длъжността изпълнителен директор на Европейския орган за безопасност на храните,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4355EFC8" w14:textId="77777777" w:rsidR="004D1A97" w:rsidRPr="00B84F91" w:rsidRDefault="004D1A97" w:rsidP="004D1A97"/>
    <w:p w14:paraId="52DCABCA" w14:textId="77777777" w:rsidR="004D1A97" w:rsidRPr="00B84F91" w:rsidRDefault="004D1A97" w:rsidP="004D1A97">
      <w:pPr>
        <w:pStyle w:val="PageHeadingDec"/>
        <w:sectPr w:rsidR="004D1A97" w:rsidRPr="00B84F91" w:rsidSect="00B84F91">
          <w:footerReference w:type="first" r:id="rId3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6B73FF1" w14:textId="77777777" w:rsidR="006142BC" w:rsidRDefault="006142BC" w:rsidP="006142BC">
      <w:pPr>
        <w:pStyle w:val="ATHeading3"/>
      </w:pPr>
      <w:r>
        <w:lastRenderedPageBreak/>
        <w:t>24. Решение на Европейския парламент от 7 май 2025 г. относно приключването на сметките на Европейския орган за безопасност на храните за финансовата 2023 година (2024/2030(DEC))</w:t>
      </w:r>
    </w:p>
    <w:p w14:paraId="6F1CFF67" w14:textId="77777777" w:rsidR="004D1A97" w:rsidRPr="00B84F91" w:rsidRDefault="004D1A97" w:rsidP="004D1A97">
      <w:pPr>
        <w:pStyle w:val="EPComma"/>
      </w:pPr>
      <w:r w:rsidRPr="00B84F91">
        <w:rPr>
          <w:i/>
        </w:rPr>
        <w:t>Европейският парламент</w:t>
      </w:r>
      <w:r w:rsidRPr="00B84F91">
        <w:t>,</w:t>
      </w:r>
    </w:p>
    <w:p w14:paraId="467F0030"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орган за безопасност на храните за финансовата 2023 година,</w:t>
      </w:r>
    </w:p>
    <w:p w14:paraId="11370F53"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39"/>
      </w:r>
      <w:r w:rsidRPr="00B84F91">
        <w:t>,</w:t>
      </w:r>
    </w:p>
    <w:p w14:paraId="0853AD7C"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140"/>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D3328B8"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Органа във връзка с изпълнението на бюджета за финансовата 2023 година (05755/2025 – C10</w:t>
      </w:r>
      <w:r w:rsidRPr="00B84F91">
        <w:noBreakHyphen/>
        <w:t>0024/2025),</w:t>
      </w:r>
    </w:p>
    <w:p w14:paraId="7EADD6EF"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6E1B8296"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141"/>
      </w:r>
      <w:r w:rsidRPr="00B84F91">
        <w:t>, и по-специално член 70 от него,</w:t>
      </w:r>
    </w:p>
    <w:p w14:paraId="306DA6C2"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42"/>
      </w:r>
      <w:r w:rsidRPr="00B84F91">
        <w:t>, и по-специално член 70 от него,</w:t>
      </w:r>
    </w:p>
    <w:p w14:paraId="79A33A76" w14:textId="77777777" w:rsidR="004D1A97" w:rsidRPr="00B84F91" w:rsidRDefault="004D1A97" w:rsidP="004D1A97">
      <w:pPr>
        <w:pStyle w:val="NormalHanging12a"/>
      </w:pPr>
      <w:r w:rsidRPr="00B84F91">
        <w:t>–</w:t>
      </w:r>
      <w:r w:rsidRPr="00B84F91">
        <w:tab/>
        <w:t>като взе предвид 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w:t>
      </w:r>
      <w:r w:rsidRPr="00B84F91">
        <w:rPr>
          <w:rStyle w:val="FootnoteReference"/>
        </w:rPr>
        <w:footnoteReference w:id="143"/>
      </w:r>
      <w:r w:rsidRPr="00B84F91">
        <w:t>, и по-специално член 44 от него,</w:t>
      </w:r>
    </w:p>
    <w:p w14:paraId="0606C6D8"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144"/>
      </w:r>
      <w:r w:rsidRPr="00B84F91">
        <w:t xml:space="preserve">, и по-специално </w:t>
      </w:r>
      <w:r w:rsidRPr="00B84F91">
        <w:lastRenderedPageBreak/>
        <w:t>член 105 от него,</w:t>
      </w:r>
    </w:p>
    <w:p w14:paraId="4D06F741"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1F484797"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32EF3091"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1D26F3CF" w14:textId="77777777" w:rsidR="004D1A97" w:rsidRPr="00B84F91" w:rsidRDefault="004D1A97" w:rsidP="004D1A97">
      <w:pPr>
        <w:pStyle w:val="NormalHanging12a"/>
      </w:pPr>
      <w:r w:rsidRPr="00B84F91">
        <w:t>1.</w:t>
      </w:r>
      <w:r w:rsidRPr="00B84F91">
        <w:tab/>
        <w:t>одобрява приключването на сметките на Европейския орган за безопасност на храните за финансовата 2023 година;</w:t>
      </w:r>
    </w:p>
    <w:p w14:paraId="7A640A76"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изпълняващия длъжността изпълнителен директор на Европейския орган за безопасност на храните,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6AF24EE5" w14:textId="77777777" w:rsidR="004D1A97" w:rsidRPr="00B84F91" w:rsidRDefault="004D1A97" w:rsidP="004D1A97"/>
    <w:p w14:paraId="6CC9951C" w14:textId="77777777" w:rsidR="004D1A97" w:rsidRPr="00B84F91" w:rsidRDefault="004D1A97" w:rsidP="004D1A97"/>
    <w:p w14:paraId="0C6A3EFF" w14:textId="77777777" w:rsidR="004D1A97" w:rsidRPr="00B84F91" w:rsidRDefault="004D1A97" w:rsidP="004D1A97">
      <w:pPr>
        <w:pStyle w:val="PageHeadingDec"/>
        <w:sectPr w:rsidR="004D1A97" w:rsidRPr="00B84F91" w:rsidSect="00B84F91">
          <w:footerReference w:type="first" r:id="rId3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2FF7ECC" w14:textId="77777777" w:rsidR="006142BC" w:rsidRDefault="006142BC" w:rsidP="006142BC">
      <w:pPr>
        <w:pStyle w:val="ATHeading3"/>
      </w:pPr>
      <w:r>
        <w:lastRenderedPageBreak/>
        <w:t>25. Решение на Европейския парламент от 7 май 2025 г. относно освобождаването от отговорност във връзка с изпълнението на бюджета на Европейския институт за равенство между половете за финансовата 2023 година (2024/2030(DEC))</w:t>
      </w:r>
    </w:p>
    <w:p w14:paraId="7EB040DB" w14:textId="77777777" w:rsidR="004D1A97" w:rsidRPr="00B84F91" w:rsidRDefault="004D1A97" w:rsidP="004D1A97">
      <w:pPr>
        <w:pStyle w:val="EPComma"/>
      </w:pPr>
      <w:r w:rsidRPr="00B84F91">
        <w:rPr>
          <w:i/>
        </w:rPr>
        <w:t>Европейският парламент</w:t>
      </w:r>
      <w:r w:rsidRPr="00B84F91">
        <w:t>,</w:t>
      </w:r>
    </w:p>
    <w:p w14:paraId="4AB50F37"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институт за равенство между половете за финансовата 2023 година,</w:t>
      </w:r>
    </w:p>
    <w:p w14:paraId="1F157BFC"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45"/>
      </w:r>
      <w:r w:rsidRPr="00B84F91">
        <w:t>,</w:t>
      </w:r>
    </w:p>
    <w:p w14:paraId="16424592"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146"/>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773AF69"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Института във връзка с изпълнението на бюджета за финансовата 2023 година (05755/2025 – C10</w:t>
      </w:r>
      <w:r w:rsidRPr="00B84F91">
        <w:noBreakHyphen/>
        <w:t>0024/2025),</w:t>
      </w:r>
    </w:p>
    <w:p w14:paraId="7C1CF98D"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7E9E8F14"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147"/>
      </w:r>
      <w:r w:rsidRPr="00B84F91">
        <w:t>, и по-специално член 70 от него,</w:t>
      </w:r>
    </w:p>
    <w:p w14:paraId="23E3F205"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48"/>
      </w:r>
      <w:r w:rsidRPr="00B84F91">
        <w:t>, и по-специално член 70 от него,</w:t>
      </w:r>
    </w:p>
    <w:p w14:paraId="7AC8781D" w14:textId="77777777" w:rsidR="004D1A97" w:rsidRPr="00B84F91" w:rsidRDefault="004D1A97" w:rsidP="004D1A97">
      <w:pPr>
        <w:pStyle w:val="NormalHanging12a"/>
      </w:pPr>
      <w:r w:rsidRPr="00B84F91">
        <w:t>–</w:t>
      </w:r>
      <w:r w:rsidRPr="00B84F91">
        <w:tab/>
        <w:t>като взе предвид Регламент (ЕО) № 1922/2006 на Европейския парламент и на Съвета от 20 декември 2006 г. за създаване на Европейски институт за равенство между половете</w:t>
      </w:r>
      <w:r w:rsidRPr="00B84F91">
        <w:rPr>
          <w:rStyle w:val="FootnoteReference"/>
        </w:rPr>
        <w:footnoteReference w:id="149"/>
      </w:r>
      <w:r w:rsidRPr="00B84F91">
        <w:t>, и по-специално член 15 от него,</w:t>
      </w:r>
    </w:p>
    <w:p w14:paraId="77B4E99E"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150"/>
      </w:r>
      <w:r w:rsidRPr="00B84F91">
        <w:t>, и по-специално член 105 от него,</w:t>
      </w:r>
    </w:p>
    <w:p w14:paraId="7273409D" w14:textId="77777777" w:rsidR="004D1A97" w:rsidRPr="00B84F91" w:rsidRDefault="004D1A97" w:rsidP="004D1A97">
      <w:pPr>
        <w:pStyle w:val="NormalHanging12a"/>
      </w:pPr>
      <w:r w:rsidRPr="00B84F91">
        <w:lastRenderedPageBreak/>
        <w:t>–</w:t>
      </w:r>
      <w:r w:rsidRPr="00B84F91">
        <w:tab/>
        <w:t>като взе предвид член 102 и приложение V към своя Правилник за дейността,</w:t>
      </w:r>
    </w:p>
    <w:p w14:paraId="4A82CEBB"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1741B3FA"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4EA241B4" w14:textId="77777777" w:rsidR="004D1A97" w:rsidRPr="00B84F91" w:rsidRDefault="004D1A97" w:rsidP="004D1A97">
      <w:pPr>
        <w:pStyle w:val="NormalHanging12a"/>
      </w:pPr>
      <w:r w:rsidRPr="00B84F91">
        <w:t>1.</w:t>
      </w:r>
      <w:r w:rsidRPr="00B84F91">
        <w:tab/>
        <w:t>освобождава от отговорност директора на Европейския институт за равенство между половете във връзка с изпълнението на бюджета на Института за финансовата 2023 година;</w:t>
      </w:r>
    </w:p>
    <w:p w14:paraId="41BF85F6"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6B82F399"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директора на Европейския институт за равенство между половете,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19C82E7E" w14:textId="77777777" w:rsidR="004D1A97" w:rsidRPr="00B84F91" w:rsidRDefault="004D1A97" w:rsidP="004D1A97"/>
    <w:p w14:paraId="2FAC5FA2" w14:textId="77777777" w:rsidR="004D1A97" w:rsidRPr="00B84F91" w:rsidRDefault="004D1A97" w:rsidP="004D1A97">
      <w:pPr>
        <w:pStyle w:val="PageHeadingDec"/>
        <w:sectPr w:rsidR="004D1A97" w:rsidRPr="00B84F91" w:rsidSect="00B84F91">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2DD84C0" w14:textId="77777777" w:rsidR="006142BC" w:rsidRDefault="006142BC" w:rsidP="006142BC">
      <w:pPr>
        <w:pStyle w:val="ATHeading3"/>
      </w:pPr>
      <w:r>
        <w:lastRenderedPageBreak/>
        <w:t>26. Решение на Европейския парламент от 7 май 2025 г. относно приключването на сметките на Европейския институт за равенство между половете за финансовата 2023 година (2024/2030(DEC))</w:t>
      </w:r>
    </w:p>
    <w:p w14:paraId="073A6463" w14:textId="77777777" w:rsidR="004D1A97" w:rsidRPr="00B84F91" w:rsidRDefault="004D1A97" w:rsidP="004D1A97">
      <w:pPr>
        <w:pStyle w:val="EPComma"/>
      </w:pPr>
      <w:r w:rsidRPr="00B84F91">
        <w:rPr>
          <w:i/>
        </w:rPr>
        <w:t>Европейският парламент</w:t>
      </w:r>
      <w:r w:rsidRPr="00B84F91">
        <w:t>,</w:t>
      </w:r>
    </w:p>
    <w:p w14:paraId="6629EB01"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институт за равенство между половете за финансовата 2023 година,</w:t>
      </w:r>
    </w:p>
    <w:p w14:paraId="7129694E"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51"/>
      </w:r>
      <w:r w:rsidRPr="00B84F91">
        <w:t>,</w:t>
      </w:r>
    </w:p>
    <w:p w14:paraId="5CB9D217"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152"/>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5FBDA6D4"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Института във връзка с изпълнението на бюджета за финансовата 2023 година (05755/2025 – C10</w:t>
      </w:r>
      <w:r w:rsidRPr="00B84F91">
        <w:noBreakHyphen/>
        <w:t>0024/2025),</w:t>
      </w:r>
    </w:p>
    <w:p w14:paraId="09B5F121"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23F037DC"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153"/>
      </w:r>
      <w:r w:rsidRPr="00B84F91">
        <w:t>, и по-специално член 70 от него,</w:t>
      </w:r>
    </w:p>
    <w:p w14:paraId="519BC797"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54"/>
      </w:r>
      <w:r w:rsidRPr="00B84F91">
        <w:t>, и по-специално член 70 от него,</w:t>
      </w:r>
    </w:p>
    <w:p w14:paraId="4AD6BE86" w14:textId="77777777" w:rsidR="004D1A97" w:rsidRPr="00B84F91" w:rsidRDefault="004D1A97" w:rsidP="004D1A97">
      <w:pPr>
        <w:pStyle w:val="NormalHanging12a"/>
      </w:pPr>
      <w:r w:rsidRPr="00B84F91">
        <w:t>–</w:t>
      </w:r>
      <w:r w:rsidRPr="00B84F91">
        <w:tab/>
        <w:t>като взе предвид Регламент (ЕО) № 1922/2006 на Европейския парламент и на Съвета от 20 декември 2006 г. за създаване на Европейски институт за равенство между половете</w:t>
      </w:r>
      <w:r w:rsidRPr="00B84F91">
        <w:rPr>
          <w:rStyle w:val="FootnoteReference"/>
        </w:rPr>
        <w:footnoteReference w:id="155"/>
      </w:r>
      <w:r w:rsidRPr="00B84F91">
        <w:t>, и по-специално член 15 от него,</w:t>
      </w:r>
    </w:p>
    <w:p w14:paraId="2B57F56B"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156"/>
      </w:r>
      <w:r w:rsidRPr="00B84F91">
        <w:t>, и по-специално член 105 от него,</w:t>
      </w:r>
    </w:p>
    <w:p w14:paraId="686EE26F" w14:textId="77777777" w:rsidR="004D1A97" w:rsidRPr="00B84F91" w:rsidRDefault="004D1A97" w:rsidP="004D1A97">
      <w:pPr>
        <w:pStyle w:val="NormalHanging12a"/>
      </w:pPr>
      <w:r w:rsidRPr="00B84F91">
        <w:lastRenderedPageBreak/>
        <w:t>–</w:t>
      </w:r>
      <w:r w:rsidRPr="00B84F91">
        <w:tab/>
        <w:t>като взе предвид член 102 и приложение V към своя Правилник за дейността,</w:t>
      </w:r>
    </w:p>
    <w:p w14:paraId="00F1B0FE"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531FACA1"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012E8AB7" w14:textId="77777777" w:rsidR="004D1A97" w:rsidRPr="00B84F91" w:rsidRDefault="004D1A97" w:rsidP="004D1A97">
      <w:pPr>
        <w:pStyle w:val="NormalHanging12a"/>
      </w:pPr>
      <w:r w:rsidRPr="00B84F91">
        <w:t>1.</w:t>
      </w:r>
      <w:r w:rsidRPr="00B84F91">
        <w:tab/>
        <w:t>одобрява приключването на сметките на Европейския институт за равенство между половете за финансовата 2023 година;</w:t>
      </w:r>
    </w:p>
    <w:p w14:paraId="718C2E79"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директора на Европейския институт за равенство между половете,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29DFC74E" w14:textId="77777777" w:rsidR="004D1A97" w:rsidRPr="00B84F91" w:rsidRDefault="004D1A97" w:rsidP="004D1A97"/>
    <w:p w14:paraId="08EDB735" w14:textId="77777777" w:rsidR="004D1A97" w:rsidRPr="00B84F91" w:rsidRDefault="004D1A97" w:rsidP="004D1A97"/>
    <w:p w14:paraId="229A24C1" w14:textId="77777777" w:rsidR="004D1A97" w:rsidRPr="00B84F91" w:rsidRDefault="004D1A97" w:rsidP="004D1A97">
      <w:pPr>
        <w:pStyle w:val="PageHeadingDec"/>
        <w:sectPr w:rsidR="004D1A97" w:rsidRPr="00B84F91" w:rsidSect="00B84F91">
          <w:footerReference w:type="first" r:id="rId3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E80B1F2" w14:textId="77777777" w:rsidR="006142BC" w:rsidRDefault="006142BC" w:rsidP="006142BC">
      <w:pPr>
        <w:pStyle w:val="ATHeading3"/>
      </w:pPr>
      <w:r>
        <w:lastRenderedPageBreak/>
        <w:t>27. Решение на Европейския парламент от 7 май 2025 г. относно освобождаването от отговорност във връзка с изпълнението на бюджета на Европейския орган за застраховане и професионално пенсионно осигуряване за финансовата 2023 година (2024/2030(DEC))</w:t>
      </w:r>
    </w:p>
    <w:p w14:paraId="7A373C5F" w14:textId="77777777" w:rsidR="004D1A97" w:rsidRPr="00B84F91" w:rsidRDefault="004D1A97" w:rsidP="004D1A97">
      <w:pPr>
        <w:pStyle w:val="EPComma"/>
      </w:pPr>
      <w:r w:rsidRPr="00B84F91">
        <w:rPr>
          <w:i/>
        </w:rPr>
        <w:t>Европейският парламент</w:t>
      </w:r>
      <w:r w:rsidRPr="00B84F91">
        <w:t>,</w:t>
      </w:r>
    </w:p>
    <w:p w14:paraId="3413EFD7"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орган за застраховане и професионално пенсионно осигуряване за финансовата 2023 година,</w:t>
      </w:r>
    </w:p>
    <w:p w14:paraId="7BE4D129"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57"/>
      </w:r>
      <w:r w:rsidRPr="00B84F91">
        <w:t>,</w:t>
      </w:r>
    </w:p>
    <w:p w14:paraId="14390BBB"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158"/>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6B83C5E5"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Органа във връзка с изпълнението на бюджета за финансовата 2023 година (05755/2025 – C10</w:t>
      </w:r>
      <w:r w:rsidRPr="00B84F91">
        <w:noBreakHyphen/>
        <w:t>0024/2025),</w:t>
      </w:r>
    </w:p>
    <w:p w14:paraId="394BCE8A"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2C3F50C9"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159"/>
      </w:r>
      <w:r w:rsidRPr="00B84F91">
        <w:t>, и по-специално член 70 от него,</w:t>
      </w:r>
    </w:p>
    <w:p w14:paraId="140B01E5"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60"/>
      </w:r>
      <w:r w:rsidRPr="00B84F91">
        <w:t>, и по-специално член 70 от него,</w:t>
      </w:r>
    </w:p>
    <w:p w14:paraId="05545DA0" w14:textId="77777777" w:rsidR="004D1A97" w:rsidRPr="00B84F91" w:rsidRDefault="004D1A97" w:rsidP="004D1A97">
      <w:pPr>
        <w:pStyle w:val="NormalHanging12a"/>
      </w:pPr>
      <w:r w:rsidRPr="00B84F91">
        <w:t>–</w:t>
      </w:r>
      <w:r w:rsidRPr="00B84F91">
        <w:tab/>
        <w:t>като взе предвид Регламент (ЕС) № 1094/2010 на Европейския парламент и на Съвета от 24 ноември 2010 г. за създаване на Европейски надзорен орган (Европейски орган за застраховане и професионално пенсионно осигуряване), за изменение на Решение № 716/2009/ЕО и за отмяна на Решение 2009/79/ЕО на Комисията</w:t>
      </w:r>
      <w:r w:rsidRPr="00B84F91">
        <w:rPr>
          <w:rStyle w:val="FootnoteReference"/>
        </w:rPr>
        <w:footnoteReference w:id="161"/>
      </w:r>
      <w:r w:rsidRPr="00B84F91">
        <w:t>, и по-специално член 64 от него,</w:t>
      </w:r>
    </w:p>
    <w:p w14:paraId="109875C8" w14:textId="77777777" w:rsidR="004D1A97" w:rsidRPr="00B84F91" w:rsidRDefault="004D1A97" w:rsidP="004D1A97">
      <w:pPr>
        <w:pStyle w:val="NormalHanging12a"/>
      </w:pPr>
      <w:r w:rsidRPr="00B84F91">
        <w:t>–</w:t>
      </w:r>
      <w:r w:rsidRPr="00B84F91">
        <w:tab/>
        <w:t xml:space="preserve">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w:t>
      </w:r>
      <w:r w:rsidRPr="00B84F91">
        <w:lastRenderedPageBreak/>
        <w:t>(ЕС, Евратом) 2018/1046 на Европейския парламент и на Съвета</w:t>
      </w:r>
      <w:r w:rsidRPr="00B84F91">
        <w:rPr>
          <w:rStyle w:val="FootnoteReference"/>
        </w:rPr>
        <w:footnoteReference w:id="162"/>
      </w:r>
      <w:r w:rsidRPr="00B84F91">
        <w:t>, и по-специално член 105 от него,</w:t>
      </w:r>
    </w:p>
    <w:p w14:paraId="43EB250A"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2EF8D0FE"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1A766A61"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4BDBD75D" w14:textId="77777777" w:rsidR="004D1A97" w:rsidRPr="00B84F91" w:rsidRDefault="004D1A97" w:rsidP="004D1A97">
      <w:pPr>
        <w:pStyle w:val="NormalHanging12a"/>
      </w:pPr>
      <w:r w:rsidRPr="00B84F91">
        <w:t>1.</w:t>
      </w:r>
      <w:r w:rsidRPr="00B84F91">
        <w:tab/>
        <w:t>освобождава от отговорност изпълнителния директор на Европейския орган за застраховане и професионално пенсионно осигуряване във връзка с изпълнението на бюджета на Органа за финансовата 2023 година;</w:t>
      </w:r>
    </w:p>
    <w:p w14:paraId="4BE1F99B"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37317B96"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Европейския орган за застраховане и професионално пенсионно осигуряване,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005EFFE4" w14:textId="77777777" w:rsidR="004D1A97" w:rsidRPr="00B84F91" w:rsidRDefault="004D1A97" w:rsidP="004D1A97"/>
    <w:p w14:paraId="578B6B80" w14:textId="77777777" w:rsidR="004D1A97" w:rsidRPr="00B84F91" w:rsidRDefault="004D1A97" w:rsidP="004D1A97">
      <w:pPr>
        <w:pStyle w:val="PageHeadingDec"/>
        <w:sectPr w:rsidR="004D1A97" w:rsidRPr="00B84F91" w:rsidSect="00B84F91">
          <w:footerReference w:type="first" r:id="rId3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AA7E4A5" w14:textId="77777777" w:rsidR="006142BC" w:rsidRDefault="006142BC" w:rsidP="006142BC">
      <w:pPr>
        <w:pStyle w:val="ATHeading3"/>
      </w:pPr>
      <w:r>
        <w:lastRenderedPageBreak/>
        <w:t>28. Решение на Европейския парламент от 7 май 2025 г. относно приключването на сметките на Европейския орган за застраховане и професионално пенсионно осигуряване за финансовата 2023 година (2024/2030(DEC))</w:t>
      </w:r>
    </w:p>
    <w:p w14:paraId="35FB5952" w14:textId="77777777" w:rsidR="004D1A97" w:rsidRPr="00B84F91" w:rsidRDefault="004D1A97" w:rsidP="004D1A97">
      <w:pPr>
        <w:pStyle w:val="EPComma"/>
      </w:pPr>
      <w:r w:rsidRPr="00B84F91">
        <w:rPr>
          <w:i/>
        </w:rPr>
        <w:t>Европейският парламент</w:t>
      </w:r>
      <w:r w:rsidRPr="00B84F91">
        <w:t>,</w:t>
      </w:r>
    </w:p>
    <w:p w14:paraId="069E6E4B"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орган за застраховане и професионално пенсионно осигуряване за финансовата 2023 година,</w:t>
      </w:r>
    </w:p>
    <w:p w14:paraId="06F9DC03"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63"/>
      </w:r>
      <w:r w:rsidRPr="00B84F91">
        <w:t>,</w:t>
      </w:r>
    </w:p>
    <w:p w14:paraId="3A7A0B60"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164"/>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771322C3"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Органа във връзка с изпълнението на бюджета за финансовата 2023 година (05755/2025 – C10</w:t>
      </w:r>
      <w:r w:rsidRPr="00B84F91">
        <w:noBreakHyphen/>
        <w:t>0024/2025),</w:t>
      </w:r>
    </w:p>
    <w:p w14:paraId="34297838"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35F5CD0B"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165"/>
      </w:r>
      <w:r w:rsidRPr="00B84F91">
        <w:t>, и по-специално член 70 от него,</w:t>
      </w:r>
    </w:p>
    <w:p w14:paraId="31C7EA86"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66"/>
      </w:r>
      <w:r w:rsidRPr="00B84F91">
        <w:t>, и по-специално член 70 от него,</w:t>
      </w:r>
    </w:p>
    <w:p w14:paraId="5D7CF41D" w14:textId="77777777" w:rsidR="004D1A97" w:rsidRPr="00B84F91" w:rsidRDefault="004D1A97" w:rsidP="004D1A97">
      <w:pPr>
        <w:pStyle w:val="NormalHanging12a"/>
      </w:pPr>
      <w:r w:rsidRPr="00B84F91">
        <w:t>–</w:t>
      </w:r>
      <w:r w:rsidRPr="00B84F91">
        <w:tab/>
        <w:t>като взе предвид Регламент (ЕС) № 1094/2010 на Европейския парламент и на Съвета от 24 ноември 2010 г. за създаване на Европейски надзорен орган (Европейски орган за застраховане и професионално пенсионно осигуряване), за изменение на Решение № 716/2009/ЕО и за отмяна на Решение 2009/79/ЕО на Комисията</w:t>
      </w:r>
      <w:r w:rsidRPr="00B84F91">
        <w:rPr>
          <w:rStyle w:val="FootnoteReference"/>
        </w:rPr>
        <w:footnoteReference w:id="167"/>
      </w:r>
      <w:r w:rsidRPr="00B84F91">
        <w:t>, и по-специално член 64 от него,</w:t>
      </w:r>
    </w:p>
    <w:p w14:paraId="1DADE9C8" w14:textId="77777777" w:rsidR="004D1A97" w:rsidRPr="00B84F91" w:rsidRDefault="004D1A97" w:rsidP="004D1A97">
      <w:pPr>
        <w:pStyle w:val="NormalHanging12a"/>
      </w:pPr>
      <w:r w:rsidRPr="00B84F91">
        <w:t>–</w:t>
      </w:r>
      <w:r w:rsidRPr="00B84F91">
        <w:tab/>
        <w:t xml:space="preserve">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w:t>
      </w:r>
      <w:r w:rsidRPr="00B84F91">
        <w:lastRenderedPageBreak/>
        <w:t>(ЕС, Евратом) 2018/1046 на Европейския парламент и на Съвета</w:t>
      </w:r>
      <w:r w:rsidRPr="00B84F91">
        <w:rPr>
          <w:rStyle w:val="FootnoteReference"/>
        </w:rPr>
        <w:footnoteReference w:id="168"/>
      </w:r>
      <w:r w:rsidRPr="00B84F91">
        <w:t>, и по-специално член 105 от него,</w:t>
      </w:r>
    </w:p>
    <w:p w14:paraId="33EE710D"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5D73DFEE"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41628FFE"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7D3AD7A4" w14:textId="77777777" w:rsidR="004D1A97" w:rsidRPr="00B84F91" w:rsidRDefault="004D1A97" w:rsidP="004D1A97">
      <w:pPr>
        <w:pStyle w:val="NormalHanging12a"/>
      </w:pPr>
      <w:r w:rsidRPr="00B84F91">
        <w:t>1.</w:t>
      </w:r>
      <w:r w:rsidRPr="00B84F91">
        <w:tab/>
        <w:t>одобрява приключването на сметките на Европейския орган за застраховане и професионално пенсионно осигуряване за финансовата 2023 година;</w:t>
      </w:r>
    </w:p>
    <w:p w14:paraId="556F9CA6"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изпълнителния директор на Европейския орган за застраховане и професионално пенсионно осигуряване,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35D95FB3" w14:textId="77777777" w:rsidR="004D1A97" w:rsidRPr="00B84F91" w:rsidRDefault="004D1A97" w:rsidP="004D1A97"/>
    <w:p w14:paraId="6F39363C" w14:textId="77777777" w:rsidR="004D1A97" w:rsidRPr="00B84F91" w:rsidRDefault="004D1A97" w:rsidP="004D1A97"/>
    <w:p w14:paraId="00E27E55" w14:textId="77777777" w:rsidR="004D1A97" w:rsidRPr="00B84F91" w:rsidRDefault="004D1A97" w:rsidP="004D1A97">
      <w:pPr>
        <w:pStyle w:val="PageHeadingDec"/>
        <w:sectPr w:rsidR="004D1A97" w:rsidRPr="00B84F91" w:rsidSect="00B84F91">
          <w:footerReference w:type="first" r:id="rId3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C1530F7" w14:textId="77777777" w:rsidR="006142BC" w:rsidRDefault="006142BC" w:rsidP="006142BC">
      <w:pPr>
        <w:pStyle w:val="ATHeading3"/>
      </w:pPr>
      <w:r>
        <w:lastRenderedPageBreak/>
        <w:t>29. Решение на Европейския парламент от 7 май 2025 г. относно освобождаването от отговорност във връзка с изпълнението на бюджета на Европейския институт за иновации и технологии за финансовата 2023 година (2024/2030(DEC))</w:t>
      </w:r>
    </w:p>
    <w:p w14:paraId="24041C0C" w14:textId="77777777" w:rsidR="004D1A97" w:rsidRPr="00B84F91" w:rsidRDefault="004D1A97" w:rsidP="004D1A97">
      <w:pPr>
        <w:pStyle w:val="EPComma"/>
      </w:pPr>
      <w:r w:rsidRPr="00B84F91">
        <w:rPr>
          <w:i/>
        </w:rPr>
        <w:t>Европейският парламент</w:t>
      </w:r>
      <w:r w:rsidRPr="00B84F91">
        <w:t>,</w:t>
      </w:r>
    </w:p>
    <w:p w14:paraId="4CB4ACB2"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институт за иновации и технологии за финансовата 2023 година,</w:t>
      </w:r>
    </w:p>
    <w:p w14:paraId="4A5210ED"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69"/>
      </w:r>
      <w:r w:rsidRPr="00B84F91">
        <w:t>,</w:t>
      </w:r>
    </w:p>
    <w:p w14:paraId="4960379A"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170"/>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B41F12E"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Института във връзка с изпълнението на бюджета за финансовата 2023 година (05755/2025 – C10</w:t>
      </w:r>
      <w:r w:rsidRPr="00B84F91">
        <w:noBreakHyphen/>
        <w:t>0024/2025),</w:t>
      </w:r>
    </w:p>
    <w:p w14:paraId="7BCE2A34"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2F360B72"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171"/>
      </w:r>
      <w:r w:rsidRPr="00B84F91">
        <w:t>, и по-специално член 70 от него,</w:t>
      </w:r>
    </w:p>
    <w:p w14:paraId="4761E650"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72"/>
      </w:r>
      <w:r w:rsidRPr="00B84F91">
        <w:t>, и по-специално член 70 от него,</w:t>
      </w:r>
    </w:p>
    <w:p w14:paraId="11CD52FF" w14:textId="77777777" w:rsidR="004D1A97" w:rsidRPr="00B84F91" w:rsidRDefault="004D1A97" w:rsidP="004D1A97">
      <w:pPr>
        <w:pStyle w:val="NormalHanging12a"/>
      </w:pPr>
      <w:r w:rsidRPr="00B84F91">
        <w:t>–</w:t>
      </w:r>
      <w:r w:rsidRPr="00B84F91">
        <w:tab/>
        <w:t>като взе предвид Регламент (ЕС) 2021/819 на Европейския парламент и на Съвета от 20 май 2021 г. относно Европейския институт за иновации и технологии</w:t>
      </w:r>
      <w:r w:rsidRPr="00B84F91">
        <w:rPr>
          <w:rStyle w:val="FootnoteReference"/>
        </w:rPr>
        <w:footnoteReference w:id="173"/>
      </w:r>
      <w:r w:rsidRPr="00B84F91">
        <w:t>, и по-специално член 23 от него,</w:t>
      </w:r>
    </w:p>
    <w:p w14:paraId="0CF5C281"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174"/>
      </w:r>
      <w:r w:rsidRPr="00B84F91">
        <w:t>, и по-специално член 105 от него,</w:t>
      </w:r>
    </w:p>
    <w:p w14:paraId="4B337560" w14:textId="77777777" w:rsidR="004D1A97" w:rsidRPr="00B84F91" w:rsidRDefault="004D1A97" w:rsidP="004D1A97">
      <w:pPr>
        <w:pStyle w:val="NormalHanging12a"/>
      </w:pPr>
      <w:r w:rsidRPr="00B84F91">
        <w:lastRenderedPageBreak/>
        <w:t>–</w:t>
      </w:r>
      <w:r w:rsidRPr="00B84F91">
        <w:tab/>
        <w:t>като взе предвид член 102 и приложение V към своя Правилник за дейността,</w:t>
      </w:r>
    </w:p>
    <w:p w14:paraId="102ACBA7"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54D38F19"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53258C38" w14:textId="77777777" w:rsidR="004D1A97" w:rsidRPr="00B84F91" w:rsidRDefault="004D1A97" w:rsidP="004D1A97">
      <w:pPr>
        <w:pStyle w:val="NormalHanging12a"/>
      </w:pPr>
      <w:r w:rsidRPr="00B84F91">
        <w:t>1.</w:t>
      </w:r>
      <w:r w:rsidRPr="00B84F91">
        <w:tab/>
        <w:t>освобождава от отговорност директора на Европейския институт за иновации и технологии във връзка с изпълнението на бюджета на Института за финансовата 2023 година;</w:t>
      </w:r>
    </w:p>
    <w:p w14:paraId="62812DE3"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10CA4CBD"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директора на Европейския институт за иновации и технологии,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3BEE9805" w14:textId="77777777" w:rsidR="004D1A97" w:rsidRPr="00B84F91" w:rsidRDefault="004D1A97" w:rsidP="004D1A97"/>
    <w:p w14:paraId="4B4ADBD8" w14:textId="77777777" w:rsidR="004D1A97" w:rsidRPr="00B84F91" w:rsidRDefault="004D1A97" w:rsidP="004D1A97">
      <w:pPr>
        <w:pStyle w:val="PageHeadingDec"/>
        <w:sectPr w:rsidR="004D1A97" w:rsidRPr="00B84F91" w:rsidSect="00B84F91">
          <w:footerReference w:type="first" r:id="rId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1E0DA1E" w14:textId="77777777" w:rsidR="006142BC" w:rsidRDefault="006142BC" w:rsidP="006142BC">
      <w:pPr>
        <w:pStyle w:val="ATHeading3"/>
      </w:pPr>
      <w:r>
        <w:lastRenderedPageBreak/>
        <w:t>30. Решение на Европейския парламент от 7 май 2025 г. относно приключването на сметките на Европейския институт за иновации и технологии за финансовата 2023 година (2024/2030(DEC))</w:t>
      </w:r>
    </w:p>
    <w:p w14:paraId="7A1C72E8" w14:textId="77777777" w:rsidR="004D1A97" w:rsidRPr="00B84F91" w:rsidRDefault="004D1A97" w:rsidP="004D1A97">
      <w:pPr>
        <w:pStyle w:val="EPComma"/>
      </w:pPr>
      <w:r w:rsidRPr="00B84F91">
        <w:rPr>
          <w:i/>
        </w:rPr>
        <w:t>Европейският парламент</w:t>
      </w:r>
      <w:r w:rsidRPr="00B84F91">
        <w:t>,</w:t>
      </w:r>
    </w:p>
    <w:p w14:paraId="30712F75"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институт за иновации и технологии за финансовата 2023 година,</w:t>
      </w:r>
    </w:p>
    <w:p w14:paraId="01367B0B"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75"/>
      </w:r>
      <w:r w:rsidRPr="00B84F91">
        <w:t>,</w:t>
      </w:r>
    </w:p>
    <w:p w14:paraId="221AF8D0"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176"/>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7FC816A8"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Института във връзка с изпълнението на бюджета за финансовата 2023 година (05755/2025 – C10</w:t>
      </w:r>
      <w:r w:rsidRPr="00B84F91">
        <w:noBreakHyphen/>
        <w:t>0024/2025),</w:t>
      </w:r>
    </w:p>
    <w:p w14:paraId="3A1A213B"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1779AFC6"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177"/>
      </w:r>
      <w:r w:rsidRPr="00B84F91">
        <w:t>, и по-специално член 70 от него,</w:t>
      </w:r>
    </w:p>
    <w:p w14:paraId="32590284"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78"/>
      </w:r>
      <w:r w:rsidRPr="00B84F91">
        <w:t>, и по-специално член 70 от него,</w:t>
      </w:r>
    </w:p>
    <w:p w14:paraId="1BC255A7" w14:textId="77777777" w:rsidR="004D1A97" w:rsidRPr="00B84F91" w:rsidRDefault="004D1A97" w:rsidP="004D1A97">
      <w:pPr>
        <w:pStyle w:val="NormalHanging12a"/>
      </w:pPr>
      <w:r w:rsidRPr="00B84F91">
        <w:t>–</w:t>
      </w:r>
      <w:r w:rsidRPr="00B84F91">
        <w:tab/>
        <w:t>като взе предвид Регламент (ЕС) 2021/819 на Европейския парламент и на Съвета от 20 май 2021 г. относно Европейския институт за иновации и технологии</w:t>
      </w:r>
      <w:r w:rsidRPr="00B84F91">
        <w:rPr>
          <w:rStyle w:val="FootnoteReference"/>
        </w:rPr>
        <w:footnoteReference w:id="179"/>
      </w:r>
      <w:r w:rsidRPr="00B84F91">
        <w:t>, и по-специално член 23 от него,</w:t>
      </w:r>
    </w:p>
    <w:p w14:paraId="095C9707"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180"/>
      </w:r>
      <w:r w:rsidRPr="00B84F91">
        <w:t>, и по-специално член 105 от него,</w:t>
      </w:r>
    </w:p>
    <w:p w14:paraId="401A933A" w14:textId="77777777" w:rsidR="004D1A97" w:rsidRPr="00B84F91" w:rsidRDefault="004D1A97" w:rsidP="004D1A97">
      <w:pPr>
        <w:pStyle w:val="NormalHanging12a"/>
      </w:pPr>
      <w:r w:rsidRPr="00B84F91">
        <w:lastRenderedPageBreak/>
        <w:t>–</w:t>
      </w:r>
      <w:r w:rsidRPr="00B84F91">
        <w:tab/>
        <w:t>като взе предвид член 102 и приложение V към своя Правилник за дейността,</w:t>
      </w:r>
    </w:p>
    <w:p w14:paraId="568EEDF0"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444AF02C"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09EC959D" w14:textId="77777777" w:rsidR="004D1A97" w:rsidRPr="00B84F91" w:rsidRDefault="004D1A97" w:rsidP="004D1A97">
      <w:pPr>
        <w:pStyle w:val="NormalHanging12a"/>
      </w:pPr>
      <w:r w:rsidRPr="00B84F91">
        <w:t>1.</w:t>
      </w:r>
      <w:r w:rsidRPr="00B84F91">
        <w:tab/>
        <w:t>одобрява приключването на сметките на Европейския институт за иновации и технологии за финансовата 2023 година;</w:t>
      </w:r>
    </w:p>
    <w:p w14:paraId="54346267"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директора на Европейския институт за иновации и технологии,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78AFF65C" w14:textId="77777777" w:rsidR="004D1A97" w:rsidRPr="00B84F91" w:rsidRDefault="004D1A97" w:rsidP="004D1A97"/>
    <w:p w14:paraId="118B2BAC" w14:textId="77777777" w:rsidR="004D1A97" w:rsidRPr="00B84F91" w:rsidRDefault="004D1A97" w:rsidP="004D1A97"/>
    <w:p w14:paraId="23172FE4" w14:textId="77777777" w:rsidR="004D1A97" w:rsidRPr="00B84F91" w:rsidRDefault="004D1A97" w:rsidP="004D1A97">
      <w:pPr>
        <w:pStyle w:val="PageHeadingDec"/>
        <w:sectPr w:rsidR="004D1A97" w:rsidRPr="00B84F91" w:rsidSect="00B84F91">
          <w:footerReference w:type="first" r:id="rId3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B94FF77" w14:textId="77777777" w:rsidR="006142BC" w:rsidRDefault="006142BC" w:rsidP="006142BC">
      <w:pPr>
        <w:pStyle w:val="ATHeading3"/>
      </w:pPr>
      <w:r>
        <w:lastRenderedPageBreak/>
        <w:t>31. Решение на Европейския парламент от 7 май 2025 г. относно освобождаването от отговорност във връзка с изпълнението на бюджета на Европейския орган по труда за финансовата 2023 година (2024/2030(DEC))</w:t>
      </w:r>
    </w:p>
    <w:p w14:paraId="2E195691" w14:textId="77777777" w:rsidR="004D1A97" w:rsidRPr="00B84F91" w:rsidRDefault="004D1A97" w:rsidP="004D1A97">
      <w:pPr>
        <w:pStyle w:val="EPComma"/>
      </w:pPr>
      <w:r w:rsidRPr="00B84F91">
        <w:rPr>
          <w:i/>
        </w:rPr>
        <w:t>Европейският парламент</w:t>
      </w:r>
      <w:r w:rsidRPr="00B84F91">
        <w:t>,</w:t>
      </w:r>
    </w:p>
    <w:p w14:paraId="1D1AC674"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орган по труда за финансовата 2023 година,</w:t>
      </w:r>
    </w:p>
    <w:p w14:paraId="273C1873"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81"/>
      </w:r>
      <w:r w:rsidRPr="00B84F91">
        <w:t>,</w:t>
      </w:r>
    </w:p>
    <w:p w14:paraId="4782B21E"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182"/>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7BF80788"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Органа във връзка с изпълнението на бюджета за финансовата 2023 година (05755/2025 – C10</w:t>
      </w:r>
      <w:r w:rsidRPr="00B84F91">
        <w:noBreakHyphen/>
        <w:t>0024/2025),</w:t>
      </w:r>
    </w:p>
    <w:p w14:paraId="7545D60D"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1331B56C"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183"/>
      </w:r>
      <w:r w:rsidRPr="00B84F91">
        <w:t>, и по-специално член 70 от него,</w:t>
      </w:r>
    </w:p>
    <w:p w14:paraId="7509BE15"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84"/>
      </w:r>
      <w:r w:rsidRPr="00B84F91">
        <w:t>, и по-специално член 70 от него,</w:t>
      </w:r>
    </w:p>
    <w:p w14:paraId="11CE2145" w14:textId="77777777" w:rsidR="004D1A97" w:rsidRPr="00B84F91" w:rsidRDefault="004D1A97" w:rsidP="004D1A97">
      <w:pPr>
        <w:pStyle w:val="NormalHanging12a"/>
      </w:pPr>
      <w:r w:rsidRPr="00B84F91">
        <w:t>–</w:t>
      </w:r>
      <w:r w:rsidRPr="00B84F91">
        <w:tab/>
        <w:t>като взе предвид Регламент (ЕС) 2019/1149 на Европейския парламент и на Съвета от 20 юни 2019 г. за създаване на Европейски орган по труда, за изменение на регламенти (ЕО) № 883/2004, (ЕС) № 492/2011 и (ЕС) 2016/589 и за отмяна на Решение (ЕС) 2016/344</w:t>
      </w:r>
      <w:r w:rsidRPr="00B84F91">
        <w:rPr>
          <w:rStyle w:val="FootnoteReference"/>
        </w:rPr>
        <w:footnoteReference w:id="185"/>
      </w:r>
      <w:r w:rsidRPr="00B84F91">
        <w:t>, и по-специално член 28 от него,</w:t>
      </w:r>
    </w:p>
    <w:p w14:paraId="2BDF0E70"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186"/>
      </w:r>
      <w:r w:rsidRPr="00B84F91">
        <w:t xml:space="preserve">, и по-специално </w:t>
      </w:r>
      <w:r w:rsidRPr="00B84F91">
        <w:lastRenderedPageBreak/>
        <w:t>член 105 от него,</w:t>
      </w:r>
    </w:p>
    <w:p w14:paraId="2739A546"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698625F3"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5A6ACBF8"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4E1FCA20" w14:textId="77777777" w:rsidR="004D1A97" w:rsidRPr="00B84F91" w:rsidRDefault="004D1A97" w:rsidP="004D1A97">
      <w:pPr>
        <w:pStyle w:val="NormalHanging12a"/>
      </w:pPr>
      <w:r w:rsidRPr="00B84F91">
        <w:t>1.</w:t>
      </w:r>
      <w:r w:rsidRPr="00B84F91">
        <w:tab/>
        <w:t>освобождава от отговорност изпълнителния директор на Европейския орган по труда във връзка с изпълнението на бюджета на Органа за финансовата 2023 година;</w:t>
      </w:r>
    </w:p>
    <w:p w14:paraId="349A1015"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1567C308"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Европейския орган по труда,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48B1D5BC" w14:textId="77777777" w:rsidR="004D1A97" w:rsidRPr="00B84F91" w:rsidRDefault="004D1A97" w:rsidP="004D1A97"/>
    <w:p w14:paraId="6961603E" w14:textId="77777777" w:rsidR="004D1A97" w:rsidRPr="00B84F91" w:rsidRDefault="004D1A97" w:rsidP="004D1A97">
      <w:pPr>
        <w:pStyle w:val="PageHeadingDec"/>
        <w:sectPr w:rsidR="004D1A97" w:rsidRPr="00B84F91" w:rsidSect="00B84F91">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B60749" w14:textId="77777777" w:rsidR="006142BC" w:rsidRDefault="006142BC" w:rsidP="006142BC">
      <w:pPr>
        <w:pStyle w:val="ATHeading3"/>
      </w:pPr>
      <w:r>
        <w:lastRenderedPageBreak/>
        <w:t>32. Решение на Европейския парламент от 7 май 2025 г. относно приключването на сметките на Европейския орган по труда за финансовата 2023 година (2024/2030(DEC))</w:t>
      </w:r>
    </w:p>
    <w:p w14:paraId="7D425069" w14:textId="77777777" w:rsidR="004D1A97" w:rsidRPr="00B84F91" w:rsidRDefault="004D1A97" w:rsidP="004D1A97">
      <w:pPr>
        <w:pStyle w:val="EPComma"/>
      </w:pPr>
      <w:r w:rsidRPr="00B84F91">
        <w:rPr>
          <w:i/>
        </w:rPr>
        <w:t>Европейският парламент</w:t>
      </w:r>
      <w:r w:rsidRPr="00B84F91">
        <w:t>,</w:t>
      </w:r>
    </w:p>
    <w:p w14:paraId="7413C4A0"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орган по труда за финансовата 2023 година,</w:t>
      </w:r>
    </w:p>
    <w:p w14:paraId="356B3153"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87"/>
      </w:r>
      <w:r w:rsidRPr="00B84F91">
        <w:t>,</w:t>
      </w:r>
    </w:p>
    <w:p w14:paraId="6C501916"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188"/>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57DF5C53"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Органа във връзка с изпълнението на бюджета за финансовата 2023 година (05755/2025 – C10</w:t>
      </w:r>
      <w:r w:rsidRPr="00B84F91">
        <w:noBreakHyphen/>
        <w:t>0024/2025),</w:t>
      </w:r>
    </w:p>
    <w:p w14:paraId="2EE5B565"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3D6CA3FB"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189"/>
      </w:r>
      <w:r w:rsidRPr="00B84F91">
        <w:t>, и по-специално член 70 от него,</w:t>
      </w:r>
    </w:p>
    <w:p w14:paraId="0BDBA82F"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90"/>
      </w:r>
      <w:r w:rsidRPr="00B84F91">
        <w:t>, и по-специално член 70 от него,</w:t>
      </w:r>
    </w:p>
    <w:p w14:paraId="04CFB7F1" w14:textId="77777777" w:rsidR="004D1A97" w:rsidRPr="00B84F91" w:rsidRDefault="004D1A97" w:rsidP="004D1A97">
      <w:pPr>
        <w:pStyle w:val="NormalHanging12a"/>
      </w:pPr>
      <w:r w:rsidRPr="00B84F91">
        <w:t>–</w:t>
      </w:r>
      <w:r w:rsidRPr="00B84F91">
        <w:tab/>
        <w:t>като взе предвид Регламент (ЕС) 2019/1149 на Европейския парламент и на Съвета от 20 юни 2019 г. за създаване на Европейски орган по труда, за изменение на регламенти (ЕО) № 883/2004, (ЕС) № 492/2011 и (ЕС) 2016/589 и за отмяна на Решение (ЕС) 2016/344</w:t>
      </w:r>
      <w:r w:rsidRPr="00B84F91">
        <w:rPr>
          <w:rStyle w:val="FootnoteReference"/>
        </w:rPr>
        <w:footnoteReference w:id="191"/>
      </w:r>
      <w:r w:rsidRPr="00B84F91">
        <w:t>, и по-специално член 28 от него,</w:t>
      </w:r>
    </w:p>
    <w:p w14:paraId="2FD05A1D"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192"/>
      </w:r>
      <w:r w:rsidRPr="00B84F91">
        <w:t xml:space="preserve">, и по-специално </w:t>
      </w:r>
      <w:r w:rsidRPr="00B84F91">
        <w:lastRenderedPageBreak/>
        <w:t>член 105 от него,</w:t>
      </w:r>
    </w:p>
    <w:p w14:paraId="671DE1E6"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00702CD2"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6A7415DB"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02775ACA" w14:textId="77777777" w:rsidR="004D1A97" w:rsidRPr="00B84F91" w:rsidRDefault="004D1A97" w:rsidP="004D1A97">
      <w:pPr>
        <w:pStyle w:val="NormalHanging12a"/>
      </w:pPr>
      <w:r w:rsidRPr="00B84F91">
        <w:t>1.</w:t>
      </w:r>
      <w:r w:rsidRPr="00B84F91">
        <w:tab/>
        <w:t>одобрява приключването на сметките на Европейския орган по труда за финансовата 2023 година;</w:t>
      </w:r>
    </w:p>
    <w:p w14:paraId="37E2A95C"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изпълнителния директор на Европейския орган по труда,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0D880E30" w14:textId="77777777" w:rsidR="004D1A97" w:rsidRPr="00B84F91" w:rsidRDefault="004D1A97" w:rsidP="004D1A97"/>
    <w:p w14:paraId="3794F0CC" w14:textId="77777777" w:rsidR="004D1A97" w:rsidRPr="00B84F91" w:rsidRDefault="004D1A97" w:rsidP="004D1A97"/>
    <w:p w14:paraId="67E6A623" w14:textId="77777777" w:rsidR="004D1A97" w:rsidRPr="00B84F91" w:rsidRDefault="004D1A97" w:rsidP="004D1A97">
      <w:pPr>
        <w:pStyle w:val="PageHeadingDec"/>
        <w:sectPr w:rsidR="004D1A97" w:rsidRPr="00B84F91" w:rsidSect="00B84F91">
          <w:footerReference w:type="first" r:id="rId4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680795D" w14:textId="77777777" w:rsidR="006142BC" w:rsidRDefault="006142BC" w:rsidP="006142BC">
      <w:pPr>
        <w:pStyle w:val="ATHeading3"/>
      </w:pPr>
      <w:r>
        <w:lastRenderedPageBreak/>
        <w:t>33. Решение на Европейския парламент от 7 май 2025 г. относно освобождаването от отговорност във връзка с изпълнението на бюджета на Европейската агенция по лекарствата за финансовата 2023 година (2024/2030(DEC))</w:t>
      </w:r>
    </w:p>
    <w:p w14:paraId="59BCA6CC" w14:textId="77777777" w:rsidR="004D1A97" w:rsidRPr="00B84F91" w:rsidRDefault="004D1A97" w:rsidP="004D1A97">
      <w:pPr>
        <w:pStyle w:val="EPComma"/>
      </w:pPr>
      <w:r w:rsidRPr="00B84F91">
        <w:rPr>
          <w:i/>
        </w:rPr>
        <w:t>Европейският парламент</w:t>
      </w:r>
      <w:r w:rsidRPr="00B84F91">
        <w:t>,</w:t>
      </w:r>
    </w:p>
    <w:p w14:paraId="3557BAEC"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Европейската агенция по лекарствата за финансовата 2023 година,</w:t>
      </w:r>
    </w:p>
    <w:p w14:paraId="01AACF46"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93"/>
      </w:r>
      <w:r w:rsidRPr="00B84F91">
        <w:t>,</w:t>
      </w:r>
    </w:p>
    <w:p w14:paraId="10DE5440"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194"/>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3C52C7FC"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4ECEE9E2"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72EF6D0C"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195"/>
      </w:r>
      <w:r w:rsidRPr="00B84F91">
        <w:t>, и по-специално член 70 от него,</w:t>
      </w:r>
    </w:p>
    <w:p w14:paraId="66375F6A"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196"/>
      </w:r>
      <w:r w:rsidRPr="00B84F91">
        <w:t>, и по-специално член 70 от него,</w:t>
      </w:r>
    </w:p>
    <w:p w14:paraId="755461A9" w14:textId="77777777" w:rsidR="004D1A97" w:rsidRPr="00B84F91" w:rsidRDefault="004D1A97" w:rsidP="004D1A97">
      <w:pPr>
        <w:pStyle w:val="NormalHanging12a"/>
      </w:pPr>
      <w:r w:rsidRPr="00B84F91">
        <w:t>–</w:t>
      </w:r>
      <w:r w:rsidRPr="00B84F91">
        <w:tab/>
        <w:t>като взе предвид Регламент (ЕО) № 726/2004 на Европейския парламент и на Съвета от 31 март 2004 г. за установяване на процедури на Съюза за разрешаване и контрол на лекарствени продукти за хуманна употреба и за създаване на Европейска агенция по лекарствата</w:t>
      </w:r>
      <w:r w:rsidRPr="00B84F91">
        <w:rPr>
          <w:rStyle w:val="FootnoteReference"/>
        </w:rPr>
        <w:footnoteReference w:id="197"/>
      </w:r>
      <w:r w:rsidRPr="00B84F91">
        <w:t>, и по-специално член 68 от него,</w:t>
      </w:r>
    </w:p>
    <w:p w14:paraId="41338FC6"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198"/>
      </w:r>
      <w:r w:rsidRPr="00B84F91">
        <w:t xml:space="preserve">, и по-специално </w:t>
      </w:r>
      <w:r w:rsidRPr="00B84F91">
        <w:lastRenderedPageBreak/>
        <w:t>член 105 от него,</w:t>
      </w:r>
    </w:p>
    <w:p w14:paraId="721F70AC"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3B327D35"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1AFA2483"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0957694B" w14:textId="77777777" w:rsidR="004D1A97" w:rsidRPr="00B84F91" w:rsidRDefault="004D1A97" w:rsidP="004D1A97">
      <w:pPr>
        <w:pStyle w:val="NormalHanging12a"/>
      </w:pPr>
      <w:r w:rsidRPr="00B84F91">
        <w:t>1.</w:t>
      </w:r>
      <w:r w:rsidRPr="00B84F91">
        <w:tab/>
        <w:t>освобождава от отговорност изпълнителния директор на Европейската агенция по лекарствата във връзка с изпълнението на бюджета на Агенцията за финансовата 2023 година;</w:t>
      </w:r>
    </w:p>
    <w:p w14:paraId="796F2275"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3789D5E5"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по лекарствата,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3DDF818A" w14:textId="77777777" w:rsidR="004D1A97" w:rsidRPr="00B84F91" w:rsidRDefault="004D1A97" w:rsidP="004D1A97"/>
    <w:p w14:paraId="427972AF" w14:textId="77777777" w:rsidR="004D1A97" w:rsidRPr="00B84F91" w:rsidRDefault="004D1A97" w:rsidP="004D1A97">
      <w:pPr>
        <w:pStyle w:val="PageHeadingDec"/>
        <w:sectPr w:rsidR="004D1A97" w:rsidRPr="00B84F91" w:rsidSect="00B84F91">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317E76" w14:textId="77777777" w:rsidR="006142BC" w:rsidRDefault="006142BC" w:rsidP="006142BC">
      <w:pPr>
        <w:pStyle w:val="ATHeading3"/>
      </w:pPr>
      <w:r>
        <w:lastRenderedPageBreak/>
        <w:t>34. Решение на Европейския парламент от 7 май 2025 г. относно приключването на сметките на Европейската агенция по лекарствата за финансовата 2023 година (2024/2030(DEC))</w:t>
      </w:r>
    </w:p>
    <w:p w14:paraId="2DCD5B5F" w14:textId="77777777" w:rsidR="004D1A97" w:rsidRPr="00B84F91" w:rsidRDefault="004D1A97" w:rsidP="004D1A97">
      <w:pPr>
        <w:pStyle w:val="EPComma"/>
      </w:pPr>
      <w:r w:rsidRPr="00B84F91">
        <w:rPr>
          <w:i/>
        </w:rPr>
        <w:t>Европейският парламент</w:t>
      </w:r>
      <w:r w:rsidRPr="00B84F91">
        <w:t>,</w:t>
      </w:r>
    </w:p>
    <w:p w14:paraId="3A371192"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Европейската агенция по лекарствата за финансовата 2023 година,</w:t>
      </w:r>
    </w:p>
    <w:p w14:paraId="6DA9E182"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199"/>
      </w:r>
      <w:r w:rsidRPr="00B84F91">
        <w:t>,</w:t>
      </w:r>
    </w:p>
    <w:p w14:paraId="293D1F68"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00"/>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28EA90E7"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49C5C9A1"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43D50BEA"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01"/>
      </w:r>
      <w:r w:rsidRPr="00B84F91">
        <w:t>, и по-специално член 70 от него,</w:t>
      </w:r>
    </w:p>
    <w:p w14:paraId="5F36F576"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02"/>
      </w:r>
      <w:r w:rsidRPr="00B84F91">
        <w:t>, и по-специално член 70 от него,</w:t>
      </w:r>
    </w:p>
    <w:p w14:paraId="5A738775" w14:textId="77777777" w:rsidR="004D1A97" w:rsidRPr="00B84F91" w:rsidRDefault="004D1A97" w:rsidP="004D1A97">
      <w:pPr>
        <w:pStyle w:val="NormalHanging12a"/>
      </w:pPr>
      <w:r w:rsidRPr="00B84F91">
        <w:t>–</w:t>
      </w:r>
      <w:r w:rsidRPr="00B84F91">
        <w:tab/>
        <w:t>като взе предвид Регламент (ЕО) № 726/2004 на Европейския парламент и на Съвета от 31 март 2004 г. за установяване на процедури на Съюза за разрешаване и контрол на лекарствени продукти за хуманна употреба и за създаване на Европейска агенция по лекарствата</w:t>
      </w:r>
      <w:r w:rsidRPr="00B84F91">
        <w:rPr>
          <w:rStyle w:val="FootnoteReference"/>
        </w:rPr>
        <w:footnoteReference w:id="203"/>
      </w:r>
      <w:r w:rsidRPr="00B84F91">
        <w:t>, и по-специално член 68 от него,</w:t>
      </w:r>
    </w:p>
    <w:p w14:paraId="1D207A4F"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204"/>
      </w:r>
      <w:r w:rsidRPr="00B84F91">
        <w:t xml:space="preserve">, и по-специално </w:t>
      </w:r>
      <w:r w:rsidRPr="00B84F91">
        <w:lastRenderedPageBreak/>
        <w:t>член 105 от него,</w:t>
      </w:r>
    </w:p>
    <w:p w14:paraId="0200E445"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7741EE0D"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37565167"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057D9D62" w14:textId="77777777" w:rsidR="004D1A97" w:rsidRPr="00B84F91" w:rsidRDefault="004D1A97" w:rsidP="004D1A97">
      <w:pPr>
        <w:pStyle w:val="NormalHanging12a"/>
      </w:pPr>
      <w:r w:rsidRPr="00B84F91">
        <w:t>1.</w:t>
      </w:r>
      <w:r w:rsidRPr="00B84F91">
        <w:tab/>
        <w:t>одобрява приключването на сметките на Европейската агенция по лекарствата за финансовата 2023 година;</w:t>
      </w:r>
    </w:p>
    <w:p w14:paraId="3F0B7E96"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изпълнителния директор на Европейската агенция по лекарствата,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37040CFF" w14:textId="77777777" w:rsidR="004D1A97" w:rsidRPr="00B84F91" w:rsidRDefault="004D1A97" w:rsidP="004D1A97"/>
    <w:p w14:paraId="31735792" w14:textId="77777777" w:rsidR="004D1A97" w:rsidRPr="00B84F91" w:rsidRDefault="004D1A97" w:rsidP="004D1A97"/>
    <w:p w14:paraId="30F35A13" w14:textId="77777777" w:rsidR="004D1A97" w:rsidRPr="00B84F91" w:rsidRDefault="004D1A97" w:rsidP="004D1A97">
      <w:pPr>
        <w:pStyle w:val="PageHeadingDec"/>
        <w:sectPr w:rsidR="004D1A97" w:rsidRPr="00B84F91" w:rsidSect="00B84F91">
          <w:footerReference w:type="first" r:id="rId4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2D3632C" w14:textId="77777777" w:rsidR="006142BC" w:rsidRDefault="006142BC" w:rsidP="006142BC">
      <w:pPr>
        <w:pStyle w:val="ATHeading3"/>
      </w:pPr>
      <w:r>
        <w:lastRenderedPageBreak/>
        <w:t>35. Решение на Европейския парламент от 7 май 2025 г. относно освобождаването от отговорност във връзка с изпълнението на бюджета на Европейския център за мониторинг на наркотици и наркомании (понастоящем Агенция на Европейския съюз по наркотиците) за финансовата 2023 година (2024/2030(DEC))</w:t>
      </w:r>
    </w:p>
    <w:p w14:paraId="0290416A" w14:textId="77777777" w:rsidR="004D1A97" w:rsidRPr="00B84F91" w:rsidRDefault="004D1A97" w:rsidP="004D1A97">
      <w:pPr>
        <w:pStyle w:val="EPComma"/>
      </w:pPr>
      <w:r w:rsidRPr="00B84F91">
        <w:rPr>
          <w:i/>
        </w:rPr>
        <w:t>Европейският парламент</w:t>
      </w:r>
      <w:r w:rsidRPr="00B84F91">
        <w:t>,</w:t>
      </w:r>
    </w:p>
    <w:p w14:paraId="732A3C59"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център за мониторинг на наркотици и наркомании за финансовата 2023 година,</w:t>
      </w:r>
    </w:p>
    <w:p w14:paraId="365A260D"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205"/>
      </w:r>
      <w:r w:rsidRPr="00B84F91">
        <w:t>,</w:t>
      </w:r>
    </w:p>
    <w:p w14:paraId="3B729F82"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06"/>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375E0F73"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Центъра във връзка с изпълнението на бюджета за финансовата 2023 година (05755/2025 – C10</w:t>
      </w:r>
      <w:r w:rsidRPr="00B84F91">
        <w:noBreakHyphen/>
        <w:t>0024/2025),</w:t>
      </w:r>
    </w:p>
    <w:p w14:paraId="2E8384B9"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06876DCD"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07"/>
      </w:r>
      <w:r w:rsidRPr="00B84F91">
        <w:t>, и по-специално член 70 от него,</w:t>
      </w:r>
    </w:p>
    <w:p w14:paraId="148BF49E"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08"/>
      </w:r>
      <w:r w:rsidRPr="00B84F91">
        <w:t>, и по-специално член 70 от него,</w:t>
      </w:r>
    </w:p>
    <w:p w14:paraId="58340C24" w14:textId="77777777" w:rsidR="004D1A97" w:rsidRPr="00B84F91" w:rsidRDefault="004D1A97" w:rsidP="004D1A97">
      <w:pPr>
        <w:pStyle w:val="NormalHanging12a"/>
      </w:pPr>
      <w:r w:rsidRPr="00B84F91">
        <w:t>–</w:t>
      </w:r>
      <w:r w:rsidRPr="00B84F91">
        <w:tab/>
        <w:t>като взе предвид Регламент (ЕО) № 1920/2006 на Европейския парламент и на Съвета от 12 декември 2006 г. относно Европейския център за мониторинг на наркотици и наркомании</w:t>
      </w:r>
      <w:r w:rsidRPr="00B84F91">
        <w:rPr>
          <w:rStyle w:val="FootnoteReference"/>
        </w:rPr>
        <w:footnoteReference w:id="209"/>
      </w:r>
      <w:r w:rsidRPr="00B84F91">
        <w:t>, и по-специално член 15 от него,</w:t>
      </w:r>
    </w:p>
    <w:p w14:paraId="5FC2AA80" w14:textId="77777777" w:rsidR="004D1A97" w:rsidRPr="00B84F91" w:rsidRDefault="004D1A97" w:rsidP="004D1A97">
      <w:pPr>
        <w:pStyle w:val="NormalHanging12a"/>
      </w:pPr>
      <w:r w:rsidRPr="00B84F91">
        <w:t>–</w:t>
      </w:r>
      <w:r w:rsidRPr="00B84F91">
        <w:tab/>
        <w:t>като взе предвид Регламент (ЕС) 2023/1322 на Европейския парламент и на Съвета от 27 юни 2023 г. относно Агенцията на Европейския съюз по наркотиците (EUDA) и за отмяна на Регламент (ЕО) № 1920/2006</w:t>
      </w:r>
      <w:r w:rsidRPr="00B84F91">
        <w:rPr>
          <w:rStyle w:val="FootnoteReference"/>
        </w:rPr>
        <w:footnoteReference w:id="210"/>
      </w:r>
      <w:r w:rsidRPr="00B84F91">
        <w:t>, и по-специално член 41 от него,</w:t>
      </w:r>
    </w:p>
    <w:p w14:paraId="4A13E025" w14:textId="77777777" w:rsidR="004D1A97" w:rsidRPr="00B84F91" w:rsidRDefault="004D1A97" w:rsidP="004D1A97">
      <w:pPr>
        <w:pStyle w:val="NormalHanging12a"/>
      </w:pPr>
      <w:r w:rsidRPr="00B84F91">
        <w:lastRenderedPageBreak/>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211"/>
      </w:r>
      <w:r w:rsidRPr="00B84F91">
        <w:t>, и по-специално член 105 от него,</w:t>
      </w:r>
    </w:p>
    <w:p w14:paraId="778AB7A4"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1FB4045E"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5818524E"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381A511B" w14:textId="77777777" w:rsidR="004D1A97" w:rsidRPr="00B84F91" w:rsidRDefault="004D1A97" w:rsidP="004D1A97">
      <w:pPr>
        <w:pStyle w:val="NormalHanging12a"/>
      </w:pPr>
      <w:r w:rsidRPr="00B84F91">
        <w:t>1.</w:t>
      </w:r>
      <w:r w:rsidRPr="00B84F91">
        <w:tab/>
        <w:t>освобождава от отговорност директора на Агенцията на Европейския съюз по наркотиците във връзка с изпълнението на бюджета на Центъра за финансовата 2023 година;</w:t>
      </w:r>
    </w:p>
    <w:p w14:paraId="64A63952"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57F1E7B0"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директора на Агенцията на Европейския съюз по наркотиците,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7652302A" w14:textId="77777777" w:rsidR="004D1A97" w:rsidRPr="00B84F91" w:rsidRDefault="004D1A97" w:rsidP="004D1A97"/>
    <w:p w14:paraId="4A0EA44F" w14:textId="77777777" w:rsidR="004D1A97" w:rsidRPr="00B84F91" w:rsidRDefault="004D1A97" w:rsidP="004D1A97">
      <w:pPr>
        <w:pStyle w:val="PageHeadingDec"/>
        <w:sectPr w:rsidR="004D1A97" w:rsidRPr="00B84F91" w:rsidSect="00B84F91">
          <w:footerReference w:type="first" r:id="rId4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EC237A7" w14:textId="77777777" w:rsidR="006142BC" w:rsidRDefault="006142BC" w:rsidP="006142BC">
      <w:pPr>
        <w:pStyle w:val="ATHeading3"/>
      </w:pPr>
      <w:r>
        <w:lastRenderedPageBreak/>
        <w:t>36. Решение на Европейския парламент от 7 май 2025 г. относно освобождаването от отговорност във връзка с изпълнението на бюджета на Европейския център за мониторинг на наркотици и наркомании (понастоящем Агенция на Европейския съюз по наркотиците) за финансовата 2023 година (2024/2030(DEC))</w:t>
      </w:r>
    </w:p>
    <w:p w14:paraId="6BDDCA0C" w14:textId="77777777" w:rsidR="004D1A97" w:rsidRPr="00B84F91" w:rsidRDefault="004D1A97" w:rsidP="004D1A97">
      <w:pPr>
        <w:pStyle w:val="EPComma"/>
      </w:pPr>
      <w:r w:rsidRPr="00B84F91">
        <w:rPr>
          <w:i/>
        </w:rPr>
        <w:t>Европейският парламент</w:t>
      </w:r>
      <w:r w:rsidRPr="00B84F91">
        <w:t>,</w:t>
      </w:r>
    </w:p>
    <w:p w14:paraId="369D1A08"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център за мониторинг на наркотици и наркомании за финансовата 2023 година,</w:t>
      </w:r>
    </w:p>
    <w:p w14:paraId="43FC7F7F"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212"/>
      </w:r>
      <w:r w:rsidRPr="00B84F91">
        <w:t>,</w:t>
      </w:r>
    </w:p>
    <w:p w14:paraId="48B3F5C4"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13"/>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3AE836BF"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Центъра във връзка с изпълнението на бюджета за финансовата 2023 година (05755/2025 – C10</w:t>
      </w:r>
      <w:r w:rsidRPr="00B84F91">
        <w:noBreakHyphen/>
        <w:t>0024/2025),</w:t>
      </w:r>
    </w:p>
    <w:p w14:paraId="79890F5B"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1A1F0B53"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14"/>
      </w:r>
      <w:r w:rsidRPr="00B84F91">
        <w:t>, и по-специално член 70 от него,</w:t>
      </w:r>
    </w:p>
    <w:p w14:paraId="34022CF8"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15"/>
      </w:r>
      <w:r w:rsidRPr="00B84F91">
        <w:t>, и по-специално член 70 от него,</w:t>
      </w:r>
    </w:p>
    <w:p w14:paraId="5283FA50" w14:textId="77777777" w:rsidR="004D1A97" w:rsidRPr="00B84F91" w:rsidRDefault="004D1A97" w:rsidP="004D1A97">
      <w:pPr>
        <w:pStyle w:val="NormalHanging12a"/>
      </w:pPr>
      <w:r w:rsidRPr="00B84F91">
        <w:t>–</w:t>
      </w:r>
      <w:r w:rsidRPr="00B84F91">
        <w:tab/>
        <w:t>като взе предвид Регламент (ЕО) № 1920/2006 на Европейския парламент и на Съвета от 12 декември 2006 г. относно Европейския център за мониторинг на наркотици и наркомании</w:t>
      </w:r>
      <w:r w:rsidRPr="00B84F91">
        <w:rPr>
          <w:rStyle w:val="FootnoteReference"/>
        </w:rPr>
        <w:footnoteReference w:id="216"/>
      </w:r>
      <w:r w:rsidRPr="00B84F91">
        <w:t>, и по-специално член 15 от него,</w:t>
      </w:r>
    </w:p>
    <w:p w14:paraId="2C26AF32" w14:textId="77777777" w:rsidR="004D1A97" w:rsidRPr="00B84F91" w:rsidRDefault="004D1A97" w:rsidP="004D1A97">
      <w:pPr>
        <w:pStyle w:val="NormalHanging12a"/>
      </w:pPr>
      <w:r w:rsidRPr="00B84F91">
        <w:t>–</w:t>
      </w:r>
      <w:r w:rsidRPr="00B84F91">
        <w:tab/>
        <w:t>като взе предвид Регламент (ЕС) 2023/1322 на Европейския парламент и на Съвета от 27 юни 2023 г. относно Агенцията на Европейския съюз по наркотиците (EUDA) и за отмяна на Регламент (ЕО) № 1920/2006</w:t>
      </w:r>
      <w:r w:rsidRPr="00B84F91">
        <w:rPr>
          <w:rStyle w:val="FootnoteReference"/>
        </w:rPr>
        <w:footnoteReference w:id="217"/>
      </w:r>
      <w:r w:rsidRPr="00B84F91">
        <w:t>, и по-специално член 41 от него,</w:t>
      </w:r>
    </w:p>
    <w:p w14:paraId="631BECBA" w14:textId="77777777" w:rsidR="004D1A97" w:rsidRPr="00B84F91" w:rsidRDefault="004D1A97" w:rsidP="004D1A97">
      <w:pPr>
        <w:pStyle w:val="NormalHanging12a"/>
      </w:pPr>
      <w:r w:rsidRPr="00B84F91">
        <w:lastRenderedPageBreak/>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218"/>
      </w:r>
      <w:r w:rsidRPr="00B84F91">
        <w:t>, и по-специално член 105 от него,</w:t>
      </w:r>
    </w:p>
    <w:p w14:paraId="41557410"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06525126"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1EFFCF49"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56BFEB00" w14:textId="77777777" w:rsidR="004D1A97" w:rsidRPr="00B84F91" w:rsidRDefault="004D1A97" w:rsidP="004D1A97">
      <w:pPr>
        <w:pStyle w:val="NormalHanging12a"/>
      </w:pPr>
      <w:r w:rsidRPr="00B84F91">
        <w:t>1.</w:t>
      </w:r>
      <w:r w:rsidRPr="00B84F91">
        <w:tab/>
        <w:t>одобрява приключването на сметките на Европейския център за мониторинг на наркотици и наркомании за финансовата 2023 година;</w:t>
      </w:r>
    </w:p>
    <w:p w14:paraId="1BA743C8"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директора на Агенцията на Европейския съюз по наркотиците,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7AE00EE4" w14:textId="77777777" w:rsidR="004D1A97" w:rsidRPr="00B84F91" w:rsidRDefault="004D1A97" w:rsidP="004D1A97"/>
    <w:p w14:paraId="00A84CB9" w14:textId="77777777" w:rsidR="004D1A97" w:rsidRPr="00B84F91" w:rsidRDefault="004D1A97" w:rsidP="004D1A97"/>
    <w:p w14:paraId="53940D7A" w14:textId="77777777" w:rsidR="004D1A97" w:rsidRPr="00B84F91" w:rsidRDefault="004D1A97" w:rsidP="004D1A97">
      <w:pPr>
        <w:pStyle w:val="PageHeadingDec"/>
        <w:sectPr w:rsidR="004D1A97" w:rsidRPr="00B84F91" w:rsidSect="00B84F91">
          <w:footerReference w:type="first" r:id="rId4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1D5EAF8" w14:textId="77777777" w:rsidR="006142BC" w:rsidRDefault="006142BC" w:rsidP="006142BC">
      <w:pPr>
        <w:pStyle w:val="ATHeading3"/>
      </w:pPr>
      <w:r>
        <w:lastRenderedPageBreak/>
        <w:t>37. Решение на Европейския парламент от 7 май 2025 г. относно освобождаването от отговорност във връзка с изпълнението на бюджета на Европейската агенция по морска безопасност за финансовата 2023 година (2024/2030(DEC))</w:t>
      </w:r>
    </w:p>
    <w:p w14:paraId="36A415BE" w14:textId="77777777" w:rsidR="004D1A97" w:rsidRPr="00B84F91" w:rsidRDefault="004D1A97" w:rsidP="004D1A97">
      <w:pPr>
        <w:pStyle w:val="EPComma"/>
      </w:pPr>
      <w:r w:rsidRPr="00B84F91">
        <w:rPr>
          <w:i/>
        </w:rPr>
        <w:t>Европейският парламент</w:t>
      </w:r>
      <w:r w:rsidRPr="00B84F91">
        <w:t>,</w:t>
      </w:r>
    </w:p>
    <w:p w14:paraId="4FE2F85C"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Европейската агенция по морска безопасност за финансовата 2023 година,</w:t>
      </w:r>
    </w:p>
    <w:p w14:paraId="515EAF32"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219"/>
      </w:r>
      <w:r w:rsidRPr="00B84F91">
        <w:t>,</w:t>
      </w:r>
    </w:p>
    <w:p w14:paraId="3873FFD5"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20"/>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552A7315"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588DCB43"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52BBB2FD"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21"/>
      </w:r>
      <w:r w:rsidRPr="00B84F91">
        <w:t>, и по-специално член 70 от него,</w:t>
      </w:r>
    </w:p>
    <w:p w14:paraId="05CE7219"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22"/>
      </w:r>
      <w:r w:rsidRPr="00B84F91">
        <w:t>, и по-специално член 70 от него,</w:t>
      </w:r>
    </w:p>
    <w:p w14:paraId="5BFBE8EB" w14:textId="77777777" w:rsidR="004D1A97" w:rsidRPr="00B84F91" w:rsidRDefault="004D1A97" w:rsidP="004D1A97">
      <w:pPr>
        <w:pStyle w:val="NormalHanging12a"/>
      </w:pPr>
      <w:r w:rsidRPr="00B84F91">
        <w:t>–</w:t>
      </w:r>
      <w:r w:rsidRPr="00B84F91">
        <w:tab/>
        <w:t>като взе предвид Регламент (ЕО) № 1406/2002 на Европейския парламент и на Съвета от 27 юни 2002 г. за създаване на Европейска агенция за морска безопасност</w:t>
      </w:r>
      <w:r w:rsidRPr="00B84F91">
        <w:rPr>
          <w:rStyle w:val="FootnoteReference"/>
        </w:rPr>
        <w:footnoteReference w:id="223"/>
      </w:r>
      <w:r w:rsidRPr="00B84F91">
        <w:t>, и по-специално член 19 от него,</w:t>
      </w:r>
    </w:p>
    <w:p w14:paraId="6A237648"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224"/>
      </w:r>
      <w:r w:rsidRPr="00B84F91">
        <w:t>, и по-специално член 105 от него,</w:t>
      </w:r>
    </w:p>
    <w:p w14:paraId="6D7D8C1C" w14:textId="77777777" w:rsidR="004D1A97" w:rsidRPr="00B84F91" w:rsidRDefault="004D1A97" w:rsidP="004D1A97">
      <w:pPr>
        <w:pStyle w:val="NormalHanging12a"/>
      </w:pPr>
      <w:r w:rsidRPr="00B84F91">
        <w:lastRenderedPageBreak/>
        <w:t>–</w:t>
      </w:r>
      <w:r w:rsidRPr="00B84F91">
        <w:tab/>
        <w:t>като взе предвид член 102 и приложение V към своя Правилник за дейността,</w:t>
      </w:r>
    </w:p>
    <w:p w14:paraId="0474F3DB"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15BBB868"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5D9E28D3" w14:textId="77777777" w:rsidR="004D1A97" w:rsidRPr="00B84F91" w:rsidRDefault="004D1A97" w:rsidP="004D1A97">
      <w:pPr>
        <w:pStyle w:val="NormalHanging12a"/>
      </w:pPr>
      <w:r w:rsidRPr="00B84F91">
        <w:t>1.</w:t>
      </w:r>
      <w:r w:rsidRPr="00B84F91">
        <w:tab/>
        <w:t>освобождава от отговорност изпълнителния директор на Европейската агенция по морска безопасност във връзка с изпълнението на бюджета на Агенцията за финансовата 2023 година;</w:t>
      </w:r>
    </w:p>
    <w:p w14:paraId="17910597"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31902AA7"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по морска безопасност,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02C1165F" w14:textId="77777777" w:rsidR="004D1A97" w:rsidRPr="00B84F91" w:rsidRDefault="004D1A97" w:rsidP="004D1A97"/>
    <w:p w14:paraId="4483FBD9" w14:textId="77777777" w:rsidR="004D1A97" w:rsidRPr="00B84F91" w:rsidRDefault="004D1A97" w:rsidP="004D1A97">
      <w:pPr>
        <w:pStyle w:val="PageHeadingDec"/>
        <w:sectPr w:rsidR="004D1A97" w:rsidRPr="00B84F91" w:rsidSect="00B84F91">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619CA9" w14:textId="77777777" w:rsidR="006142BC" w:rsidRDefault="006142BC" w:rsidP="006142BC">
      <w:pPr>
        <w:pStyle w:val="ATHeading3"/>
      </w:pPr>
      <w:r>
        <w:lastRenderedPageBreak/>
        <w:t>38. Решение на Европейския парламент от 7 май 2025 г. относно приключването на сметките на Европейската агенция по морска безопасност за финансовата 2023 година (2024/2030(DEC))</w:t>
      </w:r>
    </w:p>
    <w:p w14:paraId="39C3CE4B" w14:textId="77777777" w:rsidR="004D1A97" w:rsidRPr="00B84F91" w:rsidRDefault="004D1A97" w:rsidP="004D1A97">
      <w:pPr>
        <w:pStyle w:val="EPComma"/>
      </w:pPr>
      <w:r w:rsidRPr="00B84F91">
        <w:rPr>
          <w:i/>
        </w:rPr>
        <w:t>Европейският парламент</w:t>
      </w:r>
      <w:r w:rsidRPr="00B84F91">
        <w:t>,</w:t>
      </w:r>
    </w:p>
    <w:p w14:paraId="27CDF75A"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Европейската агенция по морска безопасност за финансовата 2023 година,</w:t>
      </w:r>
    </w:p>
    <w:p w14:paraId="239704F3"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225"/>
      </w:r>
      <w:r w:rsidRPr="00B84F91">
        <w:t>,</w:t>
      </w:r>
    </w:p>
    <w:p w14:paraId="73A59C2A"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26"/>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3364F8CF"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43A9F949"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6ACD486C"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27"/>
      </w:r>
      <w:r w:rsidRPr="00B84F91">
        <w:t>, и по-специално член 70 от него,</w:t>
      </w:r>
    </w:p>
    <w:p w14:paraId="60604E72"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28"/>
      </w:r>
      <w:r w:rsidRPr="00B84F91">
        <w:t>, и по-специално член 70 от него,</w:t>
      </w:r>
    </w:p>
    <w:p w14:paraId="69AE44F3" w14:textId="77777777" w:rsidR="004D1A97" w:rsidRPr="00B84F91" w:rsidRDefault="004D1A97" w:rsidP="004D1A97">
      <w:pPr>
        <w:pStyle w:val="NormalHanging12a"/>
      </w:pPr>
      <w:r w:rsidRPr="00B84F91">
        <w:t>–</w:t>
      </w:r>
      <w:r w:rsidRPr="00B84F91">
        <w:tab/>
        <w:t>като взе предвид Регламент (ЕО) № 1406/2002 на Европейския парламент и на Съвета от 27 юни 2002 г. за създаване на Европейска агенция за морска безопасност</w:t>
      </w:r>
      <w:r w:rsidRPr="00B84F91">
        <w:rPr>
          <w:rStyle w:val="FootnoteReference"/>
        </w:rPr>
        <w:footnoteReference w:id="229"/>
      </w:r>
      <w:r w:rsidRPr="00B84F91">
        <w:t>, и по-специално член 19 от него,</w:t>
      </w:r>
    </w:p>
    <w:p w14:paraId="5D9820CD"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230"/>
      </w:r>
      <w:r w:rsidRPr="00B84F91">
        <w:t>, и по-специално член 105 от него,</w:t>
      </w:r>
    </w:p>
    <w:p w14:paraId="302F4259" w14:textId="77777777" w:rsidR="004D1A97" w:rsidRPr="00B84F91" w:rsidRDefault="004D1A97" w:rsidP="004D1A97">
      <w:pPr>
        <w:pStyle w:val="NormalHanging12a"/>
      </w:pPr>
      <w:r w:rsidRPr="00B84F91">
        <w:lastRenderedPageBreak/>
        <w:t>–</w:t>
      </w:r>
      <w:r w:rsidRPr="00B84F91">
        <w:tab/>
        <w:t>като взе предвид член 102 и приложение V към своя Правилник за дейността,</w:t>
      </w:r>
    </w:p>
    <w:p w14:paraId="20111D10"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4B94A24A"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2022C28F" w14:textId="77777777" w:rsidR="004D1A97" w:rsidRPr="00B84F91" w:rsidRDefault="004D1A97" w:rsidP="004D1A97">
      <w:pPr>
        <w:pStyle w:val="NormalHanging12a"/>
      </w:pPr>
      <w:r w:rsidRPr="00B84F91">
        <w:t>1.</w:t>
      </w:r>
      <w:r w:rsidRPr="00B84F91">
        <w:tab/>
        <w:t>одобрява приключването на сметките на Европейската агенция по морска безопасност за финансовата 2023 година;</w:t>
      </w:r>
    </w:p>
    <w:p w14:paraId="708E9AF9"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изпълнителния директор на Европейската агенция по морска безопасност,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29DC370C" w14:textId="77777777" w:rsidR="004D1A97" w:rsidRPr="00B84F91" w:rsidRDefault="004D1A97" w:rsidP="004D1A97"/>
    <w:p w14:paraId="0038931E" w14:textId="77777777" w:rsidR="004D1A97" w:rsidRPr="00B84F91" w:rsidRDefault="004D1A97" w:rsidP="004D1A97"/>
    <w:p w14:paraId="15708B84" w14:textId="77777777" w:rsidR="004D1A97" w:rsidRPr="00B84F91" w:rsidRDefault="004D1A97" w:rsidP="004D1A97">
      <w:pPr>
        <w:pStyle w:val="PageHeadingDec"/>
        <w:sectPr w:rsidR="004D1A97" w:rsidRPr="00B84F91" w:rsidSect="00B84F91">
          <w:footerReference w:type="first" r:id="rId4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9A5017A" w14:textId="77777777" w:rsidR="006142BC" w:rsidRDefault="006142BC" w:rsidP="006142BC">
      <w:pPr>
        <w:pStyle w:val="ATHeading3"/>
      </w:pPr>
      <w:r>
        <w:lastRenderedPageBreak/>
        <w:t>39. Решение на Европейския парламент от 7 май 2025 г. относно освобождаването от отговорност във връзка с изпълнението на бюджета на Агенцията на Европейския съюз за киберсигурност за финансовата 2023 година (2024/2030(DEC))</w:t>
      </w:r>
    </w:p>
    <w:p w14:paraId="6A3661D7" w14:textId="77777777" w:rsidR="004D1A97" w:rsidRPr="00B84F91" w:rsidRDefault="004D1A97" w:rsidP="004D1A97">
      <w:pPr>
        <w:pStyle w:val="EPComma"/>
      </w:pPr>
      <w:r w:rsidRPr="00B84F91">
        <w:rPr>
          <w:i/>
        </w:rPr>
        <w:t>Европейският парламент</w:t>
      </w:r>
      <w:r w:rsidRPr="00B84F91">
        <w:t>,</w:t>
      </w:r>
    </w:p>
    <w:p w14:paraId="4354742A"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на Европейския съюз за киберсигурност за финансовата 2023 година,</w:t>
      </w:r>
    </w:p>
    <w:p w14:paraId="19F9535D"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231"/>
      </w:r>
      <w:r w:rsidRPr="00B84F91">
        <w:t>,</w:t>
      </w:r>
    </w:p>
    <w:p w14:paraId="0CFFE40A"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32"/>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4FDC1186"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48991CDE"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34F54CA9"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33"/>
      </w:r>
      <w:r w:rsidRPr="00B84F91">
        <w:t>, и по-специално член 70 от него,</w:t>
      </w:r>
    </w:p>
    <w:p w14:paraId="418ACB55"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34"/>
      </w:r>
      <w:r w:rsidRPr="00B84F91">
        <w:t>, и по-специално член 70 от него,</w:t>
      </w:r>
    </w:p>
    <w:p w14:paraId="04A750DA" w14:textId="77777777" w:rsidR="004D1A97" w:rsidRPr="00B84F91" w:rsidRDefault="004D1A97" w:rsidP="004D1A97">
      <w:pPr>
        <w:pStyle w:val="NormalHanging12a"/>
      </w:pPr>
      <w:r w:rsidRPr="00B84F91">
        <w:t>–</w:t>
      </w:r>
      <w:r w:rsidRPr="00B84F91">
        <w:tab/>
        <w:t>като взе предвид Регламент (ЕС) 2019/881 на Европейския парламент и на Съвета от 17 април 2019 г. относно ENISA (Агенцията на Европейския съюз за киберсигурност) и сертифицирането на киберсигурността на информационните и комуникационните технологии, както и за отмяна на Регламент (ЕС) № 526/2013 (Акт за киберсигурността)</w:t>
      </w:r>
      <w:r w:rsidRPr="00B84F91">
        <w:rPr>
          <w:rStyle w:val="FootnoteReference"/>
        </w:rPr>
        <w:footnoteReference w:id="235"/>
      </w:r>
      <w:r w:rsidRPr="00B84F91">
        <w:t>, и по-специално член 31 от него,</w:t>
      </w:r>
    </w:p>
    <w:p w14:paraId="21D56DED" w14:textId="77777777" w:rsidR="004D1A97" w:rsidRPr="00B84F91" w:rsidRDefault="004D1A97" w:rsidP="004D1A97">
      <w:pPr>
        <w:pStyle w:val="NormalHanging12a"/>
      </w:pPr>
      <w:r w:rsidRPr="00B84F91">
        <w:t>–</w:t>
      </w:r>
      <w:r w:rsidRPr="00B84F91">
        <w:tab/>
        <w:t xml:space="preserve">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w:t>
      </w:r>
      <w:r w:rsidRPr="00B84F91">
        <w:lastRenderedPageBreak/>
        <w:t>(ЕС, Евратом) 2018/1046 на Европейския парламент и на Съвета</w:t>
      </w:r>
      <w:r w:rsidRPr="00B84F91">
        <w:rPr>
          <w:rStyle w:val="FootnoteReference"/>
        </w:rPr>
        <w:footnoteReference w:id="236"/>
      </w:r>
      <w:r w:rsidRPr="00B84F91">
        <w:t>, и по-специално член 105 от него,</w:t>
      </w:r>
    </w:p>
    <w:p w14:paraId="13E6CF74"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18B14B04"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6497A2EE"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2852736E" w14:textId="77777777" w:rsidR="004D1A97" w:rsidRPr="00B84F91" w:rsidRDefault="004D1A97" w:rsidP="004D1A97">
      <w:pPr>
        <w:pStyle w:val="NormalHanging12a"/>
      </w:pPr>
      <w:r w:rsidRPr="00B84F91">
        <w:t>1.</w:t>
      </w:r>
      <w:r w:rsidRPr="00B84F91">
        <w:tab/>
        <w:t>освобождава от отговорност изпълнителния директор на Агенцията на Европейския съюз за киберсигурност във връзка с изпълнението на бюджета на Агенцията за финансовата 2023 година;</w:t>
      </w:r>
    </w:p>
    <w:p w14:paraId="7E231D2C"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24231580"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на Европейския съюз за киберсигурност,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70FC945B" w14:textId="77777777" w:rsidR="004D1A97" w:rsidRPr="00B84F91" w:rsidRDefault="004D1A97" w:rsidP="004D1A97"/>
    <w:p w14:paraId="24D4647E" w14:textId="77777777" w:rsidR="004D1A97" w:rsidRPr="00B84F91" w:rsidRDefault="004D1A97" w:rsidP="004D1A97">
      <w:pPr>
        <w:pStyle w:val="PageHeadingDec"/>
        <w:sectPr w:rsidR="004D1A97" w:rsidRPr="00B84F91" w:rsidSect="00B84F91">
          <w:footerReference w:type="first" r:id="rId4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1FEBF3" w14:textId="77777777" w:rsidR="006142BC" w:rsidRDefault="006142BC" w:rsidP="006142BC">
      <w:pPr>
        <w:pStyle w:val="ATHeading3"/>
      </w:pPr>
      <w:r>
        <w:lastRenderedPageBreak/>
        <w:t>40. Решение на Европейския парламент от 7 май 2025 г. относно приключването на сметките на Агенцията на Европейския съюз за киберсигурност за финансовата 2023 година (2024/2030(DEC))</w:t>
      </w:r>
    </w:p>
    <w:p w14:paraId="7AAB8943" w14:textId="77777777" w:rsidR="004D1A97" w:rsidRPr="00B84F91" w:rsidRDefault="004D1A97" w:rsidP="004D1A97">
      <w:pPr>
        <w:pStyle w:val="EPComma"/>
      </w:pPr>
      <w:r w:rsidRPr="00B84F91">
        <w:rPr>
          <w:i/>
        </w:rPr>
        <w:t>Европейският парламент</w:t>
      </w:r>
      <w:r w:rsidRPr="00B84F91">
        <w:t>,</w:t>
      </w:r>
    </w:p>
    <w:p w14:paraId="21BDD431"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на Европейския съюз за киберсигурност за финансовата 2023 година,</w:t>
      </w:r>
    </w:p>
    <w:p w14:paraId="0A822828"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237"/>
      </w:r>
      <w:r w:rsidRPr="00B84F91">
        <w:t>,</w:t>
      </w:r>
    </w:p>
    <w:p w14:paraId="3E4B3D87"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38"/>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67844A51"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5924034E"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559FA72B"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39"/>
      </w:r>
      <w:r w:rsidRPr="00B84F91">
        <w:t>, и по-специално член 70 от него,</w:t>
      </w:r>
    </w:p>
    <w:p w14:paraId="68DD02AC"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40"/>
      </w:r>
      <w:r w:rsidRPr="00B84F91">
        <w:t>, и по-специално член 70 от него,</w:t>
      </w:r>
    </w:p>
    <w:p w14:paraId="01BC6977" w14:textId="77777777" w:rsidR="004D1A97" w:rsidRPr="00B84F91" w:rsidRDefault="004D1A97" w:rsidP="004D1A97">
      <w:pPr>
        <w:pStyle w:val="NormalHanging12a"/>
      </w:pPr>
      <w:r w:rsidRPr="00B84F91">
        <w:t>–</w:t>
      </w:r>
      <w:r w:rsidRPr="00B84F91">
        <w:tab/>
        <w:t>като взе предвид Регламент (ЕС) 2019/881 на Европейския парламент и на Съвета от 17 април 2019 г. относно ENISA (Агенцията на Европейския съюз за киберсигурност) и сертифицирането на киберсигурността на информационните и комуникационните технологии, както и за отмяна на Регламент (ЕС) № 526/2013 (Акт за киберсигурността)</w:t>
      </w:r>
      <w:r w:rsidRPr="00B84F91">
        <w:rPr>
          <w:rStyle w:val="FootnoteReference"/>
        </w:rPr>
        <w:footnoteReference w:id="241"/>
      </w:r>
      <w:r w:rsidRPr="00B84F91">
        <w:t>, и по-специално член 31 от него,</w:t>
      </w:r>
    </w:p>
    <w:p w14:paraId="342699B4"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242"/>
      </w:r>
      <w:r w:rsidRPr="00B84F91">
        <w:t xml:space="preserve">, и по-специално </w:t>
      </w:r>
      <w:r w:rsidRPr="00B84F91">
        <w:lastRenderedPageBreak/>
        <w:t>член 105 от него,</w:t>
      </w:r>
    </w:p>
    <w:p w14:paraId="47E34CF5"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760C372E"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4DADDA4B"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219C4F62" w14:textId="77777777" w:rsidR="004D1A97" w:rsidRPr="00B84F91" w:rsidRDefault="004D1A97" w:rsidP="004D1A97">
      <w:pPr>
        <w:pStyle w:val="NormalHanging12a"/>
      </w:pPr>
      <w:r w:rsidRPr="00B84F91">
        <w:t>1.</w:t>
      </w:r>
      <w:r w:rsidRPr="00B84F91">
        <w:tab/>
        <w:t>одобрява приключването на сметките на Агенцията на Европейския съюз за киберсигурност за финансовата 2023 година;</w:t>
      </w:r>
    </w:p>
    <w:p w14:paraId="049E17CE"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изпълнителния директор на Агенцията на Европейския съюз за киберсигурност,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4003EBF7" w14:textId="77777777" w:rsidR="004D1A97" w:rsidRPr="00B84F91" w:rsidRDefault="004D1A97" w:rsidP="004D1A97"/>
    <w:p w14:paraId="71802A0F" w14:textId="77777777" w:rsidR="004D1A97" w:rsidRPr="00B84F91" w:rsidRDefault="004D1A97" w:rsidP="004D1A97"/>
    <w:p w14:paraId="5CDA7EA7" w14:textId="77777777" w:rsidR="004D1A97" w:rsidRPr="00B84F91" w:rsidRDefault="004D1A97" w:rsidP="004D1A97">
      <w:pPr>
        <w:pStyle w:val="PageHeadingDec"/>
        <w:sectPr w:rsidR="004D1A97" w:rsidRPr="00B84F91" w:rsidSect="00B84F91">
          <w:footerReference w:type="first" r:id="rId4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539BA96" w14:textId="77777777" w:rsidR="006142BC" w:rsidRDefault="006142BC" w:rsidP="006142BC">
      <w:pPr>
        <w:pStyle w:val="ATHeading3"/>
      </w:pPr>
      <w:r>
        <w:lastRenderedPageBreak/>
        <w:t>41. Решение на Европейския парламент от 7 май 2025 г. относно освобождаването от отговорност във връзка с изпълнението на бюджета на Агенцията за железопътен транспорт на Европейския съюз за финансовата 2023 година (2024/2030(DEC))</w:t>
      </w:r>
    </w:p>
    <w:p w14:paraId="52B7F83D" w14:textId="77777777" w:rsidR="004D1A97" w:rsidRPr="00B84F91" w:rsidRDefault="004D1A97" w:rsidP="004D1A97">
      <w:pPr>
        <w:pStyle w:val="EPComma"/>
      </w:pPr>
      <w:r w:rsidRPr="00B84F91">
        <w:rPr>
          <w:i/>
        </w:rPr>
        <w:t>Европейският парламент</w:t>
      </w:r>
      <w:r w:rsidRPr="00B84F91">
        <w:t>,</w:t>
      </w:r>
    </w:p>
    <w:p w14:paraId="76BB1DA4"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за железопътен транспорт на Европейския съюз за финансовата 2023 година,</w:t>
      </w:r>
    </w:p>
    <w:p w14:paraId="036D027C"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243"/>
      </w:r>
      <w:r w:rsidRPr="00B84F91">
        <w:t>,</w:t>
      </w:r>
    </w:p>
    <w:p w14:paraId="080503BA"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44"/>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436C9E48"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39011456"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7975FB75"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45"/>
      </w:r>
      <w:r w:rsidRPr="00B84F91">
        <w:t>, и по-специално член 70 от него,</w:t>
      </w:r>
    </w:p>
    <w:p w14:paraId="3E3CBE00"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46"/>
      </w:r>
      <w:r w:rsidRPr="00B84F91">
        <w:t>, и по-специално член 70 от него,</w:t>
      </w:r>
    </w:p>
    <w:p w14:paraId="3B51E1A3" w14:textId="77777777" w:rsidR="004D1A97" w:rsidRPr="00B84F91" w:rsidRDefault="004D1A97" w:rsidP="004D1A97">
      <w:pPr>
        <w:pStyle w:val="NormalHanging12a"/>
      </w:pPr>
      <w:r w:rsidRPr="00B84F91">
        <w:t>–</w:t>
      </w:r>
      <w:r w:rsidRPr="00B84F91">
        <w:tab/>
        <w:t>като взе предвид Регламент (ЕС) 2016/796 на Европейския парламент и на Съвета от 11 май 2016 г. относно Агенцията за железопътен транспорт на Европейския съюз и за отмяна на Регламент (ЕО) № 881/2004</w:t>
      </w:r>
      <w:r w:rsidRPr="00B84F91">
        <w:rPr>
          <w:rStyle w:val="FootnoteReference"/>
        </w:rPr>
        <w:footnoteReference w:id="247"/>
      </w:r>
      <w:r w:rsidRPr="00B84F91">
        <w:t>, и по-специално член 65 от него,</w:t>
      </w:r>
    </w:p>
    <w:p w14:paraId="4F4A09AC"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248"/>
      </w:r>
      <w:r w:rsidRPr="00B84F91">
        <w:t xml:space="preserve">, и по-специално </w:t>
      </w:r>
      <w:r w:rsidRPr="00B84F91">
        <w:lastRenderedPageBreak/>
        <w:t>член 105 от него,</w:t>
      </w:r>
    </w:p>
    <w:p w14:paraId="6661F50E"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570317AA"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2CAFBF15"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6D4258CD" w14:textId="77777777" w:rsidR="004D1A97" w:rsidRPr="00B84F91" w:rsidRDefault="004D1A97" w:rsidP="004D1A97">
      <w:pPr>
        <w:pStyle w:val="NormalHanging12a"/>
      </w:pPr>
      <w:r w:rsidRPr="00B84F91">
        <w:t>1.</w:t>
      </w:r>
      <w:r w:rsidRPr="00B84F91">
        <w:tab/>
        <w:t>освобождава от отговорност изпълнителния директор на Агенцията за железопътен транспорт на Европейския съюз във връзка с изпълнението на бюджета на Агенцията за финансовата 2023 година;</w:t>
      </w:r>
    </w:p>
    <w:p w14:paraId="255597F3"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5FB31945"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w:t>
      </w:r>
      <w:r w:rsidR="00D81D8B">
        <w:t xml:space="preserve">изпълняващия длъжността </w:t>
      </w:r>
      <w:r w:rsidRPr="00B84F91">
        <w:t>изпълнител</w:t>
      </w:r>
      <w:r w:rsidR="00D81D8B">
        <w:t>е</w:t>
      </w:r>
      <w:r w:rsidRPr="00B84F91">
        <w:t xml:space="preserve">н директор на Агенцията за железопътен транспорт на Европейския съюз,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74DD5DA8" w14:textId="77777777" w:rsidR="004D1A97" w:rsidRPr="00B84F91" w:rsidRDefault="004D1A97" w:rsidP="004D1A97"/>
    <w:p w14:paraId="6B5EDDF4" w14:textId="77777777" w:rsidR="004D1A97" w:rsidRPr="00B84F91" w:rsidRDefault="004D1A97" w:rsidP="004D1A97">
      <w:pPr>
        <w:pStyle w:val="PageHeadingDec"/>
        <w:sectPr w:rsidR="004D1A97" w:rsidRPr="00B84F91" w:rsidSect="00B84F91">
          <w:footerReference w:type="first" r:id="rId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175D772" w14:textId="77777777" w:rsidR="006142BC" w:rsidRDefault="006142BC" w:rsidP="006142BC">
      <w:pPr>
        <w:pStyle w:val="ATHeading3"/>
      </w:pPr>
      <w:r>
        <w:lastRenderedPageBreak/>
        <w:t>42. Решение на Европейския парламент от 7 май 2025 г. относно приключването на сметките на Агенцията за железопътен транспорт на Европейския съюз за финансовата 2023 година (2024/2030(DEC))</w:t>
      </w:r>
    </w:p>
    <w:p w14:paraId="10D7095B" w14:textId="77777777" w:rsidR="004D1A97" w:rsidRPr="00B84F91" w:rsidRDefault="004D1A97" w:rsidP="004D1A97">
      <w:pPr>
        <w:pStyle w:val="EPComma"/>
      </w:pPr>
      <w:r w:rsidRPr="00B84F91">
        <w:rPr>
          <w:i/>
        </w:rPr>
        <w:t>Европейският парламент</w:t>
      </w:r>
      <w:r w:rsidRPr="00B84F91">
        <w:t>,</w:t>
      </w:r>
    </w:p>
    <w:p w14:paraId="248EB2D7"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за железопътен транспорт на Европейския съюз за финансовата 2023 година,</w:t>
      </w:r>
    </w:p>
    <w:p w14:paraId="116FA039"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249"/>
      </w:r>
      <w:r w:rsidRPr="00B84F91">
        <w:t>,</w:t>
      </w:r>
    </w:p>
    <w:p w14:paraId="02627471"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50"/>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1619BC57"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745B0C4D"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63F3EDBE"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51"/>
      </w:r>
      <w:r w:rsidRPr="00B84F91">
        <w:t>, и по-специално член 70 от него,</w:t>
      </w:r>
    </w:p>
    <w:p w14:paraId="1FF470F6"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52"/>
      </w:r>
      <w:r w:rsidRPr="00B84F91">
        <w:t>, и по-специално член 70 от него,</w:t>
      </w:r>
    </w:p>
    <w:p w14:paraId="7F9E4629" w14:textId="77777777" w:rsidR="004D1A97" w:rsidRPr="00B84F91" w:rsidRDefault="004D1A97" w:rsidP="004D1A97">
      <w:pPr>
        <w:pStyle w:val="NormalHanging12a"/>
      </w:pPr>
      <w:r w:rsidRPr="00B84F91">
        <w:t>–</w:t>
      </w:r>
      <w:r w:rsidRPr="00B84F91">
        <w:tab/>
        <w:t>като взе предвид Регламент (ЕС) 2016/796 на Европейския парламент и на Съвета от 11 май 2016 г. относно Агенцията за железопътен транспорт на Европейския съюз и за отмяна на Регламент (ЕО) № 881/2004</w:t>
      </w:r>
      <w:r w:rsidRPr="00B84F91">
        <w:rPr>
          <w:rStyle w:val="FootnoteReference"/>
        </w:rPr>
        <w:footnoteReference w:id="253"/>
      </w:r>
      <w:r w:rsidRPr="00B84F91">
        <w:t>, и по-специално член 65 от него,</w:t>
      </w:r>
    </w:p>
    <w:p w14:paraId="75F686F5"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254"/>
      </w:r>
      <w:r w:rsidRPr="00B84F91">
        <w:t>, и по-специално член 105 от него,</w:t>
      </w:r>
    </w:p>
    <w:p w14:paraId="0DA44CC8" w14:textId="77777777" w:rsidR="004D1A97" w:rsidRPr="00B84F91" w:rsidRDefault="004D1A97" w:rsidP="004D1A97">
      <w:pPr>
        <w:pStyle w:val="NormalHanging12a"/>
      </w:pPr>
      <w:r w:rsidRPr="00B84F91">
        <w:lastRenderedPageBreak/>
        <w:t>–</w:t>
      </w:r>
      <w:r w:rsidRPr="00B84F91">
        <w:tab/>
        <w:t>като взе предвид член 102 и приложение V към своя Правилник за дейността,</w:t>
      </w:r>
    </w:p>
    <w:p w14:paraId="73225E28"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08832C01"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2B3BE56D" w14:textId="77777777" w:rsidR="004D1A97" w:rsidRPr="00B84F91" w:rsidRDefault="004D1A97" w:rsidP="004D1A97">
      <w:pPr>
        <w:pStyle w:val="NormalHanging12a"/>
      </w:pPr>
      <w:r w:rsidRPr="00B84F91">
        <w:t>1.</w:t>
      </w:r>
      <w:r w:rsidRPr="00B84F91">
        <w:tab/>
        <w:t>одобрява приключването на сметките на Агенцията за железопътен транспорт на Европейския съюз за финансовата 2023 година;</w:t>
      </w:r>
    </w:p>
    <w:p w14:paraId="33DD4FE1"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w:t>
      </w:r>
      <w:r w:rsidR="00D81D8B">
        <w:t xml:space="preserve">изпълняващия длъжността </w:t>
      </w:r>
      <w:r w:rsidRPr="00B84F91">
        <w:t>изпълнител</w:t>
      </w:r>
      <w:r w:rsidR="00D81D8B">
        <w:t>е</w:t>
      </w:r>
      <w:r w:rsidRPr="00B84F91">
        <w:t xml:space="preserve">н директор на Агенцията за железопътен транспорт на Европейския съюз,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4C4E36F1" w14:textId="77777777" w:rsidR="004D1A97" w:rsidRPr="00B84F91" w:rsidRDefault="004D1A97" w:rsidP="004D1A97"/>
    <w:p w14:paraId="6F9E8AF9" w14:textId="77777777" w:rsidR="004D1A97" w:rsidRPr="00B84F91" w:rsidRDefault="004D1A97" w:rsidP="004D1A97"/>
    <w:p w14:paraId="304660FA" w14:textId="77777777" w:rsidR="004D1A97" w:rsidRPr="00B84F91" w:rsidRDefault="004D1A97" w:rsidP="004D1A97">
      <w:pPr>
        <w:pStyle w:val="PageHeadingDec"/>
        <w:sectPr w:rsidR="004D1A97" w:rsidRPr="00B84F91" w:rsidSect="00B84F91">
          <w:footerReference w:type="first" r:id="rId5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7032DAA" w14:textId="77777777" w:rsidR="006142BC" w:rsidRDefault="006142BC" w:rsidP="006142BC">
      <w:pPr>
        <w:pStyle w:val="ATHeading3"/>
      </w:pPr>
      <w:r>
        <w:lastRenderedPageBreak/>
        <w:t>43. Решение на Европейския парламент от 7 май 2025 г. относно освобождаването от отговорност във връзка с изпълнението на бюджета на Агенцията за снабдяване към Евратом за финансовата 2023 година (2024/2030(DEC))</w:t>
      </w:r>
    </w:p>
    <w:p w14:paraId="6FFB9A3D" w14:textId="77777777" w:rsidR="004D1A97" w:rsidRPr="00B84F91" w:rsidRDefault="004D1A97" w:rsidP="004D1A97">
      <w:pPr>
        <w:pStyle w:val="EPComma"/>
      </w:pPr>
      <w:r w:rsidRPr="00B84F91">
        <w:rPr>
          <w:i/>
        </w:rPr>
        <w:t>Европейският парламент</w:t>
      </w:r>
      <w:r w:rsidRPr="00B84F91">
        <w:t>,</w:t>
      </w:r>
    </w:p>
    <w:p w14:paraId="2258FAF1"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за снабдяване към Евратом за финансовата 2023 година,</w:t>
      </w:r>
    </w:p>
    <w:p w14:paraId="4A9FAEDD"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255"/>
      </w:r>
      <w:r w:rsidRPr="00B84F91">
        <w:t>,</w:t>
      </w:r>
    </w:p>
    <w:p w14:paraId="6B0440C7"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56"/>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1D361319"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3E8762D9"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6AE80495" w14:textId="77777777" w:rsidR="004D1A97" w:rsidRPr="00B84F91" w:rsidRDefault="004D1A97" w:rsidP="004D1A97">
      <w:pPr>
        <w:pStyle w:val="NormalHanging12a"/>
      </w:pPr>
      <w:r w:rsidRPr="00B84F91">
        <w:t>–</w:t>
      </w:r>
      <w:r w:rsidRPr="00B84F91">
        <w:tab/>
        <w:t>като взе предвид член 106а от Договора за създаване на Европейската общност за атомна енергия,</w:t>
      </w:r>
    </w:p>
    <w:p w14:paraId="6204BB97"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57"/>
      </w:r>
      <w:r w:rsidRPr="00B84F91">
        <w:t>, и по-специално член 68 от него,</w:t>
      </w:r>
    </w:p>
    <w:p w14:paraId="6A9D8C9C"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58"/>
      </w:r>
      <w:r w:rsidRPr="00B84F91">
        <w:t>, и по-специално член 68 от него,</w:t>
      </w:r>
    </w:p>
    <w:p w14:paraId="39282712" w14:textId="77777777" w:rsidR="004D1A97" w:rsidRPr="00B84F91" w:rsidRDefault="004D1A97" w:rsidP="004D1A97">
      <w:pPr>
        <w:pStyle w:val="NormalHanging12a"/>
      </w:pPr>
      <w:r w:rsidRPr="00B84F91">
        <w:t>–</w:t>
      </w:r>
      <w:r w:rsidRPr="00B84F91">
        <w:tab/>
        <w:t>като взе предвид Решение 2008/114/EО, Евратом на Съвета от 12 февруари 2008 г. за създаване на устав на Агенцията за снабдяване към Евратом</w:t>
      </w:r>
      <w:r w:rsidRPr="00B84F91">
        <w:rPr>
          <w:rStyle w:val="FootnoteReference"/>
        </w:rPr>
        <w:footnoteReference w:id="259"/>
      </w:r>
      <w:r w:rsidRPr="00B84F91">
        <w:t>, и по-специално член 8 от приложението към него,</w:t>
      </w:r>
    </w:p>
    <w:p w14:paraId="546FB4AE"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5C735A90" w14:textId="77777777" w:rsidR="004D1A97" w:rsidRPr="00B84F91" w:rsidRDefault="004D1A97" w:rsidP="004D1A97">
      <w:pPr>
        <w:pStyle w:val="NormalHanging12a"/>
      </w:pPr>
      <w:r w:rsidRPr="00B84F91">
        <w:t>–</w:t>
      </w:r>
      <w:r w:rsidRPr="00B84F91">
        <w:tab/>
        <w:t xml:space="preserve">като взе предвид становищата на комисията по заетост и социални въпроси, комисията по околна среда, климат и безопасност на храните, комисията по </w:t>
      </w:r>
      <w:r w:rsidRPr="00B84F91">
        <w:lastRenderedPageBreak/>
        <w:t>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506640F8"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7DD75131" w14:textId="77777777" w:rsidR="004D1A97" w:rsidRPr="00B84F91" w:rsidRDefault="004D1A97" w:rsidP="004D1A97">
      <w:pPr>
        <w:pStyle w:val="NormalHanging12a"/>
      </w:pPr>
      <w:r w:rsidRPr="00B84F91">
        <w:t>1.</w:t>
      </w:r>
      <w:r w:rsidRPr="00B84F91">
        <w:tab/>
        <w:t>освобождава от отговорност генералния директор на Агенцията за снабдяване към Евратом във връзка с изпълнението на бюджета на Агенцията за финансовата 2023 година;</w:t>
      </w:r>
    </w:p>
    <w:p w14:paraId="4852C29B"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2A008D40"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генералния директор на Агенцията за снабдяване към Евратом,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72379B07" w14:textId="77777777" w:rsidR="004D1A97" w:rsidRPr="00B84F91" w:rsidRDefault="004D1A97" w:rsidP="004D1A97"/>
    <w:p w14:paraId="5A434005" w14:textId="77777777" w:rsidR="004D1A97" w:rsidRPr="00B84F91" w:rsidRDefault="004D1A97" w:rsidP="004D1A97">
      <w:pPr>
        <w:pStyle w:val="PageHeadingDec"/>
        <w:sectPr w:rsidR="004D1A97" w:rsidRPr="00B84F91" w:rsidSect="00B84F91">
          <w:footerReference w:type="first" r:id="rId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FBEFFB" w14:textId="77777777" w:rsidR="006142BC" w:rsidRDefault="006142BC" w:rsidP="006142BC">
      <w:pPr>
        <w:pStyle w:val="ATHeading3"/>
      </w:pPr>
      <w:r>
        <w:lastRenderedPageBreak/>
        <w:t>44. Решение на Европейския парламент от 7 май 2025 г. относно приключването на сметките на Агенцията за снабдяване към Евратом за финансовата 2023 година (2024/2030(DEC))</w:t>
      </w:r>
    </w:p>
    <w:p w14:paraId="3C326D2A" w14:textId="77777777" w:rsidR="004D1A97" w:rsidRPr="00B84F91" w:rsidRDefault="004D1A97" w:rsidP="004D1A97">
      <w:pPr>
        <w:pStyle w:val="EPComma"/>
      </w:pPr>
      <w:r w:rsidRPr="00B84F91">
        <w:rPr>
          <w:i/>
        </w:rPr>
        <w:t>Европейският парламент</w:t>
      </w:r>
      <w:r w:rsidRPr="00B84F91">
        <w:t>,</w:t>
      </w:r>
    </w:p>
    <w:p w14:paraId="7592BD32"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за снабдяване към Евратом за финансовата 2023 година,</w:t>
      </w:r>
    </w:p>
    <w:p w14:paraId="1971184F"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260"/>
      </w:r>
      <w:r w:rsidRPr="00B84F91">
        <w:t>,</w:t>
      </w:r>
    </w:p>
    <w:p w14:paraId="22BE4CF7"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61"/>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799B7765"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5C404B76"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299BCBC1" w14:textId="77777777" w:rsidR="004D1A97" w:rsidRPr="00B84F91" w:rsidRDefault="004D1A97" w:rsidP="004D1A97">
      <w:pPr>
        <w:pStyle w:val="NormalHanging12a"/>
      </w:pPr>
      <w:r w:rsidRPr="00B84F91">
        <w:t>–</w:t>
      </w:r>
      <w:r w:rsidRPr="00B84F91">
        <w:tab/>
        <w:t>като взе предвид член 106а от Договора за създаване на Европейската общност за атомна енергия,</w:t>
      </w:r>
    </w:p>
    <w:p w14:paraId="58E47571"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62"/>
      </w:r>
      <w:r w:rsidRPr="00B84F91">
        <w:t>, и по-специално член 68 от него,</w:t>
      </w:r>
    </w:p>
    <w:p w14:paraId="4F7A5115"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63"/>
      </w:r>
      <w:r w:rsidRPr="00B84F91">
        <w:t>, и по-специално член 68 от него,</w:t>
      </w:r>
    </w:p>
    <w:p w14:paraId="22857516" w14:textId="77777777" w:rsidR="004D1A97" w:rsidRPr="00B84F91" w:rsidRDefault="004D1A97" w:rsidP="004D1A97">
      <w:pPr>
        <w:pStyle w:val="NormalHanging12a"/>
      </w:pPr>
      <w:r w:rsidRPr="00B84F91">
        <w:t>–</w:t>
      </w:r>
      <w:r w:rsidRPr="00B84F91">
        <w:tab/>
        <w:t>като взе предвид Решение 2008/114/EО, Евратом на Съвета от 12 февруари 2008 г. за създаване на устав на Агенцията за снабдяване към Евратом</w:t>
      </w:r>
      <w:r w:rsidRPr="00B84F91">
        <w:rPr>
          <w:rStyle w:val="FootnoteReference"/>
        </w:rPr>
        <w:footnoteReference w:id="264"/>
      </w:r>
      <w:r w:rsidRPr="00B84F91">
        <w:t>, и по-специално член 8 от приложението към него,</w:t>
      </w:r>
    </w:p>
    <w:p w14:paraId="74E99A64"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40D4E085" w14:textId="77777777" w:rsidR="004D1A97" w:rsidRPr="00B84F91" w:rsidRDefault="004D1A97" w:rsidP="004D1A97">
      <w:pPr>
        <w:pStyle w:val="NormalHanging12a"/>
      </w:pPr>
      <w:r w:rsidRPr="00B84F91">
        <w:t>–</w:t>
      </w:r>
      <w:r w:rsidRPr="00B84F91">
        <w:tab/>
        <w:t xml:space="preserve">като взе предвид становищата на комисията по заетост и социални въпроси, комисията по околна среда, климат и безопасност на храните, комисията по </w:t>
      </w:r>
      <w:r w:rsidRPr="00B84F91">
        <w:lastRenderedPageBreak/>
        <w:t>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41B62143"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0326E41B" w14:textId="77777777" w:rsidR="004D1A97" w:rsidRPr="00B84F91" w:rsidRDefault="004D1A97" w:rsidP="004D1A97">
      <w:pPr>
        <w:pStyle w:val="NormalHanging12a"/>
      </w:pPr>
      <w:r w:rsidRPr="00B84F91">
        <w:t>1.</w:t>
      </w:r>
      <w:r w:rsidRPr="00B84F91">
        <w:tab/>
        <w:t>одобрява приключването на сметките на Агенцията за снабдяване към Евратом за финансовата 2023 година;</w:t>
      </w:r>
    </w:p>
    <w:p w14:paraId="06098E58"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генералния директор на Агенцията за снабдяване към Евратом,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37A671BB" w14:textId="77777777" w:rsidR="004D1A97" w:rsidRPr="00B84F91" w:rsidRDefault="004D1A97" w:rsidP="004D1A97"/>
    <w:p w14:paraId="0765E067" w14:textId="77777777" w:rsidR="004D1A97" w:rsidRPr="00B84F91" w:rsidRDefault="004D1A97" w:rsidP="004D1A97"/>
    <w:p w14:paraId="6A5E92ED" w14:textId="77777777" w:rsidR="004D1A97" w:rsidRPr="00B84F91" w:rsidRDefault="004D1A97" w:rsidP="004D1A97">
      <w:pPr>
        <w:pStyle w:val="PageHeadingDec"/>
        <w:sectPr w:rsidR="004D1A97" w:rsidRPr="00B84F91" w:rsidSect="00B84F91">
          <w:footerReference w:type="first" r:id="rId5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9378130" w14:textId="77777777" w:rsidR="006142BC" w:rsidRDefault="006142BC" w:rsidP="006142BC">
      <w:pPr>
        <w:pStyle w:val="ATHeading3"/>
      </w:pPr>
      <w:r>
        <w:lastRenderedPageBreak/>
        <w:t>45. Решение на Европейския парламент от 7 май 2025 г. относно освобождаването от отговорност във връзка с изпълнението на бюджета на Европейския орган за ценни книжа и пазари за финансовата 2023 година (2024/2030(DEC))</w:t>
      </w:r>
    </w:p>
    <w:p w14:paraId="7163E846" w14:textId="77777777" w:rsidR="004D1A97" w:rsidRPr="00B84F91" w:rsidRDefault="004D1A97" w:rsidP="004D1A97">
      <w:pPr>
        <w:pStyle w:val="EPComma"/>
      </w:pPr>
      <w:r w:rsidRPr="00B84F91">
        <w:rPr>
          <w:i/>
        </w:rPr>
        <w:t>Европейският парламент</w:t>
      </w:r>
      <w:r w:rsidRPr="00B84F91">
        <w:t>,</w:t>
      </w:r>
    </w:p>
    <w:p w14:paraId="20D2BD78"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орган за ценни книжа и пазари за финансовата 2023 година,</w:t>
      </w:r>
    </w:p>
    <w:p w14:paraId="4FBB57C5"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265"/>
      </w:r>
      <w:r w:rsidRPr="00B84F91">
        <w:t>,</w:t>
      </w:r>
    </w:p>
    <w:p w14:paraId="6122FCBA"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66"/>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16465572"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Органа във връзка с изпълнението на бюджета за финансовата 2023 година (05755/2025 – C10</w:t>
      </w:r>
      <w:r w:rsidRPr="00B84F91">
        <w:noBreakHyphen/>
        <w:t>0024/2025),</w:t>
      </w:r>
    </w:p>
    <w:p w14:paraId="2348C325"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397315EB"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67"/>
      </w:r>
      <w:r w:rsidRPr="00B84F91">
        <w:t>, и по-специално член 70 от него,</w:t>
      </w:r>
    </w:p>
    <w:p w14:paraId="0F1CAA0C"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68"/>
      </w:r>
      <w:r w:rsidRPr="00B84F91">
        <w:t>, и по-специално член 70 от него,</w:t>
      </w:r>
    </w:p>
    <w:p w14:paraId="59B44162" w14:textId="77777777" w:rsidR="004D1A97" w:rsidRPr="00B84F91" w:rsidRDefault="004D1A97" w:rsidP="004D1A97">
      <w:pPr>
        <w:pStyle w:val="NormalHanging12a"/>
      </w:pPr>
      <w:r w:rsidRPr="00B84F91">
        <w:t>–</w:t>
      </w:r>
      <w:r w:rsidRPr="00B84F91">
        <w:tab/>
        <w:t>като взе предвид Регламент (ЕС) № 1095/2010 на Европейския парламент и на Съвета от 24 ноември 2010 г. за създаване на Европейски надзорен орган (Европейски орган за ценни книжа и пазари), за изменение на Решение № 716/2009/ЕО и за отмяна на Решение 2009/77/ЕО на Комисията</w:t>
      </w:r>
      <w:r w:rsidRPr="00B84F91">
        <w:rPr>
          <w:rStyle w:val="FootnoteReference"/>
        </w:rPr>
        <w:footnoteReference w:id="269"/>
      </w:r>
      <w:r w:rsidRPr="00B84F91">
        <w:t>, и по-специално член 64 от него,</w:t>
      </w:r>
    </w:p>
    <w:p w14:paraId="733D4130"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270"/>
      </w:r>
      <w:r w:rsidRPr="00B84F91">
        <w:t xml:space="preserve">, и по-специално </w:t>
      </w:r>
      <w:r w:rsidRPr="00B84F91">
        <w:lastRenderedPageBreak/>
        <w:t>член 105 от него,</w:t>
      </w:r>
    </w:p>
    <w:p w14:paraId="0FFAC08E"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21B9D3A4"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70F8FC10"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1AEAE894" w14:textId="77777777" w:rsidR="004D1A97" w:rsidRPr="00B84F91" w:rsidRDefault="004D1A97" w:rsidP="004D1A97">
      <w:pPr>
        <w:pStyle w:val="NormalHanging12a"/>
      </w:pPr>
      <w:r w:rsidRPr="00B84F91">
        <w:t>1.</w:t>
      </w:r>
      <w:r w:rsidRPr="00B84F91">
        <w:tab/>
        <w:t>освобождава от отговорност изпълнителния директор на Европейския орган за ценни книжа и пазари във връзка с изпълнението на бюджета на Органа за финансовата 2023 година;</w:t>
      </w:r>
    </w:p>
    <w:p w14:paraId="40E9257F"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4B5047A9"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Европейския орган за ценни книжа и пазари,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61DA0605" w14:textId="77777777" w:rsidR="004D1A97" w:rsidRPr="00B84F91" w:rsidRDefault="004D1A97" w:rsidP="004D1A97"/>
    <w:p w14:paraId="0425CFAD" w14:textId="77777777" w:rsidR="004D1A97" w:rsidRPr="00B84F91" w:rsidRDefault="004D1A97" w:rsidP="004D1A97">
      <w:pPr>
        <w:pStyle w:val="PageHeadingDec"/>
        <w:sectPr w:rsidR="004D1A97" w:rsidRPr="00B84F91" w:rsidSect="00B84F91">
          <w:footerReference w:type="first" r:id="rId5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99CDBDE" w14:textId="77777777" w:rsidR="006142BC" w:rsidRDefault="006142BC" w:rsidP="006142BC">
      <w:pPr>
        <w:pStyle w:val="ATHeading3"/>
      </w:pPr>
      <w:r>
        <w:lastRenderedPageBreak/>
        <w:t>46. Решение на Европейския парламент от 7 май 2025 г. относно приключването на сметките на Европейския орган за ценни книжа и пазари за финансовата 2023 година (2024/2030(DEC))</w:t>
      </w:r>
    </w:p>
    <w:p w14:paraId="51AB9A15" w14:textId="77777777" w:rsidR="004D1A97" w:rsidRPr="00B84F91" w:rsidRDefault="004D1A97" w:rsidP="004D1A97">
      <w:pPr>
        <w:pStyle w:val="EPComma"/>
      </w:pPr>
      <w:r w:rsidRPr="00B84F91">
        <w:rPr>
          <w:i/>
        </w:rPr>
        <w:t>Европейският парламент</w:t>
      </w:r>
      <w:r w:rsidRPr="00B84F91">
        <w:t>,</w:t>
      </w:r>
    </w:p>
    <w:p w14:paraId="3F42E794"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Европейския орган за ценни книжа и пазари за финансовата 2023 година,</w:t>
      </w:r>
    </w:p>
    <w:p w14:paraId="04BAEB57"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271"/>
      </w:r>
      <w:r w:rsidRPr="00B84F91">
        <w:t>,</w:t>
      </w:r>
    </w:p>
    <w:p w14:paraId="11E32287"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72"/>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51B0582E"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Органа във връзка с изпълнението на бюджета за финансовата 2023 година (05755/2025 – C10</w:t>
      </w:r>
      <w:r w:rsidRPr="00B84F91">
        <w:noBreakHyphen/>
        <w:t>0024/2025),</w:t>
      </w:r>
    </w:p>
    <w:p w14:paraId="7533ACF5"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5A7F2172"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73"/>
      </w:r>
      <w:r w:rsidRPr="00B84F91">
        <w:t>, и по-специално член 70 от него,</w:t>
      </w:r>
    </w:p>
    <w:p w14:paraId="5A3308B9"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74"/>
      </w:r>
      <w:r w:rsidRPr="00B84F91">
        <w:t>, и по-специално член 70 от него,</w:t>
      </w:r>
    </w:p>
    <w:p w14:paraId="72E29A23" w14:textId="77777777" w:rsidR="004D1A97" w:rsidRPr="00B84F91" w:rsidRDefault="004D1A97" w:rsidP="004D1A97">
      <w:pPr>
        <w:pStyle w:val="NormalHanging12a"/>
      </w:pPr>
      <w:r w:rsidRPr="00B84F91">
        <w:t>–</w:t>
      </w:r>
      <w:r w:rsidRPr="00B84F91">
        <w:tab/>
        <w:t>като взе предвид Регламент (ЕС) № 1095/2010 на Европейския парламент и на Съвета от 24 ноември 2010 г. за създаване на Европейски надзорен орган (Европейски орган за ценни книжа и пазари), за изменение на Решение № 716/2009/ЕО и за отмяна на Решение 2009/77/ЕО на Комисията</w:t>
      </w:r>
      <w:r w:rsidRPr="00B84F91">
        <w:rPr>
          <w:rStyle w:val="FootnoteReference"/>
        </w:rPr>
        <w:footnoteReference w:id="275"/>
      </w:r>
      <w:r w:rsidRPr="00B84F91">
        <w:t>, и по-специално член 64 от него,</w:t>
      </w:r>
    </w:p>
    <w:p w14:paraId="7A40375C"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276"/>
      </w:r>
      <w:r w:rsidRPr="00B84F91">
        <w:t xml:space="preserve">, и по-специално </w:t>
      </w:r>
      <w:r w:rsidRPr="00B84F91">
        <w:lastRenderedPageBreak/>
        <w:t>член 105 от него,</w:t>
      </w:r>
    </w:p>
    <w:p w14:paraId="0C98AE00"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5857E6ED"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3F430364"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08E5DF62" w14:textId="77777777" w:rsidR="004D1A97" w:rsidRPr="00B84F91" w:rsidRDefault="004D1A97" w:rsidP="004D1A97">
      <w:pPr>
        <w:pStyle w:val="NormalHanging12a"/>
      </w:pPr>
      <w:r w:rsidRPr="00B84F91">
        <w:t>1.</w:t>
      </w:r>
      <w:r w:rsidRPr="00B84F91">
        <w:tab/>
        <w:t>одобрява приключването на сметките на Европейския орган за ценни книжа и пазари за финансовата 2023 година;</w:t>
      </w:r>
    </w:p>
    <w:p w14:paraId="75B77416"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изпълнителния директор на Европейския орган за ценни книжа и пазари,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19ED66C2" w14:textId="77777777" w:rsidR="004D1A97" w:rsidRPr="00B84F91" w:rsidRDefault="004D1A97" w:rsidP="004D1A97"/>
    <w:p w14:paraId="438BD035" w14:textId="77777777" w:rsidR="004D1A97" w:rsidRPr="00B84F91" w:rsidRDefault="004D1A97" w:rsidP="004D1A97"/>
    <w:p w14:paraId="65BF4FC7" w14:textId="77777777" w:rsidR="004D1A97" w:rsidRPr="00B84F91" w:rsidRDefault="004D1A97" w:rsidP="004D1A97">
      <w:pPr>
        <w:pStyle w:val="PageHeadingDec"/>
        <w:sectPr w:rsidR="004D1A97" w:rsidRPr="00B84F91" w:rsidSect="00B84F91">
          <w:footerReference w:type="first" r:id="rId5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7646CEA" w14:textId="77777777" w:rsidR="006142BC" w:rsidRDefault="006142BC" w:rsidP="006142BC">
      <w:pPr>
        <w:pStyle w:val="ATHeading3"/>
      </w:pPr>
      <w:r>
        <w:lastRenderedPageBreak/>
        <w:t>47. Решение на Европейския парламент от 7 май 2025 г. относно освобождаването от отговорност във връзка с изпълнението на бюджета на Европейската фондация за обучение за финансовата 2023 година (2024/2030(DEC))</w:t>
      </w:r>
    </w:p>
    <w:p w14:paraId="62B3553A" w14:textId="77777777" w:rsidR="004D1A97" w:rsidRPr="00B84F91" w:rsidRDefault="004D1A97" w:rsidP="004D1A97">
      <w:pPr>
        <w:pStyle w:val="EPComma"/>
      </w:pPr>
      <w:r w:rsidRPr="00B84F91">
        <w:rPr>
          <w:i/>
        </w:rPr>
        <w:t>Европейският парламент</w:t>
      </w:r>
      <w:r w:rsidRPr="00B84F91">
        <w:t>,</w:t>
      </w:r>
    </w:p>
    <w:p w14:paraId="14D9749B"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Европейската фондация за обучение за финансовата 2023 година,</w:t>
      </w:r>
    </w:p>
    <w:p w14:paraId="755B0C50"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277"/>
      </w:r>
      <w:r w:rsidRPr="00B84F91">
        <w:t>,</w:t>
      </w:r>
    </w:p>
    <w:p w14:paraId="40F44722"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78"/>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7659B6BE"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Фондацията във връзка с изпълнението на бюджета за финансовата 2023 година (05755/2025 – C10</w:t>
      </w:r>
      <w:r w:rsidRPr="00B84F91">
        <w:noBreakHyphen/>
        <w:t>0024/2025),</w:t>
      </w:r>
    </w:p>
    <w:p w14:paraId="6AC49D98"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13DEB2C1"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79"/>
      </w:r>
      <w:r w:rsidRPr="00B84F91">
        <w:t>, и по-специално член 70 от него,</w:t>
      </w:r>
    </w:p>
    <w:p w14:paraId="617C4431"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80"/>
      </w:r>
      <w:r w:rsidRPr="00B84F91">
        <w:t>, и по-специално член 70 от него,</w:t>
      </w:r>
    </w:p>
    <w:p w14:paraId="775100D6" w14:textId="77777777" w:rsidR="004D1A97" w:rsidRPr="00B84F91" w:rsidRDefault="004D1A97" w:rsidP="004D1A97">
      <w:pPr>
        <w:pStyle w:val="NormalHanging12a"/>
      </w:pPr>
      <w:r w:rsidRPr="00B84F91">
        <w:t>–</w:t>
      </w:r>
      <w:r w:rsidRPr="00B84F91">
        <w:tab/>
        <w:t>като взе предвид Регламент (ЕО) № 1339/2008 на Европейския парламент и на Съвета от 16 декември 2008 г. за създаване на Европейска фондация за обучение</w:t>
      </w:r>
      <w:r w:rsidRPr="00B84F91">
        <w:rPr>
          <w:rStyle w:val="FootnoteReference"/>
        </w:rPr>
        <w:footnoteReference w:id="281"/>
      </w:r>
      <w:r w:rsidRPr="00B84F91">
        <w:t>, и по-специално член 17 от него,</w:t>
      </w:r>
    </w:p>
    <w:p w14:paraId="799A074D"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282"/>
      </w:r>
      <w:r w:rsidRPr="00B84F91">
        <w:t>, и по-специално член 105 от него,</w:t>
      </w:r>
    </w:p>
    <w:p w14:paraId="25171507" w14:textId="77777777" w:rsidR="004D1A97" w:rsidRPr="00B84F91" w:rsidRDefault="004D1A97" w:rsidP="004D1A97">
      <w:pPr>
        <w:pStyle w:val="NormalHanging12a"/>
      </w:pPr>
      <w:r w:rsidRPr="00B84F91">
        <w:lastRenderedPageBreak/>
        <w:t>–</w:t>
      </w:r>
      <w:r w:rsidRPr="00B84F91">
        <w:tab/>
        <w:t>като взе предвид член 102 и приложение V към своя Правилник за дейността,</w:t>
      </w:r>
    </w:p>
    <w:p w14:paraId="018E715B"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509F724B"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0FF096F8" w14:textId="77777777" w:rsidR="004D1A97" w:rsidRPr="00B84F91" w:rsidRDefault="004D1A97" w:rsidP="004D1A97">
      <w:pPr>
        <w:pStyle w:val="NormalHanging12a"/>
      </w:pPr>
      <w:r w:rsidRPr="00B84F91">
        <w:t>1.</w:t>
      </w:r>
      <w:r w:rsidRPr="00B84F91">
        <w:tab/>
        <w:t>освобождава от отговорност директора на Европейската фондация за обучение във връзка с изпълнението на бюджета на Фондацията за финансовата 2023 година;</w:t>
      </w:r>
    </w:p>
    <w:p w14:paraId="1BDC605E"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7069B96E"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директора на Европейската фондация за обучение,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22FBB583" w14:textId="77777777" w:rsidR="004D1A97" w:rsidRPr="00B84F91" w:rsidRDefault="004D1A97" w:rsidP="004D1A97"/>
    <w:p w14:paraId="2D6F2281" w14:textId="77777777" w:rsidR="004D1A97" w:rsidRPr="00B84F91" w:rsidRDefault="004D1A97" w:rsidP="004D1A97">
      <w:pPr>
        <w:pStyle w:val="PageHeadingDec"/>
        <w:sectPr w:rsidR="004D1A97" w:rsidRPr="00B84F91" w:rsidSect="00B84F91">
          <w:footerReference w:type="first" r:id="rId5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8B8662" w14:textId="77777777" w:rsidR="006142BC" w:rsidRDefault="006142BC" w:rsidP="006142BC">
      <w:pPr>
        <w:pStyle w:val="ATHeading3"/>
      </w:pPr>
      <w:r>
        <w:lastRenderedPageBreak/>
        <w:t>48. Решение на Европейския парламент от 7 май 2025 г. относно приключването на сметките на Европейската фондация за обучение за финансовата 2023 година (2024/2030(DEC))</w:t>
      </w:r>
    </w:p>
    <w:p w14:paraId="52AF1712" w14:textId="77777777" w:rsidR="004D1A97" w:rsidRPr="00B84F91" w:rsidRDefault="004D1A97" w:rsidP="004D1A97">
      <w:pPr>
        <w:pStyle w:val="EPComma"/>
      </w:pPr>
      <w:r w:rsidRPr="00B84F91">
        <w:rPr>
          <w:i/>
        </w:rPr>
        <w:t>Европейският парламент</w:t>
      </w:r>
      <w:r w:rsidRPr="00B84F91">
        <w:t>,</w:t>
      </w:r>
    </w:p>
    <w:p w14:paraId="2214F398"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Европейската фондация за обучение за финансовата 2023 година,</w:t>
      </w:r>
    </w:p>
    <w:p w14:paraId="18D1D0D5"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283"/>
      </w:r>
      <w:r w:rsidRPr="00B84F91">
        <w:t>,</w:t>
      </w:r>
    </w:p>
    <w:p w14:paraId="44454136"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84"/>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2FE3998C"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Фондацията във връзка с изпълнението на бюджета за финансовата 2023 година (05755/2025 – C10</w:t>
      </w:r>
      <w:r w:rsidRPr="00B84F91">
        <w:noBreakHyphen/>
        <w:t>0024/2025),</w:t>
      </w:r>
    </w:p>
    <w:p w14:paraId="49865D09"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42ABFF8E"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85"/>
      </w:r>
      <w:r w:rsidRPr="00B84F91">
        <w:t>, и по-специално член 70 от него,</w:t>
      </w:r>
    </w:p>
    <w:p w14:paraId="5B77C9E5"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86"/>
      </w:r>
      <w:r w:rsidRPr="00B84F91">
        <w:t>, и по-специално член 70 от него,</w:t>
      </w:r>
    </w:p>
    <w:p w14:paraId="1D8931D5" w14:textId="77777777" w:rsidR="004D1A97" w:rsidRPr="00B84F91" w:rsidRDefault="004D1A97" w:rsidP="004D1A97">
      <w:pPr>
        <w:pStyle w:val="NormalHanging12a"/>
      </w:pPr>
      <w:r w:rsidRPr="00B84F91">
        <w:t>–</w:t>
      </w:r>
      <w:r w:rsidRPr="00B84F91">
        <w:tab/>
        <w:t>като взе предвид Регламент (ЕО) № 1339/2008 на Европейския парламент и на Съвета от 16 декември 2008 г. за създаване на Европейска фондация за обучение</w:t>
      </w:r>
      <w:r w:rsidRPr="00B84F91">
        <w:rPr>
          <w:rStyle w:val="FootnoteReference"/>
        </w:rPr>
        <w:footnoteReference w:id="287"/>
      </w:r>
      <w:r w:rsidRPr="00B84F91">
        <w:t>, и по-специално член 17 от него,</w:t>
      </w:r>
    </w:p>
    <w:p w14:paraId="3349717A"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288"/>
      </w:r>
      <w:r w:rsidRPr="00B84F91">
        <w:t>, и по-специално член 105 от него,</w:t>
      </w:r>
    </w:p>
    <w:p w14:paraId="23931888" w14:textId="77777777" w:rsidR="004D1A97" w:rsidRPr="00B84F91" w:rsidRDefault="004D1A97" w:rsidP="004D1A97">
      <w:pPr>
        <w:pStyle w:val="NormalHanging12a"/>
      </w:pPr>
      <w:r w:rsidRPr="00B84F91">
        <w:lastRenderedPageBreak/>
        <w:t>–</w:t>
      </w:r>
      <w:r w:rsidRPr="00B84F91">
        <w:tab/>
        <w:t>като взе предвид член 102 и приложение V към своя Правилник за дейността,</w:t>
      </w:r>
    </w:p>
    <w:p w14:paraId="5D20F09F"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53BBEE16"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6BA9922A" w14:textId="77777777" w:rsidR="004D1A97" w:rsidRPr="00B84F91" w:rsidRDefault="004D1A97" w:rsidP="004D1A97">
      <w:pPr>
        <w:pStyle w:val="NormalHanging12a"/>
      </w:pPr>
      <w:r w:rsidRPr="00B84F91">
        <w:t>1.</w:t>
      </w:r>
      <w:r w:rsidRPr="00B84F91">
        <w:tab/>
        <w:t>одобрява приключването на сметките на Европейската фондация за обучение за финансовата 2023 година;</w:t>
      </w:r>
    </w:p>
    <w:p w14:paraId="63593CBB"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директора на Европейската фондация за обучение,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717BCC4A" w14:textId="77777777" w:rsidR="004D1A97" w:rsidRPr="00B84F91" w:rsidRDefault="004D1A97" w:rsidP="004D1A97"/>
    <w:p w14:paraId="3559247A" w14:textId="77777777" w:rsidR="004D1A97" w:rsidRPr="00B84F91" w:rsidRDefault="004D1A97" w:rsidP="004D1A97"/>
    <w:p w14:paraId="37D91DE2" w14:textId="77777777" w:rsidR="004D1A97" w:rsidRPr="00B84F91" w:rsidRDefault="004D1A97" w:rsidP="004D1A97">
      <w:pPr>
        <w:pStyle w:val="PageHeadingDec"/>
        <w:sectPr w:rsidR="004D1A97" w:rsidRPr="00B84F91" w:rsidSect="00B84F91">
          <w:footerReference w:type="first" r:id="rId5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F5C3E78" w14:textId="77777777" w:rsidR="006142BC" w:rsidRDefault="006142BC" w:rsidP="006142BC">
      <w:pPr>
        <w:pStyle w:val="ATHeading3"/>
      </w:pPr>
      <w:r>
        <w:lastRenderedPageBreak/>
        <w:t>49. Решение на Европейския парламент от 7 май 2025 г. относно освобождаването от отговорност във връзка с изпълнението на бюджета на Агенцията на Европейския съюз в областта на убежището за финансовата 2023 година (2024/2030(DEC))</w:t>
      </w:r>
    </w:p>
    <w:p w14:paraId="30D5537E" w14:textId="77777777" w:rsidR="004D1A97" w:rsidRPr="00B84F91" w:rsidRDefault="004D1A97" w:rsidP="004D1A97">
      <w:pPr>
        <w:pStyle w:val="EPComma"/>
      </w:pPr>
      <w:r w:rsidRPr="00B84F91">
        <w:rPr>
          <w:i/>
        </w:rPr>
        <w:t>Европейският парламент</w:t>
      </w:r>
      <w:r w:rsidRPr="00B84F91">
        <w:t>,</w:t>
      </w:r>
    </w:p>
    <w:p w14:paraId="02F0D0B5"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на Европейския съюз в областта на убежището за финансовата 2023 година,</w:t>
      </w:r>
    </w:p>
    <w:p w14:paraId="6B83719D"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289"/>
      </w:r>
      <w:r w:rsidRPr="00B84F91">
        <w:t>,</w:t>
      </w:r>
    </w:p>
    <w:p w14:paraId="2CAA8747"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90"/>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25148749"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1F96C2DB"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75BDFC09"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91"/>
      </w:r>
      <w:r w:rsidRPr="00B84F91">
        <w:t>, и по-специално член 70 от него,</w:t>
      </w:r>
    </w:p>
    <w:p w14:paraId="147AD31E"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92"/>
      </w:r>
      <w:r w:rsidRPr="00B84F91">
        <w:t>, и по-специално член 70 от него,</w:t>
      </w:r>
    </w:p>
    <w:p w14:paraId="4701E477" w14:textId="77777777" w:rsidR="004D1A97" w:rsidRPr="00B84F91" w:rsidRDefault="004D1A97" w:rsidP="004D1A97">
      <w:pPr>
        <w:pStyle w:val="NormalHanging12a"/>
      </w:pPr>
      <w:r w:rsidRPr="00B84F91">
        <w:t>–</w:t>
      </w:r>
      <w:r w:rsidRPr="00B84F91">
        <w:tab/>
        <w:t>като взе предвид Регламент (ЕС) № 439/2010 на Европейския парламент и на Съвета от 19 май 2010 г. за създаване на Европейска служба за подкрепа в областта на убежището</w:t>
      </w:r>
      <w:r w:rsidRPr="00B84F91">
        <w:rPr>
          <w:rStyle w:val="FootnoteReference"/>
        </w:rPr>
        <w:footnoteReference w:id="293"/>
      </w:r>
      <w:r w:rsidRPr="00B84F91">
        <w:t>, и по-специално член 36 от него,</w:t>
      </w:r>
    </w:p>
    <w:p w14:paraId="2EA67668" w14:textId="77777777" w:rsidR="004D1A97" w:rsidRPr="00B84F91" w:rsidRDefault="004D1A97" w:rsidP="004D1A97">
      <w:pPr>
        <w:pStyle w:val="NormalHanging12a"/>
      </w:pPr>
      <w:r w:rsidRPr="00B84F91">
        <w:t>–</w:t>
      </w:r>
      <w:r w:rsidRPr="00B84F91">
        <w:tab/>
        <w:t>като взе предвид Регламент (ЕС) 2021/2303 на Европейския парламент и на Съвета от 15 декември 2021 г. относно Агенцията на Европейския съюз в областта на убежището и за отмяна на Регламент (ЕС) № 439/2010</w:t>
      </w:r>
      <w:r w:rsidRPr="00B84F91">
        <w:rPr>
          <w:rStyle w:val="FootnoteReference"/>
        </w:rPr>
        <w:footnoteReference w:id="294"/>
      </w:r>
      <w:r w:rsidRPr="00B84F91">
        <w:t>, и по-специално член 55 от него,</w:t>
      </w:r>
    </w:p>
    <w:p w14:paraId="43195111" w14:textId="77777777" w:rsidR="004D1A97" w:rsidRPr="00B84F91" w:rsidRDefault="004D1A97" w:rsidP="004D1A97">
      <w:pPr>
        <w:pStyle w:val="NormalHanging12a"/>
      </w:pPr>
      <w:r w:rsidRPr="00B84F91">
        <w:lastRenderedPageBreak/>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295"/>
      </w:r>
      <w:r w:rsidRPr="00B84F91">
        <w:t>, и по-специално член 105 от него,</w:t>
      </w:r>
    </w:p>
    <w:p w14:paraId="3D47D87C"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0848E8B0"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70136108"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327E597B" w14:textId="77777777" w:rsidR="004D1A97" w:rsidRPr="00B84F91" w:rsidRDefault="004D1A97" w:rsidP="004D1A97">
      <w:pPr>
        <w:pStyle w:val="NormalHanging12a"/>
      </w:pPr>
      <w:r w:rsidRPr="00B84F91">
        <w:t>1.</w:t>
      </w:r>
      <w:r w:rsidRPr="00B84F91">
        <w:tab/>
        <w:t>отсрочва своето решение за освобождаване от отговорност на изпълнителния директор на Агенцията на Европейския съюз в областта на убежището във връзка с изпълнението на бюджета на Агенцията за финансовата 2023 година;</w:t>
      </w:r>
    </w:p>
    <w:p w14:paraId="343B9AFA"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6DB533BF"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на Европейския съюз в областта на убежището,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5B8F18CD" w14:textId="77777777" w:rsidR="004D1A97" w:rsidRPr="00B84F91" w:rsidRDefault="004D1A97" w:rsidP="004D1A97"/>
    <w:p w14:paraId="1BB75867" w14:textId="77777777" w:rsidR="004D1A97" w:rsidRPr="00B84F91" w:rsidRDefault="004D1A97" w:rsidP="004D1A97">
      <w:pPr>
        <w:pStyle w:val="PageHeadingDec"/>
        <w:sectPr w:rsidR="004D1A97" w:rsidRPr="00B84F91" w:rsidSect="00B84F91">
          <w:footerReference w:type="first" r:id="rId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C7186B" w14:textId="77777777" w:rsidR="006142BC" w:rsidRDefault="006142BC" w:rsidP="006142BC">
      <w:pPr>
        <w:pStyle w:val="ATHeading3"/>
      </w:pPr>
      <w:r>
        <w:lastRenderedPageBreak/>
        <w:t>50. Решение на Европейския парламент от 7 май 2025 г. относно приключването на сметките на Агенцията на Европейския съюз в областта на убежището за финансовата 2023 година (2024/2030(DEC))</w:t>
      </w:r>
    </w:p>
    <w:p w14:paraId="6800B921" w14:textId="77777777" w:rsidR="004D1A97" w:rsidRPr="00B84F91" w:rsidRDefault="004D1A97" w:rsidP="004D1A97">
      <w:pPr>
        <w:pStyle w:val="EPComma"/>
      </w:pPr>
      <w:r w:rsidRPr="00B84F91">
        <w:rPr>
          <w:i/>
        </w:rPr>
        <w:t>Европейският парламент</w:t>
      </w:r>
      <w:r w:rsidRPr="00B84F91">
        <w:t>,</w:t>
      </w:r>
    </w:p>
    <w:p w14:paraId="7ECB1547"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на Европейския съюз в областта на убежището за финансовата 2023 година,</w:t>
      </w:r>
    </w:p>
    <w:p w14:paraId="4FFC5362"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296"/>
      </w:r>
      <w:r w:rsidRPr="00B84F91">
        <w:t>,</w:t>
      </w:r>
    </w:p>
    <w:p w14:paraId="1E17A38E"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297"/>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BEA46F8"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35B15D67"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705912EE"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298"/>
      </w:r>
      <w:r w:rsidRPr="00B84F91">
        <w:t>, и по-специално член 70 от него,</w:t>
      </w:r>
    </w:p>
    <w:p w14:paraId="24381E7D"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299"/>
      </w:r>
      <w:r w:rsidRPr="00B84F91">
        <w:t>, и по-специално член 70 от него,</w:t>
      </w:r>
    </w:p>
    <w:p w14:paraId="17F655CA" w14:textId="77777777" w:rsidR="004D1A97" w:rsidRPr="00B84F91" w:rsidRDefault="004D1A97" w:rsidP="004D1A97">
      <w:pPr>
        <w:pStyle w:val="NormalHanging12a"/>
      </w:pPr>
      <w:r w:rsidRPr="00B84F91">
        <w:t>–</w:t>
      </w:r>
      <w:r w:rsidRPr="00B84F91">
        <w:tab/>
        <w:t>като взе предвид Регламент (ЕС) № 439/2010 на Европейския парламент и на Съвета от 19 май 2010 г. за създаване на Европейска служба за подкрепа в областта на убежището</w:t>
      </w:r>
      <w:r w:rsidRPr="00B84F91">
        <w:rPr>
          <w:rStyle w:val="FootnoteReference"/>
        </w:rPr>
        <w:footnoteReference w:id="300"/>
      </w:r>
      <w:r w:rsidRPr="00B84F91">
        <w:t>, и по-специално член 36 от него,</w:t>
      </w:r>
    </w:p>
    <w:p w14:paraId="6045D895" w14:textId="77777777" w:rsidR="004D1A97" w:rsidRPr="00B84F91" w:rsidRDefault="004D1A97" w:rsidP="004D1A97">
      <w:pPr>
        <w:pStyle w:val="NormalHanging12a"/>
      </w:pPr>
      <w:r w:rsidRPr="00B84F91">
        <w:t>–</w:t>
      </w:r>
      <w:r w:rsidRPr="00B84F91">
        <w:tab/>
        <w:t>като взе предвид Регламент (ЕС) 2021/2303 на Европейския парламент и на Съвета от 15 декември 2021 г. относно Агенцията на Европейския съюз в областта на убежището и за отмяна на Регламент (ЕС) № 439/2010</w:t>
      </w:r>
      <w:r w:rsidRPr="00B84F91">
        <w:rPr>
          <w:rStyle w:val="FootnoteReference"/>
        </w:rPr>
        <w:footnoteReference w:id="301"/>
      </w:r>
      <w:r w:rsidRPr="00B84F91">
        <w:t>, и по-специално член 55 от него,</w:t>
      </w:r>
    </w:p>
    <w:p w14:paraId="7292C0CA" w14:textId="77777777" w:rsidR="004D1A97" w:rsidRPr="00B84F91" w:rsidRDefault="004D1A97" w:rsidP="004D1A97">
      <w:pPr>
        <w:pStyle w:val="NormalHanging12a"/>
      </w:pPr>
      <w:r w:rsidRPr="00B84F91">
        <w:t>–</w:t>
      </w:r>
      <w:r w:rsidRPr="00B84F91">
        <w:tab/>
        <w:t xml:space="preserve">като взе предвид Делегиран регламент (ЕС) 2019/715 на Комисията от </w:t>
      </w:r>
      <w:r w:rsidRPr="00B84F91">
        <w:lastRenderedPageBreak/>
        <w:t>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302"/>
      </w:r>
      <w:r w:rsidRPr="00B84F91">
        <w:t>, и по-специално член 105 от него,</w:t>
      </w:r>
    </w:p>
    <w:p w14:paraId="02FAFE79"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72010972"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2CD4620A"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6AC1DB58" w14:textId="77777777" w:rsidR="004D1A97" w:rsidRPr="00B84F91" w:rsidRDefault="004D1A97" w:rsidP="004D1A97">
      <w:pPr>
        <w:pStyle w:val="NormalHanging12a"/>
      </w:pPr>
      <w:r w:rsidRPr="00B84F91">
        <w:t>1.</w:t>
      </w:r>
      <w:r w:rsidRPr="00B84F91">
        <w:tab/>
        <w:t>отлага приключването на сметките на Агенцията на Европейския съюз в областта на убежището за финансовата 2023 година;</w:t>
      </w:r>
    </w:p>
    <w:p w14:paraId="2A08A446"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изпълнителния директор на Агенцията на Европейския съюз в областта на убежището,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2892DB16" w14:textId="77777777" w:rsidR="004D1A97" w:rsidRPr="00B84F91" w:rsidRDefault="004D1A97" w:rsidP="004D1A97"/>
    <w:p w14:paraId="24EBA3AD" w14:textId="77777777" w:rsidR="004D1A97" w:rsidRPr="00B84F91" w:rsidRDefault="004D1A97" w:rsidP="004D1A97"/>
    <w:p w14:paraId="7EF2DEAA" w14:textId="77777777" w:rsidR="004D1A97" w:rsidRPr="00B84F91" w:rsidRDefault="004D1A97" w:rsidP="004D1A97">
      <w:pPr>
        <w:pStyle w:val="PageHeadingDec"/>
        <w:sectPr w:rsidR="004D1A97" w:rsidRPr="00B84F91" w:rsidSect="00B84F91">
          <w:footerReference w:type="first" r:id="rId5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6551026" w14:textId="77777777" w:rsidR="006142BC" w:rsidRDefault="006142BC" w:rsidP="006142BC">
      <w:pPr>
        <w:pStyle w:val="ATHeading3"/>
      </w:pPr>
      <w:r>
        <w:lastRenderedPageBreak/>
        <w:t>51. Решение на Европейския парламент от 7 май 2025 г. относно освобождаването от отговорност във връзка с изпълнението на бюджета на Агенцията на Европейския съюз за оперативното управление на широкомащабни информационни системи в пространството на свобода, сигурност и правосъдие за финансовата 2023 година (2024/2030(DEC))</w:t>
      </w:r>
    </w:p>
    <w:p w14:paraId="48596D54" w14:textId="77777777" w:rsidR="004D1A97" w:rsidRPr="00B84F91" w:rsidRDefault="004D1A97" w:rsidP="004D1A97">
      <w:pPr>
        <w:pStyle w:val="EPComma"/>
      </w:pPr>
      <w:r w:rsidRPr="00B84F91">
        <w:rPr>
          <w:i/>
        </w:rPr>
        <w:t>Европейският парламент</w:t>
      </w:r>
      <w:r w:rsidRPr="00B84F91">
        <w:t>,</w:t>
      </w:r>
    </w:p>
    <w:p w14:paraId="29C3FC18"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на Европейския съюз за оперативното управление на широкомащабни информационни системи в пространството на свобода, сигурност и правосъдие за финансовата 2023 година,</w:t>
      </w:r>
    </w:p>
    <w:p w14:paraId="5EAAF09F"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303"/>
      </w:r>
      <w:r w:rsidRPr="00B84F91">
        <w:t>,</w:t>
      </w:r>
    </w:p>
    <w:p w14:paraId="5EDDDDAD"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304"/>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08E0E7E"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64CEA6AD"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66DD2FCF"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305"/>
      </w:r>
      <w:r w:rsidRPr="00B84F91">
        <w:t>, и по-специално член 70 от него,</w:t>
      </w:r>
    </w:p>
    <w:p w14:paraId="4E801242"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306"/>
      </w:r>
      <w:r w:rsidRPr="00B84F91">
        <w:t>, и по-специално член 70 от него,</w:t>
      </w:r>
    </w:p>
    <w:p w14:paraId="224943B2" w14:textId="77777777" w:rsidR="004D1A97" w:rsidRPr="00B84F91" w:rsidRDefault="004D1A97" w:rsidP="004D1A97">
      <w:pPr>
        <w:pStyle w:val="NormalHanging12a"/>
      </w:pPr>
      <w:r w:rsidRPr="00B84F91">
        <w:t>–</w:t>
      </w:r>
      <w:r w:rsidRPr="00B84F91">
        <w:tab/>
        <w:t>като взе предвид Регламент (ЕС) 2018/1726 на Европейския парламент и на Съвета от 14 ноември 2018 г. относно Агенцията на Европейския съюз за оперативното управление на широкомащабни информационни системи в пространството на свобода, сигурност и правосъдие (</w:t>
      </w:r>
      <w:proofErr w:type="spellStart"/>
      <w:r w:rsidRPr="00B84F91">
        <w:t>eu</w:t>
      </w:r>
      <w:proofErr w:type="spellEnd"/>
      <w:r w:rsidRPr="00B84F91">
        <w:t>-LISA), за изменение на Регламент (ЕО) № 1987/2006 и Решение 2007/533/ПВР на Съвета и за отмяна на Регламент (ЕС) № 1077/2011</w:t>
      </w:r>
      <w:r w:rsidRPr="00B84F91">
        <w:rPr>
          <w:rStyle w:val="FootnoteReference"/>
        </w:rPr>
        <w:footnoteReference w:id="307"/>
      </w:r>
      <w:r w:rsidRPr="00B84F91">
        <w:t>, и по-специално член 47 от него,</w:t>
      </w:r>
    </w:p>
    <w:p w14:paraId="6FB6D5B5" w14:textId="77777777" w:rsidR="004D1A97" w:rsidRPr="00B84F91" w:rsidRDefault="004D1A97" w:rsidP="004D1A97">
      <w:pPr>
        <w:pStyle w:val="NormalHanging12a"/>
      </w:pPr>
      <w:r w:rsidRPr="00B84F91">
        <w:t>–</w:t>
      </w:r>
      <w:r w:rsidRPr="00B84F91">
        <w:tab/>
        <w:t xml:space="preserve">като взе предвид Делегиран регламент (ЕС) 2019/715 на Комисията от </w:t>
      </w:r>
      <w:r w:rsidRPr="00B84F91">
        <w:lastRenderedPageBreak/>
        <w:t>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308"/>
      </w:r>
      <w:r w:rsidRPr="00B84F91">
        <w:t>, и по-специално член 105 от него,</w:t>
      </w:r>
    </w:p>
    <w:p w14:paraId="54317CFC"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0994AFAF"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282481C6"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1B93616C" w14:textId="77777777" w:rsidR="004D1A97" w:rsidRPr="00B84F91" w:rsidRDefault="004D1A97" w:rsidP="004D1A97">
      <w:pPr>
        <w:pStyle w:val="NormalHanging12a"/>
      </w:pPr>
      <w:r w:rsidRPr="00B84F91">
        <w:t>1.</w:t>
      </w:r>
      <w:r w:rsidRPr="00B84F91">
        <w:tab/>
        <w:t>освобождава от отговорност изпълняващ</w:t>
      </w:r>
      <w:r w:rsidR="00501BD5">
        <w:t>ата</w:t>
      </w:r>
      <w:r w:rsidRPr="00B84F91">
        <w:t xml:space="preserve"> длъжността изпълнителен директор на Агенцията на Европейския съюз за оперативното управление на широкомащабни информационни системи в пространството на свобода, сигурност и правосъдие във връзка с изпълнението на бюджета на Агенцията за финансовата 2023 година;</w:t>
      </w:r>
    </w:p>
    <w:p w14:paraId="000D3392"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15801885" w14:textId="77777777" w:rsidR="004D1A97" w:rsidRPr="00B84F91" w:rsidRDefault="004D1A97" w:rsidP="004D1A97">
      <w:pPr>
        <w:pStyle w:val="NormalHanging12a"/>
      </w:pPr>
      <w:r w:rsidRPr="00B84F91">
        <w:t>3.</w:t>
      </w:r>
      <w:r w:rsidRPr="00B84F91">
        <w:tab/>
        <w:t>възлага на своя председател да предаде настоящото решение, както и резолюцията, която е неразделна част от него, на изпълняващ</w:t>
      </w:r>
      <w:r w:rsidR="00501BD5">
        <w:t>ата</w:t>
      </w:r>
      <w:r w:rsidRPr="00B84F91">
        <w:t xml:space="preserve"> длъжността изпълнителен директор на Агенцията на Европейския съюз за оперативното управление на широкомащабни информационни системи в пространството на свобода, сигурност и правосъдие,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6E396DCC" w14:textId="77777777" w:rsidR="004D1A97" w:rsidRPr="00B84F91" w:rsidRDefault="004D1A97" w:rsidP="004D1A97"/>
    <w:p w14:paraId="2C361D8C" w14:textId="77777777" w:rsidR="004D1A97" w:rsidRPr="00B84F91" w:rsidRDefault="004D1A97" w:rsidP="004D1A97">
      <w:pPr>
        <w:pStyle w:val="PageHeadingDec"/>
        <w:sectPr w:rsidR="004D1A97" w:rsidRPr="00B84F91" w:rsidSect="00B84F91">
          <w:footerReference w:type="first" r:id="rId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3183DA1" w14:textId="77777777" w:rsidR="006142BC" w:rsidRDefault="006142BC" w:rsidP="006142BC">
      <w:pPr>
        <w:pStyle w:val="ATHeading3"/>
      </w:pPr>
      <w:r>
        <w:lastRenderedPageBreak/>
        <w:t>52. Решение на Европейския парламент от 7 май 2025 г. относно приключването на сметките на Агенцията на Европейския съюз за оперативното управление на широкомащабни информационни системи в пространството на свобода, сигурност и правосъдие (</w:t>
      </w:r>
      <w:proofErr w:type="spellStart"/>
      <w:r>
        <w:t>eu</w:t>
      </w:r>
      <w:proofErr w:type="spellEnd"/>
      <w:r>
        <w:t>-LISA) за финансовата 2023 година (2024/2030(DEC))</w:t>
      </w:r>
    </w:p>
    <w:p w14:paraId="4401250D" w14:textId="77777777" w:rsidR="004D1A97" w:rsidRPr="00B84F91" w:rsidRDefault="004D1A97" w:rsidP="004D1A97">
      <w:pPr>
        <w:pStyle w:val="EPComma"/>
      </w:pPr>
      <w:r w:rsidRPr="00B84F91">
        <w:rPr>
          <w:i/>
        </w:rPr>
        <w:t>Европейският парламент</w:t>
      </w:r>
      <w:r w:rsidRPr="00B84F91">
        <w:t>,</w:t>
      </w:r>
    </w:p>
    <w:p w14:paraId="7AF73C36"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на Европейския съюз за оперативното управление на широкомащабни информационни системи в пространството на свобода, сигурност и правосъдие за финансовата 2023 година,</w:t>
      </w:r>
    </w:p>
    <w:p w14:paraId="79CDD14F"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309"/>
      </w:r>
      <w:r w:rsidRPr="00B84F91">
        <w:t>,</w:t>
      </w:r>
    </w:p>
    <w:p w14:paraId="67E3C0E7"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310"/>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276C4BD7"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00A63C7E"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046B68E5"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311"/>
      </w:r>
      <w:r w:rsidRPr="00B84F91">
        <w:t>, и по-специално член 70 от него,</w:t>
      </w:r>
    </w:p>
    <w:p w14:paraId="27A3D8BC"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312"/>
      </w:r>
      <w:r w:rsidRPr="00B84F91">
        <w:t>, и по-специално член 70 от него,</w:t>
      </w:r>
    </w:p>
    <w:p w14:paraId="53BE6478" w14:textId="77777777" w:rsidR="004D1A97" w:rsidRPr="00B84F91" w:rsidRDefault="004D1A97" w:rsidP="004D1A97">
      <w:pPr>
        <w:pStyle w:val="NormalHanging12a"/>
      </w:pPr>
      <w:r w:rsidRPr="00B84F91">
        <w:t>–</w:t>
      </w:r>
      <w:r w:rsidRPr="00B84F91">
        <w:tab/>
        <w:t>като взе предвид Регламент (ЕС) 2018/1726 на Европейския парламент и на Съвета от 14 ноември 2018 г. относно Агенцията на Европейския съюз за оперативното управление на широкомащабни информационни системи в пространството на свобода, сигурност и правосъдие (</w:t>
      </w:r>
      <w:proofErr w:type="spellStart"/>
      <w:r w:rsidRPr="00B84F91">
        <w:t>eu</w:t>
      </w:r>
      <w:proofErr w:type="spellEnd"/>
      <w:r w:rsidRPr="00B84F91">
        <w:t>-LISA), за изменение на Регламент (ЕО) № 1987/2006 и Решение 2007/533/ПВР на Съвета и за отмяна на Регламент (ЕС) № 1077/2011</w:t>
      </w:r>
      <w:r w:rsidRPr="00B84F91">
        <w:rPr>
          <w:rStyle w:val="FootnoteReference"/>
        </w:rPr>
        <w:footnoteReference w:id="313"/>
      </w:r>
      <w:r w:rsidRPr="00B84F91">
        <w:t>, и по-специално член 47 от него,</w:t>
      </w:r>
    </w:p>
    <w:p w14:paraId="4A2124AD" w14:textId="77777777" w:rsidR="004D1A97" w:rsidRPr="00B84F91" w:rsidRDefault="004D1A97" w:rsidP="004D1A97">
      <w:pPr>
        <w:pStyle w:val="NormalHanging12a"/>
      </w:pPr>
      <w:r w:rsidRPr="00B84F91">
        <w:t>–</w:t>
      </w:r>
      <w:r w:rsidRPr="00B84F91">
        <w:tab/>
        <w:t xml:space="preserve">като взе предвид Делегиран регламент (ЕС) 2019/715 на Комисията от 18 декември 2018 г. относно рамковия финансов регламент за органите, създадени </w:t>
      </w:r>
      <w:r w:rsidRPr="00B84F91">
        <w:lastRenderedPageBreak/>
        <w:t>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314"/>
      </w:r>
      <w:r w:rsidRPr="00B84F91">
        <w:t>, и по-специално член 105 от него,</w:t>
      </w:r>
    </w:p>
    <w:p w14:paraId="7488D12B"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3FCD5409"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431DA906"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63EA1728" w14:textId="77777777" w:rsidR="004D1A97" w:rsidRPr="00B84F91" w:rsidRDefault="004D1A97" w:rsidP="004D1A97">
      <w:pPr>
        <w:pStyle w:val="NormalHanging12a"/>
      </w:pPr>
      <w:r w:rsidRPr="00B84F91">
        <w:t>1.</w:t>
      </w:r>
      <w:r w:rsidRPr="00B84F91">
        <w:tab/>
        <w:t>одобрява приключването на сметките на Агенцията на Европейския съюз за оперативното управление на широкомащабни информационни системи в пространството на свобода, сигурност и правосъдие за финансовата 2023 година;</w:t>
      </w:r>
    </w:p>
    <w:p w14:paraId="26873A6A" w14:textId="77777777" w:rsidR="004D1A97" w:rsidRPr="00B84F91" w:rsidRDefault="004D1A97" w:rsidP="004D1A97">
      <w:pPr>
        <w:pStyle w:val="NormalHanging12a"/>
      </w:pPr>
      <w:r w:rsidRPr="00B84F91">
        <w:t>2.</w:t>
      </w:r>
      <w:r w:rsidRPr="00B84F91">
        <w:tab/>
        <w:t>възлага на своя председател да предаде настоящото решение на изпълняващ</w:t>
      </w:r>
      <w:r w:rsidR="00501BD5">
        <w:t>ата</w:t>
      </w:r>
      <w:r w:rsidRPr="00B84F91">
        <w:t xml:space="preserve"> длъжността изпълнителен директор на Агенцията на Европейския съюз за оперативното управление на широкомащабни информационни системи в пространството на свобода, сигурност и правосъдие,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2CD8C907" w14:textId="77777777" w:rsidR="004D1A97" w:rsidRPr="00B84F91" w:rsidRDefault="004D1A97" w:rsidP="004D1A97"/>
    <w:p w14:paraId="13A4E730" w14:textId="77777777" w:rsidR="004D1A97" w:rsidRPr="00B84F91" w:rsidRDefault="004D1A97" w:rsidP="004D1A97"/>
    <w:p w14:paraId="3845E784" w14:textId="77777777" w:rsidR="004D1A97" w:rsidRPr="00B84F91" w:rsidRDefault="004D1A97" w:rsidP="004D1A97">
      <w:pPr>
        <w:pStyle w:val="PageHeadingDec"/>
        <w:sectPr w:rsidR="004D1A97" w:rsidRPr="00B84F91" w:rsidSect="00B84F91">
          <w:footerReference w:type="first" r:id="rI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CCF8CF1" w14:textId="77777777" w:rsidR="006142BC" w:rsidRDefault="006142BC" w:rsidP="006142BC">
      <w:pPr>
        <w:pStyle w:val="ATHeading3"/>
      </w:pPr>
      <w:r>
        <w:lastRenderedPageBreak/>
        <w:t>53. Решение на Европейския парламент от 7 май 2025 г. относно освобождаването от отговорност във връзка с изпълнението на бюджета на Европейската агенция за безопасност и здраве при работа за финансовата 2023 година (2024/2030(DEC))</w:t>
      </w:r>
    </w:p>
    <w:p w14:paraId="715ED928" w14:textId="77777777" w:rsidR="004D1A97" w:rsidRPr="00B84F91" w:rsidRDefault="004D1A97" w:rsidP="004D1A97">
      <w:pPr>
        <w:pStyle w:val="EPComma"/>
      </w:pPr>
      <w:r w:rsidRPr="00B84F91">
        <w:rPr>
          <w:i/>
        </w:rPr>
        <w:t>Европейският парламент</w:t>
      </w:r>
      <w:r w:rsidRPr="00B84F91">
        <w:t>,</w:t>
      </w:r>
    </w:p>
    <w:p w14:paraId="5EBDCB0A"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Европейската агенция за безопасност и здраве при работа за финансовата 2023 година,</w:t>
      </w:r>
    </w:p>
    <w:p w14:paraId="3223340C"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315"/>
      </w:r>
      <w:r w:rsidRPr="00B84F91">
        <w:t>,</w:t>
      </w:r>
    </w:p>
    <w:p w14:paraId="0B907C0A"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316"/>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40F350A4"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51698895"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58A99046"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317"/>
      </w:r>
      <w:r w:rsidRPr="00B84F91">
        <w:t>, и по-специално член 70 от него,</w:t>
      </w:r>
    </w:p>
    <w:p w14:paraId="7C10A697"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318"/>
      </w:r>
      <w:r w:rsidRPr="00B84F91">
        <w:t>, и по-специално член 70 от него,</w:t>
      </w:r>
    </w:p>
    <w:p w14:paraId="25D3F4E7" w14:textId="77777777" w:rsidR="004D1A97" w:rsidRPr="00B84F91" w:rsidRDefault="004D1A97" w:rsidP="004D1A97">
      <w:pPr>
        <w:pStyle w:val="NormalHanging12a"/>
      </w:pPr>
      <w:r w:rsidRPr="00B84F91">
        <w:t>–</w:t>
      </w:r>
      <w:r w:rsidRPr="00B84F91">
        <w:tab/>
        <w:t>като взе предвид Регламент (ЕС) 2019/126 на Европейския парламент и на Съвета от 16 януари 2019 г. за създаване на Европейската агенция за безопасност и здраве при работа (EU-OSHA) и за отмяна на Регламент (ЕО) № 2062/94 на Съвета</w:t>
      </w:r>
      <w:r w:rsidRPr="00B84F91">
        <w:rPr>
          <w:rStyle w:val="FootnoteReference"/>
        </w:rPr>
        <w:footnoteReference w:id="319"/>
      </w:r>
      <w:r w:rsidRPr="00B84F91">
        <w:t>, и по-специално член 16 от него,</w:t>
      </w:r>
    </w:p>
    <w:p w14:paraId="4F671A1C"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320"/>
      </w:r>
      <w:r w:rsidRPr="00B84F91">
        <w:t xml:space="preserve">, и по-специално </w:t>
      </w:r>
      <w:r w:rsidRPr="00B84F91">
        <w:lastRenderedPageBreak/>
        <w:t>член 105 от него,</w:t>
      </w:r>
    </w:p>
    <w:p w14:paraId="416175FE"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52F87899"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213771EE"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671A83F6" w14:textId="77777777" w:rsidR="004D1A97" w:rsidRPr="00B84F91" w:rsidRDefault="004D1A97" w:rsidP="004D1A97">
      <w:pPr>
        <w:pStyle w:val="NormalHanging12a"/>
      </w:pPr>
      <w:r w:rsidRPr="00B84F91">
        <w:t>1.</w:t>
      </w:r>
      <w:r w:rsidRPr="00B84F91">
        <w:tab/>
        <w:t>освобождава от отговорност изпълняващия длъжността изпълнителен директор на Европейската агенция за безопасност и здраве при работа във връзка с изпълнението на бюджета на Агенцията за финансовата 2023 година;</w:t>
      </w:r>
    </w:p>
    <w:p w14:paraId="7F455FA9"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2373DACB" w14:textId="77777777" w:rsidR="004D1A97" w:rsidRPr="00B84F91" w:rsidRDefault="004D1A97" w:rsidP="004D1A97">
      <w:pPr>
        <w:pStyle w:val="NormalHanging12a"/>
      </w:pPr>
      <w:r w:rsidRPr="00B84F91">
        <w:t>3.</w:t>
      </w:r>
      <w:r w:rsidRPr="00B84F91">
        <w:tab/>
        <w:t>възлага на своя председател да предаде настоящото решение, както и резолюцията, която е неразделна част от него, на изпълнителн</w:t>
      </w:r>
      <w:r w:rsidR="00D81D8B">
        <w:t>ия</w:t>
      </w:r>
      <w:r w:rsidRPr="00B84F91">
        <w:t xml:space="preserve"> директор на Европейската агенция за безопасност и здраве при работа,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2E9D7617" w14:textId="77777777" w:rsidR="004D1A97" w:rsidRPr="00B84F91" w:rsidRDefault="004D1A97" w:rsidP="004D1A97"/>
    <w:p w14:paraId="69C809C0" w14:textId="77777777" w:rsidR="004D1A97" w:rsidRPr="00B84F91" w:rsidRDefault="004D1A97" w:rsidP="004D1A97">
      <w:pPr>
        <w:pStyle w:val="PageHeadingDec"/>
        <w:sectPr w:rsidR="004D1A97" w:rsidRPr="00B84F91" w:rsidSect="00B84F91">
          <w:footerReference w:type="first" r:id="rId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A2AE9D6" w14:textId="77777777" w:rsidR="006142BC" w:rsidRDefault="006142BC" w:rsidP="006142BC">
      <w:pPr>
        <w:pStyle w:val="ATHeading3"/>
      </w:pPr>
      <w:r>
        <w:lastRenderedPageBreak/>
        <w:t>54. Решение на Европейския парламент от 7 май 2025 г. относно приключването на сметките на Европейската агенция за безопасност и здраве при работа за финансовата 2023 година (2024/2030(DEC))</w:t>
      </w:r>
    </w:p>
    <w:p w14:paraId="1B597D7A" w14:textId="77777777" w:rsidR="004D1A97" w:rsidRPr="00B84F91" w:rsidRDefault="004D1A97" w:rsidP="004D1A97">
      <w:pPr>
        <w:pStyle w:val="EPComma"/>
      </w:pPr>
      <w:r w:rsidRPr="00B84F91">
        <w:rPr>
          <w:i/>
        </w:rPr>
        <w:t>Европейският парламент</w:t>
      </w:r>
      <w:r w:rsidRPr="00B84F91">
        <w:t>,</w:t>
      </w:r>
    </w:p>
    <w:p w14:paraId="532F76C7"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Европейската агенция за безопасност и здраве при работа за финансовата 2023 година,</w:t>
      </w:r>
    </w:p>
    <w:p w14:paraId="5EEC98BE"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321"/>
      </w:r>
      <w:r w:rsidRPr="00B84F91">
        <w:t>,</w:t>
      </w:r>
    </w:p>
    <w:p w14:paraId="35AC92CE"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322"/>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3888C440"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71DD95CD"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5CC8CF69"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323"/>
      </w:r>
      <w:r w:rsidRPr="00B84F91">
        <w:t>, и по-специално член 70 от него,</w:t>
      </w:r>
    </w:p>
    <w:p w14:paraId="1EC9C564"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324"/>
      </w:r>
      <w:r w:rsidRPr="00B84F91">
        <w:t>, и по-специално член 70 от него,</w:t>
      </w:r>
    </w:p>
    <w:p w14:paraId="3DA6436D" w14:textId="77777777" w:rsidR="004D1A97" w:rsidRPr="00B84F91" w:rsidRDefault="004D1A97" w:rsidP="004D1A97">
      <w:pPr>
        <w:pStyle w:val="NormalHanging12a"/>
      </w:pPr>
      <w:r w:rsidRPr="00B84F91">
        <w:t>–</w:t>
      </w:r>
      <w:r w:rsidRPr="00B84F91">
        <w:tab/>
        <w:t>като взе предвид Регламент (ЕС) 2019/126 на Европейския парламент и на Съвета от 16 януари 2019 г. за създаване на Европейската агенция за безопасност и здраве при работа (EU-OSHA) и за отмяна на Регламент (ЕО) № 2062/94 на Съвета</w:t>
      </w:r>
      <w:r w:rsidRPr="00B84F91">
        <w:rPr>
          <w:rStyle w:val="FootnoteReference"/>
        </w:rPr>
        <w:footnoteReference w:id="325"/>
      </w:r>
      <w:r w:rsidRPr="00B84F91">
        <w:t>, и по-специално член 16 от него,</w:t>
      </w:r>
    </w:p>
    <w:p w14:paraId="2E758BFC"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326"/>
      </w:r>
      <w:r w:rsidRPr="00B84F91">
        <w:t xml:space="preserve">, и по-специално </w:t>
      </w:r>
      <w:r w:rsidRPr="00B84F91">
        <w:lastRenderedPageBreak/>
        <w:t>член 105 от него,</w:t>
      </w:r>
    </w:p>
    <w:p w14:paraId="6E87FEC9"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724666B8"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11DF8ADF"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47DF4163" w14:textId="77777777" w:rsidR="004D1A97" w:rsidRPr="00B84F91" w:rsidRDefault="004D1A97" w:rsidP="004D1A97">
      <w:pPr>
        <w:pStyle w:val="NormalHanging12a"/>
      </w:pPr>
      <w:r w:rsidRPr="00B84F91">
        <w:t>1.</w:t>
      </w:r>
      <w:r w:rsidRPr="00B84F91">
        <w:tab/>
        <w:t>одобрява приключването на сметките на Европейската агенция за безопасност и здраве при работа за финансовата 2023 година;</w:t>
      </w:r>
    </w:p>
    <w:p w14:paraId="5ADC4B87" w14:textId="77777777" w:rsidR="004D1A97" w:rsidRPr="00B84F91" w:rsidRDefault="004D1A97" w:rsidP="004D1A97">
      <w:pPr>
        <w:pStyle w:val="NormalHanging12a"/>
      </w:pPr>
      <w:r w:rsidRPr="00B84F91">
        <w:t>2.</w:t>
      </w:r>
      <w:r w:rsidRPr="00B84F91">
        <w:tab/>
        <w:t>възлага на своя председател да предаде настоящото решение на изпълнителн</w:t>
      </w:r>
      <w:r w:rsidR="00D81D8B">
        <w:t>ия</w:t>
      </w:r>
      <w:r w:rsidRPr="00B84F91">
        <w:t xml:space="preserve"> директор на Европейската агенция за безопасност и здраве при работа,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504A6EB5" w14:textId="77777777" w:rsidR="004D1A97" w:rsidRPr="00B84F91" w:rsidRDefault="004D1A97" w:rsidP="004D1A97"/>
    <w:p w14:paraId="5285E879" w14:textId="77777777" w:rsidR="004D1A97" w:rsidRPr="00B84F91" w:rsidRDefault="004D1A97" w:rsidP="004D1A97"/>
    <w:p w14:paraId="7634582C" w14:textId="77777777" w:rsidR="004D1A97" w:rsidRPr="00B84F91" w:rsidRDefault="004D1A97" w:rsidP="004D1A97">
      <w:pPr>
        <w:pStyle w:val="PageHeadingDec"/>
        <w:sectPr w:rsidR="004D1A97" w:rsidRPr="00B84F91" w:rsidSect="00B84F91">
          <w:footerReference w:type="first" r:id="rId6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127979B" w14:textId="77777777" w:rsidR="006142BC" w:rsidRDefault="006142BC" w:rsidP="006142BC">
      <w:pPr>
        <w:pStyle w:val="ATHeading3"/>
      </w:pPr>
      <w:r>
        <w:lastRenderedPageBreak/>
        <w:t>55. Решение на Европейския парламент от 7 май 2025 г. относно освобождаването от отговорност във връзка с изпълнението на бюджета на Европейската фондация за подобряване на условията на живот и труд за финансовата 2023 година (2024/2030(DEC))</w:t>
      </w:r>
    </w:p>
    <w:p w14:paraId="76EFE674" w14:textId="77777777" w:rsidR="004D1A97" w:rsidRPr="00B84F91" w:rsidRDefault="004D1A97" w:rsidP="004D1A97">
      <w:pPr>
        <w:pStyle w:val="EPComma"/>
      </w:pPr>
      <w:r w:rsidRPr="00B84F91">
        <w:rPr>
          <w:i/>
        </w:rPr>
        <w:t>Европейският парламент</w:t>
      </w:r>
      <w:r w:rsidRPr="00B84F91">
        <w:t>,</w:t>
      </w:r>
    </w:p>
    <w:p w14:paraId="6C68E57A"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Европейската фондация за подобряване на условията на живот и труд за финансовата 2023 година,</w:t>
      </w:r>
    </w:p>
    <w:p w14:paraId="0F38648C"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327"/>
      </w:r>
      <w:r w:rsidRPr="00B84F91">
        <w:t>,</w:t>
      </w:r>
    </w:p>
    <w:p w14:paraId="0175FFA4"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328"/>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26DCF392"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Фондацията във връзка с изпълнението на бюджета за финансовата 2023 година (05755/2025 – C10</w:t>
      </w:r>
      <w:r w:rsidRPr="00B84F91">
        <w:noBreakHyphen/>
        <w:t>0024/2025),</w:t>
      </w:r>
    </w:p>
    <w:p w14:paraId="0578FC57"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0D753B7C"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329"/>
      </w:r>
      <w:r w:rsidRPr="00B84F91">
        <w:t>, и по-специално член 70 от него,</w:t>
      </w:r>
    </w:p>
    <w:p w14:paraId="6577C3C5"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330"/>
      </w:r>
      <w:r w:rsidRPr="00B84F91">
        <w:t>, и по-специално член 70 от него,</w:t>
      </w:r>
    </w:p>
    <w:p w14:paraId="3E9E5C35" w14:textId="77777777" w:rsidR="004D1A97" w:rsidRPr="00B84F91" w:rsidRDefault="004D1A97" w:rsidP="004D1A97">
      <w:pPr>
        <w:pStyle w:val="NormalHanging12a"/>
      </w:pPr>
      <w:r w:rsidRPr="00B84F91">
        <w:t>–</w:t>
      </w:r>
      <w:r w:rsidRPr="00B84F91">
        <w:tab/>
        <w:t>като взе предвид Регламент (ЕС) 2019/127 на Европейския парламент и на Съвета от 16 януари 2019 г. относно създаването на Европейската фондация за подобряване на условията на живот и труд (</w:t>
      </w:r>
      <w:proofErr w:type="spellStart"/>
      <w:r w:rsidRPr="00B84F91">
        <w:t>Eurofound</w:t>
      </w:r>
      <w:proofErr w:type="spellEnd"/>
      <w:r w:rsidRPr="00B84F91">
        <w:t>) и за отмяна на Регламент (ЕИО) № 1365/75 на Съвета</w:t>
      </w:r>
      <w:r w:rsidRPr="00B84F91">
        <w:rPr>
          <w:rStyle w:val="FootnoteReference"/>
        </w:rPr>
        <w:footnoteReference w:id="331"/>
      </w:r>
      <w:r w:rsidRPr="00B84F91">
        <w:t>, и по-специално член 16 от него,</w:t>
      </w:r>
    </w:p>
    <w:p w14:paraId="5C44342B"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332"/>
      </w:r>
      <w:r w:rsidRPr="00B84F91">
        <w:t xml:space="preserve">, и по-специално </w:t>
      </w:r>
      <w:r w:rsidRPr="00B84F91">
        <w:lastRenderedPageBreak/>
        <w:t>член 105 от него,</w:t>
      </w:r>
    </w:p>
    <w:p w14:paraId="3F924A6F"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6A3E64FB"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76B4D728"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12AF21E7" w14:textId="77777777" w:rsidR="004D1A97" w:rsidRPr="00B84F91" w:rsidRDefault="004D1A97" w:rsidP="004D1A97">
      <w:pPr>
        <w:pStyle w:val="NormalHanging12a"/>
      </w:pPr>
      <w:r w:rsidRPr="00B84F91">
        <w:t>1.</w:t>
      </w:r>
      <w:r w:rsidRPr="00B84F91">
        <w:tab/>
        <w:t>освобождава от отговорност изпълнителния директор на Европейската фондация за подобряване на условията на живот и труд във връзка с изпълнението на бюджета на Фондацията за финансовата 2023 година;</w:t>
      </w:r>
    </w:p>
    <w:p w14:paraId="63B464DF"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1A8EA391"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фондация за подобряване на условията на живот и труд,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6D25C25F" w14:textId="77777777" w:rsidR="004D1A97" w:rsidRPr="00B84F91" w:rsidRDefault="004D1A97" w:rsidP="004D1A97"/>
    <w:p w14:paraId="5C9EA867" w14:textId="77777777" w:rsidR="004D1A97" w:rsidRPr="00B84F91" w:rsidRDefault="004D1A97" w:rsidP="004D1A97">
      <w:pPr>
        <w:pStyle w:val="PageHeadingDec"/>
        <w:sectPr w:rsidR="004D1A97" w:rsidRPr="00B84F91" w:rsidSect="00B84F91">
          <w:footerReference w:type="first" r:id="rId6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DAF54DA" w14:textId="77777777" w:rsidR="006142BC" w:rsidRDefault="006142BC" w:rsidP="006142BC">
      <w:pPr>
        <w:pStyle w:val="ATHeading3"/>
      </w:pPr>
      <w:r>
        <w:lastRenderedPageBreak/>
        <w:t>56. Решение на Европейския парламент от 7 май 2025 г. относно приключването на сметките на Европейската фондация за подобряване на условията на живот и труд за финансовата 2023 година (2024/2030(DEC))</w:t>
      </w:r>
    </w:p>
    <w:p w14:paraId="5A571C71" w14:textId="77777777" w:rsidR="004D1A97" w:rsidRPr="00B84F91" w:rsidRDefault="004D1A97" w:rsidP="004D1A97">
      <w:pPr>
        <w:pStyle w:val="EPComma"/>
      </w:pPr>
      <w:r w:rsidRPr="00B84F91">
        <w:rPr>
          <w:i/>
        </w:rPr>
        <w:t>Европейският парламент</w:t>
      </w:r>
      <w:r w:rsidRPr="00B84F91">
        <w:t>,</w:t>
      </w:r>
    </w:p>
    <w:p w14:paraId="5AEAEE72"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Европейската фондация за подобряване на условията на живот и труд за финансовата 2023 година,</w:t>
      </w:r>
    </w:p>
    <w:p w14:paraId="01CA6BA0"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333"/>
      </w:r>
      <w:r w:rsidRPr="00B84F91">
        <w:t>,</w:t>
      </w:r>
    </w:p>
    <w:p w14:paraId="4D8F954B"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334"/>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185F329F"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Фондацията във връзка с изпълнението на бюджета за финансовата 2023 година (05755/2025 – C10</w:t>
      </w:r>
      <w:r w:rsidRPr="00B84F91">
        <w:noBreakHyphen/>
        <w:t>0024/2025),</w:t>
      </w:r>
    </w:p>
    <w:p w14:paraId="1725B61C"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1CC81A6E"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335"/>
      </w:r>
      <w:r w:rsidRPr="00B84F91">
        <w:t>, и по-специално член 70 от него,</w:t>
      </w:r>
    </w:p>
    <w:p w14:paraId="43AAA1A9"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336"/>
      </w:r>
      <w:r w:rsidRPr="00B84F91">
        <w:t>, и по-специално член 70 от него,</w:t>
      </w:r>
    </w:p>
    <w:p w14:paraId="0408B6FA" w14:textId="77777777" w:rsidR="004D1A97" w:rsidRPr="00B84F91" w:rsidRDefault="004D1A97" w:rsidP="004D1A97">
      <w:pPr>
        <w:pStyle w:val="NormalHanging12a"/>
      </w:pPr>
      <w:r w:rsidRPr="00B84F91">
        <w:t>–</w:t>
      </w:r>
      <w:r w:rsidRPr="00B84F91">
        <w:tab/>
        <w:t>като взе предвид Регламент (ЕС) 2019/127 на Европейския парламент и на Съвета от 16 януари 2019 г. относно създаването на Европейската фондация за подобряване на условията на живот и труд (</w:t>
      </w:r>
      <w:proofErr w:type="spellStart"/>
      <w:r w:rsidRPr="00B84F91">
        <w:t>Eurofound</w:t>
      </w:r>
      <w:proofErr w:type="spellEnd"/>
      <w:r w:rsidRPr="00B84F91">
        <w:t>) и за отмяна на Регламент (ЕИО) № 1365/75 на Съвета</w:t>
      </w:r>
      <w:r w:rsidRPr="00B84F91">
        <w:rPr>
          <w:rStyle w:val="FootnoteReference"/>
        </w:rPr>
        <w:footnoteReference w:id="337"/>
      </w:r>
      <w:r w:rsidRPr="00B84F91">
        <w:t>, и по-специално член 16 от него,</w:t>
      </w:r>
    </w:p>
    <w:p w14:paraId="5D603B7B"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338"/>
      </w:r>
      <w:r w:rsidRPr="00B84F91">
        <w:t xml:space="preserve">, и по-специално </w:t>
      </w:r>
      <w:r w:rsidRPr="00B84F91">
        <w:lastRenderedPageBreak/>
        <w:t>член 105 от него,</w:t>
      </w:r>
    </w:p>
    <w:p w14:paraId="4FD6D365"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7F78B13D"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54347269"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7B160CB8" w14:textId="77777777" w:rsidR="004D1A97" w:rsidRPr="00B84F91" w:rsidRDefault="004D1A97" w:rsidP="004D1A97">
      <w:pPr>
        <w:pStyle w:val="NormalHanging12a"/>
      </w:pPr>
      <w:r w:rsidRPr="00B84F91">
        <w:t>1.</w:t>
      </w:r>
      <w:r w:rsidRPr="00B84F91">
        <w:tab/>
        <w:t>одобрява приключването на сметките на Европейската фондация за подобряване на условията на живот и труд за финансовата 2023 година;</w:t>
      </w:r>
    </w:p>
    <w:p w14:paraId="17F2E23C"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изпълнителния директор на Европейската фондация за подобряване на условията на живот и труд,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5BDDE725" w14:textId="77777777" w:rsidR="004D1A97" w:rsidRPr="00B84F91" w:rsidRDefault="004D1A97" w:rsidP="004D1A97"/>
    <w:p w14:paraId="6AF95DFD" w14:textId="77777777" w:rsidR="004D1A97" w:rsidRPr="00B84F91" w:rsidRDefault="004D1A97" w:rsidP="004D1A97"/>
    <w:p w14:paraId="7B97B428" w14:textId="77777777" w:rsidR="004D1A97" w:rsidRPr="00B84F91" w:rsidRDefault="004D1A97" w:rsidP="004D1A97">
      <w:pPr>
        <w:pStyle w:val="PageHeadingDec"/>
        <w:sectPr w:rsidR="004D1A97" w:rsidRPr="00B84F91" w:rsidSect="00B84F91">
          <w:footerReference w:type="first" r:id="rId6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5E76F7A" w14:textId="77777777" w:rsidR="006142BC" w:rsidRDefault="006142BC" w:rsidP="006142BC">
      <w:pPr>
        <w:pStyle w:val="ATHeading3"/>
      </w:pPr>
      <w:r>
        <w:lastRenderedPageBreak/>
        <w:t>57. Решение на Европейския парламент от 7 май 2025 г. относно освобождаването от отговорност във връзка с изпълнението на бюджета на Агенцията на Европейския съюз за сътрудничество в областта на наказателното правосъдие за финансовата 2023 година (2024/2030(DEC))</w:t>
      </w:r>
    </w:p>
    <w:p w14:paraId="1AAC4210" w14:textId="77777777" w:rsidR="004D1A97" w:rsidRPr="00B84F91" w:rsidRDefault="004D1A97" w:rsidP="004D1A97">
      <w:pPr>
        <w:pStyle w:val="EPComma"/>
      </w:pPr>
      <w:r w:rsidRPr="00B84F91">
        <w:rPr>
          <w:i/>
        </w:rPr>
        <w:t>Европейският парламент</w:t>
      </w:r>
      <w:r w:rsidRPr="00B84F91">
        <w:t>,</w:t>
      </w:r>
    </w:p>
    <w:p w14:paraId="5D6F0FC4"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на Европейския съюз за сътрудничество в областта на наказателното правосъдие за финансовата 2023 година,</w:t>
      </w:r>
    </w:p>
    <w:p w14:paraId="08BCB5A3"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339"/>
      </w:r>
      <w:r w:rsidRPr="00B84F91">
        <w:t>,</w:t>
      </w:r>
    </w:p>
    <w:p w14:paraId="4A90E31D"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340"/>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3365B284"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5F7E49C4"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0AE0DFEA"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341"/>
      </w:r>
      <w:r w:rsidRPr="00B84F91">
        <w:t>, и по-специално член 70 от него,</w:t>
      </w:r>
    </w:p>
    <w:p w14:paraId="6FFAC336"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342"/>
      </w:r>
      <w:r w:rsidRPr="00B84F91">
        <w:t>, и по-специално член 70 от него,</w:t>
      </w:r>
    </w:p>
    <w:p w14:paraId="021FD918" w14:textId="77777777" w:rsidR="004D1A97" w:rsidRPr="00B84F91" w:rsidRDefault="004D1A97" w:rsidP="004D1A97">
      <w:pPr>
        <w:pStyle w:val="NormalHanging12a"/>
      </w:pPr>
      <w:r w:rsidRPr="00B84F91">
        <w:t>–</w:t>
      </w:r>
      <w:r w:rsidRPr="00B84F91">
        <w:tab/>
        <w:t>като взе предвид Регламент (ЕС) 2018/1727 на Европейския парламент и на Съвета от 14 ноември 2018 г. относно Агенцията на Европейския съюз за сътрудничество в областта на наказателното правосъдие (Евроюст) и за замяна и отмяна на Решение 2002/187/ПВР на Съвета</w:t>
      </w:r>
      <w:r w:rsidRPr="00B84F91">
        <w:rPr>
          <w:rStyle w:val="FootnoteReference"/>
        </w:rPr>
        <w:footnoteReference w:id="343"/>
      </w:r>
      <w:r w:rsidRPr="00B84F91">
        <w:t>, и по-специално член 63 от него,</w:t>
      </w:r>
    </w:p>
    <w:p w14:paraId="1AD8258B" w14:textId="77777777" w:rsidR="004D1A97" w:rsidRPr="00B84F91" w:rsidRDefault="004D1A97" w:rsidP="004D1A97">
      <w:pPr>
        <w:pStyle w:val="NormalHanging12a"/>
      </w:pPr>
      <w:r w:rsidRPr="00B84F91">
        <w:t>–</w:t>
      </w:r>
      <w:r w:rsidRPr="00B84F91">
        <w:tab/>
        <w:t xml:space="preserve">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w:t>
      </w:r>
      <w:r w:rsidRPr="00B84F91">
        <w:lastRenderedPageBreak/>
        <w:t>(ЕС, Евратом) 2018/1046 на Европейския парламент и на Съвета</w:t>
      </w:r>
      <w:r w:rsidRPr="00B84F91">
        <w:rPr>
          <w:rStyle w:val="FootnoteReference"/>
        </w:rPr>
        <w:footnoteReference w:id="344"/>
      </w:r>
      <w:r w:rsidRPr="00B84F91">
        <w:t>, и по-специално член 105 от него,</w:t>
      </w:r>
    </w:p>
    <w:p w14:paraId="71250556"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344A9BCB"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2D4795C9"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2E4A0E19" w14:textId="77777777" w:rsidR="004D1A97" w:rsidRPr="00B84F91" w:rsidRDefault="004D1A97" w:rsidP="004D1A97">
      <w:pPr>
        <w:pStyle w:val="NormalHanging12a"/>
      </w:pPr>
      <w:r w:rsidRPr="00B84F91">
        <w:t>1.</w:t>
      </w:r>
      <w:r w:rsidRPr="00B84F91">
        <w:tab/>
        <w:t>освобождава от отговорност административния директор на Агенцията на Европейския съюз за сътрудничество в областта на наказателното правосъдие във връзка с изпълнението на бюджета на агенцията за финансовата 2023 година;</w:t>
      </w:r>
    </w:p>
    <w:p w14:paraId="6A0B92E5"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590F55C6"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административния директор на Агенцията на Европейския съюз за сътрудничество в областта на наказателното правосъдие,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3C5A6D10" w14:textId="77777777" w:rsidR="004D1A97" w:rsidRPr="00B84F91" w:rsidRDefault="004D1A97" w:rsidP="004D1A97"/>
    <w:p w14:paraId="7416DA5F" w14:textId="77777777" w:rsidR="004D1A97" w:rsidRPr="00B84F91" w:rsidRDefault="004D1A97" w:rsidP="004D1A97">
      <w:pPr>
        <w:pStyle w:val="PageHeadingDec"/>
        <w:sectPr w:rsidR="004D1A97" w:rsidRPr="00B84F91" w:rsidSect="00B84F91">
          <w:footerReference w:type="first" r:id="rId6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C46D5E" w14:textId="77777777" w:rsidR="006142BC" w:rsidRDefault="006142BC" w:rsidP="006142BC">
      <w:pPr>
        <w:pStyle w:val="ATHeading3"/>
      </w:pPr>
      <w:r>
        <w:lastRenderedPageBreak/>
        <w:t>58. Решение на Европейския парламент от 7 май 2025 г. относно приключването на сметките на Агенцията на Европейския съюз за сътрудничество в областта на наказателното правосъдие за финансовата 2023 година (2024/2030(DEC))</w:t>
      </w:r>
    </w:p>
    <w:p w14:paraId="29A4768F" w14:textId="77777777" w:rsidR="004D1A97" w:rsidRPr="00B84F91" w:rsidRDefault="004D1A97" w:rsidP="004D1A97">
      <w:pPr>
        <w:pStyle w:val="EPComma"/>
      </w:pPr>
      <w:r w:rsidRPr="00B84F91">
        <w:rPr>
          <w:i/>
        </w:rPr>
        <w:t>Европейският парламент</w:t>
      </w:r>
      <w:r w:rsidRPr="00B84F91">
        <w:t>,</w:t>
      </w:r>
    </w:p>
    <w:p w14:paraId="25650366"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на Европейския съюз за сътрудничество в областта на наказателното правосъдие за финансовата 2023 година,</w:t>
      </w:r>
    </w:p>
    <w:p w14:paraId="2F40236B"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345"/>
      </w:r>
      <w:r w:rsidRPr="00B84F91">
        <w:t>,</w:t>
      </w:r>
    </w:p>
    <w:p w14:paraId="4A9B7EA9"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346"/>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4A56FB7A"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05FA483F"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6DB252F4"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347"/>
      </w:r>
      <w:r w:rsidRPr="00B84F91">
        <w:t>, и по-специално член 70 от него,</w:t>
      </w:r>
    </w:p>
    <w:p w14:paraId="6D255213"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348"/>
      </w:r>
      <w:r w:rsidRPr="00B84F91">
        <w:t>, и по-специално член 70 от него,</w:t>
      </w:r>
    </w:p>
    <w:p w14:paraId="4BCA916C" w14:textId="77777777" w:rsidR="004D1A97" w:rsidRPr="00B84F91" w:rsidRDefault="004D1A97" w:rsidP="004D1A97">
      <w:pPr>
        <w:pStyle w:val="NormalHanging12a"/>
      </w:pPr>
      <w:r w:rsidRPr="00B84F91">
        <w:t>–</w:t>
      </w:r>
      <w:r w:rsidRPr="00B84F91">
        <w:tab/>
        <w:t>като взе предвид Регламент (ЕС) 2018/1727 на Европейския парламент и на Съвета от 14 ноември 2018 г. относно Агенцията на Европейския съюз за сътрудничество в областта на наказателното правосъдие (Евроюст) и за замяна и отмяна на Решение 2002/187/ПВР на Съвета</w:t>
      </w:r>
      <w:r w:rsidRPr="00B84F91">
        <w:rPr>
          <w:rStyle w:val="FootnoteReference"/>
        </w:rPr>
        <w:footnoteReference w:id="349"/>
      </w:r>
      <w:r w:rsidRPr="00B84F91">
        <w:t>, и по-специално член 63 от него,</w:t>
      </w:r>
    </w:p>
    <w:p w14:paraId="3539B314"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350"/>
      </w:r>
      <w:r w:rsidRPr="00B84F91">
        <w:t xml:space="preserve">, и по-специално </w:t>
      </w:r>
      <w:r w:rsidRPr="00B84F91">
        <w:lastRenderedPageBreak/>
        <w:t>член 105 от него,</w:t>
      </w:r>
    </w:p>
    <w:p w14:paraId="0197CDC0"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37BCFD2B"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684919DC"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5771FDEA" w14:textId="77777777" w:rsidR="004D1A97" w:rsidRPr="00B84F91" w:rsidRDefault="004D1A97" w:rsidP="004D1A97">
      <w:pPr>
        <w:pStyle w:val="NormalHanging12a"/>
      </w:pPr>
      <w:r w:rsidRPr="00B84F91">
        <w:t>1.</w:t>
      </w:r>
      <w:r w:rsidRPr="00B84F91">
        <w:tab/>
        <w:t>одобрява приключването на сметките на Агенцията на Европейския съюз за сътрудничество в областта на наказателното правосъдие за финансовата 2023 година;</w:t>
      </w:r>
    </w:p>
    <w:p w14:paraId="4B26D08D"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административния директор на Агенцията на Европейския съюз за сътрудничество в областта на наказателното правосъдие,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2B1B8332" w14:textId="77777777" w:rsidR="004D1A97" w:rsidRPr="00B84F91" w:rsidRDefault="004D1A97" w:rsidP="004D1A97"/>
    <w:p w14:paraId="5984E410" w14:textId="77777777" w:rsidR="004D1A97" w:rsidRPr="00B84F91" w:rsidRDefault="004D1A97" w:rsidP="004D1A97"/>
    <w:p w14:paraId="5A2E1DEA" w14:textId="77777777" w:rsidR="004D1A97" w:rsidRPr="00B84F91" w:rsidRDefault="004D1A97" w:rsidP="004D1A97">
      <w:pPr>
        <w:pStyle w:val="PageHeadingDec"/>
        <w:sectPr w:rsidR="004D1A97" w:rsidRPr="00B84F91" w:rsidSect="00B84F91">
          <w:footerReference w:type="first" r:id="rId6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63E8DA0" w14:textId="77777777" w:rsidR="006142BC" w:rsidRDefault="006142BC" w:rsidP="006142BC">
      <w:pPr>
        <w:pStyle w:val="ATHeading3"/>
      </w:pPr>
      <w:r>
        <w:lastRenderedPageBreak/>
        <w:t>59. Решение на Европейския парламент от 7 май 2025 г. относно освобождаването от отговорност във връзка с изпълнението на бюджета на Агенцията на Европейския съюз за сътрудничество в областта на правоприлагането за финансовата 2023 година (2024/2030(DEC))</w:t>
      </w:r>
    </w:p>
    <w:p w14:paraId="18CBF105" w14:textId="77777777" w:rsidR="004D1A97" w:rsidRPr="00B84F91" w:rsidRDefault="004D1A97" w:rsidP="004D1A97">
      <w:pPr>
        <w:pStyle w:val="EPComma"/>
      </w:pPr>
      <w:r w:rsidRPr="00B84F91">
        <w:rPr>
          <w:i/>
        </w:rPr>
        <w:t>Европейският парламент</w:t>
      </w:r>
      <w:r w:rsidRPr="00B84F91">
        <w:t>,</w:t>
      </w:r>
    </w:p>
    <w:p w14:paraId="62EA01A4"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на Европейския съюз за сътрудничество в областта на правоприлагането за финансовата 2023 година,</w:t>
      </w:r>
    </w:p>
    <w:p w14:paraId="464DCC97"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351"/>
      </w:r>
      <w:r w:rsidRPr="00B84F91">
        <w:t>,</w:t>
      </w:r>
    </w:p>
    <w:p w14:paraId="31AE98CB"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352"/>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122878B8"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35ABDD92"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1D6002C2"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353"/>
      </w:r>
      <w:r w:rsidRPr="00B84F91">
        <w:t>, и по-специално член 70 от него,</w:t>
      </w:r>
    </w:p>
    <w:p w14:paraId="0756825B"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354"/>
      </w:r>
      <w:r w:rsidRPr="00B84F91">
        <w:t>, и по-специално член 70 от него,</w:t>
      </w:r>
    </w:p>
    <w:p w14:paraId="1CD3812D" w14:textId="77777777" w:rsidR="004D1A97" w:rsidRPr="00B84F91" w:rsidRDefault="004D1A97" w:rsidP="004D1A97">
      <w:pPr>
        <w:pStyle w:val="NormalHanging12a"/>
      </w:pPr>
      <w:r w:rsidRPr="00B84F91">
        <w:t>–</w:t>
      </w:r>
      <w:r w:rsidRPr="00B84F91">
        <w:tab/>
        <w:t>като взе предвид Регламент (ЕС) 2016/794 на Европейския парламент и на Съвета от 11 май 2016 г. относно Агенцията на Европейския съюз за сътрудничество в областта на правоприлагането (Европол) и за замяна и отмяна на решения 2009/371/ПВР, 2009/934/ПВР, 2009/935/ПВР, 2009/936/ПВР и 2009/968/ПВР на Съвета</w:t>
      </w:r>
      <w:r w:rsidRPr="00B84F91">
        <w:rPr>
          <w:rStyle w:val="FootnoteReference"/>
        </w:rPr>
        <w:footnoteReference w:id="355"/>
      </w:r>
      <w:r w:rsidRPr="00B84F91">
        <w:t>, и по-специално член 60 от него,</w:t>
      </w:r>
    </w:p>
    <w:p w14:paraId="790F63F3" w14:textId="77777777" w:rsidR="004D1A97" w:rsidRPr="00B84F91" w:rsidRDefault="004D1A97" w:rsidP="004D1A97">
      <w:pPr>
        <w:pStyle w:val="NormalHanging12a"/>
      </w:pPr>
      <w:r w:rsidRPr="00B84F91">
        <w:t>–</w:t>
      </w:r>
      <w:r w:rsidRPr="00B84F91">
        <w:tab/>
        <w:t xml:space="preserve">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w:t>
      </w:r>
      <w:r w:rsidRPr="00B84F91">
        <w:lastRenderedPageBreak/>
        <w:t>(ЕС, Евратом) 2018/1046 на Европейския парламент и на Съвета</w:t>
      </w:r>
      <w:r w:rsidRPr="00B84F91">
        <w:rPr>
          <w:rStyle w:val="FootnoteReference"/>
        </w:rPr>
        <w:footnoteReference w:id="356"/>
      </w:r>
      <w:r w:rsidRPr="00B84F91">
        <w:t>, и по-специално член 105 от него,</w:t>
      </w:r>
    </w:p>
    <w:p w14:paraId="5E7A61DA"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1808DCB6"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2707F6E7"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7797CC03" w14:textId="77777777" w:rsidR="004D1A97" w:rsidRPr="00B84F91" w:rsidRDefault="004D1A97" w:rsidP="004D1A97">
      <w:pPr>
        <w:pStyle w:val="NormalHanging12a"/>
      </w:pPr>
      <w:r w:rsidRPr="00B84F91">
        <w:t>1.</w:t>
      </w:r>
      <w:r w:rsidRPr="00B84F91">
        <w:tab/>
        <w:t>освобождава от отговорност изпълнителния директор на Агенцията на Европейския съюз за сътрудничество в областта на правоприлагането във връзка с изпълнението на бюджета на Агенцията за финансовата 2023 година;</w:t>
      </w:r>
    </w:p>
    <w:p w14:paraId="157A95F7"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1AD7D669"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на Европейския съюз за сътрудничество в областта на правоприлагането,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65493E07" w14:textId="77777777" w:rsidR="004D1A97" w:rsidRPr="00B84F91" w:rsidRDefault="004D1A97" w:rsidP="004D1A97"/>
    <w:p w14:paraId="45DD821C" w14:textId="77777777" w:rsidR="004D1A97" w:rsidRPr="00B84F91" w:rsidRDefault="004D1A97" w:rsidP="004D1A97">
      <w:pPr>
        <w:pStyle w:val="PageHeadingDec"/>
        <w:sectPr w:rsidR="004D1A97" w:rsidRPr="00B84F91" w:rsidSect="00B84F91">
          <w:footerReference w:type="first" r:id="rId6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D557C4" w14:textId="77777777" w:rsidR="006142BC" w:rsidRDefault="006142BC" w:rsidP="006142BC">
      <w:pPr>
        <w:pStyle w:val="ATHeading3"/>
      </w:pPr>
      <w:r>
        <w:lastRenderedPageBreak/>
        <w:t>60. Решение на Европейския парламент от 7 май 2025 г. относно приключването на сметките на Агенцията на Европейския съюз за сътрудничество в областта на правоприлагането за финансовата 2023 година (2024/2030(DEC))</w:t>
      </w:r>
    </w:p>
    <w:p w14:paraId="5C94F41C" w14:textId="77777777" w:rsidR="004D1A97" w:rsidRPr="00B84F91" w:rsidRDefault="004D1A97" w:rsidP="004D1A97">
      <w:pPr>
        <w:pStyle w:val="EPComma"/>
      </w:pPr>
      <w:r w:rsidRPr="00B84F91">
        <w:rPr>
          <w:i/>
        </w:rPr>
        <w:t>Европейският парламент</w:t>
      </w:r>
      <w:r w:rsidRPr="00B84F91">
        <w:t>,</w:t>
      </w:r>
    </w:p>
    <w:p w14:paraId="5965C451"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на Европейския съюз за сътрудничество в областта на правоприлагането за финансовата 2023 година,</w:t>
      </w:r>
    </w:p>
    <w:p w14:paraId="302931B7"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357"/>
      </w:r>
      <w:r w:rsidRPr="00B84F91">
        <w:t>,</w:t>
      </w:r>
    </w:p>
    <w:p w14:paraId="37650E9A"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358"/>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3AEDEA9C"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544E3325"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570CEF6D"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359"/>
      </w:r>
      <w:r w:rsidRPr="00B84F91">
        <w:t>, и по-специално член 70 от него,</w:t>
      </w:r>
    </w:p>
    <w:p w14:paraId="264A1266"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360"/>
      </w:r>
      <w:r w:rsidRPr="00B84F91">
        <w:t>, и по-специално член 70 от него,</w:t>
      </w:r>
    </w:p>
    <w:p w14:paraId="02B098D1" w14:textId="77777777" w:rsidR="004D1A97" w:rsidRPr="00B84F91" w:rsidRDefault="004D1A97" w:rsidP="004D1A97">
      <w:pPr>
        <w:pStyle w:val="NormalHanging12a"/>
      </w:pPr>
      <w:r w:rsidRPr="00B84F91">
        <w:t>–</w:t>
      </w:r>
      <w:r w:rsidRPr="00B84F91">
        <w:tab/>
        <w:t>като взе предвид Регламент (ЕС) 2016/794 на Европейския парламент и на Съвета от 11 май 2016 г. относно Агенцията на Европейския съюз за сътрудничество в областта на правоприлагането (Европол) и за замяна и отмяна на решения 2009/371/ПВР, 2009/934/ПВР, 2009/935/ПВР, 2009/936/ПВР и 2009/968/ПВР на Съвета</w:t>
      </w:r>
      <w:r w:rsidRPr="00B84F91">
        <w:rPr>
          <w:rStyle w:val="FootnoteReference"/>
        </w:rPr>
        <w:footnoteReference w:id="361"/>
      </w:r>
      <w:r w:rsidRPr="00B84F91">
        <w:t>, и по-специално член 60 от него,</w:t>
      </w:r>
    </w:p>
    <w:p w14:paraId="4BE34186" w14:textId="77777777" w:rsidR="004D1A97" w:rsidRPr="00B84F91" w:rsidRDefault="004D1A97" w:rsidP="004D1A97">
      <w:pPr>
        <w:pStyle w:val="NormalHanging12a"/>
      </w:pPr>
      <w:r w:rsidRPr="00B84F91">
        <w:t>–</w:t>
      </w:r>
      <w:r w:rsidRPr="00B84F91">
        <w:tab/>
        <w:t xml:space="preserve">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w:t>
      </w:r>
      <w:r w:rsidRPr="00B84F91">
        <w:lastRenderedPageBreak/>
        <w:t>(ЕС, Евратом) 2018/1046 на Европейския парламент и на Съвета</w:t>
      </w:r>
      <w:r w:rsidRPr="00B84F91">
        <w:rPr>
          <w:rStyle w:val="FootnoteReference"/>
        </w:rPr>
        <w:footnoteReference w:id="362"/>
      </w:r>
      <w:r w:rsidRPr="00B84F91">
        <w:t>, и по-специално член 105 от него,</w:t>
      </w:r>
    </w:p>
    <w:p w14:paraId="685582FA"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338EA4BC"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02529A11"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35ED2284" w14:textId="77777777" w:rsidR="004D1A97" w:rsidRPr="00B84F91" w:rsidRDefault="004D1A97" w:rsidP="004D1A97">
      <w:pPr>
        <w:pStyle w:val="NormalHanging12a"/>
      </w:pPr>
      <w:r w:rsidRPr="00B84F91">
        <w:t>1.</w:t>
      </w:r>
      <w:r w:rsidRPr="00B84F91">
        <w:tab/>
        <w:t>одобрява приключването на сметките на Агенцията на Европейския съюз за сътрудничество в областта на правоприлагането за финансовата 2023 година;</w:t>
      </w:r>
    </w:p>
    <w:p w14:paraId="6551FF77"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изпълнителния директор на Агенцията на Европейския съюз за сътрудничество в областта на правоприлагането,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15C25D16" w14:textId="77777777" w:rsidR="004D1A97" w:rsidRPr="00B84F91" w:rsidRDefault="004D1A97" w:rsidP="004D1A97"/>
    <w:p w14:paraId="5C79DB33" w14:textId="77777777" w:rsidR="004D1A97" w:rsidRPr="00B84F91" w:rsidRDefault="004D1A97" w:rsidP="004D1A97"/>
    <w:p w14:paraId="49DB14EF" w14:textId="77777777" w:rsidR="004D1A97" w:rsidRPr="00B84F91" w:rsidRDefault="004D1A97" w:rsidP="004D1A97">
      <w:pPr>
        <w:pStyle w:val="PageHeadingDec"/>
        <w:sectPr w:rsidR="004D1A97" w:rsidRPr="00B84F91" w:rsidSect="00B84F91">
          <w:footerReference w:type="first" r:id="rId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4BEF3C1" w14:textId="77777777" w:rsidR="006142BC" w:rsidRDefault="006142BC" w:rsidP="006142BC">
      <w:pPr>
        <w:pStyle w:val="ATHeading3"/>
      </w:pPr>
      <w:r>
        <w:lastRenderedPageBreak/>
        <w:t>61. Решение на Европейския парламент от 7 май 2025 г. относно освобождаването от отговорност във връзка с изпълнението на бюджета на Агенцията на Европейския съюз за космическата програма за финансовата 2023 година (2024/2030(DEC))</w:t>
      </w:r>
    </w:p>
    <w:p w14:paraId="5C9A38A2" w14:textId="77777777" w:rsidR="004D1A97" w:rsidRPr="00B84F91" w:rsidRDefault="004D1A97" w:rsidP="004D1A97">
      <w:pPr>
        <w:pStyle w:val="EPComma"/>
      </w:pPr>
      <w:r w:rsidRPr="00B84F91">
        <w:rPr>
          <w:i/>
        </w:rPr>
        <w:t>Европейският парламент</w:t>
      </w:r>
      <w:r w:rsidRPr="00B84F91">
        <w:t>,</w:t>
      </w:r>
    </w:p>
    <w:p w14:paraId="237B9311"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на Европейския съюз за космическата програма за финансовата 2023 година,</w:t>
      </w:r>
    </w:p>
    <w:p w14:paraId="56C5C273"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363"/>
      </w:r>
      <w:r w:rsidRPr="00B84F91">
        <w:t>,</w:t>
      </w:r>
    </w:p>
    <w:p w14:paraId="7BC1965B"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364"/>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4CB2266E"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69793016"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6936ABEF"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365"/>
      </w:r>
      <w:r w:rsidRPr="00B84F91">
        <w:t>, и по-специално член 70 от него,</w:t>
      </w:r>
    </w:p>
    <w:p w14:paraId="716ED7E6"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366"/>
      </w:r>
      <w:r w:rsidRPr="00B84F91">
        <w:t>, и по-специално член 70 от него,</w:t>
      </w:r>
    </w:p>
    <w:p w14:paraId="445D77DC" w14:textId="77777777" w:rsidR="004D1A97" w:rsidRPr="00B84F91" w:rsidRDefault="004D1A97" w:rsidP="004D1A97">
      <w:pPr>
        <w:pStyle w:val="NormalHanging12a"/>
      </w:pPr>
      <w:r w:rsidRPr="00B84F91">
        <w:t>–</w:t>
      </w:r>
      <w:r w:rsidRPr="00B84F91">
        <w:tab/>
        <w:t>като взе предвид Регламент (ЕС) 2021/696 на Европейския парламент и на Съвета от 28 април 2021 г. за създаване на космическа програма на Съюза и Агенция на Европейския съюз за космическата програма и за отмяна на регламенти (ЕС) № 912/2010, (ЕС) № 1285/2013 и (ЕС) № 377/2014 и на Решение № 541/2014/ЕС</w:t>
      </w:r>
      <w:r w:rsidRPr="00B84F91">
        <w:rPr>
          <w:rStyle w:val="FootnoteReference"/>
        </w:rPr>
        <w:footnoteReference w:id="367"/>
      </w:r>
      <w:r w:rsidRPr="00B84F91">
        <w:t>, и по-специално членове 85 и 86 от него,</w:t>
      </w:r>
    </w:p>
    <w:p w14:paraId="50CBFC93" w14:textId="77777777" w:rsidR="004D1A97" w:rsidRPr="00B84F91" w:rsidRDefault="004D1A97" w:rsidP="004D1A97">
      <w:pPr>
        <w:pStyle w:val="NormalHanging12a"/>
      </w:pPr>
      <w:r w:rsidRPr="00B84F91">
        <w:t>–</w:t>
      </w:r>
      <w:r w:rsidRPr="00B84F91">
        <w:tab/>
        <w:t xml:space="preserve">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w:t>
      </w:r>
      <w:r w:rsidRPr="00B84F91">
        <w:lastRenderedPageBreak/>
        <w:t>(ЕС, Евратом) 2018/1046 на Европейския парламент и на Съвета</w:t>
      </w:r>
      <w:r w:rsidRPr="00B84F91">
        <w:rPr>
          <w:rStyle w:val="FootnoteReference"/>
        </w:rPr>
        <w:footnoteReference w:id="368"/>
      </w:r>
      <w:r w:rsidRPr="00B84F91">
        <w:t>, и по-специално член 105 от него,</w:t>
      </w:r>
    </w:p>
    <w:p w14:paraId="3CA58272"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348A3099"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3477279D"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5A377731" w14:textId="77777777" w:rsidR="004D1A97" w:rsidRPr="00B84F91" w:rsidRDefault="004D1A97" w:rsidP="004D1A97">
      <w:pPr>
        <w:pStyle w:val="NormalHanging12a"/>
      </w:pPr>
      <w:r w:rsidRPr="00B84F91">
        <w:t>1.</w:t>
      </w:r>
      <w:r w:rsidRPr="00B84F91">
        <w:tab/>
        <w:t>освобождава от отговорност изпълнителния директор на Агенцията на Европейския съюз за космическата програма във връзка с изпълнението на бюджета на агенцията за финансовата 2023 година;</w:t>
      </w:r>
    </w:p>
    <w:p w14:paraId="1CE485BE"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05EB95EE"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на Европейския съюз за космическата програма,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39E37F03" w14:textId="77777777" w:rsidR="004D1A97" w:rsidRPr="00B84F91" w:rsidRDefault="004D1A97" w:rsidP="004D1A97"/>
    <w:p w14:paraId="678C6EBA" w14:textId="77777777" w:rsidR="004D1A97" w:rsidRPr="00B84F91" w:rsidRDefault="004D1A97" w:rsidP="004D1A97">
      <w:pPr>
        <w:pStyle w:val="PageHeadingDec"/>
        <w:sectPr w:rsidR="004D1A97" w:rsidRPr="00B84F91" w:rsidSect="00B84F91">
          <w:footerReference w:type="first" r:id="rId6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180D135" w14:textId="77777777" w:rsidR="006142BC" w:rsidRDefault="006142BC" w:rsidP="006142BC">
      <w:pPr>
        <w:pStyle w:val="ATHeading3"/>
      </w:pPr>
      <w:r>
        <w:lastRenderedPageBreak/>
        <w:t>62. Решение на Европейския парламент от 7 май 2025 г. относно приключването на сметките на Агенцията на Европейския съюз за космическата програма за финансовата 2023 година (2024/2030(DEC))</w:t>
      </w:r>
    </w:p>
    <w:p w14:paraId="15E6867E" w14:textId="77777777" w:rsidR="004D1A97" w:rsidRPr="00B84F91" w:rsidRDefault="004D1A97" w:rsidP="004D1A97">
      <w:pPr>
        <w:pStyle w:val="EPComma"/>
      </w:pPr>
      <w:r w:rsidRPr="00B84F91">
        <w:rPr>
          <w:i/>
        </w:rPr>
        <w:t>Европейският парламент</w:t>
      </w:r>
      <w:r w:rsidRPr="00B84F91">
        <w:t>,</w:t>
      </w:r>
    </w:p>
    <w:p w14:paraId="47C25801"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на Европейския съюз за космическата програма за финансовата 2023 година,</w:t>
      </w:r>
    </w:p>
    <w:p w14:paraId="05B6FC1A"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369"/>
      </w:r>
      <w:r w:rsidRPr="00B84F91">
        <w:t>,</w:t>
      </w:r>
    </w:p>
    <w:p w14:paraId="57F22DD6"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370"/>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00D55405"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1304FF2A"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41BD9C57"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371"/>
      </w:r>
      <w:r w:rsidRPr="00B84F91">
        <w:t>, и по-специално член 70 от него,</w:t>
      </w:r>
    </w:p>
    <w:p w14:paraId="22238FC9"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372"/>
      </w:r>
      <w:r w:rsidRPr="00B84F91">
        <w:t>, и по-специално член 70 от него,</w:t>
      </w:r>
    </w:p>
    <w:p w14:paraId="494FC977" w14:textId="77777777" w:rsidR="004D1A97" w:rsidRPr="00B84F91" w:rsidRDefault="004D1A97" w:rsidP="004D1A97">
      <w:pPr>
        <w:pStyle w:val="NormalHanging12a"/>
      </w:pPr>
      <w:r w:rsidRPr="00B84F91">
        <w:t>–</w:t>
      </w:r>
      <w:r w:rsidRPr="00B84F91">
        <w:tab/>
        <w:t>като взе предвид Регламент (ЕС) 2021/696 на Европейския парламент и на Съвета от 28 април 2021 г. за създаване на космическа програма на Съюза и Агенция на Европейския съюз за космическата програма и за отмяна на регламенти (ЕС) № 912/2010, (ЕС) № 1285/2013 и (ЕС) № 377/2014 и на Решение № 541/2014/ЕС</w:t>
      </w:r>
      <w:r w:rsidRPr="00B84F91">
        <w:rPr>
          <w:rStyle w:val="FootnoteReference"/>
        </w:rPr>
        <w:footnoteReference w:id="373"/>
      </w:r>
      <w:r w:rsidRPr="00B84F91">
        <w:t>, и по-специално членове 85 и 86 от него,</w:t>
      </w:r>
    </w:p>
    <w:p w14:paraId="14F0C3F5"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374"/>
      </w:r>
      <w:r w:rsidRPr="00B84F91">
        <w:t xml:space="preserve">, и по-специално </w:t>
      </w:r>
      <w:r w:rsidRPr="00B84F91">
        <w:lastRenderedPageBreak/>
        <w:t>член 105 от него,</w:t>
      </w:r>
    </w:p>
    <w:p w14:paraId="739A4CCA"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0180E9D5"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49973B03"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49BFC97E" w14:textId="77777777" w:rsidR="004D1A97" w:rsidRPr="00B84F91" w:rsidRDefault="004D1A97" w:rsidP="004D1A97">
      <w:pPr>
        <w:pStyle w:val="NormalHanging12a"/>
      </w:pPr>
      <w:r w:rsidRPr="00B84F91">
        <w:t>1.</w:t>
      </w:r>
      <w:r w:rsidRPr="00B84F91">
        <w:tab/>
        <w:t>одобрява приключването на сметките на Агенцията на Европейския съюз за космическата програма за финансовата 2023 година;</w:t>
      </w:r>
    </w:p>
    <w:p w14:paraId="5DA1BF30"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изпълнителния директор на Агенцията на Европейския съюз за космическата програма,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21307B2B" w14:textId="77777777" w:rsidR="004D1A97" w:rsidRPr="00B84F91" w:rsidRDefault="004D1A97" w:rsidP="004D1A97"/>
    <w:p w14:paraId="5BF1D538" w14:textId="77777777" w:rsidR="004D1A97" w:rsidRPr="00B84F91" w:rsidRDefault="004D1A97" w:rsidP="004D1A97"/>
    <w:p w14:paraId="678DB2D0" w14:textId="77777777" w:rsidR="004D1A97" w:rsidRPr="00B84F91" w:rsidRDefault="004D1A97" w:rsidP="004D1A97">
      <w:pPr>
        <w:pStyle w:val="PageHeadingDec"/>
        <w:sectPr w:rsidR="004D1A97" w:rsidRPr="00B84F91" w:rsidSect="00B84F91">
          <w:footerReference w:type="first" r:id="rId7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211BDDD" w14:textId="77777777" w:rsidR="006142BC" w:rsidRDefault="006142BC" w:rsidP="006142BC">
      <w:pPr>
        <w:pStyle w:val="ATHeading3"/>
      </w:pPr>
      <w:r>
        <w:lastRenderedPageBreak/>
        <w:t>63. Решение на Европейския парламент от 7 май 2025 г. относно освобождаването от отговорност във връзка с изпълнението на бюджета на Агенцията на Европейския съюз за основните права за финансовата 2023 година (2024/2030(DEC))</w:t>
      </w:r>
    </w:p>
    <w:p w14:paraId="3DAD9B21" w14:textId="77777777" w:rsidR="004D1A97" w:rsidRPr="00B84F91" w:rsidRDefault="004D1A97" w:rsidP="004D1A97">
      <w:pPr>
        <w:pStyle w:val="EPComma"/>
      </w:pPr>
      <w:r w:rsidRPr="00B84F91">
        <w:rPr>
          <w:i/>
        </w:rPr>
        <w:t>Европейският парламент</w:t>
      </w:r>
      <w:r w:rsidRPr="00B84F91">
        <w:t>,</w:t>
      </w:r>
    </w:p>
    <w:p w14:paraId="482524A5"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на Европейския съюз за основните права за финансовата 2023 година,</w:t>
      </w:r>
    </w:p>
    <w:p w14:paraId="53FB97BF"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375"/>
      </w:r>
      <w:r w:rsidRPr="00B84F91">
        <w:t>,</w:t>
      </w:r>
    </w:p>
    <w:p w14:paraId="75F95100"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376"/>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78A56C4D"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7D38B730"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03D897F7"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377"/>
      </w:r>
      <w:r w:rsidRPr="00B84F91">
        <w:t>, и по-специално член 70 от него,</w:t>
      </w:r>
    </w:p>
    <w:p w14:paraId="274A8505"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378"/>
      </w:r>
      <w:r w:rsidRPr="00B84F91">
        <w:t>, и по-специално член 70 от него,</w:t>
      </w:r>
    </w:p>
    <w:p w14:paraId="70DDE3AF" w14:textId="77777777" w:rsidR="004D1A97" w:rsidRPr="00B84F91" w:rsidRDefault="004D1A97" w:rsidP="004D1A97">
      <w:pPr>
        <w:pStyle w:val="NormalHanging12a"/>
      </w:pPr>
      <w:r w:rsidRPr="00B84F91">
        <w:t>–</w:t>
      </w:r>
      <w:r w:rsidRPr="00B84F91">
        <w:tab/>
        <w:t>като взе предвид Регламент (ЕО) № 168/2007 на Съвета от 15 февруари 2007 г. за създаване на Агенция на Европейския съюз за основните права</w:t>
      </w:r>
      <w:r w:rsidRPr="00B84F91">
        <w:rPr>
          <w:rStyle w:val="FootnoteReference"/>
        </w:rPr>
        <w:footnoteReference w:id="379"/>
      </w:r>
      <w:r w:rsidRPr="00B84F91">
        <w:t>, и по-специално член 21 от него,</w:t>
      </w:r>
    </w:p>
    <w:p w14:paraId="0B74ACBC"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380"/>
      </w:r>
      <w:r w:rsidRPr="00B84F91">
        <w:t xml:space="preserve">, и по-специално </w:t>
      </w:r>
      <w:r w:rsidRPr="00B84F91">
        <w:lastRenderedPageBreak/>
        <w:t>член 105 от него,</w:t>
      </w:r>
    </w:p>
    <w:p w14:paraId="16135B07"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7F97CDE4"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7DC2A66D"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2F779484" w14:textId="77777777" w:rsidR="004D1A97" w:rsidRPr="00B84F91" w:rsidRDefault="004D1A97" w:rsidP="004D1A97">
      <w:pPr>
        <w:pStyle w:val="NormalHanging12a"/>
      </w:pPr>
      <w:r w:rsidRPr="00B84F91">
        <w:t>1.</w:t>
      </w:r>
      <w:r w:rsidRPr="00B84F91">
        <w:tab/>
        <w:t>освобождава от отговорност директора на Агенцията на Европейския съюз за основните права във връзка с изпълнението на бюджета на Агенцията за финансовата 2023 година;</w:t>
      </w:r>
    </w:p>
    <w:p w14:paraId="19895B9B"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458C0002"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директора на Агенцията на Европейския съюз за основните права,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26E91722" w14:textId="77777777" w:rsidR="004D1A97" w:rsidRPr="00B84F91" w:rsidRDefault="004D1A97" w:rsidP="004D1A97"/>
    <w:p w14:paraId="572934FD" w14:textId="77777777" w:rsidR="004D1A97" w:rsidRPr="00B84F91" w:rsidRDefault="004D1A97" w:rsidP="004D1A97">
      <w:pPr>
        <w:pStyle w:val="PageHeadingDec"/>
        <w:sectPr w:rsidR="004D1A97" w:rsidRPr="00B84F91" w:rsidSect="00B84F91">
          <w:footerReference w:type="first" r:id="rId7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2E2AC3E" w14:textId="77777777" w:rsidR="006142BC" w:rsidRDefault="006142BC" w:rsidP="006142BC">
      <w:pPr>
        <w:pStyle w:val="ATHeading3"/>
      </w:pPr>
      <w:r>
        <w:lastRenderedPageBreak/>
        <w:t>64. Решение на Европейския парламент от 7 май 2025 г. относно приключването на сметките на Агенцията на Европейския съюз за основните права за финансовата 2023 година (2024/2030(DEC))</w:t>
      </w:r>
    </w:p>
    <w:p w14:paraId="2CF6BAAA" w14:textId="77777777" w:rsidR="004D1A97" w:rsidRPr="00B84F91" w:rsidRDefault="004D1A97" w:rsidP="004D1A97">
      <w:pPr>
        <w:pStyle w:val="EPComma"/>
      </w:pPr>
      <w:r w:rsidRPr="00B84F91">
        <w:rPr>
          <w:i/>
        </w:rPr>
        <w:t>Европейският парламент</w:t>
      </w:r>
      <w:r w:rsidRPr="00B84F91">
        <w:t>,</w:t>
      </w:r>
    </w:p>
    <w:p w14:paraId="1063D411" w14:textId="77777777" w:rsidR="004D1A97" w:rsidRPr="00B84F91" w:rsidRDefault="004D1A97" w:rsidP="004D1A97">
      <w:pPr>
        <w:pStyle w:val="NormalHanging12a"/>
      </w:pPr>
      <w:r w:rsidRPr="00B84F91">
        <w:t>–</w:t>
      </w:r>
      <w:r w:rsidRPr="00B84F91">
        <w:tab/>
        <w:t>като взе предвид окончателните годишни отчети на Агенцията на Европейския съюз за основните права за финансовата 2023 година,</w:t>
      </w:r>
    </w:p>
    <w:p w14:paraId="60CB4E84"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381"/>
      </w:r>
      <w:r w:rsidRPr="00B84F91">
        <w:t>,</w:t>
      </w:r>
    </w:p>
    <w:p w14:paraId="728FFC96"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382"/>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18D9F025"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7BDE7369"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1FFE7749"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383"/>
      </w:r>
      <w:r w:rsidRPr="00B84F91">
        <w:t>, и по-специално член 70 от него,</w:t>
      </w:r>
    </w:p>
    <w:p w14:paraId="0032F3FB"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384"/>
      </w:r>
      <w:r w:rsidRPr="00B84F91">
        <w:t>, и по-специално член 70 от него,</w:t>
      </w:r>
    </w:p>
    <w:p w14:paraId="3DC68A19" w14:textId="77777777" w:rsidR="004D1A97" w:rsidRPr="00B84F91" w:rsidRDefault="004D1A97" w:rsidP="004D1A97">
      <w:pPr>
        <w:pStyle w:val="NormalHanging12a"/>
      </w:pPr>
      <w:r w:rsidRPr="00B84F91">
        <w:t>–</w:t>
      </w:r>
      <w:r w:rsidRPr="00B84F91">
        <w:tab/>
        <w:t>като взе предвид Регламент (ЕО) № 168/2007 на Съвета от 15 февруари 2007 г. за създаване на Агенция на Европейския съюз за основните права</w:t>
      </w:r>
      <w:r w:rsidRPr="00B84F91">
        <w:rPr>
          <w:rStyle w:val="FootnoteReference"/>
        </w:rPr>
        <w:footnoteReference w:id="385"/>
      </w:r>
      <w:r w:rsidRPr="00B84F91">
        <w:t>, и по-специално член 21 от него,</w:t>
      </w:r>
    </w:p>
    <w:p w14:paraId="04ACB77B"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386"/>
      </w:r>
      <w:r w:rsidRPr="00B84F91">
        <w:t>, и по-специално член 105 от него,</w:t>
      </w:r>
    </w:p>
    <w:p w14:paraId="710795BD" w14:textId="77777777" w:rsidR="004D1A97" w:rsidRPr="00B84F91" w:rsidRDefault="004D1A97" w:rsidP="004D1A97">
      <w:pPr>
        <w:pStyle w:val="NormalHanging12a"/>
      </w:pPr>
      <w:r w:rsidRPr="00B84F91">
        <w:lastRenderedPageBreak/>
        <w:t>–</w:t>
      </w:r>
      <w:r w:rsidRPr="00B84F91">
        <w:tab/>
        <w:t>като взе предвид член 102 и приложение V към своя Правилник за дейността,</w:t>
      </w:r>
    </w:p>
    <w:p w14:paraId="4B086C5F"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1D3243F8"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2C663133" w14:textId="77777777" w:rsidR="004D1A97" w:rsidRPr="00B84F91" w:rsidRDefault="004D1A97" w:rsidP="004D1A97">
      <w:pPr>
        <w:pStyle w:val="NormalHanging12a"/>
      </w:pPr>
      <w:r w:rsidRPr="00B84F91">
        <w:t>1.</w:t>
      </w:r>
      <w:r w:rsidRPr="00B84F91">
        <w:tab/>
        <w:t>одобрява приключването на сметките на Агенцията на Европейския съюз за основните права за финансовата 2023 година;</w:t>
      </w:r>
    </w:p>
    <w:p w14:paraId="677A3C87"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директора на Агенцията на Европейския съюз за основните права,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5771006D" w14:textId="77777777" w:rsidR="004D1A97" w:rsidRPr="00B84F91" w:rsidRDefault="004D1A97" w:rsidP="004D1A97"/>
    <w:p w14:paraId="252A3954" w14:textId="77777777" w:rsidR="004D1A97" w:rsidRPr="00B84F91" w:rsidRDefault="004D1A97" w:rsidP="004D1A97"/>
    <w:p w14:paraId="5FE61C49" w14:textId="77777777" w:rsidR="004D1A97" w:rsidRPr="00B84F91" w:rsidRDefault="004D1A97" w:rsidP="004D1A97">
      <w:pPr>
        <w:pStyle w:val="PageHeadingDec"/>
        <w:sectPr w:rsidR="004D1A97" w:rsidRPr="00B84F91" w:rsidSect="00B84F91">
          <w:footerReference w:type="first" r:id="rId7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9D81562" w14:textId="77777777" w:rsidR="006142BC" w:rsidRDefault="006142BC" w:rsidP="006142BC">
      <w:pPr>
        <w:pStyle w:val="ATHeading3"/>
      </w:pPr>
      <w:r>
        <w:lastRenderedPageBreak/>
        <w:t>65. Решение на Европейския парламент от 7 май 2025 г. относно освобождаването от отговорност във връзка с изпълнението на бюджета на Европейската агенция за гранична и брегова охрана за финансовата 2023 година (2024/2030(DEC))</w:t>
      </w:r>
    </w:p>
    <w:p w14:paraId="11B9038E" w14:textId="77777777" w:rsidR="004D1A97" w:rsidRPr="00B84F91" w:rsidRDefault="004D1A97" w:rsidP="004D1A97">
      <w:pPr>
        <w:pStyle w:val="EPComma"/>
      </w:pPr>
      <w:r w:rsidRPr="00B84F91">
        <w:rPr>
          <w:i/>
        </w:rPr>
        <w:t>Европейският парламент</w:t>
      </w:r>
      <w:r w:rsidRPr="00B84F91">
        <w:t>,</w:t>
      </w:r>
    </w:p>
    <w:p w14:paraId="01CA25D9"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Европейската агенция за гранична и брегова охрана за финансовата 2023 година,</w:t>
      </w:r>
    </w:p>
    <w:p w14:paraId="431A9F58"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387"/>
      </w:r>
      <w:r w:rsidRPr="00B84F91">
        <w:t>,</w:t>
      </w:r>
    </w:p>
    <w:p w14:paraId="6F5FBE92"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388"/>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471EE272"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06E20F8D"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297B496C"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389"/>
      </w:r>
      <w:r w:rsidRPr="00B84F91">
        <w:t>, и по-специално член 70 от него,</w:t>
      </w:r>
    </w:p>
    <w:p w14:paraId="79BC8CB9"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390"/>
      </w:r>
      <w:r w:rsidRPr="00B84F91">
        <w:t>, и по-специално член 70 от него,</w:t>
      </w:r>
    </w:p>
    <w:p w14:paraId="516F82E7" w14:textId="77777777" w:rsidR="004D1A97" w:rsidRPr="00B84F91" w:rsidRDefault="004D1A97" w:rsidP="004D1A97">
      <w:pPr>
        <w:pStyle w:val="NormalHanging12a"/>
      </w:pPr>
      <w:r w:rsidRPr="00B84F91">
        <w:t>–</w:t>
      </w:r>
      <w:r w:rsidRPr="00B84F91">
        <w:tab/>
        <w:t>като взе предвид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w:t>
      </w:r>
      <w:r w:rsidRPr="00B84F91">
        <w:rPr>
          <w:rStyle w:val="FootnoteReference"/>
        </w:rPr>
        <w:footnoteReference w:id="391"/>
      </w:r>
      <w:r w:rsidRPr="00B84F91">
        <w:t>, и по-специално член 116 от него,</w:t>
      </w:r>
    </w:p>
    <w:p w14:paraId="3DFDAEC3"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392"/>
      </w:r>
      <w:r w:rsidRPr="00B84F91">
        <w:t xml:space="preserve">, и по-специално </w:t>
      </w:r>
      <w:r w:rsidRPr="00B84F91">
        <w:lastRenderedPageBreak/>
        <w:t>член 105 от него,</w:t>
      </w:r>
    </w:p>
    <w:p w14:paraId="48263652"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7CFECC90"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55FABC47"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0F15D553" w14:textId="77777777" w:rsidR="004D1A97" w:rsidRPr="00B84F91" w:rsidRDefault="004D1A97" w:rsidP="004D1A97">
      <w:pPr>
        <w:pStyle w:val="NormalHanging12a"/>
      </w:pPr>
      <w:r w:rsidRPr="00B84F91">
        <w:t>1.</w:t>
      </w:r>
      <w:r w:rsidRPr="00B84F91">
        <w:tab/>
        <w:t>освобождава от отговорност изпълнителния директор на Европейската агенция за гранична и брегова охрана във връзка с изпълнението на бюджета на агенцията за финансовата 2023 година;</w:t>
      </w:r>
    </w:p>
    <w:p w14:paraId="53A58959" w14:textId="77777777" w:rsidR="004D1A97" w:rsidRPr="00B84F91" w:rsidRDefault="004D1A97" w:rsidP="004D1A97">
      <w:pPr>
        <w:pStyle w:val="NormalHanging12a"/>
      </w:pPr>
      <w:r w:rsidRPr="00B84F91">
        <w:t>2.</w:t>
      </w:r>
      <w:r w:rsidRPr="00B84F91">
        <w:tab/>
        <w:t>представя своите забележки в резолюцията по-долу;</w:t>
      </w:r>
    </w:p>
    <w:p w14:paraId="1092FE04" w14:textId="77777777" w:rsidR="004D1A97" w:rsidRPr="00B84F91" w:rsidRDefault="004D1A97" w:rsidP="004D1A97">
      <w:pPr>
        <w:pStyle w:val="NormalHanging12a"/>
      </w:pPr>
      <w:r w:rsidRPr="00B84F91">
        <w:t>3.</w:t>
      </w:r>
      <w:r w:rsidRPr="00B84F91">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за гранична и брегова охрана, на Съвета, на Комисията и на Сметната палата и да осигури публикуването им в </w:t>
      </w:r>
      <w:r w:rsidRPr="00B84F91">
        <w:rPr>
          <w:i/>
        </w:rPr>
        <w:t>Официален вестник на Европейския съюз</w:t>
      </w:r>
      <w:r w:rsidRPr="00B84F91">
        <w:t xml:space="preserve"> (серия L).</w:t>
      </w:r>
    </w:p>
    <w:p w14:paraId="72279B65" w14:textId="77777777" w:rsidR="004D1A97" w:rsidRPr="00B84F91" w:rsidRDefault="004D1A97" w:rsidP="004D1A97"/>
    <w:p w14:paraId="74815784" w14:textId="77777777" w:rsidR="004D1A97" w:rsidRPr="00B84F91" w:rsidRDefault="004D1A97" w:rsidP="004D1A97">
      <w:pPr>
        <w:pStyle w:val="PageHeadingDec"/>
        <w:sectPr w:rsidR="004D1A97" w:rsidRPr="00B84F91" w:rsidSect="00B84F91">
          <w:footerReference w:type="first" r:id="rId7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075D77" w14:textId="77777777" w:rsidR="006142BC" w:rsidRDefault="006142BC" w:rsidP="006142BC">
      <w:pPr>
        <w:pStyle w:val="ATHeading3"/>
      </w:pPr>
      <w:r>
        <w:lastRenderedPageBreak/>
        <w:t>66. Решение на Европейския парламент от 7 май 2025 г. относно приключването на сметките на Европейската агенция за гранична и брегова охрана за финансовата 2023 година (2024/2030(DEC))</w:t>
      </w:r>
    </w:p>
    <w:p w14:paraId="3299511C" w14:textId="77777777" w:rsidR="004D1A97" w:rsidRPr="00B84F91" w:rsidRDefault="004D1A97" w:rsidP="004D1A97">
      <w:pPr>
        <w:pStyle w:val="EPComma"/>
      </w:pPr>
      <w:r w:rsidRPr="00B84F91">
        <w:rPr>
          <w:i/>
        </w:rPr>
        <w:t>Европейският парламент</w:t>
      </w:r>
      <w:r w:rsidRPr="00B84F91">
        <w:t>,</w:t>
      </w:r>
    </w:p>
    <w:p w14:paraId="3EC95F76" w14:textId="77777777" w:rsidR="004D1A97" w:rsidRPr="00B84F91" w:rsidRDefault="004D1A97" w:rsidP="004D1A97">
      <w:pPr>
        <w:pStyle w:val="NormalHanging12a"/>
      </w:pPr>
      <w:r w:rsidRPr="00B84F91">
        <w:t>–</w:t>
      </w:r>
      <w:r w:rsidRPr="00B84F91">
        <w:tab/>
        <w:t>като взе предвид окончателните годишни отчети на Европейската агенция за гранична и брегова охрана за финансовата 2023 година,</w:t>
      </w:r>
    </w:p>
    <w:p w14:paraId="4E6005DC" w14:textId="77777777" w:rsidR="004D1A97" w:rsidRPr="00B84F91" w:rsidRDefault="004D1A97" w:rsidP="004D1A97">
      <w:pPr>
        <w:pStyle w:val="NormalHanging12a"/>
      </w:pPr>
      <w:r w:rsidRPr="00B84F91">
        <w:t>–</w:t>
      </w:r>
      <w:r w:rsidRPr="00B84F91">
        <w:tab/>
        <w:t>като взе предвид годишния доклад на Сметната палата относно агенциите на ЕС за финансовата 2023 година, придружен от отговорите на агенциите</w:t>
      </w:r>
      <w:r w:rsidRPr="00B84F91">
        <w:rPr>
          <w:rStyle w:val="FootnoteReference"/>
        </w:rPr>
        <w:footnoteReference w:id="393"/>
      </w:r>
      <w:r w:rsidRPr="00B84F91">
        <w:t>,</w:t>
      </w:r>
    </w:p>
    <w:p w14:paraId="54CDBA83" w14:textId="77777777" w:rsidR="004D1A97" w:rsidRPr="00B84F91" w:rsidRDefault="004D1A97" w:rsidP="004D1A97">
      <w:pPr>
        <w:pStyle w:val="NormalHanging12a"/>
      </w:pPr>
      <w:r w:rsidRPr="00B84F91">
        <w:t>–</w:t>
      </w:r>
      <w:r w:rsidRPr="00B84F91">
        <w:tab/>
        <w:t>като взе предвид декларацията за достоверност</w:t>
      </w:r>
      <w:r w:rsidRPr="00B84F91">
        <w:rPr>
          <w:rStyle w:val="FootnoteReference"/>
        </w:rPr>
        <w:footnoteReference w:id="394"/>
      </w:r>
      <w:r w:rsidRPr="00B84F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73791B83" w14:textId="77777777" w:rsidR="004D1A97" w:rsidRPr="00B84F91" w:rsidRDefault="004D1A97" w:rsidP="004D1A97">
      <w:pPr>
        <w:pStyle w:val="NormalHanging12a"/>
      </w:pPr>
      <w:r w:rsidRPr="00B84F91">
        <w:t>–</w:t>
      </w:r>
      <w:r w:rsidRPr="00B84F91">
        <w:tab/>
        <w:t>като взе предвид препоръката на Съвета от 17 февруари 2025 г. относно освобождаването от отговорност на Агенцията във връзка с изпълнението на бюджета за финансовата 2023 година (05755/2025 – C10</w:t>
      </w:r>
      <w:r w:rsidRPr="00B84F91">
        <w:noBreakHyphen/>
        <w:t>0024/2025),</w:t>
      </w:r>
    </w:p>
    <w:p w14:paraId="08216E53" w14:textId="77777777" w:rsidR="004D1A97" w:rsidRPr="00B84F91" w:rsidRDefault="004D1A97" w:rsidP="004D1A97">
      <w:pPr>
        <w:pStyle w:val="NormalHanging12a"/>
      </w:pPr>
      <w:r w:rsidRPr="00B84F91">
        <w:t>–</w:t>
      </w:r>
      <w:r w:rsidRPr="00B84F91">
        <w:tab/>
        <w:t>като взе предвид член 319 от Договора за функционирането на Европейския съюз,</w:t>
      </w:r>
    </w:p>
    <w:p w14:paraId="059211D7" w14:textId="77777777" w:rsidR="004D1A97" w:rsidRPr="00B84F91" w:rsidRDefault="004D1A97" w:rsidP="004D1A97">
      <w:pPr>
        <w:pStyle w:val="NormalHanging12a"/>
      </w:pPr>
      <w:r w:rsidRPr="00B84F91">
        <w:t>–</w:t>
      </w:r>
      <w:r w:rsidRPr="00B84F91">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B84F91">
        <w:rPr>
          <w:rStyle w:val="FootnoteReference"/>
        </w:rPr>
        <w:footnoteReference w:id="395"/>
      </w:r>
      <w:r w:rsidRPr="00B84F91">
        <w:t>, и по-специално член 70 от него,</w:t>
      </w:r>
    </w:p>
    <w:p w14:paraId="4FC3149C" w14:textId="77777777" w:rsidR="004D1A97" w:rsidRPr="00B84F91" w:rsidRDefault="004D1A97" w:rsidP="004D1A97">
      <w:pPr>
        <w:pStyle w:val="NormalHanging12a"/>
      </w:pPr>
      <w:r w:rsidRPr="00B84F91">
        <w:t>–</w:t>
      </w:r>
      <w:r w:rsidRPr="00B84F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84F91">
        <w:rPr>
          <w:vertAlign w:val="superscript"/>
        </w:rPr>
        <w:footnoteReference w:id="396"/>
      </w:r>
      <w:r w:rsidRPr="00B84F91">
        <w:t>, и по-специално член 70 от него,</w:t>
      </w:r>
    </w:p>
    <w:p w14:paraId="09FA84A9" w14:textId="77777777" w:rsidR="004D1A97" w:rsidRPr="00B84F91" w:rsidRDefault="004D1A97" w:rsidP="004D1A97">
      <w:pPr>
        <w:pStyle w:val="NormalHanging12a"/>
      </w:pPr>
      <w:r w:rsidRPr="00B84F91">
        <w:t>–</w:t>
      </w:r>
      <w:r w:rsidRPr="00B84F91">
        <w:tab/>
        <w:t>като взе предвид 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w:t>
      </w:r>
      <w:r w:rsidRPr="00B84F91">
        <w:rPr>
          <w:rStyle w:val="FootnoteReference"/>
        </w:rPr>
        <w:footnoteReference w:id="397"/>
      </w:r>
      <w:r w:rsidRPr="00B84F91">
        <w:t>, и по-специално член 116 от него,</w:t>
      </w:r>
    </w:p>
    <w:p w14:paraId="6ABFEEA8" w14:textId="77777777" w:rsidR="004D1A97" w:rsidRPr="00B84F91" w:rsidRDefault="004D1A97" w:rsidP="004D1A97">
      <w:pPr>
        <w:pStyle w:val="NormalHanging12a"/>
      </w:pPr>
      <w:r w:rsidRPr="00B84F91">
        <w:t>–</w:t>
      </w:r>
      <w:r w:rsidRPr="00B84F91">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B84F91">
        <w:rPr>
          <w:rStyle w:val="FootnoteReference"/>
        </w:rPr>
        <w:footnoteReference w:id="398"/>
      </w:r>
      <w:r w:rsidRPr="00B84F91">
        <w:t xml:space="preserve">, и по-специално </w:t>
      </w:r>
      <w:r w:rsidRPr="00B84F91">
        <w:lastRenderedPageBreak/>
        <w:t>член 105 от него,</w:t>
      </w:r>
    </w:p>
    <w:p w14:paraId="603383C3"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3352BCC9"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082148E9"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7FF6B69B" w14:textId="77777777" w:rsidR="004D1A97" w:rsidRPr="00B84F91" w:rsidRDefault="004D1A97" w:rsidP="004D1A97">
      <w:pPr>
        <w:pStyle w:val="NormalHanging12a"/>
      </w:pPr>
      <w:r w:rsidRPr="00B84F91">
        <w:t>1.</w:t>
      </w:r>
      <w:r w:rsidRPr="00B84F91">
        <w:tab/>
        <w:t>одобрява приключването на сметките на Европейската агенция за гранична и брегова охрана за финансовата 2023 година;</w:t>
      </w:r>
    </w:p>
    <w:p w14:paraId="36C85FB4" w14:textId="77777777" w:rsidR="004D1A97" w:rsidRPr="00B84F91" w:rsidRDefault="004D1A97" w:rsidP="004D1A97">
      <w:pPr>
        <w:pStyle w:val="NormalHanging12a"/>
      </w:pPr>
      <w:r w:rsidRPr="00B84F91">
        <w:t>2.</w:t>
      </w:r>
      <w:r w:rsidRPr="00B84F91">
        <w:tab/>
        <w:t xml:space="preserve">възлага на своя председател да предаде настоящото решение на изпълнителния директор на Европейската агенция за гранична и брегова охрана, на Съвета, на Комисията и на Сметната палата и да осигури публикуването му в </w:t>
      </w:r>
      <w:r w:rsidRPr="00B84F91">
        <w:rPr>
          <w:i/>
        </w:rPr>
        <w:t>Официален вестник на Европейския съюз</w:t>
      </w:r>
      <w:r w:rsidRPr="00B84F91">
        <w:t xml:space="preserve"> (серия L).</w:t>
      </w:r>
    </w:p>
    <w:p w14:paraId="400C5EEC" w14:textId="77777777" w:rsidR="004D1A97" w:rsidRPr="00B84F91" w:rsidRDefault="004D1A97" w:rsidP="004D1A97"/>
    <w:p w14:paraId="35A2581B" w14:textId="77777777" w:rsidR="004D1A97" w:rsidRPr="00B84F91" w:rsidRDefault="004D1A97" w:rsidP="004D1A97">
      <w:pPr>
        <w:pStyle w:val="PageHeadingDec"/>
        <w:jc w:val="left"/>
        <w:sectPr w:rsidR="004D1A97" w:rsidRPr="00B84F91" w:rsidSect="00B84F9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01ACB84" w14:textId="77777777" w:rsidR="006142BC" w:rsidRDefault="006142BC" w:rsidP="006142BC">
      <w:pPr>
        <w:pStyle w:val="ATHeading3"/>
      </w:pPr>
      <w:r>
        <w:lastRenderedPageBreak/>
        <w:t>67. Резолюция на Европейския парламент от 7 май 2025 г.</w:t>
      </w:r>
      <w:r w:rsidR="00501BD5">
        <w:t>, съдържаща</w:t>
      </w:r>
      <w:r>
        <w:t xml:space="preserve"> забележките, които са неразделна част от решенията за освобождаване от отговорност във връзка с изпълнението на бюджета на агенциите на Европейския съюз за финансовата 2023 година (2024/2030(DEC))</w:t>
      </w:r>
    </w:p>
    <w:p w14:paraId="0EFE5A47" w14:textId="77777777" w:rsidR="004D1A97" w:rsidRPr="00B84F91" w:rsidRDefault="004D1A97" w:rsidP="004D1A97">
      <w:pPr>
        <w:pStyle w:val="EPComma"/>
      </w:pPr>
      <w:r w:rsidRPr="00B84F91">
        <w:rPr>
          <w:i/>
        </w:rPr>
        <w:t>Европейският парламент</w:t>
      </w:r>
      <w:r w:rsidRPr="00B84F91">
        <w:t>,</w:t>
      </w:r>
    </w:p>
    <w:p w14:paraId="4EDA08AB"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Агенцията на Европейския съюз за сътрудничество между регулаторите на енергия за финансовата 2023 година,</w:t>
      </w:r>
    </w:p>
    <w:p w14:paraId="1D8B6EC6"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Агенцията за подкрепа на ОЕРЕС за финансовата 2023 година,</w:t>
      </w:r>
    </w:p>
    <w:p w14:paraId="092575EE"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Центъра за преводи за органите на Европейския съюз за финансовата 2023 година,</w:t>
      </w:r>
    </w:p>
    <w:p w14:paraId="7D29D052"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Европейския център за развитие на професионалното обучение за финансовата 2023 година,</w:t>
      </w:r>
    </w:p>
    <w:p w14:paraId="4829E814"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Агенцията на Европейския съюз за обучение в областта на правоприлагането за финансовата 2023 година,</w:t>
      </w:r>
    </w:p>
    <w:p w14:paraId="0AB91EB6"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Агенцията за авиационна безопасност на Европейския съюз за финансовата 2023 година,</w:t>
      </w:r>
    </w:p>
    <w:p w14:paraId="7ADBDE9E"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Европейския банков орган за финансовата 2023 година,</w:t>
      </w:r>
    </w:p>
    <w:p w14:paraId="5FF83D92"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Европейския център за профилактика и контрол върху заболяванията за финансовата 2023 година,</w:t>
      </w:r>
    </w:p>
    <w:p w14:paraId="515EF2B7"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Европейската агенция по химикали за финансовата 2023 година,</w:t>
      </w:r>
    </w:p>
    <w:p w14:paraId="429226CE"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Европейската агенция за околна среда за финансовата 2023 година,</w:t>
      </w:r>
    </w:p>
    <w:p w14:paraId="7BE77BE2"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Европейската агенция за контрол на рибарството за финансовата 2023 година,</w:t>
      </w:r>
    </w:p>
    <w:p w14:paraId="7A887F24" w14:textId="77777777" w:rsidR="004D1A97" w:rsidRPr="00B84F91" w:rsidRDefault="004D1A97" w:rsidP="004D1A97">
      <w:pPr>
        <w:pStyle w:val="NormalHanging12a"/>
      </w:pPr>
      <w:r w:rsidRPr="00B84F91">
        <w:lastRenderedPageBreak/>
        <w:t>–</w:t>
      </w:r>
      <w:r w:rsidRPr="00B84F91">
        <w:tab/>
        <w:t>като взе предвид своето решение за освобождаване от отговорност във връзка с изпълнението на бюджета на Европейския орган за безопасност на храните за финансовата 2023 година,</w:t>
      </w:r>
    </w:p>
    <w:p w14:paraId="61827399"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Европейския институт за равенство между половете за финансовата 2023 година,</w:t>
      </w:r>
    </w:p>
    <w:p w14:paraId="6499A798"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Европейския орган за застраховане и професионално пенсионно осигуряване за финансовата 2023 година,</w:t>
      </w:r>
    </w:p>
    <w:p w14:paraId="75BF6B73"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Европейския институт за иновации и технологии за финансовата 2023 година,</w:t>
      </w:r>
    </w:p>
    <w:p w14:paraId="4B8A16EF"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Европейския орган по труда за финансовата 2023 година,</w:t>
      </w:r>
    </w:p>
    <w:p w14:paraId="0B9EA7EB"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Европейската агенция по лекарствата за финансовата 2023 година,</w:t>
      </w:r>
    </w:p>
    <w:p w14:paraId="609C94B9"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Европейския център за мониторинг на наркотици и наркомании за финансовата 2023 година,</w:t>
      </w:r>
    </w:p>
    <w:p w14:paraId="72025971"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Европейската агенция по морска безопасност за финансовата 2023 година,</w:t>
      </w:r>
    </w:p>
    <w:p w14:paraId="5F2E34E4"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Агенцията на Европейския съюз за киберсигурност за финансовата 2023 година,</w:t>
      </w:r>
    </w:p>
    <w:p w14:paraId="0AAFFDF3"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Агенцията за железопътен транспорт на Европейския съюз за финансовата 2023 година,</w:t>
      </w:r>
    </w:p>
    <w:p w14:paraId="1CAE1511"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Агенцията за снабдяване към Евратом за финансовата 2023 година,</w:t>
      </w:r>
    </w:p>
    <w:p w14:paraId="5D6AF315"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Европейския орган за ценни книжа и пазари за финансовата 2023 година,</w:t>
      </w:r>
    </w:p>
    <w:p w14:paraId="6AFC5886"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Европейската фондация за обучение за финансовата 2023 година,</w:t>
      </w:r>
    </w:p>
    <w:p w14:paraId="6DDCFC18" w14:textId="77777777" w:rsidR="004D1A97" w:rsidRPr="00B84F91" w:rsidRDefault="004D1A97" w:rsidP="004D1A97">
      <w:pPr>
        <w:pStyle w:val="NormalHanging12a"/>
      </w:pPr>
      <w:r w:rsidRPr="00B84F91">
        <w:lastRenderedPageBreak/>
        <w:t>–</w:t>
      </w:r>
      <w:r w:rsidRPr="00B84F91">
        <w:tab/>
        <w:t>като взе предвид своето решение за освобождаване от отговорност във връзка с изпълнението на бюджета на Агенцията на Европейския съюз в областта на убежището за финансовата 2023 година,</w:t>
      </w:r>
    </w:p>
    <w:p w14:paraId="51C028D1"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Агенцията на Европейския съюз за оперативното управление на широкомащабни информационни системи в пространството на свобода, сигурност и правосъдие за финансовата 2023 година,</w:t>
      </w:r>
    </w:p>
    <w:p w14:paraId="53EABCC1"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Европейската агенция за безопасност и здраве при работа за финансовата 2023 година,</w:t>
      </w:r>
    </w:p>
    <w:p w14:paraId="6F58285A"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Европейската фондация за подобряване на условията на живот и труд за финансовата 2023 година,</w:t>
      </w:r>
    </w:p>
    <w:p w14:paraId="241108A5"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Агенцията на Европейския съюз за сътрудничество в областта на наказателното правосъдие за финансовата 2023 година,</w:t>
      </w:r>
    </w:p>
    <w:p w14:paraId="3C8576D6"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Агенцията на Европейския съюз за сътрудничество в областта на правоприлагането за финансовата 2023 година,</w:t>
      </w:r>
    </w:p>
    <w:p w14:paraId="672CC1DD"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Агенцията на Европейския съюз за космическата програма за финансовата 2023 година,</w:t>
      </w:r>
    </w:p>
    <w:p w14:paraId="3B16181F"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Агенцията на Европейския съюз за основните права за финансовата 2023 година,</w:t>
      </w:r>
    </w:p>
    <w:p w14:paraId="59A8391F" w14:textId="77777777" w:rsidR="004D1A97" w:rsidRPr="00B84F91" w:rsidRDefault="004D1A97" w:rsidP="004D1A97">
      <w:pPr>
        <w:pStyle w:val="NormalHanging12a"/>
      </w:pPr>
      <w:r w:rsidRPr="00B84F91">
        <w:t>–</w:t>
      </w:r>
      <w:r w:rsidRPr="00B84F91">
        <w:tab/>
        <w:t>като взе предвид своето решение за освобождаване от отговорност във връзка с изпълнението на бюджета на Европейската агенция за гранична и брегова охрана за финансовата 2023 година,</w:t>
      </w:r>
    </w:p>
    <w:p w14:paraId="25A44EA1" w14:textId="77777777" w:rsidR="004D1A97" w:rsidRPr="00B84F91" w:rsidRDefault="004D1A97" w:rsidP="004D1A97">
      <w:pPr>
        <w:pStyle w:val="NormalHanging12a"/>
      </w:pPr>
      <w:r w:rsidRPr="00B84F91">
        <w:t>–</w:t>
      </w:r>
      <w:r w:rsidRPr="00B84F91">
        <w:tab/>
        <w:t>като взе предвид член 102 и приложение V към своя Правилник за дейността,</w:t>
      </w:r>
    </w:p>
    <w:p w14:paraId="2B692D56" w14:textId="77777777" w:rsidR="004D1A97" w:rsidRPr="00B84F91" w:rsidRDefault="004D1A97" w:rsidP="004D1A97">
      <w:pPr>
        <w:pStyle w:val="NormalHanging12a"/>
      </w:pPr>
      <w:r w:rsidRPr="00B84F91">
        <w:t>–</w:t>
      </w:r>
      <w:r w:rsidRPr="00B84F91">
        <w:tab/>
        <w:t>като взе предвид становищата на комисията по заетост и социални въпроси, комисията по околна среда, климат и безопасност на храните, комисията по транспорт и туризъм, комисията по рибно стопанство, комисията по култура и образование, комисията по граждански свободи, правосъдие и вътрешни работи и комисията по правата на жените и равенството между половете,</w:t>
      </w:r>
    </w:p>
    <w:p w14:paraId="7CFD1494" w14:textId="77777777" w:rsidR="004D1A97" w:rsidRPr="00B84F91" w:rsidRDefault="004D1A97" w:rsidP="004D1A97">
      <w:pPr>
        <w:pStyle w:val="NormalHanging12a"/>
      </w:pPr>
      <w:r w:rsidRPr="00B84F91">
        <w:t>–</w:t>
      </w:r>
      <w:r w:rsidRPr="00B84F91">
        <w:tab/>
        <w:t>като взе предвид доклада на комисията по бюджетен контрол (A10-0065/2025),</w:t>
      </w:r>
    </w:p>
    <w:p w14:paraId="140B77E4" w14:textId="77777777" w:rsidR="004D1A97" w:rsidRPr="00B84F91" w:rsidRDefault="004D1A97" w:rsidP="004D1A97">
      <w:pPr>
        <w:pStyle w:val="NormalHanging12a"/>
      </w:pPr>
      <w:r w:rsidRPr="00B84F91">
        <w:t>А.</w:t>
      </w:r>
      <w:r w:rsidRPr="00B84F91">
        <w:tab/>
        <w:t>като има предвид, че агенциите на ЕС</w:t>
      </w:r>
      <w:r w:rsidRPr="00B84F91">
        <w:rPr>
          <w:rStyle w:val="FootnoteReference"/>
        </w:rPr>
        <w:footnoteReference w:id="399"/>
      </w:r>
      <w:r w:rsidRPr="00B84F91">
        <w:t xml:space="preserve"> са самостоятелни правни субекти, създадени за изпълнение на специфични технически, научни или управленски </w:t>
      </w:r>
      <w:r w:rsidRPr="00B84F91">
        <w:lastRenderedPageBreak/>
        <w:t>задачи, които подпомагат институциите на Съюза при създаването и изпълнението на политики; като има предвид, че те се намират в различни държави членки и имат съществено влияние в области от голямо значение за ежедневния живот на европейските граждани, като здравеопазването, безопасността, сигурността, свободата и правосъдието;</w:t>
      </w:r>
    </w:p>
    <w:p w14:paraId="17031EB4" w14:textId="75F7D2FE" w:rsidR="004D1A97" w:rsidRPr="00B84F91" w:rsidRDefault="004D1A97" w:rsidP="004D1A97">
      <w:pPr>
        <w:pStyle w:val="NormalHanging12a"/>
      </w:pPr>
      <w:r w:rsidRPr="00B84F91">
        <w:t>Б.</w:t>
      </w:r>
      <w:r w:rsidRPr="00B84F91">
        <w:tab/>
        <w:t>като има предвид, че настоящата резолюция съдържа по отношение на всеки орган, посочен в член 70 от Регламент (ЕС, Евратом) 2024/2509</w:t>
      </w:r>
      <w:r w:rsidR="00EA1702">
        <w:t xml:space="preserve"> </w:t>
      </w:r>
      <w:r w:rsidR="00EA1702" w:rsidRPr="00A43FA6">
        <w:rPr>
          <w:color w:val="000000"/>
        </w:rPr>
        <w:t>на Европейския парламент и на Съвета</w:t>
      </w:r>
      <w:r w:rsidR="00EA1702" w:rsidRPr="00A43FA6">
        <w:rPr>
          <w:rStyle w:val="FootnoteReference"/>
          <w:color w:val="000000"/>
        </w:rPr>
        <w:footnoteReference w:id="400"/>
      </w:r>
      <w:r w:rsidRPr="00B84F91">
        <w:t>, и по отношение на Агенцията за снабдяване към Евратом хоризонтални забележки, придружаващи решенията за освобождаване от отговорност във връзка с изпълнението на бюджета съгласно член 268 от Регламент (ЕС, Евратом) 2024/2509 и член 3 от приложение V към Правилника за дейността на Европейския парламент;</w:t>
      </w:r>
    </w:p>
    <w:p w14:paraId="6DBD8DB2" w14:textId="77777777" w:rsidR="004D1A97" w:rsidRPr="00B84F91" w:rsidRDefault="004D1A97" w:rsidP="004D1A97">
      <w:pPr>
        <w:pStyle w:val="NormalHanging12a"/>
      </w:pPr>
      <w:r w:rsidRPr="00B84F91">
        <w:t>В.</w:t>
      </w:r>
      <w:r w:rsidRPr="00B84F91">
        <w:tab/>
        <w:t>като има предвид, че децентрализираните агенции на Съюза и Агенцията за снабдяване към Евратом следва да се съсредоточат върху функции с ясна европейска добавена стойност и организацията на тези функции следва да бъде оптимизирана, за да се избягват припокривания, в най-добрия интерес на данъкоплатците в Съюза;</w:t>
      </w:r>
    </w:p>
    <w:p w14:paraId="1BF1C93F" w14:textId="77777777" w:rsidR="004D1A97" w:rsidRPr="00B84F91" w:rsidRDefault="004D1A97" w:rsidP="004D1A97">
      <w:pPr>
        <w:pStyle w:val="NormalHanging12a"/>
      </w:pPr>
      <w:r w:rsidRPr="00B84F91">
        <w:t>Г.</w:t>
      </w:r>
      <w:r w:rsidRPr="00B84F91">
        <w:tab/>
        <w:t>като има предвид, че в контекста на процедурата по освобождаване от отговорност органът по освобождаване от отговорност цели да подчертае същественото значение на укрепването на демократичната легитимност на институциите на Съюза; като има предвид, че това включва повишаване на прозрачността и отчетността, както и прилагане на бюджетиране, основано на изпълнението, и осигуряване на добро управление на човешките ресурси;</w:t>
      </w:r>
    </w:p>
    <w:p w14:paraId="25C238CD" w14:textId="77777777" w:rsidR="004D1A97" w:rsidRPr="00B84F91" w:rsidRDefault="004D1A97" w:rsidP="004D1A97">
      <w:pPr>
        <w:pStyle w:val="NormalHanging12a"/>
      </w:pPr>
      <w:r w:rsidRPr="00B84F91">
        <w:t>Д.</w:t>
      </w:r>
      <w:r w:rsidRPr="00B84F91">
        <w:tab/>
        <w:t>като има предвид, че дейността на Съюза в областта на бюджетния контрол се основава на два принципа: от една страна, гарантиране на правилното и прозрачно изразходване на бюджета на Съюза, а от друга страна, защита на финансовите интереси на Съюза и борба с измамите;</w:t>
      </w:r>
    </w:p>
    <w:p w14:paraId="2709CBD1" w14:textId="77777777" w:rsidR="004D1A97" w:rsidRPr="00B84F91" w:rsidRDefault="004D1A97" w:rsidP="004D1A97">
      <w:pPr>
        <w:pStyle w:val="NormalHanging12a"/>
      </w:pPr>
      <w:r w:rsidRPr="00B84F91">
        <w:t>Е.</w:t>
      </w:r>
      <w:r w:rsidRPr="00B84F91">
        <w:tab/>
        <w:t>като има предвид, че през 2012 г. Европейският парламент, Съветът на Европейския съюз и Европейската комисия приеха съвместно изявление и цялостен набор от ръководни принципи</w:t>
      </w:r>
      <w:r w:rsidRPr="00B84F91">
        <w:rPr>
          <w:rStyle w:val="FootnoteReference"/>
          <w:rFonts w:eastAsia="Calibri"/>
        </w:rPr>
        <w:footnoteReference w:id="401"/>
      </w:r>
      <w:r w:rsidRPr="00B84F91">
        <w:t xml:space="preserve"> — „общ подход“, за по-голяма съгласуваност, ефективност и отчетност на агенциите; като има предвид, че Комисията се ангажира да предприеме последващи действия във връзка с това споразумение, по целесъобразност в сътрудничество с агенциите;</w:t>
      </w:r>
    </w:p>
    <w:p w14:paraId="3DDCE55F" w14:textId="77777777" w:rsidR="004D1A97" w:rsidRPr="00B84F91" w:rsidRDefault="004D1A97" w:rsidP="004D1A97">
      <w:pPr>
        <w:pStyle w:val="NormalHanging12a"/>
      </w:pPr>
      <w:r w:rsidRPr="00B84F91">
        <w:t>Ж.</w:t>
      </w:r>
      <w:r w:rsidRPr="00B84F91">
        <w:tab/>
        <w:t xml:space="preserve">като има предвид, че като признават правно </w:t>
      </w:r>
      <w:proofErr w:type="spellStart"/>
      <w:r w:rsidRPr="00B84F91">
        <w:t>необвързващия</w:t>
      </w:r>
      <w:proofErr w:type="spellEnd"/>
      <w:r w:rsidRPr="00B84F91">
        <w:t xml:space="preserve"> характер на съвместното изявление и на общия подход в приложението към него, и без да се засягат техните функции в законодателните и годишните бюджетни процедури, институциите следва да вземат предвид този общ подход в контекста на всички </w:t>
      </w:r>
      <w:r w:rsidRPr="00B84F91">
        <w:lastRenderedPageBreak/>
        <w:t>свои бъдещи решения относно децентрализираните агенции на Съюза след анализ на всеки отделен случай;</w:t>
      </w:r>
    </w:p>
    <w:p w14:paraId="5E583C2F" w14:textId="77777777" w:rsidR="004D1A97" w:rsidRPr="00B84F91" w:rsidRDefault="004D1A97" w:rsidP="004D1A97">
      <w:pPr>
        <w:pStyle w:val="Normal12Hanging"/>
        <w:rPr>
          <w:b/>
          <w:i/>
          <w:szCs w:val="24"/>
        </w:rPr>
      </w:pPr>
      <w:r w:rsidRPr="00B84F91">
        <w:rPr>
          <w:b/>
          <w:i/>
        </w:rPr>
        <w:t>Общи забележки</w:t>
      </w:r>
    </w:p>
    <w:p w14:paraId="7A09CCA2" w14:textId="77777777" w:rsidR="004D1A97" w:rsidRPr="00B84F91" w:rsidRDefault="004D1A97" w:rsidP="004D1A97">
      <w:pPr>
        <w:spacing w:after="240"/>
        <w:ind w:left="567" w:hanging="567"/>
      </w:pPr>
      <w:r w:rsidRPr="00B84F91">
        <w:t>1.</w:t>
      </w:r>
      <w:r w:rsidRPr="00B84F91">
        <w:tab/>
        <w:t>отбелязва, че съществуват три вида агенции на ЕС — децентрализирани агенции, изпълнителни агенции и други органи;</w:t>
      </w:r>
    </w:p>
    <w:p w14:paraId="64FC62D4" w14:textId="77777777" w:rsidR="004D1A97" w:rsidRPr="00B84F91" w:rsidRDefault="004D1A97" w:rsidP="004D1A97">
      <w:pPr>
        <w:spacing w:after="240"/>
        <w:ind w:left="567" w:hanging="567"/>
        <w:rPr>
          <w:szCs w:val="24"/>
        </w:rPr>
      </w:pPr>
      <w:r w:rsidRPr="00B84F91">
        <w:t>2.</w:t>
      </w:r>
      <w:r w:rsidRPr="00B84F91">
        <w:tab/>
        <w:t>припомня, че настоящата резолюция обхваща 31 от 33-те децентрализирани агенции и два от другите четири органа (Европейския институт за иновации и технологии (EIT) и Агенцията за снабдяване към Евратом); подчертава, че бюджетните процедури и процедурите по освобождаване от отговорност за две изцяло самофинансиращи се децентрализирани агенции, а именно Службата на Общността за сортовете растения (CPVO) и Службата на Европейския съюз за интелектуална собственост (EUIPO), се управляват съответно от Административния съвет на CPVO и Бюджетния комитет на EUIPO и не са включени в настоящата резолюция; отбелязва, че по подобен начин за годишната бюджетна процедура и за процедурата по освобождаване от отговорност във връзка с изпълнението на бюджета на Единния съвет за преструктуриране (ЕСП) отговорност носи единствено неговият съвет; подчертава необходимостта да се гарантира ефективно използване на европейските ресурси; присъединява се към призива на Сметната палата („Палатата“) за задълбочена оценка на децентрализираните агенции, с цел да се оценят възможните реформи, да се премахне дублирането, да се повиши ефективността и да се постигнат икономии на разходи; припомня значението на укрепването на управленските структури, като същевременно се гарантира, че агенциите продължават да бъдат ефективни и да реагират на променящите се потребности;</w:t>
      </w:r>
    </w:p>
    <w:p w14:paraId="41684225" w14:textId="77777777" w:rsidR="004D1A97" w:rsidRPr="00B84F91" w:rsidRDefault="004D1A97" w:rsidP="004D1A97">
      <w:pPr>
        <w:spacing w:after="240"/>
        <w:ind w:left="567" w:hanging="567"/>
      </w:pPr>
      <w:r w:rsidRPr="00B84F91">
        <w:t>3.</w:t>
      </w:r>
      <w:r w:rsidRPr="00B84F91">
        <w:tab/>
        <w:t>подчертава значението на процедурата по освобождаване от отговорност във връзка с изпълнението на бюджета, тъй като тя е не само основано на Договорите задължение, но също така насърчава и има за цел да осигури прозрачност, отчетност и открит диалог относно финансите на Съюза; отбелязва, че тя също така предоставя на агенциите възможност да покажат своята работа и да докажат своята добавена стойност за Съюза и неговите граждани; подчертава освен това, че агенциите предоставят отговори на въпросниците, изпратени от Парламента, и получават от органа по освобождаване от отговорност покани за участие в публични изслушвания, както и че това дава възможност на гражданите, дружествата, неправителствените организации (НПО) и други заинтересовани лица да следят заседанията и да се уверят, че приходите и разходите са в съответствие с принципите на добро финансово управление;</w:t>
      </w:r>
    </w:p>
    <w:p w14:paraId="57BE6B31" w14:textId="77777777" w:rsidR="004D1A97" w:rsidRPr="00B84F91" w:rsidRDefault="004D1A97" w:rsidP="004D1A97">
      <w:pPr>
        <w:spacing w:after="240"/>
        <w:ind w:left="567" w:hanging="567"/>
      </w:pPr>
      <w:r w:rsidRPr="00B84F91">
        <w:t>4.</w:t>
      </w:r>
      <w:r w:rsidRPr="00B84F91">
        <w:tab/>
        <w:t>счита, че концепцията за освобождаване от отговорност от вътрешен орган по освобождаване от отговорност, както в случая с EUIPO, CPVO и Единния съвет за преструктуриране, би могла евентуално да доведе до конфликт на интереси; счита, че освобождаването от отговорност, предоставяно от Парламента, избягва възможния конфликт на интереси и допринася за прозрачността и обществения имидж на агенциите;</w:t>
      </w:r>
    </w:p>
    <w:p w14:paraId="3F232A44" w14:textId="77777777" w:rsidR="004D1A97" w:rsidRPr="00B84F91" w:rsidRDefault="004D1A97" w:rsidP="004D1A97">
      <w:pPr>
        <w:spacing w:after="240"/>
        <w:ind w:left="567" w:hanging="567"/>
      </w:pPr>
      <w:r w:rsidRPr="00B84F91">
        <w:t>5.</w:t>
      </w:r>
      <w:r w:rsidRPr="00B84F91">
        <w:tab/>
        <w:t>счита, че независимо от правната рамка, за всички свързани с ЕС органи следва да се прилагат едни и същи принципи на отчетност и прозрачност;</w:t>
      </w:r>
    </w:p>
    <w:p w14:paraId="43194905" w14:textId="77777777" w:rsidR="004D1A97" w:rsidRPr="00B84F91" w:rsidRDefault="004D1A97" w:rsidP="004D1A97">
      <w:pPr>
        <w:spacing w:after="240"/>
        <w:ind w:left="567" w:hanging="567"/>
      </w:pPr>
      <w:r w:rsidRPr="00B84F91">
        <w:lastRenderedPageBreak/>
        <w:t>6.</w:t>
      </w:r>
      <w:r w:rsidRPr="00B84F91">
        <w:tab/>
        <w:t>припомня параграф 58 от общия подход относно изцяло самофинансиращите се агенции за гарантиране на обществен контрол от страна на Парламента съгласно който:</w:t>
      </w:r>
      <w:r w:rsidRPr="00B84F91">
        <w:rPr>
          <w:i/>
        </w:rPr>
        <w:t xml:space="preserve"> „[с]</w:t>
      </w:r>
      <w:proofErr w:type="spellStart"/>
      <w:r w:rsidRPr="00B84F91">
        <w:rPr>
          <w:i/>
        </w:rPr>
        <w:t>ледва</w:t>
      </w:r>
      <w:proofErr w:type="spellEnd"/>
      <w:r w:rsidRPr="00B84F91">
        <w:rPr>
          <w:i/>
        </w:rPr>
        <w:t xml:space="preserve"> да се проучат възможностите за осигуряване на демократична отчетност за изцяло самофинансиращите се агенции (т.е. финансирани от клиентите си), тъй като те са органи на Съюза, отговарящи за прилагането на политиките на ЕС, но не подлежат на освобождаване от бюджетна отговорност по смисъла на ДФЕС. Една от възможностите е въпросните агенции да представят на Европейския парламент, на Съвета и на Комисията годишен доклад относно изпълнението на своя бюджет и да обмислят искания или препоръки на Европейския парламент и Съвета“</w:t>
      </w:r>
      <w:r w:rsidRPr="00B84F91">
        <w:t>;</w:t>
      </w:r>
    </w:p>
    <w:p w14:paraId="3C13283F" w14:textId="77777777" w:rsidR="004D1A97" w:rsidRPr="00B84F91" w:rsidRDefault="004D1A97" w:rsidP="004D1A97">
      <w:pPr>
        <w:spacing w:after="240"/>
        <w:ind w:left="567" w:hanging="567"/>
      </w:pPr>
      <w:r w:rsidRPr="00B84F91">
        <w:t>7.</w:t>
      </w:r>
      <w:r w:rsidRPr="00B84F91">
        <w:tab/>
        <w:t>посочва, че макар създаването или разширяването на агенциите на ЕС да има за цел да укрепи способностите на Съюза, от решаващо значение е да се гарантира, че този процес е направляван от задълбочени оценки, оценки на въздействието и ясни доказателства за добавената стойност</w:t>
      </w:r>
      <w:r w:rsidR="00202A1E" w:rsidRPr="00202A1E">
        <w:t>, за да могат да се извлекат поуки и да се обмисли прекратяването на мандата им, ако е необходимо</w:t>
      </w:r>
      <w:r w:rsidRPr="00B84F91">
        <w:t>; подчертава, че този подход не само ще гарантира по-добро регулиране, но и ще повиши ефективността, отчетността, прозрачността и съгласуваността на институционалната структура на Съюза;</w:t>
      </w:r>
    </w:p>
    <w:p w14:paraId="45FBD426" w14:textId="77777777" w:rsidR="004D1A97" w:rsidRPr="00B84F91" w:rsidRDefault="004D1A97" w:rsidP="004D1A97">
      <w:pPr>
        <w:widowControl/>
        <w:spacing w:after="240"/>
        <w:ind w:left="567" w:hanging="567"/>
        <w:rPr>
          <w:szCs w:val="24"/>
        </w:rPr>
      </w:pPr>
      <w:r w:rsidRPr="00B84F91">
        <w:t>8.</w:t>
      </w:r>
      <w:r w:rsidRPr="00B84F91">
        <w:tab/>
        <w:t>припомня, че в параграф 60 от общия подход се посочва, че всяка агенция на ЕС следва да бъде оценявана на всеки пет години; настоятелно призовава Комисията да проучи възможностите за допълнителни полезни взаимодействия и консолидиране на дейностите, както и за евентуално сливане на агенциите с допълващи се дейности, за да се осигури ефективност на разходите и да се рационализират функциите на агенциите, включително потенциални прегледи на мандата, когато са налице неефективност или дублиране; насърчава прилагането на клаузата за изтичане на срока на действие/преразглеждане, когато това е необходимо, за да се запази ефективността и да се осигури оптималното използване на ресурсите; счита, че бюджетната ефективност е от основно значение за функционирането на агенциите; присъединява се към препоръката на Палатата, посочена в Специален доклад № 22/2020</w:t>
      </w:r>
      <w:r w:rsidRPr="00B84F91">
        <w:rPr>
          <w:rStyle w:val="FootnoteReference"/>
          <w:szCs w:val="24"/>
        </w:rPr>
        <w:footnoteReference w:id="402"/>
      </w:r>
      <w:r w:rsidRPr="00B84F91">
        <w:t>, с която към Комисията се отправя съвет да увеличи използването на хоризонтални оценки на агенциите в контекста на проверките за пригодност, изготвяни от Комисията в различни области на политиката;</w:t>
      </w:r>
    </w:p>
    <w:p w14:paraId="690698C8" w14:textId="77777777" w:rsidR="004D1A97" w:rsidRPr="00B84F91" w:rsidRDefault="004D1A97" w:rsidP="004D1A97">
      <w:pPr>
        <w:spacing w:after="240"/>
        <w:ind w:left="567" w:hanging="567"/>
        <w:rPr>
          <w:szCs w:val="24"/>
        </w:rPr>
      </w:pPr>
      <w:r w:rsidRPr="00B84F91">
        <w:t>9.</w:t>
      </w:r>
      <w:r w:rsidRPr="00B84F91">
        <w:tab/>
        <w:t>отново потвърждава значението на прозрачността, отчетността и основаното на изпълнението бюджетиране във всички агенции на ЕС, като се осигури ефективно финансово управление; подчертава, че агенциите трябва да се придържат стриктно към своите мандати; признава, че някои агенции може да се нуждаят от подсилен мандат; призовава за подобряване на механизмите за управление, за да се избегне дублирането на компетентности и да се повиши оперативната ефективност;</w:t>
      </w:r>
    </w:p>
    <w:p w14:paraId="3D202ED6" w14:textId="77777777" w:rsidR="004D1A97" w:rsidRPr="00B84F91" w:rsidRDefault="004D1A97" w:rsidP="004D1A97">
      <w:pPr>
        <w:pStyle w:val="NormalHanging12a"/>
      </w:pPr>
      <w:r w:rsidRPr="00B84F91">
        <w:t>10.</w:t>
      </w:r>
      <w:r w:rsidRPr="00B84F91">
        <w:tab/>
        <w:t xml:space="preserve">подчертава необходимостта от достатъчно ресурси, за да се гарантира, че агенциите са в състояние да изпълняват новите задачи, възложени им съгласно </w:t>
      </w:r>
      <w:r w:rsidRPr="00B84F91">
        <w:lastRenderedPageBreak/>
        <w:t>новото законодателство;</w:t>
      </w:r>
    </w:p>
    <w:p w14:paraId="16B19D17" w14:textId="77777777" w:rsidR="004D1A97" w:rsidRPr="00B84F91" w:rsidRDefault="004D1A97" w:rsidP="004D1A97">
      <w:pPr>
        <w:pStyle w:val="NormalHanging12a"/>
      </w:pPr>
      <w:r w:rsidRPr="00B84F91">
        <w:t>11.</w:t>
      </w:r>
      <w:r w:rsidRPr="00B84F91">
        <w:tab/>
        <w:t>подчертава, че е важно агенциите да засилят присъствието си в медиите, в интернет и в социалните медии, за да се повиши обществената осведоменост за тяхната работа;</w:t>
      </w:r>
    </w:p>
    <w:p w14:paraId="36E42A90" w14:textId="77777777" w:rsidR="004D1A97" w:rsidRPr="00B84F91" w:rsidRDefault="004D1A97" w:rsidP="004D1A97">
      <w:pPr>
        <w:spacing w:after="240"/>
        <w:ind w:left="567" w:hanging="567"/>
        <w:rPr>
          <w:szCs w:val="24"/>
        </w:rPr>
      </w:pPr>
      <w:r w:rsidRPr="00B84F91">
        <w:t>12.</w:t>
      </w:r>
      <w:r w:rsidRPr="00B84F91">
        <w:tab/>
        <w:t>посочва нарастващото объркване, произтичащо от множеството случаи, в които имената и акронимите на агенциите са идентични или почти идентични; призовава съответните органи да проучат начини за подобряване на положението;</w:t>
      </w:r>
    </w:p>
    <w:p w14:paraId="6A419A6C" w14:textId="77777777" w:rsidR="004D1A97" w:rsidRPr="00B84F91" w:rsidRDefault="004D1A97" w:rsidP="004D1A97">
      <w:pPr>
        <w:pStyle w:val="Normal12Hanging"/>
        <w:rPr>
          <w:b/>
          <w:i/>
          <w:szCs w:val="24"/>
        </w:rPr>
      </w:pPr>
      <w:r w:rsidRPr="00B84F91">
        <w:rPr>
          <w:b/>
          <w:i/>
        </w:rPr>
        <w:t>Управление</w:t>
      </w:r>
    </w:p>
    <w:p w14:paraId="71CDFF57" w14:textId="77777777" w:rsidR="004D1A97" w:rsidRPr="00B84F91" w:rsidRDefault="004D1A97" w:rsidP="004D1A97">
      <w:pPr>
        <w:spacing w:after="240"/>
        <w:ind w:left="567" w:hanging="567"/>
        <w:rPr>
          <w:szCs w:val="24"/>
        </w:rPr>
      </w:pPr>
      <w:r w:rsidRPr="00B84F91">
        <w:t>13.</w:t>
      </w:r>
      <w:r w:rsidRPr="00B84F91">
        <w:tab/>
        <w:t>припомня, че в общия подход</w:t>
      </w:r>
      <w:r w:rsidRPr="00B84F91">
        <w:rPr>
          <w:szCs w:val="24"/>
          <w:vertAlign w:val="superscript"/>
        </w:rPr>
        <w:footnoteReference w:id="403"/>
      </w:r>
      <w:r w:rsidRPr="00B84F91">
        <w:t xml:space="preserve"> се прави преглед на управленската структура на децентрализираните агенции; признава напредъка, постигнат от агенциите на ЕС в подобряването на финансовото управление и управленските структури, като същевременно признава необходимостта от допълнителни подобрения в областта на ефективността и отчетността; припомня, че управителните съвети на всички децентрализирани агенции играят решаваща роля за обезпечаването на добро управление и отчетност; припомня, че в общия подход се предлага управителният съвет да се състои от по един представител от всяка държава членка, двама представители на Комисията, един член, определен от Парламента (по целесъобразност), и „сравнително ограничен“ брой представители на заинтересованите лица (по целесъобразност), като се гарантира, че те отразяват разнообразен набор от интереси и че процедурата за подбора им е прозрачна;</w:t>
      </w:r>
    </w:p>
    <w:p w14:paraId="06C9B235" w14:textId="77777777" w:rsidR="004D1A97" w:rsidRPr="00B84F91" w:rsidRDefault="004D1A97" w:rsidP="004D1A97">
      <w:pPr>
        <w:spacing w:after="240"/>
        <w:ind w:left="567" w:hanging="567"/>
      </w:pPr>
      <w:r w:rsidRPr="00B84F91">
        <w:t>14.</w:t>
      </w:r>
      <w:r w:rsidRPr="00B84F91">
        <w:tab/>
        <w:t>отбелязва, че управленската структура на децентрализираните агенции като цяло е доста сходна за всички агенции; отбелязва, че всички те имат управителен/административен съвет и директор; отбелязва, че девет агенции имат изпълнителен съвет (</w:t>
      </w:r>
      <w:proofErr w:type="spellStart"/>
      <w:r w:rsidRPr="00B84F91">
        <w:t>Cedefop</w:t>
      </w:r>
      <w:proofErr w:type="spellEnd"/>
      <w:r w:rsidRPr="00B84F91">
        <w:t xml:space="preserve">, EUDA, ENISA, ERA, EU-OSHA, </w:t>
      </w:r>
      <w:proofErr w:type="spellStart"/>
      <w:r w:rsidRPr="00B84F91">
        <w:t>Eurofound</w:t>
      </w:r>
      <w:proofErr w:type="spellEnd"/>
      <w:r w:rsidRPr="00B84F91">
        <w:t>, Евроюст, FRA и EIT)</w:t>
      </w:r>
      <w:r w:rsidRPr="00B84F91">
        <w:rPr>
          <w:rStyle w:val="FootnoteReference"/>
        </w:rPr>
        <w:footnoteReference w:id="404"/>
      </w:r>
      <w:r w:rsidRPr="00B84F91">
        <w:t>, докато само агенциите, свързани с космическата програма на Европейския съюз, имат Съвет за акредитация на сигурността; отбелязва освен това, че трите европейски надзорни органа (Европейският банков орган (ЕБО), Европейският орган за ценни книжа и пазари (ESMA) и Европейският орган за застраховане и професионално пенсионно осигуряване (EIOPA)) и две агенции в клъстера „Единен пазар“ (Агенцията на Европейския съюз за сътрудничество между регулаторите на енергия (ACER) и Агенцията за подкрепа на ОЕРЕС („Службата на ОЕРЕС“)) създадоха Съвет на регулаторите или Съвет на надзорниците;</w:t>
      </w:r>
    </w:p>
    <w:p w14:paraId="02C649A3" w14:textId="77777777" w:rsidR="004D1A97" w:rsidRPr="00B84F91" w:rsidRDefault="004D1A97" w:rsidP="004D1A97">
      <w:pPr>
        <w:spacing w:after="240"/>
        <w:ind w:left="567" w:hanging="567"/>
      </w:pPr>
      <w:r w:rsidRPr="00B84F91">
        <w:t>15.</w:t>
      </w:r>
      <w:r w:rsidRPr="00B84F91">
        <w:tab/>
        <w:t xml:space="preserve">припомня, че управителните съвети на </w:t>
      </w:r>
      <w:proofErr w:type="spellStart"/>
      <w:r w:rsidRPr="00B84F91">
        <w:t>Eurofound</w:t>
      </w:r>
      <w:proofErr w:type="spellEnd"/>
      <w:r w:rsidRPr="00B84F91">
        <w:t xml:space="preserve">, </w:t>
      </w:r>
      <w:proofErr w:type="spellStart"/>
      <w:r w:rsidRPr="00B84F91">
        <w:t>Cedefop</w:t>
      </w:r>
      <w:proofErr w:type="spellEnd"/>
      <w:r w:rsidRPr="00B84F91">
        <w:t xml:space="preserve"> и EU-OSHA имат тристранна структура; отбелязва, че всяка държава членка е представена във </w:t>
      </w:r>
      <w:r w:rsidRPr="00B84F91">
        <w:lastRenderedPageBreak/>
        <w:t>всеки управителен съвет от член на правителството, представител на работодателите и представител на синдикалните организации (общо 81 представители); отбелязва, че Комисията има трима представители, както и че има един независим експерт (без право на глас), назначен от Парламента; припомня по-малкия състав на управителния съвет на Европейската фондация за обучение (ETF), включващ 27 представители от държавите членки (без социалните партньори), трима представители на Комисията (които имат общо един глас в управителния съвет), трима експерти, назначени от Парламента (спрямо един в тристранните агенции), и трима представители на държавите партньори, назначени от Комисията</w:t>
      </w:r>
      <w:r w:rsidRPr="00B84F91">
        <w:rPr>
          <w:vertAlign w:val="superscript"/>
        </w:rPr>
        <w:footnoteReference w:id="405"/>
      </w:r>
      <w:r w:rsidRPr="00B84F91">
        <w:t>;</w:t>
      </w:r>
    </w:p>
    <w:p w14:paraId="0C03B667" w14:textId="77777777" w:rsidR="004D1A97" w:rsidRPr="00B84F91" w:rsidRDefault="004D1A97" w:rsidP="004D1A97">
      <w:pPr>
        <w:spacing w:after="240"/>
        <w:ind w:left="567" w:hanging="567"/>
        <w:rPr>
          <w:szCs w:val="24"/>
        </w:rPr>
      </w:pPr>
      <w:r w:rsidRPr="00B84F91">
        <w:t>16.</w:t>
      </w:r>
      <w:r w:rsidRPr="00B84F91">
        <w:tab/>
        <w:t xml:space="preserve">отбелязва заключенията от оценката на </w:t>
      </w:r>
      <w:proofErr w:type="spellStart"/>
      <w:r w:rsidRPr="00B84F91">
        <w:t>Eurofound</w:t>
      </w:r>
      <w:proofErr w:type="spellEnd"/>
      <w:r w:rsidRPr="00B84F91">
        <w:t xml:space="preserve">, </w:t>
      </w:r>
      <w:proofErr w:type="spellStart"/>
      <w:r w:rsidRPr="00B84F91">
        <w:t>Cedefop</w:t>
      </w:r>
      <w:proofErr w:type="spellEnd"/>
      <w:r w:rsidRPr="00B84F91">
        <w:t>, ETF и EU-OSHA относно тристранната управленска структура (</w:t>
      </w:r>
      <w:proofErr w:type="spellStart"/>
      <w:r w:rsidRPr="00B84F91">
        <w:t>Eurofound</w:t>
      </w:r>
      <w:proofErr w:type="spellEnd"/>
      <w:r w:rsidRPr="00B84F91">
        <w:t xml:space="preserve">, </w:t>
      </w:r>
      <w:proofErr w:type="spellStart"/>
      <w:r w:rsidRPr="00B84F91">
        <w:t>Cedefop</w:t>
      </w:r>
      <w:proofErr w:type="spellEnd"/>
      <w:r w:rsidRPr="00B84F91">
        <w:t xml:space="preserve"> и EU-OSHA); отбелязва, че тристранната структура осигурява ползи като представителство, стратегическо ръководство и споделяне на знания, но размерът и разнообразието на управителните съвети създават предизвикателства при постигането на компромиси по въпроси, свързани с основната дейност, и при вземането на административни решения; посочва, че в оценката са разгледани алтернативни модели на управление за по-ефективно участие на социалните партньори; подчертава увеличения потенциал за икономии и полезни взаимодействия в работата на тези агенции; подчертава необходимостта от строг финансов надзор на агенциите на ЕС, за да се гарантира ефективност на разходите и да се предотврати присвояването на публични средства; подчертава необходимостта от отговорен, основан на потребностите подход към финансирането на агенциите, който да предотвратява бюрократичното разрастване, като същевременно гарантира, че агенциите разполагат с подходящи ресурси за изпълнението на своите мандати;</w:t>
      </w:r>
    </w:p>
    <w:p w14:paraId="05794C24" w14:textId="299ECC77" w:rsidR="004D1A97" w:rsidRPr="00B84F91" w:rsidRDefault="004D1A97" w:rsidP="004D1A97">
      <w:pPr>
        <w:spacing w:before="100" w:beforeAutospacing="1" w:after="100" w:afterAutospacing="1"/>
        <w:ind w:left="567" w:hanging="567"/>
        <w:rPr>
          <w:szCs w:val="24"/>
        </w:rPr>
      </w:pPr>
      <w:r w:rsidRPr="00B84F91">
        <w:t>17.</w:t>
      </w:r>
      <w:r w:rsidRPr="00B84F91">
        <w:tab/>
        <w:t xml:space="preserve">отбелязва заключенията от доклада относно оценката на Регламент (ЕС) 2019/1896 </w:t>
      </w:r>
      <w:r w:rsidR="00EF0F07" w:rsidRPr="00A43FA6">
        <w:rPr>
          <w:color w:val="000000"/>
        </w:rPr>
        <w:t>на Европейския парламент и на Съвета</w:t>
      </w:r>
      <w:r w:rsidR="00EF0F07" w:rsidRPr="00A43FA6">
        <w:rPr>
          <w:vertAlign w:val="superscript"/>
        </w:rPr>
        <w:footnoteReference w:id="406"/>
      </w:r>
      <w:r w:rsidR="00EF0F07" w:rsidRPr="00A43FA6">
        <w:t xml:space="preserve"> </w:t>
      </w:r>
      <w:r w:rsidRPr="00B84F91">
        <w:t>за европейската гранична и брегова охрана (</w:t>
      </w:r>
      <w:proofErr w:type="spellStart"/>
      <w:r w:rsidRPr="00B84F91">
        <w:t>Frontex</w:t>
      </w:r>
      <w:proofErr w:type="spellEnd"/>
      <w:r w:rsidRPr="00B84F91">
        <w:t xml:space="preserve">) и съответните констатации, според които регламентът се счита за пригоден за целта, както и включения преглед на постоянния корпус, публикуван през февруари 2024 г.; отбелязва, че въпреки че регламентът осигурява рамка за ефективно управление на границите, продължават да съществуват предизвикателства по отношение на управлението, отчетността и ефикасността; признава, че структурата на управление изисква корекции, за да се гарантира, че </w:t>
      </w:r>
      <w:proofErr w:type="spellStart"/>
      <w:r w:rsidRPr="00B84F91">
        <w:t>Frontex</w:t>
      </w:r>
      <w:proofErr w:type="spellEnd"/>
      <w:r w:rsidRPr="00B84F91">
        <w:t xml:space="preserve"> може да изпълнява изцяло своя мандат, включително разглеждане на баланса на представителството в управителния съвет, рационализиране на вътрешните процеси на вземане на решения и избягване на припокриващи се отговорности; приветства новата организационна структура, приета от управителния съвет през ноември 2023 г. като стъпка към подобряване на управлението, стратегическата координация и разпределението на </w:t>
      </w:r>
      <w:r w:rsidRPr="00B84F91">
        <w:lastRenderedPageBreak/>
        <w:t xml:space="preserve">ресурсите; признава административната неефективност, подчертана в доклада за оценка, особено по отношение на процедурите за възстановяване на разходите и бюрократичните пречки, пред които са изправени държавите членки при изпращането на служители във </w:t>
      </w:r>
      <w:proofErr w:type="spellStart"/>
      <w:r w:rsidRPr="00B84F91">
        <w:t>Frontex</w:t>
      </w:r>
      <w:proofErr w:type="spellEnd"/>
      <w:r w:rsidRPr="00B84F91">
        <w:t xml:space="preserve">; призовава Комисията да проучи възможни начини за опростяване на тези процеси с цел намаляване на ненужната тежест за националните органи; отбелязва, че е важно да се изпълнят препоръките от годишния доклад на служителя по въпросите на основните права; като признава постигнатия напредък, призовава </w:t>
      </w:r>
      <w:proofErr w:type="spellStart"/>
      <w:r w:rsidRPr="00B84F91">
        <w:t>Frontex</w:t>
      </w:r>
      <w:proofErr w:type="spellEnd"/>
      <w:r w:rsidRPr="00B84F91">
        <w:t xml:space="preserve"> да продължи да повишава прозрачността, да сътрудничи изцяло при разследванията и да прилага мерки за гарантиране на защитата на основните права във всички свои дейности;</w:t>
      </w:r>
    </w:p>
    <w:p w14:paraId="196AA676" w14:textId="77777777" w:rsidR="004D1A97" w:rsidRPr="00B84F91" w:rsidRDefault="004D1A97" w:rsidP="004D1A97">
      <w:pPr>
        <w:widowControl/>
        <w:spacing w:after="240"/>
        <w:ind w:left="567" w:hanging="567"/>
        <w:rPr>
          <w:szCs w:val="24"/>
        </w:rPr>
      </w:pPr>
      <w:r w:rsidRPr="00B84F91">
        <w:t>18.</w:t>
      </w:r>
      <w:r w:rsidRPr="00B84F91">
        <w:tab/>
        <w:t>подчертава, че един балансиран подход, съчетаващ ефективен граничен контрол и стабилни гаранции по отношение на основните права, е от основно значение за поддържането на сигурността на Шенгенското пространство и надеждна рамка за управление на миграцията за Съюза; ето защо отново изтъква значението на структурното и непрекъснато обучение в областта на основните права за служителите на постоянния корпус (</w:t>
      </w:r>
      <w:proofErr w:type="spellStart"/>
      <w:r w:rsidRPr="00B84F91">
        <w:t>Frontex</w:t>
      </w:r>
      <w:proofErr w:type="spellEnd"/>
      <w:r w:rsidRPr="00B84F91">
        <w:t>), което да осигури тяхната осведоменост и спазването на съответните задължения и стандарти в областта на основните права, на международното право в областта на правата на човека и на хуманитарното право</w:t>
      </w:r>
      <w:r w:rsidRPr="00B84F91">
        <w:rPr>
          <w:rStyle w:val="FootnoteReference"/>
          <w:szCs w:val="24"/>
        </w:rPr>
        <w:footnoteReference w:id="407"/>
      </w:r>
      <w:r w:rsidRPr="00B84F91">
        <w:t>; подчертава освен това значението на докладването за нарушения на основните права от лица, станали свидетели на подобни нарушения, чрез изготвяне на доклади за сериозни инциденти;</w:t>
      </w:r>
    </w:p>
    <w:p w14:paraId="2B80B997" w14:textId="77777777" w:rsidR="004D1A97" w:rsidRPr="00B84F91" w:rsidRDefault="004D1A97" w:rsidP="004D1A97">
      <w:pPr>
        <w:spacing w:after="240"/>
        <w:ind w:left="567" w:hanging="567"/>
        <w:rPr>
          <w:i/>
        </w:rPr>
      </w:pPr>
      <w:r w:rsidRPr="00B84F91">
        <w:rPr>
          <w:b/>
          <w:i/>
        </w:rPr>
        <w:t>Бюджетно и финансово управление</w:t>
      </w:r>
    </w:p>
    <w:p w14:paraId="045C95B3" w14:textId="77777777" w:rsidR="004D1A97" w:rsidRPr="00B84F91" w:rsidRDefault="004D1A97" w:rsidP="004D1A97">
      <w:pPr>
        <w:spacing w:after="240"/>
        <w:ind w:left="567" w:hanging="567"/>
      </w:pPr>
      <w:r w:rsidRPr="00B84F91">
        <w:t>19.</w:t>
      </w:r>
      <w:r w:rsidRPr="00B84F91">
        <w:tab/>
        <w:t>отбелязва, че общите окончателни приходи за 2023 г. (като се вземат предвид и коригиращите бюджети) и сравнителните данни за 2022 г. за 33-те агенции на ЕС, които са част от настоящата резолюция, са разпределени както следва</w:t>
      </w:r>
      <w:r w:rsidRPr="00B84F91">
        <w:rPr>
          <w:rStyle w:val="FootnoteReference"/>
        </w:rPr>
        <w:footnoteReference w:id="408"/>
      </w:r>
      <w:r w:rsidRPr="00B84F91">
        <w:t>:</w:t>
      </w:r>
    </w:p>
    <w:tbl>
      <w:tblPr>
        <w:tblStyle w:val="TableGrid"/>
        <w:tblW w:w="0" w:type="auto"/>
        <w:tblLook w:val="04A0" w:firstRow="1" w:lastRow="0" w:firstColumn="1" w:lastColumn="0" w:noHBand="0" w:noVBand="1"/>
      </w:tblPr>
      <w:tblGrid>
        <w:gridCol w:w="2122"/>
        <w:gridCol w:w="2268"/>
        <w:gridCol w:w="2551"/>
        <w:gridCol w:w="1843"/>
      </w:tblGrid>
      <w:tr w:rsidR="004D1A97" w:rsidRPr="00B84F91" w14:paraId="4F1D780A" w14:textId="77777777" w:rsidTr="006E37E9">
        <w:trPr>
          <w:trHeight w:val="293"/>
        </w:trPr>
        <w:tc>
          <w:tcPr>
            <w:tcW w:w="2122" w:type="dxa"/>
            <w:tcBorders>
              <w:top w:val="single" w:sz="4" w:space="0" w:color="auto"/>
              <w:left w:val="single" w:sz="4" w:space="0" w:color="auto"/>
              <w:bottom w:val="single" w:sz="4" w:space="0" w:color="auto"/>
              <w:right w:val="single" w:sz="4" w:space="0" w:color="auto"/>
            </w:tcBorders>
            <w:noWrap/>
            <w:hideMark/>
          </w:tcPr>
          <w:p w14:paraId="6EE79E36" w14:textId="77777777" w:rsidR="004D1A97" w:rsidRPr="00B84F91" w:rsidRDefault="004D1A97" w:rsidP="00501BD5">
            <w:pPr>
              <w:rPr>
                <w:sz w:val="22"/>
                <w:szCs w:val="22"/>
              </w:rPr>
            </w:pPr>
          </w:p>
        </w:tc>
        <w:tc>
          <w:tcPr>
            <w:tcW w:w="2268" w:type="dxa"/>
            <w:tcBorders>
              <w:top w:val="single" w:sz="4" w:space="0" w:color="auto"/>
              <w:left w:val="single" w:sz="4" w:space="0" w:color="auto"/>
              <w:bottom w:val="single" w:sz="4" w:space="0" w:color="auto"/>
              <w:right w:val="single" w:sz="4" w:space="0" w:color="auto"/>
            </w:tcBorders>
            <w:noWrap/>
            <w:hideMark/>
          </w:tcPr>
          <w:p w14:paraId="46AD6192" w14:textId="39481D20" w:rsidR="004D1A97" w:rsidRPr="006E37E9" w:rsidRDefault="004D1A97" w:rsidP="00501BD5">
            <w:pPr>
              <w:spacing w:after="240"/>
              <w:ind w:left="28"/>
              <w:rPr>
                <w:bCs/>
                <w:sz w:val="22"/>
                <w:szCs w:val="22"/>
              </w:rPr>
            </w:pPr>
            <w:r w:rsidRPr="006E37E9">
              <w:rPr>
                <w:bCs/>
                <w:sz w:val="22"/>
              </w:rPr>
              <w:t xml:space="preserve">Приходи за 2023 г. </w:t>
            </w:r>
            <w:r w:rsidRPr="006E37E9">
              <w:rPr>
                <w:bCs/>
                <w:sz w:val="22"/>
              </w:rPr>
              <w:br/>
            </w:r>
            <w:r w:rsidR="00EA1702" w:rsidRPr="006E37E9">
              <w:rPr>
                <w:bCs/>
                <w:sz w:val="22"/>
              </w:rPr>
              <w:t>(</w:t>
            </w:r>
            <w:r w:rsidRPr="006E37E9">
              <w:rPr>
                <w:bCs/>
                <w:sz w:val="22"/>
              </w:rPr>
              <w:t>евро</w:t>
            </w:r>
            <w:r w:rsidR="00EA1702" w:rsidRPr="006E37E9">
              <w:rPr>
                <w:bCs/>
                <w:sz w:val="22"/>
              </w:rPr>
              <w:t>)</w:t>
            </w:r>
          </w:p>
        </w:tc>
        <w:tc>
          <w:tcPr>
            <w:tcW w:w="2551" w:type="dxa"/>
            <w:tcBorders>
              <w:top w:val="single" w:sz="4" w:space="0" w:color="auto"/>
              <w:left w:val="single" w:sz="4" w:space="0" w:color="auto"/>
              <w:bottom w:val="single" w:sz="4" w:space="0" w:color="auto"/>
              <w:right w:val="single" w:sz="4" w:space="0" w:color="auto"/>
            </w:tcBorders>
            <w:noWrap/>
            <w:hideMark/>
          </w:tcPr>
          <w:p w14:paraId="048503DF" w14:textId="2AFDDE5C" w:rsidR="004D1A97" w:rsidRPr="006E37E9" w:rsidRDefault="004D1A97" w:rsidP="00501BD5">
            <w:pPr>
              <w:spacing w:after="240"/>
              <w:rPr>
                <w:bCs/>
                <w:sz w:val="22"/>
                <w:szCs w:val="22"/>
              </w:rPr>
            </w:pPr>
            <w:r w:rsidRPr="006E37E9">
              <w:rPr>
                <w:bCs/>
                <w:sz w:val="22"/>
              </w:rPr>
              <w:t xml:space="preserve">Приходи за 2022 г. </w:t>
            </w:r>
            <w:r w:rsidRPr="006E37E9">
              <w:rPr>
                <w:bCs/>
                <w:sz w:val="22"/>
              </w:rPr>
              <w:br/>
            </w:r>
            <w:r w:rsidR="00EA1702" w:rsidRPr="006E37E9">
              <w:rPr>
                <w:bCs/>
                <w:sz w:val="22"/>
              </w:rPr>
              <w:t>(</w:t>
            </w:r>
            <w:r w:rsidRPr="006E37E9">
              <w:rPr>
                <w:bCs/>
                <w:sz w:val="22"/>
              </w:rPr>
              <w:t>евро</w:t>
            </w:r>
            <w:r w:rsidR="00EA1702" w:rsidRPr="006E37E9">
              <w:rPr>
                <w:bCs/>
                <w:sz w:val="22"/>
              </w:rPr>
              <w:t>)</w:t>
            </w:r>
          </w:p>
        </w:tc>
        <w:tc>
          <w:tcPr>
            <w:tcW w:w="1843" w:type="dxa"/>
            <w:tcBorders>
              <w:top w:val="single" w:sz="4" w:space="0" w:color="auto"/>
              <w:left w:val="single" w:sz="4" w:space="0" w:color="auto"/>
              <w:bottom w:val="single" w:sz="4" w:space="0" w:color="auto"/>
              <w:right w:val="single" w:sz="4" w:space="0" w:color="auto"/>
            </w:tcBorders>
            <w:noWrap/>
            <w:hideMark/>
          </w:tcPr>
          <w:p w14:paraId="7DF22FB7" w14:textId="6CC0427C" w:rsidR="004D1A97" w:rsidRPr="00B84F91" w:rsidRDefault="004D1A97" w:rsidP="00501BD5">
            <w:pPr>
              <w:spacing w:after="240"/>
              <w:ind w:left="567" w:hanging="567"/>
              <w:rPr>
                <w:b/>
                <w:bCs/>
                <w:sz w:val="22"/>
                <w:szCs w:val="22"/>
              </w:rPr>
            </w:pPr>
            <w:r w:rsidRPr="00B84F91">
              <w:rPr>
                <w:b/>
                <w:sz w:val="22"/>
              </w:rPr>
              <w:t>∆</w:t>
            </w:r>
            <w:r w:rsidR="00EA1702">
              <w:rPr>
                <w:b/>
                <w:sz w:val="22"/>
              </w:rPr>
              <w:t xml:space="preserve"> (</w:t>
            </w:r>
            <w:r w:rsidR="00EA1702" w:rsidRPr="00B84F91">
              <w:rPr>
                <w:sz w:val="22"/>
              </w:rPr>
              <w:t>%</w:t>
            </w:r>
            <w:r w:rsidR="00EA1702">
              <w:rPr>
                <w:sz w:val="22"/>
              </w:rPr>
              <w:t>)</w:t>
            </w:r>
          </w:p>
        </w:tc>
      </w:tr>
      <w:tr w:rsidR="004D1A97" w:rsidRPr="00B84F91" w14:paraId="2B46BCE0"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892FB83" w14:textId="77777777" w:rsidR="004D1A97" w:rsidRPr="00B84F91" w:rsidRDefault="004D1A97" w:rsidP="00501BD5">
            <w:pPr>
              <w:spacing w:after="240"/>
              <w:ind w:left="567" w:hanging="567"/>
              <w:rPr>
                <w:b/>
                <w:bCs/>
                <w:sz w:val="22"/>
                <w:szCs w:val="22"/>
              </w:rPr>
            </w:pPr>
            <w:r w:rsidRPr="00B84F91">
              <w:rPr>
                <w:b/>
                <w:sz w:val="22"/>
              </w:rPr>
              <w:t>ACER</w:t>
            </w:r>
          </w:p>
        </w:tc>
        <w:tc>
          <w:tcPr>
            <w:tcW w:w="2268" w:type="dxa"/>
            <w:tcBorders>
              <w:top w:val="single" w:sz="4" w:space="0" w:color="auto"/>
              <w:left w:val="single" w:sz="4" w:space="0" w:color="auto"/>
              <w:bottom w:val="single" w:sz="4" w:space="0" w:color="auto"/>
              <w:right w:val="single" w:sz="4" w:space="0" w:color="auto"/>
            </w:tcBorders>
            <w:noWrap/>
            <w:hideMark/>
          </w:tcPr>
          <w:p w14:paraId="79C7AF4C" w14:textId="77777777" w:rsidR="004D1A97" w:rsidRPr="006E37E9" w:rsidRDefault="004D1A97" w:rsidP="00501BD5">
            <w:pPr>
              <w:spacing w:after="240"/>
              <w:ind w:left="567" w:hanging="567"/>
              <w:rPr>
                <w:bCs/>
                <w:sz w:val="22"/>
                <w:szCs w:val="22"/>
              </w:rPr>
            </w:pPr>
            <w:r w:rsidRPr="006E37E9">
              <w:rPr>
                <w:bCs/>
                <w:sz w:val="22"/>
              </w:rPr>
              <w:t>29 582 967</w:t>
            </w:r>
          </w:p>
        </w:tc>
        <w:tc>
          <w:tcPr>
            <w:tcW w:w="2551" w:type="dxa"/>
            <w:tcBorders>
              <w:top w:val="single" w:sz="4" w:space="0" w:color="auto"/>
              <w:left w:val="single" w:sz="4" w:space="0" w:color="auto"/>
              <w:bottom w:val="single" w:sz="4" w:space="0" w:color="auto"/>
              <w:right w:val="single" w:sz="4" w:space="0" w:color="auto"/>
            </w:tcBorders>
            <w:noWrap/>
            <w:hideMark/>
          </w:tcPr>
          <w:p w14:paraId="7C9CE739" w14:textId="77777777" w:rsidR="004D1A97" w:rsidRPr="006E37E9" w:rsidRDefault="004D1A97" w:rsidP="00501BD5">
            <w:pPr>
              <w:spacing w:after="240"/>
              <w:ind w:left="567" w:hanging="567"/>
              <w:rPr>
                <w:bCs/>
                <w:sz w:val="22"/>
                <w:szCs w:val="22"/>
              </w:rPr>
            </w:pPr>
            <w:r w:rsidRPr="006E37E9">
              <w:rPr>
                <w:bCs/>
                <w:sz w:val="22"/>
              </w:rPr>
              <w:t>24 827 843</w:t>
            </w:r>
          </w:p>
        </w:tc>
        <w:tc>
          <w:tcPr>
            <w:tcW w:w="1843" w:type="dxa"/>
            <w:tcBorders>
              <w:top w:val="single" w:sz="4" w:space="0" w:color="auto"/>
              <w:left w:val="single" w:sz="4" w:space="0" w:color="auto"/>
              <w:bottom w:val="single" w:sz="4" w:space="0" w:color="auto"/>
              <w:right w:val="single" w:sz="4" w:space="0" w:color="auto"/>
            </w:tcBorders>
            <w:noWrap/>
            <w:hideMark/>
          </w:tcPr>
          <w:p w14:paraId="2A5F7636" w14:textId="26C37AB8" w:rsidR="004D1A97" w:rsidRPr="00B84F91" w:rsidRDefault="004D1A97" w:rsidP="00501BD5">
            <w:pPr>
              <w:spacing w:after="240"/>
              <w:ind w:left="567" w:hanging="567"/>
              <w:rPr>
                <w:sz w:val="22"/>
                <w:szCs w:val="22"/>
              </w:rPr>
            </w:pPr>
            <w:r w:rsidRPr="00B84F91">
              <w:rPr>
                <w:sz w:val="22"/>
              </w:rPr>
              <w:t>19,15</w:t>
            </w:r>
          </w:p>
        </w:tc>
      </w:tr>
      <w:tr w:rsidR="004D1A97" w:rsidRPr="00B84F91" w14:paraId="01B91F87"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3C8AD3F" w14:textId="706B35EA" w:rsidR="004D1A97" w:rsidRPr="00EA1702" w:rsidRDefault="00EA1702" w:rsidP="00EA1702">
            <w:pPr>
              <w:spacing w:after="240"/>
              <w:ind w:left="22" w:hanging="22"/>
              <w:rPr>
                <w:b/>
                <w:sz w:val="22"/>
              </w:rPr>
            </w:pPr>
            <w:r w:rsidRPr="00B84F91">
              <w:rPr>
                <w:b/>
                <w:sz w:val="22"/>
              </w:rPr>
              <w:t>СЛУЖБА НА</w:t>
            </w:r>
            <w:r>
              <w:rPr>
                <w:b/>
                <w:sz w:val="22"/>
              </w:rPr>
              <w:t xml:space="preserve"> </w:t>
            </w:r>
            <w:r w:rsidR="004D1A97" w:rsidRPr="00B84F91">
              <w:rPr>
                <w:b/>
                <w:sz w:val="22"/>
              </w:rPr>
              <w:t>ОЕРЕС</w:t>
            </w:r>
          </w:p>
        </w:tc>
        <w:tc>
          <w:tcPr>
            <w:tcW w:w="2268" w:type="dxa"/>
            <w:tcBorders>
              <w:top w:val="single" w:sz="4" w:space="0" w:color="auto"/>
              <w:left w:val="single" w:sz="4" w:space="0" w:color="auto"/>
              <w:bottom w:val="single" w:sz="4" w:space="0" w:color="auto"/>
              <w:right w:val="single" w:sz="4" w:space="0" w:color="auto"/>
            </w:tcBorders>
            <w:noWrap/>
            <w:hideMark/>
          </w:tcPr>
          <w:p w14:paraId="54AB3BDA" w14:textId="77777777" w:rsidR="004D1A97" w:rsidRPr="006E37E9" w:rsidRDefault="004D1A97" w:rsidP="00501BD5">
            <w:pPr>
              <w:spacing w:after="240"/>
              <w:ind w:left="567" w:hanging="567"/>
              <w:rPr>
                <w:bCs/>
                <w:sz w:val="22"/>
                <w:szCs w:val="22"/>
              </w:rPr>
            </w:pPr>
            <w:r w:rsidRPr="006E37E9">
              <w:rPr>
                <w:bCs/>
                <w:sz w:val="22"/>
              </w:rPr>
              <w:t>7 697 265</w:t>
            </w:r>
          </w:p>
        </w:tc>
        <w:tc>
          <w:tcPr>
            <w:tcW w:w="2551" w:type="dxa"/>
            <w:tcBorders>
              <w:top w:val="single" w:sz="4" w:space="0" w:color="auto"/>
              <w:left w:val="single" w:sz="4" w:space="0" w:color="auto"/>
              <w:bottom w:val="single" w:sz="4" w:space="0" w:color="auto"/>
              <w:right w:val="single" w:sz="4" w:space="0" w:color="auto"/>
            </w:tcBorders>
            <w:noWrap/>
            <w:hideMark/>
          </w:tcPr>
          <w:p w14:paraId="4823FE99" w14:textId="77777777" w:rsidR="004D1A97" w:rsidRPr="006E37E9" w:rsidRDefault="004D1A97" w:rsidP="00501BD5">
            <w:pPr>
              <w:spacing w:after="240"/>
              <w:ind w:left="567" w:hanging="567"/>
              <w:rPr>
                <w:bCs/>
                <w:sz w:val="22"/>
                <w:szCs w:val="22"/>
              </w:rPr>
            </w:pPr>
            <w:r w:rsidRPr="006E37E9">
              <w:rPr>
                <w:bCs/>
                <w:sz w:val="22"/>
              </w:rPr>
              <w:t>7 428 456</w:t>
            </w:r>
          </w:p>
        </w:tc>
        <w:tc>
          <w:tcPr>
            <w:tcW w:w="1843" w:type="dxa"/>
            <w:tcBorders>
              <w:top w:val="single" w:sz="4" w:space="0" w:color="auto"/>
              <w:left w:val="single" w:sz="4" w:space="0" w:color="auto"/>
              <w:bottom w:val="single" w:sz="4" w:space="0" w:color="auto"/>
              <w:right w:val="single" w:sz="4" w:space="0" w:color="auto"/>
            </w:tcBorders>
            <w:noWrap/>
            <w:hideMark/>
          </w:tcPr>
          <w:p w14:paraId="27EB1CB5" w14:textId="3447BF6F" w:rsidR="004D1A97" w:rsidRPr="00B84F91" w:rsidRDefault="004D1A97" w:rsidP="00501BD5">
            <w:pPr>
              <w:spacing w:after="240"/>
              <w:ind w:left="567" w:hanging="567"/>
              <w:rPr>
                <w:sz w:val="22"/>
                <w:szCs w:val="22"/>
              </w:rPr>
            </w:pPr>
            <w:r w:rsidRPr="00B84F91">
              <w:rPr>
                <w:sz w:val="22"/>
              </w:rPr>
              <w:t>3,62</w:t>
            </w:r>
          </w:p>
        </w:tc>
      </w:tr>
      <w:tr w:rsidR="004D1A97" w:rsidRPr="00B84F91" w14:paraId="68C53F3C"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5FB345E" w14:textId="7E3E1A57" w:rsidR="004D1A97" w:rsidRPr="006E37E9" w:rsidRDefault="00EA1702" w:rsidP="00501BD5">
            <w:pPr>
              <w:spacing w:after="240"/>
              <w:ind w:left="567" w:hanging="567"/>
              <w:rPr>
                <w:b/>
                <w:bCs/>
                <w:sz w:val="22"/>
                <w:szCs w:val="22"/>
                <w:lang w:val="en-GB"/>
              </w:rPr>
            </w:pPr>
            <w:r w:rsidRPr="00B84F91">
              <w:rPr>
                <w:b/>
                <w:sz w:val="22"/>
              </w:rPr>
              <w:t>CDT</w:t>
            </w:r>
            <w:r>
              <w:rPr>
                <w:b/>
                <w:sz w:val="22"/>
              </w:rPr>
              <w:t>(</w:t>
            </w:r>
            <w:r w:rsidR="006E37E9" w:rsidRPr="006E37E9">
              <w:rPr>
                <w:bCs/>
                <w:szCs w:val="22"/>
                <w:vertAlign w:val="superscript"/>
                <w:lang w:val="en-GB"/>
              </w:rPr>
              <w:t>1</w:t>
            </w:r>
            <w:r w:rsidR="006E37E9">
              <w:rPr>
                <w:bCs/>
                <w:szCs w:val="22"/>
                <w:lang w:val="en-GB"/>
              </w:rPr>
              <w:t>)</w:t>
            </w:r>
          </w:p>
        </w:tc>
        <w:tc>
          <w:tcPr>
            <w:tcW w:w="2268" w:type="dxa"/>
            <w:tcBorders>
              <w:top w:val="single" w:sz="4" w:space="0" w:color="auto"/>
              <w:left w:val="single" w:sz="4" w:space="0" w:color="auto"/>
              <w:bottom w:val="single" w:sz="4" w:space="0" w:color="auto"/>
              <w:right w:val="single" w:sz="4" w:space="0" w:color="auto"/>
            </w:tcBorders>
            <w:noWrap/>
            <w:hideMark/>
          </w:tcPr>
          <w:p w14:paraId="0114C815" w14:textId="77777777" w:rsidR="004D1A97" w:rsidRPr="006E37E9" w:rsidRDefault="004D1A97" w:rsidP="00501BD5">
            <w:pPr>
              <w:spacing w:after="240"/>
              <w:ind w:left="567" w:hanging="567"/>
              <w:rPr>
                <w:bCs/>
                <w:sz w:val="22"/>
                <w:szCs w:val="22"/>
              </w:rPr>
            </w:pPr>
            <w:r w:rsidRPr="006E37E9">
              <w:rPr>
                <w:bCs/>
                <w:sz w:val="22"/>
              </w:rPr>
              <w:t>47 140 900</w:t>
            </w:r>
          </w:p>
        </w:tc>
        <w:tc>
          <w:tcPr>
            <w:tcW w:w="2551" w:type="dxa"/>
            <w:tcBorders>
              <w:top w:val="single" w:sz="4" w:space="0" w:color="auto"/>
              <w:left w:val="single" w:sz="4" w:space="0" w:color="auto"/>
              <w:bottom w:val="single" w:sz="4" w:space="0" w:color="auto"/>
              <w:right w:val="single" w:sz="4" w:space="0" w:color="auto"/>
            </w:tcBorders>
            <w:noWrap/>
            <w:hideMark/>
          </w:tcPr>
          <w:p w14:paraId="154C6E27" w14:textId="77777777" w:rsidR="004D1A97" w:rsidRPr="006E37E9" w:rsidRDefault="004D1A97" w:rsidP="00501BD5">
            <w:pPr>
              <w:spacing w:after="240"/>
              <w:ind w:left="567" w:hanging="567"/>
              <w:rPr>
                <w:bCs/>
                <w:sz w:val="22"/>
                <w:szCs w:val="22"/>
              </w:rPr>
            </w:pPr>
            <w:r w:rsidRPr="006E37E9">
              <w:rPr>
                <w:bCs/>
                <w:sz w:val="22"/>
              </w:rPr>
              <w:t>48 721 800</w:t>
            </w:r>
          </w:p>
        </w:tc>
        <w:tc>
          <w:tcPr>
            <w:tcW w:w="1843" w:type="dxa"/>
            <w:tcBorders>
              <w:top w:val="single" w:sz="4" w:space="0" w:color="auto"/>
              <w:left w:val="single" w:sz="4" w:space="0" w:color="auto"/>
              <w:bottom w:val="single" w:sz="4" w:space="0" w:color="auto"/>
              <w:right w:val="single" w:sz="4" w:space="0" w:color="auto"/>
            </w:tcBorders>
            <w:noWrap/>
            <w:hideMark/>
          </w:tcPr>
          <w:p w14:paraId="302A7B34" w14:textId="60B954E1" w:rsidR="004D1A97" w:rsidRPr="00B84F91" w:rsidRDefault="00EA1702" w:rsidP="00501BD5">
            <w:pPr>
              <w:spacing w:after="240"/>
              <w:ind w:left="567" w:hanging="567"/>
              <w:rPr>
                <w:sz w:val="22"/>
                <w:szCs w:val="22"/>
              </w:rPr>
            </w:pPr>
            <w:r>
              <w:rPr>
                <w:sz w:val="22"/>
              </w:rPr>
              <w:t>–</w:t>
            </w:r>
            <w:r w:rsidR="004D1A97" w:rsidRPr="00B84F91">
              <w:rPr>
                <w:sz w:val="22"/>
              </w:rPr>
              <w:t>3,24</w:t>
            </w:r>
          </w:p>
        </w:tc>
      </w:tr>
      <w:tr w:rsidR="004D1A97" w:rsidRPr="00B84F91" w14:paraId="12077A52"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217D1F9" w14:textId="657D58E1" w:rsidR="004D1A97" w:rsidRPr="00B84F91" w:rsidRDefault="00EA1702" w:rsidP="00501BD5">
            <w:pPr>
              <w:spacing w:after="240"/>
              <w:ind w:left="567" w:hanging="567"/>
              <w:rPr>
                <w:b/>
                <w:bCs/>
                <w:sz w:val="22"/>
                <w:szCs w:val="22"/>
              </w:rPr>
            </w:pPr>
            <w:r w:rsidRPr="00B84F91">
              <w:rPr>
                <w:b/>
                <w:sz w:val="22"/>
              </w:rPr>
              <w:t>CEDEFOP</w:t>
            </w:r>
          </w:p>
        </w:tc>
        <w:tc>
          <w:tcPr>
            <w:tcW w:w="2268" w:type="dxa"/>
            <w:tcBorders>
              <w:top w:val="single" w:sz="4" w:space="0" w:color="auto"/>
              <w:left w:val="single" w:sz="4" w:space="0" w:color="auto"/>
              <w:bottom w:val="single" w:sz="4" w:space="0" w:color="auto"/>
              <w:right w:val="single" w:sz="4" w:space="0" w:color="auto"/>
            </w:tcBorders>
            <w:noWrap/>
            <w:hideMark/>
          </w:tcPr>
          <w:p w14:paraId="16DF38A4" w14:textId="77777777" w:rsidR="004D1A97" w:rsidRPr="006E37E9" w:rsidRDefault="004D1A97" w:rsidP="00501BD5">
            <w:pPr>
              <w:spacing w:after="240"/>
              <w:ind w:left="567" w:hanging="567"/>
              <w:rPr>
                <w:bCs/>
                <w:sz w:val="22"/>
                <w:szCs w:val="22"/>
              </w:rPr>
            </w:pPr>
            <w:r w:rsidRPr="006E37E9">
              <w:rPr>
                <w:bCs/>
                <w:sz w:val="22"/>
              </w:rPr>
              <w:t>20 140 610</w:t>
            </w:r>
          </w:p>
        </w:tc>
        <w:tc>
          <w:tcPr>
            <w:tcW w:w="2551" w:type="dxa"/>
            <w:tcBorders>
              <w:top w:val="single" w:sz="4" w:space="0" w:color="auto"/>
              <w:left w:val="single" w:sz="4" w:space="0" w:color="auto"/>
              <w:bottom w:val="single" w:sz="4" w:space="0" w:color="auto"/>
              <w:right w:val="single" w:sz="4" w:space="0" w:color="auto"/>
            </w:tcBorders>
            <w:noWrap/>
            <w:hideMark/>
          </w:tcPr>
          <w:p w14:paraId="0C8CB6BC" w14:textId="77777777" w:rsidR="004D1A97" w:rsidRPr="006E37E9" w:rsidRDefault="004D1A97" w:rsidP="00501BD5">
            <w:pPr>
              <w:spacing w:after="240"/>
              <w:ind w:left="567" w:hanging="567"/>
              <w:rPr>
                <w:bCs/>
                <w:sz w:val="22"/>
                <w:szCs w:val="22"/>
              </w:rPr>
            </w:pPr>
            <w:r w:rsidRPr="006E37E9">
              <w:rPr>
                <w:bCs/>
                <w:sz w:val="22"/>
              </w:rPr>
              <w:t>18 434 420</w:t>
            </w:r>
          </w:p>
        </w:tc>
        <w:tc>
          <w:tcPr>
            <w:tcW w:w="1843" w:type="dxa"/>
            <w:tcBorders>
              <w:top w:val="single" w:sz="4" w:space="0" w:color="auto"/>
              <w:left w:val="single" w:sz="4" w:space="0" w:color="auto"/>
              <w:bottom w:val="single" w:sz="4" w:space="0" w:color="auto"/>
              <w:right w:val="single" w:sz="4" w:space="0" w:color="auto"/>
            </w:tcBorders>
            <w:noWrap/>
            <w:hideMark/>
          </w:tcPr>
          <w:p w14:paraId="0D4B04E5" w14:textId="58419A2F" w:rsidR="004D1A97" w:rsidRPr="00B84F91" w:rsidRDefault="004D1A97" w:rsidP="00501BD5">
            <w:pPr>
              <w:spacing w:after="240"/>
              <w:ind w:left="567" w:hanging="567"/>
              <w:rPr>
                <w:sz w:val="22"/>
                <w:szCs w:val="22"/>
              </w:rPr>
            </w:pPr>
            <w:r w:rsidRPr="00B84F91">
              <w:rPr>
                <w:sz w:val="22"/>
              </w:rPr>
              <w:t>9,26</w:t>
            </w:r>
          </w:p>
        </w:tc>
      </w:tr>
      <w:tr w:rsidR="004D1A97" w:rsidRPr="00B84F91" w14:paraId="32E7FF42"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3EC46F3" w14:textId="77777777" w:rsidR="004D1A97" w:rsidRPr="00B84F91" w:rsidRDefault="004D1A97" w:rsidP="00501BD5">
            <w:pPr>
              <w:spacing w:after="240"/>
              <w:ind w:left="567" w:hanging="567"/>
              <w:rPr>
                <w:b/>
                <w:bCs/>
                <w:sz w:val="22"/>
                <w:szCs w:val="22"/>
              </w:rPr>
            </w:pPr>
            <w:r w:rsidRPr="00B84F91">
              <w:rPr>
                <w:b/>
                <w:sz w:val="22"/>
              </w:rPr>
              <w:t>CEPOL</w:t>
            </w:r>
          </w:p>
        </w:tc>
        <w:tc>
          <w:tcPr>
            <w:tcW w:w="2268" w:type="dxa"/>
            <w:tcBorders>
              <w:top w:val="single" w:sz="4" w:space="0" w:color="auto"/>
              <w:left w:val="single" w:sz="4" w:space="0" w:color="auto"/>
              <w:bottom w:val="single" w:sz="4" w:space="0" w:color="auto"/>
              <w:right w:val="single" w:sz="4" w:space="0" w:color="auto"/>
            </w:tcBorders>
            <w:noWrap/>
            <w:hideMark/>
          </w:tcPr>
          <w:p w14:paraId="5A6AA3BB" w14:textId="77777777" w:rsidR="004D1A97" w:rsidRPr="006E37E9" w:rsidRDefault="004D1A97" w:rsidP="00501BD5">
            <w:pPr>
              <w:spacing w:after="240"/>
              <w:ind w:left="567" w:hanging="567"/>
              <w:rPr>
                <w:bCs/>
                <w:sz w:val="22"/>
                <w:szCs w:val="22"/>
              </w:rPr>
            </w:pPr>
            <w:r w:rsidRPr="006E37E9">
              <w:rPr>
                <w:bCs/>
                <w:sz w:val="22"/>
              </w:rPr>
              <w:t>14 211 723</w:t>
            </w:r>
          </w:p>
        </w:tc>
        <w:tc>
          <w:tcPr>
            <w:tcW w:w="2551" w:type="dxa"/>
            <w:tcBorders>
              <w:top w:val="single" w:sz="4" w:space="0" w:color="auto"/>
              <w:left w:val="single" w:sz="4" w:space="0" w:color="auto"/>
              <w:bottom w:val="single" w:sz="4" w:space="0" w:color="auto"/>
              <w:right w:val="single" w:sz="4" w:space="0" w:color="auto"/>
            </w:tcBorders>
            <w:noWrap/>
            <w:hideMark/>
          </w:tcPr>
          <w:p w14:paraId="48181367" w14:textId="77777777" w:rsidR="004D1A97" w:rsidRPr="006E37E9" w:rsidRDefault="004D1A97" w:rsidP="00501BD5">
            <w:pPr>
              <w:spacing w:after="240"/>
              <w:ind w:left="567" w:hanging="567"/>
              <w:rPr>
                <w:bCs/>
                <w:sz w:val="22"/>
                <w:szCs w:val="22"/>
              </w:rPr>
            </w:pPr>
            <w:r w:rsidRPr="006E37E9">
              <w:rPr>
                <w:bCs/>
                <w:sz w:val="22"/>
              </w:rPr>
              <w:t>13 805 510</w:t>
            </w:r>
          </w:p>
        </w:tc>
        <w:tc>
          <w:tcPr>
            <w:tcW w:w="1843" w:type="dxa"/>
            <w:tcBorders>
              <w:top w:val="single" w:sz="4" w:space="0" w:color="auto"/>
              <w:left w:val="single" w:sz="4" w:space="0" w:color="auto"/>
              <w:bottom w:val="single" w:sz="4" w:space="0" w:color="auto"/>
              <w:right w:val="single" w:sz="4" w:space="0" w:color="auto"/>
            </w:tcBorders>
            <w:noWrap/>
            <w:hideMark/>
          </w:tcPr>
          <w:p w14:paraId="5EAD216B" w14:textId="67C4CF0B" w:rsidR="004D1A97" w:rsidRPr="00B84F91" w:rsidRDefault="004D1A97" w:rsidP="00501BD5">
            <w:pPr>
              <w:spacing w:after="240"/>
              <w:ind w:left="567" w:hanging="567"/>
              <w:rPr>
                <w:sz w:val="22"/>
                <w:szCs w:val="22"/>
              </w:rPr>
            </w:pPr>
            <w:r w:rsidRPr="00B84F91">
              <w:rPr>
                <w:sz w:val="22"/>
              </w:rPr>
              <w:t>2,94</w:t>
            </w:r>
          </w:p>
        </w:tc>
      </w:tr>
      <w:tr w:rsidR="004D1A97" w:rsidRPr="00B84F91" w14:paraId="1A2FC01C"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9384459" w14:textId="2E1F6F0E" w:rsidR="004D1A97" w:rsidRPr="00B84F91" w:rsidRDefault="004D1A97" w:rsidP="00501BD5">
            <w:pPr>
              <w:spacing w:after="240"/>
              <w:ind w:left="567" w:hanging="567"/>
              <w:rPr>
                <w:b/>
                <w:bCs/>
                <w:sz w:val="22"/>
                <w:szCs w:val="22"/>
              </w:rPr>
            </w:pPr>
            <w:r w:rsidRPr="00B84F91">
              <w:rPr>
                <w:b/>
                <w:sz w:val="22"/>
              </w:rPr>
              <w:t>ЕААБ</w:t>
            </w:r>
            <w:r w:rsidR="00EA1702">
              <w:rPr>
                <w:b/>
                <w:sz w:val="22"/>
              </w:rPr>
              <w:t>(</w:t>
            </w:r>
            <w:r w:rsidR="006E37E9" w:rsidRPr="006E37E9">
              <w:rPr>
                <w:bCs/>
                <w:szCs w:val="22"/>
                <w:vertAlign w:val="superscript"/>
                <w:lang w:val="en-GB"/>
              </w:rPr>
              <w:t>2</w:t>
            </w:r>
            <w:r w:rsidR="00EA1702">
              <w:rPr>
                <w:b/>
                <w:sz w:val="22"/>
              </w:rPr>
              <w:t>)</w:t>
            </w:r>
          </w:p>
        </w:tc>
        <w:tc>
          <w:tcPr>
            <w:tcW w:w="2268" w:type="dxa"/>
            <w:tcBorders>
              <w:top w:val="single" w:sz="4" w:space="0" w:color="auto"/>
              <w:left w:val="single" w:sz="4" w:space="0" w:color="auto"/>
              <w:bottom w:val="single" w:sz="4" w:space="0" w:color="auto"/>
              <w:right w:val="single" w:sz="4" w:space="0" w:color="auto"/>
            </w:tcBorders>
            <w:noWrap/>
            <w:hideMark/>
          </w:tcPr>
          <w:p w14:paraId="4EA2B4BE" w14:textId="77777777" w:rsidR="004D1A97" w:rsidRPr="006E37E9" w:rsidRDefault="004D1A97" w:rsidP="00501BD5">
            <w:pPr>
              <w:spacing w:after="240"/>
              <w:ind w:left="567" w:hanging="567"/>
              <w:rPr>
                <w:bCs/>
                <w:sz w:val="22"/>
                <w:szCs w:val="22"/>
              </w:rPr>
            </w:pPr>
            <w:r w:rsidRPr="006E37E9">
              <w:rPr>
                <w:bCs/>
                <w:sz w:val="22"/>
              </w:rPr>
              <w:t>169 665 375</w:t>
            </w:r>
          </w:p>
        </w:tc>
        <w:tc>
          <w:tcPr>
            <w:tcW w:w="2551" w:type="dxa"/>
            <w:tcBorders>
              <w:top w:val="single" w:sz="4" w:space="0" w:color="auto"/>
              <w:left w:val="single" w:sz="4" w:space="0" w:color="auto"/>
              <w:bottom w:val="single" w:sz="4" w:space="0" w:color="auto"/>
              <w:right w:val="single" w:sz="4" w:space="0" w:color="auto"/>
            </w:tcBorders>
            <w:noWrap/>
            <w:hideMark/>
          </w:tcPr>
          <w:p w14:paraId="52FCAF85" w14:textId="77777777" w:rsidR="004D1A97" w:rsidRPr="006E37E9" w:rsidRDefault="004D1A97" w:rsidP="00501BD5">
            <w:pPr>
              <w:spacing w:after="240"/>
              <w:ind w:left="567" w:hanging="567"/>
              <w:rPr>
                <w:bCs/>
                <w:sz w:val="22"/>
                <w:szCs w:val="22"/>
              </w:rPr>
            </w:pPr>
            <w:r w:rsidRPr="006E37E9">
              <w:rPr>
                <w:bCs/>
                <w:sz w:val="22"/>
              </w:rPr>
              <w:t>163 367 860</w:t>
            </w:r>
          </w:p>
        </w:tc>
        <w:tc>
          <w:tcPr>
            <w:tcW w:w="1843" w:type="dxa"/>
            <w:tcBorders>
              <w:top w:val="single" w:sz="4" w:space="0" w:color="auto"/>
              <w:left w:val="single" w:sz="4" w:space="0" w:color="auto"/>
              <w:bottom w:val="single" w:sz="4" w:space="0" w:color="auto"/>
              <w:right w:val="single" w:sz="4" w:space="0" w:color="auto"/>
            </w:tcBorders>
            <w:noWrap/>
            <w:hideMark/>
          </w:tcPr>
          <w:p w14:paraId="42E65AA2" w14:textId="0447CE43" w:rsidR="004D1A97" w:rsidRPr="00B84F91" w:rsidRDefault="004D1A97" w:rsidP="00501BD5">
            <w:pPr>
              <w:spacing w:after="240"/>
              <w:ind w:left="567" w:hanging="567"/>
              <w:rPr>
                <w:sz w:val="22"/>
                <w:szCs w:val="22"/>
              </w:rPr>
            </w:pPr>
            <w:r w:rsidRPr="00B84F91">
              <w:rPr>
                <w:sz w:val="22"/>
              </w:rPr>
              <w:t>3,85</w:t>
            </w:r>
          </w:p>
        </w:tc>
      </w:tr>
      <w:tr w:rsidR="004D1A97" w:rsidRPr="00B84F91" w14:paraId="3C992E25"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4E9C20C" w14:textId="77777777" w:rsidR="004D1A97" w:rsidRPr="00B84F91" w:rsidRDefault="004D1A97" w:rsidP="00501BD5">
            <w:pPr>
              <w:spacing w:after="240"/>
              <w:ind w:left="567" w:hanging="567"/>
              <w:rPr>
                <w:b/>
                <w:bCs/>
                <w:sz w:val="22"/>
                <w:szCs w:val="22"/>
              </w:rPr>
            </w:pPr>
            <w:r w:rsidRPr="00B84F91">
              <w:rPr>
                <w:b/>
                <w:sz w:val="22"/>
              </w:rPr>
              <w:t>ЕБО</w:t>
            </w:r>
          </w:p>
        </w:tc>
        <w:tc>
          <w:tcPr>
            <w:tcW w:w="2268" w:type="dxa"/>
            <w:tcBorders>
              <w:top w:val="single" w:sz="4" w:space="0" w:color="auto"/>
              <w:left w:val="single" w:sz="4" w:space="0" w:color="auto"/>
              <w:bottom w:val="single" w:sz="4" w:space="0" w:color="auto"/>
              <w:right w:val="single" w:sz="4" w:space="0" w:color="auto"/>
            </w:tcBorders>
            <w:noWrap/>
            <w:hideMark/>
          </w:tcPr>
          <w:p w14:paraId="06C611F7" w14:textId="77777777" w:rsidR="004D1A97" w:rsidRPr="006E37E9" w:rsidRDefault="004D1A97" w:rsidP="00501BD5">
            <w:pPr>
              <w:spacing w:after="240"/>
              <w:ind w:left="567" w:hanging="567"/>
              <w:rPr>
                <w:bCs/>
                <w:sz w:val="22"/>
                <w:szCs w:val="22"/>
              </w:rPr>
            </w:pPr>
            <w:r w:rsidRPr="006E37E9">
              <w:rPr>
                <w:bCs/>
                <w:sz w:val="22"/>
              </w:rPr>
              <w:t>52 672 002</w:t>
            </w:r>
          </w:p>
        </w:tc>
        <w:tc>
          <w:tcPr>
            <w:tcW w:w="2551" w:type="dxa"/>
            <w:tcBorders>
              <w:top w:val="single" w:sz="4" w:space="0" w:color="auto"/>
              <w:left w:val="single" w:sz="4" w:space="0" w:color="auto"/>
              <w:bottom w:val="single" w:sz="4" w:space="0" w:color="auto"/>
              <w:right w:val="single" w:sz="4" w:space="0" w:color="auto"/>
            </w:tcBorders>
            <w:noWrap/>
            <w:hideMark/>
          </w:tcPr>
          <w:p w14:paraId="77ABEEC5" w14:textId="77777777" w:rsidR="004D1A97" w:rsidRPr="006E37E9" w:rsidRDefault="004D1A97" w:rsidP="00501BD5">
            <w:pPr>
              <w:spacing w:after="240"/>
              <w:ind w:left="567" w:hanging="567"/>
              <w:rPr>
                <w:bCs/>
                <w:sz w:val="22"/>
                <w:szCs w:val="22"/>
              </w:rPr>
            </w:pPr>
            <w:r w:rsidRPr="006E37E9">
              <w:rPr>
                <w:bCs/>
                <w:sz w:val="22"/>
              </w:rPr>
              <w:t>50 315 014</w:t>
            </w:r>
          </w:p>
        </w:tc>
        <w:tc>
          <w:tcPr>
            <w:tcW w:w="1843" w:type="dxa"/>
            <w:tcBorders>
              <w:top w:val="single" w:sz="4" w:space="0" w:color="auto"/>
              <w:left w:val="single" w:sz="4" w:space="0" w:color="auto"/>
              <w:bottom w:val="single" w:sz="4" w:space="0" w:color="auto"/>
              <w:right w:val="single" w:sz="4" w:space="0" w:color="auto"/>
            </w:tcBorders>
            <w:noWrap/>
            <w:hideMark/>
          </w:tcPr>
          <w:p w14:paraId="19F3E4B2" w14:textId="33B905B3" w:rsidR="004D1A97" w:rsidRPr="00B84F91" w:rsidRDefault="004D1A97" w:rsidP="00501BD5">
            <w:pPr>
              <w:spacing w:after="240"/>
              <w:ind w:left="567" w:hanging="567"/>
              <w:rPr>
                <w:sz w:val="22"/>
                <w:szCs w:val="22"/>
              </w:rPr>
            </w:pPr>
            <w:r w:rsidRPr="00B84F91">
              <w:rPr>
                <w:sz w:val="22"/>
              </w:rPr>
              <w:t>4,68</w:t>
            </w:r>
          </w:p>
        </w:tc>
      </w:tr>
      <w:tr w:rsidR="004D1A97" w:rsidRPr="00B84F91" w14:paraId="6DFEC1D1"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B8C2518" w14:textId="77777777" w:rsidR="004D1A97" w:rsidRPr="00B84F91" w:rsidRDefault="004D1A97" w:rsidP="00501BD5">
            <w:pPr>
              <w:spacing w:after="240"/>
              <w:ind w:left="567" w:hanging="567"/>
              <w:rPr>
                <w:b/>
                <w:bCs/>
                <w:sz w:val="22"/>
                <w:szCs w:val="22"/>
              </w:rPr>
            </w:pPr>
            <w:r w:rsidRPr="00B84F91">
              <w:rPr>
                <w:b/>
                <w:sz w:val="22"/>
              </w:rPr>
              <w:lastRenderedPageBreak/>
              <w:t>ECDC</w:t>
            </w:r>
          </w:p>
        </w:tc>
        <w:tc>
          <w:tcPr>
            <w:tcW w:w="2268" w:type="dxa"/>
            <w:tcBorders>
              <w:top w:val="single" w:sz="4" w:space="0" w:color="auto"/>
              <w:left w:val="single" w:sz="4" w:space="0" w:color="auto"/>
              <w:bottom w:val="single" w:sz="4" w:space="0" w:color="auto"/>
              <w:right w:val="single" w:sz="4" w:space="0" w:color="auto"/>
            </w:tcBorders>
            <w:noWrap/>
            <w:hideMark/>
          </w:tcPr>
          <w:p w14:paraId="2A77F9E3" w14:textId="77777777" w:rsidR="004D1A97" w:rsidRPr="006E37E9" w:rsidRDefault="004D1A97" w:rsidP="00501BD5">
            <w:pPr>
              <w:spacing w:after="240"/>
              <w:ind w:left="567" w:hanging="567"/>
              <w:rPr>
                <w:bCs/>
                <w:sz w:val="22"/>
                <w:szCs w:val="22"/>
              </w:rPr>
            </w:pPr>
            <w:r w:rsidRPr="006E37E9">
              <w:rPr>
                <w:bCs/>
                <w:sz w:val="22"/>
              </w:rPr>
              <w:t>102 526 724</w:t>
            </w:r>
          </w:p>
        </w:tc>
        <w:tc>
          <w:tcPr>
            <w:tcW w:w="2551" w:type="dxa"/>
            <w:tcBorders>
              <w:top w:val="single" w:sz="4" w:space="0" w:color="auto"/>
              <w:left w:val="single" w:sz="4" w:space="0" w:color="auto"/>
              <w:bottom w:val="single" w:sz="4" w:space="0" w:color="auto"/>
              <w:right w:val="single" w:sz="4" w:space="0" w:color="auto"/>
            </w:tcBorders>
            <w:noWrap/>
            <w:hideMark/>
          </w:tcPr>
          <w:p w14:paraId="57BA5015" w14:textId="77777777" w:rsidR="004D1A97" w:rsidRPr="006E37E9" w:rsidRDefault="004D1A97" w:rsidP="00501BD5">
            <w:pPr>
              <w:spacing w:after="240"/>
              <w:ind w:left="567" w:hanging="567"/>
              <w:rPr>
                <w:bCs/>
                <w:sz w:val="22"/>
                <w:szCs w:val="22"/>
              </w:rPr>
            </w:pPr>
            <w:r w:rsidRPr="006E37E9">
              <w:rPr>
                <w:bCs/>
                <w:sz w:val="22"/>
              </w:rPr>
              <w:t>112 796 588</w:t>
            </w:r>
          </w:p>
        </w:tc>
        <w:tc>
          <w:tcPr>
            <w:tcW w:w="1843" w:type="dxa"/>
            <w:tcBorders>
              <w:top w:val="single" w:sz="4" w:space="0" w:color="auto"/>
              <w:left w:val="single" w:sz="4" w:space="0" w:color="auto"/>
              <w:bottom w:val="single" w:sz="4" w:space="0" w:color="auto"/>
              <w:right w:val="single" w:sz="4" w:space="0" w:color="auto"/>
            </w:tcBorders>
            <w:noWrap/>
            <w:hideMark/>
          </w:tcPr>
          <w:p w14:paraId="219F0E92" w14:textId="648D9A89" w:rsidR="004D1A97" w:rsidRPr="00B84F91" w:rsidRDefault="006E37E9" w:rsidP="00501BD5">
            <w:pPr>
              <w:spacing w:after="240"/>
              <w:ind w:left="567" w:hanging="567"/>
              <w:rPr>
                <w:sz w:val="22"/>
                <w:szCs w:val="22"/>
              </w:rPr>
            </w:pPr>
            <w:r>
              <w:rPr>
                <w:sz w:val="22"/>
                <w:lang w:val="en-GB"/>
              </w:rPr>
              <w:t>–</w:t>
            </w:r>
            <w:r w:rsidR="004D1A97" w:rsidRPr="00B84F91">
              <w:rPr>
                <w:sz w:val="22"/>
              </w:rPr>
              <w:t>9,10</w:t>
            </w:r>
          </w:p>
        </w:tc>
      </w:tr>
      <w:tr w:rsidR="004D1A97" w:rsidRPr="00B84F91" w14:paraId="18985951"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15E5367" w14:textId="77777777" w:rsidR="004D1A97" w:rsidRPr="00B84F91" w:rsidRDefault="004D1A97" w:rsidP="00501BD5">
            <w:pPr>
              <w:spacing w:after="240"/>
              <w:ind w:left="567" w:hanging="567"/>
              <w:rPr>
                <w:b/>
                <w:bCs/>
                <w:sz w:val="22"/>
                <w:szCs w:val="22"/>
              </w:rPr>
            </w:pPr>
            <w:r w:rsidRPr="00B84F91">
              <w:rPr>
                <w:b/>
                <w:sz w:val="22"/>
              </w:rPr>
              <w:t xml:space="preserve">ECHA </w:t>
            </w:r>
          </w:p>
        </w:tc>
        <w:tc>
          <w:tcPr>
            <w:tcW w:w="2268" w:type="dxa"/>
            <w:tcBorders>
              <w:top w:val="single" w:sz="4" w:space="0" w:color="auto"/>
              <w:left w:val="single" w:sz="4" w:space="0" w:color="auto"/>
              <w:bottom w:val="single" w:sz="4" w:space="0" w:color="auto"/>
              <w:right w:val="single" w:sz="4" w:space="0" w:color="auto"/>
            </w:tcBorders>
            <w:noWrap/>
            <w:hideMark/>
          </w:tcPr>
          <w:p w14:paraId="7AB28695" w14:textId="77777777" w:rsidR="004D1A97" w:rsidRPr="006E37E9" w:rsidRDefault="004D1A97" w:rsidP="00501BD5">
            <w:pPr>
              <w:spacing w:after="240"/>
              <w:ind w:left="567" w:hanging="567"/>
              <w:rPr>
                <w:bCs/>
                <w:sz w:val="22"/>
                <w:szCs w:val="22"/>
              </w:rPr>
            </w:pPr>
            <w:r w:rsidRPr="006E37E9">
              <w:rPr>
                <w:bCs/>
                <w:sz w:val="22"/>
              </w:rPr>
              <w:t>123 280 140</w:t>
            </w:r>
          </w:p>
        </w:tc>
        <w:tc>
          <w:tcPr>
            <w:tcW w:w="2551" w:type="dxa"/>
            <w:tcBorders>
              <w:top w:val="single" w:sz="4" w:space="0" w:color="auto"/>
              <w:left w:val="single" w:sz="4" w:space="0" w:color="auto"/>
              <w:bottom w:val="single" w:sz="4" w:space="0" w:color="auto"/>
              <w:right w:val="single" w:sz="4" w:space="0" w:color="auto"/>
            </w:tcBorders>
            <w:noWrap/>
            <w:hideMark/>
          </w:tcPr>
          <w:p w14:paraId="2DE1FF1C" w14:textId="77777777" w:rsidR="004D1A97" w:rsidRPr="006E37E9" w:rsidRDefault="004D1A97" w:rsidP="00501BD5">
            <w:pPr>
              <w:spacing w:after="240"/>
              <w:ind w:left="567" w:hanging="567"/>
              <w:rPr>
                <w:bCs/>
                <w:sz w:val="22"/>
                <w:szCs w:val="22"/>
              </w:rPr>
            </w:pPr>
            <w:r w:rsidRPr="006E37E9">
              <w:rPr>
                <w:bCs/>
                <w:sz w:val="22"/>
              </w:rPr>
              <w:t>116 981 740</w:t>
            </w:r>
          </w:p>
        </w:tc>
        <w:tc>
          <w:tcPr>
            <w:tcW w:w="1843" w:type="dxa"/>
            <w:tcBorders>
              <w:top w:val="single" w:sz="4" w:space="0" w:color="auto"/>
              <w:left w:val="single" w:sz="4" w:space="0" w:color="auto"/>
              <w:bottom w:val="single" w:sz="4" w:space="0" w:color="auto"/>
              <w:right w:val="single" w:sz="4" w:space="0" w:color="auto"/>
            </w:tcBorders>
            <w:noWrap/>
            <w:hideMark/>
          </w:tcPr>
          <w:p w14:paraId="5204AE1C" w14:textId="48D9A491" w:rsidR="004D1A97" w:rsidRPr="00B84F91" w:rsidRDefault="004D1A97" w:rsidP="00501BD5">
            <w:pPr>
              <w:spacing w:after="240"/>
              <w:ind w:left="567" w:hanging="567"/>
              <w:rPr>
                <w:sz w:val="22"/>
                <w:szCs w:val="22"/>
              </w:rPr>
            </w:pPr>
            <w:r w:rsidRPr="00B84F91">
              <w:rPr>
                <w:sz w:val="22"/>
              </w:rPr>
              <w:t>5,38</w:t>
            </w:r>
          </w:p>
        </w:tc>
      </w:tr>
      <w:tr w:rsidR="004D1A97" w:rsidRPr="00B84F91" w14:paraId="08108DB0"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7A7368B" w14:textId="77777777" w:rsidR="004D1A97" w:rsidRPr="00B84F91" w:rsidRDefault="004D1A97" w:rsidP="00501BD5">
            <w:pPr>
              <w:spacing w:after="240"/>
              <w:ind w:left="567" w:hanging="567"/>
              <w:rPr>
                <w:b/>
                <w:bCs/>
                <w:sz w:val="22"/>
                <w:szCs w:val="22"/>
              </w:rPr>
            </w:pPr>
            <w:r w:rsidRPr="00B84F91">
              <w:rPr>
                <w:b/>
                <w:sz w:val="22"/>
              </w:rPr>
              <w:t>ЕАОС</w:t>
            </w:r>
          </w:p>
        </w:tc>
        <w:tc>
          <w:tcPr>
            <w:tcW w:w="2268" w:type="dxa"/>
            <w:tcBorders>
              <w:top w:val="single" w:sz="4" w:space="0" w:color="auto"/>
              <w:left w:val="single" w:sz="4" w:space="0" w:color="auto"/>
              <w:bottom w:val="single" w:sz="4" w:space="0" w:color="auto"/>
              <w:right w:val="single" w:sz="4" w:space="0" w:color="auto"/>
            </w:tcBorders>
            <w:noWrap/>
            <w:hideMark/>
          </w:tcPr>
          <w:p w14:paraId="54E43C39" w14:textId="77777777" w:rsidR="004D1A97" w:rsidRPr="006E37E9" w:rsidRDefault="004D1A97" w:rsidP="00501BD5">
            <w:pPr>
              <w:spacing w:after="240"/>
              <w:ind w:left="567" w:hanging="567"/>
              <w:rPr>
                <w:bCs/>
                <w:sz w:val="22"/>
                <w:szCs w:val="22"/>
              </w:rPr>
            </w:pPr>
            <w:r w:rsidRPr="006E37E9">
              <w:rPr>
                <w:bCs/>
                <w:sz w:val="22"/>
              </w:rPr>
              <w:t>76 114 130</w:t>
            </w:r>
          </w:p>
        </w:tc>
        <w:tc>
          <w:tcPr>
            <w:tcW w:w="2551" w:type="dxa"/>
            <w:tcBorders>
              <w:top w:val="single" w:sz="4" w:space="0" w:color="auto"/>
              <w:left w:val="single" w:sz="4" w:space="0" w:color="auto"/>
              <w:bottom w:val="single" w:sz="4" w:space="0" w:color="auto"/>
              <w:right w:val="single" w:sz="4" w:space="0" w:color="auto"/>
            </w:tcBorders>
            <w:noWrap/>
            <w:hideMark/>
          </w:tcPr>
          <w:p w14:paraId="52E74CB8" w14:textId="77777777" w:rsidR="004D1A97" w:rsidRPr="006E37E9" w:rsidRDefault="004D1A97" w:rsidP="00501BD5">
            <w:pPr>
              <w:spacing w:after="240"/>
              <w:ind w:left="567" w:hanging="567"/>
              <w:rPr>
                <w:bCs/>
                <w:sz w:val="22"/>
                <w:szCs w:val="22"/>
              </w:rPr>
            </w:pPr>
            <w:r w:rsidRPr="006E37E9">
              <w:rPr>
                <w:bCs/>
                <w:sz w:val="22"/>
              </w:rPr>
              <w:t>92 863 021</w:t>
            </w:r>
          </w:p>
        </w:tc>
        <w:tc>
          <w:tcPr>
            <w:tcW w:w="1843" w:type="dxa"/>
            <w:tcBorders>
              <w:top w:val="single" w:sz="4" w:space="0" w:color="auto"/>
              <w:left w:val="single" w:sz="4" w:space="0" w:color="auto"/>
              <w:bottom w:val="single" w:sz="4" w:space="0" w:color="auto"/>
              <w:right w:val="single" w:sz="4" w:space="0" w:color="auto"/>
            </w:tcBorders>
            <w:noWrap/>
            <w:hideMark/>
          </w:tcPr>
          <w:p w14:paraId="0E770BE8" w14:textId="539D9EE3" w:rsidR="004D1A97" w:rsidRPr="00B84F91" w:rsidRDefault="006E37E9" w:rsidP="00501BD5">
            <w:pPr>
              <w:spacing w:after="240"/>
              <w:ind w:left="567" w:hanging="567"/>
              <w:rPr>
                <w:sz w:val="22"/>
                <w:szCs w:val="22"/>
              </w:rPr>
            </w:pPr>
            <w:r>
              <w:rPr>
                <w:sz w:val="22"/>
                <w:lang w:val="en-GB"/>
              </w:rPr>
              <w:t>–</w:t>
            </w:r>
            <w:r w:rsidR="004D1A97" w:rsidRPr="00B84F91">
              <w:rPr>
                <w:sz w:val="22"/>
              </w:rPr>
              <w:t>18,04</w:t>
            </w:r>
          </w:p>
        </w:tc>
      </w:tr>
      <w:tr w:rsidR="004D1A97" w:rsidRPr="00B84F91" w14:paraId="5E2EC1DE"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E185A92" w14:textId="77777777" w:rsidR="004D1A97" w:rsidRPr="00B84F91" w:rsidRDefault="004D1A97" w:rsidP="00501BD5">
            <w:pPr>
              <w:spacing w:after="240"/>
              <w:ind w:left="567" w:hanging="567"/>
              <w:rPr>
                <w:b/>
                <w:bCs/>
                <w:sz w:val="22"/>
                <w:szCs w:val="22"/>
              </w:rPr>
            </w:pPr>
            <w:r w:rsidRPr="00B84F91">
              <w:rPr>
                <w:b/>
                <w:sz w:val="22"/>
              </w:rPr>
              <w:t>EFCA</w:t>
            </w:r>
          </w:p>
        </w:tc>
        <w:tc>
          <w:tcPr>
            <w:tcW w:w="2268" w:type="dxa"/>
            <w:tcBorders>
              <w:top w:val="single" w:sz="4" w:space="0" w:color="auto"/>
              <w:left w:val="single" w:sz="4" w:space="0" w:color="auto"/>
              <w:bottom w:val="single" w:sz="4" w:space="0" w:color="auto"/>
              <w:right w:val="single" w:sz="4" w:space="0" w:color="auto"/>
            </w:tcBorders>
            <w:noWrap/>
            <w:hideMark/>
          </w:tcPr>
          <w:p w14:paraId="075797BE" w14:textId="77777777" w:rsidR="004D1A97" w:rsidRPr="006E37E9" w:rsidRDefault="004D1A97" w:rsidP="00501BD5">
            <w:pPr>
              <w:spacing w:after="240"/>
              <w:ind w:left="567" w:hanging="567"/>
              <w:rPr>
                <w:bCs/>
                <w:sz w:val="22"/>
                <w:szCs w:val="22"/>
              </w:rPr>
            </w:pPr>
            <w:r w:rsidRPr="006E37E9">
              <w:rPr>
                <w:bCs/>
                <w:sz w:val="22"/>
              </w:rPr>
              <w:t>30 862 554</w:t>
            </w:r>
          </w:p>
        </w:tc>
        <w:tc>
          <w:tcPr>
            <w:tcW w:w="2551" w:type="dxa"/>
            <w:tcBorders>
              <w:top w:val="single" w:sz="4" w:space="0" w:color="auto"/>
              <w:left w:val="single" w:sz="4" w:space="0" w:color="auto"/>
              <w:bottom w:val="single" w:sz="4" w:space="0" w:color="auto"/>
              <w:right w:val="single" w:sz="4" w:space="0" w:color="auto"/>
            </w:tcBorders>
            <w:noWrap/>
            <w:hideMark/>
          </w:tcPr>
          <w:p w14:paraId="4664FB83" w14:textId="77777777" w:rsidR="004D1A97" w:rsidRPr="006E37E9" w:rsidRDefault="004D1A97" w:rsidP="00501BD5">
            <w:pPr>
              <w:spacing w:after="240"/>
              <w:ind w:left="567" w:hanging="567"/>
              <w:rPr>
                <w:bCs/>
                <w:sz w:val="22"/>
                <w:szCs w:val="22"/>
              </w:rPr>
            </w:pPr>
            <w:r w:rsidRPr="006E37E9">
              <w:rPr>
                <w:bCs/>
                <w:sz w:val="22"/>
              </w:rPr>
              <w:t>35 734 297</w:t>
            </w:r>
          </w:p>
        </w:tc>
        <w:tc>
          <w:tcPr>
            <w:tcW w:w="1843" w:type="dxa"/>
            <w:tcBorders>
              <w:top w:val="single" w:sz="4" w:space="0" w:color="auto"/>
              <w:left w:val="single" w:sz="4" w:space="0" w:color="auto"/>
              <w:bottom w:val="single" w:sz="4" w:space="0" w:color="auto"/>
              <w:right w:val="single" w:sz="4" w:space="0" w:color="auto"/>
            </w:tcBorders>
            <w:noWrap/>
            <w:hideMark/>
          </w:tcPr>
          <w:p w14:paraId="2B119FDE" w14:textId="58F8594C" w:rsidR="004D1A97" w:rsidRPr="00B84F91" w:rsidRDefault="006E37E9" w:rsidP="00501BD5">
            <w:pPr>
              <w:spacing w:after="240"/>
              <w:ind w:left="567" w:hanging="567"/>
              <w:rPr>
                <w:sz w:val="22"/>
                <w:szCs w:val="22"/>
              </w:rPr>
            </w:pPr>
            <w:r>
              <w:rPr>
                <w:sz w:val="22"/>
                <w:lang w:val="en-GB"/>
              </w:rPr>
              <w:t>–</w:t>
            </w:r>
            <w:r w:rsidR="004D1A97" w:rsidRPr="00B84F91">
              <w:rPr>
                <w:sz w:val="22"/>
              </w:rPr>
              <w:t>13,63</w:t>
            </w:r>
          </w:p>
        </w:tc>
      </w:tr>
      <w:tr w:rsidR="004D1A97" w:rsidRPr="00B84F91" w14:paraId="23BE3736"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2D040A8" w14:textId="77777777" w:rsidR="004D1A97" w:rsidRPr="00B84F91" w:rsidRDefault="004D1A97" w:rsidP="00501BD5">
            <w:pPr>
              <w:spacing w:after="240"/>
              <w:ind w:left="567" w:hanging="567"/>
              <w:rPr>
                <w:b/>
                <w:bCs/>
                <w:sz w:val="22"/>
                <w:szCs w:val="22"/>
              </w:rPr>
            </w:pPr>
            <w:r w:rsidRPr="00B84F91">
              <w:rPr>
                <w:b/>
                <w:sz w:val="22"/>
              </w:rPr>
              <w:t>ЕОБХ</w:t>
            </w:r>
          </w:p>
        </w:tc>
        <w:tc>
          <w:tcPr>
            <w:tcW w:w="2268" w:type="dxa"/>
            <w:tcBorders>
              <w:top w:val="single" w:sz="4" w:space="0" w:color="auto"/>
              <w:left w:val="single" w:sz="4" w:space="0" w:color="auto"/>
              <w:bottom w:val="single" w:sz="4" w:space="0" w:color="auto"/>
              <w:right w:val="single" w:sz="4" w:space="0" w:color="auto"/>
            </w:tcBorders>
            <w:noWrap/>
            <w:hideMark/>
          </w:tcPr>
          <w:p w14:paraId="4A4D5329" w14:textId="77777777" w:rsidR="004D1A97" w:rsidRPr="006E37E9" w:rsidRDefault="004D1A97" w:rsidP="00501BD5">
            <w:pPr>
              <w:spacing w:after="240"/>
              <w:ind w:left="567" w:hanging="567"/>
              <w:rPr>
                <w:bCs/>
                <w:sz w:val="22"/>
                <w:szCs w:val="22"/>
              </w:rPr>
            </w:pPr>
            <w:r w:rsidRPr="006E37E9">
              <w:rPr>
                <w:bCs/>
                <w:sz w:val="22"/>
              </w:rPr>
              <w:t>148 954 729</w:t>
            </w:r>
          </w:p>
        </w:tc>
        <w:tc>
          <w:tcPr>
            <w:tcW w:w="2551" w:type="dxa"/>
            <w:tcBorders>
              <w:top w:val="single" w:sz="4" w:space="0" w:color="auto"/>
              <w:left w:val="single" w:sz="4" w:space="0" w:color="auto"/>
              <w:bottom w:val="single" w:sz="4" w:space="0" w:color="auto"/>
              <w:right w:val="single" w:sz="4" w:space="0" w:color="auto"/>
            </w:tcBorders>
            <w:noWrap/>
            <w:hideMark/>
          </w:tcPr>
          <w:p w14:paraId="137C157A" w14:textId="77777777" w:rsidR="004D1A97" w:rsidRPr="006E37E9" w:rsidRDefault="004D1A97" w:rsidP="00501BD5">
            <w:pPr>
              <w:spacing w:after="240"/>
              <w:ind w:left="567" w:hanging="567"/>
              <w:rPr>
                <w:bCs/>
                <w:sz w:val="22"/>
                <w:szCs w:val="22"/>
              </w:rPr>
            </w:pPr>
            <w:r w:rsidRPr="006E37E9">
              <w:rPr>
                <w:bCs/>
                <w:sz w:val="22"/>
              </w:rPr>
              <w:t>134 773 287</w:t>
            </w:r>
          </w:p>
        </w:tc>
        <w:tc>
          <w:tcPr>
            <w:tcW w:w="1843" w:type="dxa"/>
            <w:tcBorders>
              <w:top w:val="single" w:sz="4" w:space="0" w:color="auto"/>
              <w:left w:val="single" w:sz="4" w:space="0" w:color="auto"/>
              <w:bottom w:val="single" w:sz="4" w:space="0" w:color="auto"/>
              <w:right w:val="single" w:sz="4" w:space="0" w:color="auto"/>
            </w:tcBorders>
            <w:noWrap/>
            <w:hideMark/>
          </w:tcPr>
          <w:p w14:paraId="1A50AB09" w14:textId="500918AB" w:rsidR="004D1A97" w:rsidRPr="00B84F91" w:rsidRDefault="004D1A97" w:rsidP="00501BD5">
            <w:pPr>
              <w:spacing w:after="240"/>
              <w:ind w:left="567" w:hanging="567"/>
              <w:rPr>
                <w:sz w:val="22"/>
                <w:szCs w:val="22"/>
              </w:rPr>
            </w:pPr>
            <w:r w:rsidRPr="00B84F91">
              <w:rPr>
                <w:sz w:val="22"/>
              </w:rPr>
              <w:t>10,52</w:t>
            </w:r>
          </w:p>
        </w:tc>
      </w:tr>
      <w:tr w:rsidR="004D1A97" w:rsidRPr="00B84F91" w14:paraId="1C7AB584"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358DC45" w14:textId="77777777" w:rsidR="004D1A97" w:rsidRPr="00B84F91" w:rsidRDefault="004D1A97" w:rsidP="00501BD5">
            <w:pPr>
              <w:spacing w:after="240"/>
              <w:ind w:left="567" w:hanging="567"/>
              <w:rPr>
                <w:b/>
                <w:bCs/>
                <w:sz w:val="22"/>
                <w:szCs w:val="22"/>
              </w:rPr>
            </w:pPr>
            <w:r w:rsidRPr="00B84F91">
              <w:rPr>
                <w:b/>
                <w:sz w:val="22"/>
              </w:rPr>
              <w:t>EIGE</w:t>
            </w:r>
          </w:p>
        </w:tc>
        <w:tc>
          <w:tcPr>
            <w:tcW w:w="2268" w:type="dxa"/>
            <w:tcBorders>
              <w:top w:val="single" w:sz="4" w:space="0" w:color="auto"/>
              <w:left w:val="single" w:sz="4" w:space="0" w:color="auto"/>
              <w:bottom w:val="single" w:sz="4" w:space="0" w:color="auto"/>
              <w:right w:val="single" w:sz="4" w:space="0" w:color="auto"/>
            </w:tcBorders>
            <w:noWrap/>
            <w:hideMark/>
          </w:tcPr>
          <w:p w14:paraId="1307321D" w14:textId="77777777" w:rsidR="004D1A97" w:rsidRPr="006E37E9" w:rsidRDefault="004D1A97" w:rsidP="00501BD5">
            <w:pPr>
              <w:spacing w:after="240"/>
              <w:ind w:left="567" w:hanging="567"/>
              <w:rPr>
                <w:bCs/>
                <w:sz w:val="22"/>
                <w:szCs w:val="22"/>
              </w:rPr>
            </w:pPr>
            <w:r w:rsidRPr="006E37E9">
              <w:rPr>
                <w:bCs/>
                <w:sz w:val="22"/>
              </w:rPr>
              <w:t>9 358 919</w:t>
            </w:r>
          </w:p>
        </w:tc>
        <w:tc>
          <w:tcPr>
            <w:tcW w:w="2551" w:type="dxa"/>
            <w:tcBorders>
              <w:top w:val="single" w:sz="4" w:space="0" w:color="auto"/>
              <w:left w:val="single" w:sz="4" w:space="0" w:color="auto"/>
              <w:bottom w:val="single" w:sz="4" w:space="0" w:color="auto"/>
              <w:right w:val="single" w:sz="4" w:space="0" w:color="auto"/>
            </w:tcBorders>
            <w:noWrap/>
            <w:hideMark/>
          </w:tcPr>
          <w:p w14:paraId="161A3D5B" w14:textId="77777777" w:rsidR="004D1A97" w:rsidRPr="006E37E9" w:rsidRDefault="004D1A97" w:rsidP="00501BD5">
            <w:pPr>
              <w:spacing w:after="240"/>
              <w:ind w:left="567" w:hanging="567"/>
              <w:rPr>
                <w:bCs/>
                <w:sz w:val="22"/>
                <w:szCs w:val="22"/>
              </w:rPr>
            </w:pPr>
            <w:r w:rsidRPr="006E37E9">
              <w:rPr>
                <w:bCs/>
                <w:sz w:val="22"/>
              </w:rPr>
              <w:t>8 432 920</w:t>
            </w:r>
          </w:p>
        </w:tc>
        <w:tc>
          <w:tcPr>
            <w:tcW w:w="1843" w:type="dxa"/>
            <w:tcBorders>
              <w:top w:val="single" w:sz="4" w:space="0" w:color="auto"/>
              <w:left w:val="single" w:sz="4" w:space="0" w:color="auto"/>
              <w:bottom w:val="single" w:sz="4" w:space="0" w:color="auto"/>
              <w:right w:val="single" w:sz="4" w:space="0" w:color="auto"/>
            </w:tcBorders>
            <w:noWrap/>
            <w:hideMark/>
          </w:tcPr>
          <w:p w14:paraId="07B09617" w14:textId="08043E7A" w:rsidR="004D1A97" w:rsidRPr="00B84F91" w:rsidRDefault="004D1A97" w:rsidP="00501BD5">
            <w:pPr>
              <w:spacing w:after="240"/>
              <w:ind w:left="567" w:hanging="567"/>
              <w:rPr>
                <w:sz w:val="22"/>
                <w:szCs w:val="22"/>
              </w:rPr>
            </w:pPr>
            <w:r w:rsidRPr="00B84F91">
              <w:rPr>
                <w:sz w:val="22"/>
              </w:rPr>
              <w:t>10,98</w:t>
            </w:r>
          </w:p>
        </w:tc>
      </w:tr>
      <w:tr w:rsidR="004D1A97" w:rsidRPr="00B84F91" w14:paraId="7941BB1D"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A925588" w14:textId="77777777" w:rsidR="004D1A97" w:rsidRPr="00B84F91" w:rsidRDefault="004D1A97" w:rsidP="00501BD5">
            <w:pPr>
              <w:spacing w:after="240"/>
              <w:ind w:left="567" w:hanging="567"/>
              <w:rPr>
                <w:b/>
                <w:bCs/>
                <w:sz w:val="22"/>
                <w:szCs w:val="22"/>
              </w:rPr>
            </w:pPr>
            <w:r w:rsidRPr="00B84F91">
              <w:rPr>
                <w:b/>
                <w:sz w:val="22"/>
              </w:rPr>
              <w:t xml:space="preserve">EIOPA </w:t>
            </w:r>
          </w:p>
        </w:tc>
        <w:tc>
          <w:tcPr>
            <w:tcW w:w="2268" w:type="dxa"/>
            <w:tcBorders>
              <w:top w:val="single" w:sz="4" w:space="0" w:color="auto"/>
              <w:left w:val="single" w:sz="4" w:space="0" w:color="auto"/>
              <w:bottom w:val="single" w:sz="4" w:space="0" w:color="auto"/>
              <w:right w:val="single" w:sz="4" w:space="0" w:color="auto"/>
            </w:tcBorders>
            <w:noWrap/>
            <w:hideMark/>
          </w:tcPr>
          <w:p w14:paraId="4AE80E4F" w14:textId="77777777" w:rsidR="004D1A97" w:rsidRPr="006E37E9" w:rsidRDefault="004D1A97" w:rsidP="00501BD5">
            <w:pPr>
              <w:spacing w:after="240"/>
              <w:ind w:left="567" w:hanging="567"/>
              <w:rPr>
                <w:bCs/>
                <w:sz w:val="22"/>
                <w:szCs w:val="22"/>
              </w:rPr>
            </w:pPr>
            <w:r w:rsidRPr="006E37E9">
              <w:rPr>
                <w:bCs/>
                <w:sz w:val="22"/>
              </w:rPr>
              <w:t>36 714 492</w:t>
            </w:r>
          </w:p>
        </w:tc>
        <w:tc>
          <w:tcPr>
            <w:tcW w:w="2551" w:type="dxa"/>
            <w:tcBorders>
              <w:top w:val="single" w:sz="4" w:space="0" w:color="auto"/>
              <w:left w:val="single" w:sz="4" w:space="0" w:color="auto"/>
              <w:bottom w:val="single" w:sz="4" w:space="0" w:color="auto"/>
              <w:right w:val="single" w:sz="4" w:space="0" w:color="auto"/>
            </w:tcBorders>
            <w:noWrap/>
            <w:hideMark/>
          </w:tcPr>
          <w:p w14:paraId="4379C69D" w14:textId="77777777" w:rsidR="004D1A97" w:rsidRPr="006E37E9" w:rsidRDefault="004D1A97" w:rsidP="00501BD5">
            <w:pPr>
              <w:spacing w:after="240"/>
              <w:ind w:left="567" w:hanging="567"/>
              <w:rPr>
                <w:bCs/>
                <w:sz w:val="22"/>
                <w:szCs w:val="22"/>
              </w:rPr>
            </w:pPr>
            <w:r w:rsidRPr="006E37E9">
              <w:rPr>
                <w:bCs/>
                <w:sz w:val="22"/>
              </w:rPr>
              <w:t>34 571 120</w:t>
            </w:r>
          </w:p>
        </w:tc>
        <w:tc>
          <w:tcPr>
            <w:tcW w:w="1843" w:type="dxa"/>
            <w:tcBorders>
              <w:top w:val="single" w:sz="4" w:space="0" w:color="auto"/>
              <w:left w:val="single" w:sz="4" w:space="0" w:color="auto"/>
              <w:bottom w:val="single" w:sz="4" w:space="0" w:color="auto"/>
              <w:right w:val="single" w:sz="4" w:space="0" w:color="auto"/>
            </w:tcBorders>
            <w:noWrap/>
            <w:hideMark/>
          </w:tcPr>
          <w:p w14:paraId="31C54DAD" w14:textId="25DD8672" w:rsidR="004D1A97" w:rsidRPr="00B84F91" w:rsidRDefault="004D1A97" w:rsidP="00501BD5">
            <w:pPr>
              <w:spacing w:after="240"/>
              <w:ind w:left="567" w:hanging="567"/>
              <w:rPr>
                <w:sz w:val="22"/>
                <w:szCs w:val="22"/>
              </w:rPr>
            </w:pPr>
            <w:r w:rsidRPr="00B84F91">
              <w:rPr>
                <w:sz w:val="22"/>
              </w:rPr>
              <w:t>6,20</w:t>
            </w:r>
          </w:p>
        </w:tc>
      </w:tr>
      <w:tr w:rsidR="004D1A97" w:rsidRPr="00B84F91" w14:paraId="248E09DB"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9B43C7F" w14:textId="77777777" w:rsidR="004D1A97" w:rsidRPr="00B84F91" w:rsidRDefault="004D1A97" w:rsidP="00501BD5">
            <w:pPr>
              <w:spacing w:after="240"/>
              <w:ind w:left="567" w:hanging="567"/>
              <w:rPr>
                <w:b/>
                <w:bCs/>
                <w:sz w:val="22"/>
                <w:szCs w:val="22"/>
              </w:rPr>
            </w:pPr>
            <w:r w:rsidRPr="00B84F91">
              <w:rPr>
                <w:b/>
                <w:sz w:val="22"/>
              </w:rPr>
              <w:t>EIT</w:t>
            </w:r>
          </w:p>
        </w:tc>
        <w:tc>
          <w:tcPr>
            <w:tcW w:w="2268" w:type="dxa"/>
            <w:tcBorders>
              <w:top w:val="single" w:sz="4" w:space="0" w:color="auto"/>
              <w:left w:val="single" w:sz="4" w:space="0" w:color="auto"/>
              <w:bottom w:val="single" w:sz="4" w:space="0" w:color="auto"/>
              <w:right w:val="single" w:sz="4" w:space="0" w:color="auto"/>
            </w:tcBorders>
            <w:noWrap/>
            <w:hideMark/>
          </w:tcPr>
          <w:p w14:paraId="4281C2CE" w14:textId="77777777" w:rsidR="004D1A97" w:rsidRPr="006E37E9" w:rsidRDefault="004D1A97" w:rsidP="00501BD5">
            <w:pPr>
              <w:spacing w:after="240"/>
              <w:ind w:left="567" w:hanging="567"/>
              <w:rPr>
                <w:bCs/>
                <w:sz w:val="22"/>
                <w:szCs w:val="22"/>
              </w:rPr>
            </w:pPr>
            <w:r w:rsidRPr="006E37E9">
              <w:rPr>
                <w:bCs/>
                <w:sz w:val="22"/>
              </w:rPr>
              <w:t>367 607 241</w:t>
            </w:r>
          </w:p>
        </w:tc>
        <w:tc>
          <w:tcPr>
            <w:tcW w:w="2551" w:type="dxa"/>
            <w:tcBorders>
              <w:top w:val="single" w:sz="4" w:space="0" w:color="auto"/>
              <w:left w:val="single" w:sz="4" w:space="0" w:color="auto"/>
              <w:bottom w:val="single" w:sz="4" w:space="0" w:color="auto"/>
              <w:right w:val="single" w:sz="4" w:space="0" w:color="auto"/>
            </w:tcBorders>
            <w:noWrap/>
            <w:hideMark/>
          </w:tcPr>
          <w:p w14:paraId="071B3D8B" w14:textId="77777777" w:rsidR="004D1A97" w:rsidRPr="006E37E9" w:rsidRDefault="004D1A97" w:rsidP="00501BD5">
            <w:pPr>
              <w:spacing w:after="240"/>
              <w:ind w:left="567" w:hanging="567"/>
              <w:rPr>
                <w:bCs/>
                <w:sz w:val="22"/>
                <w:szCs w:val="22"/>
              </w:rPr>
            </w:pPr>
            <w:r w:rsidRPr="006E37E9">
              <w:rPr>
                <w:bCs/>
                <w:sz w:val="22"/>
              </w:rPr>
              <w:t>448 920 650</w:t>
            </w:r>
          </w:p>
        </w:tc>
        <w:tc>
          <w:tcPr>
            <w:tcW w:w="1843" w:type="dxa"/>
            <w:tcBorders>
              <w:top w:val="single" w:sz="4" w:space="0" w:color="auto"/>
              <w:left w:val="single" w:sz="4" w:space="0" w:color="auto"/>
              <w:bottom w:val="single" w:sz="4" w:space="0" w:color="auto"/>
              <w:right w:val="single" w:sz="4" w:space="0" w:color="auto"/>
            </w:tcBorders>
            <w:noWrap/>
            <w:hideMark/>
          </w:tcPr>
          <w:p w14:paraId="3B14B5C5" w14:textId="287C0E24" w:rsidR="004D1A97" w:rsidRPr="00B84F91" w:rsidRDefault="006E37E9" w:rsidP="00501BD5">
            <w:pPr>
              <w:spacing w:after="240"/>
              <w:ind w:left="567" w:hanging="567"/>
              <w:rPr>
                <w:sz w:val="22"/>
                <w:szCs w:val="22"/>
              </w:rPr>
            </w:pPr>
            <w:r>
              <w:rPr>
                <w:sz w:val="22"/>
                <w:lang w:val="en-GB"/>
              </w:rPr>
              <w:t>–</w:t>
            </w:r>
            <w:r w:rsidR="004D1A97" w:rsidRPr="00B84F91">
              <w:rPr>
                <w:sz w:val="22"/>
              </w:rPr>
              <w:t>18,11</w:t>
            </w:r>
          </w:p>
        </w:tc>
      </w:tr>
      <w:tr w:rsidR="004D1A97" w:rsidRPr="00B84F91" w14:paraId="632FAA72"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81CCE61" w14:textId="77777777" w:rsidR="004D1A97" w:rsidRPr="00B84F91" w:rsidRDefault="004D1A97" w:rsidP="00501BD5">
            <w:pPr>
              <w:spacing w:after="240"/>
              <w:ind w:left="567" w:hanging="567"/>
              <w:rPr>
                <w:b/>
                <w:bCs/>
                <w:sz w:val="22"/>
                <w:szCs w:val="22"/>
              </w:rPr>
            </w:pPr>
            <w:r w:rsidRPr="00B84F91">
              <w:rPr>
                <w:b/>
                <w:sz w:val="22"/>
              </w:rPr>
              <w:t>ЕОТ</w:t>
            </w:r>
          </w:p>
        </w:tc>
        <w:tc>
          <w:tcPr>
            <w:tcW w:w="2268" w:type="dxa"/>
            <w:tcBorders>
              <w:top w:val="single" w:sz="4" w:space="0" w:color="auto"/>
              <w:left w:val="single" w:sz="4" w:space="0" w:color="auto"/>
              <w:bottom w:val="single" w:sz="4" w:space="0" w:color="auto"/>
              <w:right w:val="single" w:sz="4" w:space="0" w:color="auto"/>
            </w:tcBorders>
            <w:noWrap/>
            <w:hideMark/>
          </w:tcPr>
          <w:p w14:paraId="04264572" w14:textId="77777777" w:rsidR="004D1A97" w:rsidRPr="006E37E9" w:rsidRDefault="004D1A97" w:rsidP="00501BD5">
            <w:pPr>
              <w:spacing w:after="240"/>
              <w:ind w:left="567" w:hanging="567"/>
              <w:rPr>
                <w:bCs/>
                <w:sz w:val="22"/>
                <w:szCs w:val="22"/>
              </w:rPr>
            </w:pPr>
            <w:r w:rsidRPr="006E37E9">
              <w:rPr>
                <w:bCs/>
                <w:sz w:val="22"/>
              </w:rPr>
              <w:t>39 973 330</w:t>
            </w:r>
          </w:p>
        </w:tc>
        <w:tc>
          <w:tcPr>
            <w:tcW w:w="2551" w:type="dxa"/>
            <w:tcBorders>
              <w:top w:val="single" w:sz="4" w:space="0" w:color="auto"/>
              <w:left w:val="single" w:sz="4" w:space="0" w:color="auto"/>
              <w:bottom w:val="single" w:sz="4" w:space="0" w:color="auto"/>
              <w:right w:val="single" w:sz="4" w:space="0" w:color="auto"/>
            </w:tcBorders>
            <w:noWrap/>
            <w:hideMark/>
          </w:tcPr>
          <w:p w14:paraId="4B42D099" w14:textId="77777777" w:rsidR="004D1A97" w:rsidRPr="006E37E9" w:rsidRDefault="004D1A97" w:rsidP="00501BD5">
            <w:pPr>
              <w:spacing w:after="240"/>
              <w:ind w:left="567" w:hanging="567"/>
              <w:rPr>
                <w:bCs/>
                <w:sz w:val="22"/>
                <w:szCs w:val="22"/>
              </w:rPr>
            </w:pPr>
            <w:r w:rsidRPr="006E37E9">
              <w:rPr>
                <w:bCs/>
                <w:sz w:val="22"/>
              </w:rPr>
              <w:t>34 689 842</w:t>
            </w:r>
          </w:p>
        </w:tc>
        <w:tc>
          <w:tcPr>
            <w:tcW w:w="1843" w:type="dxa"/>
            <w:tcBorders>
              <w:top w:val="single" w:sz="4" w:space="0" w:color="auto"/>
              <w:left w:val="single" w:sz="4" w:space="0" w:color="auto"/>
              <w:bottom w:val="single" w:sz="4" w:space="0" w:color="auto"/>
              <w:right w:val="single" w:sz="4" w:space="0" w:color="auto"/>
            </w:tcBorders>
            <w:noWrap/>
            <w:hideMark/>
          </w:tcPr>
          <w:p w14:paraId="5D496189" w14:textId="21D4B745" w:rsidR="004D1A97" w:rsidRPr="00B84F91" w:rsidRDefault="004D1A97" w:rsidP="00501BD5">
            <w:pPr>
              <w:spacing w:after="240"/>
              <w:ind w:left="567" w:hanging="567"/>
              <w:rPr>
                <w:sz w:val="22"/>
                <w:szCs w:val="22"/>
              </w:rPr>
            </w:pPr>
            <w:r w:rsidRPr="00B84F91">
              <w:rPr>
                <w:sz w:val="22"/>
              </w:rPr>
              <w:t>15,23</w:t>
            </w:r>
          </w:p>
        </w:tc>
      </w:tr>
      <w:tr w:rsidR="004D1A97" w:rsidRPr="00B84F91" w14:paraId="4211A6A5"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6AAC3E9" w14:textId="77777777" w:rsidR="004D1A97" w:rsidRPr="00B84F91" w:rsidRDefault="004D1A97" w:rsidP="00501BD5">
            <w:pPr>
              <w:spacing w:after="240"/>
              <w:ind w:left="567" w:hanging="567"/>
              <w:rPr>
                <w:b/>
                <w:bCs/>
                <w:sz w:val="22"/>
                <w:szCs w:val="22"/>
              </w:rPr>
            </w:pPr>
            <w:r w:rsidRPr="00B84F91">
              <w:rPr>
                <w:b/>
                <w:sz w:val="22"/>
              </w:rPr>
              <w:t xml:space="preserve">EMA </w:t>
            </w:r>
          </w:p>
        </w:tc>
        <w:tc>
          <w:tcPr>
            <w:tcW w:w="2268" w:type="dxa"/>
            <w:tcBorders>
              <w:top w:val="single" w:sz="4" w:space="0" w:color="auto"/>
              <w:left w:val="single" w:sz="4" w:space="0" w:color="auto"/>
              <w:bottom w:val="single" w:sz="4" w:space="0" w:color="auto"/>
              <w:right w:val="single" w:sz="4" w:space="0" w:color="auto"/>
            </w:tcBorders>
            <w:noWrap/>
            <w:hideMark/>
          </w:tcPr>
          <w:p w14:paraId="502A9C15" w14:textId="77777777" w:rsidR="004D1A97" w:rsidRPr="006E37E9" w:rsidRDefault="004D1A97" w:rsidP="00501BD5">
            <w:pPr>
              <w:spacing w:after="240"/>
              <w:ind w:left="567" w:hanging="567"/>
              <w:rPr>
                <w:bCs/>
                <w:sz w:val="22"/>
                <w:szCs w:val="22"/>
              </w:rPr>
            </w:pPr>
            <w:r w:rsidRPr="006E37E9">
              <w:rPr>
                <w:bCs/>
                <w:sz w:val="22"/>
              </w:rPr>
              <w:t>448 603 000</w:t>
            </w:r>
          </w:p>
        </w:tc>
        <w:tc>
          <w:tcPr>
            <w:tcW w:w="2551" w:type="dxa"/>
            <w:tcBorders>
              <w:top w:val="single" w:sz="4" w:space="0" w:color="auto"/>
              <w:left w:val="single" w:sz="4" w:space="0" w:color="auto"/>
              <w:bottom w:val="single" w:sz="4" w:space="0" w:color="auto"/>
              <w:right w:val="single" w:sz="4" w:space="0" w:color="auto"/>
            </w:tcBorders>
            <w:noWrap/>
            <w:hideMark/>
          </w:tcPr>
          <w:p w14:paraId="0DB2B4B0" w14:textId="77777777" w:rsidR="004D1A97" w:rsidRPr="006E37E9" w:rsidRDefault="004D1A97" w:rsidP="00501BD5">
            <w:pPr>
              <w:spacing w:after="240"/>
              <w:ind w:left="567" w:hanging="567"/>
              <w:rPr>
                <w:bCs/>
                <w:sz w:val="22"/>
                <w:szCs w:val="22"/>
              </w:rPr>
            </w:pPr>
            <w:r w:rsidRPr="006E37E9">
              <w:rPr>
                <w:bCs/>
                <w:sz w:val="22"/>
              </w:rPr>
              <w:t>421 815 000</w:t>
            </w:r>
          </w:p>
        </w:tc>
        <w:tc>
          <w:tcPr>
            <w:tcW w:w="1843" w:type="dxa"/>
            <w:tcBorders>
              <w:top w:val="single" w:sz="4" w:space="0" w:color="auto"/>
              <w:left w:val="single" w:sz="4" w:space="0" w:color="auto"/>
              <w:bottom w:val="single" w:sz="4" w:space="0" w:color="auto"/>
              <w:right w:val="single" w:sz="4" w:space="0" w:color="auto"/>
            </w:tcBorders>
            <w:noWrap/>
            <w:hideMark/>
          </w:tcPr>
          <w:p w14:paraId="1BCA7C5C" w14:textId="78879127" w:rsidR="004D1A97" w:rsidRPr="00B84F91" w:rsidRDefault="004D1A97" w:rsidP="00501BD5">
            <w:pPr>
              <w:spacing w:after="240"/>
              <w:ind w:left="567" w:hanging="567"/>
              <w:rPr>
                <w:sz w:val="22"/>
                <w:szCs w:val="22"/>
              </w:rPr>
            </w:pPr>
            <w:r w:rsidRPr="00B84F91">
              <w:rPr>
                <w:sz w:val="22"/>
              </w:rPr>
              <w:t>6,35</w:t>
            </w:r>
          </w:p>
        </w:tc>
      </w:tr>
      <w:tr w:rsidR="004D1A97" w:rsidRPr="00B84F91" w14:paraId="210A5BCB"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A32DDE3" w14:textId="77777777" w:rsidR="004D1A97" w:rsidRPr="00B84F91" w:rsidRDefault="004D1A97" w:rsidP="00501BD5">
            <w:pPr>
              <w:spacing w:after="240"/>
              <w:ind w:left="567" w:hanging="567"/>
              <w:jc w:val="both"/>
              <w:rPr>
                <w:b/>
                <w:bCs/>
                <w:sz w:val="22"/>
                <w:szCs w:val="22"/>
              </w:rPr>
            </w:pPr>
            <w:r w:rsidRPr="00B84F91">
              <w:rPr>
                <w:b/>
                <w:sz w:val="22"/>
              </w:rPr>
              <w:t>EUDA (EMCDDA)</w:t>
            </w:r>
          </w:p>
        </w:tc>
        <w:tc>
          <w:tcPr>
            <w:tcW w:w="2268" w:type="dxa"/>
            <w:tcBorders>
              <w:top w:val="single" w:sz="4" w:space="0" w:color="auto"/>
              <w:left w:val="single" w:sz="4" w:space="0" w:color="auto"/>
              <w:bottom w:val="single" w:sz="4" w:space="0" w:color="auto"/>
              <w:right w:val="single" w:sz="4" w:space="0" w:color="auto"/>
            </w:tcBorders>
            <w:noWrap/>
            <w:hideMark/>
          </w:tcPr>
          <w:p w14:paraId="4C770E0D" w14:textId="77777777" w:rsidR="004D1A97" w:rsidRPr="006E37E9" w:rsidRDefault="004D1A97" w:rsidP="00501BD5">
            <w:pPr>
              <w:spacing w:after="240"/>
              <w:ind w:left="567" w:hanging="567"/>
              <w:rPr>
                <w:bCs/>
                <w:sz w:val="22"/>
                <w:szCs w:val="22"/>
              </w:rPr>
            </w:pPr>
            <w:r w:rsidRPr="006E37E9">
              <w:rPr>
                <w:bCs/>
                <w:sz w:val="22"/>
              </w:rPr>
              <w:t>22 082 074</w:t>
            </w:r>
          </w:p>
        </w:tc>
        <w:tc>
          <w:tcPr>
            <w:tcW w:w="2551" w:type="dxa"/>
            <w:tcBorders>
              <w:top w:val="single" w:sz="4" w:space="0" w:color="auto"/>
              <w:left w:val="single" w:sz="4" w:space="0" w:color="auto"/>
              <w:bottom w:val="single" w:sz="4" w:space="0" w:color="auto"/>
              <w:right w:val="single" w:sz="4" w:space="0" w:color="auto"/>
            </w:tcBorders>
            <w:noWrap/>
            <w:hideMark/>
          </w:tcPr>
          <w:p w14:paraId="0E62F898" w14:textId="77777777" w:rsidR="004D1A97" w:rsidRPr="006E37E9" w:rsidRDefault="004D1A97" w:rsidP="00501BD5">
            <w:pPr>
              <w:spacing w:after="240"/>
              <w:ind w:left="567" w:hanging="567"/>
              <w:rPr>
                <w:bCs/>
                <w:sz w:val="22"/>
                <w:szCs w:val="22"/>
              </w:rPr>
            </w:pPr>
            <w:r w:rsidRPr="006E37E9">
              <w:rPr>
                <w:bCs/>
                <w:sz w:val="22"/>
              </w:rPr>
              <w:t>18 839 136</w:t>
            </w:r>
          </w:p>
        </w:tc>
        <w:tc>
          <w:tcPr>
            <w:tcW w:w="1843" w:type="dxa"/>
            <w:tcBorders>
              <w:top w:val="single" w:sz="4" w:space="0" w:color="auto"/>
              <w:left w:val="single" w:sz="4" w:space="0" w:color="auto"/>
              <w:bottom w:val="single" w:sz="4" w:space="0" w:color="auto"/>
              <w:right w:val="single" w:sz="4" w:space="0" w:color="auto"/>
            </w:tcBorders>
            <w:noWrap/>
            <w:hideMark/>
          </w:tcPr>
          <w:p w14:paraId="05E799F7" w14:textId="03D88320" w:rsidR="004D1A97" w:rsidRPr="00B84F91" w:rsidRDefault="004D1A97" w:rsidP="00501BD5">
            <w:pPr>
              <w:spacing w:after="240"/>
              <w:ind w:left="567" w:hanging="567"/>
              <w:rPr>
                <w:sz w:val="22"/>
                <w:szCs w:val="22"/>
              </w:rPr>
            </w:pPr>
            <w:r w:rsidRPr="00B84F91">
              <w:rPr>
                <w:sz w:val="22"/>
              </w:rPr>
              <w:t>17,21</w:t>
            </w:r>
          </w:p>
        </w:tc>
      </w:tr>
      <w:tr w:rsidR="004D1A97" w:rsidRPr="00B84F91" w14:paraId="17F7CA9D"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5704407" w14:textId="77777777" w:rsidR="004D1A97" w:rsidRPr="00B84F91" w:rsidRDefault="004D1A97" w:rsidP="00501BD5">
            <w:pPr>
              <w:spacing w:after="240"/>
              <w:ind w:left="567" w:hanging="567"/>
              <w:rPr>
                <w:b/>
                <w:bCs/>
                <w:sz w:val="22"/>
                <w:szCs w:val="22"/>
              </w:rPr>
            </w:pPr>
            <w:r w:rsidRPr="00B84F91">
              <w:rPr>
                <w:b/>
                <w:sz w:val="22"/>
              </w:rPr>
              <w:t>ЕАМБ</w:t>
            </w:r>
          </w:p>
        </w:tc>
        <w:tc>
          <w:tcPr>
            <w:tcW w:w="2268" w:type="dxa"/>
            <w:tcBorders>
              <w:top w:val="single" w:sz="4" w:space="0" w:color="auto"/>
              <w:left w:val="single" w:sz="4" w:space="0" w:color="auto"/>
              <w:bottom w:val="single" w:sz="4" w:space="0" w:color="auto"/>
              <w:right w:val="single" w:sz="4" w:space="0" w:color="auto"/>
            </w:tcBorders>
            <w:noWrap/>
            <w:hideMark/>
          </w:tcPr>
          <w:p w14:paraId="5EEE8CBE" w14:textId="77777777" w:rsidR="004D1A97" w:rsidRPr="006E37E9" w:rsidRDefault="004D1A97" w:rsidP="00501BD5">
            <w:pPr>
              <w:spacing w:after="240"/>
              <w:ind w:left="567" w:hanging="567"/>
              <w:rPr>
                <w:bCs/>
                <w:sz w:val="22"/>
                <w:szCs w:val="22"/>
              </w:rPr>
            </w:pPr>
            <w:r w:rsidRPr="006E37E9">
              <w:rPr>
                <w:bCs/>
                <w:sz w:val="22"/>
              </w:rPr>
              <w:t>111 954 231</w:t>
            </w:r>
          </w:p>
        </w:tc>
        <w:tc>
          <w:tcPr>
            <w:tcW w:w="2551" w:type="dxa"/>
            <w:tcBorders>
              <w:top w:val="single" w:sz="4" w:space="0" w:color="auto"/>
              <w:left w:val="single" w:sz="4" w:space="0" w:color="auto"/>
              <w:bottom w:val="single" w:sz="4" w:space="0" w:color="auto"/>
              <w:right w:val="single" w:sz="4" w:space="0" w:color="auto"/>
            </w:tcBorders>
            <w:noWrap/>
            <w:hideMark/>
          </w:tcPr>
          <w:p w14:paraId="009A4AD1" w14:textId="77777777" w:rsidR="004D1A97" w:rsidRPr="006E37E9" w:rsidRDefault="004D1A97" w:rsidP="00501BD5">
            <w:pPr>
              <w:spacing w:after="240"/>
              <w:ind w:left="567" w:hanging="567"/>
              <w:rPr>
                <w:bCs/>
                <w:sz w:val="22"/>
                <w:szCs w:val="22"/>
              </w:rPr>
            </w:pPr>
            <w:r w:rsidRPr="006E37E9">
              <w:rPr>
                <w:bCs/>
                <w:sz w:val="22"/>
              </w:rPr>
              <w:t>115 807 270</w:t>
            </w:r>
          </w:p>
        </w:tc>
        <w:tc>
          <w:tcPr>
            <w:tcW w:w="1843" w:type="dxa"/>
            <w:tcBorders>
              <w:top w:val="single" w:sz="4" w:space="0" w:color="auto"/>
              <w:left w:val="single" w:sz="4" w:space="0" w:color="auto"/>
              <w:bottom w:val="single" w:sz="4" w:space="0" w:color="auto"/>
              <w:right w:val="single" w:sz="4" w:space="0" w:color="auto"/>
            </w:tcBorders>
            <w:noWrap/>
            <w:hideMark/>
          </w:tcPr>
          <w:p w14:paraId="3A34D5B8" w14:textId="73777E71" w:rsidR="004D1A97" w:rsidRPr="00B84F91" w:rsidRDefault="006E37E9" w:rsidP="00501BD5">
            <w:pPr>
              <w:spacing w:after="240"/>
              <w:ind w:left="567" w:hanging="567"/>
              <w:rPr>
                <w:sz w:val="22"/>
                <w:szCs w:val="22"/>
              </w:rPr>
            </w:pPr>
            <w:r>
              <w:rPr>
                <w:sz w:val="22"/>
                <w:lang w:val="en-GB"/>
              </w:rPr>
              <w:t>–</w:t>
            </w:r>
            <w:r w:rsidR="004D1A97" w:rsidRPr="00B84F91">
              <w:rPr>
                <w:sz w:val="22"/>
              </w:rPr>
              <w:t>3,33</w:t>
            </w:r>
          </w:p>
        </w:tc>
      </w:tr>
      <w:tr w:rsidR="004D1A97" w:rsidRPr="00B84F91" w14:paraId="2283E450"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824B504" w14:textId="77777777" w:rsidR="004D1A97" w:rsidRPr="00B84F91" w:rsidRDefault="004D1A97" w:rsidP="00501BD5">
            <w:pPr>
              <w:spacing w:after="240"/>
              <w:ind w:left="567" w:hanging="567"/>
              <w:rPr>
                <w:b/>
                <w:bCs/>
                <w:sz w:val="22"/>
                <w:szCs w:val="22"/>
              </w:rPr>
            </w:pPr>
            <w:r w:rsidRPr="00B84F91">
              <w:rPr>
                <w:b/>
                <w:sz w:val="22"/>
              </w:rPr>
              <w:t>ENISA</w:t>
            </w:r>
          </w:p>
        </w:tc>
        <w:tc>
          <w:tcPr>
            <w:tcW w:w="2268" w:type="dxa"/>
            <w:tcBorders>
              <w:top w:val="single" w:sz="4" w:space="0" w:color="auto"/>
              <w:left w:val="single" w:sz="4" w:space="0" w:color="auto"/>
              <w:bottom w:val="single" w:sz="4" w:space="0" w:color="auto"/>
              <w:right w:val="single" w:sz="4" w:space="0" w:color="auto"/>
            </w:tcBorders>
            <w:noWrap/>
            <w:hideMark/>
          </w:tcPr>
          <w:p w14:paraId="534114F9" w14:textId="77777777" w:rsidR="004D1A97" w:rsidRPr="006E37E9" w:rsidRDefault="004D1A97" w:rsidP="00501BD5">
            <w:pPr>
              <w:spacing w:after="240"/>
              <w:ind w:left="567" w:hanging="567"/>
              <w:rPr>
                <w:bCs/>
                <w:sz w:val="22"/>
                <w:szCs w:val="22"/>
              </w:rPr>
            </w:pPr>
            <w:r w:rsidRPr="006E37E9">
              <w:rPr>
                <w:bCs/>
                <w:sz w:val="22"/>
              </w:rPr>
              <w:t>25 183 495</w:t>
            </w:r>
          </w:p>
        </w:tc>
        <w:tc>
          <w:tcPr>
            <w:tcW w:w="2551" w:type="dxa"/>
            <w:tcBorders>
              <w:top w:val="single" w:sz="4" w:space="0" w:color="auto"/>
              <w:left w:val="single" w:sz="4" w:space="0" w:color="auto"/>
              <w:bottom w:val="single" w:sz="4" w:space="0" w:color="auto"/>
              <w:right w:val="single" w:sz="4" w:space="0" w:color="auto"/>
            </w:tcBorders>
            <w:noWrap/>
            <w:hideMark/>
          </w:tcPr>
          <w:p w14:paraId="02CE68FB" w14:textId="77777777" w:rsidR="004D1A97" w:rsidRPr="006E37E9" w:rsidRDefault="004D1A97" w:rsidP="00501BD5">
            <w:pPr>
              <w:spacing w:after="240"/>
              <w:ind w:left="567" w:hanging="567"/>
              <w:rPr>
                <w:bCs/>
                <w:sz w:val="22"/>
                <w:szCs w:val="22"/>
              </w:rPr>
            </w:pPr>
            <w:r w:rsidRPr="006E37E9">
              <w:rPr>
                <w:bCs/>
                <w:sz w:val="22"/>
              </w:rPr>
              <w:t>39 207 625</w:t>
            </w:r>
          </w:p>
        </w:tc>
        <w:tc>
          <w:tcPr>
            <w:tcW w:w="1843" w:type="dxa"/>
            <w:tcBorders>
              <w:top w:val="single" w:sz="4" w:space="0" w:color="auto"/>
              <w:left w:val="single" w:sz="4" w:space="0" w:color="auto"/>
              <w:bottom w:val="single" w:sz="4" w:space="0" w:color="auto"/>
              <w:right w:val="single" w:sz="4" w:space="0" w:color="auto"/>
            </w:tcBorders>
            <w:noWrap/>
            <w:hideMark/>
          </w:tcPr>
          <w:p w14:paraId="439E1477" w14:textId="496ACECF" w:rsidR="004D1A97" w:rsidRPr="00B84F91" w:rsidRDefault="006E37E9" w:rsidP="00501BD5">
            <w:pPr>
              <w:spacing w:after="240"/>
              <w:ind w:left="567" w:hanging="567"/>
              <w:rPr>
                <w:sz w:val="22"/>
                <w:szCs w:val="22"/>
              </w:rPr>
            </w:pPr>
            <w:r>
              <w:rPr>
                <w:sz w:val="22"/>
                <w:lang w:val="en-GB"/>
              </w:rPr>
              <w:t>–</w:t>
            </w:r>
            <w:r w:rsidR="004D1A97" w:rsidRPr="00B84F91">
              <w:rPr>
                <w:sz w:val="22"/>
              </w:rPr>
              <w:t>35,77</w:t>
            </w:r>
          </w:p>
        </w:tc>
      </w:tr>
      <w:tr w:rsidR="004D1A97" w:rsidRPr="00B84F91" w14:paraId="3C71FE75"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8DA9BB1" w14:textId="77777777" w:rsidR="004D1A97" w:rsidRPr="00B84F91" w:rsidRDefault="004D1A97" w:rsidP="00501BD5">
            <w:pPr>
              <w:spacing w:after="240"/>
              <w:ind w:left="567" w:hanging="567"/>
              <w:rPr>
                <w:b/>
                <w:bCs/>
                <w:sz w:val="22"/>
                <w:szCs w:val="22"/>
              </w:rPr>
            </w:pPr>
            <w:r w:rsidRPr="00B84F91">
              <w:rPr>
                <w:b/>
                <w:sz w:val="22"/>
              </w:rPr>
              <w:t>ERA</w:t>
            </w:r>
          </w:p>
        </w:tc>
        <w:tc>
          <w:tcPr>
            <w:tcW w:w="2268" w:type="dxa"/>
            <w:tcBorders>
              <w:top w:val="single" w:sz="4" w:space="0" w:color="auto"/>
              <w:left w:val="single" w:sz="4" w:space="0" w:color="auto"/>
              <w:bottom w:val="single" w:sz="4" w:space="0" w:color="auto"/>
              <w:right w:val="single" w:sz="4" w:space="0" w:color="auto"/>
            </w:tcBorders>
            <w:noWrap/>
            <w:hideMark/>
          </w:tcPr>
          <w:p w14:paraId="3593ABD8" w14:textId="77777777" w:rsidR="004D1A97" w:rsidRPr="006E37E9" w:rsidRDefault="004D1A97" w:rsidP="00501BD5">
            <w:pPr>
              <w:spacing w:after="240"/>
              <w:ind w:left="567" w:hanging="567"/>
              <w:rPr>
                <w:bCs/>
                <w:sz w:val="22"/>
                <w:szCs w:val="22"/>
              </w:rPr>
            </w:pPr>
            <w:r w:rsidRPr="006E37E9">
              <w:rPr>
                <w:bCs/>
                <w:sz w:val="22"/>
              </w:rPr>
              <w:t>38 532 447</w:t>
            </w:r>
          </w:p>
        </w:tc>
        <w:tc>
          <w:tcPr>
            <w:tcW w:w="2551" w:type="dxa"/>
            <w:tcBorders>
              <w:top w:val="single" w:sz="4" w:space="0" w:color="auto"/>
              <w:left w:val="single" w:sz="4" w:space="0" w:color="auto"/>
              <w:bottom w:val="single" w:sz="4" w:space="0" w:color="auto"/>
              <w:right w:val="single" w:sz="4" w:space="0" w:color="auto"/>
            </w:tcBorders>
            <w:noWrap/>
            <w:hideMark/>
          </w:tcPr>
          <w:p w14:paraId="7D344F70" w14:textId="77777777" w:rsidR="004D1A97" w:rsidRPr="006E37E9" w:rsidRDefault="004D1A97" w:rsidP="00501BD5">
            <w:pPr>
              <w:spacing w:after="240"/>
              <w:ind w:left="567" w:hanging="567"/>
              <w:rPr>
                <w:bCs/>
                <w:sz w:val="22"/>
                <w:szCs w:val="22"/>
              </w:rPr>
            </w:pPr>
            <w:r w:rsidRPr="006E37E9">
              <w:rPr>
                <w:bCs/>
                <w:sz w:val="22"/>
              </w:rPr>
              <w:t>33 983 956</w:t>
            </w:r>
          </w:p>
        </w:tc>
        <w:tc>
          <w:tcPr>
            <w:tcW w:w="1843" w:type="dxa"/>
            <w:tcBorders>
              <w:top w:val="single" w:sz="4" w:space="0" w:color="auto"/>
              <w:left w:val="single" w:sz="4" w:space="0" w:color="auto"/>
              <w:bottom w:val="single" w:sz="4" w:space="0" w:color="auto"/>
              <w:right w:val="single" w:sz="4" w:space="0" w:color="auto"/>
            </w:tcBorders>
            <w:noWrap/>
            <w:hideMark/>
          </w:tcPr>
          <w:p w14:paraId="5AD870F3" w14:textId="7E3C1243" w:rsidR="004D1A97" w:rsidRPr="00B84F91" w:rsidRDefault="004D1A97" w:rsidP="00501BD5">
            <w:pPr>
              <w:spacing w:after="240"/>
              <w:ind w:left="567" w:hanging="567"/>
              <w:rPr>
                <w:sz w:val="22"/>
                <w:szCs w:val="22"/>
              </w:rPr>
            </w:pPr>
            <w:r w:rsidRPr="00B84F91">
              <w:rPr>
                <w:sz w:val="22"/>
              </w:rPr>
              <w:t>13,38</w:t>
            </w:r>
          </w:p>
        </w:tc>
      </w:tr>
      <w:tr w:rsidR="004D1A97" w:rsidRPr="00B84F91" w14:paraId="01EB77E9"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C3BA2B8" w14:textId="77777777" w:rsidR="004D1A97" w:rsidRPr="00B84F91" w:rsidRDefault="004D1A97" w:rsidP="00501BD5">
            <w:pPr>
              <w:spacing w:after="240"/>
              <w:ind w:left="567" w:hanging="567"/>
              <w:rPr>
                <w:b/>
                <w:bCs/>
                <w:sz w:val="22"/>
                <w:szCs w:val="22"/>
              </w:rPr>
            </w:pPr>
            <w:r w:rsidRPr="00B84F91">
              <w:rPr>
                <w:b/>
                <w:sz w:val="22"/>
              </w:rPr>
              <w:t xml:space="preserve">ESA </w:t>
            </w:r>
          </w:p>
        </w:tc>
        <w:tc>
          <w:tcPr>
            <w:tcW w:w="2268" w:type="dxa"/>
            <w:tcBorders>
              <w:top w:val="single" w:sz="4" w:space="0" w:color="auto"/>
              <w:left w:val="single" w:sz="4" w:space="0" w:color="auto"/>
              <w:bottom w:val="single" w:sz="4" w:space="0" w:color="auto"/>
              <w:right w:val="single" w:sz="4" w:space="0" w:color="auto"/>
            </w:tcBorders>
            <w:noWrap/>
            <w:hideMark/>
          </w:tcPr>
          <w:p w14:paraId="16DE7358" w14:textId="77777777" w:rsidR="004D1A97" w:rsidRPr="006E37E9" w:rsidRDefault="004D1A97" w:rsidP="00501BD5">
            <w:pPr>
              <w:spacing w:after="240"/>
              <w:ind w:left="567" w:hanging="567"/>
              <w:rPr>
                <w:bCs/>
                <w:sz w:val="22"/>
                <w:szCs w:val="22"/>
              </w:rPr>
            </w:pPr>
            <w:r w:rsidRPr="006E37E9">
              <w:rPr>
                <w:bCs/>
                <w:sz w:val="22"/>
              </w:rPr>
              <w:t>258 160</w:t>
            </w:r>
          </w:p>
        </w:tc>
        <w:tc>
          <w:tcPr>
            <w:tcW w:w="2551" w:type="dxa"/>
            <w:tcBorders>
              <w:top w:val="single" w:sz="4" w:space="0" w:color="auto"/>
              <w:left w:val="single" w:sz="4" w:space="0" w:color="auto"/>
              <w:bottom w:val="single" w:sz="4" w:space="0" w:color="auto"/>
              <w:right w:val="single" w:sz="4" w:space="0" w:color="auto"/>
            </w:tcBorders>
            <w:noWrap/>
            <w:hideMark/>
          </w:tcPr>
          <w:p w14:paraId="6EFBAC3D" w14:textId="77777777" w:rsidR="004D1A97" w:rsidRPr="006E37E9" w:rsidRDefault="004D1A97" w:rsidP="00501BD5">
            <w:pPr>
              <w:spacing w:after="240"/>
              <w:ind w:left="567" w:hanging="567"/>
              <w:rPr>
                <w:bCs/>
                <w:sz w:val="22"/>
                <w:szCs w:val="22"/>
              </w:rPr>
            </w:pPr>
            <w:r w:rsidRPr="006E37E9">
              <w:rPr>
                <w:bCs/>
                <w:sz w:val="22"/>
              </w:rPr>
              <w:t>167 000</w:t>
            </w:r>
          </w:p>
        </w:tc>
        <w:tc>
          <w:tcPr>
            <w:tcW w:w="1843" w:type="dxa"/>
            <w:tcBorders>
              <w:top w:val="single" w:sz="4" w:space="0" w:color="auto"/>
              <w:left w:val="single" w:sz="4" w:space="0" w:color="auto"/>
              <w:bottom w:val="single" w:sz="4" w:space="0" w:color="auto"/>
              <w:right w:val="single" w:sz="4" w:space="0" w:color="auto"/>
            </w:tcBorders>
            <w:noWrap/>
            <w:hideMark/>
          </w:tcPr>
          <w:p w14:paraId="480BA5FB" w14:textId="61957D63" w:rsidR="004D1A97" w:rsidRPr="00B84F91" w:rsidRDefault="004D1A97" w:rsidP="00501BD5">
            <w:pPr>
              <w:spacing w:after="240"/>
              <w:ind w:left="567" w:hanging="567"/>
              <w:rPr>
                <w:sz w:val="22"/>
                <w:szCs w:val="22"/>
              </w:rPr>
            </w:pPr>
            <w:r w:rsidRPr="00B84F91">
              <w:rPr>
                <w:sz w:val="22"/>
              </w:rPr>
              <w:t>54,59</w:t>
            </w:r>
          </w:p>
        </w:tc>
      </w:tr>
      <w:tr w:rsidR="004D1A97" w:rsidRPr="00B84F91" w14:paraId="71E40F28"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163E46F" w14:textId="77777777" w:rsidR="004D1A97" w:rsidRPr="00B84F91" w:rsidRDefault="004D1A97" w:rsidP="00501BD5">
            <w:pPr>
              <w:spacing w:after="240"/>
              <w:ind w:left="567" w:hanging="567"/>
              <w:rPr>
                <w:b/>
                <w:bCs/>
                <w:sz w:val="22"/>
                <w:szCs w:val="22"/>
              </w:rPr>
            </w:pPr>
            <w:r w:rsidRPr="00B84F91">
              <w:rPr>
                <w:b/>
                <w:sz w:val="22"/>
              </w:rPr>
              <w:t>ESMA</w:t>
            </w:r>
          </w:p>
        </w:tc>
        <w:tc>
          <w:tcPr>
            <w:tcW w:w="2268" w:type="dxa"/>
            <w:tcBorders>
              <w:top w:val="single" w:sz="4" w:space="0" w:color="auto"/>
              <w:left w:val="single" w:sz="4" w:space="0" w:color="auto"/>
              <w:bottom w:val="single" w:sz="4" w:space="0" w:color="auto"/>
              <w:right w:val="single" w:sz="4" w:space="0" w:color="auto"/>
            </w:tcBorders>
            <w:noWrap/>
            <w:hideMark/>
          </w:tcPr>
          <w:p w14:paraId="303F5869" w14:textId="77777777" w:rsidR="004D1A97" w:rsidRPr="006E37E9" w:rsidRDefault="004D1A97" w:rsidP="00501BD5">
            <w:pPr>
              <w:spacing w:after="240"/>
              <w:ind w:left="567" w:hanging="567"/>
              <w:rPr>
                <w:bCs/>
                <w:sz w:val="22"/>
                <w:szCs w:val="22"/>
              </w:rPr>
            </w:pPr>
            <w:r w:rsidRPr="006E37E9">
              <w:rPr>
                <w:bCs/>
                <w:sz w:val="22"/>
              </w:rPr>
              <w:t>72 509 657</w:t>
            </w:r>
          </w:p>
        </w:tc>
        <w:tc>
          <w:tcPr>
            <w:tcW w:w="2551" w:type="dxa"/>
            <w:tcBorders>
              <w:top w:val="single" w:sz="4" w:space="0" w:color="auto"/>
              <w:left w:val="single" w:sz="4" w:space="0" w:color="auto"/>
              <w:bottom w:val="single" w:sz="4" w:space="0" w:color="auto"/>
              <w:right w:val="single" w:sz="4" w:space="0" w:color="auto"/>
            </w:tcBorders>
            <w:noWrap/>
            <w:hideMark/>
          </w:tcPr>
          <w:p w14:paraId="092F75B6" w14:textId="77777777" w:rsidR="004D1A97" w:rsidRPr="006E37E9" w:rsidRDefault="004D1A97" w:rsidP="00501BD5">
            <w:pPr>
              <w:spacing w:after="240"/>
              <w:ind w:left="567" w:hanging="567"/>
              <w:rPr>
                <w:bCs/>
                <w:sz w:val="22"/>
                <w:szCs w:val="22"/>
              </w:rPr>
            </w:pPr>
            <w:r w:rsidRPr="006E37E9">
              <w:rPr>
                <w:bCs/>
                <w:sz w:val="22"/>
              </w:rPr>
              <w:t>68 068 551</w:t>
            </w:r>
          </w:p>
        </w:tc>
        <w:tc>
          <w:tcPr>
            <w:tcW w:w="1843" w:type="dxa"/>
            <w:tcBorders>
              <w:top w:val="single" w:sz="4" w:space="0" w:color="auto"/>
              <w:left w:val="single" w:sz="4" w:space="0" w:color="auto"/>
              <w:bottom w:val="single" w:sz="4" w:space="0" w:color="auto"/>
              <w:right w:val="single" w:sz="4" w:space="0" w:color="auto"/>
            </w:tcBorders>
            <w:noWrap/>
            <w:hideMark/>
          </w:tcPr>
          <w:p w14:paraId="7CC3781E" w14:textId="52ADBC89" w:rsidR="004D1A97" w:rsidRPr="00B84F91" w:rsidRDefault="004D1A97" w:rsidP="00501BD5">
            <w:pPr>
              <w:spacing w:after="240"/>
              <w:ind w:left="567" w:hanging="567"/>
              <w:rPr>
                <w:sz w:val="22"/>
                <w:szCs w:val="22"/>
              </w:rPr>
            </w:pPr>
            <w:r w:rsidRPr="00B84F91">
              <w:rPr>
                <w:sz w:val="22"/>
              </w:rPr>
              <w:t>6,52</w:t>
            </w:r>
          </w:p>
        </w:tc>
      </w:tr>
      <w:tr w:rsidR="004D1A97" w:rsidRPr="00B84F91" w14:paraId="2BBDE391"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5265FE6" w14:textId="77777777" w:rsidR="004D1A97" w:rsidRPr="00B84F91" w:rsidRDefault="004D1A97" w:rsidP="00501BD5">
            <w:pPr>
              <w:spacing w:after="240"/>
              <w:ind w:left="567" w:hanging="567"/>
              <w:rPr>
                <w:b/>
                <w:bCs/>
                <w:sz w:val="22"/>
                <w:szCs w:val="22"/>
              </w:rPr>
            </w:pPr>
            <w:r w:rsidRPr="00B84F91">
              <w:rPr>
                <w:b/>
                <w:sz w:val="22"/>
              </w:rPr>
              <w:t xml:space="preserve">ETF </w:t>
            </w:r>
          </w:p>
        </w:tc>
        <w:tc>
          <w:tcPr>
            <w:tcW w:w="2268" w:type="dxa"/>
            <w:tcBorders>
              <w:top w:val="single" w:sz="4" w:space="0" w:color="auto"/>
              <w:left w:val="single" w:sz="4" w:space="0" w:color="auto"/>
              <w:bottom w:val="single" w:sz="4" w:space="0" w:color="auto"/>
              <w:right w:val="single" w:sz="4" w:space="0" w:color="auto"/>
            </w:tcBorders>
            <w:noWrap/>
            <w:hideMark/>
          </w:tcPr>
          <w:p w14:paraId="3C39E9D3" w14:textId="77777777" w:rsidR="004D1A97" w:rsidRPr="006E37E9" w:rsidRDefault="004D1A97" w:rsidP="00501BD5">
            <w:pPr>
              <w:spacing w:after="240"/>
              <w:ind w:left="567" w:hanging="567"/>
              <w:rPr>
                <w:bCs/>
                <w:sz w:val="22"/>
                <w:szCs w:val="22"/>
              </w:rPr>
            </w:pPr>
            <w:r w:rsidRPr="006E37E9">
              <w:rPr>
                <w:bCs/>
                <w:sz w:val="22"/>
              </w:rPr>
              <w:t>28 542 956</w:t>
            </w:r>
          </w:p>
        </w:tc>
        <w:tc>
          <w:tcPr>
            <w:tcW w:w="2551" w:type="dxa"/>
            <w:tcBorders>
              <w:top w:val="single" w:sz="4" w:space="0" w:color="auto"/>
              <w:left w:val="single" w:sz="4" w:space="0" w:color="auto"/>
              <w:bottom w:val="single" w:sz="4" w:space="0" w:color="auto"/>
              <w:right w:val="single" w:sz="4" w:space="0" w:color="auto"/>
            </w:tcBorders>
            <w:noWrap/>
            <w:hideMark/>
          </w:tcPr>
          <w:p w14:paraId="14CC1361" w14:textId="77777777" w:rsidR="004D1A97" w:rsidRPr="006E37E9" w:rsidRDefault="004D1A97" w:rsidP="00501BD5">
            <w:pPr>
              <w:spacing w:after="240"/>
              <w:ind w:left="567" w:hanging="567"/>
              <w:rPr>
                <w:bCs/>
                <w:sz w:val="22"/>
                <w:szCs w:val="22"/>
              </w:rPr>
            </w:pPr>
            <w:r w:rsidRPr="006E37E9">
              <w:rPr>
                <w:bCs/>
                <w:sz w:val="22"/>
              </w:rPr>
              <w:t>25 051 848</w:t>
            </w:r>
          </w:p>
        </w:tc>
        <w:tc>
          <w:tcPr>
            <w:tcW w:w="1843" w:type="dxa"/>
            <w:tcBorders>
              <w:top w:val="single" w:sz="4" w:space="0" w:color="auto"/>
              <w:left w:val="single" w:sz="4" w:space="0" w:color="auto"/>
              <w:bottom w:val="single" w:sz="4" w:space="0" w:color="auto"/>
              <w:right w:val="single" w:sz="4" w:space="0" w:color="auto"/>
            </w:tcBorders>
            <w:noWrap/>
            <w:hideMark/>
          </w:tcPr>
          <w:p w14:paraId="74102DE7" w14:textId="3EF83248" w:rsidR="004D1A97" w:rsidRPr="00B84F91" w:rsidRDefault="004D1A97" w:rsidP="00501BD5">
            <w:pPr>
              <w:spacing w:after="240"/>
              <w:ind w:left="567" w:hanging="567"/>
              <w:rPr>
                <w:sz w:val="22"/>
                <w:szCs w:val="22"/>
              </w:rPr>
            </w:pPr>
            <w:r w:rsidRPr="00B84F91">
              <w:rPr>
                <w:sz w:val="22"/>
              </w:rPr>
              <w:t>13,94</w:t>
            </w:r>
          </w:p>
        </w:tc>
      </w:tr>
      <w:tr w:rsidR="004D1A97" w:rsidRPr="00B84F91" w14:paraId="70C8D8BB"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ECFF3D7" w14:textId="77777777" w:rsidR="004D1A97" w:rsidRPr="00B84F91" w:rsidRDefault="004D1A97" w:rsidP="00501BD5">
            <w:pPr>
              <w:spacing w:after="240"/>
              <w:ind w:left="567" w:hanging="567"/>
              <w:rPr>
                <w:b/>
                <w:bCs/>
                <w:sz w:val="22"/>
                <w:szCs w:val="22"/>
              </w:rPr>
            </w:pPr>
            <w:r w:rsidRPr="00B84F91">
              <w:rPr>
                <w:b/>
                <w:sz w:val="22"/>
              </w:rPr>
              <w:t>EUAA</w:t>
            </w:r>
          </w:p>
        </w:tc>
        <w:tc>
          <w:tcPr>
            <w:tcW w:w="2268" w:type="dxa"/>
            <w:tcBorders>
              <w:top w:val="single" w:sz="4" w:space="0" w:color="auto"/>
              <w:left w:val="single" w:sz="4" w:space="0" w:color="auto"/>
              <w:bottom w:val="single" w:sz="4" w:space="0" w:color="auto"/>
              <w:right w:val="single" w:sz="4" w:space="0" w:color="auto"/>
            </w:tcBorders>
            <w:noWrap/>
            <w:hideMark/>
          </w:tcPr>
          <w:p w14:paraId="7ACA417D" w14:textId="77777777" w:rsidR="004D1A97" w:rsidRPr="006E37E9" w:rsidRDefault="004D1A97" w:rsidP="00501BD5">
            <w:pPr>
              <w:spacing w:after="240"/>
              <w:ind w:left="567" w:hanging="567"/>
              <w:rPr>
                <w:bCs/>
                <w:sz w:val="22"/>
                <w:szCs w:val="22"/>
              </w:rPr>
            </w:pPr>
            <w:r w:rsidRPr="006E37E9">
              <w:rPr>
                <w:bCs/>
                <w:sz w:val="22"/>
              </w:rPr>
              <w:t>170 135 127</w:t>
            </w:r>
          </w:p>
        </w:tc>
        <w:tc>
          <w:tcPr>
            <w:tcW w:w="2551" w:type="dxa"/>
            <w:tcBorders>
              <w:top w:val="single" w:sz="4" w:space="0" w:color="auto"/>
              <w:left w:val="single" w:sz="4" w:space="0" w:color="auto"/>
              <w:bottom w:val="single" w:sz="4" w:space="0" w:color="auto"/>
              <w:right w:val="single" w:sz="4" w:space="0" w:color="auto"/>
            </w:tcBorders>
            <w:noWrap/>
            <w:hideMark/>
          </w:tcPr>
          <w:p w14:paraId="3C3F5611" w14:textId="77777777" w:rsidR="004D1A97" w:rsidRPr="006E37E9" w:rsidRDefault="004D1A97" w:rsidP="00501BD5">
            <w:pPr>
              <w:spacing w:after="240"/>
              <w:ind w:left="567" w:hanging="567"/>
              <w:rPr>
                <w:bCs/>
                <w:sz w:val="22"/>
                <w:szCs w:val="22"/>
              </w:rPr>
            </w:pPr>
            <w:r w:rsidRPr="006E37E9">
              <w:rPr>
                <w:bCs/>
                <w:sz w:val="22"/>
              </w:rPr>
              <w:t>168 842 192</w:t>
            </w:r>
          </w:p>
        </w:tc>
        <w:tc>
          <w:tcPr>
            <w:tcW w:w="1843" w:type="dxa"/>
            <w:tcBorders>
              <w:top w:val="single" w:sz="4" w:space="0" w:color="auto"/>
              <w:left w:val="single" w:sz="4" w:space="0" w:color="auto"/>
              <w:bottom w:val="single" w:sz="4" w:space="0" w:color="auto"/>
              <w:right w:val="single" w:sz="4" w:space="0" w:color="auto"/>
            </w:tcBorders>
            <w:noWrap/>
            <w:hideMark/>
          </w:tcPr>
          <w:p w14:paraId="64D5952D" w14:textId="6E26BF70" w:rsidR="004D1A97" w:rsidRPr="00B84F91" w:rsidRDefault="004D1A97" w:rsidP="00501BD5">
            <w:pPr>
              <w:spacing w:after="240"/>
              <w:ind w:left="567" w:hanging="567"/>
              <w:rPr>
                <w:sz w:val="22"/>
                <w:szCs w:val="22"/>
              </w:rPr>
            </w:pPr>
            <w:r w:rsidRPr="00B84F91">
              <w:rPr>
                <w:sz w:val="22"/>
              </w:rPr>
              <w:t>0,77</w:t>
            </w:r>
          </w:p>
        </w:tc>
      </w:tr>
      <w:tr w:rsidR="004D1A97" w:rsidRPr="00B84F91" w14:paraId="5146FE41"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42F61A9" w14:textId="1ECEC98C" w:rsidR="004D1A97" w:rsidRPr="00B84F91" w:rsidRDefault="006E37E9" w:rsidP="00501BD5">
            <w:pPr>
              <w:spacing w:after="240"/>
              <w:ind w:left="567" w:hanging="567"/>
              <w:rPr>
                <w:b/>
                <w:bCs/>
                <w:sz w:val="22"/>
                <w:szCs w:val="22"/>
              </w:rPr>
            </w:pPr>
            <w:r>
              <w:rPr>
                <w:b/>
                <w:sz w:val="22"/>
                <w:lang w:val="en-GB"/>
              </w:rPr>
              <w:t>EU</w:t>
            </w:r>
            <w:r w:rsidR="004D1A97" w:rsidRPr="00B84F91">
              <w:rPr>
                <w:b/>
                <w:sz w:val="22"/>
              </w:rPr>
              <w:t xml:space="preserve">-LISA </w:t>
            </w:r>
          </w:p>
        </w:tc>
        <w:tc>
          <w:tcPr>
            <w:tcW w:w="2268" w:type="dxa"/>
            <w:tcBorders>
              <w:top w:val="single" w:sz="4" w:space="0" w:color="auto"/>
              <w:left w:val="single" w:sz="4" w:space="0" w:color="auto"/>
              <w:bottom w:val="single" w:sz="4" w:space="0" w:color="auto"/>
              <w:right w:val="single" w:sz="4" w:space="0" w:color="auto"/>
            </w:tcBorders>
            <w:noWrap/>
            <w:hideMark/>
          </w:tcPr>
          <w:p w14:paraId="08C2879C" w14:textId="77777777" w:rsidR="004D1A97" w:rsidRPr="006E37E9" w:rsidRDefault="004D1A97" w:rsidP="00501BD5">
            <w:pPr>
              <w:spacing w:after="240"/>
              <w:ind w:left="567" w:hanging="567"/>
              <w:rPr>
                <w:bCs/>
                <w:sz w:val="22"/>
                <w:szCs w:val="22"/>
              </w:rPr>
            </w:pPr>
            <w:r w:rsidRPr="006E37E9">
              <w:rPr>
                <w:bCs/>
                <w:sz w:val="22"/>
              </w:rPr>
              <w:t>300 524 142</w:t>
            </w:r>
          </w:p>
        </w:tc>
        <w:tc>
          <w:tcPr>
            <w:tcW w:w="2551" w:type="dxa"/>
            <w:tcBorders>
              <w:top w:val="single" w:sz="4" w:space="0" w:color="auto"/>
              <w:left w:val="single" w:sz="4" w:space="0" w:color="auto"/>
              <w:bottom w:val="single" w:sz="4" w:space="0" w:color="auto"/>
              <w:right w:val="single" w:sz="4" w:space="0" w:color="auto"/>
            </w:tcBorders>
            <w:noWrap/>
            <w:hideMark/>
          </w:tcPr>
          <w:p w14:paraId="29D91EC6" w14:textId="77777777" w:rsidR="004D1A97" w:rsidRPr="006E37E9" w:rsidRDefault="004D1A97" w:rsidP="00501BD5">
            <w:pPr>
              <w:spacing w:after="240"/>
              <w:ind w:left="567" w:hanging="567"/>
              <w:rPr>
                <w:bCs/>
                <w:sz w:val="22"/>
                <w:szCs w:val="22"/>
              </w:rPr>
            </w:pPr>
            <w:r w:rsidRPr="006E37E9">
              <w:rPr>
                <w:bCs/>
                <w:sz w:val="22"/>
              </w:rPr>
              <w:t>296 508 265</w:t>
            </w:r>
          </w:p>
        </w:tc>
        <w:tc>
          <w:tcPr>
            <w:tcW w:w="1843" w:type="dxa"/>
            <w:tcBorders>
              <w:top w:val="single" w:sz="4" w:space="0" w:color="auto"/>
              <w:left w:val="single" w:sz="4" w:space="0" w:color="auto"/>
              <w:bottom w:val="single" w:sz="4" w:space="0" w:color="auto"/>
              <w:right w:val="single" w:sz="4" w:space="0" w:color="auto"/>
            </w:tcBorders>
            <w:noWrap/>
            <w:hideMark/>
          </w:tcPr>
          <w:p w14:paraId="097E6720" w14:textId="5F8B2C90" w:rsidR="004D1A97" w:rsidRPr="00B84F91" w:rsidRDefault="004D1A97" w:rsidP="00501BD5">
            <w:pPr>
              <w:spacing w:after="240"/>
              <w:ind w:left="567" w:hanging="567"/>
              <w:rPr>
                <w:sz w:val="22"/>
                <w:szCs w:val="22"/>
              </w:rPr>
            </w:pPr>
            <w:r w:rsidRPr="00B84F91">
              <w:rPr>
                <w:sz w:val="22"/>
              </w:rPr>
              <w:t>1,35</w:t>
            </w:r>
          </w:p>
        </w:tc>
      </w:tr>
      <w:tr w:rsidR="004D1A97" w:rsidRPr="00B84F91" w14:paraId="7B0E14E7"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B94F654" w14:textId="77777777" w:rsidR="004D1A97" w:rsidRPr="00B84F91" w:rsidRDefault="004D1A97" w:rsidP="00501BD5">
            <w:pPr>
              <w:spacing w:after="240"/>
              <w:ind w:left="567" w:hanging="567"/>
              <w:rPr>
                <w:b/>
                <w:bCs/>
                <w:sz w:val="22"/>
                <w:szCs w:val="22"/>
              </w:rPr>
            </w:pPr>
            <w:r w:rsidRPr="00B84F91">
              <w:rPr>
                <w:b/>
                <w:sz w:val="22"/>
              </w:rPr>
              <w:t>EU-OSHA</w:t>
            </w:r>
          </w:p>
        </w:tc>
        <w:tc>
          <w:tcPr>
            <w:tcW w:w="2268" w:type="dxa"/>
            <w:tcBorders>
              <w:top w:val="single" w:sz="4" w:space="0" w:color="auto"/>
              <w:left w:val="single" w:sz="4" w:space="0" w:color="auto"/>
              <w:bottom w:val="single" w:sz="4" w:space="0" w:color="auto"/>
              <w:right w:val="single" w:sz="4" w:space="0" w:color="auto"/>
            </w:tcBorders>
            <w:noWrap/>
            <w:hideMark/>
          </w:tcPr>
          <w:p w14:paraId="0CBAD1E1" w14:textId="77777777" w:rsidR="004D1A97" w:rsidRPr="006E37E9" w:rsidRDefault="004D1A97" w:rsidP="00501BD5">
            <w:pPr>
              <w:spacing w:after="240"/>
              <w:ind w:left="567" w:hanging="567"/>
              <w:rPr>
                <w:bCs/>
                <w:sz w:val="22"/>
                <w:szCs w:val="22"/>
              </w:rPr>
            </w:pPr>
            <w:r w:rsidRPr="006E37E9">
              <w:rPr>
                <w:bCs/>
                <w:sz w:val="22"/>
              </w:rPr>
              <w:t>17 038 950</w:t>
            </w:r>
          </w:p>
        </w:tc>
        <w:tc>
          <w:tcPr>
            <w:tcW w:w="2551" w:type="dxa"/>
            <w:tcBorders>
              <w:top w:val="single" w:sz="4" w:space="0" w:color="auto"/>
              <w:left w:val="single" w:sz="4" w:space="0" w:color="auto"/>
              <w:bottom w:val="single" w:sz="4" w:space="0" w:color="auto"/>
              <w:right w:val="single" w:sz="4" w:space="0" w:color="auto"/>
            </w:tcBorders>
            <w:noWrap/>
            <w:hideMark/>
          </w:tcPr>
          <w:p w14:paraId="761264A6" w14:textId="77777777" w:rsidR="004D1A97" w:rsidRPr="006E37E9" w:rsidRDefault="004D1A97" w:rsidP="00501BD5">
            <w:pPr>
              <w:spacing w:after="240"/>
              <w:ind w:left="567" w:hanging="567"/>
              <w:rPr>
                <w:bCs/>
                <w:sz w:val="22"/>
                <w:szCs w:val="22"/>
              </w:rPr>
            </w:pPr>
            <w:r w:rsidRPr="006E37E9">
              <w:rPr>
                <w:bCs/>
                <w:sz w:val="22"/>
              </w:rPr>
              <w:t>16 405 100</w:t>
            </w:r>
          </w:p>
        </w:tc>
        <w:tc>
          <w:tcPr>
            <w:tcW w:w="1843" w:type="dxa"/>
            <w:tcBorders>
              <w:top w:val="single" w:sz="4" w:space="0" w:color="auto"/>
              <w:left w:val="single" w:sz="4" w:space="0" w:color="auto"/>
              <w:bottom w:val="single" w:sz="4" w:space="0" w:color="auto"/>
              <w:right w:val="single" w:sz="4" w:space="0" w:color="auto"/>
            </w:tcBorders>
            <w:noWrap/>
            <w:hideMark/>
          </w:tcPr>
          <w:p w14:paraId="3AAC322F" w14:textId="79397A55" w:rsidR="004D1A97" w:rsidRPr="00B84F91" w:rsidRDefault="004D1A97" w:rsidP="00501BD5">
            <w:pPr>
              <w:spacing w:after="240"/>
              <w:ind w:left="567" w:hanging="567"/>
              <w:rPr>
                <w:sz w:val="22"/>
                <w:szCs w:val="22"/>
              </w:rPr>
            </w:pPr>
            <w:r w:rsidRPr="00B84F91">
              <w:rPr>
                <w:sz w:val="22"/>
              </w:rPr>
              <w:t>3,86</w:t>
            </w:r>
          </w:p>
        </w:tc>
      </w:tr>
      <w:tr w:rsidR="004D1A97" w:rsidRPr="00B84F91" w14:paraId="4FF2E44D"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644EE55" w14:textId="4CF281FA" w:rsidR="004D1A97" w:rsidRPr="00B84F91" w:rsidRDefault="006E37E9" w:rsidP="00501BD5">
            <w:pPr>
              <w:spacing w:after="240"/>
              <w:ind w:left="567" w:hanging="567"/>
              <w:rPr>
                <w:b/>
                <w:bCs/>
                <w:sz w:val="22"/>
                <w:szCs w:val="22"/>
              </w:rPr>
            </w:pPr>
            <w:r w:rsidRPr="00B84F91">
              <w:rPr>
                <w:b/>
                <w:sz w:val="22"/>
              </w:rPr>
              <w:t>EUROFOUND</w:t>
            </w:r>
          </w:p>
        </w:tc>
        <w:tc>
          <w:tcPr>
            <w:tcW w:w="2268" w:type="dxa"/>
            <w:tcBorders>
              <w:top w:val="single" w:sz="4" w:space="0" w:color="auto"/>
              <w:left w:val="single" w:sz="4" w:space="0" w:color="auto"/>
              <w:bottom w:val="single" w:sz="4" w:space="0" w:color="auto"/>
              <w:right w:val="single" w:sz="4" w:space="0" w:color="auto"/>
            </w:tcBorders>
            <w:noWrap/>
            <w:hideMark/>
          </w:tcPr>
          <w:p w14:paraId="7D781C00" w14:textId="77777777" w:rsidR="004D1A97" w:rsidRPr="006E37E9" w:rsidRDefault="004D1A97" w:rsidP="00501BD5">
            <w:pPr>
              <w:spacing w:after="240"/>
              <w:ind w:left="567" w:hanging="567"/>
              <w:rPr>
                <w:bCs/>
                <w:sz w:val="22"/>
                <w:szCs w:val="22"/>
              </w:rPr>
            </w:pPr>
            <w:r w:rsidRPr="006E37E9">
              <w:rPr>
                <w:bCs/>
                <w:sz w:val="22"/>
              </w:rPr>
              <w:t>25 369 931</w:t>
            </w:r>
          </w:p>
        </w:tc>
        <w:tc>
          <w:tcPr>
            <w:tcW w:w="2551" w:type="dxa"/>
            <w:tcBorders>
              <w:top w:val="single" w:sz="4" w:space="0" w:color="auto"/>
              <w:left w:val="single" w:sz="4" w:space="0" w:color="auto"/>
              <w:bottom w:val="single" w:sz="4" w:space="0" w:color="auto"/>
              <w:right w:val="single" w:sz="4" w:space="0" w:color="auto"/>
            </w:tcBorders>
            <w:noWrap/>
            <w:hideMark/>
          </w:tcPr>
          <w:p w14:paraId="03D72623" w14:textId="77777777" w:rsidR="004D1A97" w:rsidRPr="006E37E9" w:rsidRDefault="004D1A97" w:rsidP="00501BD5">
            <w:pPr>
              <w:spacing w:after="240"/>
              <w:ind w:left="567" w:hanging="567"/>
              <w:rPr>
                <w:bCs/>
                <w:sz w:val="22"/>
                <w:szCs w:val="22"/>
              </w:rPr>
            </w:pPr>
            <w:r w:rsidRPr="006E37E9">
              <w:rPr>
                <w:bCs/>
                <w:sz w:val="22"/>
              </w:rPr>
              <w:t>22 438 000</w:t>
            </w:r>
          </w:p>
        </w:tc>
        <w:tc>
          <w:tcPr>
            <w:tcW w:w="1843" w:type="dxa"/>
            <w:tcBorders>
              <w:top w:val="single" w:sz="4" w:space="0" w:color="auto"/>
              <w:left w:val="single" w:sz="4" w:space="0" w:color="auto"/>
              <w:bottom w:val="single" w:sz="4" w:space="0" w:color="auto"/>
              <w:right w:val="single" w:sz="4" w:space="0" w:color="auto"/>
            </w:tcBorders>
            <w:noWrap/>
            <w:hideMark/>
          </w:tcPr>
          <w:p w14:paraId="6FDEC32F" w14:textId="2D170FE8" w:rsidR="004D1A97" w:rsidRPr="00B84F91" w:rsidRDefault="004D1A97" w:rsidP="00501BD5">
            <w:pPr>
              <w:spacing w:after="240"/>
              <w:ind w:left="567" w:hanging="567"/>
              <w:rPr>
                <w:sz w:val="22"/>
                <w:szCs w:val="22"/>
              </w:rPr>
            </w:pPr>
            <w:r w:rsidRPr="00B84F91">
              <w:rPr>
                <w:sz w:val="22"/>
              </w:rPr>
              <w:t>13,07</w:t>
            </w:r>
          </w:p>
        </w:tc>
      </w:tr>
      <w:tr w:rsidR="004D1A97" w:rsidRPr="00B84F91" w14:paraId="42B051F2"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42D2C20" w14:textId="2EE284BE" w:rsidR="004D1A97" w:rsidRPr="00B84F91" w:rsidRDefault="006E37E9" w:rsidP="00501BD5">
            <w:pPr>
              <w:spacing w:after="240"/>
              <w:ind w:left="567" w:hanging="567"/>
              <w:rPr>
                <w:b/>
                <w:bCs/>
                <w:sz w:val="22"/>
                <w:szCs w:val="22"/>
              </w:rPr>
            </w:pPr>
            <w:r w:rsidRPr="00B84F91">
              <w:rPr>
                <w:b/>
                <w:sz w:val="22"/>
              </w:rPr>
              <w:t xml:space="preserve">ЕВРОЮСТ </w:t>
            </w:r>
          </w:p>
        </w:tc>
        <w:tc>
          <w:tcPr>
            <w:tcW w:w="2268" w:type="dxa"/>
            <w:tcBorders>
              <w:top w:val="single" w:sz="4" w:space="0" w:color="auto"/>
              <w:left w:val="single" w:sz="4" w:space="0" w:color="auto"/>
              <w:bottom w:val="single" w:sz="4" w:space="0" w:color="auto"/>
              <w:right w:val="single" w:sz="4" w:space="0" w:color="auto"/>
            </w:tcBorders>
            <w:noWrap/>
            <w:hideMark/>
          </w:tcPr>
          <w:p w14:paraId="44028C69" w14:textId="77777777" w:rsidR="004D1A97" w:rsidRPr="006E37E9" w:rsidRDefault="004D1A97" w:rsidP="00501BD5">
            <w:pPr>
              <w:spacing w:after="240"/>
              <w:ind w:left="567" w:hanging="567"/>
              <w:rPr>
                <w:bCs/>
                <w:sz w:val="22"/>
                <w:szCs w:val="22"/>
              </w:rPr>
            </w:pPr>
            <w:r w:rsidRPr="006E37E9">
              <w:rPr>
                <w:bCs/>
                <w:sz w:val="22"/>
              </w:rPr>
              <w:t>59 324 460</w:t>
            </w:r>
          </w:p>
        </w:tc>
        <w:tc>
          <w:tcPr>
            <w:tcW w:w="2551" w:type="dxa"/>
            <w:tcBorders>
              <w:top w:val="single" w:sz="4" w:space="0" w:color="auto"/>
              <w:left w:val="single" w:sz="4" w:space="0" w:color="auto"/>
              <w:bottom w:val="single" w:sz="4" w:space="0" w:color="auto"/>
              <w:right w:val="single" w:sz="4" w:space="0" w:color="auto"/>
            </w:tcBorders>
            <w:noWrap/>
            <w:hideMark/>
          </w:tcPr>
          <w:p w14:paraId="30D1683E" w14:textId="77777777" w:rsidR="004D1A97" w:rsidRPr="006E37E9" w:rsidRDefault="004D1A97" w:rsidP="00501BD5">
            <w:pPr>
              <w:spacing w:after="240"/>
              <w:ind w:left="567" w:hanging="567"/>
              <w:rPr>
                <w:bCs/>
                <w:sz w:val="22"/>
                <w:szCs w:val="22"/>
              </w:rPr>
            </w:pPr>
            <w:r w:rsidRPr="006E37E9">
              <w:rPr>
                <w:bCs/>
                <w:sz w:val="22"/>
              </w:rPr>
              <w:t>49 086 843</w:t>
            </w:r>
          </w:p>
        </w:tc>
        <w:tc>
          <w:tcPr>
            <w:tcW w:w="1843" w:type="dxa"/>
            <w:tcBorders>
              <w:top w:val="single" w:sz="4" w:space="0" w:color="auto"/>
              <w:left w:val="single" w:sz="4" w:space="0" w:color="auto"/>
              <w:bottom w:val="single" w:sz="4" w:space="0" w:color="auto"/>
              <w:right w:val="single" w:sz="4" w:space="0" w:color="auto"/>
            </w:tcBorders>
            <w:noWrap/>
            <w:hideMark/>
          </w:tcPr>
          <w:p w14:paraId="6C98F307" w14:textId="68CA0907" w:rsidR="004D1A97" w:rsidRPr="00B84F91" w:rsidRDefault="004D1A97" w:rsidP="00501BD5">
            <w:pPr>
              <w:spacing w:after="240"/>
              <w:ind w:left="567" w:hanging="567"/>
              <w:rPr>
                <w:sz w:val="22"/>
                <w:szCs w:val="22"/>
              </w:rPr>
            </w:pPr>
            <w:r w:rsidRPr="00B84F91">
              <w:rPr>
                <w:sz w:val="22"/>
              </w:rPr>
              <w:t>20,86</w:t>
            </w:r>
          </w:p>
        </w:tc>
      </w:tr>
      <w:tr w:rsidR="004D1A97" w:rsidRPr="00B84F91" w14:paraId="41AE1EBB"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1449B3E" w14:textId="22DB3BC3" w:rsidR="004D1A97" w:rsidRPr="00B84F91" w:rsidRDefault="006E37E9" w:rsidP="00501BD5">
            <w:pPr>
              <w:spacing w:after="240"/>
              <w:ind w:left="567" w:hanging="567"/>
              <w:rPr>
                <w:b/>
                <w:bCs/>
                <w:sz w:val="22"/>
                <w:szCs w:val="22"/>
              </w:rPr>
            </w:pPr>
            <w:r w:rsidRPr="00B84F91">
              <w:rPr>
                <w:b/>
                <w:sz w:val="22"/>
              </w:rPr>
              <w:t>ЕВРОПОЛ</w:t>
            </w:r>
          </w:p>
        </w:tc>
        <w:tc>
          <w:tcPr>
            <w:tcW w:w="2268" w:type="dxa"/>
            <w:tcBorders>
              <w:top w:val="single" w:sz="4" w:space="0" w:color="auto"/>
              <w:left w:val="single" w:sz="4" w:space="0" w:color="auto"/>
              <w:bottom w:val="single" w:sz="4" w:space="0" w:color="auto"/>
              <w:right w:val="single" w:sz="4" w:space="0" w:color="auto"/>
            </w:tcBorders>
            <w:noWrap/>
            <w:hideMark/>
          </w:tcPr>
          <w:p w14:paraId="40044355" w14:textId="77777777" w:rsidR="004D1A97" w:rsidRPr="006E37E9" w:rsidRDefault="004D1A97" w:rsidP="00501BD5">
            <w:pPr>
              <w:spacing w:after="240"/>
              <w:ind w:left="567" w:hanging="567"/>
              <w:rPr>
                <w:bCs/>
                <w:sz w:val="22"/>
                <w:szCs w:val="22"/>
              </w:rPr>
            </w:pPr>
            <w:r w:rsidRPr="006E37E9">
              <w:rPr>
                <w:bCs/>
                <w:sz w:val="22"/>
              </w:rPr>
              <w:t>212 925 809</w:t>
            </w:r>
          </w:p>
        </w:tc>
        <w:tc>
          <w:tcPr>
            <w:tcW w:w="2551" w:type="dxa"/>
            <w:tcBorders>
              <w:top w:val="single" w:sz="4" w:space="0" w:color="auto"/>
              <w:left w:val="single" w:sz="4" w:space="0" w:color="auto"/>
              <w:bottom w:val="single" w:sz="4" w:space="0" w:color="auto"/>
              <w:right w:val="single" w:sz="4" w:space="0" w:color="auto"/>
            </w:tcBorders>
            <w:noWrap/>
            <w:hideMark/>
          </w:tcPr>
          <w:p w14:paraId="7E97FB5A" w14:textId="77777777" w:rsidR="004D1A97" w:rsidRPr="006E37E9" w:rsidRDefault="004D1A97" w:rsidP="00501BD5">
            <w:pPr>
              <w:spacing w:after="240"/>
              <w:ind w:left="567" w:hanging="567"/>
              <w:rPr>
                <w:bCs/>
                <w:sz w:val="22"/>
                <w:szCs w:val="22"/>
              </w:rPr>
            </w:pPr>
            <w:r w:rsidRPr="006E37E9">
              <w:rPr>
                <w:bCs/>
                <w:sz w:val="22"/>
              </w:rPr>
              <w:t>197 759 722</w:t>
            </w:r>
          </w:p>
        </w:tc>
        <w:tc>
          <w:tcPr>
            <w:tcW w:w="1843" w:type="dxa"/>
            <w:tcBorders>
              <w:top w:val="single" w:sz="4" w:space="0" w:color="auto"/>
              <w:left w:val="single" w:sz="4" w:space="0" w:color="auto"/>
              <w:bottom w:val="single" w:sz="4" w:space="0" w:color="auto"/>
              <w:right w:val="single" w:sz="4" w:space="0" w:color="auto"/>
            </w:tcBorders>
            <w:noWrap/>
            <w:hideMark/>
          </w:tcPr>
          <w:p w14:paraId="2792B172" w14:textId="29C931E7" w:rsidR="004D1A97" w:rsidRPr="00B84F91" w:rsidRDefault="004D1A97" w:rsidP="00501BD5">
            <w:pPr>
              <w:spacing w:after="240"/>
              <w:ind w:left="567" w:hanging="567"/>
              <w:rPr>
                <w:sz w:val="22"/>
                <w:szCs w:val="22"/>
              </w:rPr>
            </w:pPr>
            <w:r w:rsidRPr="00B84F91">
              <w:rPr>
                <w:sz w:val="22"/>
              </w:rPr>
              <w:t>7,67</w:t>
            </w:r>
          </w:p>
        </w:tc>
      </w:tr>
      <w:tr w:rsidR="004D1A97" w:rsidRPr="00B84F91" w14:paraId="27B4800B"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FDDCE3D" w14:textId="70FA995C" w:rsidR="004D1A97" w:rsidRPr="00B84F91" w:rsidRDefault="006E37E9" w:rsidP="00501BD5">
            <w:pPr>
              <w:spacing w:after="240"/>
              <w:ind w:left="567" w:hanging="567"/>
              <w:rPr>
                <w:b/>
                <w:bCs/>
                <w:sz w:val="22"/>
                <w:szCs w:val="22"/>
              </w:rPr>
            </w:pPr>
            <w:r w:rsidRPr="00B84F91">
              <w:rPr>
                <w:b/>
                <w:sz w:val="22"/>
              </w:rPr>
              <w:t>EUSPA</w:t>
            </w:r>
          </w:p>
        </w:tc>
        <w:tc>
          <w:tcPr>
            <w:tcW w:w="2268" w:type="dxa"/>
            <w:tcBorders>
              <w:top w:val="single" w:sz="4" w:space="0" w:color="auto"/>
              <w:left w:val="single" w:sz="4" w:space="0" w:color="auto"/>
              <w:bottom w:val="single" w:sz="4" w:space="0" w:color="auto"/>
              <w:right w:val="single" w:sz="4" w:space="0" w:color="auto"/>
            </w:tcBorders>
            <w:noWrap/>
            <w:hideMark/>
          </w:tcPr>
          <w:p w14:paraId="0B3DDFFE" w14:textId="77777777" w:rsidR="004D1A97" w:rsidRPr="006E37E9" w:rsidRDefault="004D1A97" w:rsidP="00501BD5">
            <w:pPr>
              <w:spacing w:after="240"/>
              <w:ind w:left="567" w:hanging="567"/>
              <w:rPr>
                <w:bCs/>
                <w:sz w:val="22"/>
                <w:szCs w:val="22"/>
              </w:rPr>
            </w:pPr>
            <w:r w:rsidRPr="006E37E9">
              <w:rPr>
                <w:bCs/>
                <w:sz w:val="22"/>
              </w:rPr>
              <w:t>76 922 866</w:t>
            </w:r>
          </w:p>
        </w:tc>
        <w:tc>
          <w:tcPr>
            <w:tcW w:w="2551" w:type="dxa"/>
            <w:tcBorders>
              <w:top w:val="single" w:sz="4" w:space="0" w:color="auto"/>
              <w:left w:val="single" w:sz="4" w:space="0" w:color="auto"/>
              <w:bottom w:val="single" w:sz="4" w:space="0" w:color="auto"/>
              <w:right w:val="single" w:sz="4" w:space="0" w:color="auto"/>
            </w:tcBorders>
            <w:noWrap/>
            <w:hideMark/>
          </w:tcPr>
          <w:p w14:paraId="5FC6C0FA" w14:textId="77777777" w:rsidR="004D1A97" w:rsidRPr="006E37E9" w:rsidRDefault="004D1A97" w:rsidP="00501BD5">
            <w:pPr>
              <w:spacing w:after="240"/>
              <w:ind w:left="567" w:hanging="567"/>
              <w:rPr>
                <w:bCs/>
                <w:sz w:val="22"/>
                <w:szCs w:val="22"/>
              </w:rPr>
            </w:pPr>
            <w:r w:rsidRPr="006E37E9">
              <w:rPr>
                <w:bCs/>
                <w:sz w:val="22"/>
              </w:rPr>
              <w:t>65 392 492</w:t>
            </w:r>
          </w:p>
        </w:tc>
        <w:tc>
          <w:tcPr>
            <w:tcW w:w="1843" w:type="dxa"/>
            <w:tcBorders>
              <w:top w:val="single" w:sz="4" w:space="0" w:color="auto"/>
              <w:left w:val="single" w:sz="4" w:space="0" w:color="auto"/>
              <w:bottom w:val="single" w:sz="4" w:space="0" w:color="auto"/>
              <w:right w:val="single" w:sz="4" w:space="0" w:color="auto"/>
            </w:tcBorders>
            <w:noWrap/>
            <w:hideMark/>
          </w:tcPr>
          <w:p w14:paraId="66E62F61" w14:textId="268C3506" w:rsidR="004D1A97" w:rsidRPr="00B84F91" w:rsidRDefault="004D1A97" w:rsidP="00501BD5">
            <w:pPr>
              <w:spacing w:after="240"/>
              <w:ind w:left="567" w:hanging="567"/>
              <w:rPr>
                <w:sz w:val="22"/>
                <w:szCs w:val="22"/>
              </w:rPr>
            </w:pPr>
            <w:r w:rsidRPr="00B84F91">
              <w:rPr>
                <w:sz w:val="22"/>
              </w:rPr>
              <w:t>17,63</w:t>
            </w:r>
          </w:p>
        </w:tc>
      </w:tr>
      <w:tr w:rsidR="004D1A97" w:rsidRPr="00B84F91" w14:paraId="18DCB814"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2A0FDBC" w14:textId="4CD74D03" w:rsidR="004D1A97" w:rsidRPr="00B84F91" w:rsidRDefault="006E37E9" w:rsidP="00501BD5">
            <w:pPr>
              <w:spacing w:after="240"/>
              <w:ind w:left="567" w:hanging="567"/>
              <w:rPr>
                <w:b/>
                <w:bCs/>
                <w:sz w:val="22"/>
                <w:szCs w:val="22"/>
              </w:rPr>
            </w:pPr>
            <w:r w:rsidRPr="00B84F91">
              <w:rPr>
                <w:b/>
                <w:sz w:val="22"/>
              </w:rPr>
              <w:t>FRA</w:t>
            </w:r>
          </w:p>
        </w:tc>
        <w:tc>
          <w:tcPr>
            <w:tcW w:w="2268" w:type="dxa"/>
            <w:tcBorders>
              <w:top w:val="single" w:sz="4" w:space="0" w:color="auto"/>
              <w:left w:val="single" w:sz="4" w:space="0" w:color="auto"/>
              <w:bottom w:val="single" w:sz="4" w:space="0" w:color="auto"/>
              <w:right w:val="single" w:sz="4" w:space="0" w:color="auto"/>
            </w:tcBorders>
            <w:noWrap/>
            <w:hideMark/>
          </w:tcPr>
          <w:p w14:paraId="05330A0A" w14:textId="77777777" w:rsidR="004D1A97" w:rsidRPr="006E37E9" w:rsidRDefault="004D1A97" w:rsidP="00501BD5">
            <w:pPr>
              <w:spacing w:after="240"/>
              <w:ind w:left="567" w:hanging="567"/>
              <w:rPr>
                <w:bCs/>
                <w:sz w:val="22"/>
                <w:szCs w:val="22"/>
              </w:rPr>
            </w:pPr>
            <w:r w:rsidRPr="006E37E9">
              <w:rPr>
                <w:bCs/>
                <w:sz w:val="22"/>
              </w:rPr>
              <w:t>26 191 031</w:t>
            </w:r>
          </w:p>
        </w:tc>
        <w:tc>
          <w:tcPr>
            <w:tcW w:w="2551" w:type="dxa"/>
            <w:tcBorders>
              <w:top w:val="single" w:sz="4" w:space="0" w:color="auto"/>
              <w:left w:val="single" w:sz="4" w:space="0" w:color="auto"/>
              <w:bottom w:val="single" w:sz="4" w:space="0" w:color="auto"/>
              <w:right w:val="single" w:sz="4" w:space="0" w:color="auto"/>
            </w:tcBorders>
            <w:noWrap/>
            <w:hideMark/>
          </w:tcPr>
          <w:p w14:paraId="1214D4F6" w14:textId="77777777" w:rsidR="004D1A97" w:rsidRPr="006E37E9" w:rsidRDefault="004D1A97" w:rsidP="00501BD5">
            <w:pPr>
              <w:spacing w:after="240"/>
              <w:ind w:left="567" w:hanging="567"/>
              <w:rPr>
                <w:bCs/>
                <w:sz w:val="22"/>
                <w:szCs w:val="22"/>
              </w:rPr>
            </w:pPr>
            <w:r w:rsidRPr="006E37E9">
              <w:rPr>
                <w:bCs/>
                <w:sz w:val="22"/>
              </w:rPr>
              <w:t>25 857 952</w:t>
            </w:r>
          </w:p>
        </w:tc>
        <w:tc>
          <w:tcPr>
            <w:tcW w:w="1843" w:type="dxa"/>
            <w:tcBorders>
              <w:top w:val="single" w:sz="4" w:space="0" w:color="auto"/>
              <w:left w:val="single" w:sz="4" w:space="0" w:color="auto"/>
              <w:bottom w:val="single" w:sz="4" w:space="0" w:color="auto"/>
              <w:right w:val="single" w:sz="4" w:space="0" w:color="auto"/>
            </w:tcBorders>
            <w:noWrap/>
            <w:hideMark/>
          </w:tcPr>
          <w:p w14:paraId="443AA51A" w14:textId="6BDAF34E" w:rsidR="004D1A97" w:rsidRPr="00B84F91" w:rsidRDefault="004D1A97" w:rsidP="00501BD5">
            <w:pPr>
              <w:spacing w:after="240"/>
              <w:ind w:left="567" w:hanging="567"/>
              <w:rPr>
                <w:sz w:val="22"/>
                <w:szCs w:val="22"/>
              </w:rPr>
            </w:pPr>
            <w:r w:rsidRPr="00B84F91">
              <w:rPr>
                <w:sz w:val="22"/>
              </w:rPr>
              <w:t>1,29</w:t>
            </w:r>
          </w:p>
        </w:tc>
      </w:tr>
      <w:tr w:rsidR="004D1A97" w:rsidRPr="00B84F91" w14:paraId="3749F2DB"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68EA4BD" w14:textId="2445AC3B" w:rsidR="004D1A97" w:rsidRPr="00B84F91" w:rsidRDefault="006E37E9" w:rsidP="00501BD5">
            <w:pPr>
              <w:spacing w:after="240"/>
              <w:ind w:left="567" w:hanging="567"/>
              <w:rPr>
                <w:b/>
                <w:bCs/>
                <w:sz w:val="22"/>
                <w:szCs w:val="22"/>
              </w:rPr>
            </w:pPr>
            <w:r w:rsidRPr="00B84F91">
              <w:rPr>
                <w:b/>
                <w:sz w:val="22"/>
              </w:rPr>
              <w:t>FRONTEX</w:t>
            </w:r>
          </w:p>
        </w:tc>
        <w:tc>
          <w:tcPr>
            <w:tcW w:w="2268" w:type="dxa"/>
            <w:tcBorders>
              <w:top w:val="single" w:sz="4" w:space="0" w:color="auto"/>
              <w:left w:val="single" w:sz="4" w:space="0" w:color="auto"/>
              <w:bottom w:val="single" w:sz="4" w:space="0" w:color="auto"/>
              <w:right w:val="single" w:sz="4" w:space="0" w:color="auto"/>
            </w:tcBorders>
            <w:noWrap/>
            <w:hideMark/>
          </w:tcPr>
          <w:p w14:paraId="0952DFD3" w14:textId="77777777" w:rsidR="004D1A97" w:rsidRPr="006E37E9" w:rsidRDefault="004D1A97" w:rsidP="00501BD5">
            <w:pPr>
              <w:spacing w:after="240"/>
              <w:ind w:left="567" w:hanging="567"/>
              <w:rPr>
                <w:bCs/>
                <w:sz w:val="22"/>
                <w:szCs w:val="22"/>
              </w:rPr>
            </w:pPr>
            <w:r w:rsidRPr="006E37E9">
              <w:rPr>
                <w:bCs/>
                <w:sz w:val="22"/>
              </w:rPr>
              <w:t>829 352 752</w:t>
            </w:r>
          </w:p>
        </w:tc>
        <w:tc>
          <w:tcPr>
            <w:tcW w:w="2551" w:type="dxa"/>
            <w:tcBorders>
              <w:top w:val="single" w:sz="4" w:space="0" w:color="auto"/>
              <w:left w:val="single" w:sz="4" w:space="0" w:color="auto"/>
              <w:bottom w:val="single" w:sz="4" w:space="0" w:color="auto"/>
              <w:right w:val="single" w:sz="4" w:space="0" w:color="auto"/>
            </w:tcBorders>
            <w:noWrap/>
            <w:hideMark/>
          </w:tcPr>
          <w:p w14:paraId="4B614A1D" w14:textId="77777777" w:rsidR="004D1A97" w:rsidRPr="006E37E9" w:rsidRDefault="004D1A97" w:rsidP="00501BD5">
            <w:pPr>
              <w:spacing w:after="240"/>
              <w:ind w:left="567" w:hanging="567"/>
              <w:rPr>
                <w:bCs/>
                <w:sz w:val="22"/>
                <w:szCs w:val="22"/>
              </w:rPr>
            </w:pPr>
            <w:r w:rsidRPr="006E37E9">
              <w:rPr>
                <w:bCs/>
                <w:sz w:val="22"/>
              </w:rPr>
              <w:t>693 122 858</w:t>
            </w:r>
          </w:p>
        </w:tc>
        <w:tc>
          <w:tcPr>
            <w:tcW w:w="1843" w:type="dxa"/>
            <w:tcBorders>
              <w:top w:val="single" w:sz="4" w:space="0" w:color="auto"/>
              <w:left w:val="single" w:sz="4" w:space="0" w:color="auto"/>
              <w:bottom w:val="single" w:sz="4" w:space="0" w:color="auto"/>
              <w:right w:val="single" w:sz="4" w:space="0" w:color="auto"/>
            </w:tcBorders>
            <w:noWrap/>
            <w:hideMark/>
          </w:tcPr>
          <w:p w14:paraId="6E6517AB" w14:textId="49B4E628" w:rsidR="004D1A97" w:rsidRPr="00B84F91" w:rsidRDefault="004D1A97" w:rsidP="00501BD5">
            <w:pPr>
              <w:spacing w:after="240"/>
              <w:ind w:left="567" w:hanging="567"/>
              <w:rPr>
                <w:sz w:val="22"/>
                <w:szCs w:val="22"/>
              </w:rPr>
            </w:pPr>
            <w:r w:rsidRPr="00B84F91">
              <w:rPr>
                <w:sz w:val="22"/>
              </w:rPr>
              <w:t>19,65</w:t>
            </w:r>
          </w:p>
        </w:tc>
      </w:tr>
      <w:tr w:rsidR="004D1A97" w:rsidRPr="00B84F91" w14:paraId="5EF2BB27" w14:textId="77777777" w:rsidTr="006E37E9">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AF69F97" w14:textId="77777777" w:rsidR="004D1A97" w:rsidRPr="00B84F91" w:rsidRDefault="004D1A97" w:rsidP="00501BD5">
            <w:pPr>
              <w:spacing w:after="240"/>
              <w:ind w:left="567" w:hanging="567"/>
              <w:rPr>
                <w:b/>
                <w:bCs/>
                <w:sz w:val="22"/>
                <w:szCs w:val="22"/>
              </w:rPr>
            </w:pPr>
            <w:r w:rsidRPr="00B84F91">
              <w:rPr>
                <w:b/>
                <w:sz w:val="22"/>
              </w:rPr>
              <w:t>ОБЩО</w:t>
            </w:r>
          </w:p>
        </w:tc>
        <w:tc>
          <w:tcPr>
            <w:tcW w:w="2268" w:type="dxa"/>
            <w:tcBorders>
              <w:top w:val="single" w:sz="4" w:space="0" w:color="auto"/>
              <w:left w:val="single" w:sz="4" w:space="0" w:color="auto"/>
              <w:bottom w:val="single" w:sz="4" w:space="0" w:color="auto"/>
              <w:right w:val="single" w:sz="4" w:space="0" w:color="auto"/>
            </w:tcBorders>
            <w:noWrap/>
            <w:hideMark/>
          </w:tcPr>
          <w:p w14:paraId="52552A23" w14:textId="77777777" w:rsidR="004D1A97" w:rsidRPr="00B84F91" w:rsidRDefault="004D1A97" w:rsidP="00501BD5">
            <w:pPr>
              <w:spacing w:after="240"/>
              <w:ind w:left="567" w:hanging="567"/>
              <w:rPr>
                <w:b/>
                <w:bCs/>
                <w:sz w:val="22"/>
                <w:szCs w:val="22"/>
              </w:rPr>
            </w:pPr>
            <w:r w:rsidRPr="00B84F91">
              <w:rPr>
                <w:b/>
                <w:sz w:val="22"/>
              </w:rPr>
              <w:t>3 741 954 189</w:t>
            </w:r>
          </w:p>
        </w:tc>
        <w:tc>
          <w:tcPr>
            <w:tcW w:w="2551" w:type="dxa"/>
            <w:tcBorders>
              <w:top w:val="single" w:sz="4" w:space="0" w:color="auto"/>
              <w:left w:val="single" w:sz="4" w:space="0" w:color="auto"/>
              <w:bottom w:val="single" w:sz="4" w:space="0" w:color="auto"/>
              <w:right w:val="single" w:sz="4" w:space="0" w:color="auto"/>
            </w:tcBorders>
            <w:noWrap/>
            <w:hideMark/>
          </w:tcPr>
          <w:p w14:paraId="283E6917" w14:textId="77777777" w:rsidR="004D1A97" w:rsidRPr="00B84F91" w:rsidRDefault="004D1A97" w:rsidP="00501BD5">
            <w:pPr>
              <w:spacing w:after="240"/>
              <w:ind w:left="567" w:hanging="567"/>
              <w:rPr>
                <w:b/>
                <w:bCs/>
                <w:sz w:val="22"/>
                <w:szCs w:val="22"/>
              </w:rPr>
            </w:pPr>
            <w:r w:rsidRPr="00B84F91">
              <w:rPr>
                <w:b/>
                <w:sz w:val="22"/>
              </w:rPr>
              <w:t>3 605 018 178</w:t>
            </w:r>
          </w:p>
        </w:tc>
        <w:tc>
          <w:tcPr>
            <w:tcW w:w="1843" w:type="dxa"/>
            <w:tcBorders>
              <w:top w:val="single" w:sz="4" w:space="0" w:color="auto"/>
              <w:left w:val="single" w:sz="4" w:space="0" w:color="auto"/>
              <w:bottom w:val="single" w:sz="4" w:space="0" w:color="auto"/>
              <w:right w:val="single" w:sz="4" w:space="0" w:color="auto"/>
            </w:tcBorders>
            <w:noWrap/>
            <w:hideMark/>
          </w:tcPr>
          <w:p w14:paraId="7D52722A" w14:textId="3BEE58E2" w:rsidR="004D1A97" w:rsidRPr="006E37E9" w:rsidRDefault="004D1A97" w:rsidP="00501BD5">
            <w:pPr>
              <w:spacing w:after="240"/>
              <w:ind w:left="567" w:hanging="567"/>
              <w:rPr>
                <w:b/>
                <w:bCs/>
                <w:sz w:val="22"/>
                <w:szCs w:val="22"/>
              </w:rPr>
            </w:pPr>
            <w:r w:rsidRPr="006E37E9">
              <w:rPr>
                <w:b/>
                <w:bCs/>
                <w:sz w:val="22"/>
              </w:rPr>
              <w:t>3,80</w:t>
            </w:r>
          </w:p>
        </w:tc>
      </w:tr>
      <w:tr w:rsidR="006E37E9" w:rsidRPr="00B84F91" w14:paraId="18A04E20" w14:textId="77777777" w:rsidTr="006E37E9">
        <w:trPr>
          <w:trHeight w:val="285"/>
        </w:trPr>
        <w:tc>
          <w:tcPr>
            <w:tcW w:w="8784" w:type="dxa"/>
            <w:gridSpan w:val="4"/>
            <w:tcBorders>
              <w:top w:val="single" w:sz="4" w:space="0" w:color="auto"/>
              <w:left w:val="single" w:sz="4" w:space="0" w:color="auto"/>
              <w:bottom w:val="single" w:sz="4" w:space="0" w:color="auto"/>
              <w:right w:val="single" w:sz="4" w:space="0" w:color="auto"/>
            </w:tcBorders>
            <w:noWrap/>
          </w:tcPr>
          <w:p w14:paraId="0D78763A" w14:textId="77777777" w:rsidR="006E37E9" w:rsidRPr="00A43FA6" w:rsidRDefault="006E37E9" w:rsidP="006E37E9">
            <w:pPr>
              <w:spacing w:after="240"/>
              <w:ind w:left="567" w:hanging="567"/>
            </w:pPr>
            <w:r w:rsidRPr="00A43FA6">
              <w:lastRenderedPageBreak/>
              <w:t>(</w:t>
            </w:r>
            <w:r w:rsidRPr="00A43FA6">
              <w:rPr>
                <w:vertAlign w:val="superscript"/>
              </w:rPr>
              <w:t>1</w:t>
            </w:r>
            <w:r w:rsidRPr="00A43FA6">
              <w:t>) Излишък, пренесен от предходната финансова година.</w:t>
            </w:r>
          </w:p>
          <w:p w14:paraId="429CE8EB" w14:textId="0D09E3CE" w:rsidR="006E37E9" w:rsidRPr="00B84F91" w:rsidRDefault="006E37E9" w:rsidP="00501BD5">
            <w:pPr>
              <w:spacing w:after="240"/>
              <w:ind w:left="567" w:hanging="567"/>
              <w:rPr>
                <w:sz w:val="22"/>
              </w:rPr>
            </w:pPr>
            <w:r w:rsidRPr="00A43FA6">
              <w:t>(</w:t>
            </w:r>
            <w:r w:rsidRPr="00A43FA6">
              <w:rPr>
                <w:vertAlign w:val="superscript"/>
              </w:rPr>
              <w:t>2</w:t>
            </w:r>
            <w:r w:rsidRPr="00A43FA6">
              <w:t>) Бюджетни корекции, съответстващи на приспаднатия натрупан излишък.</w:t>
            </w:r>
          </w:p>
        </w:tc>
      </w:tr>
    </w:tbl>
    <w:p w14:paraId="2102B7CA" w14:textId="77777777" w:rsidR="004D1A97" w:rsidRPr="00B84F91" w:rsidRDefault="004D1A97" w:rsidP="006E37E9">
      <w:pPr>
        <w:pStyle w:val="NormalHanging12a"/>
        <w:spacing w:before="240"/>
      </w:pPr>
      <w:r w:rsidRPr="00B84F91">
        <w:t>20.</w:t>
      </w:r>
      <w:r w:rsidRPr="00B84F91">
        <w:tab/>
        <w:t xml:space="preserve">подчертава, че увеличението на приходите за 2023 спрямо 2022 г. е значително за някои агенции, като за Агенцията за снабдяване към Евратом то възлиза на 54,59%, за Евроюст — на 20,86%, за </w:t>
      </w:r>
      <w:proofErr w:type="spellStart"/>
      <w:r w:rsidRPr="00B84F91">
        <w:t>Frontex</w:t>
      </w:r>
      <w:proofErr w:type="spellEnd"/>
      <w:r w:rsidRPr="00B84F91">
        <w:t xml:space="preserve"> — на 19,65% и за ACER — на19,15%; приветства увеличеното финансиране за правоприлагащите агенции;</w:t>
      </w:r>
    </w:p>
    <w:p w14:paraId="00517416" w14:textId="77777777" w:rsidR="004D1A97" w:rsidRPr="00B84F91" w:rsidRDefault="004D1A97" w:rsidP="004D1A97">
      <w:pPr>
        <w:spacing w:after="240"/>
        <w:ind w:left="567" w:hanging="567"/>
      </w:pPr>
      <w:r w:rsidRPr="00B84F91">
        <w:t>21.</w:t>
      </w:r>
      <w:r w:rsidRPr="00B84F91">
        <w:tab/>
        <w:t>отбелязва, че в случая на Агенцията за снабдяване към Евратом увеличението се дължи главно на продължаващото разработване на информационната система на Ядрената обсерватория и управление на информацията на Агенцията за снабдяване към Евратом (NOEMI) и на предоставянето на счетоводни услуги на агенцията; за Евроюст увеличението се дължи главно на необходимостта от допълнителни ресурси за изпълнение на задачите, добавени от три предложения за регламенти на Комисията и на особено сериозното отражение на инфлацията</w:t>
      </w:r>
      <w:r w:rsidRPr="00B84F91">
        <w:rPr>
          <w:vertAlign w:val="superscript"/>
        </w:rPr>
        <w:footnoteReference w:id="409"/>
      </w:r>
      <w:r w:rsidRPr="00B84F91">
        <w:t xml:space="preserve">; в случая на </w:t>
      </w:r>
      <w:proofErr w:type="spellStart"/>
      <w:r w:rsidRPr="00B84F91">
        <w:t>Frontex</w:t>
      </w:r>
      <w:proofErr w:type="spellEnd"/>
      <w:r w:rsidRPr="00B84F91">
        <w:t xml:space="preserve"> увеличението на бюджета има за цел продължаване на изграждането на постоянния корпус за гранична охрана, включително осигуряването на съответното оборудване</w:t>
      </w:r>
      <w:r w:rsidRPr="00B84F91">
        <w:rPr>
          <w:vertAlign w:val="superscript"/>
        </w:rPr>
        <w:footnoteReference w:id="410"/>
      </w:r>
      <w:r w:rsidRPr="00B84F91">
        <w:t>; увеличението за ACER е свързано предимно с допълнителните задачи, делегирани в планираните преразгледани версии на регламентите относно енергийната инфраструктура и намаляването на емисиите на метан</w:t>
      </w:r>
      <w:r w:rsidRPr="00B84F91">
        <w:rPr>
          <w:vertAlign w:val="superscript"/>
        </w:rPr>
        <w:footnoteReference w:id="411"/>
      </w:r>
      <w:r w:rsidRPr="00B84F91">
        <w:t>, съответната годишна индексация на възнагражденията, по-високите правни разходи и увеличението на бюджетните средства от такси за конкретни проекти;</w:t>
      </w:r>
    </w:p>
    <w:p w14:paraId="4FDF3035" w14:textId="77777777" w:rsidR="004D1A97" w:rsidRPr="00B84F91" w:rsidRDefault="004D1A97" w:rsidP="004D1A97">
      <w:pPr>
        <w:spacing w:after="240"/>
        <w:ind w:left="567" w:hanging="567"/>
        <w:rPr>
          <w:szCs w:val="24"/>
        </w:rPr>
      </w:pPr>
      <w:r w:rsidRPr="00B84F91">
        <w:t>22.</w:t>
      </w:r>
      <w:r w:rsidRPr="00B84F91">
        <w:tab/>
        <w:t xml:space="preserve">потвърждава отговора на въпроса с искане за писмен отговор, в който се посочва, че преносите на </w:t>
      </w:r>
      <w:proofErr w:type="spellStart"/>
      <w:r w:rsidRPr="00B84F91">
        <w:t>Frontex</w:t>
      </w:r>
      <w:proofErr w:type="spellEnd"/>
      <w:r w:rsidRPr="00B84F91">
        <w:t xml:space="preserve"> (45% през 2023 г.) са свързани с оперативния цикъл на Агенцията, който не съответства на календарната година и не може лесно да бъде приспособен, тъй като обхваща всички държави членки; съзнава, че политическите приоритети на Комисията и очакванията на гражданите на Съюза по отношение на сигурността са обясненията, използвани за увеличаване на бюджета на </w:t>
      </w:r>
      <w:proofErr w:type="spellStart"/>
      <w:r w:rsidRPr="00B84F91">
        <w:t>Frontex</w:t>
      </w:r>
      <w:proofErr w:type="spellEnd"/>
      <w:r w:rsidRPr="00B84F91">
        <w:t xml:space="preserve">; настоява, че е от съществено значение да се осигурят подходящи ресурси за ефективното функциониране на </w:t>
      </w:r>
      <w:proofErr w:type="spellStart"/>
      <w:r w:rsidRPr="00B84F91">
        <w:t>Frontex</w:t>
      </w:r>
      <w:proofErr w:type="spellEnd"/>
      <w:r w:rsidRPr="00B84F91">
        <w:t xml:space="preserve">, като същевременно непрекъснато се оценява дали нейният бюджет е подходящ за целта и дали постига резултати; припомня необходимостта от наблюдение на напредъка по отношение на капацитета на Агенцията за усвояване на средствата, </w:t>
      </w:r>
      <w:r w:rsidR="00202A1E" w:rsidRPr="00202A1E">
        <w:t xml:space="preserve">по-специално чрез набиране на персонал за гранична и брегова охрана, </w:t>
      </w:r>
      <w:r w:rsidRPr="00B84F91">
        <w:t xml:space="preserve">като подчертава значението на доброто планиране, за да се гарантира нейната ефективност; призовава освен това Мрежата на агенциите на ЕС да си сътрудничи с агенциите и с </w:t>
      </w:r>
      <w:r w:rsidR="00871A0B">
        <w:t>Палатата</w:t>
      </w:r>
      <w:r w:rsidR="00871A0B" w:rsidRPr="00B84F91">
        <w:t xml:space="preserve"> </w:t>
      </w:r>
      <w:r w:rsidRPr="00B84F91">
        <w:t xml:space="preserve">за разработването на стандартизирано представяне на преносите, което да е в по-добро съответствие с принципа на </w:t>
      </w:r>
      <w:proofErr w:type="spellStart"/>
      <w:r w:rsidRPr="00B84F91">
        <w:t>ежегодност</w:t>
      </w:r>
      <w:proofErr w:type="spellEnd"/>
      <w:r w:rsidRPr="00B84F91">
        <w:t xml:space="preserve"> на Финансовия регламент;</w:t>
      </w:r>
    </w:p>
    <w:p w14:paraId="40492E48" w14:textId="77777777" w:rsidR="004D1A97" w:rsidRPr="00B84F91" w:rsidRDefault="004D1A97" w:rsidP="004D1A97">
      <w:pPr>
        <w:spacing w:after="240"/>
        <w:ind w:left="567" w:hanging="567"/>
      </w:pPr>
      <w:r w:rsidRPr="00B84F91">
        <w:t>23.</w:t>
      </w:r>
      <w:r w:rsidRPr="00B84F91">
        <w:tab/>
        <w:t xml:space="preserve">припомня, че по-голямата част от агенциите на ЕС се финансират изцяло от вноски от бюджета на Съюза; отбелязва обаче, че някои агенции се финансират изцяло или частично чрез алтернативни източници на приходи, включително </w:t>
      </w:r>
      <w:r w:rsidRPr="00B84F91">
        <w:lastRenderedPageBreak/>
        <w:t>дейности като издаване на сертификати и разрешения, регистрация на вещества, вноски, събиране на данни, наблюдение на пазара, надзор и други услуги, като предоставяните от Центъра за преводи за органите на Европейския съюз (</w:t>
      </w:r>
      <w:proofErr w:type="spellStart"/>
      <w:r w:rsidRPr="00B84F91">
        <w:t>CdT</w:t>
      </w:r>
      <w:proofErr w:type="spellEnd"/>
      <w:r w:rsidRPr="00B84F91">
        <w:t>) превод и терминология;</w:t>
      </w:r>
    </w:p>
    <w:p w14:paraId="52815DE4" w14:textId="77777777" w:rsidR="004D1A97" w:rsidRPr="00B84F91" w:rsidRDefault="004D1A97" w:rsidP="004D1A97">
      <w:pPr>
        <w:spacing w:after="240"/>
        <w:ind w:left="567" w:hanging="567"/>
      </w:pPr>
      <w:r w:rsidRPr="00B84F91">
        <w:t>24.</w:t>
      </w:r>
      <w:r w:rsidRPr="00B84F91">
        <w:tab/>
        <w:t>отбелязва по-специално, че:</w:t>
      </w:r>
    </w:p>
    <w:p w14:paraId="47FBD695" w14:textId="77777777" w:rsidR="004D1A97" w:rsidRPr="00B84F91" w:rsidRDefault="004D1A97" w:rsidP="004D1A97">
      <w:pPr>
        <w:spacing w:after="240"/>
        <w:ind w:left="1134" w:hanging="567"/>
      </w:pPr>
      <w:r w:rsidRPr="00B84F91">
        <w:t>–</w:t>
      </w:r>
      <w:r w:rsidRPr="00B84F91">
        <w:tab/>
        <w:t>частично самофинансиращите се агенции включват Европейската агенция за авиационна безопасност (ЕААБ), Агенцията за железопътен транспорт на Европейския съюз (ERA), Агенцията за сътрудничество между регулаторите на енергия (ACER), Европейската агенция по химикали (ECHA), Европейската агенция по лекарствата (EMA);</w:t>
      </w:r>
    </w:p>
    <w:p w14:paraId="2363FB68" w14:textId="77777777" w:rsidR="004D1A97" w:rsidRPr="00B84F91" w:rsidRDefault="004D1A97" w:rsidP="004D1A97">
      <w:pPr>
        <w:spacing w:after="240"/>
        <w:ind w:left="1134" w:hanging="567"/>
      </w:pPr>
      <w:r w:rsidRPr="00B84F91">
        <w:t>–</w:t>
      </w:r>
      <w:r w:rsidRPr="00B84F91">
        <w:tab/>
        <w:t xml:space="preserve">изцяло самофинансиращите се агенции включват </w:t>
      </w:r>
      <w:proofErr w:type="spellStart"/>
      <w:r w:rsidRPr="00B84F91">
        <w:t>CdT</w:t>
      </w:r>
      <w:proofErr w:type="spellEnd"/>
      <w:r w:rsidRPr="00B84F91">
        <w:t>; а</w:t>
      </w:r>
    </w:p>
    <w:p w14:paraId="4DB08020" w14:textId="77777777" w:rsidR="004D1A97" w:rsidRPr="00B84F91" w:rsidRDefault="004D1A97" w:rsidP="004D1A97">
      <w:pPr>
        <w:spacing w:after="240"/>
        <w:ind w:left="1134" w:hanging="567"/>
      </w:pPr>
      <w:r w:rsidRPr="00B84F91">
        <w:t>–</w:t>
      </w:r>
      <w:r w:rsidRPr="00B84F91">
        <w:tab/>
        <w:t>агенциите, които са частично съфинансирани от национални публични органи, включват Европейския банков орган (ЕБО), Европейския орган за застраховане и професионално пенсионно осигуряване (EIOPA) и Европейския орган за ценни книжа и пазари (ESMA);</w:t>
      </w:r>
    </w:p>
    <w:p w14:paraId="07302013" w14:textId="77777777" w:rsidR="004D1A97" w:rsidRPr="00B84F91" w:rsidRDefault="004D1A97" w:rsidP="004D1A97">
      <w:pPr>
        <w:spacing w:after="120"/>
        <w:ind w:left="567" w:hanging="567"/>
      </w:pPr>
      <w:r w:rsidRPr="00B84F91">
        <w:t>25.</w:t>
      </w:r>
      <w:r w:rsidRPr="00B84F91">
        <w:tab/>
        <w:t>отбелязва, че за 2023 г. източниците на финансиране на самофинансиращите се агенции, които са част от настоящата резолюция, са разпределени както следва:</w:t>
      </w:r>
    </w:p>
    <w:tbl>
      <w:tblPr>
        <w:tblStyle w:val="TableGrid"/>
        <w:tblW w:w="8901" w:type="dxa"/>
        <w:tblLook w:val="04A0" w:firstRow="1" w:lastRow="0" w:firstColumn="1" w:lastColumn="0" w:noHBand="0" w:noVBand="1"/>
      </w:tblPr>
      <w:tblGrid>
        <w:gridCol w:w="1129"/>
        <w:gridCol w:w="1656"/>
        <w:gridCol w:w="1476"/>
        <w:gridCol w:w="696"/>
        <w:gridCol w:w="1559"/>
        <w:gridCol w:w="826"/>
        <w:gridCol w:w="1559"/>
      </w:tblGrid>
      <w:tr w:rsidR="004D1A97" w:rsidRPr="006E37E9" w14:paraId="282D1AD2" w14:textId="77777777" w:rsidTr="006E37E9">
        <w:trPr>
          <w:cantSplit/>
          <w:trHeight w:val="293"/>
          <w:tblHeader/>
        </w:trPr>
        <w:tc>
          <w:tcPr>
            <w:tcW w:w="1129" w:type="dxa"/>
            <w:tcBorders>
              <w:top w:val="single" w:sz="4" w:space="0" w:color="auto"/>
              <w:left w:val="single" w:sz="4" w:space="0" w:color="auto"/>
              <w:bottom w:val="single" w:sz="4" w:space="0" w:color="auto"/>
              <w:right w:val="single" w:sz="4" w:space="0" w:color="auto"/>
            </w:tcBorders>
            <w:noWrap/>
            <w:hideMark/>
          </w:tcPr>
          <w:p w14:paraId="5C4B2136" w14:textId="77777777" w:rsidR="004D1A97" w:rsidRPr="006E37E9" w:rsidRDefault="004D1A97" w:rsidP="00501BD5">
            <w:pPr>
              <w:widowControl/>
              <w:spacing w:after="120"/>
              <w:ind w:left="567" w:hanging="567"/>
              <w:rPr>
                <w:szCs w:val="24"/>
              </w:rPr>
            </w:pPr>
          </w:p>
        </w:tc>
        <w:tc>
          <w:tcPr>
            <w:tcW w:w="1656" w:type="dxa"/>
            <w:tcBorders>
              <w:top w:val="single" w:sz="4" w:space="0" w:color="auto"/>
              <w:left w:val="single" w:sz="4" w:space="0" w:color="auto"/>
              <w:bottom w:val="single" w:sz="4" w:space="0" w:color="auto"/>
              <w:right w:val="single" w:sz="4" w:space="0" w:color="auto"/>
            </w:tcBorders>
            <w:noWrap/>
            <w:hideMark/>
          </w:tcPr>
          <w:p w14:paraId="49460A2E" w14:textId="239F823F" w:rsidR="004D1A97" w:rsidRPr="006E37E9" w:rsidRDefault="004D1A97" w:rsidP="00501BD5">
            <w:pPr>
              <w:spacing w:after="120"/>
              <w:rPr>
                <w:bCs/>
                <w:noProof/>
                <w:szCs w:val="24"/>
                <w:lang w:val="en-GB"/>
              </w:rPr>
            </w:pPr>
            <w:r w:rsidRPr="006E37E9">
              <w:rPr>
                <w:bCs/>
                <w:szCs w:val="24"/>
              </w:rPr>
              <w:t>Приходи за 2023 г.</w:t>
            </w:r>
            <w:r w:rsidRPr="006E37E9">
              <w:rPr>
                <w:bCs/>
                <w:szCs w:val="24"/>
              </w:rPr>
              <w:br/>
            </w:r>
            <w:r w:rsidR="006E37E9" w:rsidRPr="006E37E9">
              <w:rPr>
                <w:bCs/>
                <w:szCs w:val="24"/>
                <w:lang w:val="en-GB"/>
              </w:rPr>
              <w:t>(</w:t>
            </w:r>
            <w:r w:rsidRPr="006E37E9">
              <w:rPr>
                <w:bCs/>
                <w:szCs w:val="24"/>
              </w:rPr>
              <w:t>евро</w:t>
            </w:r>
            <w:r w:rsidR="006E37E9" w:rsidRPr="006E37E9">
              <w:rPr>
                <w:bCs/>
                <w:szCs w:val="24"/>
                <w:lang w:val="en-GB"/>
              </w:rPr>
              <w:t>)</w:t>
            </w:r>
          </w:p>
        </w:tc>
        <w:tc>
          <w:tcPr>
            <w:tcW w:w="1476" w:type="dxa"/>
            <w:tcBorders>
              <w:top w:val="single" w:sz="4" w:space="0" w:color="auto"/>
              <w:left w:val="single" w:sz="4" w:space="0" w:color="auto"/>
              <w:bottom w:val="single" w:sz="4" w:space="0" w:color="auto"/>
              <w:right w:val="single" w:sz="4" w:space="0" w:color="auto"/>
            </w:tcBorders>
            <w:noWrap/>
            <w:hideMark/>
          </w:tcPr>
          <w:p w14:paraId="1F016054" w14:textId="5EDFDD8B" w:rsidR="004D1A97" w:rsidRPr="006E37E9" w:rsidRDefault="004D1A97" w:rsidP="00501BD5">
            <w:pPr>
              <w:spacing w:after="120"/>
              <w:ind w:left="34" w:hanging="34"/>
              <w:rPr>
                <w:bCs/>
                <w:noProof/>
                <w:szCs w:val="24"/>
              </w:rPr>
            </w:pPr>
            <w:r w:rsidRPr="006E37E9">
              <w:rPr>
                <w:bCs/>
                <w:szCs w:val="24"/>
              </w:rPr>
              <w:t>Субсидия от ЕС</w:t>
            </w:r>
            <w:r w:rsidR="006E37E9">
              <w:rPr>
                <w:bCs/>
                <w:szCs w:val="24"/>
              </w:rPr>
              <w:br/>
              <w:t>(евро)</w:t>
            </w:r>
          </w:p>
        </w:tc>
        <w:tc>
          <w:tcPr>
            <w:tcW w:w="696" w:type="dxa"/>
            <w:tcBorders>
              <w:top w:val="single" w:sz="4" w:space="0" w:color="auto"/>
              <w:left w:val="single" w:sz="4" w:space="0" w:color="auto"/>
              <w:bottom w:val="single" w:sz="4" w:space="0" w:color="auto"/>
              <w:right w:val="single" w:sz="4" w:space="0" w:color="auto"/>
            </w:tcBorders>
            <w:noWrap/>
            <w:hideMark/>
          </w:tcPr>
          <w:p w14:paraId="12D93349" w14:textId="77777777" w:rsidR="004D1A97" w:rsidRPr="006E37E9" w:rsidRDefault="004D1A97" w:rsidP="00501BD5">
            <w:pPr>
              <w:spacing w:after="120"/>
              <w:ind w:left="567" w:hanging="567"/>
              <w:rPr>
                <w:bCs/>
                <w:noProof/>
                <w:szCs w:val="24"/>
              </w:rPr>
            </w:pPr>
            <w:r w:rsidRPr="006E37E9">
              <w:rPr>
                <w:bCs/>
                <w:szCs w:val="24"/>
              </w:rPr>
              <w:t> %</w:t>
            </w:r>
          </w:p>
        </w:tc>
        <w:tc>
          <w:tcPr>
            <w:tcW w:w="1559" w:type="dxa"/>
            <w:tcBorders>
              <w:top w:val="single" w:sz="4" w:space="0" w:color="auto"/>
              <w:left w:val="single" w:sz="4" w:space="0" w:color="auto"/>
              <w:bottom w:val="single" w:sz="4" w:space="0" w:color="auto"/>
              <w:right w:val="single" w:sz="4" w:space="0" w:color="auto"/>
            </w:tcBorders>
            <w:noWrap/>
            <w:hideMark/>
          </w:tcPr>
          <w:p w14:paraId="319136E9" w14:textId="212D13F7" w:rsidR="004D1A97" w:rsidRPr="006E37E9" w:rsidRDefault="004D1A97" w:rsidP="00501BD5">
            <w:pPr>
              <w:spacing w:after="120"/>
              <w:ind w:left="38" w:hanging="38"/>
              <w:rPr>
                <w:bCs/>
                <w:noProof/>
                <w:szCs w:val="24"/>
                <w:lang w:val="en-GB"/>
              </w:rPr>
            </w:pPr>
            <w:r w:rsidRPr="006E37E9">
              <w:rPr>
                <w:bCs/>
                <w:szCs w:val="24"/>
              </w:rPr>
              <w:t>Собствени приходи</w:t>
            </w:r>
            <w:r w:rsidR="006E37E9">
              <w:rPr>
                <w:bCs/>
                <w:szCs w:val="24"/>
                <w:lang w:val="en-GB"/>
              </w:rPr>
              <w:br/>
            </w:r>
            <w:r w:rsidR="006E37E9">
              <w:rPr>
                <w:bCs/>
                <w:noProof/>
                <w:szCs w:val="24"/>
                <w:lang w:val="en-GB"/>
              </w:rPr>
              <w:t>(</w:t>
            </w:r>
            <w:r w:rsidR="006E37E9">
              <w:rPr>
                <w:bCs/>
                <w:noProof/>
                <w:szCs w:val="24"/>
              </w:rPr>
              <w:t>евро</w:t>
            </w:r>
            <w:r w:rsidR="006E37E9">
              <w:rPr>
                <w:bCs/>
                <w:noProof/>
                <w:szCs w:val="24"/>
                <w:lang w:val="en-GB"/>
              </w:rPr>
              <w:t>)</w:t>
            </w:r>
          </w:p>
        </w:tc>
        <w:tc>
          <w:tcPr>
            <w:tcW w:w="826" w:type="dxa"/>
            <w:tcBorders>
              <w:top w:val="single" w:sz="4" w:space="0" w:color="auto"/>
              <w:left w:val="single" w:sz="4" w:space="0" w:color="auto"/>
              <w:bottom w:val="single" w:sz="4" w:space="0" w:color="auto"/>
              <w:right w:val="single" w:sz="4" w:space="0" w:color="auto"/>
            </w:tcBorders>
            <w:noWrap/>
            <w:hideMark/>
          </w:tcPr>
          <w:p w14:paraId="2AF455BF" w14:textId="77777777" w:rsidR="004D1A97" w:rsidRPr="006E37E9" w:rsidRDefault="004D1A97" w:rsidP="00501BD5">
            <w:pPr>
              <w:spacing w:after="120"/>
              <w:ind w:left="567" w:hanging="567"/>
              <w:rPr>
                <w:bCs/>
                <w:noProof/>
                <w:szCs w:val="24"/>
              </w:rPr>
            </w:pPr>
            <w:r w:rsidRPr="006E37E9">
              <w:rPr>
                <w:bCs/>
                <w:szCs w:val="24"/>
              </w:rPr>
              <w:t> %</w:t>
            </w:r>
          </w:p>
        </w:tc>
        <w:tc>
          <w:tcPr>
            <w:tcW w:w="1559" w:type="dxa"/>
            <w:tcBorders>
              <w:top w:val="single" w:sz="4" w:space="0" w:color="auto"/>
              <w:left w:val="single" w:sz="4" w:space="0" w:color="auto"/>
              <w:bottom w:val="single" w:sz="4" w:space="0" w:color="auto"/>
              <w:right w:val="single" w:sz="4" w:space="0" w:color="auto"/>
            </w:tcBorders>
            <w:noWrap/>
            <w:hideMark/>
          </w:tcPr>
          <w:p w14:paraId="7A8A56B3" w14:textId="5287C753" w:rsidR="004D1A97" w:rsidRPr="006E37E9" w:rsidRDefault="004D1A97" w:rsidP="006E37E9">
            <w:pPr>
              <w:spacing w:after="120"/>
              <w:rPr>
                <w:bCs/>
                <w:noProof/>
                <w:szCs w:val="24"/>
              </w:rPr>
            </w:pPr>
            <w:r w:rsidRPr="006E37E9">
              <w:rPr>
                <w:bCs/>
                <w:szCs w:val="24"/>
              </w:rPr>
              <w:t>Друго</w:t>
            </w:r>
            <w:r w:rsidR="006E37E9">
              <w:rPr>
                <w:bCs/>
                <w:szCs w:val="24"/>
              </w:rPr>
              <w:br/>
              <w:t>(евро)</w:t>
            </w:r>
          </w:p>
        </w:tc>
      </w:tr>
      <w:tr w:rsidR="004D1A97" w:rsidRPr="006E37E9" w14:paraId="54F1F593" w14:textId="77777777" w:rsidTr="006E37E9">
        <w:trPr>
          <w:cantSplit/>
          <w:trHeight w:val="285"/>
          <w:tblHeader/>
        </w:trPr>
        <w:tc>
          <w:tcPr>
            <w:tcW w:w="1129" w:type="dxa"/>
            <w:tcBorders>
              <w:top w:val="single" w:sz="4" w:space="0" w:color="auto"/>
              <w:left w:val="single" w:sz="4" w:space="0" w:color="auto"/>
              <w:bottom w:val="single" w:sz="4" w:space="0" w:color="auto"/>
              <w:right w:val="single" w:sz="4" w:space="0" w:color="auto"/>
            </w:tcBorders>
            <w:noWrap/>
            <w:hideMark/>
          </w:tcPr>
          <w:p w14:paraId="656AC5A0" w14:textId="77777777" w:rsidR="004D1A97" w:rsidRPr="006E37E9" w:rsidRDefault="004D1A97" w:rsidP="00501BD5">
            <w:pPr>
              <w:spacing w:after="120"/>
              <w:ind w:left="567" w:hanging="567"/>
              <w:rPr>
                <w:b/>
                <w:bCs/>
                <w:noProof/>
                <w:szCs w:val="24"/>
              </w:rPr>
            </w:pPr>
            <w:r w:rsidRPr="006E37E9">
              <w:rPr>
                <w:b/>
                <w:szCs w:val="24"/>
              </w:rPr>
              <w:t>ACER</w:t>
            </w:r>
          </w:p>
        </w:tc>
        <w:tc>
          <w:tcPr>
            <w:tcW w:w="1656" w:type="dxa"/>
            <w:tcBorders>
              <w:top w:val="single" w:sz="4" w:space="0" w:color="auto"/>
              <w:left w:val="single" w:sz="4" w:space="0" w:color="auto"/>
              <w:bottom w:val="single" w:sz="4" w:space="0" w:color="auto"/>
              <w:right w:val="single" w:sz="4" w:space="0" w:color="auto"/>
            </w:tcBorders>
            <w:noWrap/>
            <w:hideMark/>
          </w:tcPr>
          <w:p w14:paraId="4C2C7513" w14:textId="77777777" w:rsidR="004D1A97" w:rsidRPr="006E37E9" w:rsidRDefault="004D1A97" w:rsidP="00501BD5">
            <w:pPr>
              <w:spacing w:after="120"/>
              <w:ind w:left="567" w:hanging="567"/>
              <w:rPr>
                <w:bCs/>
                <w:noProof/>
                <w:szCs w:val="24"/>
              </w:rPr>
            </w:pPr>
            <w:r w:rsidRPr="006E37E9">
              <w:rPr>
                <w:bCs/>
                <w:szCs w:val="24"/>
              </w:rPr>
              <w:t> 29 576 964</w:t>
            </w:r>
          </w:p>
        </w:tc>
        <w:tc>
          <w:tcPr>
            <w:tcW w:w="1476" w:type="dxa"/>
            <w:tcBorders>
              <w:top w:val="single" w:sz="4" w:space="0" w:color="auto"/>
              <w:left w:val="single" w:sz="4" w:space="0" w:color="auto"/>
              <w:bottom w:val="single" w:sz="4" w:space="0" w:color="auto"/>
              <w:right w:val="single" w:sz="4" w:space="0" w:color="auto"/>
            </w:tcBorders>
            <w:noWrap/>
            <w:hideMark/>
          </w:tcPr>
          <w:p w14:paraId="60942D98" w14:textId="77777777" w:rsidR="004D1A97" w:rsidRPr="006E37E9" w:rsidRDefault="004D1A97" w:rsidP="00501BD5">
            <w:pPr>
              <w:spacing w:after="120"/>
              <w:ind w:left="567" w:hanging="567"/>
              <w:rPr>
                <w:bCs/>
                <w:noProof/>
                <w:szCs w:val="24"/>
              </w:rPr>
            </w:pPr>
            <w:r w:rsidRPr="006E37E9">
              <w:rPr>
                <w:bCs/>
                <w:szCs w:val="24"/>
              </w:rPr>
              <w:t> 19 418 599</w:t>
            </w:r>
          </w:p>
        </w:tc>
        <w:tc>
          <w:tcPr>
            <w:tcW w:w="696" w:type="dxa"/>
            <w:tcBorders>
              <w:top w:val="single" w:sz="4" w:space="0" w:color="auto"/>
              <w:left w:val="single" w:sz="4" w:space="0" w:color="auto"/>
              <w:bottom w:val="single" w:sz="4" w:space="0" w:color="auto"/>
              <w:right w:val="single" w:sz="4" w:space="0" w:color="auto"/>
            </w:tcBorders>
            <w:noWrap/>
            <w:hideMark/>
          </w:tcPr>
          <w:p w14:paraId="2FA61C4D" w14:textId="48DE30A5" w:rsidR="004D1A97" w:rsidRPr="006E37E9" w:rsidRDefault="004D1A97" w:rsidP="00501BD5">
            <w:pPr>
              <w:spacing w:after="120"/>
              <w:ind w:left="567" w:hanging="567"/>
              <w:rPr>
                <w:bCs/>
                <w:noProof/>
                <w:szCs w:val="24"/>
                <w:lang w:val="en-GB"/>
              </w:rPr>
            </w:pPr>
            <w:r w:rsidRPr="006E37E9">
              <w:rPr>
                <w:bCs/>
                <w:szCs w:val="24"/>
              </w:rPr>
              <w:t>66</w:t>
            </w:r>
          </w:p>
        </w:tc>
        <w:tc>
          <w:tcPr>
            <w:tcW w:w="1559" w:type="dxa"/>
            <w:tcBorders>
              <w:top w:val="single" w:sz="4" w:space="0" w:color="auto"/>
              <w:left w:val="single" w:sz="4" w:space="0" w:color="auto"/>
              <w:bottom w:val="single" w:sz="4" w:space="0" w:color="auto"/>
              <w:right w:val="single" w:sz="4" w:space="0" w:color="auto"/>
            </w:tcBorders>
            <w:noWrap/>
            <w:hideMark/>
          </w:tcPr>
          <w:p w14:paraId="12988806" w14:textId="77777777" w:rsidR="004D1A97" w:rsidRPr="006E37E9" w:rsidRDefault="004D1A97" w:rsidP="00501BD5">
            <w:pPr>
              <w:spacing w:after="120"/>
              <w:ind w:left="567" w:hanging="567"/>
              <w:rPr>
                <w:bCs/>
                <w:noProof/>
                <w:szCs w:val="24"/>
              </w:rPr>
            </w:pPr>
            <w:r w:rsidRPr="006E37E9">
              <w:rPr>
                <w:bCs/>
                <w:szCs w:val="24"/>
              </w:rPr>
              <w:t> 10 158 245</w:t>
            </w:r>
          </w:p>
        </w:tc>
        <w:tc>
          <w:tcPr>
            <w:tcW w:w="826" w:type="dxa"/>
            <w:tcBorders>
              <w:top w:val="single" w:sz="4" w:space="0" w:color="auto"/>
              <w:left w:val="single" w:sz="4" w:space="0" w:color="auto"/>
              <w:bottom w:val="single" w:sz="4" w:space="0" w:color="auto"/>
              <w:right w:val="single" w:sz="4" w:space="0" w:color="auto"/>
            </w:tcBorders>
            <w:noWrap/>
            <w:hideMark/>
          </w:tcPr>
          <w:p w14:paraId="00A6FDB0" w14:textId="59639F2E" w:rsidR="004D1A97" w:rsidRPr="006E37E9" w:rsidRDefault="004D1A97" w:rsidP="00501BD5">
            <w:pPr>
              <w:spacing w:after="120"/>
              <w:ind w:left="567" w:hanging="567"/>
              <w:rPr>
                <w:bCs/>
                <w:noProof/>
                <w:szCs w:val="24"/>
                <w:lang w:val="en-GB"/>
              </w:rPr>
            </w:pPr>
            <w:r w:rsidRPr="006E37E9">
              <w:rPr>
                <w:bCs/>
                <w:szCs w:val="24"/>
              </w:rPr>
              <w:t>34</w:t>
            </w:r>
          </w:p>
        </w:tc>
        <w:tc>
          <w:tcPr>
            <w:tcW w:w="1559" w:type="dxa"/>
            <w:tcBorders>
              <w:top w:val="single" w:sz="4" w:space="0" w:color="auto"/>
              <w:left w:val="single" w:sz="4" w:space="0" w:color="auto"/>
              <w:bottom w:val="single" w:sz="4" w:space="0" w:color="auto"/>
              <w:right w:val="single" w:sz="4" w:space="0" w:color="auto"/>
            </w:tcBorders>
            <w:noWrap/>
            <w:hideMark/>
          </w:tcPr>
          <w:p w14:paraId="215F028F" w14:textId="77777777" w:rsidR="004D1A97" w:rsidRPr="006E37E9" w:rsidRDefault="004D1A97" w:rsidP="00501BD5">
            <w:pPr>
              <w:spacing w:after="120"/>
              <w:ind w:left="567" w:hanging="567"/>
              <w:rPr>
                <w:bCs/>
                <w:noProof/>
                <w:szCs w:val="24"/>
              </w:rPr>
            </w:pPr>
            <w:r w:rsidRPr="006E37E9">
              <w:rPr>
                <w:bCs/>
                <w:szCs w:val="24"/>
              </w:rPr>
              <w:t> 120</w:t>
            </w:r>
          </w:p>
        </w:tc>
      </w:tr>
      <w:tr w:rsidR="004D1A97" w:rsidRPr="006E37E9" w14:paraId="1D449331" w14:textId="77777777" w:rsidTr="006E37E9">
        <w:trPr>
          <w:cantSplit/>
          <w:trHeight w:val="285"/>
          <w:tblHeader/>
        </w:trPr>
        <w:tc>
          <w:tcPr>
            <w:tcW w:w="1129" w:type="dxa"/>
            <w:tcBorders>
              <w:top w:val="single" w:sz="4" w:space="0" w:color="auto"/>
              <w:left w:val="single" w:sz="4" w:space="0" w:color="auto"/>
              <w:bottom w:val="single" w:sz="4" w:space="0" w:color="auto"/>
              <w:right w:val="single" w:sz="4" w:space="0" w:color="auto"/>
            </w:tcBorders>
            <w:noWrap/>
            <w:hideMark/>
          </w:tcPr>
          <w:p w14:paraId="6166F4A2" w14:textId="683B5FFC" w:rsidR="004D1A97" w:rsidRPr="006E37E9" w:rsidRDefault="004D1A97" w:rsidP="00501BD5">
            <w:pPr>
              <w:spacing w:after="120"/>
              <w:ind w:left="567" w:hanging="567"/>
              <w:rPr>
                <w:b/>
                <w:bCs/>
                <w:noProof/>
                <w:szCs w:val="24"/>
              </w:rPr>
            </w:pPr>
            <w:r w:rsidRPr="006E37E9">
              <w:rPr>
                <w:b/>
                <w:szCs w:val="24"/>
              </w:rPr>
              <w:t>C</w:t>
            </w:r>
            <w:r w:rsidR="006E37E9">
              <w:rPr>
                <w:b/>
                <w:szCs w:val="24"/>
                <w:lang w:val="en-GB"/>
              </w:rPr>
              <w:t>D</w:t>
            </w:r>
            <w:r w:rsidRPr="006E37E9">
              <w:rPr>
                <w:b/>
                <w:szCs w:val="24"/>
              </w:rPr>
              <w:t xml:space="preserve">T </w:t>
            </w:r>
          </w:p>
        </w:tc>
        <w:tc>
          <w:tcPr>
            <w:tcW w:w="1656" w:type="dxa"/>
            <w:tcBorders>
              <w:top w:val="single" w:sz="4" w:space="0" w:color="auto"/>
              <w:left w:val="single" w:sz="4" w:space="0" w:color="auto"/>
              <w:bottom w:val="single" w:sz="4" w:space="0" w:color="auto"/>
              <w:right w:val="single" w:sz="4" w:space="0" w:color="auto"/>
            </w:tcBorders>
            <w:noWrap/>
            <w:hideMark/>
          </w:tcPr>
          <w:p w14:paraId="45C3E67C" w14:textId="77777777" w:rsidR="004D1A97" w:rsidRPr="006E37E9" w:rsidRDefault="004D1A97" w:rsidP="00501BD5">
            <w:pPr>
              <w:spacing w:after="120"/>
              <w:ind w:left="567" w:hanging="567"/>
              <w:rPr>
                <w:bCs/>
                <w:noProof/>
                <w:szCs w:val="24"/>
              </w:rPr>
            </w:pPr>
            <w:r w:rsidRPr="006E37E9">
              <w:rPr>
                <w:bCs/>
                <w:szCs w:val="24"/>
              </w:rPr>
              <w:t> 47 140 900</w:t>
            </w:r>
          </w:p>
        </w:tc>
        <w:tc>
          <w:tcPr>
            <w:tcW w:w="1476" w:type="dxa"/>
            <w:tcBorders>
              <w:top w:val="single" w:sz="4" w:space="0" w:color="auto"/>
              <w:left w:val="single" w:sz="4" w:space="0" w:color="auto"/>
              <w:bottom w:val="single" w:sz="4" w:space="0" w:color="auto"/>
              <w:right w:val="single" w:sz="4" w:space="0" w:color="auto"/>
            </w:tcBorders>
            <w:noWrap/>
            <w:hideMark/>
          </w:tcPr>
          <w:p w14:paraId="076DF1A7" w14:textId="77777777" w:rsidR="004D1A97" w:rsidRPr="006E37E9" w:rsidRDefault="004D1A97" w:rsidP="00501BD5">
            <w:pPr>
              <w:spacing w:after="120"/>
              <w:ind w:left="567" w:hanging="567"/>
              <w:rPr>
                <w:bCs/>
                <w:noProof/>
                <w:szCs w:val="24"/>
              </w:rPr>
            </w:pPr>
            <w:r w:rsidRPr="006E37E9">
              <w:rPr>
                <w:bCs/>
                <w:szCs w:val="24"/>
              </w:rPr>
              <w:t> 0</w:t>
            </w:r>
          </w:p>
        </w:tc>
        <w:tc>
          <w:tcPr>
            <w:tcW w:w="696" w:type="dxa"/>
            <w:tcBorders>
              <w:top w:val="single" w:sz="4" w:space="0" w:color="auto"/>
              <w:left w:val="single" w:sz="4" w:space="0" w:color="auto"/>
              <w:bottom w:val="single" w:sz="4" w:space="0" w:color="auto"/>
              <w:right w:val="single" w:sz="4" w:space="0" w:color="auto"/>
            </w:tcBorders>
            <w:noWrap/>
            <w:hideMark/>
          </w:tcPr>
          <w:p w14:paraId="1FDC358A" w14:textId="0EFD0B94" w:rsidR="004D1A97" w:rsidRPr="006E37E9" w:rsidRDefault="004D1A97" w:rsidP="00501BD5">
            <w:pPr>
              <w:spacing w:after="120"/>
              <w:ind w:left="567" w:hanging="567"/>
              <w:rPr>
                <w:bCs/>
                <w:noProof/>
                <w:szCs w:val="24"/>
                <w:lang w:val="en-GB"/>
              </w:rPr>
            </w:pPr>
            <w:r w:rsidRPr="006E37E9">
              <w:rPr>
                <w:bCs/>
                <w:szCs w:val="24"/>
              </w:rPr>
              <w:t>0</w:t>
            </w:r>
          </w:p>
        </w:tc>
        <w:tc>
          <w:tcPr>
            <w:tcW w:w="1559" w:type="dxa"/>
            <w:tcBorders>
              <w:top w:val="single" w:sz="4" w:space="0" w:color="auto"/>
              <w:left w:val="single" w:sz="4" w:space="0" w:color="auto"/>
              <w:bottom w:val="single" w:sz="4" w:space="0" w:color="auto"/>
              <w:right w:val="single" w:sz="4" w:space="0" w:color="auto"/>
            </w:tcBorders>
            <w:noWrap/>
            <w:hideMark/>
          </w:tcPr>
          <w:p w14:paraId="5DFEA681" w14:textId="77777777" w:rsidR="004D1A97" w:rsidRPr="006E37E9" w:rsidRDefault="004D1A97" w:rsidP="00501BD5">
            <w:pPr>
              <w:spacing w:after="120"/>
              <w:ind w:left="567" w:hanging="567"/>
              <w:rPr>
                <w:bCs/>
                <w:noProof/>
                <w:szCs w:val="24"/>
              </w:rPr>
            </w:pPr>
            <w:r w:rsidRPr="006E37E9">
              <w:rPr>
                <w:bCs/>
                <w:szCs w:val="24"/>
              </w:rPr>
              <w:t> 46 295 800</w:t>
            </w:r>
          </w:p>
        </w:tc>
        <w:tc>
          <w:tcPr>
            <w:tcW w:w="826" w:type="dxa"/>
            <w:tcBorders>
              <w:top w:val="single" w:sz="4" w:space="0" w:color="auto"/>
              <w:left w:val="single" w:sz="4" w:space="0" w:color="auto"/>
              <w:bottom w:val="single" w:sz="4" w:space="0" w:color="auto"/>
              <w:right w:val="single" w:sz="4" w:space="0" w:color="auto"/>
            </w:tcBorders>
            <w:noWrap/>
            <w:hideMark/>
          </w:tcPr>
          <w:p w14:paraId="0D46859F" w14:textId="5DDE873E" w:rsidR="004D1A97" w:rsidRPr="006E37E9" w:rsidRDefault="004D1A97" w:rsidP="00501BD5">
            <w:pPr>
              <w:spacing w:after="120"/>
              <w:ind w:left="567" w:hanging="567"/>
              <w:rPr>
                <w:bCs/>
                <w:noProof/>
                <w:szCs w:val="24"/>
                <w:lang w:val="en-GB"/>
              </w:rPr>
            </w:pPr>
            <w:r w:rsidRPr="006E37E9">
              <w:rPr>
                <w:bCs/>
                <w:szCs w:val="24"/>
              </w:rPr>
              <w:t>98</w:t>
            </w:r>
          </w:p>
        </w:tc>
        <w:tc>
          <w:tcPr>
            <w:tcW w:w="1559" w:type="dxa"/>
            <w:tcBorders>
              <w:top w:val="single" w:sz="4" w:space="0" w:color="auto"/>
              <w:left w:val="single" w:sz="4" w:space="0" w:color="auto"/>
              <w:bottom w:val="single" w:sz="4" w:space="0" w:color="auto"/>
              <w:right w:val="single" w:sz="4" w:space="0" w:color="auto"/>
            </w:tcBorders>
            <w:noWrap/>
            <w:hideMark/>
          </w:tcPr>
          <w:p w14:paraId="6580E7AC" w14:textId="77777777" w:rsidR="004D1A97" w:rsidRPr="006E37E9" w:rsidRDefault="004D1A97" w:rsidP="00501BD5">
            <w:pPr>
              <w:spacing w:after="120"/>
              <w:ind w:left="567" w:hanging="567"/>
              <w:rPr>
                <w:bCs/>
                <w:noProof/>
                <w:szCs w:val="24"/>
              </w:rPr>
            </w:pPr>
            <w:r w:rsidRPr="006E37E9">
              <w:rPr>
                <w:bCs/>
                <w:szCs w:val="24"/>
              </w:rPr>
              <w:t> 845 100</w:t>
            </w:r>
          </w:p>
        </w:tc>
      </w:tr>
      <w:tr w:rsidR="004D1A97" w:rsidRPr="006E37E9" w14:paraId="37763236" w14:textId="77777777" w:rsidTr="006E37E9">
        <w:trPr>
          <w:cantSplit/>
          <w:trHeight w:val="285"/>
          <w:tblHeader/>
        </w:trPr>
        <w:tc>
          <w:tcPr>
            <w:tcW w:w="1129" w:type="dxa"/>
            <w:tcBorders>
              <w:top w:val="single" w:sz="4" w:space="0" w:color="auto"/>
              <w:left w:val="single" w:sz="4" w:space="0" w:color="auto"/>
              <w:bottom w:val="single" w:sz="4" w:space="0" w:color="auto"/>
              <w:right w:val="single" w:sz="4" w:space="0" w:color="auto"/>
            </w:tcBorders>
            <w:noWrap/>
            <w:hideMark/>
          </w:tcPr>
          <w:p w14:paraId="6ACF933E" w14:textId="77777777" w:rsidR="004D1A97" w:rsidRPr="006E37E9" w:rsidRDefault="004D1A97" w:rsidP="00501BD5">
            <w:pPr>
              <w:spacing w:after="120"/>
              <w:ind w:left="567" w:hanging="567"/>
              <w:rPr>
                <w:b/>
                <w:bCs/>
                <w:noProof/>
                <w:szCs w:val="24"/>
              </w:rPr>
            </w:pPr>
            <w:r w:rsidRPr="006E37E9">
              <w:rPr>
                <w:b/>
                <w:szCs w:val="24"/>
              </w:rPr>
              <w:t xml:space="preserve">ЕААБ </w:t>
            </w:r>
          </w:p>
        </w:tc>
        <w:tc>
          <w:tcPr>
            <w:tcW w:w="1656" w:type="dxa"/>
            <w:tcBorders>
              <w:top w:val="single" w:sz="4" w:space="0" w:color="auto"/>
              <w:left w:val="single" w:sz="4" w:space="0" w:color="auto"/>
              <w:bottom w:val="single" w:sz="4" w:space="0" w:color="auto"/>
              <w:right w:val="single" w:sz="4" w:space="0" w:color="auto"/>
            </w:tcBorders>
            <w:noWrap/>
            <w:hideMark/>
          </w:tcPr>
          <w:p w14:paraId="3850A690" w14:textId="77777777" w:rsidR="004D1A97" w:rsidRPr="006E37E9" w:rsidRDefault="004D1A97" w:rsidP="00501BD5">
            <w:pPr>
              <w:spacing w:after="120"/>
              <w:ind w:left="567" w:hanging="567"/>
              <w:rPr>
                <w:bCs/>
                <w:noProof/>
                <w:szCs w:val="24"/>
              </w:rPr>
            </w:pPr>
            <w:r w:rsidRPr="006E37E9">
              <w:rPr>
                <w:bCs/>
                <w:szCs w:val="24"/>
              </w:rPr>
              <w:t> 169 665 375</w:t>
            </w:r>
          </w:p>
        </w:tc>
        <w:tc>
          <w:tcPr>
            <w:tcW w:w="1476" w:type="dxa"/>
            <w:tcBorders>
              <w:top w:val="single" w:sz="4" w:space="0" w:color="auto"/>
              <w:left w:val="single" w:sz="4" w:space="0" w:color="auto"/>
              <w:bottom w:val="single" w:sz="4" w:space="0" w:color="auto"/>
              <w:right w:val="single" w:sz="4" w:space="0" w:color="auto"/>
            </w:tcBorders>
            <w:noWrap/>
            <w:hideMark/>
          </w:tcPr>
          <w:p w14:paraId="0912B1AA" w14:textId="77777777" w:rsidR="004D1A97" w:rsidRPr="006E37E9" w:rsidRDefault="004D1A97" w:rsidP="00501BD5">
            <w:pPr>
              <w:spacing w:after="120"/>
              <w:ind w:left="567" w:hanging="567"/>
              <w:rPr>
                <w:bCs/>
                <w:noProof/>
                <w:szCs w:val="24"/>
              </w:rPr>
            </w:pPr>
            <w:r w:rsidRPr="006E37E9">
              <w:rPr>
                <w:bCs/>
                <w:szCs w:val="24"/>
              </w:rPr>
              <w:t> 44 329 433</w:t>
            </w:r>
          </w:p>
        </w:tc>
        <w:tc>
          <w:tcPr>
            <w:tcW w:w="696" w:type="dxa"/>
            <w:tcBorders>
              <w:top w:val="single" w:sz="4" w:space="0" w:color="auto"/>
              <w:left w:val="single" w:sz="4" w:space="0" w:color="auto"/>
              <w:bottom w:val="single" w:sz="4" w:space="0" w:color="auto"/>
              <w:right w:val="single" w:sz="4" w:space="0" w:color="auto"/>
            </w:tcBorders>
            <w:noWrap/>
            <w:hideMark/>
          </w:tcPr>
          <w:p w14:paraId="2D3687F2" w14:textId="1CB1D3E1" w:rsidR="004D1A97" w:rsidRPr="006E37E9" w:rsidRDefault="004D1A97" w:rsidP="00501BD5">
            <w:pPr>
              <w:spacing w:after="120"/>
              <w:ind w:left="567" w:hanging="567"/>
              <w:rPr>
                <w:bCs/>
                <w:noProof/>
                <w:szCs w:val="24"/>
                <w:lang w:val="en-GB"/>
              </w:rPr>
            </w:pPr>
            <w:r w:rsidRPr="006E37E9">
              <w:rPr>
                <w:bCs/>
                <w:szCs w:val="24"/>
              </w:rPr>
              <w:t>26</w:t>
            </w:r>
          </w:p>
        </w:tc>
        <w:tc>
          <w:tcPr>
            <w:tcW w:w="1559" w:type="dxa"/>
            <w:tcBorders>
              <w:top w:val="single" w:sz="4" w:space="0" w:color="auto"/>
              <w:left w:val="single" w:sz="4" w:space="0" w:color="auto"/>
              <w:bottom w:val="single" w:sz="4" w:space="0" w:color="auto"/>
              <w:right w:val="single" w:sz="4" w:space="0" w:color="auto"/>
            </w:tcBorders>
            <w:noWrap/>
            <w:hideMark/>
          </w:tcPr>
          <w:p w14:paraId="200A29CE" w14:textId="77777777" w:rsidR="004D1A97" w:rsidRPr="006E37E9" w:rsidRDefault="004D1A97" w:rsidP="00501BD5">
            <w:pPr>
              <w:spacing w:after="120"/>
              <w:ind w:left="567" w:hanging="567"/>
              <w:rPr>
                <w:bCs/>
                <w:noProof/>
                <w:szCs w:val="24"/>
              </w:rPr>
            </w:pPr>
            <w:r w:rsidRPr="006E37E9">
              <w:rPr>
                <w:bCs/>
                <w:szCs w:val="24"/>
              </w:rPr>
              <w:t> 120 937 434</w:t>
            </w:r>
          </w:p>
        </w:tc>
        <w:tc>
          <w:tcPr>
            <w:tcW w:w="826" w:type="dxa"/>
            <w:tcBorders>
              <w:top w:val="single" w:sz="4" w:space="0" w:color="auto"/>
              <w:left w:val="single" w:sz="4" w:space="0" w:color="auto"/>
              <w:bottom w:val="single" w:sz="4" w:space="0" w:color="auto"/>
              <w:right w:val="single" w:sz="4" w:space="0" w:color="auto"/>
            </w:tcBorders>
            <w:noWrap/>
            <w:hideMark/>
          </w:tcPr>
          <w:p w14:paraId="40F283FA" w14:textId="3CF74611" w:rsidR="004D1A97" w:rsidRPr="006E37E9" w:rsidRDefault="004D1A97" w:rsidP="00501BD5">
            <w:pPr>
              <w:spacing w:after="120"/>
              <w:ind w:left="567" w:hanging="567"/>
              <w:rPr>
                <w:bCs/>
                <w:noProof/>
                <w:szCs w:val="24"/>
                <w:lang w:val="en-GB"/>
              </w:rPr>
            </w:pPr>
            <w:r w:rsidRPr="006E37E9">
              <w:rPr>
                <w:bCs/>
                <w:szCs w:val="24"/>
              </w:rPr>
              <w:t>71</w:t>
            </w:r>
          </w:p>
        </w:tc>
        <w:tc>
          <w:tcPr>
            <w:tcW w:w="1559" w:type="dxa"/>
            <w:tcBorders>
              <w:top w:val="single" w:sz="4" w:space="0" w:color="auto"/>
              <w:left w:val="single" w:sz="4" w:space="0" w:color="auto"/>
              <w:bottom w:val="single" w:sz="4" w:space="0" w:color="auto"/>
              <w:right w:val="single" w:sz="4" w:space="0" w:color="auto"/>
            </w:tcBorders>
            <w:noWrap/>
            <w:hideMark/>
          </w:tcPr>
          <w:p w14:paraId="32BDD3E1" w14:textId="77777777" w:rsidR="004D1A97" w:rsidRPr="006E37E9" w:rsidRDefault="004D1A97" w:rsidP="00501BD5">
            <w:pPr>
              <w:spacing w:after="120"/>
              <w:ind w:left="567" w:hanging="567"/>
              <w:rPr>
                <w:bCs/>
                <w:noProof/>
                <w:szCs w:val="24"/>
              </w:rPr>
            </w:pPr>
            <w:r w:rsidRPr="006E37E9">
              <w:rPr>
                <w:bCs/>
                <w:szCs w:val="24"/>
              </w:rPr>
              <w:t> 4 398 508</w:t>
            </w:r>
          </w:p>
        </w:tc>
      </w:tr>
      <w:tr w:rsidR="004D1A97" w:rsidRPr="006E37E9" w14:paraId="132F0903" w14:textId="77777777" w:rsidTr="006E37E9">
        <w:trPr>
          <w:cantSplit/>
          <w:trHeight w:val="285"/>
          <w:tblHeader/>
        </w:trPr>
        <w:tc>
          <w:tcPr>
            <w:tcW w:w="1129" w:type="dxa"/>
            <w:tcBorders>
              <w:top w:val="single" w:sz="4" w:space="0" w:color="auto"/>
              <w:left w:val="single" w:sz="4" w:space="0" w:color="auto"/>
              <w:bottom w:val="single" w:sz="4" w:space="0" w:color="auto"/>
              <w:right w:val="single" w:sz="4" w:space="0" w:color="auto"/>
            </w:tcBorders>
            <w:noWrap/>
            <w:hideMark/>
          </w:tcPr>
          <w:p w14:paraId="4C71026E" w14:textId="77777777" w:rsidR="004D1A97" w:rsidRPr="006E37E9" w:rsidRDefault="004D1A97" w:rsidP="00501BD5">
            <w:pPr>
              <w:spacing w:after="120"/>
              <w:ind w:left="567" w:hanging="567"/>
              <w:rPr>
                <w:b/>
                <w:bCs/>
                <w:noProof/>
                <w:szCs w:val="24"/>
              </w:rPr>
            </w:pPr>
            <w:r w:rsidRPr="006E37E9">
              <w:rPr>
                <w:b/>
                <w:szCs w:val="24"/>
              </w:rPr>
              <w:t>ЕБО</w:t>
            </w:r>
          </w:p>
        </w:tc>
        <w:tc>
          <w:tcPr>
            <w:tcW w:w="1656" w:type="dxa"/>
            <w:tcBorders>
              <w:top w:val="single" w:sz="4" w:space="0" w:color="auto"/>
              <w:left w:val="single" w:sz="4" w:space="0" w:color="auto"/>
              <w:bottom w:val="single" w:sz="4" w:space="0" w:color="auto"/>
              <w:right w:val="single" w:sz="4" w:space="0" w:color="auto"/>
            </w:tcBorders>
            <w:noWrap/>
            <w:hideMark/>
          </w:tcPr>
          <w:p w14:paraId="2677145F" w14:textId="77777777" w:rsidR="004D1A97" w:rsidRPr="006E37E9" w:rsidRDefault="004D1A97" w:rsidP="00501BD5">
            <w:pPr>
              <w:spacing w:after="120"/>
              <w:ind w:left="567" w:hanging="567"/>
              <w:rPr>
                <w:bCs/>
                <w:noProof/>
                <w:szCs w:val="24"/>
              </w:rPr>
            </w:pPr>
            <w:r w:rsidRPr="006E37E9">
              <w:rPr>
                <w:bCs/>
                <w:szCs w:val="24"/>
              </w:rPr>
              <w:t> 52 672 002</w:t>
            </w:r>
          </w:p>
        </w:tc>
        <w:tc>
          <w:tcPr>
            <w:tcW w:w="1476" w:type="dxa"/>
            <w:tcBorders>
              <w:top w:val="single" w:sz="4" w:space="0" w:color="auto"/>
              <w:left w:val="single" w:sz="4" w:space="0" w:color="auto"/>
              <w:bottom w:val="single" w:sz="4" w:space="0" w:color="auto"/>
              <w:right w:val="single" w:sz="4" w:space="0" w:color="auto"/>
            </w:tcBorders>
            <w:noWrap/>
            <w:hideMark/>
          </w:tcPr>
          <w:p w14:paraId="41555542" w14:textId="77777777" w:rsidR="004D1A97" w:rsidRPr="006E37E9" w:rsidRDefault="004D1A97" w:rsidP="00501BD5">
            <w:pPr>
              <w:spacing w:after="120"/>
              <w:ind w:left="567" w:hanging="567"/>
              <w:rPr>
                <w:bCs/>
                <w:noProof/>
                <w:szCs w:val="24"/>
              </w:rPr>
            </w:pPr>
            <w:r w:rsidRPr="006E37E9">
              <w:rPr>
                <w:bCs/>
                <w:szCs w:val="24"/>
              </w:rPr>
              <w:t> 19 428 306</w:t>
            </w:r>
          </w:p>
        </w:tc>
        <w:tc>
          <w:tcPr>
            <w:tcW w:w="696" w:type="dxa"/>
            <w:tcBorders>
              <w:top w:val="single" w:sz="4" w:space="0" w:color="auto"/>
              <w:left w:val="single" w:sz="4" w:space="0" w:color="auto"/>
              <w:bottom w:val="single" w:sz="4" w:space="0" w:color="auto"/>
              <w:right w:val="single" w:sz="4" w:space="0" w:color="auto"/>
            </w:tcBorders>
            <w:noWrap/>
            <w:hideMark/>
          </w:tcPr>
          <w:p w14:paraId="01B4892A" w14:textId="6D1A3188" w:rsidR="004D1A97" w:rsidRPr="006E37E9" w:rsidRDefault="004D1A97" w:rsidP="00501BD5">
            <w:pPr>
              <w:spacing w:after="120"/>
              <w:ind w:left="567" w:hanging="567"/>
              <w:rPr>
                <w:bCs/>
                <w:noProof/>
                <w:szCs w:val="24"/>
                <w:lang w:val="en-GB"/>
              </w:rPr>
            </w:pPr>
            <w:r w:rsidRPr="006E37E9">
              <w:rPr>
                <w:bCs/>
                <w:szCs w:val="24"/>
              </w:rPr>
              <w:t>37</w:t>
            </w:r>
          </w:p>
        </w:tc>
        <w:tc>
          <w:tcPr>
            <w:tcW w:w="1559" w:type="dxa"/>
            <w:tcBorders>
              <w:top w:val="single" w:sz="4" w:space="0" w:color="auto"/>
              <w:left w:val="single" w:sz="4" w:space="0" w:color="auto"/>
              <w:bottom w:val="single" w:sz="4" w:space="0" w:color="auto"/>
              <w:right w:val="single" w:sz="4" w:space="0" w:color="auto"/>
            </w:tcBorders>
            <w:noWrap/>
            <w:hideMark/>
          </w:tcPr>
          <w:p w14:paraId="05FECEFA" w14:textId="77777777" w:rsidR="004D1A97" w:rsidRPr="006E37E9" w:rsidRDefault="004D1A97" w:rsidP="00501BD5">
            <w:pPr>
              <w:spacing w:after="120"/>
              <w:ind w:left="567" w:hanging="567"/>
              <w:rPr>
                <w:bCs/>
                <w:noProof/>
                <w:szCs w:val="24"/>
              </w:rPr>
            </w:pPr>
            <w:r w:rsidRPr="006E37E9">
              <w:rPr>
                <w:bCs/>
                <w:szCs w:val="24"/>
              </w:rPr>
              <w:t> 31 479 331</w:t>
            </w:r>
          </w:p>
        </w:tc>
        <w:tc>
          <w:tcPr>
            <w:tcW w:w="826" w:type="dxa"/>
            <w:tcBorders>
              <w:top w:val="single" w:sz="4" w:space="0" w:color="auto"/>
              <w:left w:val="single" w:sz="4" w:space="0" w:color="auto"/>
              <w:bottom w:val="single" w:sz="4" w:space="0" w:color="auto"/>
              <w:right w:val="single" w:sz="4" w:space="0" w:color="auto"/>
            </w:tcBorders>
            <w:noWrap/>
            <w:hideMark/>
          </w:tcPr>
          <w:p w14:paraId="1B570193" w14:textId="7547CD45" w:rsidR="004D1A97" w:rsidRPr="006E37E9" w:rsidRDefault="004D1A97" w:rsidP="00501BD5">
            <w:pPr>
              <w:spacing w:after="120"/>
              <w:ind w:left="567" w:hanging="567"/>
              <w:rPr>
                <w:bCs/>
                <w:noProof/>
                <w:szCs w:val="24"/>
                <w:lang w:val="en-GB"/>
              </w:rPr>
            </w:pPr>
            <w:r w:rsidRPr="006E37E9">
              <w:rPr>
                <w:bCs/>
                <w:szCs w:val="24"/>
              </w:rPr>
              <w:t>60</w:t>
            </w:r>
          </w:p>
        </w:tc>
        <w:tc>
          <w:tcPr>
            <w:tcW w:w="1559" w:type="dxa"/>
            <w:tcBorders>
              <w:top w:val="single" w:sz="4" w:space="0" w:color="auto"/>
              <w:left w:val="single" w:sz="4" w:space="0" w:color="auto"/>
              <w:bottom w:val="single" w:sz="4" w:space="0" w:color="auto"/>
              <w:right w:val="single" w:sz="4" w:space="0" w:color="auto"/>
            </w:tcBorders>
            <w:noWrap/>
            <w:hideMark/>
          </w:tcPr>
          <w:p w14:paraId="73E42A13" w14:textId="77777777" w:rsidR="004D1A97" w:rsidRPr="006E37E9" w:rsidRDefault="004D1A97" w:rsidP="00501BD5">
            <w:pPr>
              <w:spacing w:after="120"/>
              <w:ind w:left="567" w:hanging="567"/>
              <w:rPr>
                <w:bCs/>
                <w:noProof/>
                <w:szCs w:val="24"/>
              </w:rPr>
            </w:pPr>
            <w:r w:rsidRPr="006E37E9">
              <w:rPr>
                <w:bCs/>
                <w:szCs w:val="24"/>
              </w:rPr>
              <w:t> 1 764 364</w:t>
            </w:r>
          </w:p>
        </w:tc>
      </w:tr>
      <w:tr w:rsidR="004D1A97" w:rsidRPr="006E37E9" w14:paraId="58D1A6C4" w14:textId="77777777" w:rsidTr="006E37E9">
        <w:trPr>
          <w:cantSplit/>
          <w:trHeight w:val="285"/>
          <w:tblHeader/>
        </w:trPr>
        <w:tc>
          <w:tcPr>
            <w:tcW w:w="1129" w:type="dxa"/>
            <w:tcBorders>
              <w:top w:val="single" w:sz="4" w:space="0" w:color="auto"/>
              <w:left w:val="single" w:sz="4" w:space="0" w:color="auto"/>
              <w:bottom w:val="single" w:sz="4" w:space="0" w:color="auto"/>
              <w:right w:val="single" w:sz="4" w:space="0" w:color="auto"/>
            </w:tcBorders>
            <w:noWrap/>
            <w:hideMark/>
          </w:tcPr>
          <w:p w14:paraId="0E797BC1" w14:textId="77777777" w:rsidR="004D1A97" w:rsidRPr="006E37E9" w:rsidRDefault="004D1A97" w:rsidP="00501BD5">
            <w:pPr>
              <w:spacing w:after="120"/>
              <w:ind w:left="567" w:hanging="567"/>
              <w:rPr>
                <w:b/>
                <w:bCs/>
                <w:noProof/>
                <w:szCs w:val="24"/>
              </w:rPr>
            </w:pPr>
            <w:r w:rsidRPr="006E37E9">
              <w:rPr>
                <w:b/>
                <w:szCs w:val="24"/>
              </w:rPr>
              <w:t xml:space="preserve">ECHA </w:t>
            </w:r>
          </w:p>
        </w:tc>
        <w:tc>
          <w:tcPr>
            <w:tcW w:w="1656" w:type="dxa"/>
            <w:tcBorders>
              <w:top w:val="single" w:sz="4" w:space="0" w:color="auto"/>
              <w:left w:val="single" w:sz="4" w:space="0" w:color="auto"/>
              <w:bottom w:val="single" w:sz="4" w:space="0" w:color="auto"/>
              <w:right w:val="single" w:sz="4" w:space="0" w:color="auto"/>
            </w:tcBorders>
            <w:noWrap/>
            <w:hideMark/>
          </w:tcPr>
          <w:p w14:paraId="658D4F69" w14:textId="77777777" w:rsidR="004D1A97" w:rsidRPr="006E37E9" w:rsidRDefault="004D1A97" w:rsidP="00501BD5">
            <w:pPr>
              <w:spacing w:after="120"/>
              <w:ind w:left="567" w:hanging="567"/>
              <w:rPr>
                <w:bCs/>
                <w:noProof/>
                <w:szCs w:val="24"/>
              </w:rPr>
            </w:pPr>
            <w:r w:rsidRPr="006E37E9">
              <w:rPr>
                <w:bCs/>
                <w:szCs w:val="24"/>
              </w:rPr>
              <w:t> 123 280 140</w:t>
            </w:r>
          </w:p>
        </w:tc>
        <w:tc>
          <w:tcPr>
            <w:tcW w:w="1476" w:type="dxa"/>
            <w:tcBorders>
              <w:top w:val="single" w:sz="4" w:space="0" w:color="auto"/>
              <w:left w:val="single" w:sz="4" w:space="0" w:color="auto"/>
              <w:bottom w:val="single" w:sz="4" w:space="0" w:color="auto"/>
              <w:right w:val="single" w:sz="4" w:space="0" w:color="auto"/>
            </w:tcBorders>
            <w:noWrap/>
            <w:hideMark/>
          </w:tcPr>
          <w:p w14:paraId="792C671A" w14:textId="77777777" w:rsidR="004D1A97" w:rsidRPr="006E37E9" w:rsidRDefault="004D1A97" w:rsidP="00501BD5">
            <w:pPr>
              <w:spacing w:after="120"/>
              <w:ind w:left="567" w:hanging="567"/>
              <w:rPr>
                <w:bCs/>
                <w:noProof/>
                <w:szCs w:val="24"/>
              </w:rPr>
            </w:pPr>
            <w:r w:rsidRPr="006E37E9">
              <w:rPr>
                <w:bCs/>
                <w:szCs w:val="24"/>
              </w:rPr>
              <w:t> 81 274 568</w:t>
            </w:r>
          </w:p>
        </w:tc>
        <w:tc>
          <w:tcPr>
            <w:tcW w:w="696" w:type="dxa"/>
            <w:tcBorders>
              <w:top w:val="single" w:sz="4" w:space="0" w:color="auto"/>
              <w:left w:val="single" w:sz="4" w:space="0" w:color="auto"/>
              <w:bottom w:val="single" w:sz="4" w:space="0" w:color="auto"/>
              <w:right w:val="single" w:sz="4" w:space="0" w:color="auto"/>
            </w:tcBorders>
            <w:noWrap/>
            <w:hideMark/>
          </w:tcPr>
          <w:p w14:paraId="377C493B" w14:textId="20EB2399" w:rsidR="004D1A97" w:rsidRPr="006E37E9" w:rsidRDefault="004D1A97" w:rsidP="00501BD5">
            <w:pPr>
              <w:spacing w:after="120"/>
              <w:ind w:left="567" w:hanging="567"/>
              <w:rPr>
                <w:bCs/>
                <w:noProof/>
                <w:szCs w:val="24"/>
                <w:lang w:val="en-GB"/>
              </w:rPr>
            </w:pPr>
            <w:r w:rsidRPr="006E37E9">
              <w:rPr>
                <w:bCs/>
                <w:szCs w:val="24"/>
              </w:rPr>
              <w:t>66</w:t>
            </w:r>
          </w:p>
        </w:tc>
        <w:tc>
          <w:tcPr>
            <w:tcW w:w="1559" w:type="dxa"/>
            <w:tcBorders>
              <w:top w:val="single" w:sz="4" w:space="0" w:color="auto"/>
              <w:left w:val="single" w:sz="4" w:space="0" w:color="auto"/>
              <w:bottom w:val="single" w:sz="4" w:space="0" w:color="auto"/>
              <w:right w:val="single" w:sz="4" w:space="0" w:color="auto"/>
            </w:tcBorders>
            <w:noWrap/>
            <w:hideMark/>
          </w:tcPr>
          <w:p w14:paraId="36122EC8" w14:textId="77777777" w:rsidR="004D1A97" w:rsidRPr="006E37E9" w:rsidRDefault="004D1A97" w:rsidP="00501BD5">
            <w:pPr>
              <w:spacing w:after="120"/>
              <w:ind w:left="567" w:hanging="567"/>
              <w:rPr>
                <w:bCs/>
                <w:noProof/>
                <w:szCs w:val="24"/>
              </w:rPr>
            </w:pPr>
            <w:r w:rsidRPr="006E37E9">
              <w:rPr>
                <w:bCs/>
                <w:szCs w:val="24"/>
              </w:rPr>
              <w:t> 33 107 484</w:t>
            </w:r>
          </w:p>
        </w:tc>
        <w:tc>
          <w:tcPr>
            <w:tcW w:w="826" w:type="dxa"/>
            <w:tcBorders>
              <w:top w:val="single" w:sz="4" w:space="0" w:color="auto"/>
              <w:left w:val="single" w:sz="4" w:space="0" w:color="auto"/>
              <w:bottom w:val="single" w:sz="4" w:space="0" w:color="auto"/>
              <w:right w:val="single" w:sz="4" w:space="0" w:color="auto"/>
            </w:tcBorders>
            <w:noWrap/>
            <w:hideMark/>
          </w:tcPr>
          <w:p w14:paraId="72997A08" w14:textId="5E9ABAC3" w:rsidR="004D1A97" w:rsidRPr="006E37E9" w:rsidRDefault="004D1A97" w:rsidP="00501BD5">
            <w:pPr>
              <w:spacing w:after="120"/>
              <w:ind w:left="567" w:hanging="567"/>
              <w:rPr>
                <w:bCs/>
                <w:noProof/>
                <w:szCs w:val="24"/>
                <w:lang w:val="en-GB"/>
              </w:rPr>
            </w:pPr>
            <w:r w:rsidRPr="006E37E9">
              <w:rPr>
                <w:bCs/>
                <w:szCs w:val="24"/>
              </w:rPr>
              <w:t>27</w:t>
            </w:r>
          </w:p>
        </w:tc>
        <w:tc>
          <w:tcPr>
            <w:tcW w:w="1559" w:type="dxa"/>
            <w:tcBorders>
              <w:top w:val="single" w:sz="4" w:space="0" w:color="auto"/>
              <w:left w:val="single" w:sz="4" w:space="0" w:color="auto"/>
              <w:bottom w:val="single" w:sz="4" w:space="0" w:color="auto"/>
              <w:right w:val="single" w:sz="4" w:space="0" w:color="auto"/>
            </w:tcBorders>
            <w:noWrap/>
            <w:hideMark/>
          </w:tcPr>
          <w:p w14:paraId="04EB7AC6" w14:textId="77777777" w:rsidR="004D1A97" w:rsidRPr="006E37E9" w:rsidRDefault="004D1A97" w:rsidP="00501BD5">
            <w:pPr>
              <w:spacing w:after="120"/>
              <w:ind w:left="567" w:hanging="567"/>
              <w:rPr>
                <w:bCs/>
                <w:noProof/>
                <w:szCs w:val="24"/>
              </w:rPr>
            </w:pPr>
            <w:r w:rsidRPr="006E37E9">
              <w:rPr>
                <w:bCs/>
                <w:szCs w:val="24"/>
              </w:rPr>
              <w:t> 8 898 088</w:t>
            </w:r>
          </w:p>
        </w:tc>
      </w:tr>
      <w:tr w:rsidR="004D1A97" w:rsidRPr="006E37E9" w14:paraId="2FE84C57" w14:textId="77777777" w:rsidTr="006E37E9">
        <w:trPr>
          <w:cantSplit/>
          <w:trHeight w:val="285"/>
          <w:tblHeader/>
        </w:trPr>
        <w:tc>
          <w:tcPr>
            <w:tcW w:w="1129" w:type="dxa"/>
            <w:tcBorders>
              <w:top w:val="single" w:sz="4" w:space="0" w:color="auto"/>
              <w:left w:val="single" w:sz="4" w:space="0" w:color="auto"/>
              <w:bottom w:val="single" w:sz="4" w:space="0" w:color="auto"/>
              <w:right w:val="single" w:sz="4" w:space="0" w:color="auto"/>
            </w:tcBorders>
            <w:noWrap/>
            <w:hideMark/>
          </w:tcPr>
          <w:p w14:paraId="7DF786D0" w14:textId="77777777" w:rsidR="004D1A97" w:rsidRPr="006E37E9" w:rsidRDefault="004D1A97" w:rsidP="00501BD5">
            <w:pPr>
              <w:spacing w:after="120"/>
              <w:ind w:left="567" w:hanging="567"/>
              <w:rPr>
                <w:b/>
                <w:bCs/>
                <w:noProof/>
                <w:szCs w:val="24"/>
              </w:rPr>
            </w:pPr>
            <w:r w:rsidRPr="006E37E9">
              <w:rPr>
                <w:b/>
                <w:szCs w:val="24"/>
              </w:rPr>
              <w:t xml:space="preserve">EIOPA </w:t>
            </w:r>
          </w:p>
        </w:tc>
        <w:tc>
          <w:tcPr>
            <w:tcW w:w="1656" w:type="dxa"/>
            <w:tcBorders>
              <w:top w:val="single" w:sz="4" w:space="0" w:color="auto"/>
              <w:left w:val="single" w:sz="4" w:space="0" w:color="auto"/>
              <w:bottom w:val="single" w:sz="4" w:space="0" w:color="auto"/>
              <w:right w:val="single" w:sz="4" w:space="0" w:color="auto"/>
            </w:tcBorders>
            <w:noWrap/>
            <w:hideMark/>
          </w:tcPr>
          <w:p w14:paraId="1BFBE30F" w14:textId="77777777" w:rsidR="004D1A97" w:rsidRPr="006E37E9" w:rsidRDefault="004D1A97" w:rsidP="00501BD5">
            <w:pPr>
              <w:spacing w:after="120"/>
              <w:ind w:left="567" w:hanging="567"/>
              <w:rPr>
                <w:bCs/>
                <w:noProof/>
                <w:szCs w:val="24"/>
              </w:rPr>
            </w:pPr>
            <w:r w:rsidRPr="006E37E9">
              <w:rPr>
                <w:bCs/>
                <w:szCs w:val="24"/>
              </w:rPr>
              <w:t> 36 714 492</w:t>
            </w:r>
          </w:p>
        </w:tc>
        <w:tc>
          <w:tcPr>
            <w:tcW w:w="1476" w:type="dxa"/>
            <w:tcBorders>
              <w:top w:val="single" w:sz="4" w:space="0" w:color="auto"/>
              <w:left w:val="single" w:sz="4" w:space="0" w:color="auto"/>
              <w:bottom w:val="single" w:sz="4" w:space="0" w:color="auto"/>
              <w:right w:val="single" w:sz="4" w:space="0" w:color="auto"/>
            </w:tcBorders>
            <w:noWrap/>
            <w:hideMark/>
          </w:tcPr>
          <w:p w14:paraId="294275EA" w14:textId="77777777" w:rsidR="004D1A97" w:rsidRPr="006E37E9" w:rsidRDefault="004D1A97" w:rsidP="00501BD5">
            <w:pPr>
              <w:spacing w:after="120"/>
              <w:ind w:left="567" w:hanging="567"/>
              <w:rPr>
                <w:bCs/>
                <w:noProof/>
                <w:szCs w:val="24"/>
              </w:rPr>
            </w:pPr>
            <w:r w:rsidRPr="006E37E9">
              <w:rPr>
                <w:bCs/>
                <w:szCs w:val="24"/>
              </w:rPr>
              <w:t> 13 470 715</w:t>
            </w:r>
          </w:p>
        </w:tc>
        <w:tc>
          <w:tcPr>
            <w:tcW w:w="696" w:type="dxa"/>
            <w:tcBorders>
              <w:top w:val="single" w:sz="4" w:space="0" w:color="auto"/>
              <w:left w:val="single" w:sz="4" w:space="0" w:color="auto"/>
              <w:bottom w:val="single" w:sz="4" w:space="0" w:color="auto"/>
              <w:right w:val="single" w:sz="4" w:space="0" w:color="auto"/>
            </w:tcBorders>
            <w:noWrap/>
            <w:hideMark/>
          </w:tcPr>
          <w:p w14:paraId="75B26613" w14:textId="77C15B5A" w:rsidR="004D1A97" w:rsidRPr="006E37E9" w:rsidRDefault="004D1A97" w:rsidP="00501BD5">
            <w:pPr>
              <w:spacing w:after="120"/>
              <w:ind w:left="567" w:hanging="567"/>
              <w:rPr>
                <w:bCs/>
                <w:noProof/>
                <w:szCs w:val="24"/>
                <w:lang w:val="en-GB"/>
              </w:rPr>
            </w:pPr>
            <w:r w:rsidRPr="006E37E9">
              <w:rPr>
                <w:bCs/>
                <w:szCs w:val="24"/>
              </w:rPr>
              <w:t>37</w:t>
            </w:r>
          </w:p>
        </w:tc>
        <w:tc>
          <w:tcPr>
            <w:tcW w:w="1559" w:type="dxa"/>
            <w:tcBorders>
              <w:top w:val="single" w:sz="4" w:space="0" w:color="auto"/>
              <w:left w:val="single" w:sz="4" w:space="0" w:color="auto"/>
              <w:bottom w:val="single" w:sz="4" w:space="0" w:color="auto"/>
              <w:right w:val="single" w:sz="4" w:space="0" w:color="auto"/>
            </w:tcBorders>
            <w:noWrap/>
            <w:hideMark/>
          </w:tcPr>
          <w:p w14:paraId="5802DF76" w14:textId="77777777" w:rsidR="004D1A97" w:rsidRPr="006E37E9" w:rsidRDefault="004D1A97" w:rsidP="00501BD5">
            <w:pPr>
              <w:spacing w:after="120"/>
              <w:ind w:left="567" w:hanging="567"/>
              <w:rPr>
                <w:bCs/>
                <w:noProof/>
                <w:szCs w:val="24"/>
              </w:rPr>
            </w:pPr>
            <w:r w:rsidRPr="006E37E9">
              <w:rPr>
                <w:bCs/>
                <w:szCs w:val="24"/>
              </w:rPr>
              <w:t> 22 086 958</w:t>
            </w:r>
          </w:p>
        </w:tc>
        <w:tc>
          <w:tcPr>
            <w:tcW w:w="826" w:type="dxa"/>
            <w:tcBorders>
              <w:top w:val="single" w:sz="4" w:space="0" w:color="auto"/>
              <w:left w:val="single" w:sz="4" w:space="0" w:color="auto"/>
              <w:bottom w:val="single" w:sz="4" w:space="0" w:color="auto"/>
              <w:right w:val="single" w:sz="4" w:space="0" w:color="auto"/>
            </w:tcBorders>
            <w:noWrap/>
            <w:hideMark/>
          </w:tcPr>
          <w:p w14:paraId="014395C0" w14:textId="70FBBDDA" w:rsidR="004D1A97" w:rsidRPr="006E37E9" w:rsidRDefault="004D1A97" w:rsidP="00501BD5">
            <w:pPr>
              <w:spacing w:after="120"/>
              <w:ind w:left="567" w:hanging="567"/>
              <w:rPr>
                <w:bCs/>
                <w:noProof/>
                <w:szCs w:val="24"/>
                <w:lang w:val="en-GB"/>
              </w:rPr>
            </w:pPr>
            <w:r w:rsidRPr="006E37E9">
              <w:rPr>
                <w:bCs/>
                <w:szCs w:val="24"/>
              </w:rPr>
              <w:t>60</w:t>
            </w:r>
          </w:p>
        </w:tc>
        <w:tc>
          <w:tcPr>
            <w:tcW w:w="1559" w:type="dxa"/>
            <w:tcBorders>
              <w:top w:val="single" w:sz="4" w:space="0" w:color="auto"/>
              <w:left w:val="single" w:sz="4" w:space="0" w:color="auto"/>
              <w:bottom w:val="single" w:sz="4" w:space="0" w:color="auto"/>
              <w:right w:val="single" w:sz="4" w:space="0" w:color="auto"/>
            </w:tcBorders>
            <w:noWrap/>
            <w:hideMark/>
          </w:tcPr>
          <w:p w14:paraId="18D49F19" w14:textId="77777777" w:rsidR="004D1A97" w:rsidRPr="006E37E9" w:rsidRDefault="004D1A97" w:rsidP="00501BD5">
            <w:pPr>
              <w:spacing w:after="120"/>
              <w:ind w:left="567" w:hanging="567"/>
              <w:rPr>
                <w:bCs/>
                <w:noProof/>
                <w:szCs w:val="24"/>
              </w:rPr>
            </w:pPr>
            <w:r w:rsidRPr="006E37E9">
              <w:rPr>
                <w:bCs/>
                <w:szCs w:val="24"/>
              </w:rPr>
              <w:t> 1 156 819</w:t>
            </w:r>
          </w:p>
        </w:tc>
      </w:tr>
      <w:tr w:rsidR="004D1A97" w:rsidRPr="006E37E9" w14:paraId="08CC91F5" w14:textId="77777777" w:rsidTr="006E37E9">
        <w:trPr>
          <w:cantSplit/>
          <w:trHeight w:val="285"/>
          <w:tblHeader/>
        </w:trPr>
        <w:tc>
          <w:tcPr>
            <w:tcW w:w="1129" w:type="dxa"/>
            <w:tcBorders>
              <w:top w:val="single" w:sz="4" w:space="0" w:color="auto"/>
              <w:left w:val="single" w:sz="4" w:space="0" w:color="auto"/>
              <w:bottom w:val="single" w:sz="4" w:space="0" w:color="auto"/>
              <w:right w:val="single" w:sz="4" w:space="0" w:color="auto"/>
            </w:tcBorders>
            <w:noWrap/>
            <w:hideMark/>
          </w:tcPr>
          <w:p w14:paraId="7DC564CE" w14:textId="77777777" w:rsidR="004D1A97" w:rsidRPr="006E37E9" w:rsidRDefault="004D1A97" w:rsidP="00501BD5">
            <w:pPr>
              <w:spacing w:after="120"/>
              <w:ind w:left="567" w:hanging="567"/>
              <w:rPr>
                <w:b/>
                <w:bCs/>
                <w:noProof/>
                <w:szCs w:val="24"/>
              </w:rPr>
            </w:pPr>
            <w:r w:rsidRPr="006E37E9">
              <w:rPr>
                <w:b/>
                <w:szCs w:val="24"/>
              </w:rPr>
              <w:t xml:space="preserve">EMA </w:t>
            </w:r>
          </w:p>
        </w:tc>
        <w:tc>
          <w:tcPr>
            <w:tcW w:w="1656" w:type="dxa"/>
            <w:tcBorders>
              <w:top w:val="single" w:sz="4" w:space="0" w:color="auto"/>
              <w:left w:val="single" w:sz="4" w:space="0" w:color="auto"/>
              <w:bottom w:val="single" w:sz="4" w:space="0" w:color="auto"/>
              <w:right w:val="single" w:sz="4" w:space="0" w:color="auto"/>
            </w:tcBorders>
            <w:noWrap/>
            <w:hideMark/>
          </w:tcPr>
          <w:p w14:paraId="18B92810" w14:textId="77777777" w:rsidR="004D1A97" w:rsidRPr="006E37E9" w:rsidRDefault="004D1A97" w:rsidP="00501BD5">
            <w:pPr>
              <w:spacing w:after="120"/>
              <w:ind w:left="567" w:hanging="567"/>
              <w:rPr>
                <w:bCs/>
                <w:noProof/>
                <w:szCs w:val="24"/>
              </w:rPr>
            </w:pPr>
            <w:r w:rsidRPr="006E37E9">
              <w:rPr>
                <w:bCs/>
                <w:szCs w:val="24"/>
              </w:rPr>
              <w:t> 448 603 000</w:t>
            </w:r>
          </w:p>
        </w:tc>
        <w:tc>
          <w:tcPr>
            <w:tcW w:w="1476" w:type="dxa"/>
            <w:tcBorders>
              <w:top w:val="single" w:sz="4" w:space="0" w:color="auto"/>
              <w:left w:val="single" w:sz="4" w:space="0" w:color="auto"/>
              <w:bottom w:val="single" w:sz="4" w:space="0" w:color="auto"/>
              <w:right w:val="single" w:sz="4" w:space="0" w:color="auto"/>
            </w:tcBorders>
            <w:noWrap/>
            <w:hideMark/>
          </w:tcPr>
          <w:p w14:paraId="1242BB5E" w14:textId="77777777" w:rsidR="004D1A97" w:rsidRPr="006E37E9" w:rsidRDefault="004D1A97" w:rsidP="00501BD5">
            <w:pPr>
              <w:spacing w:after="120"/>
              <w:ind w:left="567" w:hanging="567"/>
              <w:rPr>
                <w:bCs/>
                <w:noProof/>
                <w:szCs w:val="24"/>
              </w:rPr>
            </w:pPr>
            <w:r w:rsidRPr="006E37E9">
              <w:rPr>
                <w:bCs/>
                <w:szCs w:val="24"/>
              </w:rPr>
              <w:t> 50 027 000</w:t>
            </w:r>
          </w:p>
        </w:tc>
        <w:tc>
          <w:tcPr>
            <w:tcW w:w="696" w:type="dxa"/>
            <w:tcBorders>
              <w:top w:val="single" w:sz="4" w:space="0" w:color="auto"/>
              <w:left w:val="single" w:sz="4" w:space="0" w:color="auto"/>
              <w:bottom w:val="single" w:sz="4" w:space="0" w:color="auto"/>
              <w:right w:val="single" w:sz="4" w:space="0" w:color="auto"/>
            </w:tcBorders>
            <w:noWrap/>
            <w:hideMark/>
          </w:tcPr>
          <w:p w14:paraId="251AB88D" w14:textId="4FDA836E" w:rsidR="004D1A97" w:rsidRPr="006E37E9" w:rsidRDefault="004D1A97" w:rsidP="00501BD5">
            <w:pPr>
              <w:spacing w:after="120"/>
              <w:ind w:left="567" w:hanging="567"/>
              <w:rPr>
                <w:bCs/>
                <w:noProof/>
                <w:szCs w:val="24"/>
                <w:lang w:val="en-GB"/>
              </w:rPr>
            </w:pPr>
            <w:r w:rsidRPr="006E37E9">
              <w:rPr>
                <w:bCs/>
                <w:szCs w:val="24"/>
              </w:rPr>
              <w:t>11</w:t>
            </w:r>
          </w:p>
        </w:tc>
        <w:tc>
          <w:tcPr>
            <w:tcW w:w="1559" w:type="dxa"/>
            <w:tcBorders>
              <w:top w:val="single" w:sz="4" w:space="0" w:color="auto"/>
              <w:left w:val="single" w:sz="4" w:space="0" w:color="auto"/>
              <w:bottom w:val="single" w:sz="4" w:space="0" w:color="auto"/>
              <w:right w:val="single" w:sz="4" w:space="0" w:color="auto"/>
            </w:tcBorders>
            <w:noWrap/>
            <w:hideMark/>
          </w:tcPr>
          <w:p w14:paraId="0D26C3EE" w14:textId="77777777" w:rsidR="004D1A97" w:rsidRPr="006E37E9" w:rsidRDefault="004D1A97" w:rsidP="00501BD5">
            <w:pPr>
              <w:spacing w:after="120"/>
              <w:ind w:left="567" w:hanging="567"/>
              <w:rPr>
                <w:bCs/>
                <w:noProof/>
                <w:szCs w:val="24"/>
              </w:rPr>
            </w:pPr>
            <w:r w:rsidRPr="006E37E9">
              <w:rPr>
                <w:bCs/>
                <w:szCs w:val="24"/>
              </w:rPr>
              <w:t> 398 209 000</w:t>
            </w:r>
          </w:p>
        </w:tc>
        <w:tc>
          <w:tcPr>
            <w:tcW w:w="826" w:type="dxa"/>
            <w:tcBorders>
              <w:top w:val="single" w:sz="4" w:space="0" w:color="auto"/>
              <w:left w:val="single" w:sz="4" w:space="0" w:color="auto"/>
              <w:bottom w:val="single" w:sz="4" w:space="0" w:color="auto"/>
              <w:right w:val="single" w:sz="4" w:space="0" w:color="auto"/>
            </w:tcBorders>
            <w:noWrap/>
            <w:hideMark/>
          </w:tcPr>
          <w:p w14:paraId="2337389C" w14:textId="04AF4D6F" w:rsidR="004D1A97" w:rsidRPr="006E37E9" w:rsidRDefault="004D1A97" w:rsidP="00501BD5">
            <w:pPr>
              <w:spacing w:after="120"/>
              <w:ind w:left="567" w:hanging="567"/>
              <w:rPr>
                <w:bCs/>
                <w:noProof/>
                <w:szCs w:val="24"/>
                <w:lang w:val="en-GB"/>
              </w:rPr>
            </w:pPr>
            <w:r w:rsidRPr="006E37E9">
              <w:rPr>
                <w:bCs/>
                <w:szCs w:val="24"/>
              </w:rPr>
              <w:t>89</w:t>
            </w:r>
          </w:p>
        </w:tc>
        <w:tc>
          <w:tcPr>
            <w:tcW w:w="1559" w:type="dxa"/>
            <w:tcBorders>
              <w:top w:val="single" w:sz="4" w:space="0" w:color="auto"/>
              <w:left w:val="single" w:sz="4" w:space="0" w:color="auto"/>
              <w:bottom w:val="single" w:sz="4" w:space="0" w:color="auto"/>
              <w:right w:val="single" w:sz="4" w:space="0" w:color="auto"/>
            </w:tcBorders>
            <w:noWrap/>
            <w:hideMark/>
          </w:tcPr>
          <w:p w14:paraId="18838686" w14:textId="77777777" w:rsidR="004D1A97" w:rsidRPr="006E37E9" w:rsidRDefault="004D1A97" w:rsidP="00501BD5">
            <w:pPr>
              <w:spacing w:after="120"/>
              <w:ind w:left="567" w:hanging="567"/>
              <w:rPr>
                <w:bCs/>
                <w:noProof/>
                <w:szCs w:val="24"/>
              </w:rPr>
            </w:pPr>
            <w:r w:rsidRPr="006E37E9">
              <w:rPr>
                <w:bCs/>
                <w:szCs w:val="24"/>
              </w:rPr>
              <w:t> 367 000</w:t>
            </w:r>
          </w:p>
        </w:tc>
      </w:tr>
      <w:tr w:rsidR="004D1A97" w:rsidRPr="006E37E9" w14:paraId="3B7CB1F2" w14:textId="77777777" w:rsidTr="006E37E9">
        <w:trPr>
          <w:cantSplit/>
          <w:trHeight w:val="285"/>
          <w:tblHeader/>
        </w:trPr>
        <w:tc>
          <w:tcPr>
            <w:tcW w:w="1129" w:type="dxa"/>
            <w:tcBorders>
              <w:top w:val="single" w:sz="4" w:space="0" w:color="auto"/>
              <w:left w:val="single" w:sz="4" w:space="0" w:color="auto"/>
              <w:bottom w:val="single" w:sz="4" w:space="0" w:color="auto"/>
              <w:right w:val="single" w:sz="4" w:space="0" w:color="auto"/>
            </w:tcBorders>
            <w:noWrap/>
            <w:hideMark/>
          </w:tcPr>
          <w:p w14:paraId="2B081E3A" w14:textId="77777777" w:rsidR="004D1A97" w:rsidRPr="006E37E9" w:rsidRDefault="004D1A97" w:rsidP="00501BD5">
            <w:pPr>
              <w:spacing w:after="120"/>
              <w:ind w:left="567" w:hanging="567"/>
              <w:rPr>
                <w:b/>
                <w:bCs/>
                <w:noProof/>
                <w:szCs w:val="24"/>
              </w:rPr>
            </w:pPr>
            <w:r w:rsidRPr="006E37E9">
              <w:rPr>
                <w:b/>
                <w:szCs w:val="24"/>
              </w:rPr>
              <w:t>ERA</w:t>
            </w:r>
          </w:p>
        </w:tc>
        <w:tc>
          <w:tcPr>
            <w:tcW w:w="1656" w:type="dxa"/>
            <w:tcBorders>
              <w:top w:val="single" w:sz="4" w:space="0" w:color="auto"/>
              <w:left w:val="single" w:sz="4" w:space="0" w:color="auto"/>
              <w:bottom w:val="single" w:sz="4" w:space="0" w:color="auto"/>
              <w:right w:val="single" w:sz="4" w:space="0" w:color="auto"/>
            </w:tcBorders>
            <w:noWrap/>
            <w:hideMark/>
          </w:tcPr>
          <w:p w14:paraId="717C4FB7" w14:textId="77777777" w:rsidR="004D1A97" w:rsidRPr="006E37E9" w:rsidRDefault="004D1A97" w:rsidP="00501BD5">
            <w:pPr>
              <w:spacing w:after="120"/>
              <w:ind w:left="567" w:hanging="567"/>
              <w:rPr>
                <w:bCs/>
                <w:noProof/>
                <w:szCs w:val="24"/>
              </w:rPr>
            </w:pPr>
            <w:r w:rsidRPr="006E37E9">
              <w:rPr>
                <w:bCs/>
                <w:szCs w:val="24"/>
              </w:rPr>
              <w:t> 38 532 447</w:t>
            </w:r>
          </w:p>
        </w:tc>
        <w:tc>
          <w:tcPr>
            <w:tcW w:w="1476" w:type="dxa"/>
            <w:tcBorders>
              <w:top w:val="single" w:sz="4" w:space="0" w:color="auto"/>
              <w:left w:val="single" w:sz="4" w:space="0" w:color="auto"/>
              <w:bottom w:val="single" w:sz="4" w:space="0" w:color="auto"/>
              <w:right w:val="single" w:sz="4" w:space="0" w:color="auto"/>
            </w:tcBorders>
            <w:noWrap/>
            <w:hideMark/>
          </w:tcPr>
          <w:p w14:paraId="490B059C" w14:textId="77777777" w:rsidR="004D1A97" w:rsidRPr="006E37E9" w:rsidRDefault="004D1A97" w:rsidP="00501BD5">
            <w:pPr>
              <w:spacing w:after="120"/>
              <w:ind w:left="567" w:hanging="567"/>
              <w:rPr>
                <w:bCs/>
                <w:noProof/>
                <w:szCs w:val="24"/>
              </w:rPr>
            </w:pPr>
            <w:r w:rsidRPr="006E37E9">
              <w:rPr>
                <w:bCs/>
                <w:szCs w:val="24"/>
              </w:rPr>
              <w:t> 27 418 274</w:t>
            </w:r>
          </w:p>
        </w:tc>
        <w:tc>
          <w:tcPr>
            <w:tcW w:w="696" w:type="dxa"/>
            <w:tcBorders>
              <w:top w:val="single" w:sz="4" w:space="0" w:color="auto"/>
              <w:left w:val="single" w:sz="4" w:space="0" w:color="auto"/>
              <w:bottom w:val="single" w:sz="4" w:space="0" w:color="auto"/>
              <w:right w:val="single" w:sz="4" w:space="0" w:color="auto"/>
            </w:tcBorders>
            <w:noWrap/>
            <w:hideMark/>
          </w:tcPr>
          <w:p w14:paraId="46E2FB54" w14:textId="0CF0F6FE" w:rsidR="004D1A97" w:rsidRPr="006E37E9" w:rsidRDefault="004D1A97" w:rsidP="00501BD5">
            <w:pPr>
              <w:spacing w:after="120"/>
              <w:ind w:left="567" w:hanging="567"/>
              <w:rPr>
                <w:bCs/>
                <w:noProof/>
                <w:szCs w:val="24"/>
                <w:lang w:val="en-GB"/>
              </w:rPr>
            </w:pPr>
            <w:r w:rsidRPr="006E37E9">
              <w:rPr>
                <w:bCs/>
                <w:szCs w:val="24"/>
              </w:rPr>
              <w:t>71</w:t>
            </w:r>
          </w:p>
        </w:tc>
        <w:tc>
          <w:tcPr>
            <w:tcW w:w="1559" w:type="dxa"/>
            <w:tcBorders>
              <w:top w:val="single" w:sz="4" w:space="0" w:color="auto"/>
              <w:left w:val="single" w:sz="4" w:space="0" w:color="auto"/>
              <w:bottom w:val="single" w:sz="4" w:space="0" w:color="auto"/>
              <w:right w:val="single" w:sz="4" w:space="0" w:color="auto"/>
            </w:tcBorders>
            <w:noWrap/>
            <w:hideMark/>
          </w:tcPr>
          <w:p w14:paraId="0CD08E33" w14:textId="77777777" w:rsidR="004D1A97" w:rsidRPr="006E37E9" w:rsidRDefault="004D1A97" w:rsidP="00501BD5">
            <w:pPr>
              <w:spacing w:after="120"/>
              <w:ind w:left="567" w:hanging="567"/>
              <w:rPr>
                <w:bCs/>
                <w:noProof/>
                <w:szCs w:val="24"/>
              </w:rPr>
            </w:pPr>
            <w:r w:rsidRPr="006E37E9">
              <w:rPr>
                <w:bCs/>
                <w:szCs w:val="24"/>
              </w:rPr>
              <w:t> 10 312 858</w:t>
            </w:r>
          </w:p>
        </w:tc>
        <w:tc>
          <w:tcPr>
            <w:tcW w:w="826" w:type="dxa"/>
            <w:tcBorders>
              <w:top w:val="single" w:sz="4" w:space="0" w:color="auto"/>
              <w:left w:val="single" w:sz="4" w:space="0" w:color="auto"/>
              <w:bottom w:val="single" w:sz="4" w:space="0" w:color="auto"/>
              <w:right w:val="single" w:sz="4" w:space="0" w:color="auto"/>
            </w:tcBorders>
            <w:noWrap/>
            <w:hideMark/>
          </w:tcPr>
          <w:p w14:paraId="37EBF559" w14:textId="543A4AE7" w:rsidR="004D1A97" w:rsidRPr="006E37E9" w:rsidRDefault="004D1A97" w:rsidP="00501BD5">
            <w:pPr>
              <w:spacing w:after="120"/>
              <w:ind w:left="567" w:hanging="567"/>
              <w:rPr>
                <w:bCs/>
                <w:noProof/>
                <w:szCs w:val="24"/>
                <w:lang w:val="en-GB"/>
              </w:rPr>
            </w:pPr>
            <w:r w:rsidRPr="006E37E9">
              <w:rPr>
                <w:bCs/>
                <w:szCs w:val="24"/>
              </w:rPr>
              <w:t>27</w:t>
            </w:r>
          </w:p>
        </w:tc>
        <w:tc>
          <w:tcPr>
            <w:tcW w:w="1559" w:type="dxa"/>
            <w:tcBorders>
              <w:top w:val="single" w:sz="4" w:space="0" w:color="auto"/>
              <w:left w:val="single" w:sz="4" w:space="0" w:color="auto"/>
              <w:bottom w:val="single" w:sz="4" w:space="0" w:color="auto"/>
              <w:right w:val="single" w:sz="4" w:space="0" w:color="auto"/>
            </w:tcBorders>
            <w:noWrap/>
            <w:hideMark/>
          </w:tcPr>
          <w:p w14:paraId="7230215C" w14:textId="77777777" w:rsidR="004D1A97" w:rsidRPr="006E37E9" w:rsidRDefault="004D1A97" w:rsidP="00501BD5">
            <w:pPr>
              <w:spacing w:after="120"/>
              <w:ind w:left="567" w:hanging="567"/>
              <w:rPr>
                <w:bCs/>
                <w:noProof/>
                <w:szCs w:val="24"/>
              </w:rPr>
            </w:pPr>
            <w:r w:rsidRPr="006E37E9">
              <w:rPr>
                <w:bCs/>
                <w:szCs w:val="24"/>
              </w:rPr>
              <w:t> 801 315</w:t>
            </w:r>
          </w:p>
        </w:tc>
      </w:tr>
      <w:tr w:rsidR="004D1A97" w:rsidRPr="006E37E9" w14:paraId="13A29BC6" w14:textId="77777777" w:rsidTr="006E37E9">
        <w:trPr>
          <w:cantSplit/>
          <w:trHeight w:val="285"/>
          <w:tblHeader/>
        </w:trPr>
        <w:tc>
          <w:tcPr>
            <w:tcW w:w="1129" w:type="dxa"/>
            <w:tcBorders>
              <w:top w:val="single" w:sz="4" w:space="0" w:color="auto"/>
              <w:left w:val="single" w:sz="4" w:space="0" w:color="auto"/>
              <w:bottom w:val="single" w:sz="4" w:space="0" w:color="auto"/>
              <w:right w:val="single" w:sz="4" w:space="0" w:color="auto"/>
            </w:tcBorders>
            <w:noWrap/>
            <w:hideMark/>
          </w:tcPr>
          <w:p w14:paraId="39C35D91" w14:textId="77777777" w:rsidR="004D1A97" w:rsidRPr="006E37E9" w:rsidRDefault="004D1A97" w:rsidP="00501BD5">
            <w:pPr>
              <w:spacing w:after="120"/>
              <w:ind w:left="567" w:hanging="567"/>
              <w:rPr>
                <w:b/>
                <w:bCs/>
                <w:noProof/>
                <w:szCs w:val="24"/>
              </w:rPr>
            </w:pPr>
            <w:r w:rsidRPr="006E37E9">
              <w:rPr>
                <w:b/>
                <w:szCs w:val="24"/>
              </w:rPr>
              <w:t>ESMA</w:t>
            </w:r>
          </w:p>
        </w:tc>
        <w:tc>
          <w:tcPr>
            <w:tcW w:w="1656" w:type="dxa"/>
            <w:tcBorders>
              <w:top w:val="single" w:sz="4" w:space="0" w:color="auto"/>
              <w:left w:val="single" w:sz="4" w:space="0" w:color="auto"/>
              <w:bottom w:val="single" w:sz="4" w:space="0" w:color="auto"/>
              <w:right w:val="single" w:sz="4" w:space="0" w:color="auto"/>
            </w:tcBorders>
            <w:noWrap/>
            <w:hideMark/>
          </w:tcPr>
          <w:p w14:paraId="16E9568D" w14:textId="77777777" w:rsidR="004D1A97" w:rsidRPr="006E37E9" w:rsidRDefault="004D1A97" w:rsidP="00501BD5">
            <w:pPr>
              <w:spacing w:after="120"/>
              <w:ind w:left="567" w:hanging="567"/>
              <w:rPr>
                <w:bCs/>
                <w:noProof/>
                <w:szCs w:val="24"/>
              </w:rPr>
            </w:pPr>
            <w:r w:rsidRPr="006E37E9">
              <w:rPr>
                <w:bCs/>
                <w:szCs w:val="24"/>
              </w:rPr>
              <w:t> 72 509 657</w:t>
            </w:r>
          </w:p>
        </w:tc>
        <w:tc>
          <w:tcPr>
            <w:tcW w:w="1476" w:type="dxa"/>
            <w:tcBorders>
              <w:top w:val="single" w:sz="4" w:space="0" w:color="auto"/>
              <w:left w:val="single" w:sz="4" w:space="0" w:color="auto"/>
              <w:bottom w:val="single" w:sz="4" w:space="0" w:color="auto"/>
              <w:right w:val="single" w:sz="4" w:space="0" w:color="auto"/>
            </w:tcBorders>
            <w:noWrap/>
            <w:hideMark/>
          </w:tcPr>
          <w:p w14:paraId="10AA0EA8" w14:textId="77777777" w:rsidR="004D1A97" w:rsidRPr="006E37E9" w:rsidRDefault="004D1A97" w:rsidP="00501BD5">
            <w:pPr>
              <w:spacing w:after="120"/>
              <w:ind w:left="567" w:hanging="567"/>
              <w:rPr>
                <w:bCs/>
                <w:noProof/>
                <w:szCs w:val="24"/>
              </w:rPr>
            </w:pPr>
            <w:r w:rsidRPr="006E37E9">
              <w:rPr>
                <w:bCs/>
                <w:szCs w:val="24"/>
              </w:rPr>
              <w:t> 18 588 578</w:t>
            </w:r>
          </w:p>
        </w:tc>
        <w:tc>
          <w:tcPr>
            <w:tcW w:w="696" w:type="dxa"/>
            <w:tcBorders>
              <w:top w:val="single" w:sz="4" w:space="0" w:color="auto"/>
              <w:left w:val="single" w:sz="4" w:space="0" w:color="auto"/>
              <w:bottom w:val="single" w:sz="4" w:space="0" w:color="auto"/>
              <w:right w:val="single" w:sz="4" w:space="0" w:color="auto"/>
            </w:tcBorders>
            <w:noWrap/>
            <w:hideMark/>
          </w:tcPr>
          <w:p w14:paraId="6700F5AE" w14:textId="1340348F" w:rsidR="004D1A97" w:rsidRPr="006E37E9" w:rsidRDefault="004D1A97" w:rsidP="00501BD5">
            <w:pPr>
              <w:spacing w:after="120"/>
              <w:ind w:left="567" w:hanging="567"/>
              <w:rPr>
                <w:bCs/>
                <w:noProof/>
                <w:szCs w:val="24"/>
                <w:lang w:val="en-GB"/>
              </w:rPr>
            </w:pPr>
            <w:r w:rsidRPr="006E37E9">
              <w:rPr>
                <w:bCs/>
                <w:szCs w:val="24"/>
              </w:rPr>
              <w:t>26</w:t>
            </w:r>
          </w:p>
        </w:tc>
        <w:tc>
          <w:tcPr>
            <w:tcW w:w="1559" w:type="dxa"/>
            <w:tcBorders>
              <w:top w:val="single" w:sz="4" w:space="0" w:color="auto"/>
              <w:left w:val="single" w:sz="4" w:space="0" w:color="auto"/>
              <w:bottom w:val="single" w:sz="4" w:space="0" w:color="auto"/>
              <w:right w:val="single" w:sz="4" w:space="0" w:color="auto"/>
            </w:tcBorders>
            <w:noWrap/>
            <w:hideMark/>
          </w:tcPr>
          <w:p w14:paraId="2ADE0C53" w14:textId="77777777" w:rsidR="004D1A97" w:rsidRPr="006E37E9" w:rsidRDefault="004D1A97" w:rsidP="00501BD5">
            <w:pPr>
              <w:spacing w:after="120"/>
              <w:ind w:left="567" w:hanging="567"/>
              <w:rPr>
                <w:bCs/>
                <w:noProof/>
                <w:szCs w:val="24"/>
              </w:rPr>
            </w:pPr>
            <w:r w:rsidRPr="006E37E9">
              <w:rPr>
                <w:bCs/>
                <w:szCs w:val="24"/>
              </w:rPr>
              <w:t> 52 224 114</w:t>
            </w:r>
          </w:p>
        </w:tc>
        <w:tc>
          <w:tcPr>
            <w:tcW w:w="826" w:type="dxa"/>
            <w:tcBorders>
              <w:top w:val="single" w:sz="4" w:space="0" w:color="auto"/>
              <w:left w:val="single" w:sz="4" w:space="0" w:color="auto"/>
              <w:bottom w:val="single" w:sz="4" w:space="0" w:color="auto"/>
              <w:right w:val="single" w:sz="4" w:space="0" w:color="auto"/>
            </w:tcBorders>
            <w:noWrap/>
            <w:hideMark/>
          </w:tcPr>
          <w:p w14:paraId="238B8626" w14:textId="5B5866DE" w:rsidR="004D1A97" w:rsidRPr="006E37E9" w:rsidRDefault="004D1A97" w:rsidP="00501BD5">
            <w:pPr>
              <w:spacing w:after="120"/>
              <w:ind w:left="567" w:hanging="567"/>
              <w:rPr>
                <w:bCs/>
                <w:noProof/>
                <w:szCs w:val="24"/>
                <w:lang w:val="en-GB"/>
              </w:rPr>
            </w:pPr>
            <w:r w:rsidRPr="006E37E9">
              <w:rPr>
                <w:bCs/>
                <w:szCs w:val="24"/>
              </w:rPr>
              <w:t>72</w:t>
            </w:r>
          </w:p>
        </w:tc>
        <w:tc>
          <w:tcPr>
            <w:tcW w:w="1559" w:type="dxa"/>
            <w:tcBorders>
              <w:top w:val="single" w:sz="4" w:space="0" w:color="auto"/>
              <w:left w:val="single" w:sz="4" w:space="0" w:color="auto"/>
              <w:bottom w:val="single" w:sz="4" w:space="0" w:color="auto"/>
              <w:right w:val="single" w:sz="4" w:space="0" w:color="auto"/>
            </w:tcBorders>
            <w:noWrap/>
            <w:hideMark/>
          </w:tcPr>
          <w:p w14:paraId="3AA629E9" w14:textId="77777777" w:rsidR="004D1A97" w:rsidRPr="006E37E9" w:rsidRDefault="004D1A97" w:rsidP="00501BD5">
            <w:pPr>
              <w:spacing w:after="120"/>
              <w:ind w:left="567" w:hanging="567"/>
              <w:rPr>
                <w:bCs/>
                <w:noProof/>
                <w:szCs w:val="24"/>
              </w:rPr>
            </w:pPr>
            <w:r w:rsidRPr="006E37E9">
              <w:rPr>
                <w:bCs/>
                <w:szCs w:val="24"/>
              </w:rPr>
              <w:t> 1 696 965</w:t>
            </w:r>
          </w:p>
        </w:tc>
      </w:tr>
      <w:tr w:rsidR="004D1A97" w:rsidRPr="006E37E9" w14:paraId="7A55002A" w14:textId="77777777" w:rsidTr="006E37E9">
        <w:trPr>
          <w:cantSplit/>
          <w:trHeight w:val="285"/>
          <w:tblHeader/>
        </w:trPr>
        <w:tc>
          <w:tcPr>
            <w:tcW w:w="1129" w:type="dxa"/>
            <w:tcBorders>
              <w:top w:val="single" w:sz="4" w:space="0" w:color="auto"/>
              <w:left w:val="single" w:sz="4" w:space="0" w:color="auto"/>
              <w:bottom w:val="single" w:sz="4" w:space="0" w:color="auto"/>
              <w:right w:val="single" w:sz="4" w:space="0" w:color="auto"/>
            </w:tcBorders>
            <w:noWrap/>
            <w:hideMark/>
          </w:tcPr>
          <w:p w14:paraId="603EC362" w14:textId="77777777" w:rsidR="004D1A97" w:rsidRPr="006E37E9" w:rsidRDefault="004D1A97" w:rsidP="00501BD5">
            <w:pPr>
              <w:spacing w:after="120"/>
              <w:ind w:left="567" w:hanging="567"/>
              <w:rPr>
                <w:b/>
                <w:bCs/>
                <w:noProof/>
                <w:szCs w:val="24"/>
              </w:rPr>
            </w:pPr>
            <w:r w:rsidRPr="006E37E9">
              <w:rPr>
                <w:b/>
                <w:szCs w:val="24"/>
              </w:rPr>
              <w:t>ОБЩО</w:t>
            </w:r>
          </w:p>
        </w:tc>
        <w:tc>
          <w:tcPr>
            <w:tcW w:w="1656" w:type="dxa"/>
            <w:tcBorders>
              <w:top w:val="single" w:sz="4" w:space="0" w:color="auto"/>
              <w:left w:val="single" w:sz="4" w:space="0" w:color="auto"/>
              <w:bottom w:val="single" w:sz="4" w:space="0" w:color="auto"/>
              <w:right w:val="single" w:sz="4" w:space="0" w:color="auto"/>
            </w:tcBorders>
            <w:noWrap/>
            <w:hideMark/>
          </w:tcPr>
          <w:p w14:paraId="62DA793D" w14:textId="77777777" w:rsidR="004D1A97" w:rsidRPr="006E37E9" w:rsidRDefault="004D1A97" w:rsidP="00501BD5">
            <w:pPr>
              <w:spacing w:after="120"/>
              <w:ind w:left="567" w:hanging="567"/>
              <w:rPr>
                <w:b/>
                <w:noProof/>
                <w:szCs w:val="24"/>
              </w:rPr>
            </w:pPr>
            <w:r w:rsidRPr="006E37E9">
              <w:rPr>
                <w:b/>
                <w:szCs w:val="24"/>
              </w:rPr>
              <w:t> 1 018 694 977</w:t>
            </w:r>
          </w:p>
        </w:tc>
        <w:tc>
          <w:tcPr>
            <w:tcW w:w="1476" w:type="dxa"/>
            <w:tcBorders>
              <w:top w:val="single" w:sz="4" w:space="0" w:color="auto"/>
              <w:left w:val="single" w:sz="4" w:space="0" w:color="auto"/>
              <w:bottom w:val="single" w:sz="4" w:space="0" w:color="auto"/>
              <w:right w:val="single" w:sz="4" w:space="0" w:color="auto"/>
            </w:tcBorders>
            <w:noWrap/>
            <w:hideMark/>
          </w:tcPr>
          <w:p w14:paraId="726A15EA" w14:textId="77777777" w:rsidR="004D1A97" w:rsidRPr="006E37E9" w:rsidRDefault="004D1A97" w:rsidP="00501BD5">
            <w:pPr>
              <w:spacing w:after="120"/>
              <w:ind w:left="567" w:hanging="567"/>
              <w:rPr>
                <w:b/>
                <w:noProof/>
                <w:szCs w:val="24"/>
              </w:rPr>
            </w:pPr>
            <w:r w:rsidRPr="006E37E9">
              <w:rPr>
                <w:b/>
                <w:szCs w:val="24"/>
              </w:rPr>
              <w:t> 273 955 473</w:t>
            </w:r>
          </w:p>
        </w:tc>
        <w:tc>
          <w:tcPr>
            <w:tcW w:w="696" w:type="dxa"/>
            <w:tcBorders>
              <w:top w:val="single" w:sz="4" w:space="0" w:color="auto"/>
              <w:left w:val="single" w:sz="4" w:space="0" w:color="auto"/>
              <w:bottom w:val="single" w:sz="4" w:space="0" w:color="auto"/>
              <w:right w:val="single" w:sz="4" w:space="0" w:color="auto"/>
            </w:tcBorders>
            <w:noWrap/>
            <w:hideMark/>
          </w:tcPr>
          <w:p w14:paraId="6AD79C67" w14:textId="77777777" w:rsidR="004D1A97" w:rsidRPr="006E37E9" w:rsidRDefault="004D1A97" w:rsidP="00501BD5">
            <w:pPr>
              <w:spacing w:after="120"/>
              <w:ind w:left="567" w:hanging="567"/>
              <w:rPr>
                <w:b/>
                <w:noProof/>
                <w:szCs w:val="24"/>
              </w:rPr>
            </w:pPr>
            <w:r w:rsidRPr="006E37E9">
              <w:rPr>
                <w:b/>
                <w:szCs w:val="24"/>
              </w:rPr>
              <w:t> </w:t>
            </w:r>
          </w:p>
        </w:tc>
        <w:tc>
          <w:tcPr>
            <w:tcW w:w="1559" w:type="dxa"/>
            <w:tcBorders>
              <w:top w:val="single" w:sz="4" w:space="0" w:color="auto"/>
              <w:left w:val="single" w:sz="4" w:space="0" w:color="auto"/>
              <w:bottom w:val="single" w:sz="4" w:space="0" w:color="auto"/>
              <w:right w:val="single" w:sz="4" w:space="0" w:color="auto"/>
            </w:tcBorders>
            <w:noWrap/>
            <w:hideMark/>
          </w:tcPr>
          <w:p w14:paraId="6C9818EC" w14:textId="77777777" w:rsidR="004D1A97" w:rsidRPr="006E37E9" w:rsidRDefault="004D1A97" w:rsidP="00501BD5">
            <w:pPr>
              <w:spacing w:after="120"/>
              <w:ind w:left="567" w:hanging="567"/>
              <w:rPr>
                <w:b/>
                <w:noProof/>
                <w:szCs w:val="24"/>
              </w:rPr>
            </w:pPr>
            <w:r w:rsidRPr="006E37E9">
              <w:rPr>
                <w:b/>
                <w:szCs w:val="24"/>
              </w:rPr>
              <w:t> 724 811 224</w:t>
            </w:r>
          </w:p>
        </w:tc>
        <w:tc>
          <w:tcPr>
            <w:tcW w:w="826" w:type="dxa"/>
            <w:tcBorders>
              <w:top w:val="single" w:sz="4" w:space="0" w:color="auto"/>
              <w:left w:val="single" w:sz="4" w:space="0" w:color="auto"/>
              <w:bottom w:val="single" w:sz="4" w:space="0" w:color="auto"/>
              <w:right w:val="single" w:sz="4" w:space="0" w:color="auto"/>
            </w:tcBorders>
            <w:noWrap/>
            <w:hideMark/>
          </w:tcPr>
          <w:p w14:paraId="2200F92B" w14:textId="77777777" w:rsidR="004D1A97" w:rsidRPr="006E37E9" w:rsidRDefault="004D1A97" w:rsidP="00501BD5">
            <w:pPr>
              <w:spacing w:after="120"/>
              <w:ind w:left="567" w:hanging="567"/>
              <w:rPr>
                <w:b/>
                <w:noProof/>
                <w:szCs w:val="24"/>
              </w:rPr>
            </w:pPr>
            <w:r w:rsidRPr="006E37E9">
              <w:rPr>
                <w:b/>
                <w:szCs w:val="24"/>
              </w:rPr>
              <w:t> </w:t>
            </w:r>
          </w:p>
        </w:tc>
        <w:tc>
          <w:tcPr>
            <w:tcW w:w="1559" w:type="dxa"/>
            <w:tcBorders>
              <w:top w:val="single" w:sz="4" w:space="0" w:color="auto"/>
              <w:left w:val="single" w:sz="4" w:space="0" w:color="auto"/>
              <w:bottom w:val="single" w:sz="4" w:space="0" w:color="auto"/>
              <w:right w:val="single" w:sz="4" w:space="0" w:color="auto"/>
            </w:tcBorders>
            <w:noWrap/>
            <w:hideMark/>
          </w:tcPr>
          <w:p w14:paraId="1A639B99" w14:textId="77777777" w:rsidR="004D1A97" w:rsidRPr="006E37E9" w:rsidRDefault="004D1A97" w:rsidP="00501BD5">
            <w:pPr>
              <w:spacing w:after="120"/>
              <w:ind w:left="567" w:hanging="567"/>
              <w:rPr>
                <w:b/>
                <w:noProof/>
                <w:szCs w:val="24"/>
              </w:rPr>
            </w:pPr>
            <w:r w:rsidRPr="006E37E9">
              <w:rPr>
                <w:b/>
                <w:szCs w:val="24"/>
              </w:rPr>
              <w:t> 19 928 279</w:t>
            </w:r>
          </w:p>
        </w:tc>
      </w:tr>
    </w:tbl>
    <w:p w14:paraId="29F44551" w14:textId="77777777" w:rsidR="004D1A97" w:rsidRPr="00B84F91" w:rsidRDefault="004D1A97" w:rsidP="006E37E9">
      <w:pPr>
        <w:spacing w:before="240" w:after="240"/>
        <w:ind w:left="567" w:hanging="567"/>
      </w:pPr>
      <w:r w:rsidRPr="00B84F91">
        <w:t>26.</w:t>
      </w:r>
      <w:r w:rsidRPr="00B84F91">
        <w:tab/>
        <w:t xml:space="preserve">отбелязва забележката на Палатата, че Агенцията на Европейския съюз за сътрудничество между регулаторите на енергия (ACER), Агенцията за авиационна безопасност на Европейския съюз (ЕААБ), Европейската агенция по химикали (ECHA), Европейската агенция по лекарствата (EMA), Агенцията за железопътен транспорт на Европейския съюз (ERA) и Европейският орган за ценни книжа и пазари (ESMA) са правно задължени да установяват кои са разходите за дейности, финансирани от собствени приходи, и да ги отчитат отделно; отбелязва, че тези агенции разполагат със системи за изпълнение на това изискване, както и че някои агенции, като EMA, ЕААБ и ERA, правят повече от </w:t>
      </w:r>
      <w:r w:rsidRPr="00B84F91">
        <w:lastRenderedPageBreak/>
        <w:t>изискваното;</w:t>
      </w:r>
    </w:p>
    <w:p w14:paraId="1B140A39" w14:textId="77777777" w:rsidR="004D1A97" w:rsidRPr="00B84F91" w:rsidRDefault="004D1A97" w:rsidP="004D1A97">
      <w:pPr>
        <w:spacing w:after="240"/>
        <w:ind w:left="567" w:hanging="567"/>
      </w:pPr>
      <w:r w:rsidRPr="00B84F91">
        <w:t>27.</w:t>
      </w:r>
      <w:r w:rsidRPr="00B84F91">
        <w:tab/>
        <w:t>отбелязва, че в учредителните регламенти за трите европейски надзорни органа (ЕБО, EIOPA и ESMA — с изключение на дейностите, финансирани от надзорни такси) се посочва, че първоначално вноските, които те получават от националните компетентни органи, следва да съставляват 60% от техните бюджети, а останалите 40% следва да бъдат осигурени от бюджета на Съюза; отбелязва, че тази разпоредба отразява съчетаването на регулаторни задачи, които могат да бъдат финансирани от ЕС, и задачи за сближаване на надзорните практики, които могат да бъдат финансирани с вноски от националните компетентни органи, в мандатите на трите органа; подчертава, че поради липсата на ясно разграничение между дейностите, финансирани от тези два източника в учредителните регламенти, тези органи не разграничават разходите, покривани от вноски от бюджета на Съюза, и разходите, покривани от вноски от националните органи;</w:t>
      </w:r>
    </w:p>
    <w:p w14:paraId="6AD8DF5B" w14:textId="77777777" w:rsidR="004D1A97" w:rsidRPr="00B84F91" w:rsidRDefault="004D1A97" w:rsidP="004D1A97">
      <w:pPr>
        <w:spacing w:after="240"/>
        <w:ind w:left="567" w:hanging="567"/>
      </w:pPr>
      <w:r w:rsidRPr="00B84F91">
        <w:t>28.</w:t>
      </w:r>
      <w:r w:rsidRPr="00B84F91">
        <w:tab/>
        <w:t>призовава ЕБО, EIOPA и ESMA да развият капацитета си за установяване на това кои са разходите за дейности, които генерират всеки от собствените им източници на приходи, и да ги отчитат отделно с цел подобряване на процесите си на вземане на решения и качеството на информацията, която предоставят на заинтересованите лица по отношение на дефицитите или излишъците, получени вследствие на тези дейности;</w:t>
      </w:r>
    </w:p>
    <w:p w14:paraId="1CFD9E2C" w14:textId="77777777" w:rsidR="004D1A97" w:rsidRPr="00B84F91" w:rsidRDefault="004D1A97" w:rsidP="004D1A97">
      <w:pPr>
        <w:spacing w:after="240"/>
        <w:ind w:left="567" w:hanging="567"/>
      </w:pPr>
      <w:r w:rsidRPr="00B84F91">
        <w:t>29.</w:t>
      </w:r>
      <w:r w:rsidRPr="00B84F91">
        <w:tab/>
        <w:t xml:space="preserve">отбелязва, че </w:t>
      </w:r>
      <w:proofErr w:type="spellStart"/>
      <w:r w:rsidRPr="00B84F91">
        <w:t>CdT</w:t>
      </w:r>
      <w:proofErr w:type="spellEnd"/>
      <w:r w:rsidRPr="00B84F91">
        <w:t xml:space="preserve"> разполага със система за наблюдение на разходите за всички дейности и продукти, генериращи собствени приходи, което му позволява да изчислява печалбите или загубите; посочва, че през 2023 г. за десет от 17-те основни продукта на </w:t>
      </w:r>
      <w:proofErr w:type="spellStart"/>
      <w:r w:rsidRPr="00B84F91">
        <w:t>CdT</w:t>
      </w:r>
      <w:proofErr w:type="spellEnd"/>
      <w:r w:rsidRPr="00B84F91">
        <w:t xml:space="preserve"> са отчетени загуби на обща стойност 3,4 милиона евро;</w:t>
      </w:r>
    </w:p>
    <w:p w14:paraId="48A9B80E" w14:textId="77777777" w:rsidR="004D1A97" w:rsidRPr="00B84F91" w:rsidRDefault="004D1A97" w:rsidP="004D1A97">
      <w:pPr>
        <w:spacing w:after="240"/>
        <w:ind w:left="567" w:hanging="567"/>
      </w:pPr>
      <w:r w:rsidRPr="00B84F91">
        <w:t>30.</w:t>
      </w:r>
      <w:r w:rsidRPr="00B84F91">
        <w:tab/>
        <w:t xml:space="preserve">подчертава, че </w:t>
      </w:r>
      <w:proofErr w:type="spellStart"/>
      <w:r w:rsidRPr="00B84F91">
        <w:t>CdT</w:t>
      </w:r>
      <w:proofErr w:type="spellEnd"/>
      <w:r w:rsidRPr="00B84F91">
        <w:t xml:space="preserve"> е завършил седем от последните десет години с бюджетен дефицит и шест — със счетоводни загуби поради намаляващия обем на работа; отбелязва, че за да се справи с намаляването на обема на работа, </w:t>
      </w:r>
      <w:proofErr w:type="spellStart"/>
      <w:r w:rsidRPr="00B84F91">
        <w:t>CdT</w:t>
      </w:r>
      <w:proofErr w:type="spellEnd"/>
      <w:r w:rsidRPr="00B84F91">
        <w:t xml:space="preserve"> използва специален резерв, създаден през 2011 г., за гарантиране на стабилност на бюджета и цените; отбелязва, че този резерв достигна най-високата си стойност от 15,6 милиона евро през 2014 г., след което спадна на 10,3 милиона евро през 2022 г. и на 8,9 милиона евро през 2023 г.; съзнава, че след като резервът бъде напълно изчерпан, всички по-нататъшни дефицити ще трябва да бъдат покривани със субсидии от бюджета на Съюза, както е предвидено в учредителния регламент на </w:t>
      </w:r>
      <w:proofErr w:type="spellStart"/>
      <w:r w:rsidRPr="00B84F91">
        <w:t>CdT</w:t>
      </w:r>
      <w:proofErr w:type="spellEnd"/>
      <w:r w:rsidRPr="00B84F91">
        <w:t xml:space="preserve">; призовава </w:t>
      </w:r>
      <w:proofErr w:type="spellStart"/>
      <w:r w:rsidRPr="00B84F91">
        <w:t>CdT</w:t>
      </w:r>
      <w:proofErr w:type="spellEnd"/>
      <w:r w:rsidRPr="00B84F91">
        <w:t xml:space="preserve"> да докладва на органа по освобождаване от отговорност относно плановете си за смекчаване на рисковете, свързани с непрекъснатостта на дейността;</w:t>
      </w:r>
    </w:p>
    <w:p w14:paraId="3206C229" w14:textId="77777777" w:rsidR="004D1A97" w:rsidRPr="00B84F91" w:rsidRDefault="004D1A97" w:rsidP="004D1A97">
      <w:pPr>
        <w:pStyle w:val="NormalHanging12a"/>
      </w:pPr>
      <w:r w:rsidRPr="00B84F91">
        <w:t>31.</w:t>
      </w:r>
      <w:r w:rsidRPr="00B84F91">
        <w:tab/>
        <w:t xml:space="preserve">отбелязва необходимостта агенциите да подобрят финансовото отчитане и механизмите за вътрешен контрол; призовава агенциите да предоставят ежегодно подробна разбивка на разходите, включително </w:t>
      </w:r>
      <w:proofErr w:type="spellStart"/>
      <w:r w:rsidRPr="00B84F91">
        <w:t>дезагрегирани</w:t>
      </w:r>
      <w:proofErr w:type="spellEnd"/>
      <w:r w:rsidRPr="00B84F91">
        <w:t xml:space="preserve"> данни за външните договори, консултантските услуги и подизпълнителите; настоява, че са необходими цифрови инструменти за докладване в реално време, които подобряват финансовия надзор и отчетността пред Европейския парламент и обществеността; насърчава по-нататъшния напредък по отношение на одитните препоръки;</w:t>
      </w:r>
    </w:p>
    <w:p w14:paraId="485366E7" w14:textId="77777777" w:rsidR="004D1A97" w:rsidRPr="00B84F91" w:rsidRDefault="004D1A97" w:rsidP="004D1A97">
      <w:pPr>
        <w:pStyle w:val="Normal12Hanging"/>
        <w:rPr>
          <w:b/>
          <w:i/>
          <w:szCs w:val="24"/>
        </w:rPr>
      </w:pPr>
      <w:r w:rsidRPr="00B84F91">
        <w:rPr>
          <w:b/>
          <w:i/>
        </w:rPr>
        <w:t>Основни рискове, установени от Палатата</w:t>
      </w:r>
    </w:p>
    <w:p w14:paraId="429F74C0" w14:textId="77777777" w:rsidR="004D1A97" w:rsidRPr="00B84F91" w:rsidRDefault="004D1A97" w:rsidP="004D1A97">
      <w:pPr>
        <w:spacing w:after="240"/>
        <w:ind w:left="567" w:hanging="567"/>
      </w:pPr>
      <w:r w:rsidRPr="00B84F91">
        <w:lastRenderedPageBreak/>
        <w:t>32.</w:t>
      </w:r>
      <w:r w:rsidRPr="00B84F91">
        <w:tab/>
      </w:r>
      <w:r w:rsidRPr="00B84F91">
        <w:rPr>
          <w:color w:val="000000"/>
        </w:rPr>
        <w:t>отбелязва заключението на Палатата в нейния годишен доклад относно агенциите на ЕС за финансовата 2023 година („доклада на Палатата“), че резултатите от извършения от Палатата одит са сходни на тези от предходната година (2022), като слабостите в обществените поръчки остават основният източник на нередовни плащания;</w:t>
      </w:r>
    </w:p>
    <w:p w14:paraId="7A4EB281" w14:textId="77777777" w:rsidR="004D1A97" w:rsidRPr="00B84F91" w:rsidRDefault="004D1A97" w:rsidP="004D1A97">
      <w:pPr>
        <w:spacing w:after="240"/>
        <w:ind w:left="567" w:hanging="567"/>
      </w:pPr>
      <w:r w:rsidRPr="00B84F91">
        <w:t>33.</w:t>
      </w:r>
      <w:r w:rsidRPr="00B84F91">
        <w:tab/>
      </w:r>
      <w:r w:rsidRPr="00B84F91">
        <w:rPr>
          <w:color w:val="000000"/>
        </w:rPr>
        <w:t>отбелязва въз основа на доклада на Палатата, че общият риск за надеждността и точността на отчетите на агенциите, установен чрез прилагане на счетоводните правила, приети от отговорния счетоводител на Комисията и основаващи се на международните счетоводни стандарти, е като цяло нисък, какъвто беше случаят и през 2022 г.;</w:t>
      </w:r>
    </w:p>
    <w:p w14:paraId="3822E704" w14:textId="77777777" w:rsidR="004D1A97" w:rsidRPr="00B84F91" w:rsidRDefault="004D1A97" w:rsidP="004D1A97">
      <w:pPr>
        <w:spacing w:after="240"/>
        <w:ind w:left="567" w:hanging="567"/>
      </w:pPr>
      <w:r w:rsidRPr="00B84F91">
        <w:t>34.</w:t>
      </w:r>
      <w:r w:rsidRPr="00B84F91">
        <w:tab/>
      </w:r>
      <w:r w:rsidRPr="00B84F91">
        <w:rPr>
          <w:color w:val="000000"/>
        </w:rPr>
        <w:t>подчертава, че според Палатата общият риск за законосъобразността и редовността на приходите, свързани с отчетите на агенциите, е нисък за повечето от агенциите, и че този риск е среден за частично самофинансиращите се агенции в случаите, когато са приложими специални правила за събирането на такси и други вноски, какъвто беше случаят и през 2022 г.;</w:t>
      </w:r>
    </w:p>
    <w:p w14:paraId="2E054A83" w14:textId="77777777" w:rsidR="004D1A97" w:rsidRPr="00B84F91" w:rsidRDefault="004D1A97" w:rsidP="004D1A97">
      <w:pPr>
        <w:spacing w:after="240"/>
        <w:ind w:left="567" w:hanging="567"/>
      </w:pPr>
      <w:r w:rsidRPr="00B84F91">
        <w:t>35.</w:t>
      </w:r>
      <w:r w:rsidRPr="00B84F91">
        <w:tab/>
      </w:r>
      <w:r w:rsidRPr="00B84F91">
        <w:rPr>
          <w:color w:val="000000"/>
        </w:rPr>
        <w:t>отбелязва, че според Палатата рискът за законосъобразността и редовността на плащанията, свързани с отчетите на агенциите, като цяло е среден, като той варира от нисък до висок за отделни бюджетни дялове; отбелязва, че според Палатата рискът за дял I (Разходи за персонал) като цяло е нисък, за дял II (Административни разходи) — среден, а за дял III (Оперативни разходи) — от нисък до висок в зависимост от съответната агенция и естеството на нейните оперативни разходи; посочва, че според Палатата рискът по отношение на дял III е подобен на риска по дял II, но тъй като размерът на сумите по дял III е много по-висок, въздействието се счита за по-голямо;</w:t>
      </w:r>
    </w:p>
    <w:p w14:paraId="1C085710" w14:textId="77777777" w:rsidR="004D1A97" w:rsidRPr="00B84F91" w:rsidRDefault="004D1A97" w:rsidP="004D1A97">
      <w:pPr>
        <w:pStyle w:val="NormalHanging12a"/>
      </w:pPr>
      <w:r w:rsidRPr="00B84F91">
        <w:t>36.</w:t>
      </w:r>
      <w:r w:rsidRPr="00B84F91">
        <w:tab/>
        <w:t>изразява загриженост, че за шеста поредна година Палатата определя риска за доброто финансово управление като среден и свързан предимно с процедури за възлагане на обществени поръчки, които не са осигурили постигането на най-доброто съотношение между разходи и ползи;</w:t>
      </w:r>
    </w:p>
    <w:p w14:paraId="0700C1A1" w14:textId="77777777" w:rsidR="004D1A97" w:rsidRPr="00B84F91" w:rsidRDefault="004D1A97" w:rsidP="004D1A97">
      <w:pPr>
        <w:spacing w:after="240"/>
        <w:ind w:left="567" w:hanging="567"/>
        <w:rPr>
          <w:color w:val="000000"/>
        </w:rPr>
      </w:pPr>
      <w:r w:rsidRPr="00B84F91">
        <w:t>37.</w:t>
      </w:r>
      <w:r w:rsidRPr="00B84F91">
        <w:tab/>
      </w:r>
      <w:r w:rsidRPr="00B84F91">
        <w:rPr>
          <w:color w:val="000000"/>
        </w:rPr>
        <w:t>отбелязва, че Палатата определя риска за управлението на бюджета като нисък, като одитът на Палатата показва високо ниво на пренесени бюджетни кредити за поети задължения;</w:t>
      </w:r>
    </w:p>
    <w:p w14:paraId="4310F589" w14:textId="77777777" w:rsidR="004D1A97" w:rsidRPr="00B84F91" w:rsidRDefault="004D1A97" w:rsidP="004D1A97">
      <w:pPr>
        <w:spacing w:after="240"/>
        <w:ind w:left="567" w:hanging="567"/>
        <w:rPr>
          <w:color w:val="000000"/>
        </w:rPr>
      </w:pPr>
      <w:r w:rsidRPr="00B84F91">
        <w:rPr>
          <w:color w:val="000000"/>
        </w:rPr>
        <w:t>38.</w:t>
      </w:r>
      <w:r w:rsidRPr="00B84F91">
        <w:rPr>
          <w:color w:val="000000"/>
        </w:rPr>
        <w:tab/>
        <w:t>отбелязва, че според доклада на Палатата преобладаващите проблеми в агенциите са: i) слабости в обществените поръчки, които остават основният източник на нередовни плащания; ii) предизвикателства пред бюджетното управление, като прекомерни преноси и забавени плащания; iii) слабости във вътрешния контрол, по-специално при гарантиране на спазването на финансовите разпоредби и процедурните насоки;</w:t>
      </w:r>
    </w:p>
    <w:p w14:paraId="7CA85D83" w14:textId="77777777" w:rsidR="004D1A97" w:rsidRPr="00B84F91" w:rsidRDefault="004D1A97" w:rsidP="004D1A97">
      <w:pPr>
        <w:spacing w:after="240"/>
        <w:ind w:left="567" w:hanging="567"/>
        <w:rPr>
          <w:b/>
          <w:i/>
        </w:rPr>
      </w:pPr>
      <w:r w:rsidRPr="00B84F91">
        <w:rPr>
          <w:b/>
          <w:i/>
        </w:rPr>
        <w:t>Обобщено представяне на одитните резултати</w:t>
      </w:r>
    </w:p>
    <w:p w14:paraId="62185523" w14:textId="77777777" w:rsidR="004D1A97" w:rsidRPr="00B84F91" w:rsidRDefault="004D1A97" w:rsidP="004D1A97">
      <w:pPr>
        <w:spacing w:after="240"/>
        <w:ind w:left="567" w:hanging="567"/>
      </w:pPr>
      <w:r w:rsidRPr="00B84F91">
        <w:t>39.</w:t>
      </w:r>
      <w:r w:rsidRPr="00B84F91">
        <w:tab/>
        <w:t xml:space="preserve">отбелязва, че Палатата е изразила одитно становище без резерви относно надеждността на отчетите на всички агенции; отбелязва, че Палатата е изразила становище без резерви относно законосъобразността и редовността на приходите, свързани с отчетите, за всички агенции; отбелязва обаче, че въпреки че Палатата изразява становище без резерви относно законосъобразността и редовността на </w:t>
      </w:r>
      <w:r w:rsidRPr="00B84F91">
        <w:lastRenderedPageBreak/>
        <w:t>плащанията, свързани с отчетите, за повечето агенции, за четири агенции са регистрирани изключения: Европейския институт за иновации и технологии (EIT), Европейския орган по труда (ЕОТ), Агенцията на ЕС за киберсигурност (ENISA) и Агенцията на ЕС за оперативното управление на широкомащабни информационни системи (</w:t>
      </w:r>
      <w:proofErr w:type="spellStart"/>
      <w:r w:rsidRPr="00B84F91">
        <w:t>eu</w:t>
      </w:r>
      <w:proofErr w:type="spellEnd"/>
      <w:r w:rsidRPr="00B84F91">
        <w:t>-LISA);</w:t>
      </w:r>
    </w:p>
    <w:p w14:paraId="5A8704F1" w14:textId="77777777" w:rsidR="004D1A97" w:rsidRPr="00B84F91" w:rsidRDefault="004D1A97" w:rsidP="004D1A97">
      <w:pPr>
        <w:spacing w:after="240"/>
        <w:ind w:left="567" w:hanging="567"/>
      </w:pPr>
      <w:r w:rsidRPr="00B84F91">
        <w:t>40.</w:t>
      </w:r>
      <w:r w:rsidRPr="00B84F91">
        <w:tab/>
        <w:t xml:space="preserve">отбелязва, че по отношение на EIT становището с резерви е свързано с нередовни плащания на безвъзмездна финансова помощ, за които EIT е извършил последващи проверки като е използвал извадка от 174 разходни позиции; отбелязва, че EIT е отхвърлил някои разходи във връзка с 27 от тези разходни позиции, а Палатата е установила още три разходни позиции, за които EIT не е успял да докаже, че </w:t>
      </w:r>
      <w:proofErr w:type="spellStart"/>
      <w:r w:rsidRPr="00B84F91">
        <w:t>бенефициерите</w:t>
      </w:r>
      <w:proofErr w:type="spellEnd"/>
      <w:r w:rsidRPr="00B84F91">
        <w:t xml:space="preserve"> са спазили основните условия, определени в договора за безвъзмездна финансова помощ, което води до общо 12,2 милиона евро нередовни плащания на безвъзмездна финансова помощ, което съответства на изчислен процент грешки в размер на 3,4%; отбелязва, че EIT изразява несъгласие относно една от грешките, посочена от Палатата, засягаща три разходни позиции, които според него са допустими; отбелязва освен това, че според EIT без този случай, изчисленият в доклада на Палатата дял на грешките би бил под прага на същественост от 2%, в резултат на което може да бъде дадено одитно становище без резерви относно законосъобразността и редовността на плащанията на EIT;</w:t>
      </w:r>
    </w:p>
    <w:p w14:paraId="08D57A9B" w14:textId="77777777" w:rsidR="004D1A97" w:rsidRPr="00B84F91" w:rsidRDefault="004D1A97" w:rsidP="004D1A97">
      <w:pPr>
        <w:pStyle w:val="NormalHanging12a"/>
      </w:pPr>
      <w:r w:rsidRPr="00B84F91">
        <w:t>41.</w:t>
      </w:r>
      <w:r w:rsidRPr="00B84F91">
        <w:tab/>
        <w:t>отчита, че по отношение на ЕОТ резервите се отнасят до плащания в размер на 1,6 милиона евро, извършени през 2023 г., което представлява 3,8% от общия размер на наличните бюджетни кредити за плащания; отбелязва, че тази сума включва 1,3 милиона евро, свързани с поръчка, определена като нередовна в одитния доклад за 2022 г., поради това, че стойността ѝ надвишава определения в тръжните спецификации максимален размер, и 0,3 милиона евро, свързани с недостатъци в предварителните проверки на изпълнението на договорите; отбелязва отговора на ЕОТ, че нередовният договор е изтекъл през февруари 2024 г. и е заменен с ново рамково споразумение, сключено през ноември 2023 г.; отчита решението на ЕОТ да продължи да изпълнява нередовния договор временно, за да намали рисковете, да защити репутацията си и да поддържа постоянно нивото на предоставяните услуги, да изпълнява планираните дейности и основните си функции без прекъсване до влизането в сила на новото споразумение;</w:t>
      </w:r>
    </w:p>
    <w:p w14:paraId="00CD32C0" w14:textId="77777777" w:rsidR="004D1A97" w:rsidRPr="00B84F91" w:rsidRDefault="004D1A97" w:rsidP="004D1A97">
      <w:pPr>
        <w:spacing w:after="240"/>
        <w:ind w:left="567" w:hanging="567"/>
      </w:pPr>
      <w:r w:rsidRPr="00B84F91">
        <w:t>42.</w:t>
      </w:r>
      <w:r w:rsidRPr="00B84F91">
        <w:tab/>
        <w:t xml:space="preserve">отбелязва, че по отношение на ENISA резервите се отнасят до неправомерни плащания в размер на 1,8 милиона евро през 2023 г., което представлява 4,1% от общия размер на наличните бюджетни кредити за плащания през 2023 г.; припомня, че през август 2022 г. към бюджета на ENISA са добавени 15 милиона евро за предоставяне на засилена подкрепа в областта на киберсигурността на държавите членки след нашествието на Русия в Украйна; отбелязва освен това, че през септември 2022 г. ENISA е предприела открита процедура за обществена поръчка с 28 обособени позиции и впоследствие е сключила 28 отделни рамкови споразумения на обща стойност 14,4 милиона евро; отчита, че в началото на 2023 г. управителният съвет на ENISA е приел решение да допусне изключение и временно да приеме дерогация от своя финансов регламент в отговор на преразгледаните искания на държавите членки за подкрепа в областта на киберсигурността; отбелязва, че според отговора на ENISA решението на управителния съвет представлява изключение (ограничено по време и обхват) в </w:t>
      </w:r>
      <w:r w:rsidRPr="00B84F91">
        <w:lastRenderedPageBreak/>
        <w:t>отговор на конкретна извънредна ситуация в изключително трудна международна обстановка; отчита, че това изключение е надлежно регистрирано във връзка с прилагането на рамката за вътрешен контрол на ENISA и съответно е отчетено в консолидирания годишен отчет за дейността за 2023 г.;</w:t>
      </w:r>
    </w:p>
    <w:p w14:paraId="5B20AA31" w14:textId="77777777" w:rsidR="004D1A97" w:rsidRPr="00B84F91" w:rsidRDefault="004D1A97" w:rsidP="004D1A97">
      <w:pPr>
        <w:spacing w:after="240"/>
        <w:ind w:left="567" w:hanging="567"/>
      </w:pPr>
      <w:r w:rsidRPr="00B84F91">
        <w:t>43.</w:t>
      </w:r>
      <w:r w:rsidRPr="00B84F91">
        <w:tab/>
        <w:t xml:space="preserve">отбелязва, че за </w:t>
      </w:r>
      <w:proofErr w:type="spellStart"/>
      <w:r w:rsidRPr="00B84F91">
        <w:t>eu</w:t>
      </w:r>
      <w:proofErr w:type="spellEnd"/>
      <w:r w:rsidRPr="00B84F91">
        <w:t xml:space="preserve">-LISA становището с резерви е свързано с нередовни разходи през 2023 г., възлизащи общо на 12,6 милиона евро, които представляват 3,2% от общия размер на наличните бюджетни кредити за плащания, включително 2,7 милиона евро за договори, одитирани през 2023 г. и 9,9 милиона евро за договори, определени като нередовни в одитния доклад за 2022 г.; </w:t>
      </w:r>
    </w:p>
    <w:p w14:paraId="0F2E0DB8" w14:textId="77777777" w:rsidR="004D1A97" w:rsidRPr="00B84F91" w:rsidRDefault="004D1A97" w:rsidP="004D1A97">
      <w:pPr>
        <w:spacing w:after="240"/>
        <w:ind w:left="567" w:hanging="567"/>
      </w:pPr>
      <w:r w:rsidRPr="00B84F91">
        <w:t>44.</w:t>
      </w:r>
      <w:r w:rsidRPr="00B84F91">
        <w:tab/>
        <w:t xml:space="preserve">отбелязва със загриженост повтарящите се становища с резерви относно законосъобразността и редовността на плащанията на </w:t>
      </w:r>
      <w:proofErr w:type="spellStart"/>
      <w:r w:rsidRPr="00B84F91">
        <w:t>eu</w:t>
      </w:r>
      <w:proofErr w:type="spellEnd"/>
      <w:r w:rsidRPr="00B84F91">
        <w:t xml:space="preserve">-LISA, свързани с проблеми, сочени от Палатата от 2020 г. насам; отбелязва констатацията на Палатата, че повечето от договорите, засегнати от грешки, са изтекли или са били прекратени от </w:t>
      </w:r>
      <w:proofErr w:type="spellStart"/>
      <w:r w:rsidRPr="00B84F91">
        <w:t>eu</w:t>
      </w:r>
      <w:proofErr w:type="spellEnd"/>
      <w:r w:rsidRPr="00B84F91">
        <w:t>-LISA през 2023 г.;</w:t>
      </w:r>
    </w:p>
    <w:p w14:paraId="74D10AB5" w14:textId="77777777" w:rsidR="004D1A97" w:rsidRPr="00B84F91" w:rsidRDefault="004D1A97" w:rsidP="004D1A97">
      <w:pPr>
        <w:spacing w:after="240"/>
        <w:ind w:left="567" w:hanging="567"/>
      </w:pPr>
      <w:r w:rsidRPr="00B84F91">
        <w:t>45.</w:t>
      </w:r>
      <w:r w:rsidRPr="00B84F91">
        <w:tab/>
        <w:t>отбелязва, че основанието за становище с резерви (</w:t>
      </w:r>
      <w:proofErr w:type="spellStart"/>
      <w:r w:rsidRPr="00B84F91">
        <w:t>eu</w:t>
      </w:r>
      <w:proofErr w:type="spellEnd"/>
      <w:r w:rsidRPr="00B84F91">
        <w:t>-LISA) през 2023 г. включва следните нередности:</w:t>
      </w:r>
    </w:p>
    <w:p w14:paraId="1294AACE" w14:textId="77777777" w:rsidR="004D1A97" w:rsidRPr="00B84F91" w:rsidRDefault="004D1A97" w:rsidP="004D1A97">
      <w:pPr>
        <w:spacing w:after="240"/>
        <w:ind w:left="1134" w:hanging="567"/>
      </w:pPr>
      <w:r w:rsidRPr="00B84F91">
        <w:t>–</w:t>
      </w:r>
      <w:r w:rsidRPr="00B84F91">
        <w:tab/>
        <w:t xml:space="preserve">нередности в рамково споразумение: отбелязва, че </w:t>
      </w:r>
      <w:proofErr w:type="spellStart"/>
      <w:r w:rsidRPr="00B84F91">
        <w:t>eu</w:t>
      </w:r>
      <w:proofErr w:type="spellEnd"/>
      <w:r w:rsidRPr="00B84F91">
        <w:t>-LISA е направила значителни промени в някои ценови елементи на финансовите оферти на двама оференти, които надхвърлят корекциите, разрешени съгласно член 151 от Финансовия регламент, и които са повлияли съществено на резултата от търга, като свързаните с това плащания възлизат на общо 2,7 милиона евро през 2023 г.;</w:t>
      </w:r>
    </w:p>
    <w:p w14:paraId="6C696DC9" w14:textId="77777777" w:rsidR="004D1A97" w:rsidRPr="00B84F91" w:rsidRDefault="004D1A97" w:rsidP="004D1A97">
      <w:pPr>
        <w:spacing w:after="240"/>
        <w:ind w:left="1134" w:hanging="567"/>
      </w:pPr>
      <w:r w:rsidRPr="00B84F91">
        <w:t>–</w:t>
      </w:r>
      <w:r w:rsidRPr="00B84F91">
        <w:tab/>
        <w:t>необоснована процедура на договаряне: отбелязва освен това неправомерното плащане в размер на 7,7 милиона евро, свързано с рамково споразумение, сключено чрез процедура на договаряне без надлежна обосновка, което противоречи на стандартите за възлагане на обществени поръчки;</w:t>
      </w:r>
    </w:p>
    <w:p w14:paraId="23A5A6C4" w14:textId="77777777" w:rsidR="004D1A97" w:rsidRPr="00B84F91" w:rsidRDefault="004D1A97" w:rsidP="004D1A97">
      <w:pPr>
        <w:spacing w:after="240"/>
        <w:ind w:left="1134" w:hanging="567"/>
      </w:pPr>
      <w:r w:rsidRPr="00B84F91">
        <w:t>–</w:t>
      </w:r>
      <w:r w:rsidRPr="00B84F91">
        <w:tab/>
        <w:t>неразрешено изменение на договор: отбелязва, че плащания на стойност 1,8 милиона евро са определени като нередовни вследствие на неправомерно увеличение на договор с фиксирана цена с 3,6 милиона евро;</w:t>
      </w:r>
    </w:p>
    <w:p w14:paraId="24FB72AA" w14:textId="77777777" w:rsidR="004D1A97" w:rsidRPr="00B84F91" w:rsidRDefault="004D1A97" w:rsidP="004D1A97">
      <w:pPr>
        <w:spacing w:after="240"/>
        <w:ind w:left="1134" w:hanging="567"/>
      </w:pPr>
      <w:r w:rsidRPr="00B84F91">
        <w:t>–</w:t>
      </w:r>
      <w:r w:rsidRPr="00B84F91">
        <w:tab/>
        <w:t>неспазване на условията на рамково споразумение: отбелязва със загриженост, че плащанията по договор по рамково споразумение за поддръжка на обща споделена инфраструктура, възлизащи на 0,4 милиона евро, са нередовни, тъй като конкретният договор се отклонява съществено от рамковото споразумение;</w:t>
      </w:r>
    </w:p>
    <w:p w14:paraId="5D6AA5D8" w14:textId="77777777" w:rsidR="004D1A97" w:rsidRPr="00B84F91" w:rsidRDefault="004D1A97" w:rsidP="004D1A97">
      <w:pPr>
        <w:pStyle w:val="NormalHanging12a"/>
      </w:pPr>
      <w:r w:rsidRPr="00B84F91">
        <w:t>46.</w:t>
      </w:r>
      <w:r w:rsidRPr="00B84F91">
        <w:tab/>
        <w:t xml:space="preserve">изразява дълбока загриженост във връзка с повтарящите се проблеми при възлагането на обществени поръчки, които водят до становища с резерви за четвърта поредна година, и настоятелно призовава </w:t>
      </w:r>
      <w:proofErr w:type="spellStart"/>
      <w:r w:rsidRPr="00B84F91">
        <w:t>eu</w:t>
      </w:r>
      <w:proofErr w:type="spellEnd"/>
      <w:r w:rsidRPr="00B84F91">
        <w:t>-LISA да предприеме незабавни корективни действия за справяне и предотвратяване на тези проблеми в бъдещите практики във финансовото управление и възлагането на обществени поръчки, като гарантира пълно спазване на Финансовия регламент; призовава Европейският парламент да бъде информиран за развитието по този въпрос до 30 юни 2025 г.;</w:t>
      </w:r>
    </w:p>
    <w:p w14:paraId="5F693140" w14:textId="77777777" w:rsidR="004D1A97" w:rsidRPr="00B84F91" w:rsidRDefault="004D1A97" w:rsidP="004D1A97">
      <w:pPr>
        <w:pStyle w:val="NormalHanging12a"/>
      </w:pPr>
      <w:r w:rsidRPr="00B84F91">
        <w:lastRenderedPageBreak/>
        <w:t>47.</w:t>
      </w:r>
      <w:r w:rsidRPr="00B84F91">
        <w:tab/>
        <w:t>приветства съобщението на Палатата по време на изслушването</w:t>
      </w:r>
      <w:r w:rsidRPr="00B84F91">
        <w:rPr>
          <w:vertAlign w:val="superscript"/>
        </w:rPr>
        <w:footnoteReference w:id="412"/>
      </w:r>
      <w:r w:rsidRPr="00B84F91">
        <w:t>, че въпреки становището, издадено за 2023 г. (</w:t>
      </w:r>
      <w:proofErr w:type="spellStart"/>
      <w:r w:rsidRPr="00B84F91">
        <w:t>eu</w:t>
      </w:r>
      <w:proofErr w:type="spellEnd"/>
      <w:r w:rsidRPr="00B84F91">
        <w:t>-LISA), установените недостатъци се отстраняват и са отбелязани подобрения;</w:t>
      </w:r>
    </w:p>
    <w:p w14:paraId="61933FA9" w14:textId="77777777" w:rsidR="004D1A97" w:rsidRPr="00B84F91" w:rsidRDefault="004D1A97" w:rsidP="004D1A97">
      <w:pPr>
        <w:spacing w:after="240"/>
        <w:ind w:left="567" w:hanging="567"/>
      </w:pPr>
      <w:r w:rsidRPr="00B84F91">
        <w:t>48.</w:t>
      </w:r>
      <w:r w:rsidRPr="00B84F91">
        <w:tab/>
        <w:t xml:space="preserve">настоява, че макар че Финансовият регламент не поставя таван за преноса на бюджетни кредити, повтарящото се високо равнище на преносите на бюджетни кредити нарушава бюджетния принцип за </w:t>
      </w:r>
      <w:proofErr w:type="spellStart"/>
      <w:r w:rsidRPr="00B84F91">
        <w:t>ежегодност</w:t>
      </w:r>
      <w:proofErr w:type="spellEnd"/>
      <w:r w:rsidRPr="00B84F91">
        <w:t xml:space="preserve"> и предполага наличие на структурни проблеми в бюджетните процедури и изпълнението на бюджета; отбелязва, че в 14 агенции (ENISA, </w:t>
      </w:r>
      <w:proofErr w:type="spellStart"/>
      <w:r w:rsidRPr="00B84F91">
        <w:t>Eurofound</w:t>
      </w:r>
      <w:proofErr w:type="spellEnd"/>
      <w:r w:rsidRPr="00B84F91">
        <w:t xml:space="preserve">, EIGE, </w:t>
      </w:r>
      <w:proofErr w:type="spellStart"/>
      <w:r w:rsidRPr="00B84F91">
        <w:t>eu</w:t>
      </w:r>
      <w:proofErr w:type="spellEnd"/>
      <w:r w:rsidRPr="00B84F91">
        <w:t xml:space="preserve">-LISA, EMA, EUSPA, ЕОТ, FRA, EFCA, ECDC, EU-OSHA, ACER, </w:t>
      </w:r>
      <w:proofErr w:type="spellStart"/>
      <w:r w:rsidRPr="00B84F91">
        <w:t>Frontex</w:t>
      </w:r>
      <w:proofErr w:type="spellEnd"/>
      <w:r w:rsidRPr="00B84F91">
        <w:t xml:space="preserve"> и Агенцията за снабдяване към Евратом (ESA)) равнището на преносите, засягащи всички бюджетни дялове, взети заедно, надхвърля 15%; отбелязва, че в случаите на </w:t>
      </w:r>
      <w:proofErr w:type="spellStart"/>
      <w:r w:rsidRPr="00B84F91">
        <w:t>Frontex</w:t>
      </w:r>
      <w:proofErr w:type="spellEnd"/>
      <w:r w:rsidRPr="00B84F91">
        <w:t xml:space="preserve"> и ESA преносите надхвърлят съответно 40% и 50%;</w:t>
      </w:r>
    </w:p>
    <w:p w14:paraId="68FE274F" w14:textId="77777777" w:rsidR="004D1A97" w:rsidRPr="00B84F91" w:rsidRDefault="004D1A97" w:rsidP="004D1A97">
      <w:pPr>
        <w:spacing w:after="240"/>
        <w:ind w:left="567" w:hanging="567"/>
      </w:pPr>
      <w:r w:rsidRPr="00B84F91">
        <w:t>49.</w:t>
      </w:r>
      <w:r w:rsidRPr="00B84F91">
        <w:tab/>
        <w:t xml:space="preserve">припомня, че регулаторната рамка изисква агенциите да извършват плащанията в рамките на определени срокове; отбелязва, че неспазването на тези срокове може да доведе до начисляването на лихва за забава от кредиторите; отбелязва, че за 2023 г. в доклада на Палатата се посочва, че въпреки че общият размер на лихвите за забава не е съществен, следва да се отбележи, че девет агенции (ACER, ECDC, ЕАОС, EUDA, ENISA, ERA, EU-OSHA, Евроюст и </w:t>
      </w:r>
      <w:proofErr w:type="spellStart"/>
      <w:r w:rsidRPr="00B84F91">
        <w:t>Frontex</w:t>
      </w:r>
      <w:proofErr w:type="spellEnd"/>
      <w:r w:rsidRPr="00B84F91">
        <w:t>) често не са спазвали сроковете за плащане; изисква от въпросните агенции да гарантират спазването на законоустановените срокове за плащане; подчертава, че макар сумата на начислените лихви за забава да е несъществена, честото забавяне на плащания може да навреди на репутацията на агенциите;</w:t>
      </w:r>
    </w:p>
    <w:p w14:paraId="7936F7A2" w14:textId="77777777" w:rsidR="004D1A97" w:rsidRPr="00B84F91" w:rsidRDefault="004D1A97" w:rsidP="004D1A97">
      <w:pPr>
        <w:spacing w:after="240"/>
        <w:ind w:left="567" w:hanging="567"/>
      </w:pPr>
      <w:r w:rsidRPr="00B84F91">
        <w:t>50.</w:t>
      </w:r>
      <w:r w:rsidRPr="00B84F91">
        <w:tab/>
        <w:t xml:space="preserve">посочва, че в своите доклади Палатата включва параграфи за обръщане на внимание, в които насочва вниманието към въпроси, представени или оповестени в отчетите, които са изключително важни за разбирането на тези отчети или на свързаните с тях приходи или плащания; отбелязва освен това, че за финансовата 2023 година Палатата е включила параграфи за обръщане на внимание за следните агенции, които са част от настоящата резолюция: </w:t>
      </w:r>
      <w:proofErr w:type="spellStart"/>
      <w:r w:rsidRPr="00B84F91">
        <w:t>CdT</w:t>
      </w:r>
      <w:proofErr w:type="spellEnd"/>
      <w:r w:rsidRPr="00B84F91">
        <w:t xml:space="preserve">, ЕБО, EIT, EMA, ERA, ESMA, Евроюст, </w:t>
      </w:r>
      <w:proofErr w:type="spellStart"/>
      <w:r w:rsidRPr="00B84F91">
        <w:t>eu</w:t>
      </w:r>
      <w:proofErr w:type="spellEnd"/>
      <w:r w:rsidRPr="00B84F91">
        <w:t xml:space="preserve">-LISA и </w:t>
      </w:r>
      <w:proofErr w:type="spellStart"/>
      <w:r w:rsidRPr="00B84F91">
        <w:t>Frontex</w:t>
      </w:r>
      <w:proofErr w:type="spellEnd"/>
      <w:r w:rsidRPr="00B84F91">
        <w:t>;</w:t>
      </w:r>
    </w:p>
    <w:p w14:paraId="4CC6FE4F" w14:textId="77777777" w:rsidR="004D1A97" w:rsidRPr="00B84F91" w:rsidRDefault="004D1A97" w:rsidP="004D1A97">
      <w:pPr>
        <w:spacing w:after="240"/>
        <w:ind w:left="567" w:hanging="567"/>
      </w:pPr>
      <w:r w:rsidRPr="00B84F91">
        <w:t>51.</w:t>
      </w:r>
      <w:r w:rsidRPr="00B84F91">
        <w:tab/>
        <w:t xml:space="preserve">припомня, че в отчетите си </w:t>
      </w:r>
      <w:proofErr w:type="spellStart"/>
      <w:r w:rsidRPr="00B84F91">
        <w:t>CdT</w:t>
      </w:r>
      <w:proofErr w:type="spellEnd"/>
      <w:r w:rsidRPr="00B84F91">
        <w:t xml:space="preserve"> оповестява спад на оперативните приходи, който има отрицателно отражение върху неговия икономически резултат;</w:t>
      </w:r>
    </w:p>
    <w:p w14:paraId="0916EB4D" w14:textId="77777777" w:rsidR="004D1A97" w:rsidRPr="00B84F91" w:rsidRDefault="004D1A97" w:rsidP="004D1A97">
      <w:pPr>
        <w:spacing w:after="240"/>
        <w:ind w:left="567" w:hanging="567"/>
      </w:pPr>
      <w:r w:rsidRPr="00B84F91">
        <w:t>52.</w:t>
      </w:r>
      <w:r w:rsidRPr="00B84F91">
        <w:tab/>
        <w:t>обръща внимание на оповестяванията в годишните отчети на ERA и Евроюст във връзка с прилагането на SUMMA</w:t>
      </w:r>
      <w:r w:rsidRPr="00B84F91">
        <w:rPr>
          <w:rStyle w:val="FootnoteReference"/>
        </w:rPr>
        <w:footnoteReference w:id="413"/>
      </w:r>
      <w:r w:rsidRPr="00B84F91">
        <w:t>; отбелязва, че през цялата 2023 г. технически проблеми са продължили да допринасят за увеличаване на забавените плащания (50% през 2023 г.) и за случаите на несъответствие в Евроюст;</w:t>
      </w:r>
      <w:r w:rsidRPr="00B84F91">
        <w:rPr>
          <w:rFonts w:ascii="Segoe UI" w:hAnsi="Segoe UI"/>
          <w:color w:val="101010"/>
          <w:sz w:val="20"/>
        </w:rPr>
        <w:t xml:space="preserve"> </w:t>
      </w:r>
      <w:r w:rsidRPr="00B84F91">
        <w:t>отбелязва, че ERA е имала технически проблеми през първото тримесечие, въпреки че са постигнати значителни подобрения в сравнение с 2022 г.;</w:t>
      </w:r>
    </w:p>
    <w:p w14:paraId="4F4DB134" w14:textId="77777777" w:rsidR="004D1A97" w:rsidRPr="00B84F91" w:rsidRDefault="004D1A97" w:rsidP="004D1A97">
      <w:pPr>
        <w:spacing w:after="240"/>
        <w:ind w:left="567" w:hanging="567"/>
      </w:pPr>
      <w:r w:rsidRPr="00B84F91">
        <w:t>53.</w:t>
      </w:r>
      <w:r w:rsidRPr="00B84F91">
        <w:tab/>
        <w:t>отбелязва, че в отчетите на ESMA и ЕБО се оповестява несигурност, свързана с изхода от съдебно производство</w:t>
      </w:r>
      <w:r w:rsidRPr="00B84F91">
        <w:rPr>
          <w:rStyle w:val="FootnoteReference"/>
        </w:rPr>
        <w:footnoteReference w:id="414"/>
      </w:r>
      <w:r w:rsidRPr="00B84F91">
        <w:t xml:space="preserve">; отбелязва, че ESMA е бил официално уведомен </w:t>
      </w:r>
      <w:r w:rsidRPr="00B84F91">
        <w:lastRenderedPageBreak/>
        <w:t>за съдебно дело, свързано със съвместна процедура за възлагане на обществена поръчка, в която освен ESMA са участвали три други агенции на ЕС (ЕБО, EIOPA и ERA); отчита, че процедурата е завършила с рамково споразумение на стойност 40,2 милиона евро, и че до края на 2023 г. ESMA и ЕБО са подписали конкретни договори на обща стойност 2 185 226 EUR за ESMA и 6 306 786 EUR за ЕБО;</w:t>
      </w:r>
    </w:p>
    <w:p w14:paraId="7293F5A0" w14:textId="77777777" w:rsidR="004D1A97" w:rsidRPr="00B84F91" w:rsidRDefault="004D1A97" w:rsidP="004D1A97">
      <w:pPr>
        <w:spacing w:after="240"/>
        <w:ind w:left="567" w:hanging="567"/>
      </w:pPr>
      <w:r w:rsidRPr="00B84F91">
        <w:t>54.</w:t>
      </w:r>
      <w:r w:rsidRPr="00B84F91">
        <w:tab/>
        <w:t>изразява загриженост, че жалбоподателят иска отмяна на решение за възлагане на обществена поръчка и парична компенсация в размер от 400 000 EUR до 3,5 милиона евро; отбелязва, че поради ранния етап на производството ръководството както на ESMA, така и на ЕБО не е в състояние да предостави надеждна оценка на потенциалните разходи, произтичащи от делото</w:t>
      </w:r>
      <w:r w:rsidRPr="00B84F91">
        <w:rPr>
          <w:vertAlign w:val="superscript"/>
        </w:rPr>
        <w:footnoteReference w:id="415"/>
      </w:r>
      <w:r w:rsidRPr="00B84F91">
        <w:t>;</w:t>
      </w:r>
    </w:p>
    <w:p w14:paraId="3142DDE2" w14:textId="77777777" w:rsidR="004D1A97" w:rsidRPr="00B84F91" w:rsidRDefault="004D1A97" w:rsidP="004D1A97">
      <w:pPr>
        <w:spacing w:after="240"/>
        <w:ind w:left="567" w:hanging="567"/>
      </w:pPr>
      <w:r w:rsidRPr="00B84F91">
        <w:t>55.</w:t>
      </w:r>
      <w:r w:rsidRPr="00B84F91">
        <w:tab/>
        <w:t xml:space="preserve">обръща внимание на оповестяването в отчетите на ESMA на обезценка в размер на 368 300 EUR, съответстваща на незаплатени такси от </w:t>
      </w:r>
      <w:proofErr w:type="spellStart"/>
      <w:r w:rsidRPr="00B84F91">
        <w:t>поднадзорни</w:t>
      </w:r>
      <w:proofErr w:type="spellEnd"/>
      <w:r w:rsidRPr="00B84F91">
        <w:t xml:space="preserve"> субекти от трети държави; отбелязва, че обезценката е свързана с факта, че Регламентът за европейската пазарна инфраструктура (РЕПИ) не предоставя на ESMA ефективен механизъм за принудително събиране на неизплатени такси от държави извън Съюза; приветства факта, че неотдавнашното споразумение на </w:t>
      </w:r>
      <w:proofErr w:type="spellStart"/>
      <w:r w:rsidRPr="00B84F91">
        <w:t>съзаконодателите</w:t>
      </w:r>
      <w:proofErr w:type="spellEnd"/>
      <w:r w:rsidRPr="00B84F91">
        <w:t xml:space="preserve"> за изменение на регламента (РЕПИ 3) въвежда възможността ESMA да престане да признава </w:t>
      </w:r>
      <w:proofErr w:type="spellStart"/>
      <w:r w:rsidRPr="00B84F91">
        <w:t>поднадзорни</w:t>
      </w:r>
      <w:proofErr w:type="spellEnd"/>
      <w:r w:rsidRPr="00B84F91">
        <w:t xml:space="preserve"> субекти от трети държави, които не плащат своите такси;</w:t>
      </w:r>
    </w:p>
    <w:p w14:paraId="6D46EA29" w14:textId="77777777" w:rsidR="004D1A97" w:rsidRPr="00B84F91" w:rsidRDefault="004D1A97" w:rsidP="004D1A97">
      <w:pPr>
        <w:spacing w:after="240"/>
        <w:ind w:left="567" w:hanging="567"/>
      </w:pPr>
      <w:r w:rsidRPr="00B84F91">
        <w:t>56.</w:t>
      </w:r>
      <w:r w:rsidRPr="00B84F91">
        <w:tab/>
        <w:t xml:space="preserve">отбелязва, че в отчетите на ЕБО се описват значителни последици от Законодателния акт за оперативната устойчивост на цифровите технологии (DORA) и Регламента относно пазарите на </w:t>
      </w:r>
      <w:proofErr w:type="spellStart"/>
      <w:r w:rsidRPr="00B84F91">
        <w:t>криптоактиви</w:t>
      </w:r>
      <w:proofErr w:type="spellEnd"/>
      <w:r w:rsidRPr="00B84F91">
        <w:t xml:space="preserve"> (</w:t>
      </w:r>
      <w:proofErr w:type="spellStart"/>
      <w:r w:rsidRPr="00B84F91">
        <w:t>MiCAR</w:t>
      </w:r>
      <w:proofErr w:type="spellEnd"/>
      <w:r w:rsidRPr="00B84F91">
        <w:t>) във връзка с неосигуреното финансиране за ресурси, необходими за разработката на свързаните с тези нормативни документи задачи и прилагането на съответна политика на надзор през 2023 г. преди да може да започне събирането на такси; отбелязва, че ЕБО е трябвало да преразпредели ресурси за тези подготвителни дейности;</w:t>
      </w:r>
    </w:p>
    <w:p w14:paraId="54921689" w14:textId="77777777" w:rsidR="004D1A97" w:rsidRPr="00B84F91" w:rsidRDefault="004D1A97" w:rsidP="004D1A97">
      <w:pPr>
        <w:spacing w:after="240"/>
        <w:ind w:left="567" w:hanging="567"/>
      </w:pPr>
      <w:r w:rsidRPr="00B84F91">
        <w:t>57.</w:t>
      </w:r>
      <w:r w:rsidRPr="00B84F91">
        <w:tab/>
        <w:t>отбелязва, че в отчетите на EIT се описват допусканията, използвани при изчислението на прогнозните оперативни разходи (разходи за отпускане на безвъзмездна финансова помощ), които са начислени и представени като намаляваща позиция в активите при авансовото финансиране в счетоводния баланс; припомня, че прогнозните начислени разходи във връзка с отпускането на безвъзмездна финансова помощ са значителни по своята същност и носят несигурност;</w:t>
      </w:r>
    </w:p>
    <w:p w14:paraId="0377787D" w14:textId="77777777" w:rsidR="004D1A97" w:rsidRPr="00B84F91" w:rsidRDefault="004D1A97" w:rsidP="004D1A97">
      <w:pPr>
        <w:pStyle w:val="NormalHanging12a"/>
      </w:pPr>
      <w:r w:rsidRPr="00B84F91">
        <w:t>58.</w:t>
      </w:r>
      <w:r w:rsidRPr="00B84F91">
        <w:tab/>
        <w:t xml:space="preserve">отбелязва, че EMA е направила съществени оповестявания в годишните си отчети във връзка с предишните си помещения в Лондон и несигурността, породена от факта, че дружеството майка на нейния </w:t>
      </w:r>
      <w:proofErr w:type="spellStart"/>
      <w:r w:rsidRPr="00B84F91">
        <w:t>поднаемател</w:t>
      </w:r>
      <w:proofErr w:type="spellEnd"/>
      <w:r w:rsidRPr="00B84F91">
        <w:t xml:space="preserve"> е обявило несъстоятелност; отбелязва със загриженост, че от EMA може да бъде потърсена цялата оставаща дължима сума по основния договор за наем; отчита, че максималният размер на средствата, в т.ч. задълженията във връзка с общинския данък, дължими от EMA в случай на освобождаване на помещенията за оставащия период на договора за наем, възлиза на 550 милиона евро; отбелязва, че понастоящем EMA е в процес на предоговаряне на условията за преотдаване под наем с клона на групата в Обединеното кралство и че като част от тези преговори EMA е приела отсрочване </w:t>
      </w:r>
      <w:r w:rsidRPr="00B84F91">
        <w:lastRenderedPageBreak/>
        <w:t xml:space="preserve">на плащанията за наем за първите две тримесечия на 2024 г. и намаляване на плащанията за наем от </w:t>
      </w:r>
      <w:proofErr w:type="spellStart"/>
      <w:r w:rsidRPr="00B84F91">
        <w:t>поднаемателя</w:t>
      </w:r>
      <w:proofErr w:type="spellEnd"/>
      <w:r w:rsidRPr="00B84F91">
        <w:t xml:space="preserve"> от 1 януари 2024 г.; отбелязва, че в тази връзка EMA е предвидила </w:t>
      </w:r>
      <w:proofErr w:type="spellStart"/>
      <w:r w:rsidRPr="00B84F91">
        <w:t>провизия</w:t>
      </w:r>
      <w:proofErr w:type="spellEnd"/>
      <w:r w:rsidRPr="00B84F91">
        <w:t xml:space="preserve"> за обременяващ договор в размер на 131,4 милиона евро; отбелязва, че </w:t>
      </w:r>
      <w:proofErr w:type="spellStart"/>
      <w:r w:rsidRPr="00B84F91">
        <w:t>поднаемателят</w:t>
      </w:r>
      <w:proofErr w:type="spellEnd"/>
      <w:r w:rsidRPr="00B84F91">
        <w:t xml:space="preserve"> на EMA е изпълнил договорните си задължения за 2023 г., като плащанията за наем покриват периода до 31 декември 2023 г., и настоятелно призовава EMA и Комисията да намерят устойчиво решение за прекратяване на договора и на всички свързани с него задължения преди следващата процедура по освобождаване от отговорност във връзка с изпълнението на бюджета за 2024 г.;</w:t>
      </w:r>
    </w:p>
    <w:p w14:paraId="19560A69" w14:textId="77777777" w:rsidR="004D1A97" w:rsidRPr="00B84F91" w:rsidRDefault="004D1A97" w:rsidP="004D1A97">
      <w:pPr>
        <w:spacing w:after="240"/>
        <w:ind w:left="567" w:hanging="567"/>
      </w:pPr>
      <w:r w:rsidRPr="00B84F91">
        <w:t>59.</w:t>
      </w:r>
      <w:r w:rsidRPr="00B84F91">
        <w:tab/>
        <w:t xml:space="preserve">отбелязва, че в отчетите на </w:t>
      </w:r>
      <w:proofErr w:type="spellStart"/>
      <w:r w:rsidRPr="00B84F91">
        <w:t>eu</w:t>
      </w:r>
      <w:proofErr w:type="spellEnd"/>
      <w:r w:rsidRPr="00B84F91">
        <w:t xml:space="preserve">-LISA е включено оповестяване относно финансовото състояние на един ключов изпълнител по две текущи рамкови споразумения; отбелязва, че </w:t>
      </w:r>
      <w:proofErr w:type="spellStart"/>
      <w:r w:rsidRPr="00B84F91">
        <w:t>eu</w:t>
      </w:r>
      <w:proofErr w:type="spellEnd"/>
      <w:r w:rsidRPr="00B84F91">
        <w:t xml:space="preserve">-LISA има две текущи рамкови споразумения с изпълнител, който е член на консорциум, и че този изпълнител е заменил своето дружество майка в споразуменията и отговаря за въвеждането и поддържането на Системата за влизане/излизане и за предоставянето на услуги съгласно Рамковото споразумение за хоризонтални операции, обособена позиция 1; отбелязва, че непогасените суми по споразуменията възлизат съответно на 97,5 милиона евро и 41 милиона евро; отбелязва, че за да се справи с потенциалните рискове, свързани с финансовата жизнеспособност на дружеството майка, </w:t>
      </w:r>
      <w:proofErr w:type="spellStart"/>
      <w:r w:rsidRPr="00B84F91">
        <w:t>eu</w:t>
      </w:r>
      <w:proofErr w:type="spellEnd"/>
      <w:r w:rsidRPr="00B84F91">
        <w:t xml:space="preserve">-LISA следи отблизо финансовото състояние на изпълнителя, като използва независими инструменти за оценка на риска и преки запитвания; отбелязва че освен това </w:t>
      </w:r>
      <w:proofErr w:type="spellStart"/>
      <w:r w:rsidRPr="00B84F91">
        <w:t>eu</w:t>
      </w:r>
      <w:proofErr w:type="spellEnd"/>
      <w:r w:rsidRPr="00B84F91">
        <w:t>-LISA редовно оценява напредъка по активите в процес на разработване, за да се увери, че няма неблагоприятни въздействия върху изпълнението на нейния мандат, и проактивно управлява и смекчава рисковете, свързани със смущения във веригата на доставки, в рамките на финансовите правила</w:t>
      </w:r>
      <w:r w:rsidRPr="00B84F91">
        <w:rPr>
          <w:vertAlign w:val="superscript"/>
        </w:rPr>
        <w:footnoteReference w:id="416"/>
      </w:r>
      <w:r w:rsidRPr="00B84F91">
        <w:t>;</w:t>
      </w:r>
    </w:p>
    <w:p w14:paraId="14DA1E10" w14:textId="77777777" w:rsidR="004D1A97" w:rsidRPr="00B84F91" w:rsidRDefault="004D1A97" w:rsidP="004D1A97">
      <w:pPr>
        <w:spacing w:after="240"/>
        <w:ind w:left="567" w:hanging="567"/>
      </w:pPr>
      <w:r w:rsidRPr="00B84F91">
        <w:t>60.</w:t>
      </w:r>
      <w:r w:rsidRPr="00B84F91">
        <w:tab/>
        <w:t xml:space="preserve">припомня продължаващите различия в подходите на </w:t>
      </w:r>
      <w:proofErr w:type="spellStart"/>
      <w:r w:rsidRPr="00B84F91">
        <w:t>Frontex</w:t>
      </w:r>
      <w:proofErr w:type="spellEnd"/>
      <w:r w:rsidRPr="00B84F91">
        <w:t xml:space="preserve"> и Палатата по отношение на изчисляването на вноските от асоциираните към Шенген държави в бюджета на </w:t>
      </w:r>
      <w:proofErr w:type="spellStart"/>
      <w:r w:rsidRPr="00B84F91">
        <w:t>Frontex</w:t>
      </w:r>
      <w:proofErr w:type="spellEnd"/>
      <w:r w:rsidRPr="00B84F91">
        <w:t xml:space="preserve">; отбелязва, че Палатата счита, че тълкуването на </w:t>
      </w:r>
      <w:proofErr w:type="spellStart"/>
      <w:r w:rsidRPr="00B84F91">
        <w:t>Frontex</w:t>
      </w:r>
      <w:proofErr w:type="spellEnd"/>
      <w:r w:rsidRPr="00B84F91">
        <w:t xml:space="preserve"> е неправилно, тъй като води до занижаване на приноса от страна на асоциираните към Шенген държави в бюджета на </w:t>
      </w:r>
      <w:proofErr w:type="spellStart"/>
      <w:r w:rsidRPr="00B84F91">
        <w:t>Frontex</w:t>
      </w:r>
      <w:proofErr w:type="spellEnd"/>
      <w:r w:rsidRPr="00B84F91">
        <w:t xml:space="preserve"> с около 3,5 милиона евро (7%), като се има предвид размерът на техните икономики спрямо размера на икономиката на ЕС; отбелязва, че временно изпълняващият длъжността счетоводител е разгледал ситуацията и, подобно на управителния съвет, счита, че не е необходимо </w:t>
      </w:r>
      <w:proofErr w:type="spellStart"/>
      <w:r w:rsidRPr="00B84F91">
        <w:t>Frontex</w:t>
      </w:r>
      <w:proofErr w:type="spellEnd"/>
      <w:r w:rsidRPr="00B84F91">
        <w:t xml:space="preserve"> да преразглежда настоящата методология за изчисляване на вноската на асоциираните към Шенген държави в бюджета на </w:t>
      </w:r>
      <w:proofErr w:type="spellStart"/>
      <w:r w:rsidRPr="00B84F91">
        <w:t>Frontex</w:t>
      </w:r>
      <w:proofErr w:type="spellEnd"/>
      <w:r w:rsidRPr="00B84F91">
        <w:rPr>
          <w:vertAlign w:val="superscript"/>
        </w:rPr>
        <w:footnoteReference w:id="417"/>
      </w:r>
      <w:r w:rsidRPr="00B84F91">
        <w:t xml:space="preserve">; отбелязва отговора на </w:t>
      </w:r>
      <w:proofErr w:type="spellStart"/>
      <w:r w:rsidRPr="00B84F91">
        <w:t>Frontex</w:t>
      </w:r>
      <w:proofErr w:type="spellEnd"/>
      <w:r w:rsidRPr="00B84F91">
        <w:t xml:space="preserve"> относно последващите действия във връзка с доклада за освобождаване от отговорност във връзка с изпълнението на бюджета за 2022 г., в който се посочва, че агенцията продължава да използва този подход за изчисляването на вноските на асоциираните към Шенген държави; изисква от </w:t>
      </w:r>
      <w:proofErr w:type="spellStart"/>
      <w:r w:rsidRPr="00B84F91">
        <w:t>Frontex</w:t>
      </w:r>
      <w:proofErr w:type="spellEnd"/>
      <w:r w:rsidRPr="00B84F91">
        <w:t xml:space="preserve"> да представи на органа по освобождаване от отговорност подробно обяснение на методологията, използвана за тези изчисления;</w:t>
      </w:r>
    </w:p>
    <w:p w14:paraId="0EBFFCF8" w14:textId="77777777" w:rsidR="004D1A97" w:rsidRPr="00B84F91" w:rsidRDefault="004D1A97" w:rsidP="004D1A97">
      <w:pPr>
        <w:spacing w:after="240"/>
        <w:ind w:left="567" w:hanging="567"/>
        <w:rPr>
          <w:b/>
          <w:i/>
        </w:rPr>
      </w:pPr>
      <w:r w:rsidRPr="00B84F91">
        <w:rPr>
          <w:b/>
          <w:i/>
        </w:rPr>
        <w:t>Резултати от дейността</w:t>
      </w:r>
    </w:p>
    <w:p w14:paraId="76586F90" w14:textId="77777777" w:rsidR="004D1A97" w:rsidRPr="00B84F91" w:rsidRDefault="004D1A97" w:rsidP="004D1A97">
      <w:pPr>
        <w:spacing w:after="240"/>
        <w:ind w:left="567" w:hanging="567"/>
      </w:pPr>
      <w:r w:rsidRPr="00B84F91">
        <w:t>61.</w:t>
      </w:r>
      <w:r w:rsidRPr="00B84F91">
        <w:tab/>
        <w:t xml:space="preserve">отбелязва, че с Общия подход относно децентрализираните агенции се въвежда концепцията за ключови показатели за резултатите от дейността (КПР), с която се </w:t>
      </w:r>
      <w:r w:rsidRPr="00B84F91">
        <w:lastRenderedPageBreak/>
        <w:t>цели подобряване на проследяването на резултатите от дейността на агенциите;</w:t>
      </w:r>
    </w:p>
    <w:p w14:paraId="39BCCD5E" w14:textId="77777777" w:rsidR="004D1A97" w:rsidRPr="00B84F91" w:rsidRDefault="004D1A97" w:rsidP="004D1A97">
      <w:pPr>
        <w:spacing w:after="240"/>
        <w:ind w:left="567" w:hanging="567"/>
      </w:pPr>
      <w:r w:rsidRPr="00B84F91">
        <w:t>62.</w:t>
      </w:r>
      <w:r w:rsidRPr="00B84F91">
        <w:tab/>
        <w:t>отбелязва освен това, че съгласно пътната карта, разработена от Комисията</w:t>
      </w:r>
      <w:r w:rsidRPr="00B84F91">
        <w:rPr>
          <w:vertAlign w:val="superscript"/>
        </w:rPr>
        <w:footnoteReference w:id="418"/>
      </w:r>
      <w:r w:rsidRPr="00B84F91">
        <w:t>, КПР следва да бъдат разработени по отношение на работата както на агенцията, така и на нейния директор; отбелязва също така, че Комисията е предложила да се разработят и образци за годишната работна програма или за оценката;</w:t>
      </w:r>
    </w:p>
    <w:p w14:paraId="1B1F51EA" w14:textId="77777777" w:rsidR="004D1A97" w:rsidRPr="00B84F91" w:rsidRDefault="004D1A97" w:rsidP="004D1A97">
      <w:pPr>
        <w:spacing w:after="240"/>
        <w:ind w:left="567" w:hanging="567"/>
      </w:pPr>
      <w:r w:rsidRPr="00B84F91">
        <w:t>63.</w:t>
      </w:r>
      <w:r w:rsidRPr="00B84F91">
        <w:tab/>
        <w:t>посочва, че съгласно пътната карта КПР следва да се разработват ежегодно от агенциите и Комисията и следователно да се променят всяка година, което затруднява проследяването на резултатите от дейността на агенцията за по-дълъг период от време, тъй като някои КПР може да не бъдат следвани в продължение на няколко години;</w:t>
      </w:r>
    </w:p>
    <w:p w14:paraId="1B962B6B" w14:textId="77777777" w:rsidR="004D1A97" w:rsidRPr="00B84F91" w:rsidRDefault="004D1A97" w:rsidP="004D1A97">
      <w:pPr>
        <w:pStyle w:val="NormalHanging12a"/>
      </w:pPr>
      <w:r w:rsidRPr="00B84F91">
        <w:t>64.</w:t>
      </w:r>
      <w:r w:rsidRPr="00B84F91">
        <w:tab/>
        <w:t>препоръчва агенциите да предприемат действия за постигане на все още неизпълнените или забавените показатели и редовно да коригират своите ключови показатели за резултатите от дейността (КПР), за да подобрят ефективността си;</w:t>
      </w:r>
    </w:p>
    <w:p w14:paraId="6B0C5E31" w14:textId="77777777" w:rsidR="004D1A97" w:rsidRPr="00B84F91" w:rsidRDefault="004D1A97" w:rsidP="004D1A97">
      <w:pPr>
        <w:spacing w:after="240"/>
        <w:ind w:left="567" w:hanging="567"/>
      </w:pPr>
      <w:r w:rsidRPr="00B84F91">
        <w:t>65.</w:t>
      </w:r>
      <w:r w:rsidRPr="00B84F91">
        <w:tab/>
        <w:t>подчертава, че насоките на Комисията</w:t>
      </w:r>
      <w:r w:rsidRPr="00B84F91">
        <w:rPr>
          <w:vertAlign w:val="superscript"/>
        </w:rPr>
        <w:footnoteReference w:id="419"/>
      </w:r>
      <w:r w:rsidRPr="00B84F91">
        <w:t xml:space="preserve"> за КПР за директорите на децентрализираните агенции на ЕС са съсредоточени изцяло върху резултатите от дейността на директорите на агенциите, т.е. свързани са главно с управлението на бюджета и човешките ресурси, и не се използват за предоставяне на оценка на резултатите или на ефикасността и ефективността на операциите в рамките на мандатите на агенциите</w:t>
      </w:r>
      <w:r w:rsidRPr="00B84F91">
        <w:rPr>
          <w:vertAlign w:val="superscript"/>
        </w:rPr>
        <w:footnoteReference w:id="420"/>
      </w:r>
      <w:r w:rsidRPr="00B84F91">
        <w:t>;</w:t>
      </w:r>
    </w:p>
    <w:p w14:paraId="54867217" w14:textId="77777777" w:rsidR="004D1A97" w:rsidRPr="00B84F91" w:rsidRDefault="004D1A97" w:rsidP="004D1A97">
      <w:pPr>
        <w:spacing w:after="240"/>
        <w:ind w:left="567" w:hanging="567"/>
      </w:pPr>
      <w:r w:rsidRPr="00B84F91">
        <w:t>66.</w:t>
      </w:r>
      <w:r w:rsidRPr="00B84F91">
        <w:tab/>
        <w:t>подчертава освен това, че тъй като не съществува стандартен подход за представяне на КПР в годишните отчети за дейността (ГОД) на агенциите, е трудно да се получи общ поглед върху състоянието на резултатите от дейността на всяка агенция;</w:t>
      </w:r>
    </w:p>
    <w:p w14:paraId="44D3B299" w14:textId="77777777" w:rsidR="004D1A97" w:rsidRPr="00B84F91" w:rsidRDefault="004D1A97" w:rsidP="004D1A97">
      <w:pPr>
        <w:spacing w:after="240"/>
        <w:ind w:left="567" w:hanging="567"/>
      </w:pPr>
      <w:r w:rsidRPr="00B84F91">
        <w:t>67.</w:t>
      </w:r>
      <w:r w:rsidRPr="00B84F91">
        <w:tab/>
        <w:t>подчертава, въз основа на заключенията на Палатата, че КПР не допринасят за проследяване на резултатите от дейността на агенциите по отношение на операциите и управлението на финансовите и човешките ресурси;</w:t>
      </w:r>
    </w:p>
    <w:p w14:paraId="0877740C" w14:textId="77777777" w:rsidR="004D1A97" w:rsidRPr="00B84F91" w:rsidRDefault="004D1A97" w:rsidP="004D1A97">
      <w:pPr>
        <w:pStyle w:val="NormalHanging12a"/>
      </w:pPr>
      <w:r w:rsidRPr="00B84F91">
        <w:t>68.</w:t>
      </w:r>
      <w:r w:rsidRPr="00B84F91">
        <w:tab/>
        <w:t>призовава за независим преглед на резултатите от дейността на всички агенции, за да се оцени дали работата им действително съответства на приоритетите на политиката на ЕС и дали води до осезаеми резултати; настоява за въвеждането на бюджетиране, основано на изпълнението, и за целеви показатели за ефективност, за да се гарантира оптимално разпределение на ресурсите и управление, насочено към постигането на въздействие;</w:t>
      </w:r>
    </w:p>
    <w:p w14:paraId="69ABA961" w14:textId="77777777" w:rsidR="004D1A97" w:rsidRPr="00B84F91" w:rsidRDefault="004D1A97" w:rsidP="004D1A97">
      <w:pPr>
        <w:pStyle w:val="NormalHanging12a"/>
      </w:pPr>
      <w:r w:rsidRPr="00B84F91">
        <w:lastRenderedPageBreak/>
        <w:t>69.</w:t>
      </w:r>
      <w:r w:rsidRPr="00B84F91">
        <w:tab/>
        <w:t>приветства факта, че ECHA, в сътрудничество с Европейския орган за безопасност на храните (ЕОБХ), предприе стъпки за насърчаване на принципа „едно вещество – една оценка“, за да се гарантира по-голяма последователност в оценката на опасността и риска от активни вещества; призовава тези агенции да продължат да развиват сътрудничеството си с други агенции на ЕС и международни организации и да насърчават диалога със заинтересованите лица и гражданите;</w:t>
      </w:r>
    </w:p>
    <w:p w14:paraId="798DD0D7" w14:textId="77777777" w:rsidR="004D1A97" w:rsidRPr="00B84F91" w:rsidRDefault="004D1A97" w:rsidP="004D1A97">
      <w:pPr>
        <w:pStyle w:val="NormalHanging12a"/>
      </w:pPr>
      <w:r w:rsidRPr="00B84F91">
        <w:t>70.</w:t>
      </w:r>
      <w:r w:rsidRPr="00B84F91">
        <w:tab/>
        <w:t>припомня подхода на нулева толерантност на Съюза към незаконния, недеклариран и нерегулиран риболов (ННН риболов) и съществения принос на Европейската агенция за контрол на рибарството (EFCA) за прилагането на общата политика в областта на рибарството (ОПОР), по-специално по отношение на контрола на рибарството и борбата с незаконния, недеклариран и нерегулиран риболов;</w:t>
      </w:r>
    </w:p>
    <w:p w14:paraId="5091C9CE" w14:textId="77777777" w:rsidR="004D1A97" w:rsidRPr="00B84F91" w:rsidRDefault="004D1A97" w:rsidP="004D1A97">
      <w:pPr>
        <w:pStyle w:val="NormalHanging12a"/>
      </w:pPr>
      <w:r w:rsidRPr="00B84F91">
        <w:t>71.</w:t>
      </w:r>
      <w:r w:rsidRPr="00B84F91">
        <w:tab/>
        <w:t>подчертава, че държавите членки носят основната отговорност за контрола на риболовните дейности, докато задачите на EFCA се свеждат до предоставяне на подкрепа и координиране, както и оказване на помощ на държавите членки в тази област; призовава EFCA да подкрепя мониторинга от страна на държавите членки и разкриването на тежки нарушения, свързани с принудителен труд, и да осигури подходящо обучение на инспекторите относно тези тежки нарушения;</w:t>
      </w:r>
    </w:p>
    <w:p w14:paraId="03F7CDDD" w14:textId="77777777" w:rsidR="004D1A97" w:rsidRPr="00B84F91" w:rsidRDefault="004D1A97" w:rsidP="004D1A97">
      <w:pPr>
        <w:pStyle w:val="NormalHanging12a"/>
      </w:pPr>
      <w:r w:rsidRPr="00B84F91">
        <w:t>72.</w:t>
      </w:r>
      <w:r w:rsidRPr="00B84F91">
        <w:tab/>
        <w:t>призовава EUSPA да продължи усилията си като ключов фактор, допринасящ за изпълнението на космическата програма на ЕС, като укрепва промишлената база, конкурентоспособността и иновациите на Съюза; насърчава даването на приоритет на европейските обществени поръчки, особено в области, които са от критично значение за устойчивостта, стратегическата автономност и суверенитета на Съюза; подчертава жизненоважната роля на „Галилео“ и неговата публично регулирана услуга за сигурността и отбраната на Съюза, наред с краткосрочните ползи от GOVSATCOM и дългосрочната стратегическа стойност на IRIS</w:t>
      </w:r>
      <w:r w:rsidRPr="00B84F91">
        <w:rPr>
          <w:vertAlign w:val="superscript"/>
        </w:rPr>
        <w:t>2</w:t>
      </w:r>
      <w:r w:rsidRPr="00B84F91">
        <w:t>; подчертава, че инициативите на Съюза в областта на способностите за отбрана и сигурност следва да използват експертния опит и инфраструктурата на космическия сектор на Съюза, за да се избегне ненужно дублиране;</w:t>
      </w:r>
    </w:p>
    <w:p w14:paraId="54A14B96" w14:textId="77777777" w:rsidR="004D1A97" w:rsidRPr="00B84F91" w:rsidRDefault="004D1A97" w:rsidP="004D1A97">
      <w:pPr>
        <w:pStyle w:val="NormalHanging12a"/>
      </w:pPr>
      <w:r w:rsidRPr="00B84F91">
        <w:t>73.</w:t>
      </w:r>
      <w:r w:rsidRPr="00B84F91">
        <w:tab/>
        <w:t xml:space="preserve">отбелязва новата пътна карта за оперативна съвместимост; отчита възникналата необходимост от нов график за въвеждането и постигането на оперативна съвместимост на информационните системи на Съюза поради забавяния в разработването на Системата за влизане/излизане (СВИ), Европейската система за информация за пътуванията и разрешаването им (ETIAS) и Европейската информационна система за съдимост за граждани на трети държави (ECRIS-TCN); подчертава, че бързият, ефективен и надежден обмен на информация в съответствие с приложимото законодателство е от решаващо значение за поддържането и укрепването на пространството на свобода, сигурност и правосъдие на Съюза; признава в тази връзка работата и подобренията, постигнати от </w:t>
      </w:r>
      <w:proofErr w:type="spellStart"/>
      <w:r w:rsidRPr="00B84F91">
        <w:t>eu</w:t>
      </w:r>
      <w:proofErr w:type="spellEnd"/>
      <w:r w:rsidRPr="00B84F91">
        <w:t>-LISA;</w:t>
      </w:r>
    </w:p>
    <w:p w14:paraId="4ADD8B17" w14:textId="77777777" w:rsidR="004D1A97" w:rsidRPr="00B84F91" w:rsidRDefault="004D1A97" w:rsidP="004D1A97">
      <w:pPr>
        <w:pStyle w:val="NormalHanging12a"/>
      </w:pPr>
      <w:r w:rsidRPr="00B84F91">
        <w:t>74.</w:t>
      </w:r>
      <w:r w:rsidRPr="00B84F91">
        <w:tab/>
        <w:t>отбелязва усилията на Центъра за преводи за органите на Европейския съюз (</w:t>
      </w:r>
      <w:proofErr w:type="spellStart"/>
      <w:r w:rsidRPr="00B84F91">
        <w:t>CdT</w:t>
      </w:r>
      <w:proofErr w:type="spellEnd"/>
      <w:r w:rsidRPr="00B84F91">
        <w:t xml:space="preserve">) за създаване на условия и насърчаване на многоезичието в Съюза, например по отношение на комуникацията на агенциите на ЕС и разработването на терминология в специализирани тематични области с цел подобряване на качеството на преводите; приветства създаването през юни 2023 г. на работна </w:t>
      </w:r>
      <w:r w:rsidRPr="00B84F91">
        <w:lastRenderedPageBreak/>
        <w:t>група по въпросите на изкуствения интелект (ИИ) и решението работата на тази група да продължи в рамките на нова консултативна група по въпросите на ИИ;</w:t>
      </w:r>
    </w:p>
    <w:p w14:paraId="302DC3C7" w14:textId="73F6388B" w:rsidR="004D1A97" w:rsidRPr="00B84F91" w:rsidRDefault="004D1A97" w:rsidP="004D1A97">
      <w:pPr>
        <w:spacing w:after="240"/>
        <w:ind w:left="567" w:hanging="567"/>
      </w:pPr>
      <w:r w:rsidRPr="00B84F91">
        <w:t>75.</w:t>
      </w:r>
      <w:r w:rsidRPr="00B84F91">
        <w:tab/>
        <w:t xml:space="preserve">призовава EFCA да подкрепи мониторинга от страна на държавите членки и разкриването на тежки нарушения, свързани с прилагането на член 90, параграф 2, буква п) от Регламент (ЕС) 2023/2842 </w:t>
      </w:r>
      <w:r w:rsidR="00504D1B" w:rsidRPr="00A43FA6">
        <w:rPr>
          <w:color w:val="000000"/>
        </w:rPr>
        <w:t>на Европейския парламент и на Съвета</w:t>
      </w:r>
      <w:r w:rsidR="00504D1B" w:rsidRPr="00A43FA6">
        <w:rPr>
          <w:rStyle w:val="FootnoteReference"/>
          <w:color w:val="000000"/>
        </w:rPr>
        <w:footnoteReference w:id="421"/>
      </w:r>
      <w:r w:rsidR="00504D1B" w:rsidRPr="00504D1B">
        <w:t xml:space="preserve"> </w:t>
      </w:r>
      <w:r w:rsidRPr="00B84F91">
        <w:t>относно принудителния труд, и да осигури подходящо обучение на инспекторите относно тези тежки нарушения;</w:t>
      </w:r>
    </w:p>
    <w:p w14:paraId="66BC7BA3" w14:textId="77777777" w:rsidR="004D1A97" w:rsidRPr="00B84F91" w:rsidRDefault="004D1A97" w:rsidP="004D1A97">
      <w:pPr>
        <w:spacing w:after="240"/>
        <w:ind w:left="567" w:hanging="567"/>
      </w:pPr>
      <w:r w:rsidRPr="00B84F91">
        <w:t>76.</w:t>
      </w:r>
      <w:r w:rsidRPr="00B84F91">
        <w:tab/>
        <w:t xml:space="preserve">отбелязва, че през 2023 г. EFCA е докладвала за извършването на 44 993 инспекции (по море и на брега), като предполагаеми нарушения са били открити при най-малко 4 230 от тези инспекции; отбелязва, че като цяло тези данни показват леко намаление на общия брой инспекции (с 5% по-малко в сравнение с 2022 г.), както и намаление с 18% на общия брой инспекции, при които са установени предполагаеми нарушения; посочва, че инспекциите и други последващи действия играят важна роля не само за подходящото управление на рибните запаси, но и за гарантиране на еднакви условия на конкуренция за рибарите от Съюза; </w:t>
      </w:r>
    </w:p>
    <w:p w14:paraId="67E00DF4" w14:textId="77777777" w:rsidR="004D1A97" w:rsidRPr="00B84F91" w:rsidRDefault="004D1A97" w:rsidP="004D1A97">
      <w:pPr>
        <w:spacing w:after="240"/>
        <w:ind w:left="567" w:hanging="567"/>
      </w:pPr>
      <w:r w:rsidRPr="00B84F91">
        <w:t>77.</w:t>
      </w:r>
      <w:r w:rsidRPr="00B84F91">
        <w:tab/>
        <w:t>приветства усилията на Евроюст за цифровизация на правосъдието, а именно за въвеждането на нова деловодна система след последното изменение на Регламента за Евроюст</w:t>
      </w:r>
      <w:r w:rsidRPr="00B84F91">
        <w:rPr>
          <w:vertAlign w:val="superscript"/>
        </w:rPr>
        <w:footnoteReference w:id="422"/>
      </w:r>
      <w:r w:rsidRPr="00B84F91">
        <w:t xml:space="preserve"> и прилагането на новата платформа за сътрудничество на съвместните екипи за разследване (СЕР)</w:t>
      </w:r>
      <w:r w:rsidRPr="00B84F91">
        <w:rPr>
          <w:vertAlign w:val="superscript"/>
        </w:rPr>
        <w:footnoteReference w:id="423"/>
      </w:r>
      <w:r w:rsidRPr="00B84F91">
        <w:t>; отбелязва ролята на Евроюст като звено за контакт за трети държави и международни организации във връзка с исканията към Европейска информационна система за съдимост за граждани на трети държави (системата ECRIS-TCN) в контекста на наказателно производство;</w:t>
      </w:r>
    </w:p>
    <w:p w14:paraId="19843F81" w14:textId="77777777" w:rsidR="004D1A97" w:rsidRPr="00B84F91" w:rsidRDefault="004D1A97" w:rsidP="004D1A97">
      <w:pPr>
        <w:spacing w:after="240"/>
        <w:ind w:left="567" w:hanging="567"/>
      </w:pPr>
      <w:r w:rsidRPr="00B84F91">
        <w:t>78.</w:t>
      </w:r>
      <w:r w:rsidRPr="00B84F91">
        <w:tab/>
        <w:t xml:space="preserve">подчертава значението на продължаващата подкрепа на Евроюст за Украйна посредством съвместни екипи за разследване (СЕР) – за разследване на предполагаеми особено тежки международни престъпления, извършени в Украйна, чрез поддържане на базата данни за доказателства за основни международни престъпления (CICED) – за запазване, съхраняване и анализиране на доказателства за особено тежки международни престъпления в единна, сигурна, централна база данни, и чрез гарантиране на сигурен цифров метод за предаване на данни при предоставяне на доказателства и техния анализ; освен </w:t>
      </w:r>
      <w:r w:rsidRPr="00B84F91">
        <w:lastRenderedPageBreak/>
        <w:t>това приветства стартирането на новия Международен център за наказателно преследване на престъплението агресия срещу Украйна (ICPA) в Евроюст, с цел да се подкрепят националните разследвания и да се договорят общи стратегии за разследване и наказателно преследване, както и чрез активен принос към работата на работната група „Обезпечаване и изземване“ да се гарантира ефективното прилагане на санкциите на Съюза в целия Европейски съюз;</w:t>
      </w:r>
    </w:p>
    <w:p w14:paraId="018506FE" w14:textId="77777777" w:rsidR="004D1A97" w:rsidRPr="00B84F91" w:rsidRDefault="004D1A97" w:rsidP="004D1A97">
      <w:pPr>
        <w:spacing w:after="240"/>
        <w:ind w:left="567" w:hanging="567"/>
      </w:pPr>
      <w:r w:rsidRPr="00B84F91">
        <w:t>79.</w:t>
      </w:r>
      <w:r w:rsidRPr="00B84F91">
        <w:tab/>
        <w:t xml:space="preserve">изтъква ролята на FRA като ключов пазител на основните права и върховенството на закона, залегнали в Хартата на основните права, и приветства подкрепата на агенцията за гарантиране на спазването, защитата и прилагането на основните права в съществуващото законодателство на ЕС и политиките в областта на равенството и борбата с дискриминацията, като законодателството и политиките на Съюза за борба с расизма, антисемитизма и </w:t>
      </w:r>
      <w:proofErr w:type="spellStart"/>
      <w:r w:rsidRPr="00B84F91">
        <w:t>ислямофобията</w:t>
      </w:r>
      <w:proofErr w:type="spellEnd"/>
      <w:r w:rsidRPr="00B84F91">
        <w:t>, за подкрепа на събирането на данни относно равенството и прилагането на стратегии за равенство и борбата с расизма, като например националните стратегически рамки за ромите и предоставянето на данни за средносрочния преглед на стратегията за равнопоставеност на ЛГБТИК за периода 2020 – 2025 г., за защитата на гражданското общество и на защитниците на правата на човека, изложени на риск, както и подкрепата за преразглеждането на Директивата за правата на жертвите, на Плана за действие на ЕС за борба с расизма, Стратегията на ЕС за борба с антисемитизма и подкрепа на еврейския живот и предоставянето на консултации относно спазването на основните права във връзка с развитието и използването на системи с ИИ и прилагането и използването на фондовете на ЕС;</w:t>
      </w:r>
    </w:p>
    <w:p w14:paraId="6769EA8E" w14:textId="77777777" w:rsidR="004D1A97" w:rsidRPr="00B84F91" w:rsidRDefault="004D1A97" w:rsidP="004D1A97">
      <w:pPr>
        <w:spacing w:after="240"/>
        <w:ind w:left="567" w:hanging="567"/>
      </w:pPr>
      <w:r w:rsidRPr="00B84F91">
        <w:t>80.</w:t>
      </w:r>
      <w:r w:rsidRPr="00B84F91">
        <w:tab/>
        <w:t>подчертава напътствията и ангажираността на FRA в областта на убежището и миграцията, границите и оперативната съвместимост, както и силния акцент, който поставя върху основните права, международните задължения на държавите членки и правото на ЕС за основните права в тази област, включително сътрудничеството с Агенцията на Европейския съюз в областта на убежището (EUAA) за подобряване на осведомеността за важната роля на настойниците и законните представители, подпомагащи непридружени деца, търсещи международна закрила в рамките на Съюза, и обучението, предоставяно на служителите на Европол, за повишаване на осведомеността и разбирането на свързаните с основните права аспекти при съответни оперативни условия; приветства навременния принос на FRA за прилагането на Директивата за временната закрила в контекста на бежанците, бягащи от Украйна, за определянето на предизвикателствата във връзка с прилагането на правото на Съюза в областта на дългосрочното пребиваване както и за установяването на пропуските във визовия кодекс и списъка с действия, които Съюзът и неговите държави членки могат да предприемат за намаляване на смъртните случаи по море;</w:t>
      </w:r>
    </w:p>
    <w:p w14:paraId="655830D6" w14:textId="77777777" w:rsidR="004D1A97" w:rsidRPr="00B84F91" w:rsidRDefault="004D1A97" w:rsidP="004D1A97">
      <w:pPr>
        <w:spacing w:after="240"/>
        <w:ind w:left="567" w:hanging="567"/>
      </w:pPr>
      <w:r w:rsidRPr="00B84F91">
        <w:t>81.</w:t>
      </w:r>
      <w:r w:rsidRPr="00B84F91">
        <w:tab/>
        <w:t>приветства приноса на FRA за оценката на Регламента за европейската гранична и брегова охрана, участието ѝ в заседанията на управителния съвет на Европейската агенция за гранична и брегова охрана (</w:t>
      </w:r>
      <w:proofErr w:type="spellStart"/>
      <w:r w:rsidRPr="00B84F91">
        <w:t>Frontex</w:t>
      </w:r>
      <w:proofErr w:type="spellEnd"/>
      <w:r w:rsidRPr="00B84F91">
        <w:t xml:space="preserve">) и </w:t>
      </w:r>
      <w:proofErr w:type="spellStart"/>
      <w:r w:rsidRPr="00B84F91">
        <w:t>съпредседателството</w:t>
      </w:r>
      <w:proofErr w:type="spellEnd"/>
      <w:r w:rsidRPr="00B84F91">
        <w:t xml:space="preserve"> ѝ на консултативния форум на </w:t>
      </w:r>
      <w:proofErr w:type="spellStart"/>
      <w:r w:rsidRPr="00B84F91">
        <w:t>Frontex</w:t>
      </w:r>
      <w:proofErr w:type="spellEnd"/>
      <w:r w:rsidRPr="00B84F91">
        <w:t xml:space="preserve"> по въпросите на основните права, както и сътрудничеството със Службата за основните права към </w:t>
      </w:r>
      <w:proofErr w:type="spellStart"/>
      <w:r w:rsidRPr="00B84F91">
        <w:t>Frontex</w:t>
      </w:r>
      <w:proofErr w:type="spellEnd"/>
      <w:r w:rsidRPr="00B84F91">
        <w:t>;</w:t>
      </w:r>
    </w:p>
    <w:p w14:paraId="03567297" w14:textId="77777777" w:rsidR="004D1A97" w:rsidRPr="00B84F91" w:rsidRDefault="004D1A97" w:rsidP="004D1A97">
      <w:pPr>
        <w:spacing w:after="240"/>
        <w:ind w:left="567" w:hanging="567"/>
      </w:pPr>
      <w:r w:rsidRPr="00B84F91">
        <w:t>82.</w:t>
      </w:r>
      <w:r w:rsidRPr="00B84F91">
        <w:tab/>
        <w:t xml:space="preserve">отбелязва със задоволство, че FRA е предоставила анализ и експертен опит в областта на основните права в подкрепа на дейностите и работата на други агенции на ЕС в областта на правосъдието и вътрешните работи (ПВР), </w:t>
      </w:r>
      <w:r w:rsidRPr="00B84F91">
        <w:lastRenderedPageBreak/>
        <w:t xml:space="preserve">включително на Агенцията на ЕС в областта на убежището, </w:t>
      </w:r>
      <w:proofErr w:type="spellStart"/>
      <w:r w:rsidRPr="00B84F91">
        <w:t>Frontex</w:t>
      </w:r>
      <w:proofErr w:type="spellEnd"/>
      <w:r w:rsidRPr="00B84F91">
        <w:t>, Европол, Агенцията на Европейския съюз за оперативното управление на широкомащабни информационни системи в пространството на свобода, сигурност и правосъдие (</w:t>
      </w:r>
      <w:proofErr w:type="spellStart"/>
      <w:r w:rsidRPr="00B84F91">
        <w:t>eu</w:t>
      </w:r>
      <w:proofErr w:type="spellEnd"/>
      <w:r w:rsidRPr="00B84F91">
        <w:t>-LISA) и Агенцията на Европейския съюз за обучение в областта на правоприлагането (CEPOL); приветства приноса на FRA през 2023 г. за постигане на напредък по отношение на зачитането на основните права, включително чрез насоки относно фондовете на ЕС и работата ѝ по предизвикателствата, породени от новите технологии; призовава FRA да определи до каква степен върховенството на закона и основните права са неразривно свързани и как нейната работа би могла да се включи или развие в полезни взаимодействия с тази на Европейската комисия в рамките на годишния доклад за върховенството на закона;</w:t>
      </w:r>
    </w:p>
    <w:p w14:paraId="2676AD19" w14:textId="77777777" w:rsidR="004D1A97" w:rsidRPr="00B84F91" w:rsidRDefault="004D1A97" w:rsidP="004D1A97">
      <w:pPr>
        <w:spacing w:after="240"/>
        <w:ind w:left="567" w:hanging="567"/>
      </w:pPr>
      <w:r w:rsidRPr="00B84F91">
        <w:t>83.</w:t>
      </w:r>
      <w:r w:rsidRPr="00B84F91">
        <w:tab/>
        <w:t xml:space="preserve">приветства успешното разгръщане на PERCI (Платформата на ЕС за незаконното онлайн съдържание) от Европол, по-специално с пълното прилагане на препоръките на Европейския надзорен орган по защита на данните (ЕНОЗД); оценява задълбоченото сътрудничество с ЕНОЗД и съвместната работна група, създадена с </w:t>
      </w:r>
      <w:proofErr w:type="spellStart"/>
      <w:r w:rsidRPr="00B84F91">
        <w:t>Frontex</w:t>
      </w:r>
      <w:proofErr w:type="spellEnd"/>
      <w:r w:rsidRPr="00B84F91">
        <w:t xml:space="preserve"> за последващи действия във връзка с препоръките на ЕНОЗД относно програмата </w:t>
      </w:r>
      <w:proofErr w:type="spellStart"/>
      <w:r w:rsidRPr="00B84F91">
        <w:t>PeDRA</w:t>
      </w:r>
      <w:proofErr w:type="spellEnd"/>
      <w:r w:rsidRPr="00B84F91">
        <w:t xml:space="preserve"> на </w:t>
      </w:r>
      <w:proofErr w:type="spellStart"/>
      <w:r w:rsidRPr="00B84F91">
        <w:t>Frontex</w:t>
      </w:r>
      <w:proofErr w:type="spellEnd"/>
      <w:r w:rsidRPr="00B84F91">
        <w:t xml:space="preserve"> (Обработване на лични данни за анализ на риска), при което и двете агенции се стремят към защита на основните права при същевременно повишаване на сигурността;</w:t>
      </w:r>
    </w:p>
    <w:p w14:paraId="31DB724C" w14:textId="77777777" w:rsidR="004D1A97" w:rsidRPr="00B84F91" w:rsidRDefault="004D1A97" w:rsidP="004D1A97">
      <w:pPr>
        <w:spacing w:after="240"/>
        <w:ind w:left="567" w:hanging="567"/>
      </w:pPr>
      <w:r w:rsidRPr="00B84F91">
        <w:t>84.</w:t>
      </w:r>
      <w:r w:rsidRPr="00B84F91">
        <w:tab/>
        <w:t>приветства прилагането на Регламента за Европол</w:t>
      </w:r>
      <w:r w:rsidRPr="00B84F91">
        <w:rPr>
          <w:szCs w:val="24"/>
          <w:vertAlign w:val="superscript"/>
        </w:rPr>
        <w:footnoteReference w:id="424"/>
      </w:r>
      <w:r w:rsidRPr="00B84F91">
        <w:t>, както е изменен през 2022 г., особено бързото назначаване на служител по въпросите на основните права през януари 2023 г., което представлява важна стъпка към засилване на ангажимента на Европол по отношение на правата на човека в операциите на агенцията;</w:t>
      </w:r>
    </w:p>
    <w:p w14:paraId="4ABC9BC2" w14:textId="77777777" w:rsidR="004D1A97" w:rsidRPr="00B84F91" w:rsidRDefault="004D1A97">
      <w:pPr>
        <w:spacing w:after="240"/>
        <w:ind w:left="567" w:hanging="567"/>
      </w:pPr>
      <w:r w:rsidRPr="00B84F91">
        <w:t>85.</w:t>
      </w:r>
      <w:r w:rsidRPr="00B84F91">
        <w:tab/>
        <w:t>признава значението на инициативите на местно равнище за укрепване на здравните системи, както и на инициативите в областта на околната среда, като същевременно се засилва сътрудничеството с държавите членки и агенциите (ECDC, ECHA, ЕАОС, ЕОБХ, EMA); призовава за подобряване на подхода при разпределянето на финансирането, като се даде приоритет на намаляването на административната тежест и насочването на ресурсите директно към крайните получатели чрез опростяване на процедурите с цел повишаване на достъпността за икономическите участници по места;</w:t>
      </w:r>
    </w:p>
    <w:p w14:paraId="40B04CA0" w14:textId="77777777" w:rsidR="004D1A97" w:rsidRPr="00B84F91" w:rsidRDefault="00E1486C" w:rsidP="004D1A97">
      <w:pPr>
        <w:spacing w:after="240"/>
        <w:ind w:left="567" w:hanging="567"/>
      </w:pPr>
      <w:r>
        <w:t>86</w:t>
      </w:r>
      <w:r w:rsidR="004D1A97" w:rsidRPr="00B84F91">
        <w:t>.</w:t>
      </w:r>
      <w:r w:rsidR="004D1A97" w:rsidRPr="00B84F91">
        <w:tab/>
        <w:t>отбелязва, че според оценката на ГД „Мобилност и транспорт“, която осигурява надзора върху ЕААБ, ЕАМБ и ERA, резултатите от дейността на трите агенции през 2023 г. са в пълно съответствие с договорените цели на Комисията: при редовните дейности за мониторинг и надзор не са установени никакви конкретни проблеми, които биха могли да окажат съществено въздействие върху увереността, като освен това в докладите на външните и вътрешните одитори не се посочват съществени проблеми, които биха могли да породят допълнителни опасения за ГД „Мобилност и транспорт“;</w:t>
      </w:r>
    </w:p>
    <w:p w14:paraId="46786639" w14:textId="77777777" w:rsidR="004D1A97" w:rsidRPr="00B84F91" w:rsidRDefault="00E1486C" w:rsidP="004D1A97">
      <w:pPr>
        <w:spacing w:after="240"/>
        <w:ind w:left="567" w:hanging="567"/>
      </w:pPr>
      <w:r>
        <w:lastRenderedPageBreak/>
        <w:t>87</w:t>
      </w:r>
      <w:r w:rsidR="004D1A97" w:rsidRPr="00B84F91">
        <w:t>.</w:t>
      </w:r>
      <w:r w:rsidR="004D1A97" w:rsidRPr="00B84F91">
        <w:tab/>
        <w:t>отбелязва, че през 2023 г. Агенцията за авиационна безопасност на Европейския съюз (ЕААБ) е укрепила значително сътрудничеството си с военни организации в рамките, предвидени от Плана за действие на ЕС за военната мобилност 2.0, и вече е канена на всички заседания на Авиационния комитет на НАТО; отбелязва одобряването на стратегията за гражданско-военно сътрудничество на агенцията — неин дългосрочен приоритет, в подкрепа на участието ѝ в задачи по сертифициране на военни въздухоплавателни средства, преобразувани от граждански такива въз основа на концепцията „граждански, колкото е възможно, военни, колкото е необходимо“;</w:t>
      </w:r>
    </w:p>
    <w:p w14:paraId="13F67938" w14:textId="77777777" w:rsidR="004D1A97" w:rsidRPr="00B84F91" w:rsidRDefault="00E1486C" w:rsidP="004D1A97">
      <w:pPr>
        <w:spacing w:after="240"/>
        <w:ind w:left="567" w:hanging="567"/>
      </w:pPr>
      <w:r>
        <w:t>88</w:t>
      </w:r>
      <w:r w:rsidR="004D1A97" w:rsidRPr="00B84F91">
        <w:t>.</w:t>
      </w:r>
      <w:r w:rsidR="004D1A97" w:rsidRPr="00B84F91">
        <w:tab/>
        <w:t>отбелязва, че през 2023 г. Европейска агенция по морска безопасност (ЕАМБ) продължи да оказва много ефективно съдействие за намаляване на въздействието на сектора на морския транспорт върху околната среда, включително чрез участието си в голям брой инициативи, свързани с Европейския зелен пакт; обръща специално внимание на техническия експертен опит, предоставен от нея в контекста на преразглеждането на пакета за морска безопасност; приветства оказаната от агенцията подкрепата на Комисията и държавите членки при окончателното приемане на предложенията, представени като част от пакета „Подготвени за цел 55“, и по-специално относно разширяването на схемата за търговия с емисии (СТЕ) така че да включва и морския транспорт и Регламента за горивата в морския транспорт на ЕС; в този контекст оценява текущото проучване на потенциала на различни алтернативни горива и съображенията, свързани с безопасността, произтичащи от навлизането и внедряването на устойчиви алтернативни източници на енергия за корабите; приветства адаптирането на базата данни за проверките — измерване, докладване и проверка (THETIS-MRV) към изискванията на законодателството за СТЕ;</w:t>
      </w:r>
    </w:p>
    <w:p w14:paraId="71950B05" w14:textId="77777777" w:rsidR="004D1A97" w:rsidRPr="00B84F91" w:rsidRDefault="00E1486C" w:rsidP="004D1A97">
      <w:pPr>
        <w:spacing w:after="240"/>
        <w:ind w:left="567" w:hanging="567"/>
      </w:pPr>
      <w:r>
        <w:t>89</w:t>
      </w:r>
      <w:r w:rsidR="004D1A97" w:rsidRPr="00B84F91">
        <w:t>.</w:t>
      </w:r>
      <w:r w:rsidR="004D1A97" w:rsidRPr="00B84F91">
        <w:tab/>
        <w:t xml:space="preserve">приветства продължаващото и разрастващо се сътрудничество и споделяне на ресурси между </w:t>
      </w:r>
      <w:proofErr w:type="spellStart"/>
      <w:r w:rsidR="004D1A97" w:rsidRPr="00B84F91">
        <w:t>Eurofound</w:t>
      </w:r>
      <w:proofErr w:type="spellEnd"/>
      <w:r w:rsidR="004D1A97" w:rsidRPr="00B84F91">
        <w:t xml:space="preserve">, </w:t>
      </w:r>
      <w:proofErr w:type="spellStart"/>
      <w:r w:rsidR="004D1A97" w:rsidRPr="00B84F91">
        <w:t>Cedefop</w:t>
      </w:r>
      <w:proofErr w:type="spellEnd"/>
      <w:r w:rsidR="004D1A97" w:rsidRPr="00B84F91">
        <w:t>, ETF, EU-OSHA и ЕОТ, както и между петте агенции и други институции, включително с други агенции на ЕС, Комисията и Парламента;</w:t>
      </w:r>
    </w:p>
    <w:p w14:paraId="7DD4A910" w14:textId="77777777" w:rsidR="004D1A97" w:rsidRPr="00B84F91" w:rsidRDefault="00E1486C" w:rsidP="004D1A97">
      <w:pPr>
        <w:spacing w:after="240"/>
        <w:ind w:left="567" w:hanging="567"/>
      </w:pPr>
      <w:r>
        <w:t>90</w:t>
      </w:r>
      <w:r w:rsidR="004D1A97" w:rsidRPr="00B84F91">
        <w:t>.</w:t>
      </w:r>
      <w:r w:rsidR="004D1A97" w:rsidRPr="00B84F91">
        <w:tab/>
        <w:t xml:space="preserve">призовава Комисията да гарантира по-добро използване на експертния опит на </w:t>
      </w:r>
      <w:proofErr w:type="spellStart"/>
      <w:r w:rsidR="004D1A97" w:rsidRPr="00B84F91">
        <w:t>Eurofound</w:t>
      </w:r>
      <w:proofErr w:type="spellEnd"/>
      <w:r w:rsidR="004D1A97" w:rsidRPr="00B84F91">
        <w:t xml:space="preserve">, </w:t>
      </w:r>
      <w:proofErr w:type="spellStart"/>
      <w:r w:rsidR="004D1A97" w:rsidRPr="00B84F91">
        <w:t>Cedefop</w:t>
      </w:r>
      <w:proofErr w:type="spellEnd"/>
      <w:r w:rsidR="004D1A97" w:rsidRPr="00B84F91">
        <w:t>, ETF, EU-OSHA и ЕОТ в съответните области на политиката, например при изготвянето на доклади и прегледи, провеждането на изследвания и проучвания, което може да доведе до по-ефективно използване на наличните бюджетни ресурси на Съюза в сравнение с алтернативните решения; оценява усилията на петте агенции за по-нататъшно развитие на тяхната цифрова и онлайн комуникация, за да се повиши тяхната видимост и осведомеността за тяхната работа с висока степен на въздействие; подчертава в тази връзка неизползвания потенциал за предоставяне на конкретна значима информация и същите качествени продукти като външните консултанти, когато мандатите на агенциите допускат това;</w:t>
      </w:r>
    </w:p>
    <w:p w14:paraId="6266BA87" w14:textId="77777777" w:rsidR="004D1A97" w:rsidRPr="00B84F91" w:rsidRDefault="00E1486C" w:rsidP="004D1A97">
      <w:pPr>
        <w:spacing w:after="240"/>
        <w:ind w:left="567" w:hanging="567"/>
      </w:pPr>
      <w:r>
        <w:t>91</w:t>
      </w:r>
      <w:r w:rsidR="004D1A97" w:rsidRPr="00B84F91">
        <w:t>.</w:t>
      </w:r>
      <w:r w:rsidR="004D1A97" w:rsidRPr="00B84F91">
        <w:tab/>
        <w:t xml:space="preserve">приветства усилията на </w:t>
      </w:r>
      <w:proofErr w:type="spellStart"/>
      <w:r w:rsidR="004D1A97" w:rsidRPr="00B84F91">
        <w:t>Eurofound</w:t>
      </w:r>
      <w:proofErr w:type="spellEnd"/>
      <w:r w:rsidR="004D1A97" w:rsidRPr="00B84F91">
        <w:t xml:space="preserve">, </w:t>
      </w:r>
      <w:proofErr w:type="spellStart"/>
      <w:r w:rsidR="004D1A97" w:rsidRPr="00B84F91">
        <w:t>Cedefop</w:t>
      </w:r>
      <w:proofErr w:type="spellEnd"/>
      <w:r w:rsidR="004D1A97" w:rsidRPr="00B84F91">
        <w:t xml:space="preserve">, ETF, EU-OSHA и ЕОТ за прилагане на политики за многообразие и приобщаване, особено по отношение на хората с увреждания; насърчава агенциите да засилят събирането на съпоставими данни относно наемането на хора с увреждания; признава напредъка, постигнат в рамките на агенциите по отношение на баланса между половете сред техните служители; призовава за по-нататъшни усилия за гарантиране на баланс между половете и на висше управленско равнище и за интегриране на принципа на </w:t>
      </w:r>
      <w:r w:rsidR="004D1A97" w:rsidRPr="00B84F91">
        <w:lastRenderedPageBreak/>
        <w:t>равенство между половете във всички техни дейности;</w:t>
      </w:r>
    </w:p>
    <w:p w14:paraId="1A0EC6A7" w14:textId="77777777" w:rsidR="004D1A97" w:rsidRPr="00B84F91" w:rsidRDefault="00E1486C" w:rsidP="004D1A97">
      <w:pPr>
        <w:spacing w:after="240"/>
        <w:ind w:left="567" w:hanging="567"/>
      </w:pPr>
      <w:r>
        <w:t>92</w:t>
      </w:r>
      <w:r w:rsidR="004D1A97" w:rsidRPr="00B84F91">
        <w:t>.</w:t>
      </w:r>
      <w:r w:rsidR="004D1A97" w:rsidRPr="00B84F91">
        <w:tab/>
        <w:t xml:space="preserve">отбелязва, че усилията за контрол на бюджета през финансовата 2023 година са довели до степен на изпълнение на бюджетните кредити за поети задължения за текущата година от средно 97%, с изключение на </w:t>
      </w:r>
      <w:proofErr w:type="spellStart"/>
      <w:r w:rsidR="004D1A97" w:rsidRPr="00B84F91">
        <w:t>CdT</w:t>
      </w:r>
      <w:proofErr w:type="spellEnd"/>
      <w:r w:rsidR="004D1A97" w:rsidRPr="00B84F91">
        <w:t xml:space="preserve"> и ЕОТ, при които степента на изпълнение е съответно 89,55% и 93,72%; отбелязва, че агенциите с най-нисък процент на изпълнение за бюджетните кредити за плащания за текущата година са както следва и са изброени във възходящ ред заедно със съответните им проценти: Агенция за снабдяване към Евратом – 47,61%, </w:t>
      </w:r>
      <w:proofErr w:type="spellStart"/>
      <w:r w:rsidR="004D1A97" w:rsidRPr="00B84F91">
        <w:t>Frontex</w:t>
      </w:r>
      <w:proofErr w:type="spellEnd"/>
      <w:r w:rsidR="004D1A97" w:rsidRPr="00B84F91">
        <w:t xml:space="preserve"> – 55,37%, EU-OSHA – 68,83%, ACER – 70,69% и ECDC – 71,79%;</w:t>
      </w:r>
    </w:p>
    <w:p w14:paraId="43E7C6F0" w14:textId="7B14F275" w:rsidR="004D1A97" w:rsidRPr="00B84F91" w:rsidRDefault="00E1486C" w:rsidP="004D1A97">
      <w:pPr>
        <w:pStyle w:val="NormalHanging12a"/>
      </w:pPr>
      <w:r>
        <w:t>93</w:t>
      </w:r>
      <w:r w:rsidR="004D1A97" w:rsidRPr="00B84F91">
        <w:t>.</w:t>
      </w:r>
      <w:r w:rsidR="004D1A97" w:rsidRPr="00B84F91">
        <w:tab/>
        <w:t xml:space="preserve">приветства увеличаването през 2023 г. на бюджета на Агенция на Европейския съюз в областта на убежището (EUAA) от 168 милиона евро на 170 милиона евро (+0,77%) и на персонала от 519 на 529 души (+2%); отново подчертава важната роля на EUAA за подпомагането на държавите членки при прилагането на общата европейска система за убежище и за наблюдението на правилното ѝ прилагане; припомня, че в своя доклад за освобождаване от отговорност във връзка с изпълнението на бюджета на EUAA за 2022 г. органът по освобождаване изразява загриженост относно вътрешното управление и вътрешните процедури на агенцията, като отбелязва, че </w:t>
      </w:r>
      <w:r w:rsidR="00504D1B" w:rsidRPr="00A43FA6">
        <w:t>Европейска служба за борба с измамите (OLAF)</w:t>
      </w:r>
      <w:r w:rsidR="004D1A97" w:rsidRPr="00B84F91">
        <w:t xml:space="preserve"> е започнала разследване, което вече е приключило, за което се твърди, че е включвало предполагаеми случаи на </w:t>
      </w:r>
      <w:proofErr w:type="spellStart"/>
      <w:r w:rsidR="004D1A97" w:rsidRPr="00B84F91">
        <w:t>непотизъм</w:t>
      </w:r>
      <w:proofErr w:type="spellEnd"/>
      <w:r w:rsidR="004D1A97" w:rsidRPr="00B84F91">
        <w:t xml:space="preserve"> и други въпроси, засягащи финансовото управление на агенцията; изразява съжаление, че изпълнителният директор на EUAA избягваше въпроси по време на подготвителното изслушване относно освобождаването от отговорност във връзка с изпълнението на бюджета в комисията CONT; е разтревожен от отказа на управителния съвет на EUAA да разкрие съдържанието и препоръката в посочения доклад на OLAF пред органа по освобождаване от отговорност; призовава EUAA да предостави незабавно констатациите от доклада;</w:t>
      </w:r>
    </w:p>
    <w:p w14:paraId="2DC7CFF6" w14:textId="77777777" w:rsidR="004D1A97" w:rsidRPr="00B84F91" w:rsidRDefault="00E1486C" w:rsidP="004D1A97">
      <w:pPr>
        <w:spacing w:after="240"/>
        <w:ind w:left="567" w:hanging="567"/>
        <w:rPr>
          <w:szCs w:val="24"/>
        </w:rPr>
      </w:pPr>
      <w:r>
        <w:t>94</w:t>
      </w:r>
      <w:r w:rsidR="004D1A97" w:rsidRPr="00B84F91">
        <w:t>.</w:t>
      </w:r>
      <w:r w:rsidR="004D1A97" w:rsidRPr="00B84F91">
        <w:tab/>
        <w:t xml:space="preserve">счита, че в окончателния доклад на OLAF (OC-2022-0717) относно EUAA се стига до много тревожни заключения относно установени факти, които излагат на риск стабилността, управлението и репутацията на агенцията, което налага решението за отлагане на освобождаването на агенцията от отговорност във връзка с изпълнението на бюджета за финансовата 2023 година; припомня освен това, че OLAF е установила и </w:t>
      </w:r>
      <w:proofErr w:type="spellStart"/>
      <w:r w:rsidR="004D1A97" w:rsidRPr="00B84F91">
        <w:t>остойностила</w:t>
      </w:r>
      <w:proofErr w:type="spellEnd"/>
      <w:r w:rsidR="004D1A97" w:rsidRPr="00B84F91">
        <w:t xml:space="preserve"> финансови последици, които не могат да бъдат възстановени, което потвърждава отрицателното въздействие върху доброто финансово управление на ресурсите на агенцията; поради това изисква подробен отчет на последващите действия от страна на управителния съвет, в който подробно се описват всички мерки, предприети за коригиране на установените слабости;</w:t>
      </w:r>
    </w:p>
    <w:p w14:paraId="6581E3FC" w14:textId="77777777" w:rsidR="004D1A97" w:rsidRPr="00B84F91" w:rsidRDefault="00E1486C" w:rsidP="004D1A97">
      <w:pPr>
        <w:spacing w:after="240"/>
        <w:ind w:left="567" w:hanging="567"/>
      </w:pPr>
      <w:r>
        <w:t>95</w:t>
      </w:r>
      <w:r w:rsidR="004D1A97" w:rsidRPr="00B84F91">
        <w:t>.</w:t>
      </w:r>
      <w:r w:rsidR="004D1A97" w:rsidRPr="00B84F91">
        <w:tab/>
      </w:r>
      <w:r w:rsidR="00202A1E" w:rsidRPr="00202A1E">
        <w:t>настоятелно призовава Агенцията да изясни изцяло всички нерешени въпроси, да изпълни препоръките на OLAF по надежден и прозрачен начин и да установи механизми за солиден вътрешен контрол, етичен надзор и отчетност; призовава Агенцията да информира без ненужно забавяне органа по освобождаване от отговорност относно предприетите евентуални коригиращи мерки;</w:t>
      </w:r>
    </w:p>
    <w:p w14:paraId="43142FA9" w14:textId="77777777" w:rsidR="004D1A97" w:rsidRPr="00504D1B" w:rsidRDefault="004D1A97" w:rsidP="004D1A97">
      <w:pPr>
        <w:spacing w:after="240"/>
        <w:ind w:left="567" w:hanging="567"/>
        <w:rPr>
          <w:b/>
          <w:i/>
        </w:rPr>
      </w:pPr>
      <w:r w:rsidRPr="00504D1B">
        <w:rPr>
          <w:b/>
          <w:i/>
        </w:rPr>
        <w:t>Обществени поръчки</w:t>
      </w:r>
    </w:p>
    <w:p w14:paraId="78753C8F" w14:textId="77777777" w:rsidR="004D1A97" w:rsidRPr="00B84F91" w:rsidRDefault="00E1486C" w:rsidP="004D1A97">
      <w:pPr>
        <w:pStyle w:val="NormalHanging12a"/>
      </w:pPr>
      <w:r>
        <w:t>96</w:t>
      </w:r>
      <w:r w:rsidR="004D1A97" w:rsidRPr="00B84F91">
        <w:t>.</w:t>
      </w:r>
      <w:r w:rsidR="004D1A97" w:rsidRPr="00B84F91">
        <w:tab/>
        <w:t xml:space="preserve">отбелязва със загриженост, че слабостите в областта на обществените поръчки </w:t>
      </w:r>
      <w:r w:rsidR="004D1A97" w:rsidRPr="00B84F91">
        <w:lastRenderedPageBreak/>
        <w:t>остават основен източник на нередовни плащания; подчертава, че Палатата е направила 38 констатации във връзка със слабостите в областта на обществените поръчки през 2023 г. (в сравнение с 41 през 2022 г. и 28 през 2021 г.)</w:t>
      </w:r>
      <w:r w:rsidR="004D1A97" w:rsidRPr="00B84F91">
        <w:rPr>
          <w:vertAlign w:val="superscript"/>
        </w:rPr>
        <w:footnoteReference w:id="425"/>
      </w:r>
      <w:r w:rsidR="004D1A97" w:rsidRPr="00B84F91">
        <w:t>; настоятелно призовава агенциите да въведат мерки, които да гарантират стриктното спазване на разпоредбите за възлагането на обществени поръчки и принципите на прозрачност, конкуренция и ефективност на разходите; припомня необходимостта от редовни програми за обучение на персонала в областта на финансовото управление, правилата за възлагане на обществени поръчки и предотвратяването на измами; призовава за по-строги мерки за отчетност, които да гарантират, че всички трайни недостатъци водят до целенасочени корективни действия и последици при повторно неспазване;</w:t>
      </w:r>
    </w:p>
    <w:p w14:paraId="44A135CE" w14:textId="77777777" w:rsidR="004D1A97" w:rsidRPr="00B84F91" w:rsidRDefault="00E1486C" w:rsidP="004D1A97">
      <w:pPr>
        <w:spacing w:after="240"/>
        <w:ind w:left="567" w:hanging="567"/>
      </w:pPr>
      <w:r>
        <w:t>97</w:t>
      </w:r>
      <w:r w:rsidR="004D1A97" w:rsidRPr="00B84F91">
        <w:t>.</w:t>
      </w:r>
      <w:r w:rsidR="004D1A97" w:rsidRPr="00B84F91">
        <w:tab/>
        <w:t>отбелязва, че според Палатата 13</w:t>
      </w:r>
      <w:r w:rsidR="004D1A97" w:rsidRPr="00B84F91">
        <w:rPr>
          <w:rStyle w:val="FootnoteReference"/>
        </w:rPr>
        <w:footnoteReference w:id="426"/>
      </w:r>
      <w:r w:rsidR="004D1A97" w:rsidRPr="00B84F91">
        <w:t xml:space="preserve"> от констатациите във връзка със слабостите, водещи до нередовни плащания през 2023 г., се отнасят до нередности, установени и посочени в предишни одити; отбелязва относно останалите 25 констатации, че девет са оказали въздействие върху плащанията, а останалите 16 не са довели до нередовни плащания през 2023 г.; отбелязва, че констатациите от годината, които не засягат плащанията, се отнасят до агенциите ACER, ЕБО, </w:t>
      </w:r>
      <w:proofErr w:type="spellStart"/>
      <w:r w:rsidR="004D1A97" w:rsidRPr="00B84F91">
        <w:t>eu</w:t>
      </w:r>
      <w:proofErr w:type="spellEnd"/>
      <w:r w:rsidR="004D1A97" w:rsidRPr="00B84F91">
        <w:t>-LISA, ESMA, ЕАМБ, ENISA, ERA, EIGE, ECDC, ЕАОС, EUDA, EUAA и CEPOL; отбелязва отговорите на агенциите и ги призовава да предприемат мерки за коригиране на откритите слабости и да докладват на органа по освобождаване от отговорност за предприетите действия за тяхното отстраняване;</w:t>
      </w:r>
    </w:p>
    <w:p w14:paraId="779A036A" w14:textId="77777777" w:rsidR="004D1A97" w:rsidRPr="00B84F91" w:rsidRDefault="00E1486C" w:rsidP="004D1A97">
      <w:pPr>
        <w:spacing w:after="240"/>
        <w:ind w:left="567" w:hanging="567"/>
      </w:pPr>
      <w:r>
        <w:t>98</w:t>
      </w:r>
      <w:r w:rsidR="004D1A97" w:rsidRPr="00B84F91">
        <w:t>.</w:t>
      </w:r>
      <w:r w:rsidR="004D1A97" w:rsidRPr="00B84F91">
        <w:tab/>
        <w:t xml:space="preserve">обръща внимание на деветте констатации от годината, направени от Палатата, които засягат плащанията; отбелязва, че в случая на ENISA, </w:t>
      </w:r>
      <w:proofErr w:type="spellStart"/>
      <w:r w:rsidR="004D1A97" w:rsidRPr="00B84F91">
        <w:t>eu</w:t>
      </w:r>
      <w:proofErr w:type="spellEnd"/>
      <w:r w:rsidR="004D1A97" w:rsidRPr="00B84F91">
        <w:t xml:space="preserve">-LISA, както и по отношение на ЕОТ, откритите нередности, заедно с установените при предишни одити, са довели до плащания през 2023 г. (само за </w:t>
      </w:r>
      <w:proofErr w:type="spellStart"/>
      <w:r w:rsidR="004D1A97" w:rsidRPr="00B84F91">
        <w:t>eu</w:t>
      </w:r>
      <w:proofErr w:type="spellEnd"/>
      <w:r w:rsidR="004D1A97" w:rsidRPr="00B84F91">
        <w:t>-LISA и ЕОТ), представляват основата за становище с резерви от Палатата и са описани в раздел „Преглед на одитните резултати“ от настоящата резолюция;</w:t>
      </w:r>
    </w:p>
    <w:p w14:paraId="6A81E2B4" w14:textId="77777777" w:rsidR="004D1A97" w:rsidRPr="00B84F91" w:rsidRDefault="00E1486C" w:rsidP="004D1A97">
      <w:pPr>
        <w:spacing w:after="240"/>
        <w:ind w:left="567" w:hanging="567"/>
      </w:pPr>
      <w:r>
        <w:t>99</w:t>
      </w:r>
      <w:r w:rsidR="004D1A97" w:rsidRPr="00B84F91">
        <w:t>.</w:t>
      </w:r>
      <w:r w:rsidR="004D1A97" w:rsidRPr="00B84F91">
        <w:tab/>
        <w:t xml:space="preserve">отбелязва, че останалите забележки от годината, засягащи плащанията, се отнасят до </w:t>
      </w:r>
      <w:proofErr w:type="spellStart"/>
      <w:r w:rsidR="004D1A97" w:rsidRPr="00B84F91">
        <w:t>CdT</w:t>
      </w:r>
      <w:proofErr w:type="spellEnd"/>
      <w:r w:rsidR="004D1A97" w:rsidRPr="00B84F91">
        <w:t>, EIGE, EFCA, ERA и EU-OSHA с по една констатация за всяка агенция, с изключение на последната агенция, за която има две; отбелязва, че причината за констатацията, както и отговорът на агенциите по отношение на констатацията на Палатата, имат следната разбивка:</w:t>
      </w:r>
    </w:p>
    <w:p w14:paraId="13E3147F" w14:textId="77777777" w:rsidR="004D1A97" w:rsidRPr="00B84F91" w:rsidRDefault="004D1A97" w:rsidP="004D1A97">
      <w:pPr>
        <w:pStyle w:val="ListParagraph"/>
        <w:spacing w:after="240"/>
        <w:ind w:left="1134" w:hanging="567"/>
        <w:contextualSpacing w:val="0"/>
        <w:jc w:val="left"/>
      </w:pPr>
      <w:r w:rsidRPr="00B84F91">
        <w:t>–</w:t>
      </w:r>
      <w:r w:rsidRPr="00B84F91">
        <w:tab/>
        <w:t xml:space="preserve">В случая на </w:t>
      </w:r>
      <w:proofErr w:type="spellStart"/>
      <w:r w:rsidRPr="00B84F91">
        <w:t>CdT</w:t>
      </w:r>
      <w:proofErr w:type="spellEnd"/>
      <w:r w:rsidRPr="00B84F91">
        <w:t xml:space="preserve"> констатацията се отнася до неправилното използване на процедура за пряко възлагане вместо стартирането на състезателна процедура въз основа на оценка на бъдещите разходи, което води до нередовни плащания по тези договори на обща стойност 25 800 EUR през </w:t>
      </w:r>
      <w:r w:rsidRPr="00B84F91">
        <w:lastRenderedPageBreak/>
        <w:t xml:space="preserve">2023 г.; отбелязва отговора на </w:t>
      </w:r>
      <w:proofErr w:type="spellStart"/>
      <w:r w:rsidRPr="00B84F91">
        <w:t>CdT</w:t>
      </w:r>
      <w:proofErr w:type="spellEnd"/>
      <w:r w:rsidRPr="00B84F91">
        <w:t>, че той ще организира опростени състезателни процедури за услуги по поддръжка на стойност над 1 000 EUR;</w:t>
      </w:r>
    </w:p>
    <w:p w14:paraId="0995FE58" w14:textId="77777777" w:rsidR="004D1A97" w:rsidRPr="00B84F91" w:rsidRDefault="004D1A97" w:rsidP="004D1A97">
      <w:pPr>
        <w:pStyle w:val="ListParagraph"/>
        <w:spacing w:after="240"/>
        <w:ind w:left="1134" w:hanging="567"/>
        <w:contextualSpacing w:val="0"/>
        <w:jc w:val="left"/>
      </w:pPr>
      <w:r w:rsidRPr="00B84F91">
        <w:t>–</w:t>
      </w:r>
      <w:r w:rsidRPr="00B84F91">
        <w:tab/>
        <w:t>В случая на ERA констатацията е свързана с подписването на конкретен договор без подновяване на състезателната процедура, както се изисква от рамковото споразумение, което е довело до плащания на обща стойност 254 400 EUR във връзка с посочения договор; отбелязва отговора на ERA, че считано от 2024 г. агенцията е започнала да подновява самостоятелно състезателната процедура за обхванатите услуги;</w:t>
      </w:r>
    </w:p>
    <w:p w14:paraId="5A4B1DE7" w14:textId="77777777" w:rsidR="004D1A97" w:rsidRPr="00B84F91" w:rsidRDefault="004D1A97" w:rsidP="004D1A97">
      <w:pPr>
        <w:pStyle w:val="ListParagraph"/>
        <w:spacing w:after="240"/>
        <w:ind w:left="1134" w:hanging="567"/>
        <w:contextualSpacing w:val="0"/>
        <w:jc w:val="left"/>
      </w:pPr>
      <w:r w:rsidRPr="00B84F91">
        <w:t>–</w:t>
      </w:r>
      <w:r w:rsidRPr="00B84F91">
        <w:tab/>
        <w:t>Констатацията за EIGE се отнася до неправилно прилагане на предварителни проверки, надхвърляне на тавана на рамковия договор и неправилно прилагане на дневните ставки, което е довело до нередовни плащания в размер на 76 500 EUR; отбелязва, че EIGE ще гарантира правилното прилагане на междуинституционалните рамкови договори, като обърне внимание на договорите в областта на човешките ресурси;</w:t>
      </w:r>
    </w:p>
    <w:p w14:paraId="0EC72001" w14:textId="54719B7C" w:rsidR="004D1A97" w:rsidRPr="00B84F91" w:rsidRDefault="004D1A97" w:rsidP="004D1A97">
      <w:pPr>
        <w:pStyle w:val="ListParagraph"/>
        <w:spacing w:after="240"/>
        <w:ind w:left="1134" w:hanging="567"/>
        <w:contextualSpacing w:val="0"/>
        <w:jc w:val="left"/>
      </w:pPr>
      <w:r w:rsidRPr="00B84F91">
        <w:t>–</w:t>
      </w:r>
      <w:r w:rsidRPr="00B84F91">
        <w:tab/>
        <w:t xml:space="preserve">EFCA е използвала междуинституционален рамков договор за предоставяне на услуги за организиране на пътувания извън неговия обхват за получаване на услуги за организиране на събития и свързаните с това плащания </w:t>
      </w:r>
      <w:r w:rsidR="00504D1B">
        <w:t xml:space="preserve">през 2023 година </w:t>
      </w:r>
      <w:r w:rsidRPr="00B84F91">
        <w:t>в размер на 257 300 EUR са нередовни; отбелязва, че според EFCA агенцията се е сблъскала с неочаквани ситуации, водещи до процедурни забавяния, и ще разработи като корективни действия план за действие при извънредни ситуации с цел смекчаване на въздействието на неочаквани събития;</w:t>
      </w:r>
    </w:p>
    <w:p w14:paraId="08238E39" w14:textId="77777777" w:rsidR="004D1A97" w:rsidRPr="00B84F91" w:rsidRDefault="004D1A97" w:rsidP="004D1A97">
      <w:pPr>
        <w:pStyle w:val="ListParagraph"/>
        <w:spacing w:after="240"/>
        <w:ind w:left="1134" w:hanging="567"/>
        <w:contextualSpacing w:val="0"/>
        <w:jc w:val="left"/>
      </w:pPr>
      <w:r w:rsidRPr="00B84F91">
        <w:t>–</w:t>
      </w:r>
      <w:r w:rsidRPr="00B84F91">
        <w:tab/>
        <w:t>За EU-OSHA има две констатации:</w:t>
      </w:r>
    </w:p>
    <w:p w14:paraId="5713DB99" w14:textId="77777777" w:rsidR="004D1A97" w:rsidRPr="00B84F91" w:rsidRDefault="004D1A97" w:rsidP="004D1A97">
      <w:pPr>
        <w:pStyle w:val="ListParagraph"/>
        <w:spacing w:after="240"/>
        <w:ind w:left="1701" w:hanging="567"/>
        <w:contextualSpacing w:val="0"/>
        <w:jc w:val="left"/>
      </w:pPr>
      <w:r w:rsidRPr="00B84F91">
        <w:t>1)</w:t>
      </w:r>
      <w:r w:rsidRPr="00B84F91">
        <w:tab/>
        <w:t>нередности при възлагането в рамките на три процедури на договаряне с един икономически оператор без публикуване на обявление за поръчка, които според Палатата не отговарят на условията, посочени в точка 11.1, буква в) от приложение I към Финансовия регламент, и са довели до нередовни плащания в размер на 67 100 EUR през 2023 г.; отбелязва отговора на EU-OSHA, че тя е била в изключително неотложна ситуация и не е разполагала с други осъществими възможности за осигуряване на непрекъснатост на дейността;</w:t>
      </w:r>
    </w:p>
    <w:p w14:paraId="2FDC73F2" w14:textId="77777777" w:rsidR="004D1A97" w:rsidRPr="00B84F91" w:rsidRDefault="004D1A97" w:rsidP="004D1A97">
      <w:pPr>
        <w:pStyle w:val="ListParagraph"/>
        <w:spacing w:after="240"/>
        <w:ind w:left="1701" w:hanging="567"/>
        <w:contextualSpacing w:val="0"/>
        <w:jc w:val="left"/>
      </w:pPr>
      <w:r w:rsidRPr="00B84F91">
        <w:t>2)</w:t>
      </w:r>
      <w:r w:rsidRPr="00B84F91">
        <w:tab/>
        <w:t>две пряко възложени поръчки са довели до нередовни плащания в размер на 29 700 EUR; отбелязва, че тези договори е трябвало да бъдат обединени в единна състезателна процедура, тъй като са били за почти идентични услуги, поради което е налице нарушение на член 160 от Финансовия регламент, който забранява разделянето на договори; отбелязва, че EU-OSHA ще подобри документирането на своите проучвания на пазара и ще проучи алтернативни инструменти за възлагане на обществени поръчки;</w:t>
      </w:r>
    </w:p>
    <w:p w14:paraId="3758CBF4" w14:textId="77777777" w:rsidR="004D1A97" w:rsidRPr="00B84F91" w:rsidRDefault="00AA3BDD" w:rsidP="004D1A97">
      <w:pPr>
        <w:spacing w:after="240"/>
        <w:ind w:left="567" w:hanging="567"/>
      </w:pPr>
      <w:r>
        <w:t>100</w:t>
      </w:r>
      <w:r w:rsidR="004D1A97" w:rsidRPr="00B84F91">
        <w:t>.</w:t>
      </w:r>
      <w:r w:rsidR="004D1A97" w:rsidRPr="00B84F91">
        <w:tab/>
        <w:t xml:space="preserve">присъединява се към препоръката на Палатата, че при изпълнението на рамкови договори съответните агенции следва да използват конкретни договори единствено за възлагане на доставка на стоки или услуги, обхванати от съответното рамково споразумение; освен това споделя препоръката на Палатата, че съответните агенции следва също така да гарантират, че спазват правилата, </w:t>
      </w:r>
      <w:r w:rsidR="004D1A97" w:rsidRPr="00B84F91">
        <w:lastRenderedPageBreak/>
        <w:t>предвидени във Финансовия регламент за изменение на съществуващи договори, че конкретните договори определят цените, количествата и сроковете за доставка и че изпълнението на договорите подлежи на подходящи проверки във връзка с тези ключови елементи;</w:t>
      </w:r>
    </w:p>
    <w:p w14:paraId="64951C97" w14:textId="77777777" w:rsidR="004D1A97" w:rsidRPr="00B84F91" w:rsidRDefault="00AA3BDD" w:rsidP="004D1A97">
      <w:pPr>
        <w:pStyle w:val="NormalHanging12a"/>
      </w:pPr>
      <w:r>
        <w:t>101</w:t>
      </w:r>
      <w:r w:rsidR="004D1A97" w:rsidRPr="00B84F91">
        <w:t>.</w:t>
      </w:r>
      <w:r w:rsidR="004D1A97" w:rsidRPr="00B84F91">
        <w:tab/>
        <w:t xml:space="preserve">припомня, че при всички процедури за обществени поръчки е важно да се гарантира качеството на стоките и услугите и лоялна конкуренция между оферентите и възлагането да става въз основа на икономически най-изгодната оферта, като се </w:t>
      </w:r>
      <w:r w:rsidR="00202A1E" w:rsidRPr="00202A1E">
        <w:t xml:space="preserve">дава предимство на европейските дружества пред дружествата извън Европа и се </w:t>
      </w:r>
      <w:r w:rsidR="004D1A97" w:rsidRPr="00B84F91">
        <w:t>зачитат принципите на прозрачност, пропорционалност, равнопоставеност и недискриминация;</w:t>
      </w:r>
    </w:p>
    <w:p w14:paraId="4776BB99" w14:textId="77777777" w:rsidR="004D1A97" w:rsidRPr="00B84F91" w:rsidRDefault="00AA3BDD" w:rsidP="004D1A97">
      <w:pPr>
        <w:spacing w:after="240"/>
        <w:ind w:left="567" w:hanging="567"/>
      </w:pPr>
      <w:r>
        <w:t>102</w:t>
      </w:r>
      <w:r w:rsidR="004D1A97" w:rsidRPr="00B84F91">
        <w:t>.</w:t>
      </w:r>
      <w:r w:rsidR="004D1A97" w:rsidRPr="00B84F91">
        <w:tab/>
        <w:t>настоява, че е необходимо да се засили сътрудничеството в областта на обществените поръчки между Мрежата на агенциите на ЕС (EUAN) и Европейската комисия;</w:t>
      </w:r>
    </w:p>
    <w:p w14:paraId="3107C841" w14:textId="77777777" w:rsidR="004D1A97" w:rsidRPr="00B84F91" w:rsidRDefault="00AA3BDD" w:rsidP="004D1A97">
      <w:pPr>
        <w:spacing w:after="240"/>
        <w:ind w:left="567" w:hanging="567"/>
        <w:rPr>
          <w:szCs w:val="24"/>
        </w:rPr>
      </w:pPr>
      <w:r>
        <w:t>103</w:t>
      </w:r>
      <w:r w:rsidR="004D1A97" w:rsidRPr="00B84F91">
        <w:t>.</w:t>
      </w:r>
      <w:r w:rsidR="004D1A97" w:rsidRPr="00B84F91">
        <w:tab/>
        <w:t xml:space="preserve">подчертава значението на засилването на цифровизацията в рамките на агенциите както за вътрешните операции и управление, така и за ускоряването на цифровизацията на процедурите; подчертава необходимостта да продължи подходът на </w:t>
      </w:r>
      <w:proofErr w:type="spellStart"/>
      <w:r w:rsidR="004D1A97" w:rsidRPr="00B84F91">
        <w:t>проактивност</w:t>
      </w:r>
      <w:proofErr w:type="spellEnd"/>
      <w:r w:rsidR="004D1A97" w:rsidRPr="00B84F91">
        <w:t>; във връзка с това подкрепя допълнителните инвестиции в цифрови инструменти и иновации за подобряване на процедурните задачи, както и за предотвратяване на цифрово разделение между агенциите;</w:t>
      </w:r>
    </w:p>
    <w:p w14:paraId="129A4021" w14:textId="77777777" w:rsidR="004D1A97" w:rsidRPr="00504D1B" w:rsidRDefault="004D1A97" w:rsidP="004D1A97">
      <w:pPr>
        <w:spacing w:after="240"/>
        <w:rPr>
          <w:b/>
          <w:i/>
        </w:rPr>
      </w:pPr>
      <w:r w:rsidRPr="00504D1B">
        <w:rPr>
          <w:b/>
          <w:i/>
        </w:rPr>
        <w:t>Политика по отношение на персонала, равенство между половете, приобщаване, конфликт на интереси и предотвратяване на измами</w:t>
      </w:r>
    </w:p>
    <w:p w14:paraId="429AF5A6" w14:textId="77777777" w:rsidR="004D1A97" w:rsidRPr="00B84F91" w:rsidRDefault="00AA3BDD" w:rsidP="004D1A97">
      <w:pPr>
        <w:spacing w:after="240"/>
        <w:ind w:left="567" w:hanging="567"/>
      </w:pPr>
      <w:r>
        <w:t>104</w:t>
      </w:r>
      <w:r w:rsidR="004D1A97" w:rsidRPr="00B84F91">
        <w:t>.</w:t>
      </w:r>
      <w:r w:rsidR="004D1A97" w:rsidRPr="00B84F91">
        <w:tab/>
        <w:t>отбелязва, че през 2023 г. 33-те децентрализирани агенции са докладвали, че в тях са работили общо 10 580 служители (в сравнение с 10 146 през 2022 г.), в т.ч. длъжностни лица, срочно наети служители, договорно наети служители и командировани национални експерти, което представлява увеличение със 4,27% в сравнение с 2022 г.;</w:t>
      </w:r>
    </w:p>
    <w:p w14:paraId="4DCEBBF8" w14:textId="77777777" w:rsidR="004D1A97" w:rsidRPr="00B84F91" w:rsidRDefault="00AA3BDD" w:rsidP="004D1A97">
      <w:pPr>
        <w:spacing w:after="240"/>
        <w:ind w:left="567" w:hanging="567"/>
        <w:rPr>
          <w:szCs w:val="24"/>
        </w:rPr>
      </w:pPr>
      <w:r>
        <w:t>105</w:t>
      </w:r>
      <w:r w:rsidR="004D1A97" w:rsidRPr="00B84F91">
        <w:t>.</w:t>
      </w:r>
      <w:r w:rsidR="004D1A97" w:rsidRPr="00B84F91">
        <w:tab/>
        <w:t xml:space="preserve">отбелязва, че случаи на професионално изчерпване (общо 25) са регистрирани в шест агенции, а именно ЕААБ (пет случая), ЕАОС (четири случая), EFCA (един случай), ЕОБХ (два случая), EMA (десет случая) и Европол (три случая); отбелязва обаче, че не всички агенции, включително ECDC, ECHA, ЕАМБ, ENISA, ERA, FRA, </w:t>
      </w:r>
      <w:proofErr w:type="spellStart"/>
      <w:r w:rsidR="004D1A97" w:rsidRPr="00B84F91">
        <w:t>Frontex</w:t>
      </w:r>
      <w:proofErr w:type="spellEnd"/>
      <w:r w:rsidR="004D1A97" w:rsidRPr="00B84F91">
        <w:t xml:space="preserve">, събират данни, свързани със случаи на професионално изчерпване поради съображение за защита на данните; изразява загриженост относно </w:t>
      </w:r>
      <w:proofErr w:type="spellStart"/>
      <w:r w:rsidR="004D1A97" w:rsidRPr="00B84F91">
        <w:t>несъбирането</w:t>
      </w:r>
      <w:proofErr w:type="spellEnd"/>
      <w:r w:rsidR="004D1A97" w:rsidRPr="00B84F91">
        <w:t xml:space="preserve"> на медицински данни, тъй като те са важни, за да се проследява психичното благосъстояние на служителите на агенциите; настоятелно призовава агенциите да предприемат незабавни действия за справяне с нарастващия брой случаи на професионално изчерпване сред служителите; отбелязва, през 2022 г. в 19 агенции няколко служители са положили извънреден труд (13 през 2021 г.); отбелязва по-специално, че голям брой служители са положили извънреден труд в ЕОБХ (81% от служителите) и </w:t>
      </w:r>
      <w:proofErr w:type="spellStart"/>
      <w:r w:rsidR="004D1A97" w:rsidRPr="00B84F91">
        <w:t>Eurofound</w:t>
      </w:r>
      <w:proofErr w:type="spellEnd"/>
      <w:r w:rsidR="004D1A97" w:rsidRPr="00B84F91">
        <w:t xml:space="preserve"> (97% от служителите); припомня в тази връзка значението на разработването на дългосрочна политика в областта на човешките ресурси, включително структури за подкрепа за психичното здраве, която да гарантира всеобхватен подход към равновесието между професионалния и личния живот, включително разпоредби за дистанционна работа и професионално развитие; подчертава освен това значението на опазването на психичното здраве и благосъстоянието на персонала;</w:t>
      </w:r>
    </w:p>
    <w:p w14:paraId="0F0DEAB2" w14:textId="77777777" w:rsidR="004D1A97" w:rsidRPr="00B84F91" w:rsidRDefault="00AA3BDD" w:rsidP="004D1A97">
      <w:pPr>
        <w:pStyle w:val="Normal12Hanging"/>
        <w:rPr>
          <w:szCs w:val="24"/>
        </w:rPr>
      </w:pPr>
      <w:r>
        <w:lastRenderedPageBreak/>
        <w:t>106</w:t>
      </w:r>
      <w:r w:rsidR="004D1A97" w:rsidRPr="00B84F91">
        <w:t>.</w:t>
      </w:r>
      <w:r w:rsidR="004D1A97" w:rsidRPr="00B84F91">
        <w:tab/>
        <w:t>отбелязва, че директорът на EIT, говорещ от името на Мрежата на агенциите на ЕС, се съгласи на 4 декември 2024 г. по време на заседанието на комисията по бюджетен контрол да проведе проучване относно видовете договори за почистващия персонал, работещ в децентрализираните агенции; изисква Мрежата на агенциите на ЕС да информира органа по освобождаване от отговорност за видовете договори за почистващия персонал в децентрализираните агенции, включително дела на дългосрочните и краткосрочните договори;</w:t>
      </w:r>
    </w:p>
    <w:p w14:paraId="23F15AB9" w14:textId="77777777" w:rsidR="004D1A97" w:rsidRPr="00B84F91" w:rsidRDefault="00AA3BDD" w:rsidP="004D1A97">
      <w:pPr>
        <w:pStyle w:val="NormalHanging12a"/>
      </w:pPr>
      <w:r>
        <w:t>107</w:t>
      </w:r>
      <w:r w:rsidR="004D1A97" w:rsidRPr="00B84F91">
        <w:t>.</w:t>
      </w:r>
      <w:r w:rsidR="004D1A97" w:rsidRPr="00B84F91">
        <w:tab/>
        <w:t xml:space="preserve">подкрепя усилията, които </w:t>
      </w:r>
      <w:proofErr w:type="spellStart"/>
      <w:r w:rsidR="004D1A97" w:rsidRPr="00B84F91">
        <w:t>Frontex</w:t>
      </w:r>
      <w:proofErr w:type="spellEnd"/>
      <w:r w:rsidR="004D1A97" w:rsidRPr="00B84F91">
        <w:t xml:space="preserve"> продължава да полага в подкрепа на дейността на своя служител по въпросите на основните права, като отбелязва назначаването на 46 наблюдатели на основните права през 2023 г.; подчертава, че е важно да се осигури назначаването на всички наблюдатели на основните права на степен AD, за да се повиши допълнително техният капацитет и независимост; признава, че </w:t>
      </w:r>
      <w:proofErr w:type="spellStart"/>
      <w:r w:rsidR="004D1A97" w:rsidRPr="00B84F91">
        <w:t>Frontex</w:t>
      </w:r>
      <w:proofErr w:type="spellEnd"/>
      <w:r w:rsidR="004D1A97" w:rsidRPr="00B84F91">
        <w:t xml:space="preserve"> е предприела значителни стъпки в отговор на становищата на служителя по въпросите на основните права, по-специално по въпроси като интегрирането на принципа на равенство между половете и трафика на хора;</w:t>
      </w:r>
    </w:p>
    <w:p w14:paraId="7D323D8D" w14:textId="77777777" w:rsidR="004D1A97" w:rsidRPr="00B84F91" w:rsidRDefault="00AA3BDD" w:rsidP="004D1A97">
      <w:pPr>
        <w:pStyle w:val="NormalHanging12a"/>
      </w:pPr>
      <w:r>
        <w:t>108</w:t>
      </w:r>
      <w:r w:rsidR="004D1A97" w:rsidRPr="00B84F91">
        <w:t>.</w:t>
      </w:r>
      <w:r w:rsidR="004D1A97" w:rsidRPr="00B84F91">
        <w:tab/>
        <w:t xml:space="preserve">отбелязва, че през 2023 г. текучеството на персонала е било над 5% в 18 от общо 33 агенции (а именно в </w:t>
      </w:r>
      <w:proofErr w:type="spellStart"/>
      <w:r w:rsidR="004D1A97" w:rsidRPr="00B84F91">
        <w:t>Cedefop</w:t>
      </w:r>
      <w:proofErr w:type="spellEnd"/>
      <w:r w:rsidR="004D1A97" w:rsidRPr="00B84F91">
        <w:t xml:space="preserve">, CEPOL, ЕБО, EFCA, EIGE, EIOPA, EIT, ЕОТ, EUDA, ETF, EUAA, </w:t>
      </w:r>
      <w:proofErr w:type="spellStart"/>
      <w:r w:rsidR="004D1A97" w:rsidRPr="00B84F91">
        <w:t>eu</w:t>
      </w:r>
      <w:proofErr w:type="spellEnd"/>
      <w:r w:rsidR="004D1A97" w:rsidRPr="00B84F91">
        <w:t xml:space="preserve">-LISA, </w:t>
      </w:r>
      <w:proofErr w:type="spellStart"/>
      <w:r w:rsidR="004D1A97" w:rsidRPr="00B84F91">
        <w:t>Eurofound</w:t>
      </w:r>
      <w:proofErr w:type="spellEnd"/>
      <w:r w:rsidR="004D1A97" w:rsidRPr="00B84F91">
        <w:t xml:space="preserve">, Евроюст, Европол, EUSPA) и че три от тях са надвишили процента от 10% (а именно Службата на ОЕРЕС, </w:t>
      </w:r>
      <w:proofErr w:type="spellStart"/>
      <w:r w:rsidR="004D1A97" w:rsidRPr="00B84F91">
        <w:t>CdT</w:t>
      </w:r>
      <w:proofErr w:type="spellEnd"/>
      <w:r w:rsidR="004D1A97" w:rsidRPr="00B84F91">
        <w:t>, Евроюст); приветства агенциите за целенасочените мерки, които са предприели за предотвратяване на високи равнища на текучество сред служителите; подчертава, че е важно всички агенции да прилагат мерки с цел подобряване на управлението и задържането на таланти; разчита на Мрежата на агенциите на ЕС да бъде форум за членуващите в нея агенции по отношение на обмена на добри практики, и когато е възможно, обединяването на усилията по този въпрос; призовава Комисията активно да подкрепя агенциите при наемането на необходимите експерти за изпълнение на техните мандати, като насърчава по-тясното сътрудничество с университетите и други съответни институции;</w:t>
      </w:r>
    </w:p>
    <w:p w14:paraId="0B703BF8" w14:textId="77777777" w:rsidR="004D1A97" w:rsidRPr="00B84F91" w:rsidRDefault="00AA3BDD" w:rsidP="004D1A97">
      <w:pPr>
        <w:spacing w:after="240"/>
        <w:ind w:left="567" w:hanging="567"/>
      </w:pPr>
      <w:r>
        <w:t>109</w:t>
      </w:r>
      <w:r w:rsidR="004D1A97" w:rsidRPr="00B84F91">
        <w:t>.</w:t>
      </w:r>
      <w:r w:rsidR="004D1A97" w:rsidRPr="00B84F91">
        <w:tab/>
        <w:t>подчертава, че географският баланс все още е предизвикателство за няколко агенции, за които значителен процент от общия им персонал са граждани на държавата членка, в която се намират агенциите;</w:t>
      </w:r>
    </w:p>
    <w:p w14:paraId="6BB94260" w14:textId="77777777" w:rsidR="004D1A97" w:rsidRPr="00B84F91" w:rsidRDefault="00AA3BDD" w:rsidP="004D1A97">
      <w:pPr>
        <w:spacing w:after="240"/>
        <w:ind w:left="567" w:hanging="567"/>
      </w:pPr>
      <w:r>
        <w:t>110</w:t>
      </w:r>
      <w:r w:rsidR="004D1A97" w:rsidRPr="00B84F91">
        <w:t>.</w:t>
      </w:r>
      <w:r w:rsidR="004D1A97" w:rsidRPr="00B84F91">
        <w:tab/>
        <w:t>признава, че привличането на таланти и осигуряването на разнообразна в географско отношение работна сила са свързани с индивидуалните особености на агенциите (напр. местоположение, инфраструктура, училища, област на политиката), както и с външни ограничителни фактори (напр. конкуренция с частния сектор, несигурност на работните места поради предлаганите краткосрочни договори, ниски корекционни коефициенти); отбелязва със задоволство от доклада на Мрежата на агенциите на ЕС относно последващите действия във връзка с освобождаването от отговорност за 2021 г. предприетите от Мрежата действия за преодоляване на недостатъчната привлекателност и за подобряване на съотношението сред служителите на агенциите по отношение на възраст, пол и географски произход;</w:t>
      </w:r>
    </w:p>
    <w:p w14:paraId="3D34604D" w14:textId="77777777" w:rsidR="004D1A97" w:rsidRPr="00B84F91" w:rsidRDefault="00AA3BDD" w:rsidP="004D1A97">
      <w:pPr>
        <w:spacing w:after="240"/>
        <w:ind w:left="567" w:hanging="567"/>
        <w:rPr>
          <w:szCs w:val="24"/>
        </w:rPr>
      </w:pPr>
      <w:r>
        <w:t>111</w:t>
      </w:r>
      <w:r w:rsidR="004D1A97" w:rsidRPr="00B84F91">
        <w:t>.</w:t>
      </w:r>
      <w:r w:rsidR="004D1A97" w:rsidRPr="00B84F91">
        <w:tab/>
        <w:t xml:space="preserve">припомня, че агенциите, разположени в държави с относително нисък корекционен коефициент, са изправени пред непрекъснати предизвикателства при привличането на квалифициран и разнообразен в географско отношение персонал; призовава Комисията да анализира заедно със съответната държава </w:t>
      </w:r>
      <w:r w:rsidR="004D1A97" w:rsidRPr="00B84F91">
        <w:lastRenderedPageBreak/>
        <w:t>членка този въпрос и да обмисли използването на икономически стимули за подпомагане на смекчаването на проблема; припомня освен това, че корекционният коефициент прилага на практика общия принцип на равно третиране;</w:t>
      </w:r>
    </w:p>
    <w:p w14:paraId="1D5F3487" w14:textId="77777777" w:rsidR="004D1A97" w:rsidRPr="00B84F91" w:rsidRDefault="00AA3BDD" w:rsidP="004D1A97">
      <w:pPr>
        <w:spacing w:after="240"/>
        <w:ind w:left="567" w:hanging="567"/>
        <w:rPr>
          <w:szCs w:val="24"/>
        </w:rPr>
      </w:pPr>
      <w:r>
        <w:t>112</w:t>
      </w:r>
      <w:r w:rsidR="004D1A97" w:rsidRPr="00B84F91">
        <w:t>.</w:t>
      </w:r>
      <w:r w:rsidR="004D1A97" w:rsidRPr="00B84F91">
        <w:tab/>
        <w:t>отбелязва, че някои агенции използват екстензивно външни консултанти, главно в областта на ИКТ, но също така и в областите на своята основна дейност, което съставлява значителна част от оперативния им бюджет (напр. ACER, ETF, ЕОТ и др.); призовава всички агенции да дават приоритет на постоянните служители, вместо на външните консултанти и служителите на договори, за да се гарантират висококачествени условия на труд и да се предотврати загуба на знания и опит; освен това призовава агенциите да предотвратяват несигурността на работните места, дължаща се на краткосрочни договори, и да дават приоритет на дългосрочната заетост; призовава във връзка с това за предоставяне на гъвкавост за агенциите да преобразуват длъжности за командировани национални експерти в длъжности за срочно наети служители, като така се гарантира запазване на експертния опит, оперативната функционалност и непрекъснатостта на дейността; освен това настоява да се избягва възлагането на задачи на консултантски фирми, когато съответното ноу-хау е налице в рамките на институцията;</w:t>
      </w:r>
    </w:p>
    <w:p w14:paraId="686EEE9D" w14:textId="77777777" w:rsidR="004D1A97" w:rsidRPr="00B84F91" w:rsidRDefault="00AA3BDD" w:rsidP="004D1A97">
      <w:pPr>
        <w:pStyle w:val="NormalHanging12a"/>
      </w:pPr>
      <w:r>
        <w:t>113</w:t>
      </w:r>
      <w:r w:rsidR="004D1A97" w:rsidRPr="00B84F91">
        <w:t>.</w:t>
      </w:r>
      <w:r w:rsidR="004D1A97" w:rsidRPr="00B84F91">
        <w:tab/>
        <w:t>признава напредъка, постигнат в рамките на агенциите по отношение на баланса между половете сред техните служители: призовава за увеличени усилия за гарантиране на баланс между половете на висше управленско равнище и за систематично интегриране на принципа на равенство между половете във всички политики, процедури и дейности на агенциите;</w:t>
      </w:r>
    </w:p>
    <w:p w14:paraId="02C4F97F" w14:textId="77777777" w:rsidR="00202A1E" w:rsidRDefault="00AA3BDD" w:rsidP="004D1A97">
      <w:pPr>
        <w:widowControl/>
        <w:spacing w:after="240"/>
        <w:ind w:left="567" w:hanging="567"/>
      </w:pPr>
      <w:r>
        <w:t>114</w:t>
      </w:r>
      <w:r w:rsidR="004D1A97" w:rsidRPr="00B84F91">
        <w:t>.</w:t>
      </w:r>
      <w:r w:rsidR="004D1A97" w:rsidRPr="00B84F91">
        <w:tab/>
      </w:r>
      <w:r w:rsidR="00202A1E" w:rsidRPr="00202A1E">
        <w:t>призовава агенциите да определят ясни цели и срокове за постигане на баланс между половете и географско многообразие във висшето ръководство и органите за вземане на решения и систематично да докладват за напредъка;</w:t>
      </w:r>
    </w:p>
    <w:p w14:paraId="59A4254C" w14:textId="77777777" w:rsidR="004D1A97" w:rsidRPr="00B84F91" w:rsidRDefault="00202A1E" w:rsidP="004D1A97">
      <w:pPr>
        <w:widowControl/>
        <w:spacing w:after="240"/>
        <w:ind w:left="567" w:hanging="567"/>
        <w:rPr>
          <w:szCs w:val="24"/>
        </w:rPr>
      </w:pPr>
      <w:r>
        <w:t>11</w:t>
      </w:r>
      <w:r w:rsidR="00AA3BDD">
        <w:t>5</w:t>
      </w:r>
      <w:r>
        <w:t>.</w:t>
      </w:r>
      <w:r>
        <w:tab/>
      </w:r>
      <w:r w:rsidR="004D1A97" w:rsidRPr="00B84F91">
        <w:t>отбелязва леко подобрен баланс между половете през 2023 спрямо 2022 г. на равнище висше и средно ръководство</w:t>
      </w:r>
      <w:r w:rsidR="004D1A97" w:rsidRPr="00B84F91">
        <w:rPr>
          <w:rStyle w:val="FootnoteReference"/>
          <w:szCs w:val="24"/>
        </w:rPr>
        <w:footnoteReference w:id="427"/>
      </w:r>
      <w:r w:rsidR="004D1A97" w:rsidRPr="00B84F91">
        <w:t>, и сред членовете на управителните съвети</w:t>
      </w:r>
      <w:r w:rsidR="004D1A97" w:rsidRPr="00B84F91">
        <w:rPr>
          <w:rStyle w:val="FootnoteReference"/>
          <w:szCs w:val="24"/>
        </w:rPr>
        <w:footnoteReference w:id="428"/>
      </w:r>
      <w:r w:rsidR="004D1A97" w:rsidRPr="00B84F91">
        <w:t>; отбелязва, че отчетеният баланс между половете сред служителите като цяло</w:t>
      </w:r>
      <w:r w:rsidR="004D1A97" w:rsidRPr="00B84F91">
        <w:rPr>
          <w:rStyle w:val="FootnoteReference"/>
          <w:szCs w:val="24"/>
        </w:rPr>
        <w:footnoteReference w:id="429"/>
      </w:r>
      <w:r w:rsidR="004D1A97" w:rsidRPr="00B84F91">
        <w:t xml:space="preserve"> не се е променил; насърчава ACER, Службата на ОЕРЕС, </w:t>
      </w:r>
      <w:proofErr w:type="spellStart"/>
      <w:r w:rsidR="004D1A97" w:rsidRPr="00B84F91">
        <w:t>Cedefop</w:t>
      </w:r>
      <w:proofErr w:type="spellEnd"/>
      <w:r w:rsidR="004D1A97" w:rsidRPr="00B84F91">
        <w:t xml:space="preserve">, ECDC, ECHA, ЕОБХ, EIOPA, ЕЦМНН, ЕАМБ, ENISA, ERA, </w:t>
      </w:r>
      <w:proofErr w:type="spellStart"/>
      <w:r w:rsidR="004D1A97" w:rsidRPr="00B84F91">
        <w:t>eu</w:t>
      </w:r>
      <w:proofErr w:type="spellEnd"/>
      <w:r w:rsidR="004D1A97" w:rsidRPr="00B84F91">
        <w:t xml:space="preserve">-LISA, ЕОТ, Европол, EUAA, EUSPA и </w:t>
      </w:r>
      <w:proofErr w:type="spellStart"/>
      <w:r w:rsidR="004D1A97" w:rsidRPr="00B84F91">
        <w:t>Frontex</w:t>
      </w:r>
      <w:proofErr w:type="spellEnd"/>
      <w:r w:rsidR="004D1A97" w:rsidRPr="00B84F91">
        <w:t xml:space="preserve"> да оказват подкрепа на жените кандидатки за управленски длъжности; отново призовава Комисията и държавите членки да спазват баланса между половете при номинирането и назначаването на членове на управителните или на административните съвети; припомня амбицията на агенциите да се синхронизират с Комисията, за да постигнат баланс между половете от 50% на всички управленски равнища до края на 2025 г.; призовава агенциите да вземат предвид тези аспекти при всяко бъдещо набиране на персонал и да работят за по-нататъшно подобряване на баланса между половете на висше управленско равнище;</w:t>
      </w:r>
    </w:p>
    <w:p w14:paraId="0937BC3E" w14:textId="77777777" w:rsidR="004D1A97" w:rsidRPr="00B84F91" w:rsidRDefault="004D1A97" w:rsidP="004D1A97">
      <w:pPr>
        <w:spacing w:after="240"/>
        <w:ind w:left="567" w:hanging="567"/>
        <w:rPr>
          <w:szCs w:val="24"/>
        </w:rPr>
      </w:pPr>
      <w:r w:rsidRPr="00B84F91">
        <w:t>116.</w:t>
      </w:r>
      <w:r w:rsidRPr="00B84F91">
        <w:tab/>
        <w:t xml:space="preserve">настоятелно призовава децентрализираните агенции да укрепят политиките за </w:t>
      </w:r>
      <w:r w:rsidRPr="00B84F91">
        <w:lastRenderedPageBreak/>
        <w:t>равенство между половете на всички равнища, като осигуряват равни възможности при наемането на работа, кариерното развитие и условията на труд за всички служители; насърчава всички агенции да приемат и прилагат стабилни стратегии за многообразие и приобщаване, насърчаващи справедливост и баланс, като гарантират равни възможности и представителство на жените и малцинствата на ръководните длъжности; призовава агенциите да разработят всеобхватни стратегии за оценка на напредъка и определяне на областите, в които е необходимо подобрение; припомня, че Парламентът ще прави оценка на спазването на тези принципи в рамките на годишната процедура по освобождаване от отговорност във връзка с изпълнението на бюджета;</w:t>
      </w:r>
    </w:p>
    <w:p w14:paraId="3A3D42A8" w14:textId="77777777" w:rsidR="004D1A97" w:rsidRPr="00B84F91" w:rsidRDefault="004D1A97" w:rsidP="004D1A97">
      <w:pPr>
        <w:spacing w:after="240"/>
        <w:ind w:left="567" w:hanging="567"/>
      </w:pPr>
      <w:r w:rsidRPr="00B84F91">
        <w:t>117.</w:t>
      </w:r>
      <w:r w:rsidRPr="00B84F91">
        <w:tab/>
        <w:t>отбелязва, че всички агенции са въвели мерки за подобряване на благосъстоянието на служителите на работното място и равновесието между професионалния и личния живот; отбелязва, че броят и въздействието на подобни мерки се различават значително в отделните агенции и че изглежда не съществува обща референтна рамка за агенциите; призовава Мрежата на агенциите на ЕС да координира усилията за разработване на обща референтна рамка в това отношение; отбелязва със задоволство, че голяма част от агенциите са въвели мерки за интеграция на хората с увреждания; насърчава агенциите да поддържат добри практики за благосъстояние на персонала, приобщаване и интеграция на хората с увреждания и да продължат да разглеждат въпроса за равновесието между професионалния и личния живот, както и ученето през целия живот и професионалното развитие; подчертава, че е важно да се увеличат усилията за постигане на баланс между половете и географски баланс сред персонала на институциите и сред висшите ръководни длъжности; подчертава полезната роля, която обменът на най-добри практики може да играе в областта на управлението на персонала; приканва агенциите да предоставят подходящи и редовни обучения на своите служители;</w:t>
      </w:r>
    </w:p>
    <w:p w14:paraId="5B330058" w14:textId="77777777" w:rsidR="004D1A97" w:rsidRPr="00B84F91" w:rsidRDefault="004D1A97" w:rsidP="004D1A97">
      <w:pPr>
        <w:spacing w:after="240"/>
        <w:ind w:left="567" w:hanging="567"/>
        <w:rPr>
          <w:szCs w:val="24"/>
        </w:rPr>
      </w:pPr>
      <w:r w:rsidRPr="00B84F91">
        <w:t>118.</w:t>
      </w:r>
      <w:r w:rsidRPr="00B84F91">
        <w:tab/>
        <w:t>насърчава всички агенции да прилагат политика за защита на личното достойнство и предотвратяване на психическия и сексуалния тормоз и да участват в междуведомствената работна група от доверени съветници; във връзка с това призовава за въвеждането на задължително превантивно обучение за борба с тормоза, което да бъде следвано от служителите на агенциите на ЕС; отбелязва със загриженост, че според отговорите на стандартния въпросник ENISA е съобщила на органа по освобождаване от отговорност, че през 2023 г. са били започнати две административни разследвания, свързани с предполагаем тормоз; освен това тя информира, че един от тях е приключен през 2024 г., след като е получила окончателен доклад от OLAF; очаква Агенцията да предприеме задълбочени последващи действия по текущите случаи, както и да въведе строги мерки за предотвратяване на подобни случаи в бъдеще; призовава агенциите да докладват редовно, чрез доклада за последващите действия, относно напредъка в тази област;</w:t>
      </w:r>
    </w:p>
    <w:p w14:paraId="4EA11D97" w14:textId="77777777" w:rsidR="004D1A97" w:rsidRPr="00B84F91" w:rsidRDefault="004D1A97" w:rsidP="004D1A97">
      <w:pPr>
        <w:spacing w:after="240"/>
        <w:ind w:left="567" w:hanging="567"/>
        <w:rPr>
          <w:szCs w:val="24"/>
        </w:rPr>
      </w:pPr>
      <w:r w:rsidRPr="00B84F91">
        <w:t>119.</w:t>
      </w:r>
      <w:r w:rsidRPr="00B84F91">
        <w:tab/>
        <w:t>отбелязва, че предполагаемият конфликт на интереси може да съставлява риск за репутацията на агенцията и че трябва да бъде разгледан, дори ако той се окаже необоснован;</w:t>
      </w:r>
    </w:p>
    <w:p w14:paraId="15F8F9BB" w14:textId="77777777" w:rsidR="00202A1E" w:rsidRDefault="004D1A97" w:rsidP="004D1A97">
      <w:pPr>
        <w:pStyle w:val="NormalHanging12a"/>
      </w:pPr>
      <w:r w:rsidRPr="00B84F91">
        <w:t>120.</w:t>
      </w:r>
      <w:r w:rsidRPr="00B84F91">
        <w:tab/>
      </w:r>
      <w:r w:rsidR="00202A1E" w:rsidRPr="00202A1E">
        <w:t xml:space="preserve">настоятелно призовава всички агенции да засилят допълнително предотвратяването и управлението на конфликти на интереси, включително систематичните декларации за интереси, подавани от висшето ръководство, </w:t>
      </w:r>
      <w:r w:rsidR="00202A1E" w:rsidRPr="00202A1E">
        <w:lastRenderedPageBreak/>
        <w:t>външните експерти и членовете на управителните съвети, които да се публикуват проактивно и в достъпен вид;</w:t>
      </w:r>
    </w:p>
    <w:p w14:paraId="0B91468A" w14:textId="77777777" w:rsidR="004D1A97" w:rsidRPr="00B84F91" w:rsidRDefault="00202A1E" w:rsidP="004D1A97">
      <w:pPr>
        <w:pStyle w:val="NormalHanging12a"/>
      </w:pPr>
      <w:r>
        <w:t>121.</w:t>
      </w:r>
      <w:r>
        <w:tab/>
      </w:r>
      <w:r w:rsidR="004D1A97" w:rsidRPr="00B84F91">
        <w:t>подчертава, че е важно да се запази независимостта на агенциите на ЕС от неправомерно секторно влияние, за да се съхрани общественото доверие в техните процеси на вземане на решения; изразява загриженост относно регулаторните недостатъци и потенциалните конфликти на интереси в рамките на някои агенции; подчертава проблемите, свързани с тесни връзки със сектора, и докладите за неправомерно влияние, по-специално чрез кадрова въртележка между публичните институции и частните дружества; подчертава необходимостта от по-голяма прозрачност, по-стабилни механизми за надзор и твърд ангажимент за даване на приоритет на общественото здраве и безопасност пред финансовите интереси;</w:t>
      </w:r>
    </w:p>
    <w:p w14:paraId="5F4BDA2C" w14:textId="77777777" w:rsidR="004D1A97" w:rsidRPr="00B84F91" w:rsidRDefault="000A15EE" w:rsidP="004D1A97">
      <w:pPr>
        <w:spacing w:after="240"/>
        <w:ind w:left="567" w:hanging="567"/>
      </w:pPr>
      <w:r>
        <w:t>122</w:t>
      </w:r>
      <w:r w:rsidR="004D1A97" w:rsidRPr="00B84F91">
        <w:t>.</w:t>
      </w:r>
      <w:r w:rsidR="004D1A97" w:rsidRPr="00B84F91">
        <w:tab/>
        <w:t xml:space="preserve">отбелязва, че за 2023 г. Палатата не е докладвала за сериозни случаи на конфликт на интереси, с изключение на </w:t>
      </w:r>
      <w:proofErr w:type="spellStart"/>
      <w:r w:rsidR="004D1A97" w:rsidRPr="00B84F91">
        <w:t>Frontex</w:t>
      </w:r>
      <w:proofErr w:type="spellEnd"/>
      <w:r w:rsidR="004D1A97" w:rsidRPr="00B84F91">
        <w:t xml:space="preserve"> и ЕЦМНН;</w:t>
      </w:r>
    </w:p>
    <w:p w14:paraId="7BFDB31B" w14:textId="77777777" w:rsidR="004D1A97" w:rsidRPr="00B84F91" w:rsidRDefault="000A15EE" w:rsidP="004D1A97">
      <w:pPr>
        <w:spacing w:after="240"/>
        <w:ind w:left="567" w:hanging="567"/>
      </w:pPr>
      <w:r>
        <w:t>123</w:t>
      </w:r>
      <w:r w:rsidR="004D1A97" w:rsidRPr="00B84F91">
        <w:t>.</w:t>
      </w:r>
      <w:r w:rsidR="004D1A97" w:rsidRPr="00B84F91">
        <w:tab/>
        <w:t>счита, че понастоящем повечето агенции разполагат със стабилни и всеобхватни процедури за повишаване на осведомеността и за предотвратяване на конфликти на интереси, като предоставят необходимата увереност за независимостта на своите служители на заинтересованите страни и обществеността;</w:t>
      </w:r>
    </w:p>
    <w:p w14:paraId="4ECD0CF1" w14:textId="77777777" w:rsidR="004D1A97" w:rsidRPr="00B84F91" w:rsidRDefault="000A15EE" w:rsidP="004D1A97">
      <w:pPr>
        <w:spacing w:after="240"/>
        <w:ind w:left="567" w:hanging="567"/>
      </w:pPr>
      <w:r>
        <w:t>124</w:t>
      </w:r>
      <w:r w:rsidR="004D1A97" w:rsidRPr="00B84F91">
        <w:t>.</w:t>
      </w:r>
      <w:r w:rsidR="004D1A97" w:rsidRPr="00B84F91">
        <w:tab/>
        <w:t>отбелязва със задоволство доброто сътрудничество с агенциите в областта на правосъдието и вътрешните работи, по-специално сключването на ново работно споразумение с Европейската служба за борба с измамите (OLAF), откриването на 15 нови досиета, по които Евроюст подкрепи Европейската прокуратура, както и сътрудничеството по 42 досиета с Агенцията на Европейския съюз за сътрудничество в областта на правоприлагането (Европол); подчертава стартирането на пилотен проект от Евроюст и Европол за систематичен и структурен обмен на данни за целите на откриването на връзки, преглед на работата по който е предвиден за първата половина на 2024 г.; приветства плана за действие на Евроюст и OLAF за периода 2022 – 2023 г. за борба с престъпления, засягащи финансовите интереси на Европейския съюз;</w:t>
      </w:r>
    </w:p>
    <w:p w14:paraId="2B765663" w14:textId="77777777" w:rsidR="004D1A97" w:rsidRPr="00B84F91" w:rsidRDefault="004D1A97" w:rsidP="004D1A97">
      <w:pPr>
        <w:keepNext/>
        <w:spacing w:after="240"/>
        <w:ind w:left="567" w:hanging="567"/>
        <w:rPr>
          <w:b/>
          <w:i/>
        </w:rPr>
      </w:pPr>
      <w:r w:rsidRPr="00B84F91">
        <w:rPr>
          <w:b/>
          <w:i/>
        </w:rPr>
        <w:t>Вътрешен контрол</w:t>
      </w:r>
    </w:p>
    <w:p w14:paraId="75DCEFD3" w14:textId="77777777" w:rsidR="004D1A97" w:rsidRPr="00B84F91" w:rsidRDefault="000A15EE" w:rsidP="004D1A97">
      <w:pPr>
        <w:keepNext/>
        <w:spacing w:after="240"/>
        <w:ind w:left="567" w:hanging="567"/>
      </w:pPr>
      <w:r>
        <w:t>125</w:t>
      </w:r>
      <w:r w:rsidR="004D1A97" w:rsidRPr="00B84F91">
        <w:t>.</w:t>
      </w:r>
      <w:r w:rsidR="004D1A97" w:rsidRPr="00B84F91">
        <w:tab/>
        <w:t xml:space="preserve">отбелязва със загриженост констатациите на Палатата в областта на системите за управление и контрол, засягащи 9 агенции, а именно EMA, Европол, EUSPA, </w:t>
      </w:r>
      <w:proofErr w:type="spellStart"/>
      <w:r w:rsidR="004D1A97" w:rsidRPr="00B84F91">
        <w:t>Eurofound</w:t>
      </w:r>
      <w:proofErr w:type="spellEnd"/>
      <w:r w:rsidR="004D1A97" w:rsidRPr="00B84F91">
        <w:t>, EIT, Евроюст, ACER, ENISA и ЕАОС;</w:t>
      </w:r>
    </w:p>
    <w:p w14:paraId="37E96604" w14:textId="77777777" w:rsidR="004D1A97" w:rsidRPr="00B84F91" w:rsidRDefault="000A15EE" w:rsidP="004D1A97">
      <w:pPr>
        <w:spacing w:after="240"/>
        <w:ind w:left="567" w:hanging="567"/>
      </w:pPr>
      <w:r>
        <w:t>126</w:t>
      </w:r>
      <w:r w:rsidR="004D1A97" w:rsidRPr="00B84F91">
        <w:t>.</w:t>
      </w:r>
      <w:r w:rsidR="004D1A97" w:rsidRPr="00B84F91">
        <w:tab/>
        <w:t>подчертава, че в случая на Европол и EIT при две от три констатации се е стигнало до нередовни плащания през 2023 г.;</w:t>
      </w:r>
    </w:p>
    <w:p w14:paraId="0FFB84BE" w14:textId="77777777" w:rsidR="004D1A97" w:rsidRPr="00B84F91" w:rsidRDefault="000A15EE" w:rsidP="004D1A97">
      <w:pPr>
        <w:spacing w:after="240"/>
        <w:ind w:left="567" w:hanging="567"/>
      </w:pPr>
      <w:r>
        <w:t>127</w:t>
      </w:r>
      <w:r w:rsidR="004D1A97" w:rsidRPr="00B84F91">
        <w:t>.</w:t>
      </w:r>
      <w:r w:rsidR="004D1A97" w:rsidRPr="00B84F91">
        <w:tab/>
        <w:t>припомня, че през 2022 г. Палатата установи, че Европол неправомерно е възстановил ДДС чрез безвъзмездни средства за публични органи, като го е счел за допустим разход, и че през 2023 г. възстановяването съгласно тази концепция е възлязло на 279 900 EUR; приветства решението на Европол вече да не разглежда ДДС като допустим разход за нови оперативни безвъзмездни средства;</w:t>
      </w:r>
    </w:p>
    <w:p w14:paraId="3F2025F8" w14:textId="77777777" w:rsidR="004D1A97" w:rsidRPr="00B84F91" w:rsidRDefault="000A15EE" w:rsidP="004D1A97">
      <w:pPr>
        <w:spacing w:after="240"/>
        <w:ind w:left="567" w:hanging="567"/>
      </w:pPr>
      <w:r>
        <w:t>128</w:t>
      </w:r>
      <w:r w:rsidR="004D1A97" w:rsidRPr="00B84F91">
        <w:t>.</w:t>
      </w:r>
      <w:r w:rsidR="004D1A97" w:rsidRPr="00B84F91">
        <w:tab/>
        <w:t xml:space="preserve">отбелязва, че в случая на EIT една от констатациите представлява основата за изразяване на становище с резерви относно законосъобразността и редовността на </w:t>
      </w:r>
      <w:r w:rsidR="004D1A97" w:rsidRPr="00B84F91">
        <w:lastRenderedPageBreak/>
        <w:t>свързаните с отчетите плащания, което е описано в раздел „Преглед на резултатите от одита“ от настоящата резолюция;</w:t>
      </w:r>
    </w:p>
    <w:p w14:paraId="4F5D76BB" w14:textId="77777777" w:rsidR="004D1A97" w:rsidRPr="00B84F91" w:rsidRDefault="000A15EE" w:rsidP="004D1A97">
      <w:pPr>
        <w:pStyle w:val="NormalHanging12a"/>
      </w:pPr>
      <w:r>
        <w:t>129</w:t>
      </w:r>
      <w:r w:rsidR="004D1A97" w:rsidRPr="00B84F91">
        <w:t>.</w:t>
      </w:r>
      <w:r w:rsidR="004D1A97" w:rsidRPr="00B84F91">
        <w:tab/>
        <w:t>изразява загриженост, че втората констатация на Палатата относно EIT се отнася до преминаването на агенцията към многогодишна структура на споразумения за отпускане на безвъзмездни средства, но процедурите и насоките за последващи проверки на плащанията на безвъзмездни средства не са актуализирани, за да се отчетат последиците; приветства, че EIT вече е в процес на актуализиране на своя механизъм за последващ контрол, за да се справи с тези последици;</w:t>
      </w:r>
    </w:p>
    <w:p w14:paraId="4FA0C364" w14:textId="77777777" w:rsidR="004D1A97" w:rsidRPr="00B84F91" w:rsidRDefault="000A15EE" w:rsidP="004D1A97">
      <w:pPr>
        <w:spacing w:after="240"/>
        <w:ind w:left="567" w:hanging="567"/>
      </w:pPr>
      <w:r>
        <w:t>130</w:t>
      </w:r>
      <w:r w:rsidR="004D1A97" w:rsidRPr="00B84F91">
        <w:t>.</w:t>
      </w:r>
      <w:r w:rsidR="004D1A97" w:rsidRPr="00B84F91">
        <w:tab/>
        <w:t>е наясно, че през първото тримесечие на 2023 г. EMA е извършила миграция на данни, но не е спазила сроковете за 48 ветеринарни инспекции, което е довело до значителни закъснения с фактурите, които не са докладвани в регистъра на изключенията и са погрешно осчетоводени като приходи; отбелязва, че това противоречи на финансовия регламент на ЕМА и разкрива слабост в нейните системи за управление и контрол; отбелязва целта на ЕМА да подобри процеса в контекста на прилагането на Регламента за новите такси;</w:t>
      </w:r>
    </w:p>
    <w:p w14:paraId="6574BCE6" w14:textId="77777777" w:rsidR="004D1A97" w:rsidRPr="00B84F91" w:rsidRDefault="000A15EE" w:rsidP="004D1A97">
      <w:pPr>
        <w:spacing w:after="240"/>
        <w:ind w:left="567" w:hanging="567"/>
      </w:pPr>
      <w:r>
        <w:t>131</w:t>
      </w:r>
      <w:r w:rsidR="004D1A97" w:rsidRPr="00B84F91">
        <w:t>.</w:t>
      </w:r>
      <w:r w:rsidR="004D1A97" w:rsidRPr="00B84F91">
        <w:tab/>
        <w:t xml:space="preserve">отбелязва, че </w:t>
      </w:r>
      <w:proofErr w:type="spellStart"/>
      <w:r w:rsidR="004D1A97" w:rsidRPr="00B84F91">
        <w:t>Eurofound</w:t>
      </w:r>
      <w:proofErr w:type="spellEnd"/>
      <w:r w:rsidR="004D1A97" w:rsidRPr="00B84F91">
        <w:t xml:space="preserve"> е извършила плащане в размер на 38 600 EUR във връзка с договор за оценка на качеството на данни от проучване, без да изиска някои ключови придружаващи документи, свързани с договорните резултати;</w:t>
      </w:r>
    </w:p>
    <w:p w14:paraId="4A7FC122" w14:textId="77777777" w:rsidR="004D1A97" w:rsidRPr="00B84F91" w:rsidRDefault="000A15EE" w:rsidP="004D1A97">
      <w:pPr>
        <w:pStyle w:val="NormalHanging12a"/>
      </w:pPr>
      <w:r>
        <w:t>132</w:t>
      </w:r>
      <w:r w:rsidR="004D1A97" w:rsidRPr="00B84F91">
        <w:t>.</w:t>
      </w:r>
      <w:r w:rsidR="004D1A97" w:rsidRPr="00B84F91">
        <w:tab/>
        <w:t>отбелязва, че през 2023 г. Евроюст е отбелязал увеличение на нестандартните операции, класифицирани като изключения или случаи на неспазване, като броят им се е увеличил от 43 на 71, а общата сума се е увеличила от 294 000 EUR на 566 400 EUR в сравнение с 2022 г.; потвърждава отговора на Евроюст на констатацията, според който по-голямата част от всички случаи на неспазване през 2023 г. се дължи на едно събитие за отпускане на безвъзмездни средства за съвместен екип за разследване (СЕР); отбелязва, че според Агенцията увеличението се дължи главно на недостатъчните човешки ресурси и вътрешната неефективност на процесите и приветства отстраняването на проблема от Евроюст чрез преразглеждане на настоящата процедура за регистриране и докладване на случаи на неспазване през 2024 г.;</w:t>
      </w:r>
    </w:p>
    <w:p w14:paraId="22211FAD" w14:textId="77777777" w:rsidR="004D1A97" w:rsidRPr="00B84F91" w:rsidRDefault="000A15EE" w:rsidP="004D1A97">
      <w:pPr>
        <w:spacing w:after="240"/>
        <w:ind w:left="567" w:hanging="567"/>
      </w:pPr>
      <w:r>
        <w:t>133</w:t>
      </w:r>
      <w:r w:rsidR="004D1A97" w:rsidRPr="00B84F91">
        <w:t>.</w:t>
      </w:r>
      <w:r w:rsidR="004D1A97" w:rsidRPr="00B84F91">
        <w:tab/>
        <w:t>отбелязва, че изпълнителният директор на EUSPA е потвърдил ранното започване на дейностите по мониторинг преди подписването на споразумение за отпускане на безвъзмездни средства, което е довело до дейности, извършвани без поемане на бюджетни задължения; подчертава, че това не е докладвано в регистъра на изключенията или в годишния отчет за дейността, което противоречи на Финансовия регламент; отбелязва, че EUSPA твърди, че не е било необходимо да регистрира ранното започване на дейностите без поемане на бюджетни задължения в регистъра на изключенията, но признава, че случаят не е бил докладван в годишния отчет за дейността, както се изисква;</w:t>
      </w:r>
    </w:p>
    <w:p w14:paraId="6BC90005" w14:textId="77777777" w:rsidR="004D1A97" w:rsidRPr="00B84F91" w:rsidRDefault="000A15EE" w:rsidP="004D1A97">
      <w:pPr>
        <w:spacing w:after="240"/>
        <w:ind w:left="567" w:hanging="567"/>
      </w:pPr>
      <w:r>
        <w:t>134</w:t>
      </w:r>
      <w:r w:rsidR="004D1A97" w:rsidRPr="00B84F91">
        <w:t>.</w:t>
      </w:r>
      <w:r w:rsidR="004D1A97" w:rsidRPr="00B84F91">
        <w:tab/>
        <w:t>отбелязва назначаването от страна на ACER на нов счетоводител, който е бил и ръководител на екипа на отдела за бюджета, финансите и възлагането на обществени поръчки, в нарушение на финансовия регламент на ACER, изискващ разделяне на задълженията на разпоредителите с бюджетни кредити и счетоводителите; е наясно, че считано от 1 май 2024 г. беше извършена реорганизация и ръководителят на екипа „Бюджет, финанси и обществени поръчки“ бе освободен от задълженията си на ръководител на екипа;</w:t>
      </w:r>
    </w:p>
    <w:p w14:paraId="1912A74C" w14:textId="77777777" w:rsidR="004D1A97" w:rsidRPr="00B84F91" w:rsidRDefault="000A15EE" w:rsidP="004D1A97">
      <w:pPr>
        <w:spacing w:after="240"/>
        <w:ind w:left="567" w:hanging="567"/>
      </w:pPr>
      <w:r>
        <w:lastRenderedPageBreak/>
        <w:t>135</w:t>
      </w:r>
      <w:r w:rsidR="004D1A97" w:rsidRPr="00B84F91">
        <w:t>.</w:t>
      </w:r>
      <w:r w:rsidR="004D1A97" w:rsidRPr="00B84F91">
        <w:tab/>
        <w:t>отбелязва, че през септември 2023 г. изпълнителният директор на ENISA е позволил на 15 временно наети служители да поемат функции във финансовата верига без предварително одобрение, което е в нарушение на разпоредбите; е наясно, че според отговора на Агенцията ENISA използва временно наети служители и командировани национални експерти поради потребности, свързани с дейността, и недостиг на ресурси, и ще се стреми към дерогация от финансовите правила, ако недостигът на ресурси продължи;</w:t>
      </w:r>
    </w:p>
    <w:p w14:paraId="7BA8BC3D" w14:textId="77777777" w:rsidR="004D1A97" w:rsidRPr="00B84F91" w:rsidRDefault="000A15EE" w:rsidP="004D1A97">
      <w:pPr>
        <w:pStyle w:val="NormalHanging12a"/>
      </w:pPr>
      <w:r>
        <w:t>136</w:t>
      </w:r>
      <w:r w:rsidR="004D1A97" w:rsidRPr="00B84F91">
        <w:t>.</w:t>
      </w:r>
      <w:r w:rsidR="004D1A97" w:rsidRPr="00B84F91">
        <w:tab/>
        <w:t>отбелязва освен това, че счетоводителят на ENISA е назначен и за координатор по вътрешния контрол, което противоречи на разпоредбите, предвиждащи разделение на задълженията; отбелязва, че ENISA е признала констатацията, но тя счита, че функциите на координатора за вътрешен контрол и на счетоводителя не са непременно несъвместими, тъй като разпоредителят с бюджетни кредити не е делегирал никакви правомощия на координатора по вътрешния контрол; приветства факта, че ENISA ще изясни ролите и отговорностите на координатора по вътрешния контрол в своите вътрешни процеси; призовава Европейският парламент да бъде информиран за развитието по този въпрос до 30 юни 2025 г.;</w:t>
      </w:r>
    </w:p>
    <w:p w14:paraId="134A61C1" w14:textId="77777777" w:rsidR="004D1A97" w:rsidRPr="00B84F91" w:rsidRDefault="000A15EE" w:rsidP="004D1A97">
      <w:pPr>
        <w:spacing w:after="240"/>
        <w:ind w:left="567" w:hanging="567"/>
      </w:pPr>
      <w:r>
        <w:t>137</w:t>
      </w:r>
      <w:r w:rsidR="004D1A97" w:rsidRPr="00B84F91">
        <w:t>.</w:t>
      </w:r>
      <w:r w:rsidR="004D1A97" w:rsidRPr="00B84F91">
        <w:tab/>
        <w:t>отбелязва, че ЕАОС е одобрила еднократни плащания на безвъзмездни средства, без да е в състояние да покаже как е изчислена сумата, което създава риск сумата да не е съизмерима с предоставените услуги; отбелязва, че ЕАОС счита, че писменото решение относно еднократното плащане е в пълно съответствие със съответните клаузи на Финансовия регламент; подчертава, че Агенцията ще гарантира, че еднократните суми са правилно определени и документирани за случаите, когато разходите се декларират от еднолично дружество/самостоятелно зает партньор в ЕТЦ (Европейски тематични центрове)</w:t>
      </w:r>
      <w:r w:rsidR="004D1A97" w:rsidRPr="00B84F91">
        <w:rPr>
          <w:rStyle w:val="FootnoteReference"/>
        </w:rPr>
        <w:footnoteReference w:id="430"/>
      </w:r>
      <w:r w:rsidR="004D1A97" w:rsidRPr="00B84F91">
        <w:t>;</w:t>
      </w:r>
    </w:p>
    <w:p w14:paraId="2794EAAD" w14:textId="77777777" w:rsidR="004D1A97" w:rsidRPr="00B84F91" w:rsidRDefault="000A15EE" w:rsidP="004D1A97">
      <w:pPr>
        <w:spacing w:after="240"/>
        <w:ind w:left="567" w:hanging="567"/>
      </w:pPr>
      <w:r>
        <w:t>138</w:t>
      </w:r>
      <w:r w:rsidR="004D1A97" w:rsidRPr="00B84F91">
        <w:t>.</w:t>
      </w:r>
      <w:r w:rsidR="004D1A97" w:rsidRPr="00B84F91">
        <w:tab/>
        <w:t>отбелязва, че ЕАОС е възложила предварителни финансови проверки на външен изпълнител и че Палатата е установила недостатъци в механизмите за контрол; отбелязва, че в отговор ЕАОС е признала констатацията на Палатата и ще актуализира процедурите за предварителни проверки, за да гарантира, че този риск е преодолян;</w:t>
      </w:r>
    </w:p>
    <w:p w14:paraId="16FBC638" w14:textId="77777777" w:rsidR="004D1A97" w:rsidRPr="00B84F91" w:rsidRDefault="000A15EE" w:rsidP="004D1A97">
      <w:pPr>
        <w:pStyle w:val="NormalHanging12a"/>
      </w:pPr>
      <w:r>
        <w:t>139</w:t>
      </w:r>
      <w:r w:rsidR="004D1A97" w:rsidRPr="00B84F91">
        <w:t>.</w:t>
      </w:r>
      <w:r w:rsidR="004D1A97" w:rsidRPr="00B84F91">
        <w:tab/>
        <w:t>призовава агенциите бързо и систематично да изпълняват препоръките, свързани с констатациите на Палатата и да предприемат конкретни корективни мерки за преодоляване на установените слабости в рамката за вътрешен контрол; настоятелно призовава за по-строги мерки за отчетност, които да гарантират, че всички трайни недостатъци водят до целенасочени корективни действия и последици при повторно неспазване;</w:t>
      </w:r>
    </w:p>
    <w:p w14:paraId="53EFFDE0" w14:textId="77777777" w:rsidR="004D1A97" w:rsidRPr="00B84F91" w:rsidRDefault="004D1A97" w:rsidP="004D1A97">
      <w:pPr>
        <w:spacing w:after="240"/>
        <w:ind w:left="567" w:hanging="567"/>
        <w:rPr>
          <w:i/>
        </w:rPr>
      </w:pPr>
      <w:r w:rsidRPr="00B84F91">
        <w:rPr>
          <w:b/>
          <w:i/>
        </w:rPr>
        <w:t>Киберсигурност, етика и прозрачност</w:t>
      </w:r>
    </w:p>
    <w:p w14:paraId="38EB68AC" w14:textId="77777777" w:rsidR="004D1A97" w:rsidRPr="00B84F91" w:rsidRDefault="000A15EE" w:rsidP="004D1A97">
      <w:pPr>
        <w:pStyle w:val="NormalHanging12a"/>
      </w:pPr>
      <w:r>
        <w:t>140</w:t>
      </w:r>
      <w:r w:rsidR="004D1A97" w:rsidRPr="00B84F91">
        <w:t>.</w:t>
      </w:r>
      <w:r w:rsidR="004D1A97" w:rsidRPr="00B84F91">
        <w:tab/>
        <w:t xml:space="preserve">обръща внимание на необходимостта от предприемане на всички необходими мерки за сигурност, за да се запази целостта на обработваната информация онлайн, настоява за повишаване на устойчивостта на агенциите на кибератаки или опити за проникване, особено с произход от Русия или от която и да е друга трета </w:t>
      </w:r>
      <w:r w:rsidR="004D1A97" w:rsidRPr="00B84F91">
        <w:lastRenderedPageBreak/>
        <w:t>държава; подчертава, че съвместното възлагане на обществени поръчки в тази област между агенциите би могло да доведе до намаляване на финансовите разходи и до по-добри резултати;</w:t>
      </w:r>
    </w:p>
    <w:p w14:paraId="3A1B5059" w14:textId="77777777" w:rsidR="004D1A97" w:rsidRPr="00B84F91" w:rsidRDefault="000A15EE" w:rsidP="004D1A97">
      <w:pPr>
        <w:spacing w:after="240"/>
        <w:ind w:left="567" w:hanging="567"/>
      </w:pPr>
      <w:r>
        <w:t>141</w:t>
      </w:r>
      <w:r w:rsidR="004D1A97" w:rsidRPr="00B84F91">
        <w:t>.</w:t>
      </w:r>
      <w:r w:rsidR="004D1A97" w:rsidRPr="00B84F91">
        <w:tab/>
        <w:t xml:space="preserve">приветства сътрудничеството на FRA с Агенцията на Европейския съюз за киберсигурност (ENISA) за защита на неприкосновеността на личния живот и защита на данните по време на разработването и изпълнението на инициативи в областта на киберсигурността, както и с </w:t>
      </w:r>
      <w:proofErr w:type="spellStart"/>
      <w:r w:rsidR="004D1A97" w:rsidRPr="00B84F91">
        <w:t>eu</w:t>
      </w:r>
      <w:proofErr w:type="spellEnd"/>
      <w:r w:rsidR="004D1A97" w:rsidRPr="00B84F91">
        <w:t>-LISA за гарантиране, че проектирането и използването на системи на ИТ се придържат към стандартите в областта на основните права;</w:t>
      </w:r>
    </w:p>
    <w:p w14:paraId="44E63335" w14:textId="77777777" w:rsidR="004D1A97" w:rsidRPr="00B84F91" w:rsidRDefault="000A15EE" w:rsidP="004D1A97">
      <w:pPr>
        <w:pStyle w:val="NormalHanging12a"/>
      </w:pPr>
      <w:r>
        <w:t>142</w:t>
      </w:r>
      <w:r w:rsidR="004D1A97" w:rsidRPr="00B84F91">
        <w:t>.</w:t>
      </w:r>
      <w:r w:rsidR="004D1A97" w:rsidRPr="00B84F91">
        <w:tab/>
        <w:t>отбелязва, че децентрализираните агенции на Европейския съюз са създали различни механизми за уреждане на въпросите във връзка с прозрачността и лобистките дейности в съответните им области на политиката; подчертава обаче, че според Палатата агенциите невинаги успяват да постигнат задоволителни равнища на прозрачност и икономически най-изгодни условия при търговете със сложни правила и процедури за възлагане на обществени поръчки</w:t>
      </w:r>
      <w:r w:rsidR="004D1A97" w:rsidRPr="00B84F91">
        <w:rPr>
          <w:vertAlign w:val="superscript"/>
        </w:rPr>
        <w:footnoteReference w:id="431"/>
      </w:r>
      <w:r w:rsidR="004D1A97" w:rsidRPr="00B84F91">
        <w:t>; отбелязва със загриженост оставащите проблеми по отношение на прозрачността, които на свой ред засягат съгласуваността, ефективността и най-вече отчетността;</w:t>
      </w:r>
    </w:p>
    <w:p w14:paraId="4E476007" w14:textId="77777777" w:rsidR="004D1A97" w:rsidRPr="00B84F91" w:rsidRDefault="000A15EE" w:rsidP="004D1A97">
      <w:pPr>
        <w:pStyle w:val="NormalHanging12a"/>
      </w:pPr>
      <w:r>
        <w:t>143</w:t>
      </w:r>
      <w:r w:rsidR="004D1A97" w:rsidRPr="00B84F91">
        <w:t>.</w:t>
      </w:r>
      <w:r w:rsidR="004D1A97" w:rsidRPr="00B84F91">
        <w:tab/>
        <w:t xml:space="preserve">подчертава положителния напредък по изпълнението на целите в областта на основните права, включително текущото изпълнение на плана за действие в областта на основните права и независимата оценка на спазването от страна на Агенцията на рамката за основните права, в съответствие с Регламента за европейската гранична и брегова охрана; приветства проактивните последващи действия на </w:t>
      </w:r>
      <w:proofErr w:type="spellStart"/>
      <w:r w:rsidR="004D1A97" w:rsidRPr="00B84F91">
        <w:t>Frontex</w:t>
      </w:r>
      <w:proofErr w:type="spellEnd"/>
      <w:r w:rsidR="004D1A97" w:rsidRPr="00B84F91">
        <w:t xml:space="preserve"> във връзка с жалби, свързани с основните права, като по-голямата част от тези жалби са били отхвърлени поради недопустимост; приветства засиления ангажимент на </w:t>
      </w:r>
      <w:proofErr w:type="spellStart"/>
      <w:r w:rsidR="004D1A97" w:rsidRPr="00B84F91">
        <w:t>Frontex</w:t>
      </w:r>
      <w:proofErr w:type="spellEnd"/>
      <w:r w:rsidR="004D1A97" w:rsidRPr="00B84F91">
        <w:t xml:space="preserve"> за прозрачност и отчетност;</w:t>
      </w:r>
    </w:p>
    <w:p w14:paraId="233BDC57" w14:textId="77777777" w:rsidR="004D1A97" w:rsidRPr="00B84F91" w:rsidRDefault="000A15EE" w:rsidP="004D1A97">
      <w:pPr>
        <w:spacing w:after="240"/>
        <w:ind w:left="567" w:hanging="567"/>
      </w:pPr>
      <w:r>
        <w:t>144</w:t>
      </w:r>
      <w:r w:rsidR="004D1A97" w:rsidRPr="00B84F91">
        <w:t>.</w:t>
      </w:r>
      <w:r w:rsidR="004D1A97" w:rsidRPr="00B84F91">
        <w:tab/>
        <w:t>подчертава, че от съображения за пълна яснота и прозрачност и в съответствие с констатациите на Палатата агенциите, които събират собствени приходи, следва да оповестяват тази информация по лесен за разбиране начин в техните окончателни годишни отчети, консолидирани годишни отчети за дейността и единни програмни документи, тъй като тези доклади служат за различни цели;</w:t>
      </w:r>
    </w:p>
    <w:p w14:paraId="4A80A961" w14:textId="77777777" w:rsidR="004D1A97" w:rsidRPr="00B84F91" w:rsidRDefault="000A15EE" w:rsidP="004D1A97">
      <w:pPr>
        <w:pStyle w:val="NormalHanging12a"/>
      </w:pPr>
      <w:r>
        <w:t>145</w:t>
      </w:r>
      <w:r w:rsidR="004D1A97" w:rsidRPr="00B84F91">
        <w:t>.</w:t>
      </w:r>
      <w:r w:rsidR="004D1A97" w:rsidRPr="00B84F91">
        <w:tab/>
        <w:t xml:space="preserve">отбелязва освен това, че през 2023 г. </w:t>
      </w:r>
      <w:proofErr w:type="spellStart"/>
      <w:r w:rsidR="004D1A97" w:rsidRPr="00B84F91">
        <w:t>Frontex</w:t>
      </w:r>
      <w:proofErr w:type="spellEnd"/>
      <w:r w:rsidR="004D1A97" w:rsidRPr="00B84F91">
        <w:t xml:space="preserve"> отказа да предостави публичен достъп до доклад на своя служител по въпросите на основните права относно операция на </w:t>
      </w:r>
      <w:proofErr w:type="spellStart"/>
      <w:r w:rsidR="004D1A97" w:rsidRPr="00B84F91">
        <w:t>Frontex</w:t>
      </w:r>
      <w:proofErr w:type="spellEnd"/>
      <w:r w:rsidR="004D1A97" w:rsidRPr="00B84F91">
        <w:t xml:space="preserve"> в Албания (преписка 652/2023/VB), което доведе до проверка от страна на Омбудсмана; Омбудсманът счете, че </w:t>
      </w:r>
      <w:proofErr w:type="spellStart"/>
      <w:r w:rsidR="004D1A97" w:rsidRPr="00B84F91">
        <w:t>Frontex</w:t>
      </w:r>
      <w:proofErr w:type="spellEnd"/>
      <w:r w:rsidR="004D1A97" w:rsidRPr="00B84F91">
        <w:t xml:space="preserve"> е трябвало да предостави достъп до някои части от доклада, и приветства приемането от </w:t>
      </w:r>
      <w:proofErr w:type="spellStart"/>
      <w:r w:rsidR="004D1A97" w:rsidRPr="00B84F91">
        <w:t>Frontex</w:t>
      </w:r>
      <w:proofErr w:type="spellEnd"/>
      <w:r w:rsidR="004D1A97" w:rsidRPr="00B84F91">
        <w:t xml:space="preserve"> на предложението на Омбудсмана за решение на въпроса;</w:t>
      </w:r>
    </w:p>
    <w:p w14:paraId="44EEDBC9" w14:textId="77777777" w:rsidR="004D1A97" w:rsidRPr="00B84F91" w:rsidRDefault="000A15EE" w:rsidP="004D1A97">
      <w:pPr>
        <w:spacing w:after="240"/>
        <w:ind w:left="567" w:hanging="567"/>
      </w:pPr>
      <w:r>
        <w:t>146</w:t>
      </w:r>
      <w:r w:rsidR="004D1A97" w:rsidRPr="00B84F91">
        <w:t>.</w:t>
      </w:r>
      <w:r w:rsidR="004D1A97" w:rsidRPr="00B84F91">
        <w:tab/>
        <w:t xml:space="preserve">изразява съжаление, че прилагането на регистъра за прозрачност по отношение на външните контакти не е задължително за децентрализираните агенции; отбелязва </w:t>
      </w:r>
      <w:r w:rsidR="004D1A97" w:rsidRPr="00B84F91">
        <w:lastRenderedPageBreak/>
        <w:t>обаче, че съгласно Междуинституционалното споразумение от 20 май 2021 г.</w:t>
      </w:r>
      <w:r w:rsidR="004D1A97" w:rsidRPr="00B84F91">
        <w:rPr>
          <w:rStyle w:val="FootnoteReference"/>
        </w:rPr>
        <w:footnoteReference w:id="432"/>
      </w:r>
      <w:r w:rsidR="004D1A97" w:rsidRPr="00B84F91">
        <w:t xml:space="preserve"> между Европейския парламент, Съвета на Европейския съюз и Европейската комисия за задължителен регистър за прозрачност агенциите имат възможност да използват регистъра за прозрачност на доброволна основа;</w:t>
      </w:r>
    </w:p>
    <w:p w14:paraId="1A7276ED" w14:textId="77777777" w:rsidR="004D1A97" w:rsidRPr="00B84F91" w:rsidRDefault="000A15EE" w:rsidP="004D1A97">
      <w:pPr>
        <w:spacing w:after="240"/>
        <w:ind w:left="567" w:hanging="567"/>
      </w:pPr>
      <w:r>
        <w:t>147</w:t>
      </w:r>
      <w:r w:rsidR="004D1A97" w:rsidRPr="00B84F91">
        <w:t>.</w:t>
      </w:r>
      <w:r w:rsidR="004D1A97" w:rsidRPr="00B84F91">
        <w:tab/>
        <w:t xml:space="preserve">насърчава всички агенции да използват тази възможност за доброволни действия и да последват примера на </w:t>
      </w:r>
      <w:proofErr w:type="spellStart"/>
      <w:r w:rsidR="004D1A97" w:rsidRPr="00B84F91">
        <w:t>eu</w:t>
      </w:r>
      <w:proofErr w:type="spellEnd"/>
      <w:r w:rsidR="004D1A97" w:rsidRPr="00B84F91">
        <w:t xml:space="preserve">-LISA и </w:t>
      </w:r>
      <w:proofErr w:type="spellStart"/>
      <w:r w:rsidR="004D1A97" w:rsidRPr="00B84F91">
        <w:t>Frontex</w:t>
      </w:r>
      <w:proofErr w:type="spellEnd"/>
      <w:r w:rsidR="004D1A97" w:rsidRPr="00B84F91">
        <w:t>, които са единствените две агенции, които изискват външните контакти с трети страни да се регистрират в регистъра за прозрачност;</w:t>
      </w:r>
    </w:p>
    <w:p w14:paraId="344931D3" w14:textId="77777777" w:rsidR="004D1A97" w:rsidRPr="00B84F91" w:rsidRDefault="000A15EE" w:rsidP="004D1A97">
      <w:pPr>
        <w:pStyle w:val="NormalHanging12a"/>
      </w:pPr>
      <w:r>
        <w:t>148</w:t>
      </w:r>
      <w:r w:rsidR="004D1A97" w:rsidRPr="00B84F91">
        <w:t>.</w:t>
      </w:r>
      <w:r w:rsidR="004D1A97" w:rsidRPr="00B84F91">
        <w:tab/>
        <w:t>подчертава, че използването на регистъра за прозрачност се стимулира и насърчава от страните, подписали Междуинституционалното споразумение; припомня настоятелния призив всички децентрализирани агенции да използват пълноценно регистъра;</w:t>
      </w:r>
    </w:p>
    <w:p w14:paraId="77092951" w14:textId="77777777" w:rsidR="004D1A97" w:rsidRPr="00B84F91" w:rsidRDefault="000A15EE" w:rsidP="004D1A97">
      <w:pPr>
        <w:spacing w:after="240"/>
        <w:ind w:left="567" w:hanging="567"/>
      </w:pPr>
      <w:r>
        <w:t>149</w:t>
      </w:r>
      <w:r w:rsidR="004D1A97" w:rsidRPr="00B84F91">
        <w:t>.</w:t>
      </w:r>
      <w:r w:rsidR="004D1A97" w:rsidRPr="00B84F91">
        <w:tab/>
        <w:t xml:space="preserve">отбелязва, че </w:t>
      </w:r>
      <w:proofErr w:type="spellStart"/>
      <w:r w:rsidR="004D1A97" w:rsidRPr="00B84F91">
        <w:t>eu</w:t>
      </w:r>
      <w:proofErr w:type="spellEnd"/>
      <w:r w:rsidR="004D1A97" w:rsidRPr="00B84F91">
        <w:t xml:space="preserve">-LISA е поставила акцент върху киберсигурността и борбата със заплахите в киберпространството, по-специално върху необходимата подготовка за задълженията, произтичащи от новите регламенти на Съюза относно информационната сигурност и киберсигурността; приветства факта, че </w:t>
      </w:r>
      <w:proofErr w:type="spellStart"/>
      <w:r w:rsidR="004D1A97" w:rsidRPr="00B84F91">
        <w:t>eu</w:t>
      </w:r>
      <w:proofErr w:type="spellEnd"/>
      <w:r w:rsidR="004D1A97" w:rsidRPr="00B84F91">
        <w:t xml:space="preserve">-LISA управлява и поддържа платформа за наблюдение на сигурността, план при инциденти в областта на киберсигурността, протоколи за реагиране и договорености за дежурство на режим 24 часа/7 дни, за да се гарантира навременното откриване и реагиране на киберзаплахи; приветства ролята на </w:t>
      </w:r>
      <w:proofErr w:type="spellStart"/>
      <w:r w:rsidR="004D1A97" w:rsidRPr="00B84F91">
        <w:t>eu</w:t>
      </w:r>
      <w:proofErr w:type="spellEnd"/>
      <w:r w:rsidR="004D1A97" w:rsidRPr="00B84F91">
        <w:t>-LISA в подкрепа на междуведомствените учения в областта на киберсигурността в сътрудничество с Мрежата на агенциите в областта на правосъдието и вътрешните работи (JHAAN)</w:t>
      </w:r>
      <w:r w:rsidR="004D1A97" w:rsidRPr="00B84F91">
        <w:rPr>
          <w:rStyle w:val="FootnoteReference"/>
          <w:szCs w:val="24"/>
        </w:rPr>
        <w:footnoteReference w:id="433"/>
      </w:r>
      <w:r w:rsidR="004D1A97" w:rsidRPr="00B84F91">
        <w:t xml:space="preserve">; подчертава, че е важно децентрализираните агенции да разполагат с пълен капацитет да се защитават срещу кибератаки; насърчава по-тясното сътрудничество между </w:t>
      </w:r>
      <w:proofErr w:type="spellStart"/>
      <w:r w:rsidR="004D1A97" w:rsidRPr="00B84F91">
        <w:t>eu</w:t>
      </w:r>
      <w:proofErr w:type="spellEnd"/>
      <w:r w:rsidR="004D1A97" w:rsidRPr="00B84F91">
        <w:t>-LISA и другите агенции за изграждане на по-устойчив, колективен отговор срещу киберпрестъпността; подчертава в тази връзка значението на укрепването на мерките за киберсигурност във всички агенции, като се имат предвид нарастващите рискове от киберзаплахи и нарушения на сигурността на данните; призовава за допълнителни инвестиции в сигурна ИТ инфраструктура и обучение в областта на киберсигурността за персонала на агенциите; настоятелно призовава агенциите да представят пред Парламента и Палатата годишен доклад за оценка на риска за киберсигурността;</w:t>
      </w:r>
    </w:p>
    <w:p w14:paraId="3582F513" w14:textId="77777777" w:rsidR="004D1A97" w:rsidRPr="00B84F91" w:rsidRDefault="000A15EE">
      <w:pPr>
        <w:spacing w:after="240"/>
        <w:ind w:left="567" w:hanging="567"/>
      </w:pPr>
      <w:r>
        <w:t>150</w:t>
      </w:r>
      <w:r w:rsidR="004D1A97" w:rsidRPr="00B84F91">
        <w:t>.</w:t>
      </w:r>
      <w:r w:rsidR="004D1A97" w:rsidRPr="00B84F91">
        <w:tab/>
        <w:t xml:space="preserve">настоятелно призовава </w:t>
      </w:r>
      <w:proofErr w:type="spellStart"/>
      <w:r w:rsidR="004D1A97" w:rsidRPr="00B84F91">
        <w:t>Frontex</w:t>
      </w:r>
      <w:proofErr w:type="spellEnd"/>
      <w:r w:rsidR="004D1A97" w:rsidRPr="00B84F91">
        <w:t xml:space="preserve"> да осигури без по-нататъшно забавяне пълното изпълнение на всички препоръки на европейските органи за одит и контрол, по-специално на OLAF и тези от работната група на Европейския парламент за контрол на </w:t>
      </w:r>
      <w:proofErr w:type="spellStart"/>
      <w:r w:rsidR="004D1A97" w:rsidRPr="00B84F91">
        <w:t>Frontex</w:t>
      </w:r>
      <w:proofErr w:type="spellEnd"/>
      <w:r w:rsidR="004D1A97" w:rsidRPr="00B84F91">
        <w:t xml:space="preserve">, Европейския омбудсман, Палатата и работната група на </w:t>
      </w:r>
      <w:proofErr w:type="spellStart"/>
      <w:r w:rsidR="004D1A97" w:rsidRPr="00B84F91">
        <w:t>Frontex</w:t>
      </w:r>
      <w:proofErr w:type="spellEnd"/>
      <w:r w:rsidR="004D1A97" w:rsidRPr="00B84F91">
        <w:t xml:space="preserve"> по основните права и правните оперативни аспекти на операциите;</w:t>
      </w:r>
    </w:p>
    <w:p w14:paraId="7C009C10" w14:textId="277FDF78" w:rsidR="004D1A97" w:rsidRPr="00B84F91" w:rsidRDefault="000A15EE" w:rsidP="004D1A97">
      <w:pPr>
        <w:pStyle w:val="NormalHanging12a"/>
      </w:pPr>
      <w:r>
        <w:lastRenderedPageBreak/>
        <w:t>151</w:t>
      </w:r>
      <w:r w:rsidR="004D1A97" w:rsidRPr="00B84F91">
        <w:t>.</w:t>
      </w:r>
      <w:r w:rsidR="004D1A97" w:rsidRPr="00B84F91">
        <w:tab/>
        <w:t>отбелязва, че всички агенции имат политика за лицата, сигнализиращи за нередности; призовава всички агенции да осигурят наличието на конкретни, безопасни и ефективни канали за докладване в съответствие с приложимите изисквания на Директива (ЕС) 2019/1937 на Европейския парламент и на Съвета</w:t>
      </w:r>
      <w:r w:rsidR="00504D1B" w:rsidRPr="00A43FA6">
        <w:rPr>
          <w:rStyle w:val="FootnoteReference"/>
        </w:rPr>
        <w:footnoteReference w:id="434"/>
      </w:r>
      <w:r w:rsidR="004D1A97" w:rsidRPr="00B84F91">
        <w:t xml:space="preserve"> относно подаването на сигнали за нередности;</w:t>
      </w:r>
    </w:p>
    <w:p w14:paraId="3E6FFA90" w14:textId="77777777" w:rsidR="004D1A97" w:rsidRPr="00B84F91" w:rsidRDefault="000A15EE" w:rsidP="004D1A97">
      <w:pPr>
        <w:pStyle w:val="NormalHanging12a"/>
      </w:pPr>
      <w:r>
        <w:t>152</w:t>
      </w:r>
      <w:r w:rsidR="004D1A97" w:rsidRPr="00B84F91">
        <w:t>.</w:t>
      </w:r>
      <w:r w:rsidR="004D1A97" w:rsidRPr="00B84F91">
        <w:tab/>
        <w:t>се застъпва за систематично включване на оценки на риска, свързани конкретно с изкуствения интелект, във вътрешните одити на агенциите, като така ще се гарантира спазването на етичните насоки на Съюза и стандартите за киберсигурност; призовава за разширен мандат на ENISA, който да включва специфичен надзор на рисковете, свързани с използването на изкуствен интелект в рамките на агенциите на ЕС;</w:t>
      </w:r>
    </w:p>
    <w:p w14:paraId="68EC3DC0" w14:textId="77777777" w:rsidR="004D1A97" w:rsidRPr="00B84F91" w:rsidRDefault="004D1A97" w:rsidP="004D1A97">
      <w:pPr>
        <w:spacing w:after="240"/>
        <w:ind w:left="567" w:hanging="567"/>
      </w:pPr>
      <w:r w:rsidRPr="00B84F91">
        <w:rPr>
          <w:b/>
          <w:i/>
          <w:color w:val="000000"/>
        </w:rPr>
        <w:t>Устойчивост, въздействие върху околната среда и социално приобщаване</w:t>
      </w:r>
    </w:p>
    <w:p w14:paraId="4A09EDFA" w14:textId="77777777" w:rsidR="004D1A97" w:rsidRPr="00B84F91" w:rsidRDefault="000A15EE" w:rsidP="004D1A97">
      <w:pPr>
        <w:pStyle w:val="NormalHanging12a"/>
      </w:pPr>
      <w:r>
        <w:t>153</w:t>
      </w:r>
      <w:r w:rsidR="004D1A97" w:rsidRPr="00B84F91">
        <w:t>.</w:t>
      </w:r>
      <w:r w:rsidR="004D1A97" w:rsidRPr="00B84F91">
        <w:tab/>
        <w:t>отбелязва, че като цяло 11</w:t>
      </w:r>
      <w:r w:rsidR="004D1A97" w:rsidRPr="00B84F91">
        <w:rPr>
          <w:vertAlign w:val="superscript"/>
        </w:rPr>
        <w:footnoteReference w:id="435"/>
      </w:r>
      <w:r w:rsidR="004D1A97" w:rsidRPr="00B84F91">
        <w:t xml:space="preserve"> от 33-те агенции на ЕС (33%) вече са приложили Схемата на ЕС за управление по околна среда и одит (EMAS); отбелязва положително проактивните стъпки, предприети от няколко агенции в стремежа им да получат сертифициране по EMAS в близко бъдеще</w:t>
      </w:r>
      <w:r w:rsidR="004D1A97" w:rsidRPr="00B84F91">
        <w:rPr>
          <w:vertAlign w:val="superscript"/>
        </w:rPr>
        <w:footnoteReference w:id="436"/>
      </w:r>
      <w:r w:rsidR="004D1A97" w:rsidRPr="00B84F91">
        <w:t>; отбелязва, че някои от агенциите</w:t>
      </w:r>
      <w:r w:rsidR="004D1A97" w:rsidRPr="00B84F91">
        <w:rPr>
          <w:vertAlign w:val="superscript"/>
        </w:rPr>
        <w:footnoteReference w:id="437"/>
      </w:r>
      <w:r w:rsidR="004D1A97" w:rsidRPr="00B84F91">
        <w:t xml:space="preserve"> с по-голям бюджет не са съобщили своите планове за прилагане на EMAS в краткосрочен план; отбелязва, че ЕААБ понастоящем оценява инструментите за системни и непрекъснати подобрения на екологичните показатели, включително EMAS, и ще предостави актуална информация на органа по освобождаване от отговорност по-късно тази година;</w:t>
      </w:r>
    </w:p>
    <w:p w14:paraId="79FB79FE" w14:textId="77777777" w:rsidR="004D1A97" w:rsidRPr="00B84F91" w:rsidRDefault="000A15EE" w:rsidP="004D1A97">
      <w:pPr>
        <w:pStyle w:val="NormalHanging12a"/>
      </w:pPr>
      <w:r>
        <w:t>154</w:t>
      </w:r>
      <w:r w:rsidR="004D1A97" w:rsidRPr="00B84F91">
        <w:t>.</w:t>
      </w:r>
      <w:r w:rsidR="004D1A97" w:rsidRPr="00B84F91">
        <w:tab/>
        <w:t>припомня, че в (хоризонталния) доклад относно освобождаването от отговорност във връзка с изпълнението на бюджета за 2022 г. се посочва, че 14 агенции все още не разполагат с корпоративни планове за устойчивост; отбелязва, че в доклада на Палатата за финансовата 2023 година не са предоставени актуализирани данни по въпроса; отново подчертава, че е важно всички агенции да разполагат с корпоративни планове за устойчивост; настоятелно призовава агенциите да докладват на Комисията относно енергийните характеристики на своите сгради;</w:t>
      </w:r>
    </w:p>
    <w:p w14:paraId="3F83EDE0" w14:textId="77777777" w:rsidR="004D1A97" w:rsidRPr="00B84F91" w:rsidRDefault="000A15EE" w:rsidP="004D1A97">
      <w:pPr>
        <w:spacing w:after="240"/>
        <w:ind w:left="567" w:hanging="567"/>
      </w:pPr>
      <w:r>
        <w:t>155</w:t>
      </w:r>
      <w:r w:rsidR="004D1A97" w:rsidRPr="00B84F91">
        <w:t>.</w:t>
      </w:r>
      <w:r w:rsidR="004D1A97" w:rsidRPr="00B84F91">
        <w:tab/>
        <w:t>насърчава Палатата да актуализира редовно данните за положението във връзка с корпоративните планове за устойчивост в агенциите;</w:t>
      </w:r>
    </w:p>
    <w:p w14:paraId="434973BB" w14:textId="77777777" w:rsidR="004D1A97" w:rsidRPr="00B84F91" w:rsidRDefault="000A15EE" w:rsidP="004D1A97">
      <w:pPr>
        <w:spacing w:after="240"/>
        <w:ind w:left="567" w:hanging="567"/>
      </w:pPr>
      <w:r>
        <w:t>156</w:t>
      </w:r>
      <w:r w:rsidR="004D1A97" w:rsidRPr="00B84F91">
        <w:t>.</w:t>
      </w:r>
      <w:r w:rsidR="004D1A97" w:rsidRPr="00B84F91">
        <w:tab/>
        <w:t xml:space="preserve">отбелязва, че през финансовата 2023 година агенциите демонстрираха нарастващ ангажимент към целите в областта на околната среда и устойчивостта; отбелязва, че Европейската агенция за околна среда (ЕАОС) изигра ключова роля в мониторинга и докладването относно изменението на климата и екологичните резултати в целия Съюз; отбелязва, че агенции като Европейската изпълнителна агенция за климата, инфраструктурата и околната среда (CINEA) и ЕАОС са </w:t>
      </w:r>
      <w:r w:rsidR="004D1A97" w:rsidRPr="00B84F91">
        <w:lastRenderedPageBreak/>
        <w:t>начело при изпълнението на програми, свързани с устойчивостта, като допринасят за инициативи в целия ЕС, насочени към намаляване на въглеродния отпечатък и насърчаване на енергията от възобновяеми източници;</w:t>
      </w:r>
    </w:p>
    <w:p w14:paraId="73E9A01A" w14:textId="77777777" w:rsidR="004D1A97" w:rsidRPr="00B84F91" w:rsidRDefault="000A15EE" w:rsidP="004D1A97">
      <w:pPr>
        <w:spacing w:after="240"/>
        <w:ind w:left="567" w:hanging="567"/>
      </w:pPr>
      <w:r>
        <w:t>157</w:t>
      </w:r>
      <w:r w:rsidR="004D1A97" w:rsidRPr="00B84F91">
        <w:t>.</w:t>
      </w:r>
      <w:r w:rsidR="004D1A97" w:rsidRPr="00B84F91">
        <w:tab/>
        <w:t>отбелязва със загриженост, че въпреки общата тенденция на напредък някои агенции са срещнали трудности при интегрирането на устойчивостта в своите корпоративни стратегии поради процедурна неефективност и разпределяне на недостатъчно ресурси; поради това подчертава необходимостта от по-сплотена и изпълнима рамка, за да се гарантира дългосрочна устойчивост на операциите на агенциите;</w:t>
      </w:r>
    </w:p>
    <w:p w14:paraId="64AFF71C" w14:textId="77777777" w:rsidR="004D1A97" w:rsidRPr="00B84F91" w:rsidRDefault="004D1A97" w:rsidP="004D1A97">
      <w:pPr>
        <w:spacing w:after="240"/>
        <w:rPr>
          <w:i/>
        </w:rPr>
      </w:pPr>
      <w:r w:rsidRPr="00B84F91">
        <w:rPr>
          <w:b/>
          <w:i/>
        </w:rPr>
        <w:t>Проследяване на изпълнението във връзка с констатации на Палатата от предходни години</w:t>
      </w:r>
    </w:p>
    <w:p w14:paraId="4DA7DC24" w14:textId="77777777" w:rsidR="004D1A97" w:rsidRPr="00B84F91" w:rsidRDefault="000A15EE" w:rsidP="004D1A97">
      <w:pPr>
        <w:widowControl/>
        <w:spacing w:after="240"/>
        <w:ind w:left="567" w:hanging="567"/>
        <w:jc w:val="both"/>
        <w:rPr>
          <w:bCs/>
          <w:iCs/>
        </w:rPr>
      </w:pPr>
      <w:r>
        <w:t>158</w:t>
      </w:r>
      <w:r w:rsidR="004D1A97" w:rsidRPr="00B84F91">
        <w:t>.</w:t>
      </w:r>
      <w:r w:rsidR="004D1A97" w:rsidRPr="00B84F91">
        <w:tab/>
        <w:t>отбелязва, че „констатациите“ в специфичните годишни доклади на агенциите всъщност са „препоръки без конкретен срок“ на Палатата; отбелязва, че Палатата ежегодно проследява изпълнението във връзка с тези констатации, като оценява техния статут като „неприключени“ или „приключени“;</w:t>
      </w:r>
    </w:p>
    <w:p w14:paraId="3BB52B4B" w14:textId="77777777" w:rsidR="004D1A97" w:rsidRPr="00B84F91" w:rsidRDefault="000A15EE" w:rsidP="004D1A97">
      <w:pPr>
        <w:spacing w:after="240"/>
        <w:ind w:left="567" w:hanging="567"/>
      </w:pPr>
      <w:r>
        <w:t>159</w:t>
      </w:r>
      <w:r w:rsidR="004D1A97" w:rsidRPr="00B84F91">
        <w:t>.</w:t>
      </w:r>
      <w:r w:rsidR="004D1A97" w:rsidRPr="00B84F91">
        <w:tab/>
        <w:t xml:space="preserve">отбелязва, че от общо 116 констатации, направени от Палатата за предходни години по отношение на агенциите, които са част от настоящата резолюция, общо 58 са приключени през 2023 г., като общо 53 все още не са приключени, а пет са частично приключени; отбелязва, че броят на текущите констатации варира между агенциите, като за някои от тях няма неприключени констатации, какъвто е случаят със Службата на ОЕРЕС, ЕБО, ECHA, ЕАОС, ЕАМБ, ENISA, EU-OSHA, EUSPA и </w:t>
      </w:r>
      <w:proofErr w:type="spellStart"/>
      <w:r w:rsidR="004D1A97" w:rsidRPr="00B84F91">
        <w:t>Eurofound</w:t>
      </w:r>
      <w:proofErr w:type="spellEnd"/>
      <w:r w:rsidR="004D1A97" w:rsidRPr="00B84F91">
        <w:t xml:space="preserve">, а най-голям брой неприключени констатации се отнасят до </w:t>
      </w:r>
      <w:proofErr w:type="spellStart"/>
      <w:r w:rsidR="004D1A97" w:rsidRPr="00B84F91">
        <w:t>eu</w:t>
      </w:r>
      <w:proofErr w:type="spellEnd"/>
      <w:r w:rsidR="004D1A97" w:rsidRPr="00B84F91">
        <w:t xml:space="preserve">-LISA, </w:t>
      </w:r>
      <w:proofErr w:type="spellStart"/>
      <w:r w:rsidR="004D1A97" w:rsidRPr="00B84F91">
        <w:t>Frontex</w:t>
      </w:r>
      <w:proofErr w:type="spellEnd"/>
      <w:r w:rsidR="004D1A97" w:rsidRPr="00B84F91">
        <w:t xml:space="preserve"> и ЕОТ съответно с осем, седем и пет констатации; изисква от тези агенции да предприемат проактивни мерки за разрешаване на тези нерешени въпроси;</w:t>
      </w:r>
    </w:p>
    <w:p w14:paraId="304AAA66" w14:textId="77777777" w:rsidR="004D1A97" w:rsidRPr="00B84F91" w:rsidRDefault="000A15EE" w:rsidP="004D1A97">
      <w:pPr>
        <w:spacing w:after="240"/>
        <w:ind w:left="567" w:hanging="567"/>
      </w:pPr>
      <w:r>
        <w:t>160</w:t>
      </w:r>
      <w:r w:rsidR="004D1A97" w:rsidRPr="00B84F91">
        <w:t>.</w:t>
      </w:r>
      <w:r w:rsidR="004D1A97" w:rsidRPr="00B84F91">
        <w:tab/>
        <w:t xml:space="preserve">отбелязва, че шест от 53-те неприключени констатации се отнасят до високо равнище на преноси (ACER, ЕОТ, EFCA, </w:t>
      </w:r>
      <w:proofErr w:type="spellStart"/>
      <w:r w:rsidR="004D1A97" w:rsidRPr="00B84F91">
        <w:t>eu</w:t>
      </w:r>
      <w:proofErr w:type="spellEnd"/>
      <w:r w:rsidR="004D1A97" w:rsidRPr="00B84F91">
        <w:t xml:space="preserve">-LISA, FRA, </w:t>
      </w:r>
      <w:proofErr w:type="spellStart"/>
      <w:r w:rsidR="004D1A97" w:rsidRPr="00B84F91">
        <w:t>Frontex</w:t>
      </w:r>
      <w:proofErr w:type="spellEnd"/>
      <w:r w:rsidR="004D1A97" w:rsidRPr="00B84F91">
        <w:t xml:space="preserve">); изразява загриженост, че в случая на </w:t>
      </w:r>
      <w:proofErr w:type="spellStart"/>
      <w:r w:rsidR="004D1A97" w:rsidRPr="00B84F91">
        <w:t>Frontex</w:t>
      </w:r>
      <w:proofErr w:type="spellEnd"/>
      <w:r w:rsidR="004D1A97" w:rsidRPr="00B84F91">
        <w:t xml:space="preserve"> тази констатация остава неприключена от 2018 г. насам;</w:t>
      </w:r>
    </w:p>
    <w:p w14:paraId="3B77CFD7" w14:textId="77777777" w:rsidR="004D1A97" w:rsidRPr="00B84F91" w:rsidRDefault="000A15EE" w:rsidP="004D1A97">
      <w:pPr>
        <w:spacing w:after="240"/>
        <w:ind w:left="567" w:hanging="567"/>
      </w:pPr>
      <w:r>
        <w:t>161</w:t>
      </w:r>
      <w:r w:rsidR="004D1A97" w:rsidRPr="00B84F91">
        <w:t>.</w:t>
      </w:r>
      <w:r w:rsidR="004D1A97" w:rsidRPr="00B84F91">
        <w:tab/>
        <w:t>отбелязва, че от 2018 г. насам за ERA има неприключена констатация относно събирането на такси и налози за задачи по сертифициране, което започна през 2019 г.; отбелязва, че съгласно регламента следва да се вземат предвид специфичните потребности на малките и средните предприятия (МСП) и че от ERA се очаква да прилага ефективни проверки, за да провери дали кандидатите отговарят на условията за МСП; призовава агенцията да докладва на органа по освобождаване от отговорност относно текущото положение по този въпрос и да представи причини за продължаващия статут на констатацията като неприключена;</w:t>
      </w:r>
    </w:p>
    <w:p w14:paraId="7E6D3B33" w14:textId="77777777" w:rsidR="004D1A97" w:rsidRPr="00B84F91" w:rsidRDefault="000A15EE" w:rsidP="004D1A97">
      <w:pPr>
        <w:spacing w:after="240"/>
        <w:ind w:left="567" w:hanging="567"/>
      </w:pPr>
      <w:r>
        <w:t>162</w:t>
      </w:r>
      <w:r w:rsidR="004D1A97" w:rsidRPr="00B84F91">
        <w:t>.</w:t>
      </w:r>
      <w:r w:rsidR="004D1A97" w:rsidRPr="00B84F91">
        <w:tab/>
        <w:t>отбелязва, че с течение на времето ЕААБ е натрупала над 50 милиона евро излишък от дейности, финансирани от въздухоплавателната индустрия, за които няма разпоредба в регламента за нейното създаване; изисква от Комисията да предложи решение на законодателно равнище за решаването на този въпрос;</w:t>
      </w:r>
    </w:p>
    <w:p w14:paraId="3F851A66" w14:textId="77777777" w:rsidR="004D1A97" w:rsidRDefault="000A15EE" w:rsidP="008000A1">
      <w:pPr>
        <w:spacing w:after="240"/>
        <w:ind w:left="567" w:hanging="567"/>
      </w:pPr>
      <w:r>
        <w:t>163</w:t>
      </w:r>
      <w:r w:rsidR="004D1A97" w:rsidRPr="00B84F91">
        <w:t>.</w:t>
      </w:r>
      <w:r w:rsidR="004D1A97" w:rsidRPr="00B84F91">
        <w:tab/>
        <w:t xml:space="preserve">отбелязва, че ACER е използвала временно наети служители за изпълнението на </w:t>
      </w:r>
      <w:r w:rsidR="004D1A97" w:rsidRPr="00B84F91">
        <w:lastRenderedPageBreak/>
        <w:t>някои дългосрочни задачи, за да компенсира недостига на пряко наети служители от 2019 г. насам; призовава Комисията да осигури допълнителни щатни длъжности;</w:t>
      </w:r>
    </w:p>
    <w:p w14:paraId="37D99873" w14:textId="77777777" w:rsidR="00E365E1" w:rsidRPr="00B84F91" w:rsidRDefault="000A15EE" w:rsidP="008000A1">
      <w:pPr>
        <w:ind w:left="567" w:hanging="567"/>
      </w:pPr>
      <w:r>
        <w:t>164</w:t>
      </w:r>
      <w:r w:rsidR="004D1A97" w:rsidRPr="00B84F91">
        <w:t>.</w:t>
      </w:r>
      <w:r w:rsidR="004D1A97" w:rsidRPr="00B84F91">
        <w:tab/>
        <w:t xml:space="preserve">възлага на своя председател да предаде настоящата резолюция съответно на агенциите, предмет на процедурата по освобождаване от отговорност във връзка с изпълнението на бюджета, на Съвета, Комисията и Сметната палата и да осигури публикуването ѝ в </w:t>
      </w:r>
      <w:r w:rsidR="004D1A97" w:rsidRPr="00B84F91">
        <w:rPr>
          <w:i/>
        </w:rPr>
        <w:t>Официален вестник на Европейския съюз</w:t>
      </w:r>
      <w:r w:rsidR="004D1A97" w:rsidRPr="00B84F91">
        <w:t xml:space="preserve"> (серия L).</w:t>
      </w:r>
    </w:p>
    <w:sectPr w:rsidR="00E365E1" w:rsidRPr="00B84F91" w:rsidSect="00B84F91">
      <w:headerReference w:type="even" r:id="rId74"/>
      <w:headerReference w:type="default" r:id="rId75"/>
      <w:footerReference w:type="even" r:id="rId76"/>
      <w:footerReference w:type="default" r:id="rId77"/>
      <w:headerReference w:type="first" r:id="rId78"/>
      <w:footerReference w:type="first" r:id="rId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92F35" w14:textId="77777777" w:rsidR="00501BD5" w:rsidRPr="00B84F91" w:rsidRDefault="00501BD5">
      <w:r w:rsidRPr="00B84F91">
        <w:separator/>
      </w:r>
    </w:p>
  </w:endnote>
  <w:endnote w:type="continuationSeparator" w:id="0">
    <w:p w14:paraId="570BF4A9" w14:textId="77777777" w:rsidR="00501BD5" w:rsidRPr="00B84F91" w:rsidRDefault="00501BD5">
      <w:r w:rsidRPr="00B84F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233BB" w14:textId="77777777" w:rsidR="00501BD5" w:rsidRPr="00B84F91" w:rsidRDefault="00501BD5" w:rsidP="00501BD5">
    <w:pPr>
      <w:pStyle w:val="EPFooter"/>
    </w:pPr>
    <w:r w:rsidRPr="00B84F91">
      <w:rPr>
        <w:rStyle w:val="HideTWBExt"/>
      </w:rPr>
      <w:t>&lt;PathFdR&gt;</w:t>
    </w:r>
    <w:r w:rsidRPr="00B84F91">
      <w:t>PR\1307646EN.docx</w:t>
    </w:r>
    <w:r w:rsidRPr="00B84F91">
      <w:rPr>
        <w:rStyle w:val="HideTWBExt"/>
      </w:rPr>
      <w:t>&lt;/</w:t>
    </w:r>
    <w:proofErr w:type="spellStart"/>
    <w:r w:rsidRPr="00B84F91">
      <w:rPr>
        <w:rStyle w:val="HideTWBExt"/>
      </w:rPr>
      <w:t>PathFdR</w:t>
    </w:r>
    <w:proofErr w:type="spellEnd"/>
    <w:r w:rsidRPr="00B84F91">
      <w:rPr>
        <w:rStyle w:val="HideTWBExt"/>
      </w:rPr>
      <w:t>&gt;</w:t>
    </w:r>
    <w:r w:rsidRPr="00B84F91">
      <w:tab/>
    </w:r>
    <w:r w:rsidRPr="00B84F91">
      <w:tab/>
      <w:t>PE</w:t>
    </w:r>
    <w:r w:rsidRPr="00B84F91">
      <w:rPr>
        <w:rStyle w:val="HideTWBExt"/>
      </w:rPr>
      <w:t>&lt;</w:t>
    </w:r>
    <w:proofErr w:type="spellStart"/>
    <w:r w:rsidRPr="00B84F91">
      <w:rPr>
        <w:rStyle w:val="HideTWBExt"/>
      </w:rPr>
      <w:t>NoPE</w:t>
    </w:r>
    <w:proofErr w:type="spellEnd"/>
    <w:r w:rsidRPr="00B84F91">
      <w:rPr>
        <w:rStyle w:val="HideTWBExt"/>
      </w:rPr>
      <w:t>&gt;</w:t>
    </w:r>
    <w:r w:rsidRPr="00B84F91">
      <w:t>765.000</w:t>
    </w:r>
    <w:r w:rsidRPr="00B84F91">
      <w:rPr>
        <w:rStyle w:val="HideTWBExt"/>
      </w:rPr>
      <w:t>&lt;/</w:t>
    </w:r>
    <w:proofErr w:type="spellStart"/>
    <w:r w:rsidRPr="00B84F91">
      <w:rPr>
        <w:rStyle w:val="HideTWBExt"/>
      </w:rPr>
      <w:t>NoPE</w:t>
    </w:r>
    <w:proofErr w:type="spellEnd"/>
    <w:r w:rsidRPr="00B84F91">
      <w:rPr>
        <w:rStyle w:val="HideTWBExt"/>
      </w:rPr>
      <w:t>&gt;&lt;Version&gt;</w:t>
    </w:r>
    <w:r w:rsidRPr="00B84F91">
      <w:t>v01-00</w:t>
    </w:r>
    <w:r w:rsidRPr="00B84F91">
      <w:rPr>
        <w:rStyle w:val="HideTWBExt"/>
      </w:rPr>
      <w:t>&lt;/</w:t>
    </w:r>
    <w:proofErr w:type="spellStart"/>
    <w:r w:rsidRPr="00B84F91">
      <w:rPr>
        <w:rStyle w:val="HideTWBExt"/>
      </w:rPr>
      <w:t>Version</w:t>
    </w:r>
    <w:proofErr w:type="spellEnd"/>
    <w:r w:rsidRPr="00B84F91">
      <w:rPr>
        <w:rStyle w:val="HideTWBExt"/>
      </w:rPr>
      <w:t>&gt;</w:t>
    </w:r>
  </w:p>
  <w:p w14:paraId="18776C8C"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41220"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7C085659"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C1962"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66C66DCF"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ED8F"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0A824837"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60157"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6B0E2D09"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A2EC7"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2F91492F"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3F5FA"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087062BF"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E9E82"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58B3B405"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21881"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40D2B7E0"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B4AB9"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06CE7C8B"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DAC5D"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165A391D"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D43C2"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086D45DE"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A44C2"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14CC7B14"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5A5D0"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2306F069"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DF77E"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58DC7364"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ECDD8"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60BBBBF2"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9D360"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08CEE6F1"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03BDA"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75C51EE4"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14658"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5DE48585"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12364"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78679FBF"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99777"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1524917E"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D322E"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371B0207"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FBF47"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0739DD30"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47F1A"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579CC570"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3DD49"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156D10F7"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A6F9C"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53B875E8"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E142C"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5F68A749"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8D7C1"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4259D962"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E897E"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65AD9BE2"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40159"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6CF47079"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C7460"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01593FC0"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B97AB"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5026496C"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52CDC"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6C26D52D"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2C4F8"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227B5023"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78535"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3D8E3CC3"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AAC0C"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75A72079"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78A82"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7D5969CD"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A5FA6"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553442EA"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5B981"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6F6A74EF"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7DC0E"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3511DCC1"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A8F21"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4F61A859"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DCE21"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1B7998FD"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5513B"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328A0CD1"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39F50"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75C383B8"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67EC3"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5069B8D5"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457F6"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5F3F40D3"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ABB26"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299A8C07"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5A00F"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252A37DE"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34E0E"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7E163630"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A5F4B"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34667D8A"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42DCD"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241E10C7"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60FE3"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7CDC636F"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912A7"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2F6D9332"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D8151"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7B16D205"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4A04B"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436628A0"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53640"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74CF07E5"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CAB94"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295F2B54"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35AB0"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60BAD166"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0FD9B"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621E0730"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DAAEE"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45134267"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31604"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20707890"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4FF28"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759D6DBB"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1455C"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75AED78D"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51ECC"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449B5C10"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722E7" w14:textId="77777777" w:rsidR="00501BD5" w:rsidRPr="00B84F91" w:rsidRDefault="00501BD5" w:rsidP="00501BD5">
    <w:pPr>
      <w:pStyle w:val="EPFooter"/>
    </w:pPr>
    <w:r w:rsidRPr="00B84F91">
      <w:rPr>
        <w:rStyle w:val="HideTWBExt"/>
        <w:rFonts w:eastAsiaTheme="majorEastAsia"/>
      </w:rPr>
      <w:t>&lt;PathFdR&gt;</w:t>
    </w:r>
    <w:r w:rsidRPr="00B84F91">
      <w:t>PR\1307646EN.docx</w:t>
    </w:r>
    <w:r w:rsidRPr="00B84F91">
      <w:rPr>
        <w:rStyle w:val="HideTWBExt"/>
        <w:rFonts w:eastAsiaTheme="majorEastAsia"/>
      </w:rPr>
      <w:t>&lt;/</w:t>
    </w:r>
    <w:proofErr w:type="spellStart"/>
    <w:r w:rsidRPr="00B84F91">
      <w:rPr>
        <w:rStyle w:val="HideTWBExt"/>
        <w:rFonts w:eastAsiaTheme="majorEastAsia"/>
      </w:rPr>
      <w:t>PathFdR</w:t>
    </w:r>
    <w:proofErr w:type="spellEnd"/>
    <w:r w:rsidRPr="00B84F91">
      <w:rPr>
        <w:rStyle w:val="HideTWBExt"/>
        <w:rFonts w:eastAsiaTheme="majorEastAsia"/>
      </w:rPr>
      <w:t>&gt;</w:t>
    </w:r>
    <w:r w:rsidRPr="00B84F91">
      <w:tab/>
    </w:r>
    <w:r w:rsidRPr="00B84F91">
      <w:tab/>
      <w:t>PE</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w:t>
    </w:r>
    <w:r w:rsidRPr="00B84F91">
      <w:t>765.000</w:t>
    </w:r>
    <w:r w:rsidRPr="00B84F91">
      <w:rPr>
        <w:rStyle w:val="HideTWBExt"/>
        <w:rFonts w:eastAsiaTheme="majorEastAsia"/>
      </w:rPr>
      <w:t>&lt;/</w:t>
    </w:r>
    <w:proofErr w:type="spellStart"/>
    <w:r w:rsidRPr="00B84F91">
      <w:rPr>
        <w:rStyle w:val="HideTWBExt"/>
        <w:rFonts w:eastAsiaTheme="majorEastAsia"/>
      </w:rPr>
      <w:t>NoPE</w:t>
    </w:r>
    <w:proofErr w:type="spellEnd"/>
    <w:r w:rsidRPr="00B84F91">
      <w:rPr>
        <w:rStyle w:val="HideTWBExt"/>
        <w:rFonts w:eastAsiaTheme="majorEastAsia"/>
      </w:rPr>
      <w:t>&gt;&lt;Version&gt;</w:t>
    </w:r>
    <w:r w:rsidRPr="00B84F91">
      <w:t>v01-00</w:t>
    </w:r>
    <w:r w:rsidRPr="00B84F91">
      <w:rPr>
        <w:rStyle w:val="HideTWBExt"/>
        <w:rFonts w:eastAsiaTheme="majorEastAsia"/>
      </w:rPr>
      <w:t>&lt;/</w:t>
    </w:r>
    <w:proofErr w:type="spellStart"/>
    <w:r w:rsidRPr="00B84F91">
      <w:rPr>
        <w:rStyle w:val="HideTWBExt"/>
        <w:rFonts w:eastAsiaTheme="majorEastAsia"/>
      </w:rPr>
      <w:t>Version</w:t>
    </w:r>
    <w:proofErr w:type="spellEnd"/>
    <w:r w:rsidRPr="00B84F91">
      <w:rPr>
        <w:rStyle w:val="HideTWBExt"/>
        <w:rFonts w:eastAsiaTheme="majorEastAsia"/>
      </w:rPr>
      <w:t>&gt;</w:t>
    </w:r>
  </w:p>
  <w:p w14:paraId="31C2F8B9" w14:textId="77777777" w:rsidR="00501BD5" w:rsidRPr="00B84F91" w:rsidRDefault="00501BD5" w:rsidP="00501BD5">
    <w:pPr>
      <w:pStyle w:val="EPFooter2"/>
      <w:tabs>
        <w:tab w:val="clear" w:pos="4535"/>
        <w:tab w:val="center" w:pos="4536"/>
      </w:tabs>
    </w:pPr>
    <w:r w:rsidRPr="00B84F91">
      <w:fldChar w:fldCharType="begin"/>
    </w:r>
    <w:r w:rsidRPr="00B84F91">
      <w:instrText xml:space="preserve"> DOCPROPERTY "&lt;Extension&gt;" </w:instrText>
    </w:r>
    <w:r w:rsidRPr="00B84F91">
      <w:fldChar w:fldCharType="separate"/>
    </w:r>
    <w:r w:rsidRPr="00B84F91">
      <w:t>BG</w:t>
    </w:r>
    <w:r w:rsidRPr="00B84F91">
      <w:fldChar w:fldCharType="end"/>
    </w:r>
    <w:r w:rsidRPr="00B84F91">
      <w:tab/>
    </w:r>
    <w:proofErr w:type="spellStart"/>
    <w:r w:rsidRPr="00B84F91">
      <w:rPr>
        <w:b w:val="0"/>
        <w:i/>
        <w:color w:val="C0C0C0"/>
        <w:sz w:val="22"/>
        <w:szCs w:val="22"/>
      </w:rPr>
      <w:t>United</w:t>
    </w:r>
    <w:proofErr w:type="spellEnd"/>
    <w:r w:rsidRPr="00B84F91">
      <w:rPr>
        <w:b w:val="0"/>
        <w:i/>
        <w:color w:val="C0C0C0"/>
        <w:sz w:val="22"/>
        <w:szCs w:val="22"/>
      </w:rPr>
      <w:t xml:space="preserve"> </w:t>
    </w:r>
    <w:proofErr w:type="spellStart"/>
    <w:r w:rsidRPr="00B84F91">
      <w:rPr>
        <w:b w:val="0"/>
        <w:i/>
        <w:color w:val="C0C0C0"/>
        <w:sz w:val="22"/>
        <w:szCs w:val="22"/>
      </w:rPr>
      <w:t>in</w:t>
    </w:r>
    <w:proofErr w:type="spellEnd"/>
    <w:r w:rsidRPr="00B84F91">
      <w:rPr>
        <w:b w:val="0"/>
        <w:i/>
        <w:color w:val="C0C0C0"/>
        <w:sz w:val="22"/>
        <w:szCs w:val="22"/>
      </w:rPr>
      <w:t xml:space="preserve"> </w:t>
    </w:r>
    <w:proofErr w:type="spellStart"/>
    <w:r w:rsidRPr="00B84F91">
      <w:rPr>
        <w:b w:val="0"/>
        <w:i/>
        <w:color w:val="C0C0C0"/>
        <w:sz w:val="22"/>
        <w:szCs w:val="22"/>
      </w:rPr>
      <w:t>diversity</w:t>
    </w:r>
    <w:proofErr w:type="spellEnd"/>
    <w:r w:rsidRPr="00B84F91">
      <w:tab/>
    </w:r>
    <w:r w:rsidRPr="00B84F91">
      <w:fldChar w:fldCharType="begin"/>
    </w:r>
    <w:r w:rsidRPr="00B84F91">
      <w:instrText xml:space="preserve"> DOCPROPERTY "&lt;Extension&gt;" </w:instrText>
    </w:r>
    <w:r w:rsidRPr="00B84F91">
      <w:fldChar w:fldCharType="separate"/>
    </w:r>
    <w:r w:rsidRPr="00B84F91">
      <w:t>BG</w:t>
    </w:r>
    <w:r w:rsidRPr="00B84F91">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77482" w14:textId="77777777" w:rsidR="00501BD5" w:rsidRPr="00B84F91" w:rsidRDefault="00501BD5"/>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1264F" w14:textId="77777777" w:rsidR="00501BD5" w:rsidRPr="00B84F91" w:rsidRDefault="00501BD5"/>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94C30" w14:textId="77777777" w:rsidR="00501BD5" w:rsidRPr="00B84F91" w:rsidRDefault="00501B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64DA5" w14:textId="77777777" w:rsidR="00501BD5" w:rsidRPr="00B84F91" w:rsidRDefault="00501BD5">
      <w:r w:rsidRPr="00B84F91">
        <w:separator/>
      </w:r>
    </w:p>
  </w:footnote>
  <w:footnote w:type="continuationSeparator" w:id="0">
    <w:p w14:paraId="6BAC959A" w14:textId="77777777" w:rsidR="00501BD5" w:rsidRPr="00B84F91" w:rsidRDefault="00501BD5">
      <w:r w:rsidRPr="00B84F91">
        <w:continuationSeparator/>
      </w:r>
    </w:p>
  </w:footnote>
  <w:footnote w:id="1">
    <w:p w14:paraId="0F220B4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 w:history="1">
        <w:r w:rsidRPr="00B84F91">
          <w:rPr>
            <w:rStyle w:val="Hyperlink"/>
            <w:sz w:val="24"/>
            <w:lang w:val="bg-BG"/>
          </w:rPr>
          <w:t>http://data.europa.eu/eli/C/2024/6332/oj</w:t>
        </w:r>
      </w:hyperlink>
      <w:r w:rsidRPr="00B84F91">
        <w:rPr>
          <w:sz w:val="24"/>
          <w:lang w:val="bg-BG"/>
        </w:rPr>
        <w:t>.</w:t>
      </w:r>
    </w:p>
  </w:footnote>
  <w:footnote w:id="2">
    <w:p w14:paraId="2816AEF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 w:history="1">
        <w:r w:rsidRPr="00B84F91">
          <w:rPr>
            <w:rStyle w:val="Hyperlink"/>
            <w:sz w:val="24"/>
            <w:lang w:val="bg-BG"/>
          </w:rPr>
          <w:t>http://data.europa.eu/eli/C/2024/6041/oj</w:t>
        </w:r>
      </w:hyperlink>
      <w:r w:rsidRPr="00B84F91">
        <w:rPr>
          <w:sz w:val="24"/>
          <w:lang w:val="bg-BG"/>
        </w:rPr>
        <w:t>.</w:t>
      </w:r>
    </w:p>
  </w:footnote>
  <w:footnote w:id="3">
    <w:p w14:paraId="0942A787"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 w:history="1">
        <w:r w:rsidRPr="00B84F91">
          <w:rPr>
            <w:rStyle w:val="Hyperlink"/>
            <w:sz w:val="24"/>
            <w:lang w:val="bg-BG"/>
          </w:rPr>
          <w:t>http://data.europa.eu/eli/reg/2018/1046/oj</w:t>
        </w:r>
      </w:hyperlink>
      <w:r w:rsidRPr="00B84F91">
        <w:rPr>
          <w:sz w:val="24"/>
          <w:lang w:val="bg-BG"/>
        </w:rPr>
        <w:t>.</w:t>
      </w:r>
    </w:p>
  </w:footnote>
  <w:footnote w:id="4">
    <w:p w14:paraId="5D21943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4" w:history="1">
        <w:r w:rsidRPr="00B84F91">
          <w:rPr>
            <w:rStyle w:val="Hyperlink"/>
            <w:sz w:val="24"/>
            <w:lang w:val="bg-BG"/>
          </w:rPr>
          <w:t>http://data.europa.eu/eli/reg/2024/2509/oj</w:t>
        </w:r>
      </w:hyperlink>
      <w:r w:rsidRPr="00B84F91">
        <w:rPr>
          <w:rStyle w:val="Hyperlink"/>
          <w:sz w:val="24"/>
          <w:lang w:val="bg-BG"/>
        </w:rPr>
        <w:t>.</w:t>
      </w:r>
    </w:p>
  </w:footnote>
  <w:footnote w:id="5">
    <w:p w14:paraId="6C3F3E2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158, 14.6.2019 г., стр. 22, ELI: </w:t>
      </w:r>
      <w:hyperlink r:id="rId5" w:history="1">
        <w:r w:rsidRPr="00B84F91">
          <w:rPr>
            <w:rStyle w:val="Hyperlink"/>
            <w:sz w:val="24"/>
            <w:lang w:val="bg-BG"/>
          </w:rPr>
          <w:t>http://data.europa.eu/eli/reg/2019/942/oj</w:t>
        </w:r>
      </w:hyperlink>
      <w:r w:rsidRPr="00B84F91">
        <w:rPr>
          <w:sz w:val="24"/>
          <w:lang w:val="bg-BG"/>
        </w:rPr>
        <w:t>.</w:t>
      </w:r>
    </w:p>
  </w:footnote>
  <w:footnote w:id="6">
    <w:p w14:paraId="5140E91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6" w:history="1">
        <w:r w:rsidRPr="00B84F91">
          <w:rPr>
            <w:rStyle w:val="Hyperlink"/>
            <w:sz w:val="24"/>
            <w:lang w:val="bg-BG"/>
          </w:rPr>
          <w:t>http://data.europa.eu/eli/reg_del/2019/715/oj</w:t>
        </w:r>
      </w:hyperlink>
      <w:r w:rsidRPr="00B84F91">
        <w:rPr>
          <w:sz w:val="24"/>
          <w:lang w:val="bg-BG"/>
        </w:rPr>
        <w:t>.</w:t>
      </w:r>
    </w:p>
  </w:footnote>
  <w:footnote w:id="7">
    <w:p w14:paraId="4239E4F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7" w:history="1">
        <w:r w:rsidRPr="00B84F91">
          <w:rPr>
            <w:rStyle w:val="Hyperlink"/>
            <w:sz w:val="24"/>
            <w:lang w:val="bg-BG"/>
          </w:rPr>
          <w:t>http://data.europa.eu/eli/C/2024/6332/oj</w:t>
        </w:r>
      </w:hyperlink>
      <w:r w:rsidRPr="00B84F91">
        <w:rPr>
          <w:sz w:val="24"/>
          <w:lang w:val="bg-BG"/>
        </w:rPr>
        <w:t>.</w:t>
      </w:r>
    </w:p>
  </w:footnote>
  <w:footnote w:id="8">
    <w:p w14:paraId="42112BD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8" w:history="1">
        <w:r w:rsidRPr="00B84F91">
          <w:rPr>
            <w:rStyle w:val="Hyperlink"/>
            <w:sz w:val="24"/>
            <w:lang w:val="bg-BG"/>
          </w:rPr>
          <w:t>http://data.europa.eu/eli/C/2024/6041/oj</w:t>
        </w:r>
      </w:hyperlink>
      <w:r w:rsidRPr="00B84F91">
        <w:rPr>
          <w:sz w:val="24"/>
          <w:lang w:val="bg-BG"/>
        </w:rPr>
        <w:t>.</w:t>
      </w:r>
    </w:p>
  </w:footnote>
  <w:footnote w:id="9">
    <w:p w14:paraId="27CB068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9" w:history="1">
        <w:r w:rsidRPr="00B84F91">
          <w:rPr>
            <w:rStyle w:val="Hyperlink"/>
            <w:sz w:val="24"/>
            <w:lang w:val="bg-BG"/>
          </w:rPr>
          <w:t>http://data.europa.eu/eli/reg/2018/1046/oj</w:t>
        </w:r>
      </w:hyperlink>
      <w:r w:rsidRPr="00B84F91">
        <w:rPr>
          <w:sz w:val="24"/>
          <w:lang w:val="bg-BG"/>
        </w:rPr>
        <w:t>.</w:t>
      </w:r>
    </w:p>
  </w:footnote>
  <w:footnote w:id="10">
    <w:p w14:paraId="32C76BA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0" w:history="1">
        <w:r w:rsidRPr="00B84F91">
          <w:rPr>
            <w:rStyle w:val="Hyperlink"/>
            <w:sz w:val="24"/>
            <w:lang w:val="bg-BG"/>
          </w:rPr>
          <w:t>http://data.europa.eu/eli/reg/2024/2509/oj</w:t>
        </w:r>
      </w:hyperlink>
      <w:r w:rsidRPr="00B84F91">
        <w:rPr>
          <w:rStyle w:val="Hyperlink"/>
          <w:sz w:val="24"/>
          <w:lang w:val="bg-BG"/>
        </w:rPr>
        <w:t>.</w:t>
      </w:r>
    </w:p>
  </w:footnote>
  <w:footnote w:id="11">
    <w:p w14:paraId="277A898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158, 14.6.2019 г., стр. 22, ELI: </w:t>
      </w:r>
      <w:hyperlink r:id="rId11" w:history="1">
        <w:r w:rsidRPr="00B84F91">
          <w:rPr>
            <w:rStyle w:val="Hyperlink"/>
            <w:sz w:val="24"/>
            <w:lang w:val="bg-BG"/>
          </w:rPr>
          <w:t>http://data.europa.eu/eli/reg/2019/942/oj</w:t>
        </w:r>
      </w:hyperlink>
      <w:r w:rsidRPr="00B84F91">
        <w:rPr>
          <w:sz w:val="24"/>
          <w:lang w:val="bg-BG"/>
        </w:rPr>
        <w:t>.</w:t>
      </w:r>
    </w:p>
  </w:footnote>
  <w:footnote w:id="12">
    <w:p w14:paraId="22FA533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12" w:history="1">
        <w:r w:rsidRPr="00B84F91">
          <w:rPr>
            <w:rStyle w:val="Hyperlink"/>
            <w:sz w:val="24"/>
            <w:lang w:val="bg-BG"/>
          </w:rPr>
          <w:t>http://data.europa.eu/eli/reg_del/2019/715/oj</w:t>
        </w:r>
      </w:hyperlink>
      <w:r w:rsidRPr="00B84F91">
        <w:rPr>
          <w:sz w:val="24"/>
          <w:lang w:val="bg-BG"/>
        </w:rPr>
        <w:t>.</w:t>
      </w:r>
    </w:p>
  </w:footnote>
  <w:footnote w:id="13">
    <w:p w14:paraId="78580D2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3" w:history="1">
        <w:r w:rsidRPr="00B84F91">
          <w:rPr>
            <w:rStyle w:val="Hyperlink"/>
            <w:sz w:val="24"/>
            <w:lang w:val="bg-BG"/>
          </w:rPr>
          <w:t>http://data.europa.eu/eli/C/2024/6332/oj</w:t>
        </w:r>
      </w:hyperlink>
      <w:r w:rsidRPr="00B84F91">
        <w:rPr>
          <w:sz w:val="24"/>
          <w:lang w:val="bg-BG"/>
        </w:rPr>
        <w:t>.</w:t>
      </w:r>
    </w:p>
  </w:footnote>
  <w:footnote w:id="14">
    <w:p w14:paraId="64FE2BC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14" w:history="1">
        <w:r w:rsidRPr="00B84F91">
          <w:rPr>
            <w:rStyle w:val="Hyperlink"/>
            <w:sz w:val="24"/>
            <w:lang w:val="bg-BG"/>
          </w:rPr>
          <w:t>http://data.europa.eu/eli/C/2024/6041/oj</w:t>
        </w:r>
      </w:hyperlink>
      <w:r w:rsidRPr="00B84F91">
        <w:rPr>
          <w:sz w:val="24"/>
          <w:lang w:val="bg-BG"/>
        </w:rPr>
        <w:t>.</w:t>
      </w:r>
    </w:p>
  </w:footnote>
  <w:footnote w:id="15">
    <w:p w14:paraId="05E310A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15" w:history="1">
        <w:r w:rsidRPr="00B84F91">
          <w:rPr>
            <w:rStyle w:val="Hyperlink"/>
            <w:sz w:val="24"/>
            <w:lang w:val="bg-BG"/>
          </w:rPr>
          <w:t>http://data.europa.eu/eli/reg/2018/1046/oj</w:t>
        </w:r>
      </w:hyperlink>
      <w:r w:rsidRPr="00B84F91">
        <w:rPr>
          <w:sz w:val="24"/>
          <w:lang w:val="bg-BG"/>
        </w:rPr>
        <w:t>.</w:t>
      </w:r>
    </w:p>
  </w:footnote>
  <w:footnote w:id="16">
    <w:p w14:paraId="7302541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6" w:history="1">
        <w:r w:rsidRPr="00B84F91">
          <w:rPr>
            <w:rStyle w:val="Hyperlink"/>
            <w:sz w:val="24"/>
            <w:lang w:val="bg-BG"/>
          </w:rPr>
          <w:t>http://data.europa.eu/eli/reg/2024/2509/oj</w:t>
        </w:r>
      </w:hyperlink>
      <w:r w:rsidRPr="00B84F91">
        <w:rPr>
          <w:rStyle w:val="Hyperlink"/>
          <w:sz w:val="24"/>
          <w:lang w:val="bg-BG"/>
        </w:rPr>
        <w:t>.</w:t>
      </w:r>
    </w:p>
  </w:footnote>
  <w:footnote w:id="17">
    <w:p w14:paraId="3B61FC5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321, 17.12.2018 г., стр. 1, ELI: </w:t>
      </w:r>
      <w:hyperlink r:id="rId17" w:history="1">
        <w:r w:rsidRPr="00B84F91">
          <w:rPr>
            <w:rStyle w:val="Hyperlink"/>
            <w:sz w:val="24"/>
            <w:lang w:val="bg-BG"/>
          </w:rPr>
          <w:t>http://data.europa.eu/eli/reg/2018/1971/oj</w:t>
        </w:r>
      </w:hyperlink>
      <w:r w:rsidRPr="00B84F91">
        <w:rPr>
          <w:sz w:val="24"/>
          <w:lang w:val="bg-BG"/>
        </w:rPr>
        <w:t>.</w:t>
      </w:r>
    </w:p>
  </w:footnote>
  <w:footnote w:id="18">
    <w:p w14:paraId="391B19D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18" w:history="1">
        <w:r w:rsidRPr="00B84F91">
          <w:rPr>
            <w:rStyle w:val="Hyperlink"/>
            <w:sz w:val="24"/>
            <w:lang w:val="bg-BG"/>
          </w:rPr>
          <w:t>http://data.europa.eu/eli/reg_del/2019/715/oj</w:t>
        </w:r>
      </w:hyperlink>
      <w:r w:rsidRPr="00B84F91">
        <w:rPr>
          <w:sz w:val="24"/>
          <w:lang w:val="bg-BG"/>
        </w:rPr>
        <w:t>.</w:t>
      </w:r>
    </w:p>
  </w:footnote>
  <w:footnote w:id="19">
    <w:p w14:paraId="5FBAD3F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9" w:history="1">
        <w:r w:rsidRPr="00B84F91">
          <w:rPr>
            <w:rStyle w:val="Hyperlink"/>
            <w:sz w:val="24"/>
            <w:lang w:val="bg-BG"/>
          </w:rPr>
          <w:t>http://data.europa.eu/eli/C/2024/6332/oj</w:t>
        </w:r>
      </w:hyperlink>
      <w:r w:rsidRPr="00B84F91">
        <w:rPr>
          <w:sz w:val="24"/>
          <w:lang w:val="bg-BG"/>
        </w:rPr>
        <w:t>.</w:t>
      </w:r>
    </w:p>
  </w:footnote>
  <w:footnote w:id="20">
    <w:p w14:paraId="1D63D2C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0" w:history="1">
        <w:r w:rsidRPr="00B84F91">
          <w:rPr>
            <w:rStyle w:val="Hyperlink"/>
            <w:sz w:val="24"/>
            <w:lang w:val="bg-BG"/>
          </w:rPr>
          <w:t>http://data.europa.eu/eli/C/2024/6041/oj</w:t>
        </w:r>
      </w:hyperlink>
      <w:r w:rsidRPr="00B84F91">
        <w:rPr>
          <w:sz w:val="24"/>
          <w:lang w:val="bg-BG"/>
        </w:rPr>
        <w:t>.</w:t>
      </w:r>
    </w:p>
  </w:footnote>
  <w:footnote w:id="21">
    <w:p w14:paraId="1998E5E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1" w:history="1">
        <w:r w:rsidRPr="00B84F91">
          <w:rPr>
            <w:rStyle w:val="Hyperlink"/>
            <w:sz w:val="24"/>
            <w:lang w:val="bg-BG"/>
          </w:rPr>
          <w:t>http://data.europa.eu/eli/reg/2018/1046/oj</w:t>
        </w:r>
      </w:hyperlink>
      <w:r w:rsidRPr="00B84F91">
        <w:rPr>
          <w:sz w:val="24"/>
          <w:lang w:val="bg-BG"/>
        </w:rPr>
        <w:t>.</w:t>
      </w:r>
    </w:p>
  </w:footnote>
  <w:footnote w:id="22">
    <w:p w14:paraId="19B93DD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2" w:history="1">
        <w:r w:rsidRPr="00B84F91">
          <w:rPr>
            <w:rStyle w:val="Hyperlink"/>
            <w:sz w:val="24"/>
            <w:lang w:val="bg-BG"/>
          </w:rPr>
          <w:t>http://data.europa.eu/eli/reg/2024/2509/oj</w:t>
        </w:r>
      </w:hyperlink>
      <w:r w:rsidRPr="00B84F91">
        <w:rPr>
          <w:rStyle w:val="Hyperlink"/>
          <w:sz w:val="24"/>
          <w:lang w:val="bg-BG"/>
        </w:rPr>
        <w:t>.</w:t>
      </w:r>
    </w:p>
  </w:footnote>
  <w:footnote w:id="23">
    <w:p w14:paraId="72872AC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321, 17.12.2018 г., стр. 1, ELI: </w:t>
      </w:r>
      <w:hyperlink r:id="rId23" w:history="1">
        <w:r w:rsidRPr="00B84F91">
          <w:rPr>
            <w:rStyle w:val="Hyperlink"/>
            <w:sz w:val="24"/>
            <w:lang w:val="bg-BG"/>
          </w:rPr>
          <w:t>http://data.europa.eu/eli/reg/2018/1971/oj</w:t>
        </w:r>
      </w:hyperlink>
      <w:r w:rsidRPr="00B84F91">
        <w:rPr>
          <w:sz w:val="24"/>
          <w:lang w:val="bg-BG"/>
        </w:rPr>
        <w:t>.</w:t>
      </w:r>
    </w:p>
  </w:footnote>
  <w:footnote w:id="24">
    <w:p w14:paraId="4681699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24" w:history="1">
        <w:r w:rsidRPr="00B84F91">
          <w:rPr>
            <w:rStyle w:val="Hyperlink"/>
            <w:sz w:val="24"/>
            <w:lang w:val="bg-BG"/>
          </w:rPr>
          <w:t>http://data.europa.eu/eli/reg_del/2019/715/oj</w:t>
        </w:r>
      </w:hyperlink>
      <w:r w:rsidRPr="00B84F91">
        <w:rPr>
          <w:sz w:val="24"/>
          <w:lang w:val="bg-BG"/>
        </w:rPr>
        <w:t>.</w:t>
      </w:r>
    </w:p>
  </w:footnote>
  <w:footnote w:id="25">
    <w:p w14:paraId="6DBD8AF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25" w:history="1">
        <w:r w:rsidRPr="00B84F91">
          <w:rPr>
            <w:rStyle w:val="Hyperlink"/>
            <w:sz w:val="24"/>
            <w:lang w:val="bg-BG"/>
          </w:rPr>
          <w:t>http://data.europa.eu/eli/C/2024/6332/oj</w:t>
        </w:r>
      </w:hyperlink>
      <w:r w:rsidRPr="00B84F91">
        <w:rPr>
          <w:sz w:val="24"/>
          <w:lang w:val="bg-BG"/>
        </w:rPr>
        <w:t>.</w:t>
      </w:r>
    </w:p>
  </w:footnote>
  <w:footnote w:id="26">
    <w:p w14:paraId="1B892B4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6" w:history="1">
        <w:r w:rsidRPr="00B84F91">
          <w:rPr>
            <w:rStyle w:val="Hyperlink"/>
            <w:sz w:val="24"/>
            <w:lang w:val="bg-BG"/>
          </w:rPr>
          <w:t>http://data.europa.eu/eli/C/2024/6041/oj</w:t>
        </w:r>
      </w:hyperlink>
      <w:r w:rsidRPr="00B84F91">
        <w:rPr>
          <w:sz w:val="24"/>
          <w:lang w:val="bg-BG"/>
        </w:rPr>
        <w:t>.</w:t>
      </w:r>
    </w:p>
  </w:footnote>
  <w:footnote w:id="27">
    <w:p w14:paraId="784D2A7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7" w:history="1">
        <w:r w:rsidRPr="00B84F91">
          <w:rPr>
            <w:rStyle w:val="Hyperlink"/>
            <w:sz w:val="24"/>
            <w:lang w:val="bg-BG"/>
          </w:rPr>
          <w:t>http://data.europa.eu/eli/reg/2018/1046/oj</w:t>
        </w:r>
      </w:hyperlink>
      <w:r w:rsidRPr="00B84F91">
        <w:rPr>
          <w:sz w:val="24"/>
          <w:lang w:val="bg-BG"/>
        </w:rPr>
        <w:t>.</w:t>
      </w:r>
    </w:p>
  </w:footnote>
  <w:footnote w:id="28">
    <w:p w14:paraId="4362E68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8" w:history="1">
        <w:r w:rsidRPr="00B84F91">
          <w:rPr>
            <w:rStyle w:val="Hyperlink"/>
            <w:sz w:val="24"/>
            <w:lang w:val="bg-BG"/>
          </w:rPr>
          <w:t>http://data.europa.eu/eli/reg/2024/2509/oj</w:t>
        </w:r>
      </w:hyperlink>
      <w:r w:rsidRPr="00B84F91">
        <w:rPr>
          <w:rStyle w:val="Hyperlink"/>
          <w:sz w:val="24"/>
          <w:lang w:val="bg-BG"/>
        </w:rPr>
        <w:t>.</w:t>
      </w:r>
    </w:p>
  </w:footnote>
  <w:footnote w:id="29">
    <w:p w14:paraId="4431C39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314, 7.12.1994 г., стр. 1, ELI: </w:t>
      </w:r>
      <w:hyperlink r:id="rId29" w:history="1">
        <w:r w:rsidRPr="00B84F91">
          <w:rPr>
            <w:rStyle w:val="Hyperlink"/>
            <w:sz w:val="24"/>
            <w:lang w:val="bg-BG"/>
          </w:rPr>
          <w:t>http://data.europa.eu/eli/reg/1994/2965/oj</w:t>
        </w:r>
      </w:hyperlink>
      <w:r w:rsidRPr="00B84F91">
        <w:rPr>
          <w:sz w:val="24"/>
          <w:lang w:val="bg-BG"/>
        </w:rPr>
        <w:t>.</w:t>
      </w:r>
    </w:p>
  </w:footnote>
  <w:footnote w:id="30">
    <w:p w14:paraId="44298B2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0" w:history="1">
        <w:r w:rsidRPr="00B84F91">
          <w:rPr>
            <w:rStyle w:val="Hyperlink"/>
            <w:sz w:val="24"/>
            <w:lang w:val="bg-BG"/>
          </w:rPr>
          <w:t>http://data.europa.eu/eli/reg_del/2019/715/oj</w:t>
        </w:r>
      </w:hyperlink>
      <w:r w:rsidRPr="00B84F91">
        <w:rPr>
          <w:sz w:val="24"/>
          <w:lang w:val="bg-BG"/>
        </w:rPr>
        <w:t>.</w:t>
      </w:r>
    </w:p>
  </w:footnote>
  <w:footnote w:id="31">
    <w:p w14:paraId="08CCA82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31" w:history="1">
        <w:r w:rsidRPr="00B84F91">
          <w:rPr>
            <w:rStyle w:val="Hyperlink"/>
            <w:sz w:val="24"/>
            <w:lang w:val="bg-BG"/>
          </w:rPr>
          <w:t>http://data.europa.eu/eli/C/2024/6332/oj</w:t>
        </w:r>
      </w:hyperlink>
      <w:r w:rsidRPr="00B84F91">
        <w:rPr>
          <w:sz w:val="24"/>
          <w:lang w:val="bg-BG"/>
        </w:rPr>
        <w:t>.</w:t>
      </w:r>
    </w:p>
  </w:footnote>
  <w:footnote w:id="32">
    <w:p w14:paraId="2E5B5DC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32" w:history="1">
        <w:r w:rsidRPr="00B84F91">
          <w:rPr>
            <w:rStyle w:val="Hyperlink"/>
            <w:sz w:val="24"/>
            <w:lang w:val="bg-BG"/>
          </w:rPr>
          <w:t>http://data.europa.eu/eli/C/2024/6041/oj</w:t>
        </w:r>
      </w:hyperlink>
      <w:r w:rsidRPr="00B84F91">
        <w:rPr>
          <w:sz w:val="24"/>
          <w:lang w:val="bg-BG"/>
        </w:rPr>
        <w:t>.</w:t>
      </w:r>
    </w:p>
  </w:footnote>
  <w:footnote w:id="33">
    <w:p w14:paraId="02292F9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3" w:history="1">
        <w:r w:rsidRPr="00B84F91">
          <w:rPr>
            <w:rStyle w:val="Hyperlink"/>
            <w:sz w:val="24"/>
            <w:lang w:val="bg-BG"/>
          </w:rPr>
          <w:t>http://data.europa.eu/eli/reg/2018/1046/oj</w:t>
        </w:r>
      </w:hyperlink>
      <w:r w:rsidRPr="00B84F91">
        <w:rPr>
          <w:sz w:val="24"/>
          <w:lang w:val="bg-BG"/>
        </w:rPr>
        <w:t>.</w:t>
      </w:r>
    </w:p>
  </w:footnote>
  <w:footnote w:id="34">
    <w:p w14:paraId="0113E30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34" w:history="1">
        <w:r w:rsidRPr="00B84F91">
          <w:rPr>
            <w:rStyle w:val="Hyperlink"/>
            <w:sz w:val="24"/>
            <w:lang w:val="bg-BG"/>
          </w:rPr>
          <w:t>http://data.europa.eu/eli/reg/2024/2509/oj</w:t>
        </w:r>
      </w:hyperlink>
      <w:r w:rsidRPr="00B84F91">
        <w:rPr>
          <w:rStyle w:val="Hyperlink"/>
          <w:sz w:val="24"/>
          <w:lang w:val="bg-BG"/>
        </w:rPr>
        <w:t>.</w:t>
      </w:r>
    </w:p>
  </w:footnote>
  <w:footnote w:id="35">
    <w:p w14:paraId="72F9C40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314, 7.12.1994 г., стр. 1, ELI: </w:t>
      </w:r>
      <w:hyperlink r:id="rId35" w:history="1">
        <w:r w:rsidRPr="00B84F91">
          <w:rPr>
            <w:rStyle w:val="Hyperlink"/>
            <w:sz w:val="24"/>
            <w:lang w:val="bg-BG"/>
          </w:rPr>
          <w:t>http://data.europa.eu/eli/reg/1994/2965/oj</w:t>
        </w:r>
      </w:hyperlink>
      <w:r w:rsidRPr="00B84F91">
        <w:rPr>
          <w:sz w:val="24"/>
          <w:lang w:val="bg-BG"/>
        </w:rPr>
        <w:t>.</w:t>
      </w:r>
    </w:p>
  </w:footnote>
  <w:footnote w:id="36">
    <w:p w14:paraId="72E27017"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6" w:history="1">
        <w:r w:rsidRPr="00B84F91">
          <w:rPr>
            <w:rStyle w:val="Hyperlink"/>
            <w:sz w:val="24"/>
            <w:lang w:val="bg-BG"/>
          </w:rPr>
          <w:t>http://data.europa.eu/eli/reg_del/2019/715/oj</w:t>
        </w:r>
      </w:hyperlink>
      <w:r w:rsidRPr="00B84F91">
        <w:rPr>
          <w:sz w:val="24"/>
          <w:lang w:val="bg-BG"/>
        </w:rPr>
        <w:t>.</w:t>
      </w:r>
    </w:p>
  </w:footnote>
  <w:footnote w:id="37">
    <w:p w14:paraId="73F325D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37" w:history="1">
        <w:r w:rsidRPr="00B84F91">
          <w:rPr>
            <w:rStyle w:val="Hyperlink"/>
            <w:sz w:val="24"/>
            <w:lang w:val="bg-BG"/>
          </w:rPr>
          <w:t>http://data.europa.eu/eli/C/2024/6332/oj</w:t>
        </w:r>
      </w:hyperlink>
      <w:r w:rsidRPr="00B84F91">
        <w:rPr>
          <w:sz w:val="24"/>
          <w:lang w:val="bg-BG"/>
        </w:rPr>
        <w:t>.</w:t>
      </w:r>
    </w:p>
  </w:footnote>
  <w:footnote w:id="38">
    <w:p w14:paraId="5200140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38" w:history="1">
        <w:r w:rsidRPr="00B84F91">
          <w:rPr>
            <w:rStyle w:val="Hyperlink"/>
            <w:sz w:val="24"/>
            <w:lang w:val="bg-BG"/>
          </w:rPr>
          <w:t>http://data.europa.eu/eli/C/2024/6041/oj</w:t>
        </w:r>
      </w:hyperlink>
      <w:r w:rsidRPr="00B84F91">
        <w:rPr>
          <w:sz w:val="24"/>
          <w:lang w:val="bg-BG"/>
        </w:rPr>
        <w:t>.</w:t>
      </w:r>
    </w:p>
  </w:footnote>
  <w:footnote w:id="39">
    <w:p w14:paraId="680C554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9" w:history="1">
        <w:r w:rsidRPr="00B84F91">
          <w:rPr>
            <w:rStyle w:val="Hyperlink"/>
            <w:sz w:val="24"/>
            <w:lang w:val="bg-BG"/>
          </w:rPr>
          <w:t>http://data.europa.eu/eli/reg/2018/1046/oj</w:t>
        </w:r>
      </w:hyperlink>
      <w:r w:rsidRPr="00B84F91">
        <w:rPr>
          <w:sz w:val="24"/>
          <w:lang w:val="bg-BG"/>
        </w:rPr>
        <w:t>.</w:t>
      </w:r>
    </w:p>
  </w:footnote>
  <w:footnote w:id="40">
    <w:p w14:paraId="3C30B31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40" w:history="1">
        <w:r w:rsidRPr="00B84F91">
          <w:rPr>
            <w:rStyle w:val="Hyperlink"/>
            <w:sz w:val="24"/>
            <w:lang w:val="bg-BG"/>
          </w:rPr>
          <w:t>http://data.europa.eu/eli/reg/2024/2509/oj</w:t>
        </w:r>
      </w:hyperlink>
      <w:r w:rsidRPr="00B84F91">
        <w:rPr>
          <w:rStyle w:val="Hyperlink"/>
          <w:sz w:val="24"/>
          <w:lang w:val="bg-BG"/>
        </w:rPr>
        <w:t>.</w:t>
      </w:r>
    </w:p>
  </w:footnote>
  <w:footnote w:id="41">
    <w:p w14:paraId="3352CCC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30, 31.1.2019 г., стр. 90, ELI: </w:t>
      </w:r>
      <w:hyperlink r:id="rId41" w:history="1">
        <w:r w:rsidRPr="00B84F91">
          <w:rPr>
            <w:rStyle w:val="Hyperlink"/>
            <w:sz w:val="24"/>
            <w:lang w:val="bg-BG"/>
          </w:rPr>
          <w:t>http://data.europa.eu/eli/reg/2019/128/oj</w:t>
        </w:r>
      </w:hyperlink>
      <w:r w:rsidRPr="00B84F91">
        <w:rPr>
          <w:sz w:val="24"/>
          <w:lang w:val="bg-BG"/>
        </w:rPr>
        <w:t>.</w:t>
      </w:r>
    </w:p>
  </w:footnote>
  <w:footnote w:id="42">
    <w:p w14:paraId="0A869ED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42" w:history="1">
        <w:r w:rsidRPr="00B84F91">
          <w:rPr>
            <w:rStyle w:val="Hyperlink"/>
            <w:sz w:val="24"/>
            <w:lang w:val="bg-BG"/>
          </w:rPr>
          <w:t>http://data.europa.eu/eli/reg_del/2019/715/oj</w:t>
        </w:r>
      </w:hyperlink>
      <w:r w:rsidRPr="00B84F91">
        <w:rPr>
          <w:sz w:val="24"/>
          <w:lang w:val="bg-BG"/>
        </w:rPr>
        <w:t>.</w:t>
      </w:r>
    </w:p>
  </w:footnote>
  <w:footnote w:id="43">
    <w:p w14:paraId="6988B94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43" w:history="1">
        <w:r w:rsidRPr="00B84F91">
          <w:rPr>
            <w:rStyle w:val="Hyperlink"/>
            <w:sz w:val="24"/>
            <w:lang w:val="bg-BG"/>
          </w:rPr>
          <w:t>http://data.europa.eu/eli/C/2024/6332/oj</w:t>
        </w:r>
      </w:hyperlink>
      <w:r w:rsidRPr="00B84F91">
        <w:rPr>
          <w:sz w:val="24"/>
          <w:lang w:val="bg-BG"/>
        </w:rPr>
        <w:t>.</w:t>
      </w:r>
    </w:p>
  </w:footnote>
  <w:footnote w:id="44">
    <w:p w14:paraId="3D38DFD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44" w:history="1">
        <w:r w:rsidRPr="00B84F91">
          <w:rPr>
            <w:rStyle w:val="Hyperlink"/>
            <w:sz w:val="24"/>
            <w:lang w:val="bg-BG"/>
          </w:rPr>
          <w:t>http://data.europa.eu/eli/C/2024/6041/oj</w:t>
        </w:r>
      </w:hyperlink>
      <w:r w:rsidRPr="00B84F91">
        <w:rPr>
          <w:sz w:val="24"/>
          <w:lang w:val="bg-BG"/>
        </w:rPr>
        <w:t>.</w:t>
      </w:r>
    </w:p>
  </w:footnote>
  <w:footnote w:id="45">
    <w:p w14:paraId="49EF148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45" w:history="1">
        <w:r w:rsidRPr="00B84F91">
          <w:rPr>
            <w:rStyle w:val="Hyperlink"/>
            <w:sz w:val="24"/>
            <w:lang w:val="bg-BG"/>
          </w:rPr>
          <w:t>http://data.europa.eu/eli/reg/2018/1046/oj</w:t>
        </w:r>
      </w:hyperlink>
      <w:r w:rsidRPr="00B84F91">
        <w:rPr>
          <w:sz w:val="24"/>
          <w:lang w:val="bg-BG"/>
        </w:rPr>
        <w:t>.</w:t>
      </w:r>
    </w:p>
  </w:footnote>
  <w:footnote w:id="46">
    <w:p w14:paraId="73F3D42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46" w:history="1">
        <w:r w:rsidRPr="00B84F91">
          <w:rPr>
            <w:rStyle w:val="Hyperlink"/>
            <w:sz w:val="24"/>
            <w:lang w:val="bg-BG"/>
          </w:rPr>
          <w:t>http://data.europa.eu/eli/reg/2024/2509/oj</w:t>
        </w:r>
      </w:hyperlink>
      <w:r w:rsidRPr="00B84F91">
        <w:rPr>
          <w:rStyle w:val="Hyperlink"/>
          <w:sz w:val="24"/>
          <w:lang w:val="bg-BG"/>
        </w:rPr>
        <w:t>.</w:t>
      </w:r>
    </w:p>
  </w:footnote>
  <w:footnote w:id="47">
    <w:p w14:paraId="6C1E330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30, 31.1.2019 г., стр. 90, ELI: </w:t>
      </w:r>
      <w:hyperlink r:id="rId47" w:history="1">
        <w:r w:rsidRPr="00B84F91">
          <w:rPr>
            <w:rStyle w:val="Hyperlink"/>
            <w:sz w:val="24"/>
            <w:lang w:val="bg-BG"/>
          </w:rPr>
          <w:t>http://data.europa.eu/eli/reg/2019/128/oj</w:t>
        </w:r>
      </w:hyperlink>
      <w:r w:rsidRPr="00B84F91">
        <w:rPr>
          <w:sz w:val="24"/>
          <w:lang w:val="bg-BG"/>
        </w:rPr>
        <w:t>.</w:t>
      </w:r>
    </w:p>
  </w:footnote>
  <w:footnote w:id="48">
    <w:p w14:paraId="5D989E8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48" w:history="1">
        <w:r w:rsidRPr="00B84F91">
          <w:rPr>
            <w:rStyle w:val="Hyperlink"/>
            <w:sz w:val="24"/>
            <w:lang w:val="bg-BG"/>
          </w:rPr>
          <w:t>http://data.europa.eu/eli/reg_del/2019/715/oj</w:t>
        </w:r>
      </w:hyperlink>
      <w:r w:rsidRPr="00B84F91">
        <w:rPr>
          <w:sz w:val="24"/>
          <w:lang w:val="bg-BG"/>
        </w:rPr>
        <w:t>.</w:t>
      </w:r>
    </w:p>
  </w:footnote>
  <w:footnote w:id="49">
    <w:p w14:paraId="4306C58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49" w:history="1">
        <w:r w:rsidRPr="00B84F91">
          <w:rPr>
            <w:rStyle w:val="Hyperlink"/>
            <w:sz w:val="24"/>
            <w:lang w:val="bg-BG"/>
          </w:rPr>
          <w:t>http://data.europa.eu/eli/C/2024/6332/oj</w:t>
        </w:r>
      </w:hyperlink>
      <w:r w:rsidRPr="00B84F91">
        <w:rPr>
          <w:sz w:val="24"/>
          <w:lang w:val="bg-BG"/>
        </w:rPr>
        <w:t>.</w:t>
      </w:r>
    </w:p>
  </w:footnote>
  <w:footnote w:id="50">
    <w:p w14:paraId="75D400F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50" w:history="1">
        <w:r w:rsidRPr="00B84F91">
          <w:rPr>
            <w:rStyle w:val="Hyperlink"/>
            <w:sz w:val="24"/>
            <w:lang w:val="bg-BG"/>
          </w:rPr>
          <w:t>http://data.europa.eu/eli/C/2024/6041/oj</w:t>
        </w:r>
      </w:hyperlink>
      <w:r w:rsidRPr="00B84F91">
        <w:rPr>
          <w:sz w:val="24"/>
          <w:lang w:val="bg-BG"/>
        </w:rPr>
        <w:t>.</w:t>
      </w:r>
    </w:p>
  </w:footnote>
  <w:footnote w:id="51">
    <w:p w14:paraId="6135DD6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51" w:history="1">
        <w:r w:rsidRPr="00B84F91">
          <w:rPr>
            <w:rStyle w:val="Hyperlink"/>
            <w:sz w:val="24"/>
            <w:lang w:val="bg-BG"/>
          </w:rPr>
          <w:t>http://data.europa.eu/eli/reg/2018/1046/oj</w:t>
        </w:r>
      </w:hyperlink>
      <w:r w:rsidRPr="00B84F91">
        <w:rPr>
          <w:sz w:val="24"/>
          <w:lang w:val="bg-BG"/>
        </w:rPr>
        <w:t>.</w:t>
      </w:r>
    </w:p>
  </w:footnote>
  <w:footnote w:id="52">
    <w:p w14:paraId="6A7C3C0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52" w:history="1">
        <w:r w:rsidRPr="00B84F91">
          <w:rPr>
            <w:rStyle w:val="Hyperlink"/>
            <w:sz w:val="24"/>
            <w:lang w:val="bg-BG"/>
          </w:rPr>
          <w:t>http://data.europa.eu/eli/reg/2024/2509/oj</w:t>
        </w:r>
      </w:hyperlink>
      <w:r w:rsidRPr="00B84F91">
        <w:rPr>
          <w:rStyle w:val="Hyperlink"/>
          <w:sz w:val="24"/>
          <w:lang w:val="bg-BG"/>
        </w:rPr>
        <w:t>.</w:t>
      </w:r>
    </w:p>
  </w:footnote>
  <w:footnote w:id="53">
    <w:p w14:paraId="3B185A9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319, 4.12.2015 г., стр. 1, ELI: </w:t>
      </w:r>
      <w:hyperlink r:id="rId53" w:history="1">
        <w:r w:rsidRPr="00B84F91">
          <w:rPr>
            <w:rStyle w:val="Hyperlink"/>
            <w:sz w:val="24"/>
            <w:lang w:val="bg-BG"/>
          </w:rPr>
          <w:t>http://data.europa.eu/eli/reg/2015/2219/oj</w:t>
        </w:r>
      </w:hyperlink>
      <w:r w:rsidRPr="00B84F91">
        <w:rPr>
          <w:sz w:val="24"/>
          <w:lang w:val="bg-BG"/>
        </w:rPr>
        <w:t>.</w:t>
      </w:r>
    </w:p>
  </w:footnote>
  <w:footnote w:id="54">
    <w:p w14:paraId="305868F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54" w:history="1">
        <w:r w:rsidRPr="00B84F91">
          <w:rPr>
            <w:rStyle w:val="Hyperlink"/>
            <w:sz w:val="24"/>
            <w:lang w:val="bg-BG"/>
          </w:rPr>
          <w:t>http://data.europa.eu/eli/reg_del/2019/715/oj</w:t>
        </w:r>
      </w:hyperlink>
      <w:r w:rsidRPr="00B84F91">
        <w:rPr>
          <w:sz w:val="24"/>
          <w:lang w:val="bg-BG"/>
        </w:rPr>
        <w:t>.</w:t>
      </w:r>
    </w:p>
  </w:footnote>
  <w:footnote w:id="55">
    <w:p w14:paraId="4ABE925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55" w:history="1">
        <w:r w:rsidRPr="00B84F91">
          <w:rPr>
            <w:rStyle w:val="Hyperlink"/>
            <w:sz w:val="24"/>
            <w:lang w:val="bg-BG"/>
          </w:rPr>
          <w:t>http://data.europa.eu/eli/C/2024/6332/oj</w:t>
        </w:r>
      </w:hyperlink>
      <w:r w:rsidRPr="00B84F91">
        <w:rPr>
          <w:sz w:val="24"/>
          <w:lang w:val="bg-BG"/>
        </w:rPr>
        <w:t>.</w:t>
      </w:r>
    </w:p>
  </w:footnote>
  <w:footnote w:id="56">
    <w:p w14:paraId="0C019EB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56" w:history="1">
        <w:r w:rsidRPr="00B84F91">
          <w:rPr>
            <w:rStyle w:val="Hyperlink"/>
            <w:sz w:val="24"/>
            <w:lang w:val="bg-BG"/>
          </w:rPr>
          <w:t>http://data.europa.eu/eli/C/2024/6041/oj</w:t>
        </w:r>
      </w:hyperlink>
      <w:r w:rsidRPr="00B84F91">
        <w:rPr>
          <w:sz w:val="24"/>
          <w:lang w:val="bg-BG"/>
        </w:rPr>
        <w:t>.</w:t>
      </w:r>
    </w:p>
  </w:footnote>
  <w:footnote w:id="57">
    <w:p w14:paraId="35330E1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57" w:history="1">
        <w:r w:rsidRPr="00B84F91">
          <w:rPr>
            <w:rStyle w:val="Hyperlink"/>
            <w:sz w:val="24"/>
            <w:lang w:val="bg-BG"/>
          </w:rPr>
          <w:t>http://data.europa.eu/eli/reg/2018/1046/oj</w:t>
        </w:r>
      </w:hyperlink>
      <w:r w:rsidRPr="00B84F91">
        <w:rPr>
          <w:sz w:val="24"/>
          <w:lang w:val="bg-BG"/>
        </w:rPr>
        <w:t>.</w:t>
      </w:r>
    </w:p>
  </w:footnote>
  <w:footnote w:id="58">
    <w:p w14:paraId="02B0CEB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58" w:history="1">
        <w:r w:rsidRPr="00B84F91">
          <w:rPr>
            <w:rStyle w:val="Hyperlink"/>
            <w:sz w:val="24"/>
            <w:lang w:val="bg-BG"/>
          </w:rPr>
          <w:t>http://data.europa.eu/eli/reg/2024/2509/oj</w:t>
        </w:r>
      </w:hyperlink>
      <w:r w:rsidRPr="00B84F91">
        <w:rPr>
          <w:rStyle w:val="Hyperlink"/>
          <w:sz w:val="24"/>
          <w:lang w:val="bg-BG"/>
        </w:rPr>
        <w:t>.</w:t>
      </w:r>
    </w:p>
  </w:footnote>
  <w:footnote w:id="59">
    <w:p w14:paraId="53F62E9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319, 4.12.2015 г., стр. 1, ELI: </w:t>
      </w:r>
      <w:hyperlink r:id="rId59" w:history="1">
        <w:r w:rsidRPr="00B84F91">
          <w:rPr>
            <w:rStyle w:val="Hyperlink"/>
            <w:sz w:val="24"/>
            <w:lang w:val="bg-BG"/>
          </w:rPr>
          <w:t>http://data.europa.eu/eli/reg/2015/2219/oj</w:t>
        </w:r>
      </w:hyperlink>
      <w:r w:rsidRPr="00B84F91">
        <w:rPr>
          <w:sz w:val="24"/>
          <w:lang w:val="bg-BG"/>
        </w:rPr>
        <w:t>.</w:t>
      </w:r>
    </w:p>
  </w:footnote>
  <w:footnote w:id="60">
    <w:p w14:paraId="266581D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60" w:history="1">
        <w:r w:rsidRPr="00B84F91">
          <w:rPr>
            <w:rStyle w:val="Hyperlink"/>
            <w:sz w:val="24"/>
            <w:lang w:val="bg-BG"/>
          </w:rPr>
          <w:t>http://data.europa.eu/eli/reg_del/2019/715/oj</w:t>
        </w:r>
      </w:hyperlink>
      <w:r w:rsidRPr="00B84F91">
        <w:rPr>
          <w:sz w:val="24"/>
          <w:lang w:val="bg-BG"/>
        </w:rPr>
        <w:t>.</w:t>
      </w:r>
    </w:p>
  </w:footnote>
  <w:footnote w:id="61">
    <w:p w14:paraId="1F31F33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61" w:history="1">
        <w:r w:rsidRPr="00B84F91">
          <w:rPr>
            <w:rStyle w:val="Hyperlink"/>
            <w:sz w:val="24"/>
            <w:lang w:val="bg-BG"/>
          </w:rPr>
          <w:t>http://data.europa.eu/eli/C/2024/6332/oj</w:t>
        </w:r>
      </w:hyperlink>
      <w:r w:rsidRPr="00B84F91">
        <w:rPr>
          <w:sz w:val="24"/>
          <w:lang w:val="bg-BG"/>
        </w:rPr>
        <w:t>.</w:t>
      </w:r>
    </w:p>
  </w:footnote>
  <w:footnote w:id="62">
    <w:p w14:paraId="5A4B3E1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62" w:history="1">
        <w:r w:rsidRPr="00B84F91">
          <w:rPr>
            <w:rStyle w:val="Hyperlink"/>
            <w:sz w:val="24"/>
            <w:lang w:val="bg-BG"/>
          </w:rPr>
          <w:t>http://data.europa.eu/eli/C/2024/6041/oj</w:t>
        </w:r>
      </w:hyperlink>
      <w:r w:rsidRPr="00B84F91">
        <w:rPr>
          <w:sz w:val="24"/>
          <w:lang w:val="bg-BG"/>
        </w:rPr>
        <w:t>.</w:t>
      </w:r>
    </w:p>
  </w:footnote>
  <w:footnote w:id="63">
    <w:p w14:paraId="139B024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63" w:history="1">
        <w:r w:rsidRPr="00B84F91">
          <w:rPr>
            <w:rStyle w:val="Hyperlink"/>
            <w:sz w:val="24"/>
            <w:lang w:val="bg-BG"/>
          </w:rPr>
          <w:t>http://data.europa.eu/eli/reg/2018/1046/oj</w:t>
        </w:r>
      </w:hyperlink>
      <w:r w:rsidRPr="00B84F91">
        <w:rPr>
          <w:sz w:val="24"/>
          <w:lang w:val="bg-BG"/>
        </w:rPr>
        <w:t>.</w:t>
      </w:r>
    </w:p>
  </w:footnote>
  <w:footnote w:id="64">
    <w:p w14:paraId="3CB24D0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64" w:history="1">
        <w:r w:rsidRPr="00B84F91">
          <w:rPr>
            <w:rStyle w:val="Hyperlink"/>
            <w:sz w:val="24"/>
            <w:lang w:val="bg-BG"/>
          </w:rPr>
          <w:t>http://data.europa.eu/eli/reg/2024/2509/oj</w:t>
        </w:r>
      </w:hyperlink>
      <w:r w:rsidRPr="00B84F91">
        <w:rPr>
          <w:rStyle w:val="Hyperlink"/>
          <w:sz w:val="24"/>
          <w:lang w:val="bg-BG"/>
        </w:rPr>
        <w:t>.</w:t>
      </w:r>
    </w:p>
  </w:footnote>
  <w:footnote w:id="65">
    <w:p w14:paraId="1F42087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212, 22.8.2018 г., стр. 1, ELI: </w:t>
      </w:r>
      <w:hyperlink r:id="rId65" w:history="1">
        <w:r w:rsidRPr="00B84F91">
          <w:rPr>
            <w:rStyle w:val="Hyperlink"/>
            <w:sz w:val="24"/>
            <w:lang w:val="bg-BG"/>
          </w:rPr>
          <w:t>http://data.europa.eu/eli/reg/2018/1139/oj</w:t>
        </w:r>
      </w:hyperlink>
      <w:r w:rsidRPr="00B84F91">
        <w:rPr>
          <w:sz w:val="24"/>
          <w:lang w:val="bg-BG"/>
        </w:rPr>
        <w:t>.</w:t>
      </w:r>
    </w:p>
  </w:footnote>
  <w:footnote w:id="66">
    <w:p w14:paraId="434ABD67"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66" w:history="1">
        <w:r w:rsidRPr="00B84F91">
          <w:rPr>
            <w:rStyle w:val="Hyperlink"/>
            <w:sz w:val="24"/>
            <w:lang w:val="bg-BG"/>
          </w:rPr>
          <w:t>http://data.europa.eu/eli/reg_del/2019/715/oj</w:t>
        </w:r>
      </w:hyperlink>
      <w:r w:rsidRPr="00B84F91">
        <w:rPr>
          <w:sz w:val="24"/>
          <w:lang w:val="bg-BG"/>
        </w:rPr>
        <w:t>.</w:t>
      </w:r>
    </w:p>
  </w:footnote>
  <w:footnote w:id="67">
    <w:p w14:paraId="2550F6E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67" w:history="1">
        <w:r w:rsidRPr="00B84F91">
          <w:rPr>
            <w:rStyle w:val="Hyperlink"/>
            <w:sz w:val="24"/>
            <w:lang w:val="bg-BG"/>
          </w:rPr>
          <w:t>http://data.europa.eu/eli/C/2024/6332/oj</w:t>
        </w:r>
      </w:hyperlink>
      <w:r w:rsidRPr="00B84F91">
        <w:rPr>
          <w:sz w:val="24"/>
          <w:lang w:val="bg-BG"/>
        </w:rPr>
        <w:t>.</w:t>
      </w:r>
    </w:p>
  </w:footnote>
  <w:footnote w:id="68">
    <w:p w14:paraId="2E1CD7A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68" w:history="1">
        <w:r w:rsidRPr="00B84F91">
          <w:rPr>
            <w:rStyle w:val="Hyperlink"/>
            <w:sz w:val="24"/>
            <w:lang w:val="bg-BG"/>
          </w:rPr>
          <w:t>http://data.europa.eu/eli/C/2024/6041/oj</w:t>
        </w:r>
      </w:hyperlink>
      <w:r w:rsidRPr="00B84F91">
        <w:rPr>
          <w:sz w:val="24"/>
          <w:lang w:val="bg-BG"/>
        </w:rPr>
        <w:t>.</w:t>
      </w:r>
    </w:p>
  </w:footnote>
  <w:footnote w:id="69">
    <w:p w14:paraId="238921E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69" w:history="1">
        <w:r w:rsidRPr="00B84F91">
          <w:rPr>
            <w:rStyle w:val="Hyperlink"/>
            <w:sz w:val="24"/>
            <w:lang w:val="bg-BG"/>
          </w:rPr>
          <w:t>http://data.europa.eu/eli/reg/2018/1046/oj</w:t>
        </w:r>
      </w:hyperlink>
      <w:r w:rsidRPr="00B84F91">
        <w:rPr>
          <w:sz w:val="24"/>
          <w:lang w:val="bg-BG"/>
        </w:rPr>
        <w:t>.</w:t>
      </w:r>
    </w:p>
  </w:footnote>
  <w:footnote w:id="70">
    <w:p w14:paraId="5EE6F37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70" w:history="1">
        <w:r w:rsidRPr="00B84F91">
          <w:rPr>
            <w:rStyle w:val="Hyperlink"/>
            <w:sz w:val="24"/>
            <w:lang w:val="bg-BG"/>
          </w:rPr>
          <w:t>http://data.europa.eu/eli/reg/2024/2509/oj</w:t>
        </w:r>
      </w:hyperlink>
      <w:r w:rsidRPr="00B84F91">
        <w:rPr>
          <w:rStyle w:val="Hyperlink"/>
          <w:sz w:val="24"/>
          <w:lang w:val="bg-BG"/>
        </w:rPr>
        <w:t>.</w:t>
      </w:r>
    </w:p>
  </w:footnote>
  <w:footnote w:id="71">
    <w:p w14:paraId="5D16CD7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212, 22.8.2018 г., стр. 1, ELI: </w:t>
      </w:r>
      <w:hyperlink r:id="rId71" w:history="1">
        <w:r w:rsidRPr="00B84F91">
          <w:rPr>
            <w:rStyle w:val="Hyperlink"/>
            <w:sz w:val="24"/>
            <w:lang w:val="bg-BG"/>
          </w:rPr>
          <w:t>http://data.europa.eu/eli/reg/2018/1139/oj</w:t>
        </w:r>
      </w:hyperlink>
      <w:r w:rsidRPr="00B84F91">
        <w:rPr>
          <w:sz w:val="24"/>
          <w:lang w:val="bg-BG"/>
        </w:rPr>
        <w:t>.</w:t>
      </w:r>
    </w:p>
  </w:footnote>
  <w:footnote w:id="72">
    <w:p w14:paraId="4ED4E84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72" w:history="1">
        <w:r w:rsidRPr="00B84F91">
          <w:rPr>
            <w:rStyle w:val="Hyperlink"/>
            <w:sz w:val="24"/>
            <w:lang w:val="bg-BG"/>
          </w:rPr>
          <w:t>http://data.europa.eu/eli/reg_del/2019/715/oj</w:t>
        </w:r>
      </w:hyperlink>
      <w:r w:rsidRPr="00B84F91">
        <w:rPr>
          <w:sz w:val="24"/>
          <w:lang w:val="bg-BG"/>
        </w:rPr>
        <w:t>.</w:t>
      </w:r>
    </w:p>
  </w:footnote>
  <w:footnote w:id="73">
    <w:p w14:paraId="58E0DA4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73" w:history="1">
        <w:r w:rsidRPr="00B84F91">
          <w:rPr>
            <w:rStyle w:val="Hyperlink"/>
            <w:sz w:val="24"/>
            <w:lang w:val="bg-BG"/>
          </w:rPr>
          <w:t>http://data.europa.eu/eli/C/2024/6332/oj</w:t>
        </w:r>
      </w:hyperlink>
      <w:r w:rsidRPr="00B84F91">
        <w:rPr>
          <w:sz w:val="24"/>
          <w:lang w:val="bg-BG"/>
        </w:rPr>
        <w:t>.</w:t>
      </w:r>
    </w:p>
  </w:footnote>
  <w:footnote w:id="74">
    <w:p w14:paraId="45224C0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74" w:history="1">
        <w:r w:rsidRPr="00B84F91">
          <w:rPr>
            <w:rStyle w:val="Hyperlink"/>
            <w:sz w:val="24"/>
            <w:lang w:val="bg-BG"/>
          </w:rPr>
          <w:t>http://data.europa.eu/eli/C/2024/6041/oj</w:t>
        </w:r>
      </w:hyperlink>
      <w:r w:rsidRPr="00B84F91">
        <w:rPr>
          <w:sz w:val="24"/>
          <w:lang w:val="bg-BG"/>
        </w:rPr>
        <w:t>.</w:t>
      </w:r>
    </w:p>
  </w:footnote>
  <w:footnote w:id="75">
    <w:p w14:paraId="4FCC776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75" w:history="1">
        <w:r w:rsidRPr="00B84F91">
          <w:rPr>
            <w:rStyle w:val="Hyperlink"/>
            <w:sz w:val="24"/>
            <w:lang w:val="bg-BG"/>
          </w:rPr>
          <w:t>http://data.europa.eu/eli/reg/2018/1046/oj</w:t>
        </w:r>
      </w:hyperlink>
      <w:r w:rsidRPr="00B84F91">
        <w:rPr>
          <w:sz w:val="24"/>
          <w:lang w:val="bg-BG"/>
        </w:rPr>
        <w:t>.</w:t>
      </w:r>
    </w:p>
  </w:footnote>
  <w:footnote w:id="76">
    <w:p w14:paraId="720D546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76" w:history="1">
        <w:r w:rsidRPr="00B84F91">
          <w:rPr>
            <w:rStyle w:val="Hyperlink"/>
            <w:sz w:val="24"/>
            <w:lang w:val="bg-BG"/>
          </w:rPr>
          <w:t>http://data.europa.eu/eli/reg/2024/2509/oj</w:t>
        </w:r>
      </w:hyperlink>
      <w:r w:rsidRPr="00B84F91">
        <w:rPr>
          <w:rStyle w:val="Hyperlink"/>
          <w:sz w:val="24"/>
          <w:lang w:val="bg-BG"/>
        </w:rPr>
        <w:t>.</w:t>
      </w:r>
    </w:p>
  </w:footnote>
  <w:footnote w:id="77">
    <w:p w14:paraId="046ADC4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331, 15.12.2010 г., стр. 12, ELI: </w:t>
      </w:r>
      <w:hyperlink r:id="rId77" w:history="1">
        <w:r w:rsidRPr="00B84F91">
          <w:rPr>
            <w:rStyle w:val="Hyperlink"/>
            <w:sz w:val="24"/>
            <w:lang w:val="bg-BG"/>
          </w:rPr>
          <w:t>http://data.europa.eu/eli/reg/2010/1093/oj</w:t>
        </w:r>
      </w:hyperlink>
      <w:r w:rsidRPr="00B84F91">
        <w:rPr>
          <w:sz w:val="24"/>
          <w:lang w:val="bg-BG"/>
        </w:rPr>
        <w:t>.</w:t>
      </w:r>
    </w:p>
  </w:footnote>
  <w:footnote w:id="78">
    <w:p w14:paraId="1291CEA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78" w:history="1">
        <w:r w:rsidRPr="00B84F91">
          <w:rPr>
            <w:rStyle w:val="Hyperlink"/>
            <w:sz w:val="24"/>
            <w:lang w:val="bg-BG"/>
          </w:rPr>
          <w:t>http://data.europa.eu/eli/reg_del/2019/715/oj</w:t>
        </w:r>
      </w:hyperlink>
      <w:r w:rsidRPr="00B84F91">
        <w:rPr>
          <w:sz w:val="24"/>
          <w:lang w:val="bg-BG"/>
        </w:rPr>
        <w:t>.</w:t>
      </w:r>
    </w:p>
  </w:footnote>
  <w:footnote w:id="79">
    <w:p w14:paraId="7EB10F3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79" w:history="1">
        <w:r w:rsidRPr="00B84F91">
          <w:rPr>
            <w:rStyle w:val="Hyperlink"/>
            <w:sz w:val="24"/>
            <w:lang w:val="bg-BG"/>
          </w:rPr>
          <w:t>http://data.europa.eu/eli/C/2024/6332/oj</w:t>
        </w:r>
      </w:hyperlink>
      <w:r w:rsidRPr="00B84F91">
        <w:rPr>
          <w:sz w:val="24"/>
          <w:lang w:val="bg-BG"/>
        </w:rPr>
        <w:t>.</w:t>
      </w:r>
    </w:p>
  </w:footnote>
  <w:footnote w:id="80">
    <w:p w14:paraId="69A0ABA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80" w:history="1">
        <w:r w:rsidRPr="00B84F91">
          <w:rPr>
            <w:rStyle w:val="Hyperlink"/>
            <w:sz w:val="24"/>
            <w:lang w:val="bg-BG"/>
          </w:rPr>
          <w:t>http://data.europa.eu/eli/C/2024/6041/oj</w:t>
        </w:r>
      </w:hyperlink>
      <w:r w:rsidRPr="00B84F91">
        <w:rPr>
          <w:sz w:val="24"/>
          <w:lang w:val="bg-BG"/>
        </w:rPr>
        <w:t>.</w:t>
      </w:r>
    </w:p>
  </w:footnote>
  <w:footnote w:id="81">
    <w:p w14:paraId="53E72D2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81" w:history="1">
        <w:r w:rsidRPr="00B84F91">
          <w:rPr>
            <w:rStyle w:val="Hyperlink"/>
            <w:sz w:val="24"/>
            <w:lang w:val="bg-BG"/>
          </w:rPr>
          <w:t>http://data.europa.eu/eli/reg/2018/1046/oj</w:t>
        </w:r>
      </w:hyperlink>
      <w:r w:rsidRPr="00B84F91">
        <w:rPr>
          <w:sz w:val="24"/>
          <w:lang w:val="bg-BG"/>
        </w:rPr>
        <w:t>.</w:t>
      </w:r>
    </w:p>
  </w:footnote>
  <w:footnote w:id="82">
    <w:p w14:paraId="66BCA73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82" w:history="1">
        <w:r w:rsidRPr="00B84F91">
          <w:rPr>
            <w:rStyle w:val="Hyperlink"/>
            <w:sz w:val="24"/>
            <w:lang w:val="bg-BG"/>
          </w:rPr>
          <w:t>http://data.europa.eu/eli/reg/2024/2509/oj</w:t>
        </w:r>
      </w:hyperlink>
      <w:r w:rsidRPr="00B84F91">
        <w:rPr>
          <w:rStyle w:val="Hyperlink"/>
          <w:sz w:val="24"/>
          <w:lang w:val="bg-BG"/>
        </w:rPr>
        <w:t>.</w:t>
      </w:r>
    </w:p>
  </w:footnote>
  <w:footnote w:id="83">
    <w:p w14:paraId="6E686FC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331, 15.12.2010 г., стр. 12, ELI: </w:t>
      </w:r>
      <w:hyperlink r:id="rId83" w:history="1">
        <w:r w:rsidRPr="00B84F91">
          <w:rPr>
            <w:rStyle w:val="Hyperlink"/>
            <w:sz w:val="24"/>
            <w:lang w:val="bg-BG"/>
          </w:rPr>
          <w:t>http://data.europa.eu/eli/reg/2010/1093/oj</w:t>
        </w:r>
      </w:hyperlink>
      <w:r w:rsidRPr="00B84F91">
        <w:rPr>
          <w:sz w:val="24"/>
          <w:lang w:val="bg-BG"/>
        </w:rPr>
        <w:t>.</w:t>
      </w:r>
    </w:p>
  </w:footnote>
  <w:footnote w:id="84">
    <w:p w14:paraId="3794197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84" w:history="1">
        <w:r w:rsidRPr="00B84F91">
          <w:rPr>
            <w:rStyle w:val="Hyperlink"/>
            <w:sz w:val="24"/>
            <w:lang w:val="bg-BG"/>
          </w:rPr>
          <w:t>http://data.europa.eu/eli/reg_del/2019/715/oj</w:t>
        </w:r>
      </w:hyperlink>
      <w:r w:rsidRPr="00B84F91">
        <w:rPr>
          <w:sz w:val="24"/>
          <w:lang w:val="bg-BG"/>
        </w:rPr>
        <w:t>.</w:t>
      </w:r>
    </w:p>
  </w:footnote>
  <w:footnote w:id="85">
    <w:p w14:paraId="47A2398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85" w:history="1">
        <w:r w:rsidRPr="00B84F91">
          <w:rPr>
            <w:rStyle w:val="Hyperlink"/>
            <w:sz w:val="24"/>
            <w:lang w:val="bg-BG"/>
          </w:rPr>
          <w:t>http://data.europa.eu/eli/C/2024/6332/oj</w:t>
        </w:r>
      </w:hyperlink>
      <w:r w:rsidRPr="00B84F91">
        <w:rPr>
          <w:sz w:val="24"/>
          <w:lang w:val="bg-BG"/>
        </w:rPr>
        <w:t>.</w:t>
      </w:r>
    </w:p>
  </w:footnote>
  <w:footnote w:id="86">
    <w:p w14:paraId="3586ED6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86" w:history="1">
        <w:r w:rsidRPr="00B84F91">
          <w:rPr>
            <w:rStyle w:val="Hyperlink"/>
            <w:sz w:val="24"/>
            <w:lang w:val="bg-BG"/>
          </w:rPr>
          <w:t>http://data.europa.eu/eli/C/2024/6041/oj</w:t>
        </w:r>
      </w:hyperlink>
      <w:r w:rsidRPr="00B84F91">
        <w:rPr>
          <w:sz w:val="24"/>
          <w:lang w:val="bg-BG"/>
        </w:rPr>
        <w:t>.</w:t>
      </w:r>
    </w:p>
  </w:footnote>
  <w:footnote w:id="87">
    <w:p w14:paraId="144F5D9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87" w:history="1">
        <w:r w:rsidRPr="00B84F91">
          <w:rPr>
            <w:rStyle w:val="Hyperlink"/>
            <w:sz w:val="24"/>
            <w:lang w:val="bg-BG"/>
          </w:rPr>
          <w:t>http://data.europa.eu/eli/reg/2018/1046/oj</w:t>
        </w:r>
      </w:hyperlink>
      <w:r w:rsidRPr="00B84F91">
        <w:rPr>
          <w:sz w:val="24"/>
          <w:lang w:val="bg-BG"/>
        </w:rPr>
        <w:t>.</w:t>
      </w:r>
    </w:p>
  </w:footnote>
  <w:footnote w:id="88">
    <w:p w14:paraId="43C55DE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88" w:history="1">
        <w:r w:rsidRPr="00B84F91">
          <w:rPr>
            <w:rStyle w:val="Hyperlink"/>
            <w:sz w:val="24"/>
            <w:lang w:val="bg-BG"/>
          </w:rPr>
          <w:t>http://data.europa.eu/eli/reg/2024/2509/oj</w:t>
        </w:r>
      </w:hyperlink>
      <w:r w:rsidRPr="00B84F91">
        <w:rPr>
          <w:rStyle w:val="Hyperlink"/>
          <w:sz w:val="24"/>
          <w:lang w:val="bg-BG"/>
        </w:rPr>
        <w:t>.</w:t>
      </w:r>
    </w:p>
  </w:footnote>
  <w:footnote w:id="89">
    <w:p w14:paraId="05AFC1F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142, 30.4.2004 г., стр. 1, ELI: </w:t>
      </w:r>
      <w:hyperlink r:id="rId89" w:history="1">
        <w:r w:rsidRPr="00B84F91">
          <w:rPr>
            <w:rStyle w:val="Hyperlink"/>
            <w:sz w:val="24"/>
            <w:lang w:val="bg-BG"/>
          </w:rPr>
          <w:t>http://data.europa.eu/eli/reg/2004/851/oj</w:t>
        </w:r>
      </w:hyperlink>
      <w:r w:rsidRPr="00B84F91">
        <w:rPr>
          <w:sz w:val="24"/>
          <w:lang w:val="bg-BG"/>
        </w:rPr>
        <w:t>.</w:t>
      </w:r>
    </w:p>
  </w:footnote>
  <w:footnote w:id="90">
    <w:p w14:paraId="42B17EF8" w14:textId="0251C215"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122, 10.5.2019 г., </w:t>
      </w:r>
      <w:r w:rsidR="00CA2030">
        <w:rPr>
          <w:sz w:val="24"/>
          <w:lang w:val="bg-BG"/>
        </w:rPr>
        <w:t xml:space="preserve">стр. 1, </w:t>
      </w:r>
      <w:r w:rsidRPr="00B84F91">
        <w:rPr>
          <w:sz w:val="24"/>
          <w:lang w:val="bg-BG"/>
        </w:rPr>
        <w:t xml:space="preserve">ELI: </w:t>
      </w:r>
      <w:hyperlink r:id="rId90" w:history="1">
        <w:r w:rsidRPr="00B84F91">
          <w:rPr>
            <w:rStyle w:val="Hyperlink"/>
            <w:sz w:val="24"/>
            <w:lang w:val="bg-BG"/>
          </w:rPr>
          <w:t>http://data.europa.eu/eli/reg_del/2019/715/oj</w:t>
        </w:r>
      </w:hyperlink>
      <w:r w:rsidRPr="00B84F91">
        <w:rPr>
          <w:sz w:val="24"/>
          <w:lang w:val="bg-BG"/>
        </w:rPr>
        <w:t>.</w:t>
      </w:r>
    </w:p>
  </w:footnote>
  <w:footnote w:id="91">
    <w:p w14:paraId="2E60C03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91" w:history="1">
        <w:r w:rsidRPr="00B84F91">
          <w:rPr>
            <w:rStyle w:val="Hyperlink"/>
            <w:sz w:val="24"/>
            <w:lang w:val="bg-BG"/>
          </w:rPr>
          <w:t>http://data.europa.eu/eli/C/2024/6332/oj</w:t>
        </w:r>
      </w:hyperlink>
      <w:r w:rsidRPr="00B84F91">
        <w:rPr>
          <w:sz w:val="24"/>
          <w:lang w:val="bg-BG"/>
        </w:rPr>
        <w:t>.</w:t>
      </w:r>
    </w:p>
  </w:footnote>
  <w:footnote w:id="92">
    <w:p w14:paraId="50B9F84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92" w:history="1">
        <w:r w:rsidRPr="00B84F91">
          <w:rPr>
            <w:rStyle w:val="Hyperlink"/>
            <w:sz w:val="24"/>
            <w:lang w:val="bg-BG"/>
          </w:rPr>
          <w:t>http://data.europa.eu/eli/C/2024/6041/oj</w:t>
        </w:r>
      </w:hyperlink>
      <w:r w:rsidRPr="00B84F91">
        <w:rPr>
          <w:sz w:val="24"/>
          <w:lang w:val="bg-BG"/>
        </w:rPr>
        <w:t>.</w:t>
      </w:r>
    </w:p>
  </w:footnote>
  <w:footnote w:id="93">
    <w:p w14:paraId="0977C6B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93" w:history="1">
        <w:r w:rsidRPr="00B84F91">
          <w:rPr>
            <w:rStyle w:val="Hyperlink"/>
            <w:sz w:val="24"/>
            <w:lang w:val="bg-BG"/>
          </w:rPr>
          <w:t>http://data.europa.eu/eli/reg/2018/1046/oj</w:t>
        </w:r>
      </w:hyperlink>
      <w:r w:rsidRPr="00B84F91">
        <w:rPr>
          <w:sz w:val="24"/>
          <w:lang w:val="bg-BG"/>
        </w:rPr>
        <w:t>.</w:t>
      </w:r>
    </w:p>
  </w:footnote>
  <w:footnote w:id="94">
    <w:p w14:paraId="53102AE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94" w:history="1">
        <w:r w:rsidRPr="00B84F91">
          <w:rPr>
            <w:rStyle w:val="Hyperlink"/>
            <w:sz w:val="24"/>
            <w:lang w:val="bg-BG"/>
          </w:rPr>
          <w:t>http://data.europa.eu/eli/reg/2024/2509/oj</w:t>
        </w:r>
      </w:hyperlink>
      <w:r w:rsidRPr="00B84F91">
        <w:rPr>
          <w:rStyle w:val="Hyperlink"/>
          <w:sz w:val="24"/>
          <w:lang w:val="bg-BG"/>
        </w:rPr>
        <w:t>.</w:t>
      </w:r>
    </w:p>
  </w:footnote>
  <w:footnote w:id="95">
    <w:p w14:paraId="2E4AF5D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142, 30.4.2004 г., стр. 1, ELI: </w:t>
      </w:r>
      <w:hyperlink r:id="rId95" w:history="1">
        <w:r w:rsidRPr="00B84F91">
          <w:rPr>
            <w:rStyle w:val="Hyperlink"/>
            <w:sz w:val="24"/>
            <w:lang w:val="bg-BG"/>
          </w:rPr>
          <w:t>http://data.europa.eu/eli/reg/2004/851/oj</w:t>
        </w:r>
      </w:hyperlink>
      <w:r w:rsidRPr="00B84F91">
        <w:rPr>
          <w:sz w:val="24"/>
          <w:lang w:val="bg-BG"/>
        </w:rPr>
        <w:t>.</w:t>
      </w:r>
    </w:p>
  </w:footnote>
  <w:footnote w:id="96">
    <w:p w14:paraId="0CC6716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96" w:history="1">
        <w:r w:rsidRPr="00B84F91">
          <w:rPr>
            <w:rStyle w:val="Hyperlink"/>
            <w:sz w:val="24"/>
            <w:lang w:val="bg-BG"/>
          </w:rPr>
          <w:t>http://data.europa.eu/eli/reg_del/2019/715/oj</w:t>
        </w:r>
      </w:hyperlink>
      <w:r w:rsidRPr="00B84F91">
        <w:rPr>
          <w:sz w:val="24"/>
          <w:lang w:val="bg-BG"/>
        </w:rPr>
        <w:t>.</w:t>
      </w:r>
    </w:p>
  </w:footnote>
  <w:footnote w:id="97">
    <w:p w14:paraId="33FA5C8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97" w:history="1">
        <w:r w:rsidRPr="00B84F91">
          <w:rPr>
            <w:rStyle w:val="Hyperlink"/>
            <w:sz w:val="24"/>
            <w:lang w:val="bg-BG"/>
          </w:rPr>
          <w:t>http://data.europa.eu/eli/C/2024/6332/oj</w:t>
        </w:r>
      </w:hyperlink>
      <w:r w:rsidRPr="00B84F91">
        <w:rPr>
          <w:sz w:val="24"/>
          <w:lang w:val="bg-BG"/>
        </w:rPr>
        <w:t>.</w:t>
      </w:r>
    </w:p>
  </w:footnote>
  <w:footnote w:id="98">
    <w:p w14:paraId="26BBAF0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98" w:history="1">
        <w:r w:rsidRPr="00B84F91">
          <w:rPr>
            <w:rStyle w:val="Hyperlink"/>
            <w:sz w:val="24"/>
            <w:lang w:val="bg-BG"/>
          </w:rPr>
          <w:t>http://data.europa.eu/eli/C/2024/6041/oj</w:t>
        </w:r>
      </w:hyperlink>
      <w:r w:rsidRPr="00B84F91">
        <w:rPr>
          <w:sz w:val="24"/>
          <w:lang w:val="bg-BG"/>
        </w:rPr>
        <w:t>.</w:t>
      </w:r>
    </w:p>
  </w:footnote>
  <w:footnote w:id="99">
    <w:p w14:paraId="0935BA0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99" w:history="1">
        <w:r w:rsidRPr="00B84F91">
          <w:rPr>
            <w:rStyle w:val="Hyperlink"/>
            <w:sz w:val="24"/>
            <w:lang w:val="bg-BG"/>
          </w:rPr>
          <w:t>http://data.europa.eu/eli/reg/2018/1046/oj</w:t>
        </w:r>
      </w:hyperlink>
      <w:r w:rsidRPr="00B84F91">
        <w:rPr>
          <w:sz w:val="24"/>
          <w:lang w:val="bg-BG"/>
        </w:rPr>
        <w:t>.</w:t>
      </w:r>
    </w:p>
  </w:footnote>
  <w:footnote w:id="100">
    <w:p w14:paraId="6D2E009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00" w:history="1">
        <w:r w:rsidRPr="00B84F91">
          <w:rPr>
            <w:rStyle w:val="Hyperlink"/>
            <w:sz w:val="24"/>
            <w:lang w:val="bg-BG"/>
          </w:rPr>
          <w:t>http://data.europa.eu/eli/reg/2024/2509/oj</w:t>
        </w:r>
      </w:hyperlink>
      <w:r w:rsidRPr="00B84F91">
        <w:rPr>
          <w:rStyle w:val="Hyperlink"/>
          <w:sz w:val="24"/>
          <w:lang w:val="bg-BG"/>
        </w:rPr>
        <w:t>.</w:t>
      </w:r>
    </w:p>
  </w:footnote>
  <w:footnote w:id="101">
    <w:p w14:paraId="18D8C81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396, 30.12.2006 г., стр. 1, ELI: </w:t>
      </w:r>
      <w:hyperlink r:id="rId101" w:history="1">
        <w:r w:rsidRPr="00B84F91">
          <w:rPr>
            <w:rStyle w:val="Hyperlink"/>
            <w:sz w:val="24"/>
            <w:lang w:val="bg-BG"/>
          </w:rPr>
          <w:t>http://data.europa.eu/eli/reg/2006/1907/oj</w:t>
        </w:r>
      </w:hyperlink>
      <w:r w:rsidRPr="00B84F91">
        <w:rPr>
          <w:sz w:val="24"/>
          <w:lang w:val="bg-BG"/>
        </w:rPr>
        <w:t>.</w:t>
      </w:r>
    </w:p>
  </w:footnote>
  <w:footnote w:id="102">
    <w:p w14:paraId="4F8004B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102" w:history="1">
        <w:r w:rsidRPr="00B84F91">
          <w:rPr>
            <w:rStyle w:val="Hyperlink"/>
            <w:sz w:val="24"/>
            <w:lang w:val="bg-BG"/>
          </w:rPr>
          <w:t>http://data.europa.eu/eli/reg_del/2019/715/oj</w:t>
        </w:r>
      </w:hyperlink>
      <w:r w:rsidRPr="00B84F91">
        <w:rPr>
          <w:sz w:val="24"/>
          <w:lang w:val="bg-BG"/>
        </w:rPr>
        <w:t>.</w:t>
      </w:r>
    </w:p>
  </w:footnote>
  <w:footnote w:id="103">
    <w:p w14:paraId="7D42112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03" w:history="1">
        <w:r w:rsidRPr="00B84F91">
          <w:rPr>
            <w:rStyle w:val="Hyperlink"/>
            <w:sz w:val="24"/>
            <w:lang w:val="bg-BG"/>
          </w:rPr>
          <w:t>http://data.europa.eu/eli/C/2024/6332/oj</w:t>
        </w:r>
      </w:hyperlink>
      <w:r w:rsidRPr="00B84F91">
        <w:rPr>
          <w:sz w:val="24"/>
          <w:lang w:val="bg-BG"/>
        </w:rPr>
        <w:t>.</w:t>
      </w:r>
    </w:p>
  </w:footnote>
  <w:footnote w:id="104">
    <w:p w14:paraId="6A99379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104" w:history="1">
        <w:r w:rsidRPr="00B84F91">
          <w:rPr>
            <w:rStyle w:val="Hyperlink"/>
            <w:sz w:val="24"/>
            <w:lang w:val="bg-BG"/>
          </w:rPr>
          <w:t>http://data.europa.eu/eli/C/2024/6041/oj</w:t>
        </w:r>
      </w:hyperlink>
      <w:r w:rsidRPr="00B84F91">
        <w:rPr>
          <w:sz w:val="24"/>
          <w:lang w:val="bg-BG"/>
        </w:rPr>
        <w:t>.</w:t>
      </w:r>
    </w:p>
  </w:footnote>
  <w:footnote w:id="105">
    <w:p w14:paraId="12F5C89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105" w:history="1">
        <w:r w:rsidRPr="00B84F91">
          <w:rPr>
            <w:rStyle w:val="Hyperlink"/>
            <w:sz w:val="24"/>
            <w:lang w:val="bg-BG"/>
          </w:rPr>
          <w:t>http://data.europa.eu/eli/reg/2018/1046/oj</w:t>
        </w:r>
      </w:hyperlink>
      <w:r w:rsidRPr="00B84F91">
        <w:rPr>
          <w:sz w:val="24"/>
          <w:lang w:val="bg-BG"/>
        </w:rPr>
        <w:t>.</w:t>
      </w:r>
    </w:p>
  </w:footnote>
  <w:footnote w:id="106">
    <w:p w14:paraId="7A1DEA1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06" w:history="1">
        <w:r w:rsidRPr="00B84F91">
          <w:rPr>
            <w:rStyle w:val="Hyperlink"/>
            <w:sz w:val="24"/>
            <w:lang w:val="bg-BG"/>
          </w:rPr>
          <w:t>http://data.europa.eu/eli/reg/2024/2509/oj</w:t>
        </w:r>
      </w:hyperlink>
      <w:r w:rsidRPr="00B84F91">
        <w:rPr>
          <w:rStyle w:val="Hyperlink"/>
          <w:sz w:val="24"/>
          <w:lang w:val="bg-BG"/>
        </w:rPr>
        <w:t>.</w:t>
      </w:r>
    </w:p>
  </w:footnote>
  <w:footnote w:id="107">
    <w:p w14:paraId="68A9E03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396, 30.12.2006 г., стр. 1, ELI: </w:t>
      </w:r>
      <w:hyperlink r:id="rId107" w:history="1">
        <w:r w:rsidRPr="00B84F91">
          <w:rPr>
            <w:rStyle w:val="Hyperlink"/>
            <w:sz w:val="24"/>
            <w:lang w:val="bg-BG"/>
          </w:rPr>
          <w:t>http://data.europa.eu/eli/reg/2006/1907/oj</w:t>
        </w:r>
      </w:hyperlink>
      <w:r w:rsidRPr="00B84F91">
        <w:rPr>
          <w:sz w:val="24"/>
          <w:lang w:val="bg-BG"/>
        </w:rPr>
        <w:t>.</w:t>
      </w:r>
    </w:p>
  </w:footnote>
  <w:footnote w:id="108">
    <w:p w14:paraId="580AE3C3" w14:textId="16A3CA5E"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122, 10.5.2019 г., </w:t>
      </w:r>
      <w:r w:rsidR="00CA2030">
        <w:rPr>
          <w:sz w:val="24"/>
          <w:lang w:val="bg-BG"/>
        </w:rPr>
        <w:t xml:space="preserve">стр. 1, </w:t>
      </w:r>
      <w:r w:rsidRPr="00B84F91">
        <w:rPr>
          <w:sz w:val="24"/>
          <w:lang w:val="bg-BG"/>
        </w:rPr>
        <w:t xml:space="preserve">ELI: </w:t>
      </w:r>
      <w:hyperlink r:id="rId108" w:history="1">
        <w:r w:rsidRPr="00B84F91">
          <w:rPr>
            <w:rStyle w:val="Hyperlink"/>
            <w:sz w:val="24"/>
            <w:lang w:val="bg-BG"/>
          </w:rPr>
          <w:t>http://data.europa.eu/eli/reg_del/2019/715/oj</w:t>
        </w:r>
      </w:hyperlink>
      <w:r w:rsidRPr="00B84F91">
        <w:rPr>
          <w:sz w:val="24"/>
          <w:lang w:val="bg-BG"/>
        </w:rPr>
        <w:t>.</w:t>
      </w:r>
    </w:p>
  </w:footnote>
  <w:footnote w:id="109">
    <w:p w14:paraId="34D0848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09" w:history="1">
        <w:r w:rsidRPr="00B84F91">
          <w:rPr>
            <w:rStyle w:val="Hyperlink"/>
            <w:sz w:val="24"/>
            <w:lang w:val="bg-BG"/>
          </w:rPr>
          <w:t>http://data.europa.eu/eli/C/2024/6332/oj</w:t>
        </w:r>
      </w:hyperlink>
      <w:r w:rsidRPr="00B84F91">
        <w:rPr>
          <w:sz w:val="24"/>
          <w:lang w:val="bg-BG"/>
        </w:rPr>
        <w:t>.</w:t>
      </w:r>
    </w:p>
  </w:footnote>
  <w:footnote w:id="110">
    <w:p w14:paraId="3E7852C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110" w:history="1">
        <w:r w:rsidRPr="00B84F91">
          <w:rPr>
            <w:rStyle w:val="Hyperlink"/>
            <w:sz w:val="24"/>
            <w:lang w:val="bg-BG"/>
          </w:rPr>
          <w:t>http://data.europa.eu/eli/C/2024/6041/oj</w:t>
        </w:r>
      </w:hyperlink>
      <w:r w:rsidRPr="00B84F91">
        <w:rPr>
          <w:sz w:val="24"/>
          <w:lang w:val="bg-BG"/>
        </w:rPr>
        <w:t>.</w:t>
      </w:r>
    </w:p>
  </w:footnote>
  <w:footnote w:id="111">
    <w:p w14:paraId="290D920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111" w:history="1">
        <w:r w:rsidRPr="00B84F91">
          <w:rPr>
            <w:rStyle w:val="Hyperlink"/>
            <w:sz w:val="24"/>
            <w:lang w:val="bg-BG"/>
          </w:rPr>
          <w:t>http://data.europa.eu/eli/reg/2018/1046/oj</w:t>
        </w:r>
      </w:hyperlink>
      <w:r w:rsidRPr="00B84F91">
        <w:rPr>
          <w:sz w:val="24"/>
          <w:lang w:val="bg-BG"/>
        </w:rPr>
        <w:t>.</w:t>
      </w:r>
    </w:p>
  </w:footnote>
  <w:footnote w:id="112">
    <w:p w14:paraId="08A83E0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12" w:history="1">
        <w:r w:rsidRPr="00B84F91">
          <w:rPr>
            <w:rStyle w:val="Hyperlink"/>
            <w:sz w:val="24"/>
            <w:lang w:val="bg-BG"/>
          </w:rPr>
          <w:t>http://data.europa.eu/eli/reg/2024/2509/oj</w:t>
        </w:r>
      </w:hyperlink>
      <w:r w:rsidRPr="00B84F91">
        <w:rPr>
          <w:rStyle w:val="Hyperlink"/>
          <w:sz w:val="24"/>
          <w:lang w:val="bg-BG"/>
        </w:rPr>
        <w:t>.</w:t>
      </w:r>
    </w:p>
  </w:footnote>
  <w:footnote w:id="113">
    <w:p w14:paraId="395FAB4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126, 21.5.2009 г., стр. 13, ELI: </w:t>
      </w:r>
      <w:hyperlink r:id="rId113" w:history="1">
        <w:r w:rsidRPr="00B84F91">
          <w:rPr>
            <w:rStyle w:val="Hyperlink"/>
            <w:sz w:val="24"/>
            <w:lang w:val="bg-BG"/>
          </w:rPr>
          <w:t>http://data.europa.eu/eli/reg/2009/401/oj</w:t>
        </w:r>
      </w:hyperlink>
      <w:r w:rsidRPr="00B84F91">
        <w:rPr>
          <w:sz w:val="24"/>
          <w:lang w:val="bg-BG"/>
        </w:rPr>
        <w:t>.</w:t>
      </w:r>
    </w:p>
  </w:footnote>
  <w:footnote w:id="114">
    <w:p w14:paraId="263B2A8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114" w:history="1">
        <w:r w:rsidRPr="00B84F91">
          <w:rPr>
            <w:rStyle w:val="Hyperlink"/>
            <w:sz w:val="24"/>
            <w:lang w:val="bg-BG"/>
          </w:rPr>
          <w:t>http://data.europa.eu/eli/reg_del/2019/715/oj</w:t>
        </w:r>
      </w:hyperlink>
      <w:r w:rsidRPr="00B84F91">
        <w:rPr>
          <w:sz w:val="24"/>
          <w:lang w:val="bg-BG"/>
        </w:rPr>
        <w:t>.</w:t>
      </w:r>
    </w:p>
  </w:footnote>
  <w:footnote w:id="115">
    <w:p w14:paraId="46DC0F9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15" w:history="1">
        <w:r w:rsidRPr="00B84F91">
          <w:rPr>
            <w:rStyle w:val="Hyperlink"/>
            <w:sz w:val="24"/>
            <w:lang w:val="bg-BG"/>
          </w:rPr>
          <w:t>http://data.europa.eu/eli/C/2024/6332/oj</w:t>
        </w:r>
      </w:hyperlink>
      <w:r w:rsidRPr="00B84F91">
        <w:rPr>
          <w:sz w:val="24"/>
          <w:lang w:val="bg-BG"/>
        </w:rPr>
        <w:t>.</w:t>
      </w:r>
    </w:p>
  </w:footnote>
  <w:footnote w:id="116">
    <w:p w14:paraId="034E8EF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116" w:history="1">
        <w:r w:rsidRPr="00B84F91">
          <w:rPr>
            <w:rStyle w:val="Hyperlink"/>
            <w:sz w:val="24"/>
            <w:lang w:val="bg-BG"/>
          </w:rPr>
          <w:t>http://data.europa.eu/eli/C/2024/6041/oj</w:t>
        </w:r>
      </w:hyperlink>
      <w:r w:rsidRPr="00B84F91">
        <w:rPr>
          <w:sz w:val="24"/>
          <w:lang w:val="bg-BG"/>
        </w:rPr>
        <w:t>.</w:t>
      </w:r>
    </w:p>
  </w:footnote>
  <w:footnote w:id="117">
    <w:p w14:paraId="77D03AC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117" w:history="1">
        <w:r w:rsidRPr="00B84F91">
          <w:rPr>
            <w:rStyle w:val="Hyperlink"/>
            <w:sz w:val="24"/>
            <w:lang w:val="bg-BG"/>
          </w:rPr>
          <w:t>http://data.europa.eu/eli/reg/2018/1046/oj</w:t>
        </w:r>
      </w:hyperlink>
      <w:r w:rsidRPr="00B84F91">
        <w:rPr>
          <w:sz w:val="24"/>
          <w:lang w:val="bg-BG"/>
        </w:rPr>
        <w:t>.</w:t>
      </w:r>
    </w:p>
  </w:footnote>
  <w:footnote w:id="118">
    <w:p w14:paraId="0A6CC1D7"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18" w:history="1">
        <w:r w:rsidRPr="00B84F91">
          <w:rPr>
            <w:rStyle w:val="Hyperlink"/>
            <w:sz w:val="24"/>
            <w:lang w:val="bg-BG"/>
          </w:rPr>
          <w:t>http://data.europa.eu/eli/reg/2024/2509/oj</w:t>
        </w:r>
      </w:hyperlink>
      <w:r w:rsidRPr="00B84F91">
        <w:rPr>
          <w:rStyle w:val="Hyperlink"/>
          <w:sz w:val="24"/>
          <w:lang w:val="bg-BG"/>
        </w:rPr>
        <w:t>.</w:t>
      </w:r>
    </w:p>
  </w:footnote>
  <w:footnote w:id="119">
    <w:p w14:paraId="095506C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126, 21.5.2009 г., стр. 13, ELI: </w:t>
      </w:r>
      <w:hyperlink r:id="rId119" w:history="1">
        <w:r w:rsidRPr="00B84F91">
          <w:rPr>
            <w:rStyle w:val="Hyperlink"/>
            <w:sz w:val="24"/>
            <w:lang w:val="bg-BG"/>
          </w:rPr>
          <w:t>http://data.europa.eu/eli/reg/2009/401/oj</w:t>
        </w:r>
      </w:hyperlink>
      <w:r w:rsidRPr="00B84F91">
        <w:rPr>
          <w:sz w:val="24"/>
          <w:lang w:val="bg-BG"/>
        </w:rPr>
        <w:t>.</w:t>
      </w:r>
    </w:p>
  </w:footnote>
  <w:footnote w:id="120">
    <w:p w14:paraId="1DF210E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120" w:history="1">
        <w:r w:rsidRPr="00B84F91">
          <w:rPr>
            <w:rStyle w:val="Hyperlink"/>
            <w:sz w:val="24"/>
            <w:lang w:val="bg-BG"/>
          </w:rPr>
          <w:t>http://data.europa.eu/eli/reg_del/2019/715/oj</w:t>
        </w:r>
      </w:hyperlink>
      <w:r w:rsidRPr="00B84F91">
        <w:rPr>
          <w:sz w:val="24"/>
          <w:lang w:val="bg-BG"/>
        </w:rPr>
        <w:t>.</w:t>
      </w:r>
    </w:p>
  </w:footnote>
  <w:footnote w:id="121">
    <w:p w14:paraId="6A7F5D7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21" w:history="1">
        <w:r w:rsidRPr="00B84F91">
          <w:rPr>
            <w:rStyle w:val="Hyperlink"/>
            <w:sz w:val="24"/>
            <w:lang w:val="bg-BG"/>
          </w:rPr>
          <w:t>http://data.europa.eu/eli/C/2024/6332/oj</w:t>
        </w:r>
      </w:hyperlink>
      <w:r w:rsidRPr="00B84F91">
        <w:rPr>
          <w:sz w:val="24"/>
          <w:lang w:val="bg-BG"/>
        </w:rPr>
        <w:t>.</w:t>
      </w:r>
    </w:p>
  </w:footnote>
  <w:footnote w:id="122">
    <w:p w14:paraId="333249A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122" w:history="1">
        <w:r w:rsidRPr="00B84F91">
          <w:rPr>
            <w:rStyle w:val="Hyperlink"/>
            <w:sz w:val="24"/>
            <w:lang w:val="bg-BG"/>
          </w:rPr>
          <w:t>http://data.europa.eu/eli/C/2024/6041/oj</w:t>
        </w:r>
      </w:hyperlink>
      <w:r w:rsidRPr="00B84F91">
        <w:rPr>
          <w:sz w:val="24"/>
          <w:lang w:val="bg-BG"/>
        </w:rPr>
        <w:t>.</w:t>
      </w:r>
    </w:p>
  </w:footnote>
  <w:footnote w:id="123">
    <w:p w14:paraId="2B40127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123" w:history="1">
        <w:r w:rsidRPr="00B84F91">
          <w:rPr>
            <w:rStyle w:val="Hyperlink"/>
            <w:sz w:val="24"/>
            <w:lang w:val="bg-BG"/>
          </w:rPr>
          <w:t>http://data.europa.eu/eli/reg/2018/1046/oj</w:t>
        </w:r>
      </w:hyperlink>
      <w:r w:rsidRPr="00B84F91">
        <w:rPr>
          <w:sz w:val="24"/>
          <w:lang w:val="bg-BG"/>
        </w:rPr>
        <w:t>.</w:t>
      </w:r>
    </w:p>
  </w:footnote>
  <w:footnote w:id="124">
    <w:p w14:paraId="54120D3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24" w:history="1">
        <w:r w:rsidRPr="00B84F91">
          <w:rPr>
            <w:rStyle w:val="Hyperlink"/>
            <w:sz w:val="24"/>
            <w:lang w:val="bg-BG"/>
          </w:rPr>
          <w:t>http://data.europa.eu/eli/reg/2024/2509/oj</w:t>
        </w:r>
      </w:hyperlink>
      <w:r w:rsidRPr="00B84F91">
        <w:rPr>
          <w:rStyle w:val="Hyperlink"/>
          <w:sz w:val="24"/>
          <w:lang w:val="bg-BG"/>
        </w:rPr>
        <w:t>.</w:t>
      </w:r>
    </w:p>
  </w:footnote>
  <w:footnote w:id="125">
    <w:p w14:paraId="5390EB17"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83, 25.3.2019 г., стр. 18, ELI: </w:t>
      </w:r>
      <w:hyperlink r:id="rId125" w:history="1">
        <w:r w:rsidRPr="00B84F91">
          <w:rPr>
            <w:rStyle w:val="Hyperlink"/>
            <w:sz w:val="24"/>
            <w:lang w:val="bg-BG"/>
          </w:rPr>
          <w:t>http://data.europa.eu/eli/reg/2019/473/oj</w:t>
        </w:r>
      </w:hyperlink>
      <w:r w:rsidRPr="00B84F91">
        <w:rPr>
          <w:sz w:val="24"/>
          <w:lang w:val="bg-BG"/>
        </w:rPr>
        <w:t>.</w:t>
      </w:r>
    </w:p>
  </w:footnote>
  <w:footnote w:id="126">
    <w:p w14:paraId="7997A67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126" w:history="1">
        <w:r w:rsidRPr="00B84F91">
          <w:rPr>
            <w:rStyle w:val="Hyperlink"/>
            <w:sz w:val="24"/>
            <w:lang w:val="bg-BG"/>
          </w:rPr>
          <w:t>http://data.europa.eu/eli/reg_del/2019/715/oj</w:t>
        </w:r>
      </w:hyperlink>
      <w:r w:rsidRPr="00B84F91">
        <w:rPr>
          <w:sz w:val="24"/>
          <w:lang w:val="bg-BG"/>
        </w:rPr>
        <w:t>.</w:t>
      </w:r>
    </w:p>
  </w:footnote>
  <w:footnote w:id="127">
    <w:p w14:paraId="49DA56F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27" w:history="1">
        <w:r w:rsidRPr="00B84F91">
          <w:rPr>
            <w:rStyle w:val="Hyperlink"/>
            <w:sz w:val="24"/>
            <w:lang w:val="bg-BG"/>
          </w:rPr>
          <w:t>http://data.europa.eu/eli/C/2024/6332/oj</w:t>
        </w:r>
      </w:hyperlink>
      <w:r w:rsidRPr="00B84F91">
        <w:rPr>
          <w:sz w:val="24"/>
          <w:lang w:val="bg-BG"/>
        </w:rPr>
        <w:t>.</w:t>
      </w:r>
    </w:p>
  </w:footnote>
  <w:footnote w:id="128">
    <w:p w14:paraId="5847D21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128" w:history="1">
        <w:r w:rsidRPr="00B84F91">
          <w:rPr>
            <w:rStyle w:val="Hyperlink"/>
            <w:sz w:val="24"/>
            <w:lang w:val="bg-BG"/>
          </w:rPr>
          <w:t>http://data.europa.eu/eli/C/2024/6041/oj</w:t>
        </w:r>
      </w:hyperlink>
      <w:r w:rsidRPr="00B84F91">
        <w:rPr>
          <w:sz w:val="24"/>
          <w:lang w:val="bg-BG"/>
        </w:rPr>
        <w:t>.</w:t>
      </w:r>
    </w:p>
  </w:footnote>
  <w:footnote w:id="129">
    <w:p w14:paraId="5653C6A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129" w:history="1">
        <w:r w:rsidRPr="00B84F91">
          <w:rPr>
            <w:rStyle w:val="Hyperlink"/>
            <w:sz w:val="24"/>
            <w:lang w:val="bg-BG"/>
          </w:rPr>
          <w:t>http://data.europa.eu/eli/reg/2018/1046/oj</w:t>
        </w:r>
      </w:hyperlink>
      <w:r w:rsidRPr="00B84F91">
        <w:rPr>
          <w:sz w:val="24"/>
          <w:lang w:val="bg-BG"/>
        </w:rPr>
        <w:t>.</w:t>
      </w:r>
    </w:p>
  </w:footnote>
  <w:footnote w:id="130">
    <w:p w14:paraId="66F99A2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30" w:history="1">
        <w:r w:rsidRPr="00B84F91">
          <w:rPr>
            <w:rStyle w:val="Hyperlink"/>
            <w:sz w:val="24"/>
            <w:lang w:val="bg-BG"/>
          </w:rPr>
          <w:t>http://data.europa.eu/eli/reg/2024/2509/oj</w:t>
        </w:r>
      </w:hyperlink>
      <w:r w:rsidRPr="00B84F91">
        <w:rPr>
          <w:rStyle w:val="Hyperlink"/>
          <w:sz w:val="24"/>
          <w:lang w:val="bg-BG"/>
        </w:rPr>
        <w:t>.</w:t>
      </w:r>
    </w:p>
  </w:footnote>
  <w:footnote w:id="131">
    <w:p w14:paraId="109C036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83, 25.3.2019 г., стр. 18, ELI: </w:t>
      </w:r>
      <w:hyperlink r:id="rId131" w:history="1">
        <w:r w:rsidRPr="00B84F91">
          <w:rPr>
            <w:rStyle w:val="Hyperlink"/>
            <w:sz w:val="24"/>
            <w:lang w:val="bg-BG"/>
          </w:rPr>
          <w:t>http://data.europa.eu/eli/reg/2019/473/oj</w:t>
        </w:r>
      </w:hyperlink>
      <w:r w:rsidRPr="00B84F91">
        <w:rPr>
          <w:sz w:val="24"/>
          <w:lang w:val="bg-BG"/>
        </w:rPr>
        <w:t>.</w:t>
      </w:r>
    </w:p>
  </w:footnote>
  <w:footnote w:id="132">
    <w:p w14:paraId="4C3AEDC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132" w:history="1">
        <w:r w:rsidRPr="00B84F91">
          <w:rPr>
            <w:rStyle w:val="Hyperlink"/>
            <w:sz w:val="24"/>
            <w:lang w:val="bg-BG"/>
          </w:rPr>
          <w:t>http://data.europa.eu/eli/reg_del/2019/715/oj</w:t>
        </w:r>
      </w:hyperlink>
      <w:r w:rsidRPr="00B84F91">
        <w:rPr>
          <w:sz w:val="24"/>
          <w:lang w:val="bg-BG"/>
        </w:rPr>
        <w:t>.</w:t>
      </w:r>
    </w:p>
  </w:footnote>
  <w:footnote w:id="133">
    <w:p w14:paraId="0BC05B4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33" w:history="1">
        <w:r w:rsidRPr="00B84F91">
          <w:rPr>
            <w:rStyle w:val="Hyperlink"/>
            <w:sz w:val="24"/>
            <w:lang w:val="bg-BG"/>
          </w:rPr>
          <w:t>http://data.europa.eu/eli/C/2024/6332/oj</w:t>
        </w:r>
      </w:hyperlink>
      <w:r w:rsidRPr="00B84F91">
        <w:rPr>
          <w:sz w:val="24"/>
          <w:lang w:val="bg-BG"/>
        </w:rPr>
        <w:t>.</w:t>
      </w:r>
    </w:p>
  </w:footnote>
  <w:footnote w:id="134">
    <w:p w14:paraId="6D79D1C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134" w:history="1">
        <w:r w:rsidRPr="00B84F91">
          <w:rPr>
            <w:rStyle w:val="Hyperlink"/>
            <w:sz w:val="24"/>
            <w:lang w:val="bg-BG"/>
          </w:rPr>
          <w:t>http://data.europa.eu/eli/C/2024/6041/oj</w:t>
        </w:r>
      </w:hyperlink>
      <w:r w:rsidRPr="00B84F91">
        <w:rPr>
          <w:sz w:val="24"/>
          <w:lang w:val="bg-BG"/>
        </w:rPr>
        <w:t>.</w:t>
      </w:r>
    </w:p>
  </w:footnote>
  <w:footnote w:id="135">
    <w:p w14:paraId="7570F70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135" w:history="1">
        <w:r w:rsidRPr="00B84F91">
          <w:rPr>
            <w:rStyle w:val="Hyperlink"/>
            <w:sz w:val="24"/>
            <w:lang w:val="bg-BG"/>
          </w:rPr>
          <w:t>http://data.europa.eu/eli/reg/2018/1046/oj</w:t>
        </w:r>
      </w:hyperlink>
      <w:r w:rsidRPr="00B84F91">
        <w:rPr>
          <w:sz w:val="24"/>
          <w:lang w:val="bg-BG"/>
        </w:rPr>
        <w:t>.</w:t>
      </w:r>
    </w:p>
  </w:footnote>
  <w:footnote w:id="136">
    <w:p w14:paraId="09C2F6C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36" w:history="1">
        <w:r w:rsidRPr="00B84F91">
          <w:rPr>
            <w:rStyle w:val="Hyperlink"/>
            <w:sz w:val="24"/>
            <w:lang w:val="bg-BG"/>
          </w:rPr>
          <w:t>http://data.europa.eu/eli/reg/2024/2509/oj</w:t>
        </w:r>
      </w:hyperlink>
      <w:r w:rsidRPr="00B84F91">
        <w:rPr>
          <w:rStyle w:val="Hyperlink"/>
          <w:sz w:val="24"/>
          <w:lang w:val="bg-BG"/>
        </w:rPr>
        <w:t>.</w:t>
      </w:r>
    </w:p>
  </w:footnote>
  <w:footnote w:id="137">
    <w:p w14:paraId="1781312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31, 1.2.2002 г., стр. 1, ELI: </w:t>
      </w:r>
      <w:hyperlink r:id="rId137" w:history="1">
        <w:r w:rsidRPr="00B84F91">
          <w:rPr>
            <w:rStyle w:val="Hyperlink"/>
            <w:sz w:val="24"/>
            <w:lang w:val="bg-BG"/>
          </w:rPr>
          <w:t>http://data.europa.eu/eli/reg/2002/178/oj</w:t>
        </w:r>
      </w:hyperlink>
      <w:r w:rsidRPr="00B84F91">
        <w:rPr>
          <w:sz w:val="24"/>
          <w:lang w:val="bg-BG"/>
        </w:rPr>
        <w:t>.</w:t>
      </w:r>
    </w:p>
  </w:footnote>
  <w:footnote w:id="138">
    <w:p w14:paraId="5247028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138" w:history="1">
        <w:r w:rsidRPr="00B84F91">
          <w:rPr>
            <w:rStyle w:val="Hyperlink"/>
            <w:sz w:val="24"/>
            <w:lang w:val="bg-BG"/>
          </w:rPr>
          <w:t>http://data.europa.eu/eli/reg_del/2019/715/oj</w:t>
        </w:r>
      </w:hyperlink>
      <w:r w:rsidRPr="00B84F91">
        <w:rPr>
          <w:sz w:val="24"/>
          <w:lang w:val="bg-BG"/>
        </w:rPr>
        <w:t>.</w:t>
      </w:r>
    </w:p>
  </w:footnote>
  <w:footnote w:id="139">
    <w:p w14:paraId="0939B83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39" w:history="1">
        <w:r w:rsidRPr="00B84F91">
          <w:rPr>
            <w:rStyle w:val="Hyperlink"/>
            <w:sz w:val="24"/>
            <w:lang w:val="bg-BG"/>
          </w:rPr>
          <w:t>http://data.europa.eu/eli/C/2024/6332/oj</w:t>
        </w:r>
      </w:hyperlink>
      <w:r w:rsidRPr="00B84F91">
        <w:rPr>
          <w:sz w:val="24"/>
          <w:lang w:val="bg-BG"/>
        </w:rPr>
        <w:t>.</w:t>
      </w:r>
    </w:p>
  </w:footnote>
  <w:footnote w:id="140">
    <w:p w14:paraId="065CB30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140" w:history="1">
        <w:r w:rsidRPr="00B84F91">
          <w:rPr>
            <w:rStyle w:val="Hyperlink"/>
            <w:sz w:val="24"/>
            <w:lang w:val="bg-BG"/>
          </w:rPr>
          <w:t>http://data.europa.eu/eli/C/2024/6041/oj</w:t>
        </w:r>
      </w:hyperlink>
      <w:r w:rsidRPr="00B84F91">
        <w:rPr>
          <w:sz w:val="24"/>
          <w:lang w:val="bg-BG"/>
        </w:rPr>
        <w:t>.</w:t>
      </w:r>
    </w:p>
  </w:footnote>
  <w:footnote w:id="141">
    <w:p w14:paraId="2D4DE5D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141" w:history="1">
        <w:r w:rsidRPr="00B84F91">
          <w:rPr>
            <w:rStyle w:val="Hyperlink"/>
            <w:sz w:val="24"/>
            <w:lang w:val="bg-BG"/>
          </w:rPr>
          <w:t>http://data.europa.eu/eli/reg/2018/1046/oj</w:t>
        </w:r>
      </w:hyperlink>
      <w:r w:rsidRPr="00B84F91">
        <w:rPr>
          <w:sz w:val="24"/>
          <w:lang w:val="bg-BG"/>
        </w:rPr>
        <w:t>.</w:t>
      </w:r>
    </w:p>
  </w:footnote>
  <w:footnote w:id="142">
    <w:p w14:paraId="20776D6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42" w:history="1">
        <w:r w:rsidRPr="00B84F91">
          <w:rPr>
            <w:rStyle w:val="Hyperlink"/>
            <w:sz w:val="24"/>
            <w:lang w:val="bg-BG"/>
          </w:rPr>
          <w:t>http://data.europa.eu/eli/reg/2024/2509/oj</w:t>
        </w:r>
      </w:hyperlink>
      <w:r w:rsidRPr="00B84F91">
        <w:rPr>
          <w:rStyle w:val="Hyperlink"/>
          <w:sz w:val="24"/>
          <w:lang w:val="bg-BG"/>
        </w:rPr>
        <w:t>.</w:t>
      </w:r>
    </w:p>
  </w:footnote>
  <w:footnote w:id="143">
    <w:p w14:paraId="20ADE64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31, 1.2.2002 г., стр. 1, ELI: </w:t>
      </w:r>
      <w:hyperlink r:id="rId143" w:history="1">
        <w:r w:rsidRPr="00B84F91">
          <w:rPr>
            <w:rStyle w:val="Hyperlink"/>
            <w:sz w:val="24"/>
            <w:lang w:val="bg-BG"/>
          </w:rPr>
          <w:t>http://data.europa.eu/eli/reg/2002/178/oj</w:t>
        </w:r>
      </w:hyperlink>
      <w:r w:rsidRPr="00B84F91">
        <w:rPr>
          <w:sz w:val="24"/>
          <w:lang w:val="bg-BG"/>
        </w:rPr>
        <w:t>.</w:t>
      </w:r>
    </w:p>
  </w:footnote>
  <w:footnote w:id="144">
    <w:p w14:paraId="4A674EE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144" w:history="1">
        <w:r w:rsidRPr="00B84F91">
          <w:rPr>
            <w:rStyle w:val="Hyperlink"/>
            <w:sz w:val="24"/>
            <w:lang w:val="bg-BG"/>
          </w:rPr>
          <w:t>http://data.europa.eu/eli/reg_del/2019/715/oj</w:t>
        </w:r>
      </w:hyperlink>
      <w:r w:rsidRPr="00B84F91">
        <w:rPr>
          <w:sz w:val="24"/>
          <w:lang w:val="bg-BG"/>
        </w:rPr>
        <w:t>.</w:t>
      </w:r>
    </w:p>
  </w:footnote>
  <w:footnote w:id="145">
    <w:p w14:paraId="784A3D4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45" w:history="1">
        <w:r w:rsidRPr="00B84F91">
          <w:rPr>
            <w:rStyle w:val="Hyperlink"/>
            <w:sz w:val="24"/>
            <w:lang w:val="bg-BG"/>
          </w:rPr>
          <w:t>http://data.europa.eu/eli/C/2024/6332/oj</w:t>
        </w:r>
      </w:hyperlink>
      <w:r w:rsidRPr="00B84F91">
        <w:rPr>
          <w:sz w:val="24"/>
          <w:lang w:val="bg-BG"/>
        </w:rPr>
        <w:t>.</w:t>
      </w:r>
    </w:p>
  </w:footnote>
  <w:footnote w:id="146">
    <w:p w14:paraId="531E567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146" w:history="1">
        <w:r w:rsidRPr="00B84F91">
          <w:rPr>
            <w:rStyle w:val="Hyperlink"/>
            <w:sz w:val="24"/>
            <w:lang w:val="bg-BG"/>
          </w:rPr>
          <w:t>http://data.europa.eu/eli/C/2024/6041/oj</w:t>
        </w:r>
      </w:hyperlink>
      <w:r w:rsidRPr="00B84F91">
        <w:rPr>
          <w:sz w:val="24"/>
          <w:lang w:val="bg-BG"/>
        </w:rPr>
        <w:t>.</w:t>
      </w:r>
    </w:p>
  </w:footnote>
  <w:footnote w:id="147">
    <w:p w14:paraId="4DE8D72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147" w:history="1">
        <w:r w:rsidRPr="00B84F91">
          <w:rPr>
            <w:rStyle w:val="Hyperlink"/>
            <w:sz w:val="24"/>
            <w:lang w:val="bg-BG"/>
          </w:rPr>
          <w:t>http://data.europa.eu/eli/reg/2018/1046/oj</w:t>
        </w:r>
      </w:hyperlink>
      <w:r w:rsidRPr="00B84F91">
        <w:rPr>
          <w:sz w:val="24"/>
          <w:lang w:val="bg-BG"/>
        </w:rPr>
        <w:t>.</w:t>
      </w:r>
    </w:p>
  </w:footnote>
  <w:footnote w:id="148">
    <w:p w14:paraId="7892893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48" w:history="1">
        <w:r w:rsidRPr="00B84F91">
          <w:rPr>
            <w:rStyle w:val="Hyperlink"/>
            <w:sz w:val="24"/>
            <w:lang w:val="bg-BG"/>
          </w:rPr>
          <w:t>http://data.europa.eu/eli/reg/2024/2509/oj</w:t>
        </w:r>
      </w:hyperlink>
      <w:r w:rsidRPr="00B84F91">
        <w:rPr>
          <w:rStyle w:val="Hyperlink"/>
          <w:sz w:val="24"/>
          <w:lang w:val="bg-BG"/>
        </w:rPr>
        <w:t>.</w:t>
      </w:r>
    </w:p>
  </w:footnote>
  <w:footnote w:id="149">
    <w:p w14:paraId="28A62C7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403, 30.12.2006 г., стр. 9, ELI: </w:t>
      </w:r>
      <w:hyperlink r:id="rId149" w:history="1">
        <w:r w:rsidRPr="00B84F91">
          <w:rPr>
            <w:rStyle w:val="Hyperlink"/>
            <w:sz w:val="24"/>
            <w:lang w:val="bg-BG"/>
          </w:rPr>
          <w:t>http://data.europa.eu/eli/reg/2006/1922/oj</w:t>
        </w:r>
      </w:hyperlink>
      <w:r w:rsidRPr="00B84F91">
        <w:rPr>
          <w:sz w:val="24"/>
          <w:lang w:val="bg-BG"/>
        </w:rPr>
        <w:t>.</w:t>
      </w:r>
    </w:p>
  </w:footnote>
  <w:footnote w:id="150">
    <w:p w14:paraId="0A03A67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150" w:history="1">
        <w:r w:rsidRPr="00B84F91">
          <w:rPr>
            <w:rStyle w:val="Hyperlink"/>
            <w:sz w:val="24"/>
            <w:lang w:val="bg-BG"/>
          </w:rPr>
          <w:t>http://data.europa.eu/eli/reg_del/2019/715/oj</w:t>
        </w:r>
      </w:hyperlink>
      <w:r w:rsidRPr="00B84F91">
        <w:rPr>
          <w:sz w:val="24"/>
          <w:lang w:val="bg-BG"/>
        </w:rPr>
        <w:t>.</w:t>
      </w:r>
    </w:p>
  </w:footnote>
  <w:footnote w:id="151">
    <w:p w14:paraId="4916250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51" w:history="1">
        <w:r w:rsidRPr="00B84F91">
          <w:rPr>
            <w:rStyle w:val="Hyperlink"/>
            <w:sz w:val="24"/>
            <w:lang w:val="bg-BG"/>
          </w:rPr>
          <w:t>http://data.europa.eu/eli/C/2024/6332/oj</w:t>
        </w:r>
      </w:hyperlink>
      <w:r w:rsidRPr="00B84F91">
        <w:rPr>
          <w:sz w:val="24"/>
          <w:lang w:val="bg-BG"/>
        </w:rPr>
        <w:t>.</w:t>
      </w:r>
    </w:p>
  </w:footnote>
  <w:footnote w:id="152">
    <w:p w14:paraId="71968847"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152" w:history="1">
        <w:r w:rsidRPr="00B84F91">
          <w:rPr>
            <w:rStyle w:val="Hyperlink"/>
            <w:sz w:val="24"/>
            <w:lang w:val="bg-BG"/>
          </w:rPr>
          <w:t>http://data.europa.eu/eli/C/2024/6041/oj</w:t>
        </w:r>
      </w:hyperlink>
      <w:r w:rsidRPr="00B84F91">
        <w:rPr>
          <w:sz w:val="24"/>
          <w:lang w:val="bg-BG"/>
        </w:rPr>
        <w:t>.</w:t>
      </w:r>
    </w:p>
  </w:footnote>
  <w:footnote w:id="153">
    <w:p w14:paraId="36F701B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153" w:history="1">
        <w:r w:rsidRPr="00B84F91">
          <w:rPr>
            <w:rStyle w:val="Hyperlink"/>
            <w:sz w:val="24"/>
            <w:lang w:val="bg-BG"/>
          </w:rPr>
          <w:t>http://data.europa.eu/eli/reg/2018/1046/oj</w:t>
        </w:r>
      </w:hyperlink>
      <w:r w:rsidRPr="00B84F91">
        <w:rPr>
          <w:sz w:val="24"/>
          <w:lang w:val="bg-BG"/>
        </w:rPr>
        <w:t>.</w:t>
      </w:r>
    </w:p>
  </w:footnote>
  <w:footnote w:id="154">
    <w:p w14:paraId="3D0A392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54" w:history="1">
        <w:r w:rsidRPr="00B84F91">
          <w:rPr>
            <w:rStyle w:val="Hyperlink"/>
            <w:sz w:val="24"/>
            <w:lang w:val="bg-BG"/>
          </w:rPr>
          <w:t>http://data.europa.eu/eli/reg/2024/2509/oj</w:t>
        </w:r>
      </w:hyperlink>
      <w:r w:rsidRPr="00B84F91">
        <w:rPr>
          <w:rStyle w:val="Hyperlink"/>
          <w:sz w:val="24"/>
          <w:lang w:val="bg-BG"/>
        </w:rPr>
        <w:t>.</w:t>
      </w:r>
    </w:p>
  </w:footnote>
  <w:footnote w:id="155">
    <w:p w14:paraId="4C404FC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403, 30.12.2006 г., стр. 9, ELI: </w:t>
      </w:r>
      <w:hyperlink r:id="rId155" w:history="1">
        <w:r w:rsidRPr="00B84F91">
          <w:rPr>
            <w:rStyle w:val="Hyperlink"/>
            <w:sz w:val="24"/>
            <w:lang w:val="bg-BG"/>
          </w:rPr>
          <w:t>http://data.europa.eu/eli/reg/2006/1922/oj</w:t>
        </w:r>
      </w:hyperlink>
      <w:r w:rsidRPr="00B84F91">
        <w:rPr>
          <w:sz w:val="24"/>
          <w:lang w:val="bg-BG"/>
        </w:rPr>
        <w:t>.</w:t>
      </w:r>
    </w:p>
  </w:footnote>
  <w:footnote w:id="156">
    <w:p w14:paraId="5A42979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156" w:history="1">
        <w:r w:rsidRPr="00B84F91">
          <w:rPr>
            <w:rStyle w:val="Hyperlink"/>
            <w:sz w:val="24"/>
            <w:lang w:val="bg-BG"/>
          </w:rPr>
          <w:t>http://data.europa.eu/eli/reg_del/2019/715/oj</w:t>
        </w:r>
      </w:hyperlink>
      <w:r w:rsidRPr="00B84F91">
        <w:rPr>
          <w:sz w:val="24"/>
          <w:lang w:val="bg-BG"/>
        </w:rPr>
        <w:t>.</w:t>
      </w:r>
    </w:p>
  </w:footnote>
  <w:footnote w:id="157">
    <w:p w14:paraId="47BE11B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57" w:history="1">
        <w:r w:rsidRPr="00B84F91">
          <w:rPr>
            <w:rStyle w:val="Hyperlink"/>
            <w:sz w:val="24"/>
            <w:lang w:val="bg-BG"/>
          </w:rPr>
          <w:t>http://data.europa.eu/eli/C/2024/6332/oj</w:t>
        </w:r>
      </w:hyperlink>
      <w:r w:rsidRPr="00B84F91">
        <w:rPr>
          <w:sz w:val="24"/>
          <w:lang w:val="bg-BG"/>
        </w:rPr>
        <w:t>.</w:t>
      </w:r>
    </w:p>
  </w:footnote>
  <w:footnote w:id="158">
    <w:p w14:paraId="61BB34A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158" w:history="1">
        <w:r w:rsidRPr="00B84F91">
          <w:rPr>
            <w:rStyle w:val="Hyperlink"/>
            <w:sz w:val="24"/>
            <w:lang w:val="bg-BG"/>
          </w:rPr>
          <w:t>http://data.europa.eu/eli/C/2024/6041/oj</w:t>
        </w:r>
      </w:hyperlink>
      <w:r w:rsidRPr="00B84F91">
        <w:rPr>
          <w:sz w:val="24"/>
          <w:lang w:val="bg-BG"/>
        </w:rPr>
        <w:t>.</w:t>
      </w:r>
    </w:p>
  </w:footnote>
  <w:footnote w:id="159">
    <w:p w14:paraId="65DF14C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159" w:history="1">
        <w:r w:rsidRPr="00B84F91">
          <w:rPr>
            <w:rStyle w:val="Hyperlink"/>
            <w:sz w:val="24"/>
            <w:lang w:val="bg-BG"/>
          </w:rPr>
          <w:t>http://data.europa.eu/eli/reg/2018/1046/oj</w:t>
        </w:r>
      </w:hyperlink>
      <w:r w:rsidRPr="00B84F91">
        <w:rPr>
          <w:sz w:val="24"/>
          <w:lang w:val="bg-BG"/>
        </w:rPr>
        <w:t>.</w:t>
      </w:r>
    </w:p>
  </w:footnote>
  <w:footnote w:id="160">
    <w:p w14:paraId="3A2DD02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60" w:history="1">
        <w:r w:rsidRPr="00B84F91">
          <w:rPr>
            <w:rStyle w:val="Hyperlink"/>
            <w:sz w:val="24"/>
            <w:lang w:val="bg-BG"/>
          </w:rPr>
          <w:t>http://data.europa.eu/eli/reg/2024/2509/oj</w:t>
        </w:r>
      </w:hyperlink>
      <w:r w:rsidRPr="00B84F91">
        <w:rPr>
          <w:rStyle w:val="Hyperlink"/>
          <w:sz w:val="24"/>
          <w:lang w:val="bg-BG"/>
        </w:rPr>
        <w:t>.</w:t>
      </w:r>
    </w:p>
  </w:footnote>
  <w:footnote w:id="161">
    <w:p w14:paraId="0A97D75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331, 15.12.2010 г., стр. 48, ELI: </w:t>
      </w:r>
      <w:hyperlink r:id="rId161" w:history="1">
        <w:r w:rsidRPr="00B84F91">
          <w:rPr>
            <w:rStyle w:val="Hyperlink"/>
            <w:sz w:val="24"/>
            <w:lang w:val="bg-BG"/>
          </w:rPr>
          <w:t>http://data.europa.eu/eli/reg/2010/1094/oj</w:t>
        </w:r>
      </w:hyperlink>
      <w:r w:rsidRPr="00B84F91">
        <w:rPr>
          <w:sz w:val="24"/>
          <w:lang w:val="bg-BG"/>
        </w:rPr>
        <w:t>.</w:t>
      </w:r>
    </w:p>
  </w:footnote>
  <w:footnote w:id="162">
    <w:p w14:paraId="7E2CF6A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162" w:history="1">
        <w:r w:rsidRPr="00B84F91">
          <w:rPr>
            <w:rStyle w:val="Hyperlink"/>
            <w:sz w:val="24"/>
            <w:lang w:val="bg-BG"/>
          </w:rPr>
          <w:t>http://data.europa.eu/eli/reg_del/2019/715/oj</w:t>
        </w:r>
      </w:hyperlink>
      <w:r w:rsidRPr="00B84F91">
        <w:rPr>
          <w:sz w:val="24"/>
          <w:lang w:val="bg-BG"/>
        </w:rPr>
        <w:t>.</w:t>
      </w:r>
    </w:p>
  </w:footnote>
  <w:footnote w:id="163">
    <w:p w14:paraId="1DFF3A8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63" w:history="1">
        <w:r w:rsidRPr="00B84F91">
          <w:rPr>
            <w:rStyle w:val="Hyperlink"/>
            <w:sz w:val="24"/>
            <w:lang w:val="bg-BG"/>
          </w:rPr>
          <w:t>http://data.europa.eu/eli/C/2024/6332/oj</w:t>
        </w:r>
      </w:hyperlink>
      <w:r w:rsidRPr="00B84F91">
        <w:rPr>
          <w:sz w:val="24"/>
          <w:lang w:val="bg-BG"/>
        </w:rPr>
        <w:t>.</w:t>
      </w:r>
    </w:p>
  </w:footnote>
  <w:footnote w:id="164">
    <w:p w14:paraId="637579E7"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164" w:history="1">
        <w:r w:rsidRPr="00B84F91">
          <w:rPr>
            <w:rStyle w:val="Hyperlink"/>
            <w:sz w:val="24"/>
            <w:lang w:val="bg-BG"/>
          </w:rPr>
          <w:t>http://data.europa.eu/eli/C/2024/6041/oj</w:t>
        </w:r>
      </w:hyperlink>
      <w:r w:rsidRPr="00B84F91">
        <w:rPr>
          <w:sz w:val="24"/>
          <w:lang w:val="bg-BG"/>
        </w:rPr>
        <w:t>.</w:t>
      </w:r>
    </w:p>
  </w:footnote>
  <w:footnote w:id="165">
    <w:p w14:paraId="2CD26E7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165" w:history="1">
        <w:r w:rsidRPr="00B84F91">
          <w:rPr>
            <w:rStyle w:val="Hyperlink"/>
            <w:sz w:val="24"/>
            <w:lang w:val="bg-BG"/>
          </w:rPr>
          <w:t>http://data.europa.eu/eli/reg/2018/1046/oj</w:t>
        </w:r>
      </w:hyperlink>
      <w:r w:rsidRPr="00B84F91">
        <w:rPr>
          <w:sz w:val="24"/>
          <w:lang w:val="bg-BG"/>
        </w:rPr>
        <w:t>.</w:t>
      </w:r>
    </w:p>
  </w:footnote>
  <w:footnote w:id="166">
    <w:p w14:paraId="1FE53D2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66" w:history="1">
        <w:r w:rsidRPr="00B84F91">
          <w:rPr>
            <w:rStyle w:val="Hyperlink"/>
            <w:sz w:val="24"/>
            <w:lang w:val="bg-BG"/>
          </w:rPr>
          <w:t>http://data.europa.eu/eli/reg/2024/2509/oj</w:t>
        </w:r>
      </w:hyperlink>
      <w:r w:rsidRPr="00B84F91">
        <w:rPr>
          <w:rStyle w:val="Hyperlink"/>
          <w:sz w:val="24"/>
          <w:lang w:val="bg-BG"/>
        </w:rPr>
        <w:t>.</w:t>
      </w:r>
    </w:p>
  </w:footnote>
  <w:footnote w:id="167">
    <w:p w14:paraId="3868AEA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331, 15.12.2010 г., стр. 48, ELI: </w:t>
      </w:r>
      <w:hyperlink r:id="rId167" w:history="1">
        <w:r w:rsidRPr="00B84F91">
          <w:rPr>
            <w:rStyle w:val="Hyperlink"/>
            <w:sz w:val="24"/>
            <w:lang w:val="bg-BG"/>
          </w:rPr>
          <w:t>http://data.europa.eu/eli/reg/2010/1094/oj</w:t>
        </w:r>
      </w:hyperlink>
      <w:r w:rsidRPr="00B84F91">
        <w:rPr>
          <w:sz w:val="24"/>
          <w:lang w:val="bg-BG"/>
        </w:rPr>
        <w:t>.</w:t>
      </w:r>
    </w:p>
  </w:footnote>
  <w:footnote w:id="168">
    <w:p w14:paraId="2302200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168" w:history="1">
        <w:r w:rsidRPr="00B84F91">
          <w:rPr>
            <w:rStyle w:val="Hyperlink"/>
            <w:sz w:val="24"/>
            <w:lang w:val="bg-BG"/>
          </w:rPr>
          <w:t>http://data.europa.eu/eli/reg_del/2019/715/oj</w:t>
        </w:r>
      </w:hyperlink>
      <w:r w:rsidRPr="00B84F91">
        <w:rPr>
          <w:sz w:val="24"/>
          <w:lang w:val="bg-BG"/>
        </w:rPr>
        <w:t>.</w:t>
      </w:r>
    </w:p>
  </w:footnote>
  <w:footnote w:id="169">
    <w:p w14:paraId="2394809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69" w:history="1">
        <w:r w:rsidRPr="00B84F91">
          <w:rPr>
            <w:rStyle w:val="Hyperlink"/>
            <w:sz w:val="24"/>
            <w:lang w:val="bg-BG"/>
          </w:rPr>
          <w:t>http://data.europa.eu/eli/C/2024/6332/oj</w:t>
        </w:r>
      </w:hyperlink>
      <w:r w:rsidRPr="00B84F91">
        <w:rPr>
          <w:sz w:val="24"/>
          <w:lang w:val="bg-BG"/>
        </w:rPr>
        <w:t>.</w:t>
      </w:r>
    </w:p>
  </w:footnote>
  <w:footnote w:id="170">
    <w:p w14:paraId="13151F7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170" w:history="1">
        <w:r w:rsidRPr="00B84F91">
          <w:rPr>
            <w:rStyle w:val="Hyperlink"/>
            <w:sz w:val="24"/>
            <w:lang w:val="bg-BG"/>
          </w:rPr>
          <w:t>http://data.europa.eu/eli/C/2024/6041/oj</w:t>
        </w:r>
      </w:hyperlink>
      <w:r w:rsidRPr="00B84F91">
        <w:rPr>
          <w:sz w:val="24"/>
          <w:lang w:val="bg-BG"/>
        </w:rPr>
        <w:t>.</w:t>
      </w:r>
    </w:p>
  </w:footnote>
  <w:footnote w:id="171">
    <w:p w14:paraId="2C648AB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171" w:history="1">
        <w:r w:rsidRPr="00B84F91">
          <w:rPr>
            <w:rStyle w:val="Hyperlink"/>
            <w:sz w:val="24"/>
            <w:lang w:val="bg-BG"/>
          </w:rPr>
          <w:t>http://data.europa.eu/eli/reg/2018/1046/oj</w:t>
        </w:r>
      </w:hyperlink>
      <w:r w:rsidRPr="00B84F91">
        <w:rPr>
          <w:sz w:val="24"/>
          <w:lang w:val="bg-BG"/>
        </w:rPr>
        <w:t>.</w:t>
      </w:r>
    </w:p>
  </w:footnote>
  <w:footnote w:id="172">
    <w:p w14:paraId="282B808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72" w:history="1">
        <w:r w:rsidRPr="00B84F91">
          <w:rPr>
            <w:rStyle w:val="Hyperlink"/>
            <w:sz w:val="24"/>
            <w:lang w:val="bg-BG"/>
          </w:rPr>
          <w:t>http://data.europa.eu/eli/reg/2024/2509/oj</w:t>
        </w:r>
      </w:hyperlink>
      <w:r w:rsidRPr="00B84F91">
        <w:rPr>
          <w:rStyle w:val="Hyperlink"/>
          <w:sz w:val="24"/>
          <w:lang w:val="bg-BG"/>
        </w:rPr>
        <w:t>.</w:t>
      </w:r>
    </w:p>
  </w:footnote>
  <w:footnote w:id="173">
    <w:p w14:paraId="27EF7FC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189, 28.5.2021 г., стр. 61, ELI: </w:t>
      </w:r>
      <w:hyperlink r:id="rId173" w:history="1">
        <w:r w:rsidRPr="00B84F91">
          <w:rPr>
            <w:rStyle w:val="Hyperlink"/>
            <w:sz w:val="24"/>
            <w:lang w:val="bg-BG"/>
          </w:rPr>
          <w:t>http://data.europa.eu/eli/reg/2021/819/oj</w:t>
        </w:r>
      </w:hyperlink>
      <w:r w:rsidRPr="00B84F91">
        <w:rPr>
          <w:sz w:val="24"/>
          <w:lang w:val="bg-BG"/>
        </w:rPr>
        <w:t>.</w:t>
      </w:r>
    </w:p>
  </w:footnote>
  <w:footnote w:id="174">
    <w:p w14:paraId="2A05FE57"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174" w:history="1">
        <w:r w:rsidRPr="00B84F91">
          <w:rPr>
            <w:rStyle w:val="Hyperlink"/>
            <w:sz w:val="24"/>
            <w:lang w:val="bg-BG"/>
          </w:rPr>
          <w:t>http://data.europa.eu/eli/reg_del/2019/715/oj</w:t>
        </w:r>
      </w:hyperlink>
      <w:r w:rsidRPr="00B84F91">
        <w:rPr>
          <w:sz w:val="24"/>
          <w:lang w:val="bg-BG"/>
        </w:rPr>
        <w:t>.</w:t>
      </w:r>
    </w:p>
  </w:footnote>
  <w:footnote w:id="175">
    <w:p w14:paraId="42FB0B8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75" w:history="1">
        <w:r w:rsidRPr="00B84F91">
          <w:rPr>
            <w:rStyle w:val="Hyperlink"/>
            <w:sz w:val="24"/>
            <w:lang w:val="bg-BG"/>
          </w:rPr>
          <w:t>http://data.europa.eu/eli/C/2024/6332/oj</w:t>
        </w:r>
      </w:hyperlink>
      <w:r w:rsidRPr="00B84F91">
        <w:rPr>
          <w:sz w:val="24"/>
          <w:lang w:val="bg-BG"/>
        </w:rPr>
        <w:t>.</w:t>
      </w:r>
    </w:p>
  </w:footnote>
  <w:footnote w:id="176">
    <w:p w14:paraId="33F6DFB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176" w:history="1">
        <w:r w:rsidRPr="00B84F91">
          <w:rPr>
            <w:rStyle w:val="Hyperlink"/>
            <w:sz w:val="24"/>
            <w:lang w:val="bg-BG"/>
          </w:rPr>
          <w:t>http://data.europa.eu/eli/C/2024/6041/oj</w:t>
        </w:r>
      </w:hyperlink>
      <w:r w:rsidRPr="00B84F91">
        <w:rPr>
          <w:sz w:val="24"/>
          <w:lang w:val="bg-BG"/>
        </w:rPr>
        <w:t>.</w:t>
      </w:r>
    </w:p>
  </w:footnote>
  <w:footnote w:id="177">
    <w:p w14:paraId="20F0370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177" w:history="1">
        <w:r w:rsidRPr="00B84F91">
          <w:rPr>
            <w:rStyle w:val="Hyperlink"/>
            <w:sz w:val="24"/>
            <w:lang w:val="bg-BG"/>
          </w:rPr>
          <w:t>http://data.europa.eu/eli/reg/2018/1046/oj</w:t>
        </w:r>
      </w:hyperlink>
      <w:r w:rsidRPr="00B84F91">
        <w:rPr>
          <w:sz w:val="24"/>
          <w:lang w:val="bg-BG"/>
        </w:rPr>
        <w:t>.</w:t>
      </w:r>
    </w:p>
  </w:footnote>
  <w:footnote w:id="178">
    <w:p w14:paraId="3A7B19E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78" w:history="1">
        <w:r w:rsidRPr="00B84F91">
          <w:rPr>
            <w:rStyle w:val="Hyperlink"/>
            <w:sz w:val="24"/>
            <w:lang w:val="bg-BG"/>
          </w:rPr>
          <w:t>http://data.europa.eu/eli/reg/2024/2509/oj</w:t>
        </w:r>
      </w:hyperlink>
      <w:r w:rsidRPr="00B84F91">
        <w:rPr>
          <w:rStyle w:val="Hyperlink"/>
          <w:sz w:val="24"/>
          <w:lang w:val="bg-BG"/>
        </w:rPr>
        <w:t>.</w:t>
      </w:r>
    </w:p>
  </w:footnote>
  <w:footnote w:id="179">
    <w:p w14:paraId="1F9E568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189, 28.5.2021 г., стр. 61, ELI: </w:t>
      </w:r>
      <w:hyperlink r:id="rId179" w:history="1">
        <w:r w:rsidRPr="00B84F91">
          <w:rPr>
            <w:rStyle w:val="Hyperlink"/>
            <w:sz w:val="24"/>
            <w:lang w:val="bg-BG"/>
          </w:rPr>
          <w:t>http://data.europa.eu/eli/reg/2021/819/oj</w:t>
        </w:r>
      </w:hyperlink>
      <w:r w:rsidRPr="00B84F91">
        <w:rPr>
          <w:sz w:val="24"/>
          <w:lang w:val="bg-BG"/>
        </w:rPr>
        <w:t>.</w:t>
      </w:r>
    </w:p>
  </w:footnote>
  <w:footnote w:id="180">
    <w:p w14:paraId="186AC3E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180" w:history="1">
        <w:r w:rsidRPr="00B84F91">
          <w:rPr>
            <w:rStyle w:val="Hyperlink"/>
            <w:sz w:val="24"/>
            <w:lang w:val="bg-BG"/>
          </w:rPr>
          <w:t>http://data.europa.eu/eli/reg_del/2019/715/oj</w:t>
        </w:r>
      </w:hyperlink>
      <w:r w:rsidRPr="00B84F91">
        <w:rPr>
          <w:sz w:val="24"/>
          <w:lang w:val="bg-BG"/>
        </w:rPr>
        <w:t>.</w:t>
      </w:r>
    </w:p>
  </w:footnote>
  <w:footnote w:id="181">
    <w:p w14:paraId="52E936C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81" w:history="1">
        <w:r w:rsidRPr="00B84F91">
          <w:rPr>
            <w:rStyle w:val="Hyperlink"/>
            <w:sz w:val="24"/>
            <w:lang w:val="bg-BG"/>
          </w:rPr>
          <w:t>http://data.europa.eu/eli/C/2024/6332/oj</w:t>
        </w:r>
      </w:hyperlink>
      <w:r w:rsidRPr="00B84F91">
        <w:rPr>
          <w:sz w:val="24"/>
          <w:lang w:val="bg-BG"/>
        </w:rPr>
        <w:t>.</w:t>
      </w:r>
    </w:p>
  </w:footnote>
  <w:footnote w:id="182">
    <w:p w14:paraId="57E63D7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182" w:history="1">
        <w:r w:rsidRPr="00B84F91">
          <w:rPr>
            <w:rStyle w:val="Hyperlink"/>
            <w:sz w:val="24"/>
            <w:lang w:val="bg-BG"/>
          </w:rPr>
          <w:t>http://data.europa.eu/eli/C/2024/6041/oj</w:t>
        </w:r>
      </w:hyperlink>
      <w:r w:rsidRPr="00B84F91">
        <w:rPr>
          <w:sz w:val="24"/>
          <w:lang w:val="bg-BG"/>
        </w:rPr>
        <w:t>.</w:t>
      </w:r>
    </w:p>
  </w:footnote>
  <w:footnote w:id="183">
    <w:p w14:paraId="36CFDBC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183" w:history="1">
        <w:r w:rsidRPr="00B84F91">
          <w:rPr>
            <w:rStyle w:val="Hyperlink"/>
            <w:sz w:val="24"/>
            <w:lang w:val="bg-BG"/>
          </w:rPr>
          <w:t>http://data.europa.eu/eli/reg/2018/1046/oj</w:t>
        </w:r>
      </w:hyperlink>
      <w:r w:rsidRPr="00B84F91">
        <w:rPr>
          <w:sz w:val="24"/>
          <w:lang w:val="bg-BG"/>
        </w:rPr>
        <w:t>.</w:t>
      </w:r>
    </w:p>
  </w:footnote>
  <w:footnote w:id="184">
    <w:p w14:paraId="5F2F8FA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84" w:history="1">
        <w:r w:rsidRPr="00B84F91">
          <w:rPr>
            <w:rStyle w:val="Hyperlink"/>
            <w:sz w:val="24"/>
            <w:lang w:val="bg-BG"/>
          </w:rPr>
          <w:t>http://data.europa.eu/eli/reg/2024/2509/oj</w:t>
        </w:r>
      </w:hyperlink>
      <w:r w:rsidRPr="00B84F91">
        <w:rPr>
          <w:rStyle w:val="Hyperlink"/>
          <w:sz w:val="24"/>
          <w:lang w:val="bg-BG"/>
        </w:rPr>
        <w:t>.</w:t>
      </w:r>
    </w:p>
  </w:footnote>
  <w:footnote w:id="185">
    <w:p w14:paraId="3EA6C72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186, 11.7.2019 г., стр. 21, ELI: </w:t>
      </w:r>
      <w:hyperlink r:id="rId185" w:history="1">
        <w:r w:rsidRPr="00B84F91">
          <w:rPr>
            <w:rStyle w:val="Hyperlink"/>
            <w:sz w:val="24"/>
            <w:lang w:val="bg-BG"/>
          </w:rPr>
          <w:t>http://data.europa.eu/eli/reg/2019/1149/oj</w:t>
        </w:r>
      </w:hyperlink>
      <w:r w:rsidRPr="00B84F91">
        <w:rPr>
          <w:sz w:val="24"/>
          <w:lang w:val="bg-BG"/>
        </w:rPr>
        <w:t>.</w:t>
      </w:r>
    </w:p>
  </w:footnote>
  <w:footnote w:id="186">
    <w:p w14:paraId="1F32A93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186" w:history="1">
        <w:r w:rsidRPr="00B84F91">
          <w:rPr>
            <w:rStyle w:val="Hyperlink"/>
            <w:sz w:val="24"/>
            <w:lang w:val="bg-BG"/>
          </w:rPr>
          <w:t>http://data.europa.eu/eli/reg_del/2019/715/oj</w:t>
        </w:r>
      </w:hyperlink>
      <w:r w:rsidRPr="00B84F91">
        <w:rPr>
          <w:sz w:val="24"/>
          <w:lang w:val="bg-BG"/>
        </w:rPr>
        <w:t>.</w:t>
      </w:r>
    </w:p>
  </w:footnote>
  <w:footnote w:id="187">
    <w:p w14:paraId="759357F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87" w:history="1">
        <w:r w:rsidRPr="00B84F91">
          <w:rPr>
            <w:rStyle w:val="Hyperlink"/>
            <w:sz w:val="24"/>
            <w:lang w:val="bg-BG"/>
          </w:rPr>
          <w:t>http://data.europa.eu/eli/C/2024/6332/oj</w:t>
        </w:r>
      </w:hyperlink>
      <w:r w:rsidRPr="00B84F91">
        <w:rPr>
          <w:sz w:val="24"/>
          <w:lang w:val="bg-BG"/>
        </w:rPr>
        <w:t>.</w:t>
      </w:r>
    </w:p>
  </w:footnote>
  <w:footnote w:id="188">
    <w:p w14:paraId="30A33BA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188" w:history="1">
        <w:r w:rsidRPr="00B84F91">
          <w:rPr>
            <w:rStyle w:val="Hyperlink"/>
            <w:sz w:val="24"/>
            <w:lang w:val="bg-BG"/>
          </w:rPr>
          <w:t>http://data.europa.eu/eli/C/2024/6041/oj</w:t>
        </w:r>
      </w:hyperlink>
      <w:r w:rsidRPr="00B84F91">
        <w:rPr>
          <w:sz w:val="24"/>
          <w:lang w:val="bg-BG"/>
        </w:rPr>
        <w:t>.</w:t>
      </w:r>
    </w:p>
  </w:footnote>
  <w:footnote w:id="189">
    <w:p w14:paraId="01357A07"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189" w:history="1">
        <w:r w:rsidRPr="00B84F91">
          <w:rPr>
            <w:rStyle w:val="Hyperlink"/>
            <w:sz w:val="24"/>
            <w:lang w:val="bg-BG"/>
          </w:rPr>
          <w:t>http://data.europa.eu/eli/reg/2018/1046/oj</w:t>
        </w:r>
      </w:hyperlink>
      <w:r w:rsidRPr="00B84F91">
        <w:rPr>
          <w:sz w:val="24"/>
          <w:lang w:val="bg-BG"/>
        </w:rPr>
        <w:t>.</w:t>
      </w:r>
    </w:p>
  </w:footnote>
  <w:footnote w:id="190">
    <w:p w14:paraId="7B96FCA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90" w:history="1">
        <w:r w:rsidRPr="00B84F91">
          <w:rPr>
            <w:rStyle w:val="Hyperlink"/>
            <w:sz w:val="24"/>
            <w:lang w:val="bg-BG"/>
          </w:rPr>
          <w:t>http://data.europa.eu/eli/reg/2024/2509/oj</w:t>
        </w:r>
      </w:hyperlink>
      <w:r w:rsidRPr="00B84F91">
        <w:rPr>
          <w:rStyle w:val="Hyperlink"/>
          <w:sz w:val="24"/>
          <w:lang w:val="bg-BG"/>
        </w:rPr>
        <w:t>.</w:t>
      </w:r>
    </w:p>
  </w:footnote>
  <w:footnote w:id="191">
    <w:p w14:paraId="6A67E05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186, 11.7.2019 г., стр. 21, ELI: </w:t>
      </w:r>
      <w:hyperlink r:id="rId191" w:history="1">
        <w:r w:rsidRPr="00B84F91">
          <w:rPr>
            <w:rStyle w:val="Hyperlink"/>
            <w:sz w:val="24"/>
            <w:lang w:val="bg-BG"/>
          </w:rPr>
          <w:t>http://data.europa.eu/eli/reg/2019/1149/oj</w:t>
        </w:r>
      </w:hyperlink>
      <w:r w:rsidRPr="00B84F91">
        <w:rPr>
          <w:sz w:val="24"/>
          <w:lang w:val="bg-BG"/>
        </w:rPr>
        <w:t>.</w:t>
      </w:r>
    </w:p>
  </w:footnote>
  <w:footnote w:id="192">
    <w:p w14:paraId="2E168C9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192" w:history="1">
        <w:r w:rsidRPr="00B84F91">
          <w:rPr>
            <w:rStyle w:val="Hyperlink"/>
            <w:sz w:val="24"/>
            <w:lang w:val="bg-BG"/>
          </w:rPr>
          <w:t>http://data.europa.eu/eli/reg_del/2019/715/oj</w:t>
        </w:r>
      </w:hyperlink>
      <w:r w:rsidRPr="00B84F91">
        <w:rPr>
          <w:sz w:val="24"/>
          <w:lang w:val="bg-BG"/>
        </w:rPr>
        <w:t>.</w:t>
      </w:r>
    </w:p>
  </w:footnote>
  <w:footnote w:id="193">
    <w:p w14:paraId="321BBFD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93" w:history="1">
        <w:r w:rsidRPr="00B84F91">
          <w:rPr>
            <w:rStyle w:val="Hyperlink"/>
            <w:sz w:val="24"/>
            <w:lang w:val="bg-BG"/>
          </w:rPr>
          <w:t>http://data.europa.eu/eli/C/2024/6332/oj</w:t>
        </w:r>
      </w:hyperlink>
      <w:r w:rsidRPr="00B84F91">
        <w:rPr>
          <w:sz w:val="24"/>
          <w:lang w:val="bg-BG"/>
        </w:rPr>
        <w:t>.</w:t>
      </w:r>
    </w:p>
  </w:footnote>
  <w:footnote w:id="194">
    <w:p w14:paraId="6D9C60A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194" w:history="1">
        <w:r w:rsidRPr="00B84F91">
          <w:rPr>
            <w:rStyle w:val="Hyperlink"/>
            <w:sz w:val="24"/>
            <w:lang w:val="bg-BG"/>
          </w:rPr>
          <w:t>http://data.europa.eu/eli/C/2024/6041/oj</w:t>
        </w:r>
      </w:hyperlink>
      <w:r w:rsidRPr="00B84F91">
        <w:rPr>
          <w:sz w:val="24"/>
          <w:lang w:val="bg-BG"/>
        </w:rPr>
        <w:t>.</w:t>
      </w:r>
    </w:p>
  </w:footnote>
  <w:footnote w:id="195">
    <w:p w14:paraId="233562B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195" w:history="1">
        <w:r w:rsidRPr="00B84F91">
          <w:rPr>
            <w:rStyle w:val="Hyperlink"/>
            <w:sz w:val="24"/>
            <w:lang w:val="bg-BG"/>
          </w:rPr>
          <w:t>http://data.europa.eu/eli/reg/2018/1046/oj</w:t>
        </w:r>
      </w:hyperlink>
      <w:r w:rsidRPr="00B84F91">
        <w:rPr>
          <w:sz w:val="24"/>
          <w:lang w:val="bg-BG"/>
        </w:rPr>
        <w:t>.</w:t>
      </w:r>
    </w:p>
  </w:footnote>
  <w:footnote w:id="196">
    <w:p w14:paraId="521954E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196" w:history="1">
        <w:r w:rsidRPr="00B84F91">
          <w:rPr>
            <w:rStyle w:val="Hyperlink"/>
            <w:sz w:val="24"/>
            <w:lang w:val="bg-BG"/>
          </w:rPr>
          <w:t>http://data.europa.eu/eli/reg/2024/2509/oj</w:t>
        </w:r>
      </w:hyperlink>
      <w:r w:rsidRPr="00B84F91">
        <w:rPr>
          <w:rStyle w:val="Hyperlink"/>
          <w:sz w:val="24"/>
          <w:lang w:val="bg-BG"/>
        </w:rPr>
        <w:t>.</w:t>
      </w:r>
    </w:p>
  </w:footnote>
  <w:footnote w:id="197">
    <w:p w14:paraId="30DB323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136, 30.4.2004 г., стр. 1, ELI: </w:t>
      </w:r>
      <w:hyperlink r:id="rId197" w:history="1">
        <w:r w:rsidRPr="00B84F91">
          <w:rPr>
            <w:rStyle w:val="Hyperlink"/>
            <w:sz w:val="24"/>
            <w:lang w:val="bg-BG"/>
          </w:rPr>
          <w:t>http://data.europa.eu/eli/reg/2004/726/oj</w:t>
        </w:r>
      </w:hyperlink>
      <w:r w:rsidRPr="00B84F91">
        <w:rPr>
          <w:sz w:val="24"/>
          <w:lang w:val="bg-BG"/>
        </w:rPr>
        <w:t>.</w:t>
      </w:r>
    </w:p>
  </w:footnote>
  <w:footnote w:id="198">
    <w:p w14:paraId="6422D52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198" w:history="1">
        <w:r w:rsidRPr="00B84F91">
          <w:rPr>
            <w:rStyle w:val="Hyperlink"/>
            <w:sz w:val="24"/>
            <w:lang w:val="bg-BG"/>
          </w:rPr>
          <w:t>http://data.europa.eu/eli/reg_del/2019/715/oj</w:t>
        </w:r>
      </w:hyperlink>
      <w:r w:rsidRPr="00B84F91">
        <w:rPr>
          <w:sz w:val="24"/>
          <w:lang w:val="bg-BG"/>
        </w:rPr>
        <w:t>.</w:t>
      </w:r>
    </w:p>
  </w:footnote>
  <w:footnote w:id="199">
    <w:p w14:paraId="275728B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199" w:history="1">
        <w:r w:rsidRPr="00B84F91">
          <w:rPr>
            <w:rStyle w:val="Hyperlink"/>
            <w:sz w:val="24"/>
            <w:lang w:val="bg-BG"/>
          </w:rPr>
          <w:t>http://data.europa.eu/eli/C/2024/6332/oj</w:t>
        </w:r>
      </w:hyperlink>
      <w:r w:rsidRPr="00B84F91">
        <w:rPr>
          <w:sz w:val="24"/>
          <w:lang w:val="bg-BG"/>
        </w:rPr>
        <w:t>.</w:t>
      </w:r>
    </w:p>
  </w:footnote>
  <w:footnote w:id="200">
    <w:p w14:paraId="55C179C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00" w:history="1">
        <w:r w:rsidRPr="00B84F91">
          <w:rPr>
            <w:rStyle w:val="Hyperlink"/>
            <w:sz w:val="24"/>
            <w:lang w:val="bg-BG"/>
          </w:rPr>
          <w:t>http://data.europa.eu/eli/C/2024/6041/oj</w:t>
        </w:r>
      </w:hyperlink>
      <w:r w:rsidRPr="00B84F91">
        <w:rPr>
          <w:sz w:val="24"/>
          <w:lang w:val="bg-BG"/>
        </w:rPr>
        <w:t>.</w:t>
      </w:r>
    </w:p>
  </w:footnote>
  <w:footnote w:id="201">
    <w:p w14:paraId="7A6A835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01" w:history="1">
        <w:r w:rsidRPr="00B84F91">
          <w:rPr>
            <w:rStyle w:val="Hyperlink"/>
            <w:sz w:val="24"/>
            <w:lang w:val="bg-BG"/>
          </w:rPr>
          <w:t>http://data.europa.eu/eli/reg/2018/1046/oj</w:t>
        </w:r>
      </w:hyperlink>
      <w:r w:rsidRPr="00B84F91">
        <w:rPr>
          <w:sz w:val="24"/>
          <w:lang w:val="bg-BG"/>
        </w:rPr>
        <w:t>.</w:t>
      </w:r>
    </w:p>
  </w:footnote>
  <w:footnote w:id="202">
    <w:p w14:paraId="633D809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02" w:history="1">
        <w:r w:rsidRPr="00B84F91">
          <w:rPr>
            <w:rStyle w:val="Hyperlink"/>
            <w:sz w:val="24"/>
            <w:lang w:val="bg-BG"/>
          </w:rPr>
          <w:t>http://data.europa.eu/eli/reg/2024/2509/oj</w:t>
        </w:r>
      </w:hyperlink>
      <w:r w:rsidRPr="00B84F91">
        <w:rPr>
          <w:rStyle w:val="Hyperlink"/>
          <w:sz w:val="24"/>
          <w:lang w:val="bg-BG"/>
        </w:rPr>
        <w:t>.</w:t>
      </w:r>
    </w:p>
  </w:footnote>
  <w:footnote w:id="203">
    <w:p w14:paraId="497AEE8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136, 30.4.2004 г., стр. 1, ELI: </w:t>
      </w:r>
      <w:hyperlink r:id="rId203" w:history="1">
        <w:r w:rsidRPr="00B84F91">
          <w:rPr>
            <w:rStyle w:val="Hyperlink"/>
            <w:sz w:val="24"/>
            <w:lang w:val="bg-BG"/>
          </w:rPr>
          <w:t>http://data.europa.eu/eli/reg/2004/726/oj</w:t>
        </w:r>
      </w:hyperlink>
      <w:r w:rsidRPr="00B84F91">
        <w:rPr>
          <w:sz w:val="24"/>
          <w:lang w:val="bg-BG"/>
        </w:rPr>
        <w:t>.</w:t>
      </w:r>
    </w:p>
  </w:footnote>
  <w:footnote w:id="204">
    <w:p w14:paraId="0C1EA54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204" w:history="1">
        <w:r w:rsidRPr="00B84F91">
          <w:rPr>
            <w:rStyle w:val="Hyperlink"/>
            <w:sz w:val="24"/>
            <w:lang w:val="bg-BG"/>
          </w:rPr>
          <w:t>http://data.europa.eu/eli/reg_del/2019/715/oj</w:t>
        </w:r>
      </w:hyperlink>
      <w:r w:rsidRPr="00B84F91">
        <w:rPr>
          <w:sz w:val="24"/>
          <w:lang w:val="bg-BG"/>
        </w:rPr>
        <w:t>.</w:t>
      </w:r>
    </w:p>
  </w:footnote>
  <w:footnote w:id="205">
    <w:p w14:paraId="0EB7CA5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205" w:history="1">
        <w:r w:rsidRPr="00B84F91">
          <w:rPr>
            <w:rStyle w:val="Hyperlink"/>
            <w:sz w:val="24"/>
            <w:lang w:val="bg-BG"/>
          </w:rPr>
          <w:t>http://data.europa.eu/eli/C/2024/6332/oj</w:t>
        </w:r>
      </w:hyperlink>
      <w:r w:rsidRPr="00B84F91">
        <w:rPr>
          <w:sz w:val="24"/>
          <w:lang w:val="bg-BG"/>
        </w:rPr>
        <w:t>.</w:t>
      </w:r>
    </w:p>
  </w:footnote>
  <w:footnote w:id="206">
    <w:p w14:paraId="3BDA703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06" w:history="1">
        <w:r w:rsidRPr="00B84F91">
          <w:rPr>
            <w:rStyle w:val="Hyperlink"/>
            <w:sz w:val="24"/>
            <w:lang w:val="bg-BG"/>
          </w:rPr>
          <w:t>http://data.europa.eu/eli/C/2024/6041/oj</w:t>
        </w:r>
      </w:hyperlink>
      <w:r w:rsidRPr="00B84F91">
        <w:rPr>
          <w:sz w:val="24"/>
          <w:lang w:val="bg-BG"/>
        </w:rPr>
        <w:t>.</w:t>
      </w:r>
    </w:p>
  </w:footnote>
  <w:footnote w:id="207">
    <w:p w14:paraId="46104E3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07" w:history="1">
        <w:r w:rsidRPr="00B84F91">
          <w:rPr>
            <w:rStyle w:val="Hyperlink"/>
            <w:sz w:val="24"/>
            <w:lang w:val="bg-BG"/>
          </w:rPr>
          <w:t>http://data.europa.eu/eli/reg/2018/1046/oj</w:t>
        </w:r>
      </w:hyperlink>
      <w:r w:rsidRPr="00B84F91">
        <w:rPr>
          <w:sz w:val="24"/>
          <w:lang w:val="bg-BG"/>
        </w:rPr>
        <w:t>.</w:t>
      </w:r>
    </w:p>
  </w:footnote>
  <w:footnote w:id="208">
    <w:p w14:paraId="7A966CF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08" w:history="1">
        <w:r w:rsidRPr="00B84F91">
          <w:rPr>
            <w:rStyle w:val="Hyperlink"/>
            <w:sz w:val="24"/>
            <w:lang w:val="bg-BG"/>
          </w:rPr>
          <w:t>http://data.europa.eu/eli/reg/2024/2509/oj</w:t>
        </w:r>
      </w:hyperlink>
      <w:r w:rsidRPr="00B84F91">
        <w:rPr>
          <w:rStyle w:val="Hyperlink"/>
          <w:sz w:val="24"/>
          <w:lang w:val="bg-BG"/>
        </w:rPr>
        <w:t>.</w:t>
      </w:r>
    </w:p>
  </w:footnote>
  <w:footnote w:id="209">
    <w:p w14:paraId="77DE8A9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376, 27.12.2006 г., стр. 1, ELI: </w:t>
      </w:r>
      <w:hyperlink r:id="rId209" w:history="1">
        <w:r w:rsidRPr="00B84F91">
          <w:rPr>
            <w:rStyle w:val="Hyperlink"/>
            <w:sz w:val="24"/>
            <w:lang w:val="bg-BG"/>
          </w:rPr>
          <w:t>http://data.europa.eu/eli/reg/2006/1920/oj</w:t>
        </w:r>
      </w:hyperlink>
      <w:r w:rsidRPr="00B84F91">
        <w:rPr>
          <w:sz w:val="24"/>
          <w:lang w:val="bg-BG"/>
        </w:rPr>
        <w:t>.</w:t>
      </w:r>
    </w:p>
  </w:footnote>
  <w:footnote w:id="210">
    <w:p w14:paraId="2F783E8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166, 30.6.2023 г., стр. 6, ELI: </w:t>
      </w:r>
      <w:hyperlink r:id="rId210" w:history="1">
        <w:r w:rsidRPr="00B84F91">
          <w:rPr>
            <w:rStyle w:val="Hyperlink"/>
            <w:sz w:val="24"/>
            <w:lang w:val="bg-BG"/>
          </w:rPr>
          <w:t>http://data.europa.eu/eli/reg/2023/1322/oj</w:t>
        </w:r>
      </w:hyperlink>
      <w:r w:rsidRPr="00B84F91">
        <w:rPr>
          <w:sz w:val="24"/>
          <w:lang w:val="bg-BG"/>
        </w:rPr>
        <w:t>.</w:t>
      </w:r>
    </w:p>
  </w:footnote>
  <w:footnote w:id="211">
    <w:p w14:paraId="3304131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211" w:history="1">
        <w:r w:rsidRPr="00B84F91">
          <w:rPr>
            <w:rStyle w:val="Hyperlink"/>
            <w:sz w:val="24"/>
            <w:lang w:val="bg-BG"/>
          </w:rPr>
          <w:t>http://data.europa.eu/eli/reg_del/2019/715/oj</w:t>
        </w:r>
      </w:hyperlink>
      <w:r w:rsidRPr="00B84F91">
        <w:rPr>
          <w:sz w:val="24"/>
          <w:lang w:val="bg-BG"/>
        </w:rPr>
        <w:t>.</w:t>
      </w:r>
    </w:p>
  </w:footnote>
  <w:footnote w:id="212">
    <w:p w14:paraId="3E5C525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212" w:history="1">
        <w:r w:rsidRPr="00B84F91">
          <w:rPr>
            <w:rStyle w:val="Hyperlink"/>
            <w:sz w:val="24"/>
            <w:lang w:val="bg-BG"/>
          </w:rPr>
          <w:t>http://data.europa.eu/eli/C/2024/6332/oj</w:t>
        </w:r>
      </w:hyperlink>
      <w:r w:rsidRPr="00B84F91">
        <w:rPr>
          <w:sz w:val="24"/>
          <w:lang w:val="bg-BG"/>
        </w:rPr>
        <w:t>.</w:t>
      </w:r>
    </w:p>
  </w:footnote>
  <w:footnote w:id="213">
    <w:p w14:paraId="76CF7AF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13" w:history="1">
        <w:r w:rsidRPr="00B84F91">
          <w:rPr>
            <w:rStyle w:val="Hyperlink"/>
            <w:sz w:val="24"/>
            <w:lang w:val="bg-BG"/>
          </w:rPr>
          <w:t>http://data.europa.eu/eli/C/2024/6041/oj</w:t>
        </w:r>
      </w:hyperlink>
      <w:r w:rsidRPr="00B84F91">
        <w:rPr>
          <w:sz w:val="24"/>
          <w:lang w:val="bg-BG"/>
        </w:rPr>
        <w:t>.</w:t>
      </w:r>
    </w:p>
  </w:footnote>
  <w:footnote w:id="214">
    <w:p w14:paraId="10AC574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14" w:history="1">
        <w:r w:rsidRPr="00B84F91">
          <w:rPr>
            <w:rStyle w:val="Hyperlink"/>
            <w:sz w:val="24"/>
            <w:lang w:val="bg-BG"/>
          </w:rPr>
          <w:t>http://data.europa.eu/eli/reg/2018/1046/oj</w:t>
        </w:r>
      </w:hyperlink>
      <w:r w:rsidRPr="00B84F91">
        <w:rPr>
          <w:sz w:val="24"/>
          <w:lang w:val="bg-BG"/>
        </w:rPr>
        <w:t>.</w:t>
      </w:r>
    </w:p>
  </w:footnote>
  <w:footnote w:id="215">
    <w:p w14:paraId="3E9C1B1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15" w:history="1">
        <w:r w:rsidRPr="00B84F91">
          <w:rPr>
            <w:rStyle w:val="Hyperlink"/>
            <w:sz w:val="24"/>
            <w:lang w:val="bg-BG"/>
          </w:rPr>
          <w:t>http://data.europa.eu/eli/reg/2024/2509/oj</w:t>
        </w:r>
      </w:hyperlink>
      <w:r w:rsidRPr="00B84F91">
        <w:rPr>
          <w:rStyle w:val="Hyperlink"/>
          <w:sz w:val="24"/>
          <w:lang w:val="bg-BG"/>
        </w:rPr>
        <w:t>.</w:t>
      </w:r>
    </w:p>
  </w:footnote>
  <w:footnote w:id="216">
    <w:p w14:paraId="05C7862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376, 27.12.2006 г., стр. 1, ELI: </w:t>
      </w:r>
      <w:hyperlink r:id="rId216" w:history="1">
        <w:r w:rsidRPr="00B84F91">
          <w:rPr>
            <w:rStyle w:val="Hyperlink"/>
            <w:sz w:val="24"/>
            <w:lang w:val="bg-BG"/>
          </w:rPr>
          <w:t>http://data.europa.eu/eli/reg/2006/1920/oj</w:t>
        </w:r>
      </w:hyperlink>
      <w:r w:rsidRPr="00B84F91">
        <w:rPr>
          <w:sz w:val="24"/>
          <w:lang w:val="bg-BG"/>
        </w:rPr>
        <w:t>.</w:t>
      </w:r>
    </w:p>
  </w:footnote>
  <w:footnote w:id="217">
    <w:p w14:paraId="5272C01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166, 30.6.2023 г., стр. 6, ELI: </w:t>
      </w:r>
      <w:hyperlink r:id="rId217" w:history="1">
        <w:r w:rsidRPr="00B84F91">
          <w:rPr>
            <w:rStyle w:val="Hyperlink"/>
            <w:sz w:val="24"/>
            <w:lang w:val="bg-BG"/>
          </w:rPr>
          <w:t>http://data.europa.eu/eli/reg/2023/1322/oj</w:t>
        </w:r>
      </w:hyperlink>
      <w:r w:rsidRPr="00B84F91">
        <w:rPr>
          <w:sz w:val="24"/>
          <w:lang w:val="bg-BG"/>
        </w:rPr>
        <w:t>.</w:t>
      </w:r>
    </w:p>
  </w:footnote>
  <w:footnote w:id="218">
    <w:p w14:paraId="173F189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218" w:history="1">
        <w:r w:rsidRPr="00B84F91">
          <w:rPr>
            <w:rStyle w:val="Hyperlink"/>
            <w:sz w:val="24"/>
            <w:lang w:val="bg-BG"/>
          </w:rPr>
          <w:t>http://data.europa.eu/eli/reg_del/2019/715/oj</w:t>
        </w:r>
      </w:hyperlink>
      <w:r w:rsidRPr="00B84F91">
        <w:rPr>
          <w:sz w:val="24"/>
          <w:lang w:val="bg-BG"/>
        </w:rPr>
        <w:t>.</w:t>
      </w:r>
    </w:p>
  </w:footnote>
  <w:footnote w:id="219">
    <w:p w14:paraId="6A9FB04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219" w:history="1">
        <w:r w:rsidRPr="00B84F91">
          <w:rPr>
            <w:rStyle w:val="Hyperlink"/>
            <w:sz w:val="24"/>
            <w:lang w:val="bg-BG"/>
          </w:rPr>
          <w:t>http://data.europa.eu/eli/C/2024/6332/oj</w:t>
        </w:r>
      </w:hyperlink>
      <w:r w:rsidRPr="00B84F91">
        <w:rPr>
          <w:sz w:val="24"/>
          <w:lang w:val="bg-BG"/>
        </w:rPr>
        <w:t>.</w:t>
      </w:r>
    </w:p>
  </w:footnote>
  <w:footnote w:id="220">
    <w:p w14:paraId="0B3A4F97"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20" w:history="1">
        <w:r w:rsidRPr="00B84F91">
          <w:rPr>
            <w:rStyle w:val="Hyperlink"/>
            <w:sz w:val="24"/>
            <w:lang w:val="bg-BG"/>
          </w:rPr>
          <w:t>http://data.europa.eu/eli/C/2024/6041/oj</w:t>
        </w:r>
      </w:hyperlink>
      <w:r w:rsidRPr="00B84F91">
        <w:rPr>
          <w:sz w:val="24"/>
          <w:lang w:val="bg-BG"/>
        </w:rPr>
        <w:t>.</w:t>
      </w:r>
    </w:p>
  </w:footnote>
  <w:footnote w:id="221">
    <w:p w14:paraId="570C056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21" w:history="1">
        <w:r w:rsidRPr="00B84F91">
          <w:rPr>
            <w:rStyle w:val="Hyperlink"/>
            <w:sz w:val="24"/>
            <w:lang w:val="bg-BG"/>
          </w:rPr>
          <w:t>http://data.europa.eu/eli/reg/2018/1046/oj</w:t>
        </w:r>
      </w:hyperlink>
      <w:r w:rsidRPr="00B84F91">
        <w:rPr>
          <w:sz w:val="24"/>
          <w:lang w:val="bg-BG"/>
        </w:rPr>
        <w:t>.</w:t>
      </w:r>
    </w:p>
  </w:footnote>
  <w:footnote w:id="222">
    <w:p w14:paraId="03375CE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22" w:history="1">
        <w:r w:rsidRPr="00B84F91">
          <w:rPr>
            <w:rStyle w:val="Hyperlink"/>
            <w:sz w:val="24"/>
            <w:lang w:val="bg-BG"/>
          </w:rPr>
          <w:t>http://data.europa.eu/eli/reg/2024/2509/oj</w:t>
        </w:r>
      </w:hyperlink>
      <w:r w:rsidRPr="00B84F91">
        <w:rPr>
          <w:rStyle w:val="Hyperlink"/>
          <w:sz w:val="24"/>
          <w:lang w:val="bg-BG"/>
        </w:rPr>
        <w:t>.</w:t>
      </w:r>
    </w:p>
  </w:footnote>
  <w:footnote w:id="223">
    <w:p w14:paraId="7DF44E7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208, 5.8.2002 г., стр. 1, ELI: </w:t>
      </w:r>
      <w:hyperlink r:id="rId223" w:history="1">
        <w:r w:rsidRPr="00B84F91">
          <w:rPr>
            <w:rStyle w:val="Hyperlink"/>
            <w:sz w:val="24"/>
            <w:lang w:val="bg-BG"/>
          </w:rPr>
          <w:t>http://data.europa.eu/eli/reg/2002/1406/oj</w:t>
        </w:r>
      </w:hyperlink>
      <w:r w:rsidRPr="00B84F91">
        <w:rPr>
          <w:sz w:val="24"/>
          <w:lang w:val="bg-BG"/>
        </w:rPr>
        <w:t>.</w:t>
      </w:r>
    </w:p>
  </w:footnote>
  <w:footnote w:id="224">
    <w:p w14:paraId="2072A2F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224" w:history="1">
        <w:r w:rsidRPr="00B84F91">
          <w:rPr>
            <w:rStyle w:val="Hyperlink"/>
            <w:sz w:val="24"/>
            <w:lang w:val="bg-BG"/>
          </w:rPr>
          <w:t>http://data.europa.eu/eli/reg_del/2019/715/oj</w:t>
        </w:r>
      </w:hyperlink>
      <w:r w:rsidRPr="00B84F91">
        <w:rPr>
          <w:sz w:val="24"/>
          <w:lang w:val="bg-BG"/>
        </w:rPr>
        <w:t>.</w:t>
      </w:r>
    </w:p>
  </w:footnote>
  <w:footnote w:id="225">
    <w:p w14:paraId="68E3B59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225" w:history="1">
        <w:r w:rsidRPr="00B84F91">
          <w:rPr>
            <w:rStyle w:val="Hyperlink"/>
            <w:sz w:val="24"/>
            <w:lang w:val="bg-BG"/>
          </w:rPr>
          <w:t>http://data.europa.eu/eli/C/2024/6332/oj</w:t>
        </w:r>
      </w:hyperlink>
      <w:r w:rsidRPr="00B84F91">
        <w:rPr>
          <w:sz w:val="24"/>
          <w:lang w:val="bg-BG"/>
        </w:rPr>
        <w:t>.</w:t>
      </w:r>
    </w:p>
  </w:footnote>
  <w:footnote w:id="226">
    <w:p w14:paraId="02B9B74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26" w:history="1">
        <w:r w:rsidRPr="00B84F91">
          <w:rPr>
            <w:rStyle w:val="Hyperlink"/>
            <w:sz w:val="24"/>
            <w:lang w:val="bg-BG"/>
          </w:rPr>
          <w:t>http://data.europa.eu/eli/C/2024/6041/oj</w:t>
        </w:r>
      </w:hyperlink>
      <w:r w:rsidRPr="00B84F91">
        <w:rPr>
          <w:sz w:val="24"/>
          <w:lang w:val="bg-BG"/>
        </w:rPr>
        <w:t>.</w:t>
      </w:r>
    </w:p>
  </w:footnote>
  <w:footnote w:id="227">
    <w:p w14:paraId="29B9B1D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27" w:history="1">
        <w:r w:rsidRPr="00B84F91">
          <w:rPr>
            <w:rStyle w:val="Hyperlink"/>
            <w:sz w:val="24"/>
            <w:lang w:val="bg-BG"/>
          </w:rPr>
          <w:t>http://data.europa.eu/eli/reg/2018/1046/oj</w:t>
        </w:r>
      </w:hyperlink>
      <w:r w:rsidRPr="00B84F91">
        <w:rPr>
          <w:sz w:val="24"/>
          <w:lang w:val="bg-BG"/>
        </w:rPr>
        <w:t>.</w:t>
      </w:r>
    </w:p>
  </w:footnote>
  <w:footnote w:id="228">
    <w:p w14:paraId="53E8F0D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28" w:history="1">
        <w:r w:rsidRPr="00B84F91">
          <w:rPr>
            <w:rStyle w:val="Hyperlink"/>
            <w:sz w:val="24"/>
            <w:lang w:val="bg-BG"/>
          </w:rPr>
          <w:t>http://data.europa.eu/eli/reg/2024/2509/oj</w:t>
        </w:r>
      </w:hyperlink>
      <w:r w:rsidRPr="00B84F91">
        <w:rPr>
          <w:rStyle w:val="Hyperlink"/>
          <w:sz w:val="24"/>
          <w:lang w:val="bg-BG"/>
        </w:rPr>
        <w:t>.</w:t>
      </w:r>
    </w:p>
  </w:footnote>
  <w:footnote w:id="229">
    <w:p w14:paraId="2A6BF6C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208, 5.8.2002 г., стр. 1, ELI: </w:t>
      </w:r>
      <w:hyperlink r:id="rId229" w:history="1">
        <w:r w:rsidRPr="00B84F91">
          <w:rPr>
            <w:rStyle w:val="Hyperlink"/>
            <w:sz w:val="24"/>
            <w:lang w:val="bg-BG"/>
          </w:rPr>
          <w:t>http://data.europa.eu/eli/reg/2002/1406/oj</w:t>
        </w:r>
      </w:hyperlink>
      <w:r w:rsidRPr="00B84F91">
        <w:rPr>
          <w:sz w:val="24"/>
          <w:lang w:val="bg-BG"/>
        </w:rPr>
        <w:t>.</w:t>
      </w:r>
    </w:p>
  </w:footnote>
  <w:footnote w:id="230">
    <w:p w14:paraId="0AE7944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230" w:history="1">
        <w:r w:rsidRPr="00B84F91">
          <w:rPr>
            <w:rStyle w:val="Hyperlink"/>
            <w:sz w:val="24"/>
            <w:lang w:val="bg-BG"/>
          </w:rPr>
          <w:t>http://data.europa.eu/eli/reg_del/2019/715/oj</w:t>
        </w:r>
      </w:hyperlink>
      <w:r w:rsidRPr="00B84F91">
        <w:rPr>
          <w:sz w:val="24"/>
          <w:lang w:val="bg-BG"/>
        </w:rPr>
        <w:t>.</w:t>
      </w:r>
    </w:p>
  </w:footnote>
  <w:footnote w:id="231">
    <w:p w14:paraId="71311D8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231" w:history="1">
        <w:r w:rsidRPr="00B84F91">
          <w:rPr>
            <w:rStyle w:val="Hyperlink"/>
            <w:sz w:val="24"/>
            <w:lang w:val="bg-BG"/>
          </w:rPr>
          <w:t>http://data.europa.eu/eli/C/2024/6332/oj</w:t>
        </w:r>
      </w:hyperlink>
      <w:r w:rsidRPr="00B84F91">
        <w:rPr>
          <w:sz w:val="24"/>
          <w:lang w:val="bg-BG"/>
        </w:rPr>
        <w:t>.</w:t>
      </w:r>
    </w:p>
  </w:footnote>
  <w:footnote w:id="232">
    <w:p w14:paraId="044759F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32" w:history="1">
        <w:r w:rsidRPr="00B84F91">
          <w:rPr>
            <w:rStyle w:val="Hyperlink"/>
            <w:sz w:val="24"/>
            <w:lang w:val="bg-BG"/>
          </w:rPr>
          <w:t>http://data.europa.eu/eli/C/2024/6041/oj</w:t>
        </w:r>
      </w:hyperlink>
      <w:r w:rsidRPr="00B84F91">
        <w:rPr>
          <w:sz w:val="24"/>
          <w:lang w:val="bg-BG"/>
        </w:rPr>
        <w:t>.</w:t>
      </w:r>
    </w:p>
  </w:footnote>
  <w:footnote w:id="233">
    <w:p w14:paraId="4052B43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33" w:history="1">
        <w:r w:rsidRPr="00B84F91">
          <w:rPr>
            <w:rStyle w:val="Hyperlink"/>
            <w:sz w:val="24"/>
            <w:lang w:val="bg-BG"/>
          </w:rPr>
          <w:t>http://data.europa.eu/eli/reg/2018/1046/oj</w:t>
        </w:r>
      </w:hyperlink>
      <w:r w:rsidRPr="00B84F91">
        <w:rPr>
          <w:sz w:val="24"/>
          <w:lang w:val="bg-BG"/>
        </w:rPr>
        <w:t>.</w:t>
      </w:r>
    </w:p>
  </w:footnote>
  <w:footnote w:id="234">
    <w:p w14:paraId="3FD976C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34" w:history="1">
        <w:r w:rsidRPr="00B84F91">
          <w:rPr>
            <w:rStyle w:val="Hyperlink"/>
            <w:sz w:val="24"/>
            <w:lang w:val="bg-BG"/>
          </w:rPr>
          <w:t>http://data.europa.eu/eli/reg/2024/2509/oj</w:t>
        </w:r>
      </w:hyperlink>
      <w:r w:rsidRPr="00B84F91">
        <w:rPr>
          <w:rStyle w:val="Hyperlink"/>
          <w:sz w:val="24"/>
          <w:lang w:val="bg-BG"/>
        </w:rPr>
        <w:t>.</w:t>
      </w:r>
    </w:p>
  </w:footnote>
  <w:footnote w:id="235">
    <w:p w14:paraId="14ADA7D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151, 7.6.2019 г., стр. 15, ELI: </w:t>
      </w:r>
      <w:hyperlink r:id="rId235" w:history="1">
        <w:r w:rsidRPr="00B84F91">
          <w:rPr>
            <w:rStyle w:val="Hyperlink"/>
            <w:sz w:val="24"/>
            <w:lang w:val="bg-BG"/>
          </w:rPr>
          <w:t>http://data.europa.eu/eli/reg/2019/881/oj</w:t>
        </w:r>
      </w:hyperlink>
      <w:r w:rsidRPr="00B84F91">
        <w:rPr>
          <w:sz w:val="24"/>
          <w:lang w:val="bg-BG"/>
        </w:rPr>
        <w:t>.</w:t>
      </w:r>
    </w:p>
  </w:footnote>
  <w:footnote w:id="236">
    <w:p w14:paraId="650D129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236" w:history="1">
        <w:r w:rsidRPr="00B84F91">
          <w:rPr>
            <w:rStyle w:val="Hyperlink"/>
            <w:sz w:val="24"/>
            <w:lang w:val="bg-BG"/>
          </w:rPr>
          <w:t>http://data.europa.eu/eli/reg_del/2019/715/oj</w:t>
        </w:r>
      </w:hyperlink>
      <w:r w:rsidRPr="00B84F91">
        <w:rPr>
          <w:sz w:val="24"/>
          <w:lang w:val="bg-BG"/>
        </w:rPr>
        <w:t>.</w:t>
      </w:r>
    </w:p>
  </w:footnote>
  <w:footnote w:id="237">
    <w:p w14:paraId="418EEDC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237" w:history="1">
        <w:r w:rsidRPr="00B84F91">
          <w:rPr>
            <w:rStyle w:val="Hyperlink"/>
            <w:sz w:val="24"/>
            <w:lang w:val="bg-BG"/>
          </w:rPr>
          <w:t>http://data.europa.eu/eli/C/2024/6332/oj</w:t>
        </w:r>
      </w:hyperlink>
      <w:r w:rsidRPr="00B84F91">
        <w:rPr>
          <w:sz w:val="24"/>
          <w:lang w:val="bg-BG"/>
        </w:rPr>
        <w:t>.</w:t>
      </w:r>
    </w:p>
  </w:footnote>
  <w:footnote w:id="238">
    <w:p w14:paraId="234459E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38" w:history="1">
        <w:r w:rsidRPr="00B84F91">
          <w:rPr>
            <w:rStyle w:val="Hyperlink"/>
            <w:sz w:val="24"/>
            <w:lang w:val="bg-BG"/>
          </w:rPr>
          <w:t>http://data.europa.eu/eli/C/2024/6041/oj</w:t>
        </w:r>
      </w:hyperlink>
      <w:r w:rsidRPr="00B84F91">
        <w:rPr>
          <w:sz w:val="24"/>
          <w:lang w:val="bg-BG"/>
        </w:rPr>
        <w:t>.</w:t>
      </w:r>
    </w:p>
  </w:footnote>
  <w:footnote w:id="239">
    <w:p w14:paraId="103A141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39" w:history="1">
        <w:r w:rsidRPr="00B84F91">
          <w:rPr>
            <w:rStyle w:val="Hyperlink"/>
            <w:sz w:val="24"/>
            <w:lang w:val="bg-BG"/>
          </w:rPr>
          <w:t>http://data.europa.eu/eli/reg/2018/1046/oj</w:t>
        </w:r>
      </w:hyperlink>
      <w:r w:rsidRPr="00B84F91">
        <w:rPr>
          <w:sz w:val="24"/>
          <w:lang w:val="bg-BG"/>
        </w:rPr>
        <w:t>.</w:t>
      </w:r>
    </w:p>
  </w:footnote>
  <w:footnote w:id="240">
    <w:p w14:paraId="1F21850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40" w:history="1">
        <w:r w:rsidRPr="00B84F91">
          <w:rPr>
            <w:rStyle w:val="Hyperlink"/>
            <w:sz w:val="24"/>
            <w:lang w:val="bg-BG"/>
          </w:rPr>
          <w:t>http://data.europa.eu/eli/reg/2024/2509/oj</w:t>
        </w:r>
      </w:hyperlink>
      <w:r w:rsidRPr="00B84F91">
        <w:rPr>
          <w:rStyle w:val="Hyperlink"/>
          <w:sz w:val="24"/>
          <w:lang w:val="bg-BG"/>
        </w:rPr>
        <w:t>.</w:t>
      </w:r>
    </w:p>
  </w:footnote>
  <w:footnote w:id="241">
    <w:p w14:paraId="63F9531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151, 7.6.2019 г., стр. 15, ELI: </w:t>
      </w:r>
      <w:hyperlink r:id="rId241" w:history="1">
        <w:r w:rsidRPr="00B84F91">
          <w:rPr>
            <w:rStyle w:val="Hyperlink"/>
            <w:sz w:val="24"/>
            <w:lang w:val="bg-BG"/>
          </w:rPr>
          <w:t>http://data.europa.eu/eli/reg/2019/881/oj</w:t>
        </w:r>
      </w:hyperlink>
      <w:r w:rsidRPr="00B84F91">
        <w:rPr>
          <w:sz w:val="24"/>
          <w:lang w:val="bg-BG"/>
        </w:rPr>
        <w:t>.</w:t>
      </w:r>
    </w:p>
  </w:footnote>
  <w:footnote w:id="242">
    <w:p w14:paraId="6EF60C6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242" w:history="1">
        <w:r w:rsidRPr="00B84F91">
          <w:rPr>
            <w:rStyle w:val="Hyperlink"/>
            <w:sz w:val="24"/>
            <w:lang w:val="bg-BG"/>
          </w:rPr>
          <w:t>http://data.europa.eu/eli/reg_del/2019/715/oj</w:t>
        </w:r>
      </w:hyperlink>
      <w:r w:rsidRPr="00B84F91">
        <w:rPr>
          <w:sz w:val="24"/>
          <w:lang w:val="bg-BG"/>
        </w:rPr>
        <w:t>.</w:t>
      </w:r>
    </w:p>
  </w:footnote>
  <w:footnote w:id="243">
    <w:p w14:paraId="70476E5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243" w:history="1">
        <w:r w:rsidRPr="00B84F91">
          <w:rPr>
            <w:rStyle w:val="Hyperlink"/>
            <w:sz w:val="24"/>
            <w:lang w:val="bg-BG"/>
          </w:rPr>
          <w:t>http://data.europa.eu/eli/C/2024/6332/oj</w:t>
        </w:r>
      </w:hyperlink>
      <w:r w:rsidRPr="00B84F91">
        <w:rPr>
          <w:sz w:val="24"/>
          <w:lang w:val="bg-BG"/>
        </w:rPr>
        <w:t>.</w:t>
      </w:r>
    </w:p>
  </w:footnote>
  <w:footnote w:id="244">
    <w:p w14:paraId="7F61CB9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44" w:history="1">
        <w:r w:rsidRPr="00B84F91">
          <w:rPr>
            <w:rStyle w:val="Hyperlink"/>
            <w:sz w:val="24"/>
            <w:lang w:val="bg-BG"/>
          </w:rPr>
          <w:t>http://data.europa.eu/eli/C/2024/6041/oj</w:t>
        </w:r>
      </w:hyperlink>
      <w:r w:rsidRPr="00B84F91">
        <w:rPr>
          <w:sz w:val="24"/>
          <w:lang w:val="bg-BG"/>
        </w:rPr>
        <w:t>.</w:t>
      </w:r>
    </w:p>
  </w:footnote>
  <w:footnote w:id="245">
    <w:p w14:paraId="65CD1A2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45" w:history="1">
        <w:r w:rsidRPr="00B84F91">
          <w:rPr>
            <w:rStyle w:val="Hyperlink"/>
            <w:sz w:val="24"/>
            <w:lang w:val="bg-BG"/>
          </w:rPr>
          <w:t>http://data.europa.eu/eli/reg/2018/1046/oj</w:t>
        </w:r>
      </w:hyperlink>
      <w:r w:rsidRPr="00B84F91">
        <w:rPr>
          <w:sz w:val="24"/>
          <w:lang w:val="bg-BG"/>
        </w:rPr>
        <w:t>.</w:t>
      </w:r>
    </w:p>
  </w:footnote>
  <w:footnote w:id="246">
    <w:p w14:paraId="08722FF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46" w:history="1">
        <w:r w:rsidRPr="00B84F91">
          <w:rPr>
            <w:rStyle w:val="Hyperlink"/>
            <w:sz w:val="24"/>
            <w:lang w:val="bg-BG"/>
          </w:rPr>
          <w:t>http://data.europa.eu/eli/reg/2024/2509/oj</w:t>
        </w:r>
      </w:hyperlink>
      <w:r w:rsidRPr="00B84F91">
        <w:rPr>
          <w:rStyle w:val="Hyperlink"/>
          <w:sz w:val="24"/>
          <w:lang w:val="bg-BG"/>
        </w:rPr>
        <w:t>.</w:t>
      </w:r>
    </w:p>
  </w:footnote>
  <w:footnote w:id="247">
    <w:p w14:paraId="1FA663E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138, 26.5.2016 г., стр. 1, ELI: </w:t>
      </w:r>
      <w:hyperlink r:id="rId247" w:history="1">
        <w:r w:rsidRPr="00B84F91">
          <w:rPr>
            <w:rStyle w:val="Hyperlink"/>
            <w:sz w:val="24"/>
            <w:lang w:val="bg-BG"/>
          </w:rPr>
          <w:t>http://data.europa.eu/eli/reg/2016/796/oj</w:t>
        </w:r>
      </w:hyperlink>
      <w:r w:rsidRPr="00B84F91">
        <w:rPr>
          <w:sz w:val="24"/>
          <w:lang w:val="bg-BG"/>
        </w:rPr>
        <w:t>.</w:t>
      </w:r>
    </w:p>
  </w:footnote>
  <w:footnote w:id="248">
    <w:p w14:paraId="4D54757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248" w:history="1">
        <w:r w:rsidRPr="00B84F91">
          <w:rPr>
            <w:rStyle w:val="Hyperlink"/>
            <w:sz w:val="24"/>
            <w:lang w:val="bg-BG"/>
          </w:rPr>
          <w:t>http://data.europa.eu/eli/reg_del/2019/715/oj</w:t>
        </w:r>
      </w:hyperlink>
      <w:r w:rsidRPr="00B84F91">
        <w:rPr>
          <w:sz w:val="24"/>
          <w:lang w:val="bg-BG"/>
        </w:rPr>
        <w:t>.</w:t>
      </w:r>
    </w:p>
  </w:footnote>
  <w:footnote w:id="249">
    <w:p w14:paraId="3C2AD4B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249" w:history="1">
        <w:r w:rsidRPr="00B84F91">
          <w:rPr>
            <w:rStyle w:val="Hyperlink"/>
            <w:sz w:val="24"/>
            <w:lang w:val="bg-BG"/>
          </w:rPr>
          <w:t>http://data.europa.eu/eli/C/2024/6332/oj</w:t>
        </w:r>
      </w:hyperlink>
      <w:r w:rsidRPr="00B84F91">
        <w:rPr>
          <w:sz w:val="24"/>
          <w:lang w:val="bg-BG"/>
        </w:rPr>
        <w:t>.</w:t>
      </w:r>
    </w:p>
  </w:footnote>
  <w:footnote w:id="250">
    <w:p w14:paraId="522FF1D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50" w:history="1">
        <w:r w:rsidRPr="00B84F91">
          <w:rPr>
            <w:rStyle w:val="Hyperlink"/>
            <w:sz w:val="24"/>
            <w:lang w:val="bg-BG"/>
          </w:rPr>
          <w:t>http://data.europa.eu/eli/C/2024/6041/oj</w:t>
        </w:r>
      </w:hyperlink>
      <w:r w:rsidRPr="00B84F91">
        <w:rPr>
          <w:sz w:val="24"/>
          <w:lang w:val="bg-BG"/>
        </w:rPr>
        <w:t>.</w:t>
      </w:r>
    </w:p>
  </w:footnote>
  <w:footnote w:id="251">
    <w:p w14:paraId="145E5C4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51" w:history="1">
        <w:r w:rsidRPr="00B84F91">
          <w:rPr>
            <w:rStyle w:val="Hyperlink"/>
            <w:sz w:val="24"/>
            <w:lang w:val="bg-BG"/>
          </w:rPr>
          <w:t>http://data.europa.eu/eli/reg/2018/1046/oj</w:t>
        </w:r>
      </w:hyperlink>
      <w:r w:rsidRPr="00B84F91">
        <w:rPr>
          <w:sz w:val="24"/>
          <w:lang w:val="bg-BG"/>
        </w:rPr>
        <w:t>.</w:t>
      </w:r>
    </w:p>
  </w:footnote>
  <w:footnote w:id="252">
    <w:p w14:paraId="030754C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52" w:history="1">
        <w:r w:rsidRPr="00B84F91">
          <w:rPr>
            <w:rStyle w:val="Hyperlink"/>
            <w:sz w:val="24"/>
            <w:lang w:val="bg-BG"/>
          </w:rPr>
          <w:t>http://data.europa.eu/eli/reg/2024/2509/oj</w:t>
        </w:r>
      </w:hyperlink>
      <w:r w:rsidRPr="00B84F91">
        <w:rPr>
          <w:rStyle w:val="Hyperlink"/>
          <w:sz w:val="24"/>
          <w:lang w:val="bg-BG"/>
        </w:rPr>
        <w:t>.</w:t>
      </w:r>
    </w:p>
  </w:footnote>
  <w:footnote w:id="253">
    <w:p w14:paraId="4B4C449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138, 26.5.2016 г., стр. 1, ELI: </w:t>
      </w:r>
      <w:hyperlink r:id="rId253" w:history="1">
        <w:r w:rsidRPr="00B84F91">
          <w:rPr>
            <w:rStyle w:val="Hyperlink"/>
            <w:sz w:val="24"/>
            <w:lang w:val="bg-BG"/>
          </w:rPr>
          <w:t>http://data.europa.eu/eli/reg/2016/796/oj</w:t>
        </w:r>
      </w:hyperlink>
      <w:r w:rsidRPr="00B84F91">
        <w:rPr>
          <w:sz w:val="24"/>
          <w:lang w:val="bg-BG"/>
        </w:rPr>
        <w:t>.</w:t>
      </w:r>
    </w:p>
  </w:footnote>
  <w:footnote w:id="254">
    <w:p w14:paraId="47F016B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254" w:history="1">
        <w:r w:rsidRPr="00B84F91">
          <w:rPr>
            <w:rStyle w:val="Hyperlink"/>
            <w:sz w:val="24"/>
            <w:lang w:val="bg-BG"/>
          </w:rPr>
          <w:t>http://data.europa.eu/eli/reg_del/2019/715/oj</w:t>
        </w:r>
      </w:hyperlink>
      <w:r w:rsidRPr="00B84F91">
        <w:rPr>
          <w:sz w:val="24"/>
          <w:lang w:val="bg-BG"/>
        </w:rPr>
        <w:t>.</w:t>
      </w:r>
    </w:p>
  </w:footnote>
  <w:footnote w:id="255">
    <w:p w14:paraId="60A474B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255" w:history="1">
        <w:r w:rsidRPr="00B84F91">
          <w:rPr>
            <w:rStyle w:val="Hyperlink"/>
            <w:sz w:val="24"/>
            <w:lang w:val="bg-BG"/>
          </w:rPr>
          <w:t>http://data.europa.eu/eli/C/2024/6332/oj</w:t>
        </w:r>
      </w:hyperlink>
      <w:r w:rsidRPr="00B84F91">
        <w:rPr>
          <w:sz w:val="24"/>
          <w:lang w:val="bg-BG"/>
        </w:rPr>
        <w:t>.</w:t>
      </w:r>
    </w:p>
  </w:footnote>
  <w:footnote w:id="256">
    <w:p w14:paraId="201EBBE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56" w:history="1">
        <w:r w:rsidRPr="00B84F91">
          <w:rPr>
            <w:rStyle w:val="Hyperlink"/>
            <w:sz w:val="24"/>
            <w:lang w:val="bg-BG"/>
          </w:rPr>
          <w:t>http://data.europa.eu/eli/C/2024/6041/oj</w:t>
        </w:r>
      </w:hyperlink>
      <w:r w:rsidRPr="00B84F91">
        <w:rPr>
          <w:sz w:val="24"/>
          <w:lang w:val="bg-BG"/>
        </w:rPr>
        <w:t>.</w:t>
      </w:r>
    </w:p>
  </w:footnote>
  <w:footnote w:id="257">
    <w:p w14:paraId="561BF0A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57" w:history="1">
        <w:r w:rsidRPr="00B84F91">
          <w:rPr>
            <w:rStyle w:val="Hyperlink"/>
            <w:sz w:val="24"/>
            <w:lang w:val="bg-BG"/>
          </w:rPr>
          <w:t>http://data.europa.eu/eli/reg/2018/1046/oj</w:t>
        </w:r>
      </w:hyperlink>
      <w:r w:rsidRPr="00B84F91">
        <w:rPr>
          <w:sz w:val="24"/>
          <w:lang w:val="bg-BG"/>
        </w:rPr>
        <w:t>.</w:t>
      </w:r>
    </w:p>
  </w:footnote>
  <w:footnote w:id="258">
    <w:p w14:paraId="08EB043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58" w:history="1">
        <w:r w:rsidRPr="00B84F91">
          <w:rPr>
            <w:rStyle w:val="Hyperlink"/>
            <w:sz w:val="24"/>
            <w:lang w:val="bg-BG"/>
          </w:rPr>
          <w:t>http://data.europa.eu/eli/reg/2024/2509/oj</w:t>
        </w:r>
      </w:hyperlink>
      <w:r w:rsidRPr="00B84F91">
        <w:rPr>
          <w:rStyle w:val="Hyperlink"/>
          <w:sz w:val="24"/>
          <w:lang w:val="bg-BG"/>
        </w:rPr>
        <w:t>.</w:t>
      </w:r>
    </w:p>
  </w:footnote>
  <w:footnote w:id="259">
    <w:p w14:paraId="3B0C8C0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41, 15.2.2008 г., стр. 15, ELI: </w:t>
      </w:r>
      <w:hyperlink r:id="rId259" w:history="1">
        <w:r w:rsidRPr="00B84F91">
          <w:rPr>
            <w:rStyle w:val="Hyperlink"/>
            <w:sz w:val="24"/>
            <w:lang w:val="bg-BG"/>
          </w:rPr>
          <w:t>http://data.europa.eu/eli/dec/2008/114(1)/oj</w:t>
        </w:r>
      </w:hyperlink>
      <w:r w:rsidRPr="00B84F91">
        <w:rPr>
          <w:sz w:val="24"/>
          <w:lang w:val="bg-BG"/>
        </w:rPr>
        <w:t>.</w:t>
      </w:r>
    </w:p>
  </w:footnote>
  <w:footnote w:id="260">
    <w:p w14:paraId="6B64427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260" w:history="1">
        <w:r w:rsidRPr="00B84F91">
          <w:rPr>
            <w:rStyle w:val="Hyperlink"/>
            <w:sz w:val="24"/>
            <w:lang w:val="bg-BG"/>
          </w:rPr>
          <w:t>http://data.europa.eu/eli/C/2024/6332/oj</w:t>
        </w:r>
      </w:hyperlink>
      <w:r w:rsidRPr="00B84F91">
        <w:rPr>
          <w:sz w:val="24"/>
          <w:lang w:val="bg-BG"/>
        </w:rPr>
        <w:t>.</w:t>
      </w:r>
    </w:p>
  </w:footnote>
  <w:footnote w:id="261">
    <w:p w14:paraId="0057380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61" w:history="1">
        <w:r w:rsidRPr="00B84F91">
          <w:rPr>
            <w:rStyle w:val="Hyperlink"/>
            <w:sz w:val="24"/>
            <w:lang w:val="bg-BG"/>
          </w:rPr>
          <w:t>http://data.europa.eu/eli/C/2024/6041/oj</w:t>
        </w:r>
      </w:hyperlink>
      <w:r w:rsidRPr="00B84F91">
        <w:rPr>
          <w:sz w:val="24"/>
          <w:lang w:val="bg-BG"/>
        </w:rPr>
        <w:t>.</w:t>
      </w:r>
    </w:p>
  </w:footnote>
  <w:footnote w:id="262">
    <w:p w14:paraId="2D0D728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62" w:history="1">
        <w:r w:rsidRPr="00B84F91">
          <w:rPr>
            <w:rStyle w:val="Hyperlink"/>
            <w:sz w:val="24"/>
            <w:lang w:val="bg-BG"/>
          </w:rPr>
          <w:t>http://data.europa.eu/eli/reg/2018/1046/oj</w:t>
        </w:r>
      </w:hyperlink>
      <w:r w:rsidRPr="00B84F91">
        <w:rPr>
          <w:sz w:val="24"/>
          <w:lang w:val="bg-BG"/>
        </w:rPr>
        <w:t>.</w:t>
      </w:r>
    </w:p>
  </w:footnote>
  <w:footnote w:id="263">
    <w:p w14:paraId="77EFAD4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63" w:history="1">
        <w:r w:rsidRPr="00B84F91">
          <w:rPr>
            <w:rStyle w:val="Hyperlink"/>
            <w:sz w:val="24"/>
            <w:lang w:val="bg-BG"/>
          </w:rPr>
          <w:t>http://data.europa.eu/eli/reg/2024/2509/oj</w:t>
        </w:r>
      </w:hyperlink>
      <w:r w:rsidRPr="00B84F91">
        <w:rPr>
          <w:rStyle w:val="Hyperlink"/>
          <w:sz w:val="24"/>
          <w:lang w:val="bg-BG"/>
        </w:rPr>
        <w:t>.</w:t>
      </w:r>
    </w:p>
  </w:footnote>
  <w:footnote w:id="264">
    <w:p w14:paraId="40D6D41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41, 15.2.2008 г., стр. 15, ELI: </w:t>
      </w:r>
      <w:hyperlink r:id="rId264" w:history="1">
        <w:r w:rsidRPr="00B84F91">
          <w:rPr>
            <w:rStyle w:val="Hyperlink"/>
            <w:sz w:val="24"/>
            <w:lang w:val="bg-BG"/>
          </w:rPr>
          <w:t>http://data.europa.eu/eli/dec/2008/114(1)/oj</w:t>
        </w:r>
      </w:hyperlink>
      <w:r w:rsidRPr="00B84F91">
        <w:rPr>
          <w:sz w:val="24"/>
          <w:lang w:val="bg-BG"/>
        </w:rPr>
        <w:t>.</w:t>
      </w:r>
    </w:p>
  </w:footnote>
  <w:footnote w:id="265">
    <w:p w14:paraId="0C93F7E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265" w:history="1">
        <w:r w:rsidRPr="00B84F91">
          <w:rPr>
            <w:rStyle w:val="Hyperlink"/>
            <w:sz w:val="24"/>
            <w:lang w:val="bg-BG"/>
          </w:rPr>
          <w:t>http://data.europa.eu/eli/C/2024/6332/oj</w:t>
        </w:r>
      </w:hyperlink>
      <w:r w:rsidRPr="00B84F91">
        <w:rPr>
          <w:sz w:val="24"/>
          <w:lang w:val="bg-BG"/>
        </w:rPr>
        <w:t>.</w:t>
      </w:r>
    </w:p>
  </w:footnote>
  <w:footnote w:id="266">
    <w:p w14:paraId="23997E6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66" w:history="1">
        <w:r w:rsidRPr="00B84F91">
          <w:rPr>
            <w:rStyle w:val="Hyperlink"/>
            <w:sz w:val="24"/>
            <w:lang w:val="bg-BG"/>
          </w:rPr>
          <w:t>http://data.europa.eu/eli/C/2024/6041/oj</w:t>
        </w:r>
      </w:hyperlink>
      <w:r w:rsidRPr="00B84F91">
        <w:rPr>
          <w:sz w:val="24"/>
          <w:lang w:val="bg-BG"/>
        </w:rPr>
        <w:t>.</w:t>
      </w:r>
    </w:p>
  </w:footnote>
  <w:footnote w:id="267">
    <w:p w14:paraId="5293256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67" w:history="1">
        <w:r w:rsidRPr="00B84F91">
          <w:rPr>
            <w:rStyle w:val="Hyperlink"/>
            <w:sz w:val="24"/>
            <w:lang w:val="bg-BG"/>
          </w:rPr>
          <w:t>http://data.europa.eu/eli/reg/2018/1046/oj</w:t>
        </w:r>
      </w:hyperlink>
      <w:r w:rsidRPr="00B84F91">
        <w:rPr>
          <w:sz w:val="24"/>
          <w:lang w:val="bg-BG"/>
        </w:rPr>
        <w:t>.</w:t>
      </w:r>
    </w:p>
  </w:footnote>
  <w:footnote w:id="268">
    <w:p w14:paraId="7210025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68" w:history="1">
        <w:r w:rsidRPr="00B84F91">
          <w:rPr>
            <w:rStyle w:val="Hyperlink"/>
            <w:sz w:val="24"/>
            <w:lang w:val="bg-BG"/>
          </w:rPr>
          <w:t>http://data.europa.eu/eli/reg/2024/2509/oj</w:t>
        </w:r>
      </w:hyperlink>
      <w:r w:rsidRPr="00B84F91">
        <w:rPr>
          <w:rStyle w:val="Hyperlink"/>
          <w:sz w:val="24"/>
          <w:lang w:val="bg-BG"/>
        </w:rPr>
        <w:t>.</w:t>
      </w:r>
    </w:p>
  </w:footnote>
  <w:footnote w:id="269">
    <w:p w14:paraId="6B37B15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331, 15.12.2010 г., стр. 84, ELI: </w:t>
      </w:r>
      <w:hyperlink r:id="rId269" w:history="1">
        <w:r w:rsidRPr="00B84F91">
          <w:rPr>
            <w:rStyle w:val="Hyperlink"/>
            <w:sz w:val="24"/>
            <w:lang w:val="bg-BG"/>
          </w:rPr>
          <w:t>http://data.europa.eu/eli/reg/2010/1095/oj</w:t>
        </w:r>
      </w:hyperlink>
      <w:r w:rsidRPr="00B84F91">
        <w:rPr>
          <w:sz w:val="24"/>
          <w:lang w:val="bg-BG"/>
        </w:rPr>
        <w:t>.</w:t>
      </w:r>
    </w:p>
  </w:footnote>
  <w:footnote w:id="270">
    <w:p w14:paraId="529AD3F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270" w:history="1">
        <w:r w:rsidRPr="00B84F91">
          <w:rPr>
            <w:rStyle w:val="Hyperlink"/>
            <w:sz w:val="24"/>
            <w:lang w:val="bg-BG"/>
          </w:rPr>
          <w:t>http://data.europa.eu/eli/reg_del/2019/715/oj</w:t>
        </w:r>
      </w:hyperlink>
      <w:r w:rsidRPr="00B84F91">
        <w:rPr>
          <w:sz w:val="24"/>
          <w:lang w:val="bg-BG"/>
        </w:rPr>
        <w:t>.</w:t>
      </w:r>
    </w:p>
  </w:footnote>
  <w:footnote w:id="271">
    <w:p w14:paraId="18C336C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271" w:history="1">
        <w:r w:rsidRPr="00B84F91">
          <w:rPr>
            <w:rStyle w:val="Hyperlink"/>
            <w:sz w:val="24"/>
            <w:lang w:val="bg-BG"/>
          </w:rPr>
          <w:t>http://data.europa.eu/eli/C/2024/6332/oj</w:t>
        </w:r>
      </w:hyperlink>
      <w:r w:rsidRPr="00B84F91">
        <w:rPr>
          <w:sz w:val="24"/>
          <w:lang w:val="bg-BG"/>
        </w:rPr>
        <w:t>.</w:t>
      </w:r>
    </w:p>
  </w:footnote>
  <w:footnote w:id="272">
    <w:p w14:paraId="1418332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72" w:history="1">
        <w:r w:rsidRPr="00B84F91">
          <w:rPr>
            <w:rStyle w:val="Hyperlink"/>
            <w:sz w:val="24"/>
            <w:lang w:val="bg-BG"/>
          </w:rPr>
          <w:t>http://data.europa.eu/eli/C/2024/6041/oj</w:t>
        </w:r>
      </w:hyperlink>
      <w:r w:rsidRPr="00B84F91">
        <w:rPr>
          <w:sz w:val="24"/>
          <w:lang w:val="bg-BG"/>
        </w:rPr>
        <w:t>.</w:t>
      </w:r>
    </w:p>
  </w:footnote>
  <w:footnote w:id="273">
    <w:p w14:paraId="7F700D8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73" w:history="1">
        <w:r w:rsidRPr="00B84F91">
          <w:rPr>
            <w:rStyle w:val="Hyperlink"/>
            <w:sz w:val="24"/>
            <w:lang w:val="bg-BG"/>
          </w:rPr>
          <w:t>http://data.europa.eu/eli/reg/2018/1046/oj</w:t>
        </w:r>
      </w:hyperlink>
      <w:r w:rsidRPr="00B84F91">
        <w:rPr>
          <w:sz w:val="24"/>
          <w:lang w:val="bg-BG"/>
        </w:rPr>
        <w:t>.</w:t>
      </w:r>
    </w:p>
  </w:footnote>
  <w:footnote w:id="274">
    <w:p w14:paraId="08C2E4A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74" w:history="1">
        <w:r w:rsidRPr="00B84F91">
          <w:rPr>
            <w:rStyle w:val="Hyperlink"/>
            <w:sz w:val="24"/>
            <w:lang w:val="bg-BG"/>
          </w:rPr>
          <w:t>http://data.europa.eu/eli/reg/2024/2509/oj</w:t>
        </w:r>
      </w:hyperlink>
      <w:r w:rsidRPr="00B84F91">
        <w:rPr>
          <w:rStyle w:val="Hyperlink"/>
          <w:sz w:val="24"/>
          <w:lang w:val="bg-BG"/>
        </w:rPr>
        <w:t>.</w:t>
      </w:r>
    </w:p>
  </w:footnote>
  <w:footnote w:id="275">
    <w:p w14:paraId="37C9DB8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331, 15.12.2010 г., стр. 84, ELI: </w:t>
      </w:r>
      <w:hyperlink r:id="rId275" w:history="1">
        <w:r w:rsidRPr="00B84F91">
          <w:rPr>
            <w:rStyle w:val="Hyperlink"/>
            <w:sz w:val="24"/>
            <w:lang w:val="bg-BG"/>
          </w:rPr>
          <w:t>http://data.europa.eu/eli/reg/2010/1095/oj</w:t>
        </w:r>
      </w:hyperlink>
      <w:r w:rsidRPr="00B84F91">
        <w:rPr>
          <w:sz w:val="24"/>
          <w:lang w:val="bg-BG"/>
        </w:rPr>
        <w:t>.</w:t>
      </w:r>
    </w:p>
  </w:footnote>
  <w:footnote w:id="276">
    <w:p w14:paraId="55F7276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276" w:history="1">
        <w:r w:rsidRPr="00B84F91">
          <w:rPr>
            <w:rStyle w:val="Hyperlink"/>
            <w:sz w:val="24"/>
            <w:lang w:val="bg-BG"/>
          </w:rPr>
          <w:t>http://data.europa.eu/eli/reg_del/2019/715/oj</w:t>
        </w:r>
      </w:hyperlink>
      <w:r w:rsidRPr="00B84F91">
        <w:rPr>
          <w:sz w:val="24"/>
          <w:lang w:val="bg-BG"/>
        </w:rPr>
        <w:t>.</w:t>
      </w:r>
    </w:p>
  </w:footnote>
  <w:footnote w:id="277">
    <w:p w14:paraId="05B05D9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277" w:history="1">
        <w:r w:rsidRPr="00B84F91">
          <w:rPr>
            <w:rStyle w:val="Hyperlink"/>
            <w:sz w:val="24"/>
            <w:lang w:val="bg-BG"/>
          </w:rPr>
          <w:t>http://data.europa.eu/eli/C/2024/6332/oj</w:t>
        </w:r>
      </w:hyperlink>
      <w:r w:rsidRPr="00B84F91">
        <w:rPr>
          <w:sz w:val="24"/>
          <w:lang w:val="bg-BG"/>
        </w:rPr>
        <w:t>.</w:t>
      </w:r>
    </w:p>
  </w:footnote>
  <w:footnote w:id="278">
    <w:p w14:paraId="5A0306E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78" w:history="1">
        <w:r w:rsidRPr="00B84F91">
          <w:rPr>
            <w:rStyle w:val="Hyperlink"/>
            <w:sz w:val="24"/>
            <w:lang w:val="bg-BG"/>
          </w:rPr>
          <w:t>http://data.europa.eu/eli/C/2024/6041/oj</w:t>
        </w:r>
      </w:hyperlink>
      <w:r w:rsidRPr="00B84F91">
        <w:rPr>
          <w:sz w:val="24"/>
          <w:lang w:val="bg-BG"/>
        </w:rPr>
        <w:t>.</w:t>
      </w:r>
    </w:p>
  </w:footnote>
  <w:footnote w:id="279">
    <w:p w14:paraId="412D9E3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79" w:history="1">
        <w:r w:rsidRPr="00B84F91">
          <w:rPr>
            <w:rStyle w:val="Hyperlink"/>
            <w:sz w:val="24"/>
            <w:lang w:val="bg-BG"/>
          </w:rPr>
          <w:t>http://data.europa.eu/eli/reg/2018/1046/oj</w:t>
        </w:r>
      </w:hyperlink>
      <w:r w:rsidRPr="00B84F91">
        <w:rPr>
          <w:sz w:val="24"/>
          <w:lang w:val="bg-BG"/>
        </w:rPr>
        <w:t>.</w:t>
      </w:r>
    </w:p>
  </w:footnote>
  <w:footnote w:id="280">
    <w:p w14:paraId="0E1BA84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80" w:history="1">
        <w:r w:rsidRPr="00B84F91">
          <w:rPr>
            <w:rStyle w:val="Hyperlink"/>
            <w:sz w:val="24"/>
            <w:lang w:val="bg-BG"/>
          </w:rPr>
          <w:t>http://data.europa.eu/eli/reg/2024/2509/oj</w:t>
        </w:r>
      </w:hyperlink>
      <w:r w:rsidRPr="00B84F91">
        <w:rPr>
          <w:rStyle w:val="Hyperlink"/>
          <w:sz w:val="24"/>
          <w:lang w:val="bg-BG"/>
        </w:rPr>
        <w:t>.</w:t>
      </w:r>
    </w:p>
  </w:footnote>
  <w:footnote w:id="281">
    <w:p w14:paraId="561489A2" w14:textId="75CC952D"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ОВ L 354, 31.12.2008 г., стр. </w:t>
      </w:r>
      <w:r w:rsidRPr="00B84F91">
        <w:rPr>
          <w:sz w:val="24"/>
          <w:lang w:val="bg-BG"/>
        </w:rPr>
        <w:t xml:space="preserve">82, ELI: </w:t>
      </w:r>
      <w:hyperlink r:id="rId281" w:tooltip="Gives access to this document through its ELI URI." w:history="1">
        <w:r w:rsidR="00CA2030" w:rsidRPr="00B74E16">
          <w:rPr>
            <w:rStyle w:val="Hyperlink"/>
            <w:sz w:val="24"/>
            <w:szCs w:val="24"/>
            <w:lang w:val="bg-BG"/>
          </w:rPr>
          <w:t>http://data.europa.eu/eli/reg/2008/1339/oj</w:t>
        </w:r>
      </w:hyperlink>
      <w:r w:rsidRPr="00B84F91">
        <w:rPr>
          <w:sz w:val="24"/>
          <w:lang w:val="bg-BG"/>
        </w:rPr>
        <w:t>.</w:t>
      </w:r>
    </w:p>
  </w:footnote>
  <w:footnote w:id="282">
    <w:p w14:paraId="6CF0E8C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282" w:history="1">
        <w:r w:rsidRPr="00B84F91">
          <w:rPr>
            <w:rStyle w:val="Hyperlink"/>
            <w:sz w:val="24"/>
            <w:lang w:val="bg-BG"/>
          </w:rPr>
          <w:t>http://data.europa.eu/eli/reg_del/2019/715/oj</w:t>
        </w:r>
      </w:hyperlink>
      <w:r w:rsidRPr="00B84F91">
        <w:rPr>
          <w:sz w:val="24"/>
          <w:lang w:val="bg-BG"/>
        </w:rPr>
        <w:t>.</w:t>
      </w:r>
    </w:p>
  </w:footnote>
  <w:footnote w:id="283">
    <w:p w14:paraId="711E63A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283" w:history="1">
        <w:r w:rsidRPr="00B84F91">
          <w:rPr>
            <w:rStyle w:val="Hyperlink"/>
            <w:sz w:val="24"/>
            <w:lang w:val="bg-BG"/>
          </w:rPr>
          <w:t>http://data.europa.eu/eli/C/2024/6332/oj</w:t>
        </w:r>
      </w:hyperlink>
      <w:r w:rsidRPr="00B84F91">
        <w:rPr>
          <w:sz w:val="24"/>
          <w:lang w:val="bg-BG"/>
        </w:rPr>
        <w:t>.</w:t>
      </w:r>
    </w:p>
  </w:footnote>
  <w:footnote w:id="284">
    <w:p w14:paraId="35E2877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84" w:history="1">
        <w:r w:rsidRPr="00B84F91">
          <w:rPr>
            <w:rStyle w:val="Hyperlink"/>
            <w:sz w:val="24"/>
            <w:lang w:val="bg-BG"/>
          </w:rPr>
          <w:t>http://data.europa.eu/eli/C/2024/6041/oj</w:t>
        </w:r>
      </w:hyperlink>
      <w:r w:rsidRPr="00B84F91">
        <w:rPr>
          <w:sz w:val="24"/>
          <w:lang w:val="bg-BG"/>
        </w:rPr>
        <w:t>.</w:t>
      </w:r>
    </w:p>
  </w:footnote>
  <w:footnote w:id="285">
    <w:p w14:paraId="4E72B85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85" w:history="1">
        <w:r w:rsidRPr="00B84F91">
          <w:rPr>
            <w:rStyle w:val="Hyperlink"/>
            <w:sz w:val="24"/>
            <w:lang w:val="bg-BG"/>
          </w:rPr>
          <w:t>http://data.europa.eu/eli/reg/2018/1046/oj</w:t>
        </w:r>
      </w:hyperlink>
      <w:r w:rsidRPr="00B84F91">
        <w:rPr>
          <w:sz w:val="24"/>
          <w:lang w:val="bg-BG"/>
        </w:rPr>
        <w:t>.</w:t>
      </w:r>
    </w:p>
  </w:footnote>
  <w:footnote w:id="286">
    <w:p w14:paraId="2215D31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86" w:history="1">
        <w:r w:rsidRPr="00B84F91">
          <w:rPr>
            <w:rStyle w:val="Hyperlink"/>
            <w:sz w:val="24"/>
            <w:lang w:val="bg-BG"/>
          </w:rPr>
          <w:t>http://data.europa.eu/eli/reg/2024/2509/oj</w:t>
        </w:r>
      </w:hyperlink>
      <w:r w:rsidRPr="00B84F91">
        <w:rPr>
          <w:rStyle w:val="Hyperlink"/>
          <w:sz w:val="24"/>
          <w:lang w:val="bg-BG"/>
        </w:rPr>
        <w:t>.</w:t>
      </w:r>
    </w:p>
  </w:footnote>
  <w:footnote w:id="287">
    <w:p w14:paraId="3A500720" w14:textId="5E2B236D"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354, 31.12.2008 г., стр. 82, ELI: </w:t>
      </w:r>
      <w:hyperlink r:id="rId287" w:history="1">
        <w:r w:rsidRPr="00B84F91">
          <w:rPr>
            <w:rStyle w:val="Hyperlink"/>
            <w:sz w:val="24"/>
            <w:lang w:val="bg-BG"/>
          </w:rPr>
          <w:t>http://data.europa.eu/eli/reg/2008/1339</w:t>
        </w:r>
      </w:hyperlink>
      <w:r w:rsidR="00CA2030">
        <w:rPr>
          <w:rStyle w:val="Hyperlink"/>
          <w:sz w:val="24"/>
          <w:lang w:val="bg-BG"/>
        </w:rPr>
        <w:t>/</w:t>
      </w:r>
      <w:proofErr w:type="spellStart"/>
      <w:r w:rsidR="00CA2030">
        <w:rPr>
          <w:rStyle w:val="Hyperlink"/>
          <w:sz w:val="24"/>
          <w:lang w:val="en-GB"/>
        </w:rPr>
        <w:t>oj</w:t>
      </w:r>
      <w:proofErr w:type="spellEnd"/>
      <w:r w:rsidRPr="00B84F91">
        <w:rPr>
          <w:sz w:val="24"/>
          <w:lang w:val="bg-BG"/>
        </w:rPr>
        <w:t>.</w:t>
      </w:r>
    </w:p>
  </w:footnote>
  <w:footnote w:id="288">
    <w:p w14:paraId="2B2E347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288" w:history="1">
        <w:r w:rsidRPr="00B84F91">
          <w:rPr>
            <w:rStyle w:val="Hyperlink"/>
            <w:sz w:val="24"/>
            <w:lang w:val="bg-BG"/>
          </w:rPr>
          <w:t>http://data.europa.eu/eli/reg_del/2019/715/oj</w:t>
        </w:r>
      </w:hyperlink>
      <w:r w:rsidRPr="00B84F91">
        <w:rPr>
          <w:sz w:val="24"/>
          <w:lang w:val="bg-BG"/>
        </w:rPr>
        <w:t>.</w:t>
      </w:r>
    </w:p>
  </w:footnote>
  <w:footnote w:id="289">
    <w:p w14:paraId="269E700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289" w:history="1">
        <w:r w:rsidRPr="00B84F91">
          <w:rPr>
            <w:rStyle w:val="Hyperlink"/>
            <w:sz w:val="24"/>
            <w:lang w:val="bg-BG"/>
          </w:rPr>
          <w:t>http://data.europa.eu/eli/C/2024/6332/oj</w:t>
        </w:r>
      </w:hyperlink>
      <w:r w:rsidRPr="00B84F91">
        <w:rPr>
          <w:sz w:val="24"/>
          <w:lang w:val="bg-BG"/>
        </w:rPr>
        <w:t>.</w:t>
      </w:r>
    </w:p>
  </w:footnote>
  <w:footnote w:id="290">
    <w:p w14:paraId="273D618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90" w:history="1">
        <w:r w:rsidRPr="00B84F91">
          <w:rPr>
            <w:rStyle w:val="Hyperlink"/>
            <w:sz w:val="24"/>
            <w:lang w:val="bg-BG"/>
          </w:rPr>
          <w:t>http://data.europa.eu/eli/C/2024/6041/oj</w:t>
        </w:r>
      </w:hyperlink>
      <w:r w:rsidRPr="00B84F91">
        <w:rPr>
          <w:sz w:val="24"/>
          <w:lang w:val="bg-BG"/>
        </w:rPr>
        <w:t>.</w:t>
      </w:r>
    </w:p>
  </w:footnote>
  <w:footnote w:id="291">
    <w:p w14:paraId="78D2C0A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91" w:history="1">
        <w:r w:rsidRPr="00B84F91">
          <w:rPr>
            <w:rStyle w:val="Hyperlink"/>
            <w:sz w:val="24"/>
            <w:lang w:val="bg-BG"/>
          </w:rPr>
          <w:t>http://data.europa.eu/eli/reg/2018/1046/oj</w:t>
        </w:r>
      </w:hyperlink>
      <w:r w:rsidRPr="00B84F91">
        <w:rPr>
          <w:sz w:val="24"/>
          <w:lang w:val="bg-BG"/>
        </w:rPr>
        <w:t>.</w:t>
      </w:r>
    </w:p>
  </w:footnote>
  <w:footnote w:id="292">
    <w:p w14:paraId="4836576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92" w:history="1">
        <w:r w:rsidRPr="00B84F91">
          <w:rPr>
            <w:rStyle w:val="Hyperlink"/>
            <w:sz w:val="24"/>
            <w:lang w:val="bg-BG"/>
          </w:rPr>
          <w:t>http://data.europa.eu/eli/reg/2024/2509/oj</w:t>
        </w:r>
      </w:hyperlink>
      <w:r w:rsidRPr="00B84F91">
        <w:rPr>
          <w:rStyle w:val="Hyperlink"/>
          <w:sz w:val="24"/>
          <w:lang w:val="bg-BG"/>
        </w:rPr>
        <w:t>.</w:t>
      </w:r>
    </w:p>
  </w:footnote>
  <w:footnote w:id="293">
    <w:p w14:paraId="67C4113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132, 29.5.2010 г., стр. 11, ELI: </w:t>
      </w:r>
      <w:hyperlink r:id="rId293" w:history="1">
        <w:r w:rsidRPr="00B84F91">
          <w:rPr>
            <w:rStyle w:val="Hyperlink"/>
            <w:sz w:val="24"/>
            <w:lang w:val="bg-BG"/>
          </w:rPr>
          <w:t>http://data.europa.eu/eli/reg/2010/439/oj</w:t>
        </w:r>
      </w:hyperlink>
      <w:r w:rsidRPr="00B84F91">
        <w:rPr>
          <w:sz w:val="24"/>
          <w:lang w:val="bg-BG"/>
        </w:rPr>
        <w:t>.</w:t>
      </w:r>
    </w:p>
  </w:footnote>
  <w:footnote w:id="294">
    <w:p w14:paraId="67D53C0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468, 30.12.2021 г., стр. 1, ELI: </w:t>
      </w:r>
      <w:hyperlink r:id="rId294" w:history="1">
        <w:r w:rsidRPr="00B84F91">
          <w:rPr>
            <w:rStyle w:val="Hyperlink"/>
            <w:sz w:val="24"/>
            <w:lang w:val="bg-BG"/>
          </w:rPr>
          <w:t>http://data.europa.eu/eli/reg/2021/2303/oj</w:t>
        </w:r>
      </w:hyperlink>
      <w:r w:rsidRPr="00B84F91">
        <w:rPr>
          <w:sz w:val="24"/>
          <w:lang w:val="bg-BG"/>
        </w:rPr>
        <w:t>.</w:t>
      </w:r>
    </w:p>
  </w:footnote>
  <w:footnote w:id="295">
    <w:p w14:paraId="7A6DAD17"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295" w:history="1">
        <w:r w:rsidRPr="00B84F91">
          <w:rPr>
            <w:rStyle w:val="Hyperlink"/>
            <w:sz w:val="24"/>
            <w:lang w:val="bg-BG"/>
          </w:rPr>
          <w:t>http://data.europa.eu/eli/reg_del/2019/715/oj</w:t>
        </w:r>
      </w:hyperlink>
      <w:r w:rsidRPr="00B84F91">
        <w:rPr>
          <w:sz w:val="24"/>
          <w:lang w:val="bg-BG"/>
        </w:rPr>
        <w:t>.</w:t>
      </w:r>
    </w:p>
  </w:footnote>
  <w:footnote w:id="296">
    <w:p w14:paraId="5C963A8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296" w:history="1">
        <w:r w:rsidRPr="00B84F91">
          <w:rPr>
            <w:rStyle w:val="Hyperlink"/>
            <w:sz w:val="24"/>
            <w:lang w:val="bg-BG"/>
          </w:rPr>
          <w:t>http://data.europa.eu/eli/C/2024/6332/oj</w:t>
        </w:r>
      </w:hyperlink>
      <w:r w:rsidRPr="00B84F91">
        <w:rPr>
          <w:sz w:val="24"/>
          <w:lang w:val="bg-BG"/>
        </w:rPr>
        <w:t>.</w:t>
      </w:r>
    </w:p>
  </w:footnote>
  <w:footnote w:id="297">
    <w:p w14:paraId="0A50FBF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297" w:history="1">
        <w:r w:rsidRPr="00B84F91">
          <w:rPr>
            <w:rStyle w:val="Hyperlink"/>
            <w:sz w:val="24"/>
            <w:lang w:val="bg-BG"/>
          </w:rPr>
          <w:t>http://data.europa.eu/eli/C/2024/6041/oj</w:t>
        </w:r>
      </w:hyperlink>
      <w:r w:rsidRPr="00B84F91">
        <w:rPr>
          <w:sz w:val="24"/>
          <w:lang w:val="bg-BG"/>
        </w:rPr>
        <w:t>.</w:t>
      </w:r>
    </w:p>
  </w:footnote>
  <w:footnote w:id="298">
    <w:p w14:paraId="5FDF8DF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298" w:history="1">
        <w:r w:rsidRPr="00B84F91">
          <w:rPr>
            <w:rStyle w:val="Hyperlink"/>
            <w:sz w:val="24"/>
            <w:lang w:val="bg-BG"/>
          </w:rPr>
          <w:t>http://data.europa.eu/eli/reg/2018/1046/oj</w:t>
        </w:r>
      </w:hyperlink>
      <w:r w:rsidRPr="00B84F91">
        <w:rPr>
          <w:sz w:val="24"/>
          <w:lang w:val="bg-BG"/>
        </w:rPr>
        <w:t>.</w:t>
      </w:r>
    </w:p>
  </w:footnote>
  <w:footnote w:id="299">
    <w:p w14:paraId="1E564F5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299" w:history="1">
        <w:r w:rsidRPr="00B84F91">
          <w:rPr>
            <w:rStyle w:val="Hyperlink"/>
            <w:sz w:val="24"/>
            <w:lang w:val="bg-BG"/>
          </w:rPr>
          <w:t>http://data.europa.eu/eli/reg/2024/2509/oj</w:t>
        </w:r>
      </w:hyperlink>
      <w:r w:rsidRPr="00B84F91">
        <w:rPr>
          <w:rStyle w:val="Hyperlink"/>
          <w:sz w:val="24"/>
          <w:lang w:val="bg-BG"/>
        </w:rPr>
        <w:t>.</w:t>
      </w:r>
    </w:p>
  </w:footnote>
  <w:footnote w:id="300">
    <w:p w14:paraId="702F8EA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132, 29.5.2010 г., стр. 11, ELI: </w:t>
      </w:r>
      <w:hyperlink r:id="rId300" w:history="1">
        <w:r w:rsidRPr="00B84F91">
          <w:rPr>
            <w:rStyle w:val="Hyperlink"/>
            <w:sz w:val="24"/>
            <w:lang w:val="bg-BG"/>
          </w:rPr>
          <w:t>http://data.europa.eu/eli/reg/2010/439/oj</w:t>
        </w:r>
      </w:hyperlink>
      <w:r w:rsidRPr="00B84F91">
        <w:rPr>
          <w:sz w:val="24"/>
          <w:lang w:val="bg-BG"/>
        </w:rPr>
        <w:t>.</w:t>
      </w:r>
    </w:p>
  </w:footnote>
  <w:footnote w:id="301">
    <w:p w14:paraId="6B8198A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468, 30.12.2021 г., стр. 1, ELI: </w:t>
      </w:r>
      <w:hyperlink r:id="rId301" w:history="1">
        <w:r w:rsidRPr="00B84F91">
          <w:rPr>
            <w:rStyle w:val="Hyperlink"/>
            <w:sz w:val="24"/>
            <w:lang w:val="bg-BG"/>
          </w:rPr>
          <w:t>http://data.europa.eu/eli/reg/2021/2303/oj</w:t>
        </w:r>
      </w:hyperlink>
      <w:r w:rsidRPr="00B84F91">
        <w:rPr>
          <w:sz w:val="24"/>
          <w:lang w:val="bg-BG"/>
        </w:rPr>
        <w:t>.</w:t>
      </w:r>
    </w:p>
  </w:footnote>
  <w:footnote w:id="302">
    <w:p w14:paraId="65C9363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02" w:history="1">
        <w:r w:rsidRPr="00B84F91">
          <w:rPr>
            <w:rStyle w:val="Hyperlink"/>
            <w:sz w:val="24"/>
            <w:lang w:val="bg-BG"/>
          </w:rPr>
          <w:t>http://data.europa.eu/eli/reg_del/2019/715/oj</w:t>
        </w:r>
      </w:hyperlink>
      <w:r w:rsidRPr="00B84F91">
        <w:rPr>
          <w:sz w:val="24"/>
          <w:lang w:val="bg-BG"/>
        </w:rPr>
        <w:t>.</w:t>
      </w:r>
    </w:p>
  </w:footnote>
  <w:footnote w:id="303">
    <w:p w14:paraId="73320B8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303" w:history="1">
        <w:r w:rsidRPr="00B84F91">
          <w:rPr>
            <w:rStyle w:val="Hyperlink"/>
            <w:sz w:val="24"/>
            <w:lang w:val="bg-BG"/>
          </w:rPr>
          <w:t>http://data.europa.eu/eli/C/2024/6332/oj</w:t>
        </w:r>
      </w:hyperlink>
      <w:r w:rsidRPr="00B84F91">
        <w:rPr>
          <w:sz w:val="24"/>
          <w:lang w:val="bg-BG"/>
        </w:rPr>
        <w:t>.</w:t>
      </w:r>
    </w:p>
  </w:footnote>
  <w:footnote w:id="304">
    <w:p w14:paraId="61F1770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304" w:history="1">
        <w:r w:rsidRPr="00B84F91">
          <w:rPr>
            <w:rStyle w:val="Hyperlink"/>
            <w:sz w:val="24"/>
            <w:lang w:val="bg-BG"/>
          </w:rPr>
          <w:t>http://data.europa.eu/eli/C/2024/6041/oj</w:t>
        </w:r>
      </w:hyperlink>
      <w:r w:rsidRPr="00B84F91">
        <w:rPr>
          <w:sz w:val="24"/>
          <w:lang w:val="bg-BG"/>
        </w:rPr>
        <w:t>.</w:t>
      </w:r>
    </w:p>
  </w:footnote>
  <w:footnote w:id="305">
    <w:p w14:paraId="076F8BD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05" w:history="1">
        <w:r w:rsidRPr="00B84F91">
          <w:rPr>
            <w:rStyle w:val="Hyperlink"/>
            <w:sz w:val="24"/>
            <w:lang w:val="bg-BG"/>
          </w:rPr>
          <w:t>http://data.europa.eu/eli/reg/2018/1046/oj</w:t>
        </w:r>
      </w:hyperlink>
      <w:r w:rsidRPr="00B84F91">
        <w:rPr>
          <w:sz w:val="24"/>
          <w:lang w:val="bg-BG"/>
        </w:rPr>
        <w:t>.</w:t>
      </w:r>
    </w:p>
  </w:footnote>
  <w:footnote w:id="306">
    <w:p w14:paraId="5D54006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306" w:history="1">
        <w:r w:rsidRPr="00B84F91">
          <w:rPr>
            <w:rStyle w:val="Hyperlink"/>
            <w:sz w:val="24"/>
            <w:lang w:val="bg-BG"/>
          </w:rPr>
          <w:t>http://data.europa.eu/eli/reg/2024/2509/oj</w:t>
        </w:r>
      </w:hyperlink>
      <w:r w:rsidRPr="00B84F91">
        <w:rPr>
          <w:rStyle w:val="Hyperlink"/>
          <w:sz w:val="24"/>
          <w:lang w:val="bg-BG"/>
        </w:rPr>
        <w:t>.</w:t>
      </w:r>
    </w:p>
  </w:footnote>
  <w:footnote w:id="307">
    <w:p w14:paraId="7AA07F0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295, 21.11.2018 г., стр. 99, ELI: </w:t>
      </w:r>
      <w:hyperlink r:id="rId307" w:history="1">
        <w:r w:rsidRPr="00B84F91">
          <w:rPr>
            <w:rStyle w:val="Hyperlink"/>
            <w:sz w:val="24"/>
            <w:lang w:val="bg-BG"/>
          </w:rPr>
          <w:t>http://data.europa.eu/eli/reg/2018/1726/oj</w:t>
        </w:r>
      </w:hyperlink>
      <w:r w:rsidRPr="00B84F91">
        <w:rPr>
          <w:sz w:val="24"/>
          <w:lang w:val="bg-BG"/>
        </w:rPr>
        <w:t>.</w:t>
      </w:r>
    </w:p>
  </w:footnote>
  <w:footnote w:id="308">
    <w:p w14:paraId="7A371DC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08" w:history="1">
        <w:r w:rsidRPr="00B84F91">
          <w:rPr>
            <w:rStyle w:val="Hyperlink"/>
            <w:sz w:val="24"/>
            <w:lang w:val="bg-BG"/>
          </w:rPr>
          <w:t>http://data.europa.eu/eli/reg_del/2019/715/oj</w:t>
        </w:r>
      </w:hyperlink>
      <w:r w:rsidRPr="00B84F91">
        <w:rPr>
          <w:sz w:val="24"/>
          <w:lang w:val="bg-BG"/>
        </w:rPr>
        <w:t>.</w:t>
      </w:r>
    </w:p>
  </w:footnote>
  <w:footnote w:id="309">
    <w:p w14:paraId="2F7EC93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309" w:history="1">
        <w:r w:rsidRPr="00B84F91">
          <w:rPr>
            <w:rStyle w:val="Hyperlink"/>
            <w:sz w:val="24"/>
            <w:lang w:val="bg-BG"/>
          </w:rPr>
          <w:t>http://data.europa.eu/eli/C/2024/6332/oj</w:t>
        </w:r>
      </w:hyperlink>
      <w:r w:rsidRPr="00B84F91">
        <w:rPr>
          <w:sz w:val="24"/>
          <w:lang w:val="bg-BG"/>
        </w:rPr>
        <w:t>.</w:t>
      </w:r>
    </w:p>
  </w:footnote>
  <w:footnote w:id="310">
    <w:p w14:paraId="2DF92B8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310" w:history="1">
        <w:r w:rsidRPr="00B84F91">
          <w:rPr>
            <w:rStyle w:val="Hyperlink"/>
            <w:sz w:val="24"/>
            <w:lang w:val="bg-BG"/>
          </w:rPr>
          <w:t>http://data.europa.eu/eli/C/2024/6041/oj</w:t>
        </w:r>
      </w:hyperlink>
      <w:r w:rsidRPr="00B84F91">
        <w:rPr>
          <w:sz w:val="24"/>
          <w:lang w:val="bg-BG"/>
        </w:rPr>
        <w:t>.</w:t>
      </w:r>
    </w:p>
  </w:footnote>
  <w:footnote w:id="311">
    <w:p w14:paraId="4B08966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11" w:history="1">
        <w:r w:rsidRPr="00B84F91">
          <w:rPr>
            <w:rStyle w:val="Hyperlink"/>
            <w:sz w:val="24"/>
            <w:lang w:val="bg-BG"/>
          </w:rPr>
          <w:t>http://data.europa.eu/eli/reg/2018/1046/oj</w:t>
        </w:r>
      </w:hyperlink>
      <w:r w:rsidRPr="00B84F91">
        <w:rPr>
          <w:sz w:val="24"/>
          <w:lang w:val="bg-BG"/>
        </w:rPr>
        <w:t>.</w:t>
      </w:r>
    </w:p>
  </w:footnote>
  <w:footnote w:id="312">
    <w:p w14:paraId="237E4FD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312" w:history="1">
        <w:r w:rsidRPr="00B84F91">
          <w:rPr>
            <w:rStyle w:val="Hyperlink"/>
            <w:sz w:val="24"/>
            <w:lang w:val="bg-BG"/>
          </w:rPr>
          <w:t>http://data.europa.eu/eli/reg/2024/2509/oj</w:t>
        </w:r>
      </w:hyperlink>
      <w:r w:rsidRPr="00B84F91">
        <w:rPr>
          <w:rStyle w:val="Hyperlink"/>
          <w:sz w:val="24"/>
          <w:lang w:val="bg-BG"/>
        </w:rPr>
        <w:t>.</w:t>
      </w:r>
    </w:p>
  </w:footnote>
  <w:footnote w:id="313">
    <w:p w14:paraId="3FC90EC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295, 21.11.2018 г., стр. 99, ELI: </w:t>
      </w:r>
      <w:hyperlink r:id="rId313" w:history="1">
        <w:r w:rsidRPr="00B84F91">
          <w:rPr>
            <w:rStyle w:val="Hyperlink"/>
            <w:sz w:val="24"/>
            <w:lang w:val="bg-BG"/>
          </w:rPr>
          <w:t>http://data.europa.eu/eli/reg/2018/1726/oj</w:t>
        </w:r>
      </w:hyperlink>
      <w:r w:rsidRPr="00B84F91">
        <w:rPr>
          <w:sz w:val="24"/>
          <w:lang w:val="bg-BG"/>
        </w:rPr>
        <w:t>.</w:t>
      </w:r>
    </w:p>
  </w:footnote>
  <w:footnote w:id="314">
    <w:p w14:paraId="1F4963F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14" w:history="1">
        <w:r w:rsidRPr="00B84F91">
          <w:rPr>
            <w:rStyle w:val="Hyperlink"/>
            <w:sz w:val="24"/>
            <w:lang w:val="bg-BG"/>
          </w:rPr>
          <w:t>http://data.europa.eu/eli/reg_del/2019/715/oj</w:t>
        </w:r>
      </w:hyperlink>
      <w:r w:rsidRPr="00B84F91">
        <w:rPr>
          <w:sz w:val="24"/>
          <w:lang w:val="bg-BG"/>
        </w:rPr>
        <w:t>.</w:t>
      </w:r>
    </w:p>
  </w:footnote>
  <w:footnote w:id="315">
    <w:p w14:paraId="5D8D4CA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315" w:history="1">
        <w:r w:rsidRPr="00B84F91">
          <w:rPr>
            <w:rStyle w:val="Hyperlink"/>
            <w:sz w:val="24"/>
            <w:lang w:val="bg-BG"/>
          </w:rPr>
          <w:t>http://data.europa.eu/eli/C/2024/6332/oj</w:t>
        </w:r>
      </w:hyperlink>
      <w:r w:rsidRPr="00B84F91">
        <w:rPr>
          <w:sz w:val="24"/>
          <w:lang w:val="bg-BG"/>
        </w:rPr>
        <w:t>.</w:t>
      </w:r>
    </w:p>
  </w:footnote>
  <w:footnote w:id="316">
    <w:p w14:paraId="10C3876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316" w:history="1">
        <w:r w:rsidRPr="00B84F91">
          <w:rPr>
            <w:rStyle w:val="Hyperlink"/>
            <w:sz w:val="24"/>
            <w:lang w:val="bg-BG"/>
          </w:rPr>
          <w:t>http://data.europa.eu/eli/C/2024/6041/oj</w:t>
        </w:r>
      </w:hyperlink>
      <w:r w:rsidRPr="00B84F91">
        <w:rPr>
          <w:sz w:val="24"/>
          <w:lang w:val="bg-BG"/>
        </w:rPr>
        <w:t>.</w:t>
      </w:r>
    </w:p>
  </w:footnote>
  <w:footnote w:id="317">
    <w:p w14:paraId="382E4C3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17" w:history="1">
        <w:r w:rsidRPr="00B84F91">
          <w:rPr>
            <w:rStyle w:val="Hyperlink"/>
            <w:sz w:val="24"/>
            <w:lang w:val="bg-BG"/>
          </w:rPr>
          <w:t>http://data.europa.eu/eli/reg/2018/1046/oj</w:t>
        </w:r>
      </w:hyperlink>
      <w:r w:rsidRPr="00B84F91">
        <w:rPr>
          <w:sz w:val="24"/>
          <w:lang w:val="bg-BG"/>
        </w:rPr>
        <w:t>.</w:t>
      </w:r>
    </w:p>
  </w:footnote>
  <w:footnote w:id="318">
    <w:p w14:paraId="632FA77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318" w:history="1">
        <w:r w:rsidRPr="00B84F91">
          <w:rPr>
            <w:rStyle w:val="Hyperlink"/>
            <w:sz w:val="24"/>
            <w:lang w:val="bg-BG"/>
          </w:rPr>
          <w:t>http://data.europa.eu/eli/reg/2024/2509/oj</w:t>
        </w:r>
      </w:hyperlink>
      <w:r w:rsidRPr="00B84F91">
        <w:rPr>
          <w:rStyle w:val="Hyperlink"/>
          <w:sz w:val="24"/>
          <w:lang w:val="bg-BG"/>
        </w:rPr>
        <w:t>.</w:t>
      </w:r>
    </w:p>
  </w:footnote>
  <w:footnote w:id="319">
    <w:p w14:paraId="36392C6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30, 31.1.2019 г., стр. 58, ELI: </w:t>
      </w:r>
      <w:hyperlink r:id="rId319" w:history="1">
        <w:r w:rsidRPr="00B84F91">
          <w:rPr>
            <w:rStyle w:val="Hyperlink"/>
            <w:sz w:val="24"/>
            <w:lang w:val="bg-BG"/>
          </w:rPr>
          <w:t>http://data.europa.eu/eli/reg/2019/126/oj</w:t>
        </w:r>
      </w:hyperlink>
      <w:r w:rsidRPr="00B84F91">
        <w:rPr>
          <w:sz w:val="24"/>
          <w:lang w:val="bg-BG"/>
        </w:rPr>
        <w:t>.</w:t>
      </w:r>
    </w:p>
  </w:footnote>
  <w:footnote w:id="320">
    <w:p w14:paraId="4A68EB3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20" w:history="1">
        <w:r w:rsidRPr="00B84F91">
          <w:rPr>
            <w:rStyle w:val="Hyperlink"/>
            <w:sz w:val="24"/>
            <w:lang w:val="bg-BG"/>
          </w:rPr>
          <w:t>http://data.europa.eu/eli/reg_del/2019/715/oj</w:t>
        </w:r>
      </w:hyperlink>
      <w:r w:rsidRPr="00B84F91">
        <w:rPr>
          <w:sz w:val="24"/>
          <w:lang w:val="bg-BG"/>
        </w:rPr>
        <w:t>.</w:t>
      </w:r>
    </w:p>
  </w:footnote>
  <w:footnote w:id="321">
    <w:p w14:paraId="3613A21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321" w:history="1">
        <w:r w:rsidRPr="00B84F91">
          <w:rPr>
            <w:rStyle w:val="Hyperlink"/>
            <w:sz w:val="24"/>
            <w:lang w:val="bg-BG"/>
          </w:rPr>
          <w:t>http://data.europa.eu/eli/C/2024/6332/oj</w:t>
        </w:r>
      </w:hyperlink>
      <w:r w:rsidRPr="00B84F91">
        <w:rPr>
          <w:sz w:val="24"/>
          <w:lang w:val="bg-BG"/>
        </w:rPr>
        <w:t>.</w:t>
      </w:r>
    </w:p>
  </w:footnote>
  <w:footnote w:id="322">
    <w:p w14:paraId="2A3E771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322" w:history="1">
        <w:r w:rsidRPr="00B84F91">
          <w:rPr>
            <w:rStyle w:val="Hyperlink"/>
            <w:sz w:val="24"/>
            <w:lang w:val="bg-BG"/>
          </w:rPr>
          <w:t>http://data.europa.eu/eli/C/2024/6041/oj</w:t>
        </w:r>
      </w:hyperlink>
      <w:r w:rsidRPr="00B84F91">
        <w:rPr>
          <w:sz w:val="24"/>
          <w:lang w:val="bg-BG"/>
        </w:rPr>
        <w:t>.</w:t>
      </w:r>
    </w:p>
  </w:footnote>
  <w:footnote w:id="323">
    <w:p w14:paraId="396C922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23" w:history="1">
        <w:r w:rsidRPr="00B84F91">
          <w:rPr>
            <w:rStyle w:val="Hyperlink"/>
            <w:sz w:val="24"/>
            <w:lang w:val="bg-BG"/>
          </w:rPr>
          <w:t>http://data.europa.eu/eli/reg/2018/1046/oj</w:t>
        </w:r>
      </w:hyperlink>
      <w:r w:rsidRPr="00B84F91">
        <w:rPr>
          <w:sz w:val="24"/>
          <w:lang w:val="bg-BG"/>
        </w:rPr>
        <w:t>.</w:t>
      </w:r>
    </w:p>
  </w:footnote>
  <w:footnote w:id="324">
    <w:p w14:paraId="15302E0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324" w:history="1">
        <w:r w:rsidRPr="00B84F91">
          <w:rPr>
            <w:rStyle w:val="Hyperlink"/>
            <w:sz w:val="24"/>
            <w:lang w:val="bg-BG"/>
          </w:rPr>
          <w:t>http://data.europa.eu/eli/reg/2024/2509/oj</w:t>
        </w:r>
      </w:hyperlink>
      <w:r w:rsidRPr="00B84F91">
        <w:rPr>
          <w:rStyle w:val="Hyperlink"/>
          <w:sz w:val="24"/>
          <w:lang w:val="bg-BG"/>
        </w:rPr>
        <w:t>.</w:t>
      </w:r>
    </w:p>
  </w:footnote>
  <w:footnote w:id="325">
    <w:p w14:paraId="7463659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30, 31.1.2019 г., стр. 58, ELI: </w:t>
      </w:r>
      <w:hyperlink r:id="rId325" w:history="1">
        <w:r w:rsidRPr="00B84F91">
          <w:rPr>
            <w:rStyle w:val="Hyperlink"/>
            <w:sz w:val="24"/>
            <w:lang w:val="bg-BG"/>
          </w:rPr>
          <w:t>http://data.europa.eu/eli/reg/2019/126/oj</w:t>
        </w:r>
      </w:hyperlink>
      <w:r w:rsidRPr="00B84F91">
        <w:rPr>
          <w:sz w:val="24"/>
          <w:lang w:val="bg-BG"/>
        </w:rPr>
        <w:t>.</w:t>
      </w:r>
    </w:p>
  </w:footnote>
  <w:footnote w:id="326">
    <w:p w14:paraId="243C320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26" w:history="1">
        <w:r w:rsidRPr="00B84F91">
          <w:rPr>
            <w:rStyle w:val="Hyperlink"/>
            <w:sz w:val="24"/>
            <w:lang w:val="bg-BG"/>
          </w:rPr>
          <w:t>http://data.europa.eu/eli/reg_del/2019/715/oj</w:t>
        </w:r>
      </w:hyperlink>
      <w:r w:rsidRPr="00B84F91">
        <w:rPr>
          <w:sz w:val="24"/>
          <w:lang w:val="bg-BG"/>
        </w:rPr>
        <w:t>.</w:t>
      </w:r>
    </w:p>
  </w:footnote>
  <w:footnote w:id="327">
    <w:p w14:paraId="34584C5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327" w:history="1">
        <w:r w:rsidRPr="00B84F91">
          <w:rPr>
            <w:rStyle w:val="Hyperlink"/>
            <w:sz w:val="24"/>
            <w:lang w:val="bg-BG"/>
          </w:rPr>
          <w:t>http://data.europa.eu/eli/C/2024/6332/oj</w:t>
        </w:r>
      </w:hyperlink>
      <w:r w:rsidRPr="00B84F91">
        <w:rPr>
          <w:sz w:val="24"/>
          <w:lang w:val="bg-BG"/>
        </w:rPr>
        <w:t>.</w:t>
      </w:r>
    </w:p>
  </w:footnote>
  <w:footnote w:id="328">
    <w:p w14:paraId="3A74E9D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328" w:history="1">
        <w:r w:rsidRPr="00B84F91">
          <w:rPr>
            <w:rStyle w:val="Hyperlink"/>
            <w:sz w:val="24"/>
            <w:lang w:val="bg-BG"/>
          </w:rPr>
          <w:t>http://data.europa.eu/eli/C/2024/6041/oj</w:t>
        </w:r>
      </w:hyperlink>
      <w:r w:rsidRPr="00B84F91">
        <w:rPr>
          <w:sz w:val="24"/>
          <w:lang w:val="bg-BG"/>
        </w:rPr>
        <w:t>.</w:t>
      </w:r>
    </w:p>
  </w:footnote>
  <w:footnote w:id="329">
    <w:p w14:paraId="323AAC5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29" w:history="1">
        <w:r w:rsidRPr="00B84F91">
          <w:rPr>
            <w:rStyle w:val="Hyperlink"/>
            <w:sz w:val="24"/>
            <w:lang w:val="bg-BG"/>
          </w:rPr>
          <w:t>http://data.europa.eu/eli/reg/2018/1046/oj</w:t>
        </w:r>
      </w:hyperlink>
      <w:r w:rsidRPr="00B84F91">
        <w:rPr>
          <w:sz w:val="24"/>
          <w:lang w:val="bg-BG"/>
        </w:rPr>
        <w:t>.</w:t>
      </w:r>
    </w:p>
  </w:footnote>
  <w:footnote w:id="330">
    <w:p w14:paraId="0FF2BFB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330" w:history="1">
        <w:r w:rsidRPr="00B84F91">
          <w:rPr>
            <w:rStyle w:val="Hyperlink"/>
            <w:sz w:val="24"/>
            <w:lang w:val="bg-BG"/>
          </w:rPr>
          <w:t>http://data.europa.eu/eli/reg/2024/2509/oj</w:t>
        </w:r>
      </w:hyperlink>
      <w:r w:rsidRPr="00B84F91">
        <w:rPr>
          <w:rStyle w:val="Hyperlink"/>
          <w:sz w:val="24"/>
          <w:lang w:val="bg-BG"/>
        </w:rPr>
        <w:t>.</w:t>
      </w:r>
    </w:p>
  </w:footnote>
  <w:footnote w:id="331">
    <w:p w14:paraId="6EB223E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30, 31.1.2019 г., стр. 74, ELI: </w:t>
      </w:r>
      <w:hyperlink r:id="rId331" w:history="1">
        <w:r w:rsidRPr="00B84F91">
          <w:rPr>
            <w:rStyle w:val="Hyperlink"/>
            <w:sz w:val="24"/>
            <w:lang w:val="bg-BG"/>
          </w:rPr>
          <w:t>http://data.europa.eu/eli/reg/2019/127/oj</w:t>
        </w:r>
      </w:hyperlink>
      <w:r w:rsidRPr="00B84F91">
        <w:rPr>
          <w:sz w:val="24"/>
          <w:lang w:val="bg-BG"/>
        </w:rPr>
        <w:t>.</w:t>
      </w:r>
    </w:p>
  </w:footnote>
  <w:footnote w:id="332">
    <w:p w14:paraId="43182CE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32" w:history="1">
        <w:r w:rsidRPr="00B84F91">
          <w:rPr>
            <w:rStyle w:val="Hyperlink"/>
            <w:sz w:val="24"/>
            <w:lang w:val="bg-BG"/>
          </w:rPr>
          <w:t>http://data.europa.eu/eli/reg_del/2019/715/oj</w:t>
        </w:r>
      </w:hyperlink>
      <w:r w:rsidRPr="00B84F91">
        <w:rPr>
          <w:sz w:val="24"/>
          <w:lang w:val="bg-BG"/>
        </w:rPr>
        <w:t>.</w:t>
      </w:r>
    </w:p>
  </w:footnote>
  <w:footnote w:id="333">
    <w:p w14:paraId="117EBD8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333" w:history="1">
        <w:r w:rsidRPr="00B84F91">
          <w:rPr>
            <w:rStyle w:val="Hyperlink"/>
            <w:sz w:val="24"/>
            <w:lang w:val="bg-BG"/>
          </w:rPr>
          <w:t>http://data.europa.eu/eli/C/2024/6332/oj</w:t>
        </w:r>
      </w:hyperlink>
      <w:r w:rsidRPr="00B84F91">
        <w:rPr>
          <w:sz w:val="24"/>
          <w:lang w:val="bg-BG"/>
        </w:rPr>
        <w:t>.</w:t>
      </w:r>
    </w:p>
  </w:footnote>
  <w:footnote w:id="334">
    <w:p w14:paraId="4639E5A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334" w:history="1">
        <w:r w:rsidRPr="00B84F91">
          <w:rPr>
            <w:rStyle w:val="Hyperlink"/>
            <w:sz w:val="24"/>
            <w:lang w:val="bg-BG"/>
          </w:rPr>
          <w:t>http://data.europa.eu/eli/C/2024/6041/oj</w:t>
        </w:r>
      </w:hyperlink>
      <w:r w:rsidRPr="00B84F91">
        <w:rPr>
          <w:sz w:val="24"/>
          <w:lang w:val="bg-BG"/>
        </w:rPr>
        <w:t>.</w:t>
      </w:r>
    </w:p>
  </w:footnote>
  <w:footnote w:id="335">
    <w:p w14:paraId="362CB41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35" w:history="1">
        <w:r w:rsidRPr="00B84F91">
          <w:rPr>
            <w:rStyle w:val="Hyperlink"/>
            <w:sz w:val="24"/>
            <w:lang w:val="bg-BG"/>
          </w:rPr>
          <w:t>http://data.europa.eu/eli/reg/2018/1046/oj</w:t>
        </w:r>
      </w:hyperlink>
      <w:r w:rsidRPr="00B84F91">
        <w:rPr>
          <w:sz w:val="24"/>
          <w:lang w:val="bg-BG"/>
        </w:rPr>
        <w:t>.</w:t>
      </w:r>
    </w:p>
  </w:footnote>
  <w:footnote w:id="336">
    <w:p w14:paraId="6C06214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336" w:history="1">
        <w:r w:rsidRPr="00B84F91">
          <w:rPr>
            <w:rStyle w:val="Hyperlink"/>
            <w:sz w:val="24"/>
            <w:lang w:val="bg-BG"/>
          </w:rPr>
          <w:t>http://data.europa.eu/eli/reg/2024/2509/oj</w:t>
        </w:r>
      </w:hyperlink>
      <w:r w:rsidRPr="00B84F91">
        <w:rPr>
          <w:rStyle w:val="Hyperlink"/>
          <w:sz w:val="24"/>
          <w:lang w:val="bg-BG"/>
        </w:rPr>
        <w:t>.</w:t>
      </w:r>
    </w:p>
  </w:footnote>
  <w:footnote w:id="337">
    <w:p w14:paraId="4236DCA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30, 31.1.2019 г., стр. 74, ELI: </w:t>
      </w:r>
      <w:hyperlink r:id="rId337" w:history="1">
        <w:r w:rsidRPr="00B84F91">
          <w:rPr>
            <w:rStyle w:val="Hyperlink"/>
            <w:sz w:val="24"/>
            <w:lang w:val="bg-BG"/>
          </w:rPr>
          <w:t>http://data.europa.eu/eli/reg/2019/127/oj</w:t>
        </w:r>
      </w:hyperlink>
      <w:r w:rsidRPr="00B84F91">
        <w:rPr>
          <w:sz w:val="24"/>
          <w:lang w:val="bg-BG"/>
        </w:rPr>
        <w:t>.</w:t>
      </w:r>
    </w:p>
  </w:footnote>
  <w:footnote w:id="338">
    <w:p w14:paraId="4DBCFB37"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38" w:history="1">
        <w:r w:rsidRPr="00B84F91">
          <w:rPr>
            <w:rStyle w:val="Hyperlink"/>
            <w:sz w:val="24"/>
            <w:lang w:val="bg-BG"/>
          </w:rPr>
          <w:t>http://data.europa.eu/eli/reg_del/2019/715/oj</w:t>
        </w:r>
      </w:hyperlink>
      <w:r w:rsidRPr="00B84F91">
        <w:rPr>
          <w:sz w:val="24"/>
          <w:lang w:val="bg-BG"/>
        </w:rPr>
        <w:t>.</w:t>
      </w:r>
    </w:p>
  </w:footnote>
  <w:footnote w:id="339">
    <w:p w14:paraId="65FE5E6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339" w:history="1">
        <w:r w:rsidRPr="00B84F91">
          <w:rPr>
            <w:rStyle w:val="Hyperlink"/>
            <w:sz w:val="24"/>
            <w:lang w:val="bg-BG"/>
          </w:rPr>
          <w:t>http://data.europa.eu/eli/C/2024/6332/oj</w:t>
        </w:r>
      </w:hyperlink>
      <w:r w:rsidRPr="00B84F91">
        <w:rPr>
          <w:sz w:val="24"/>
          <w:lang w:val="bg-BG"/>
        </w:rPr>
        <w:t>.</w:t>
      </w:r>
    </w:p>
  </w:footnote>
  <w:footnote w:id="340">
    <w:p w14:paraId="6A792F3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340" w:history="1">
        <w:r w:rsidRPr="00B84F91">
          <w:rPr>
            <w:rStyle w:val="Hyperlink"/>
            <w:sz w:val="24"/>
            <w:lang w:val="bg-BG"/>
          </w:rPr>
          <w:t>http://data.europa.eu/eli/C/2024/6041/oj</w:t>
        </w:r>
      </w:hyperlink>
      <w:r w:rsidRPr="00B84F91">
        <w:rPr>
          <w:sz w:val="24"/>
          <w:lang w:val="bg-BG"/>
        </w:rPr>
        <w:t>.</w:t>
      </w:r>
    </w:p>
  </w:footnote>
  <w:footnote w:id="341">
    <w:p w14:paraId="46157D5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41" w:history="1">
        <w:r w:rsidRPr="00B84F91">
          <w:rPr>
            <w:rStyle w:val="Hyperlink"/>
            <w:sz w:val="24"/>
            <w:lang w:val="bg-BG"/>
          </w:rPr>
          <w:t>http://data.europa.eu/eli/reg/2018/1046/oj</w:t>
        </w:r>
      </w:hyperlink>
      <w:r w:rsidRPr="00B84F91">
        <w:rPr>
          <w:sz w:val="24"/>
          <w:lang w:val="bg-BG"/>
        </w:rPr>
        <w:t>.</w:t>
      </w:r>
    </w:p>
  </w:footnote>
  <w:footnote w:id="342">
    <w:p w14:paraId="41755D9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342" w:history="1">
        <w:r w:rsidRPr="00B84F91">
          <w:rPr>
            <w:rStyle w:val="Hyperlink"/>
            <w:sz w:val="24"/>
            <w:lang w:val="bg-BG"/>
          </w:rPr>
          <w:t>http://data.europa.eu/eli/reg/2024/2509/oj</w:t>
        </w:r>
      </w:hyperlink>
      <w:r w:rsidRPr="00B84F91">
        <w:rPr>
          <w:rStyle w:val="Hyperlink"/>
          <w:sz w:val="24"/>
          <w:lang w:val="bg-BG"/>
        </w:rPr>
        <w:t>.</w:t>
      </w:r>
    </w:p>
  </w:footnote>
  <w:footnote w:id="343">
    <w:p w14:paraId="4E939F6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295, 21.11.2018 г., стр. 138, ELI: </w:t>
      </w:r>
      <w:hyperlink r:id="rId343" w:history="1">
        <w:r w:rsidRPr="00B84F91">
          <w:rPr>
            <w:rStyle w:val="Hyperlink"/>
            <w:sz w:val="24"/>
            <w:lang w:val="bg-BG"/>
          </w:rPr>
          <w:t>http://data.europa.eu/eli/reg/2018/1727/oj</w:t>
        </w:r>
      </w:hyperlink>
      <w:r w:rsidRPr="00B84F91">
        <w:rPr>
          <w:sz w:val="24"/>
          <w:lang w:val="bg-BG"/>
        </w:rPr>
        <w:t>.</w:t>
      </w:r>
    </w:p>
  </w:footnote>
  <w:footnote w:id="344">
    <w:p w14:paraId="105610F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44" w:history="1">
        <w:r w:rsidRPr="00B84F91">
          <w:rPr>
            <w:rStyle w:val="Hyperlink"/>
            <w:sz w:val="24"/>
            <w:lang w:val="bg-BG"/>
          </w:rPr>
          <w:t>http://data.europa.eu/eli/reg_del/2019/715/oj</w:t>
        </w:r>
      </w:hyperlink>
      <w:r w:rsidRPr="00B84F91">
        <w:rPr>
          <w:sz w:val="24"/>
          <w:lang w:val="bg-BG"/>
        </w:rPr>
        <w:t>.</w:t>
      </w:r>
    </w:p>
  </w:footnote>
  <w:footnote w:id="345">
    <w:p w14:paraId="50D5036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345" w:history="1">
        <w:r w:rsidRPr="00B84F91">
          <w:rPr>
            <w:rStyle w:val="Hyperlink"/>
            <w:sz w:val="24"/>
            <w:lang w:val="bg-BG"/>
          </w:rPr>
          <w:t>http://data.europa.eu/eli/C/2024/6332/oj</w:t>
        </w:r>
      </w:hyperlink>
      <w:r w:rsidRPr="00B84F91">
        <w:rPr>
          <w:sz w:val="24"/>
          <w:lang w:val="bg-BG"/>
        </w:rPr>
        <w:t>.</w:t>
      </w:r>
    </w:p>
  </w:footnote>
  <w:footnote w:id="346">
    <w:p w14:paraId="16F0916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346" w:history="1">
        <w:r w:rsidRPr="00B84F91">
          <w:rPr>
            <w:rStyle w:val="Hyperlink"/>
            <w:sz w:val="24"/>
            <w:lang w:val="bg-BG"/>
          </w:rPr>
          <w:t>http://data.europa.eu/eli/C/2024/6041/oj</w:t>
        </w:r>
      </w:hyperlink>
      <w:r w:rsidRPr="00B84F91">
        <w:rPr>
          <w:sz w:val="24"/>
          <w:lang w:val="bg-BG"/>
        </w:rPr>
        <w:t>.</w:t>
      </w:r>
    </w:p>
  </w:footnote>
  <w:footnote w:id="347">
    <w:p w14:paraId="260740D0"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47" w:history="1">
        <w:r w:rsidRPr="00B84F91">
          <w:rPr>
            <w:rStyle w:val="Hyperlink"/>
            <w:sz w:val="24"/>
            <w:lang w:val="bg-BG"/>
          </w:rPr>
          <w:t>http://data.europa.eu/eli/reg/2018/1046/oj</w:t>
        </w:r>
      </w:hyperlink>
      <w:r w:rsidRPr="00B84F91">
        <w:rPr>
          <w:sz w:val="24"/>
          <w:lang w:val="bg-BG"/>
        </w:rPr>
        <w:t>.</w:t>
      </w:r>
    </w:p>
  </w:footnote>
  <w:footnote w:id="348">
    <w:p w14:paraId="7F4E32F7"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348" w:history="1">
        <w:r w:rsidRPr="00B84F91">
          <w:rPr>
            <w:rStyle w:val="Hyperlink"/>
            <w:sz w:val="24"/>
            <w:lang w:val="bg-BG"/>
          </w:rPr>
          <w:t>http://data.europa.eu/eli/reg/2024/2509/oj</w:t>
        </w:r>
      </w:hyperlink>
      <w:r w:rsidRPr="00B84F91">
        <w:rPr>
          <w:rStyle w:val="Hyperlink"/>
          <w:sz w:val="24"/>
          <w:lang w:val="bg-BG"/>
        </w:rPr>
        <w:t>.</w:t>
      </w:r>
    </w:p>
  </w:footnote>
  <w:footnote w:id="349">
    <w:p w14:paraId="760631E7"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295, 21.11.2018 г., стр. 138, ELI: </w:t>
      </w:r>
      <w:hyperlink r:id="rId349" w:history="1">
        <w:r w:rsidRPr="00B84F91">
          <w:rPr>
            <w:rStyle w:val="Hyperlink"/>
            <w:sz w:val="24"/>
            <w:lang w:val="bg-BG"/>
          </w:rPr>
          <w:t>http://data.europa.eu/eli/reg/2018/1727/oj</w:t>
        </w:r>
      </w:hyperlink>
      <w:r w:rsidRPr="00B84F91">
        <w:rPr>
          <w:sz w:val="24"/>
          <w:lang w:val="bg-BG"/>
        </w:rPr>
        <w:t>.</w:t>
      </w:r>
    </w:p>
  </w:footnote>
  <w:footnote w:id="350">
    <w:p w14:paraId="66B554A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50" w:history="1">
        <w:r w:rsidRPr="00B84F91">
          <w:rPr>
            <w:rStyle w:val="Hyperlink"/>
            <w:sz w:val="24"/>
            <w:lang w:val="bg-BG"/>
          </w:rPr>
          <w:t>http://data.europa.eu/eli/reg_del/2019/715/oj</w:t>
        </w:r>
      </w:hyperlink>
      <w:r w:rsidRPr="00B84F91">
        <w:rPr>
          <w:sz w:val="24"/>
          <w:lang w:val="bg-BG"/>
        </w:rPr>
        <w:t>.</w:t>
      </w:r>
    </w:p>
  </w:footnote>
  <w:footnote w:id="351">
    <w:p w14:paraId="557CFCC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351" w:history="1">
        <w:r w:rsidRPr="00B84F91">
          <w:rPr>
            <w:rStyle w:val="Hyperlink"/>
            <w:sz w:val="24"/>
            <w:lang w:val="bg-BG"/>
          </w:rPr>
          <w:t>http://data.europa.eu/eli/C/2024/6332/oj</w:t>
        </w:r>
      </w:hyperlink>
      <w:r w:rsidRPr="00B84F91">
        <w:rPr>
          <w:sz w:val="24"/>
          <w:lang w:val="bg-BG"/>
        </w:rPr>
        <w:t>.</w:t>
      </w:r>
    </w:p>
  </w:footnote>
  <w:footnote w:id="352">
    <w:p w14:paraId="36FB53E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352" w:history="1">
        <w:r w:rsidRPr="00B84F91">
          <w:rPr>
            <w:rStyle w:val="Hyperlink"/>
            <w:sz w:val="24"/>
            <w:lang w:val="bg-BG"/>
          </w:rPr>
          <w:t>http://data.europa.eu/eli/C/2024/6041/oj</w:t>
        </w:r>
      </w:hyperlink>
      <w:r w:rsidRPr="00B84F91">
        <w:rPr>
          <w:sz w:val="24"/>
          <w:lang w:val="bg-BG"/>
        </w:rPr>
        <w:t>.</w:t>
      </w:r>
    </w:p>
  </w:footnote>
  <w:footnote w:id="353">
    <w:p w14:paraId="62CDF84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53" w:history="1">
        <w:r w:rsidRPr="00B84F91">
          <w:rPr>
            <w:rStyle w:val="Hyperlink"/>
            <w:sz w:val="24"/>
            <w:lang w:val="bg-BG"/>
          </w:rPr>
          <w:t>http://data.europa.eu/eli/reg/2018/1046/oj</w:t>
        </w:r>
      </w:hyperlink>
      <w:r w:rsidRPr="00B84F91">
        <w:rPr>
          <w:sz w:val="24"/>
          <w:lang w:val="bg-BG"/>
        </w:rPr>
        <w:t>.</w:t>
      </w:r>
    </w:p>
  </w:footnote>
  <w:footnote w:id="354">
    <w:p w14:paraId="12BA298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354" w:history="1">
        <w:r w:rsidRPr="00B84F91">
          <w:rPr>
            <w:rStyle w:val="Hyperlink"/>
            <w:sz w:val="24"/>
            <w:lang w:val="bg-BG"/>
          </w:rPr>
          <w:t>http://data.europa.eu/eli/reg/2024/2509/oj</w:t>
        </w:r>
      </w:hyperlink>
      <w:r w:rsidRPr="00B84F91">
        <w:rPr>
          <w:rStyle w:val="Hyperlink"/>
          <w:sz w:val="24"/>
          <w:lang w:val="bg-BG"/>
        </w:rPr>
        <w:t>.</w:t>
      </w:r>
    </w:p>
  </w:footnote>
  <w:footnote w:id="355">
    <w:p w14:paraId="0AD7542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135, 24.5.2016 г., стр. 53, ELI: </w:t>
      </w:r>
      <w:hyperlink r:id="rId355" w:history="1">
        <w:r w:rsidRPr="00B84F91">
          <w:rPr>
            <w:rStyle w:val="Hyperlink"/>
            <w:sz w:val="24"/>
            <w:lang w:val="bg-BG"/>
          </w:rPr>
          <w:t>http://data.europa.eu/eli/reg/2016/794/oj</w:t>
        </w:r>
      </w:hyperlink>
      <w:r w:rsidRPr="00B84F91">
        <w:rPr>
          <w:sz w:val="24"/>
          <w:lang w:val="bg-BG"/>
        </w:rPr>
        <w:t>.</w:t>
      </w:r>
    </w:p>
  </w:footnote>
  <w:footnote w:id="356">
    <w:p w14:paraId="01C3C2D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56" w:history="1">
        <w:r w:rsidRPr="00B84F91">
          <w:rPr>
            <w:rStyle w:val="Hyperlink"/>
            <w:sz w:val="24"/>
            <w:lang w:val="bg-BG"/>
          </w:rPr>
          <w:t>http://data.europa.eu/eli/reg_del/2019/715/oj</w:t>
        </w:r>
      </w:hyperlink>
      <w:r w:rsidRPr="00B84F91">
        <w:rPr>
          <w:sz w:val="24"/>
          <w:lang w:val="bg-BG"/>
        </w:rPr>
        <w:t>.</w:t>
      </w:r>
    </w:p>
  </w:footnote>
  <w:footnote w:id="357">
    <w:p w14:paraId="4E16A32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357" w:history="1">
        <w:r w:rsidRPr="00B84F91">
          <w:rPr>
            <w:rStyle w:val="Hyperlink"/>
            <w:sz w:val="24"/>
            <w:lang w:val="bg-BG"/>
          </w:rPr>
          <w:t>http://data.europa.eu/eli/C/2024/6332/oj</w:t>
        </w:r>
      </w:hyperlink>
      <w:r w:rsidRPr="00B84F91">
        <w:rPr>
          <w:sz w:val="24"/>
          <w:lang w:val="bg-BG"/>
        </w:rPr>
        <w:t>.</w:t>
      </w:r>
    </w:p>
  </w:footnote>
  <w:footnote w:id="358">
    <w:p w14:paraId="557EAC7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358" w:history="1">
        <w:r w:rsidRPr="00B84F91">
          <w:rPr>
            <w:rStyle w:val="Hyperlink"/>
            <w:sz w:val="24"/>
            <w:lang w:val="bg-BG"/>
          </w:rPr>
          <w:t>http://data.europa.eu/eli/C/2024/6041/oj</w:t>
        </w:r>
      </w:hyperlink>
      <w:r w:rsidRPr="00B84F91">
        <w:rPr>
          <w:sz w:val="24"/>
          <w:lang w:val="bg-BG"/>
        </w:rPr>
        <w:t>.</w:t>
      </w:r>
    </w:p>
  </w:footnote>
  <w:footnote w:id="359">
    <w:p w14:paraId="77AC68F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59" w:history="1">
        <w:r w:rsidRPr="00B84F91">
          <w:rPr>
            <w:rStyle w:val="Hyperlink"/>
            <w:sz w:val="24"/>
            <w:lang w:val="bg-BG"/>
          </w:rPr>
          <w:t>http://data.europa.eu/eli/reg/2018/1046/oj</w:t>
        </w:r>
      </w:hyperlink>
      <w:r w:rsidRPr="00B84F91">
        <w:rPr>
          <w:sz w:val="24"/>
          <w:lang w:val="bg-BG"/>
        </w:rPr>
        <w:t>.</w:t>
      </w:r>
    </w:p>
  </w:footnote>
  <w:footnote w:id="360">
    <w:p w14:paraId="2C449E7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360" w:history="1">
        <w:r w:rsidRPr="00B84F91">
          <w:rPr>
            <w:rStyle w:val="Hyperlink"/>
            <w:sz w:val="24"/>
            <w:lang w:val="bg-BG"/>
          </w:rPr>
          <w:t>http://data.europa.eu/eli/reg/2024/2509/oj</w:t>
        </w:r>
      </w:hyperlink>
      <w:r w:rsidRPr="00B84F91">
        <w:rPr>
          <w:rStyle w:val="Hyperlink"/>
          <w:sz w:val="24"/>
          <w:lang w:val="bg-BG"/>
        </w:rPr>
        <w:t>.</w:t>
      </w:r>
    </w:p>
  </w:footnote>
  <w:footnote w:id="361">
    <w:p w14:paraId="5F80B62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135, 24.5.2016 г., стр. 53, ELI: </w:t>
      </w:r>
      <w:hyperlink r:id="rId361" w:history="1">
        <w:r w:rsidRPr="00B84F91">
          <w:rPr>
            <w:rStyle w:val="Hyperlink"/>
            <w:sz w:val="24"/>
            <w:lang w:val="bg-BG"/>
          </w:rPr>
          <w:t>http://data.europa.eu/eli/reg/2016/794/oj</w:t>
        </w:r>
      </w:hyperlink>
      <w:r w:rsidRPr="00B84F91">
        <w:rPr>
          <w:sz w:val="24"/>
          <w:lang w:val="bg-BG"/>
        </w:rPr>
        <w:t>.</w:t>
      </w:r>
    </w:p>
  </w:footnote>
  <w:footnote w:id="362">
    <w:p w14:paraId="67D94F2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62" w:history="1">
        <w:r w:rsidRPr="00B84F91">
          <w:rPr>
            <w:rStyle w:val="Hyperlink"/>
            <w:sz w:val="24"/>
            <w:lang w:val="bg-BG"/>
          </w:rPr>
          <w:t>http://data.europa.eu/eli/reg_del/2019/715/oj</w:t>
        </w:r>
      </w:hyperlink>
      <w:r w:rsidRPr="00B84F91">
        <w:rPr>
          <w:sz w:val="24"/>
          <w:lang w:val="bg-BG"/>
        </w:rPr>
        <w:t>.</w:t>
      </w:r>
    </w:p>
  </w:footnote>
  <w:footnote w:id="363">
    <w:p w14:paraId="16BEB2E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363" w:history="1">
        <w:r w:rsidRPr="00B84F91">
          <w:rPr>
            <w:rStyle w:val="Hyperlink"/>
            <w:sz w:val="24"/>
            <w:lang w:val="bg-BG"/>
          </w:rPr>
          <w:t>http://data.europa.eu/eli/C/2024/6332/oj</w:t>
        </w:r>
      </w:hyperlink>
      <w:r w:rsidRPr="00B84F91">
        <w:rPr>
          <w:sz w:val="24"/>
          <w:lang w:val="bg-BG"/>
        </w:rPr>
        <w:t>.</w:t>
      </w:r>
    </w:p>
  </w:footnote>
  <w:footnote w:id="364">
    <w:p w14:paraId="2CE348E7"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364" w:history="1">
        <w:r w:rsidRPr="00B84F91">
          <w:rPr>
            <w:rStyle w:val="Hyperlink"/>
            <w:sz w:val="24"/>
            <w:lang w:val="bg-BG"/>
          </w:rPr>
          <w:t>http://data.europa.eu/eli/C/2024/6041/oj</w:t>
        </w:r>
      </w:hyperlink>
      <w:r w:rsidRPr="00B84F91">
        <w:rPr>
          <w:sz w:val="24"/>
          <w:lang w:val="bg-BG"/>
        </w:rPr>
        <w:t>.</w:t>
      </w:r>
    </w:p>
  </w:footnote>
  <w:footnote w:id="365">
    <w:p w14:paraId="267083B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65" w:history="1">
        <w:r w:rsidRPr="00B84F91">
          <w:rPr>
            <w:rStyle w:val="Hyperlink"/>
            <w:sz w:val="24"/>
            <w:lang w:val="bg-BG"/>
          </w:rPr>
          <w:t>http://data.europa.eu/eli/reg/2018/1046/oj</w:t>
        </w:r>
      </w:hyperlink>
      <w:r w:rsidRPr="00B84F91">
        <w:rPr>
          <w:sz w:val="24"/>
          <w:lang w:val="bg-BG"/>
        </w:rPr>
        <w:t>.</w:t>
      </w:r>
    </w:p>
  </w:footnote>
  <w:footnote w:id="366">
    <w:p w14:paraId="457A978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366" w:history="1">
        <w:r w:rsidRPr="00B84F91">
          <w:rPr>
            <w:rStyle w:val="Hyperlink"/>
            <w:sz w:val="24"/>
            <w:lang w:val="bg-BG"/>
          </w:rPr>
          <w:t>http://data.europa.eu/eli/reg/2024/2509/oj</w:t>
        </w:r>
      </w:hyperlink>
      <w:r w:rsidRPr="00B84F91">
        <w:rPr>
          <w:rStyle w:val="Hyperlink"/>
          <w:sz w:val="24"/>
          <w:lang w:val="bg-BG"/>
        </w:rPr>
        <w:t>.</w:t>
      </w:r>
    </w:p>
  </w:footnote>
  <w:footnote w:id="367">
    <w:p w14:paraId="0B138317"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170, 12.5.2021 г., стр. 69, ELI: </w:t>
      </w:r>
      <w:hyperlink r:id="rId367" w:history="1">
        <w:r w:rsidRPr="00B84F91">
          <w:rPr>
            <w:rStyle w:val="Hyperlink"/>
            <w:sz w:val="24"/>
            <w:lang w:val="bg-BG"/>
          </w:rPr>
          <w:t>http://data.europa.eu/eli/reg/2021/696/oj</w:t>
        </w:r>
      </w:hyperlink>
      <w:r w:rsidRPr="00B84F91">
        <w:rPr>
          <w:sz w:val="24"/>
          <w:lang w:val="bg-BG"/>
        </w:rPr>
        <w:t>.</w:t>
      </w:r>
    </w:p>
  </w:footnote>
  <w:footnote w:id="368">
    <w:p w14:paraId="0698BE8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68" w:history="1">
        <w:r w:rsidRPr="00B84F91">
          <w:rPr>
            <w:rStyle w:val="Hyperlink"/>
            <w:sz w:val="24"/>
            <w:lang w:val="bg-BG"/>
          </w:rPr>
          <w:t>http://data.europa.eu/eli/reg_del/2019/715/oj</w:t>
        </w:r>
      </w:hyperlink>
      <w:r w:rsidRPr="00B84F91">
        <w:rPr>
          <w:sz w:val="24"/>
          <w:lang w:val="bg-BG"/>
        </w:rPr>
        <w:t>.</w:t>
      </w:r>
    </w:p>
  </w:footnote>
  <w:footnote w:id="369">
    <w:p w14:paraId="2CD3261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369" w:history="1">
        <w:r w:rsidRPr="00B84F91">
          <w:rPr>
            <w:rStyle w:val="Hyperlink"/>
            <w:sz w:val="24"/>
            <w:lang w:val="bg-BG"/>
          </w:rPr>
          <w:t>http://data.europa.eu/eli/C/2024/6332/oj</w:t>
        </w:r>
      </w:hyperlink>
      <w:r w:rsidRPr="00B84F91">
        <w:rPr>
          <w:sz w:val="24"/>
          <w:lang w:val="bg-BG"/>
        </w:rPr>
        <w:t>.</w:t>
      </w:r>
    </w:p>
  </w:footnote>
  <w:footnote w:id="370">
    <w:p w14:paraId="3B68949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370" w:history="1">
        <w:r w:rsidRPr="00B84F91">
          <w:rPr>
            <w:rStyle w:val="Hyperlink"/>
            <w:sz w:val="24"/>
            <w:lang w:val="bg-BG"/>
          </w:rPr>
          <w:t>http://data.europa.eu/eli/C/2024/6041/oj</w:t>
        </w:r>
      </w:hyperlink>
      <w:r w:rsidRPr="00B84F91">
        <w:rPr>
          <w:sz w:val="24"/>
          <w:lang w:val="bg-BG"/>
        </w:rPr>
        <w:t>.</w:t>
      </w:r>
    </w:p>
  </w:footnote>
  <w:footnote w:id="371">
    <w:p w14:paraId="3619886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71" w:history="1">
        <w:r w:rsidRPr="00B84F91">
          <w:rPr>
            <w:rStyle w:val="Hyperlink"/>
            <w:sz w:val="24"/>
            <w:lang w:val="bg-BG"/>
          </w:rPr>
          <w:t>http://data.europa.eu/eli/reg/2018/1046/oj</w:t>
        </w:r>
      </w:hyperlink>
      <w:r w:rsidRPr="00B84F91">
        <w:rPr>
          <w:sz w:val="24"/>
          <w:lang w:val="bg-BG"/>
        </w:rPr>
        <w:t>.</w:t>
      </w:r>
    </w:p>
  </w:footnote>
  <w:footnote w:id="372">
    <w:p w14:paraId="0C93851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372" w:history="1">
        <w:r w:rsidRPr="00B84F91">
          <w:rPr>
            <w:rStyle w:val="Hyperlink"/>
            <w:sz w:val="24"/>
            <w:lang w:val="bg-BG"/>
          </w:rPr>
          <w:t>http://data.europa.eu/eli/reg/2024/2509/oj</w:t>
        </w:r>
      </w:hyperlink>
      <w:r w:rsidRPr="00B84F91">
        <w:rPr>
          <w:rStyle w:val="Hyperlink"/>
          <w:sz w:val="24"/>
          <w:lang w:val="bg-BG"/>
        </w:rPr>
        <w:t>.</w:t>
      </w:r>
    </w:p>
  </w:footnote>
  <w:footnote w:id="373">
    <w:p w14:paraId="1265350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170, 12.5.2021 г., стр. 69, ELI: </w:t>
      </w:r>
      <w:hyperlink r:id="rId373" w:history="1">
        <w:r w:rsidRPr="00B84F91">
          <w:rPr>
            <w:rStyle w:val="Hyperlink"/>
            <w:sz w:val="24"/>
            <w:lang w:val="bg-BG"/>
          </w:rPr>
          <w:t>http://data.europa.eu/eli/reg/2021/696/oj</w:t>
        </w:r>
      </w:hyperlink>
      <w:r w:rsidRPr="00B84F91">
        <w:rPr>
          <w:sz w:val="24"/>
          <w:lang w:val="bg-BG"/>
        </w:rPr>
        <w:t>.</w:t>
      </w:r>
    </w:p>
  </w:footnote>
  <w:footnote w:id="374">
    <w:p w14:paraId="4FB0CC9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74" w:history="1">
        <w:r w:rsidRPr="00B84F91">
          <w:rPr>
            <w:rStyle w:val="Hyperlink"/>
            <w:sz w:val="24"/>
            <w:lang w:val="bg-BG"/>
          </w:rPr>
          <w:t>http://data.europa.eu/eli/reg_del/2019/715/oj</w:t>
        </w:r>
      </w:hyperlink>
      <w:r w:rsidRPr="00B84F91">
        <w:rPr>
          <w:sz w:val="24"/>
          <w:lang w:val="bg-BG"/>
        </w:rPr>
        <w:t>.</w:t>
      </w:r>
    </w:p>
  </w:footnote>
  <w:footnote w:id="375">
    <w:p w14:paraId="4CA5EF1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375" w:history="1">
        <w:r w:rsidRPr="00B84F91">
          <w:rPr>
            <w:rStyle w:val="Hyperlink"/>
            <w:sz w:val="24"/>
            <w:lang w:val="bg-BG"/>
          </w:rPr>
          <w:t>http://data.europa.eu/eli/C/2024/6332/oj</w:t>
        </w:r>
      </w:hyperlink>
      <w:r w:rsidRPr="00B84F91">
        <w:rPr>
          <w:sz w:val="24"/>
          <w:lang w:val="bg-BG"/>
        </w:rPr>
        <w:t>.</w:t>
      </w:r>
    </w:p>
  </w:footnote>
  <w:footnote w:id="376">
    <w:p w14:paraId="14D2E3B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376" w:history="1">
        <w:r w:rsidRPr="00B84F91">
          <w:rPr>
            <w:rStyle w:val="Hyperlink"/>
            <w:sz w:val="24"/>
            <w:lang w:val="bg-BG"/>
          </w:rPr>
          <w:t>http://data.europa.eu/eli/C/2024/6041/oj</w:t>
        </w:r>
      </w:hyperlink>
      <w:r w:rsidRPr="00B84F91">
        <w:rPr>
          <w:sz w:val="24"/>
          <w:lang w:val="bg-BG"/>
        </w:rPr>
        <w:t>.</w:t>
      </w:r>
    </w:p>
  </w:footnote>
  <w:footnote w:id="377">
    <w:p w14:paraId="79775F9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77" w:history="1">
        <w:r w:rsidRPr="00B84F91">
          <w:rPr>
            <w:rStyle w:val="Hyperlink"/>
            <w:sz w:val="24"/>
            <w:lang w:val="bg-BG"/>
          </w:rPr>
          <w:t>http://data.europa.eu/eli/reg/2018/1046/oj</w:t>
        </w:r>
      </w:hyperlink>
      <w:r w:rsidRPr="00B84F91">
        <w:rPr>
          <w:sz w:val="24"/>
          <w:lang w:val="bg-BG"/>
        </w:rPr>
        <w:t>.</w:t>
      </w:r>
    </w:p>
  </w:footnote>
  <w:footnote w:id="378">
    <w:p w14:paraId="739BEC57"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378" w:history="1">
        <w:r w:rsidRPr="00B84F91">
          <w:rPr>
            <w:rStyle w:val="Hyperlink"/>
            <w:sz w:val="24"/>
            <w:lang w:val="bg-BG"/>
          </w:rPr>
          <w:t>http://data.europa.eu/eli/reg/2024/2509/oj</w:t>
        </w:r>
      </w:hyperlink>
      <w:r w:rsidRPr="00B84F91">
        <w:rPr>
          <w:rStyle w:val="Hyperlink"/>
          <w:sz w:val="24"/>
          <w:lang w:val="bg-BG"/>
        </w:rPr>
        <w:t>.</w:t>
      </w:r>
    </w:p>
  </w:footnote>
  <w:footnote w:id="379">
    <w:p w14:paraId="3FC6AB6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53, 22.2.2007 г., стр. 1, ELI: </w:t>
      </w:r>
      <w:hyperlink r:id="rId379" w:history="1">
        <w:r w:rsidRPr="00B84F91">
          <w:rPr>
            <w:rStyle w:val="Hyperlink"/>
            <w:sz w:val="24"/>
            <w:lang w:val="bg-BG"/>
          </w:rPr>
          <w:t>http://data.europa.eu/eli/reg/2007/168/oj</w:t>
        </w:r>
      </w:hyperlink>
      <w:r w:rsidRPr="00B84F91">
        <w:rPr>
          <w:sz w:val="24"/>
          <w:lang w:val="bg-BG"/>
        </w:rPr>
        <w:t>.</w:t>
      </w:r>
    </w:p>
  </w:footnote>
  <w:footnote w:id="380">
    <w:p w14:paraId="43AB957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80" w:history="1">
        <w:r w:rsidRPr="00B84F91">
          <w:rPr>
            <w:rStyle w:val="Hyperlink"/>
            <w:sz w:val="24"/>
            <w:lang w:val="bg-BG"/>
          </w:rPr>
          <w:t>http://data.europa.eu/eli/reg_del/2019/715/oj</w:t>
        </w:r>
      </w:hyperlink>
      <w:r w:rsidRPr="00B84F91">
        <w:rPr>
          <w:sz w:val="24"/>
          <w:lang w:val="bg-BG"/>
        </w:rPr>
        <w:t>.</w:t>
      </w:r>
    </w:p>
  </w:footnote>
  <w:footnote w:id="381">
    <w:p w14:paraId="2891F5C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381" w:history="1">
        <w:r w:rsidRPr="00B84F91">
          <w:rPr>
            <w:rStyle w:val="Hyperlink"/>
            <w:sz w:val="24"/>
            <w:lang w:val="bg-BG"/>
          </w:rPr>
          <w:t>http://data.europa.eu/eli/C/2024/6332/oj</w:t>
        </w:r>
      </w:hyperlink>
      <w:r w:rsidRPr="00B84F91">
        <w:rPr>
          <w:sz w:val="24"/>
          <w:lang w:val="bg-BG"/>
        </w:rPr>
        <w:t>.</w:t>
      </w:r>
    </w:p>
  </w:footnote>
  <w:footnote w:id="382">
    <w:p w14:paraId="028DF32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382" w:history="1">
        <w:r w:rsidRPr="00B84F91">
          <w:rPr>
            <w:rStyle w:val="Hyperlink"/>
            <w:sz w:val="24"/>
            <w:lang w:val="bg-BG"/>
          </w:rPr>
          <w:t>http://data.europa.eu/eli/C/2024/6041/oj</w:t>
        </w:r>
      </w:hyperlink>
      <w:r w:rsidRPr="00B84F91">
        <w:rPr>
          <w:sz w:val="24"/>
          <w:lang w:val="bg-BG"/>
        </w:rPr>
        <w:t>.</w:t>
      </w:r>
    </w:p>
  </w:footnote>
  <w:footnote w:id="383">
    <w:p w14:paraId="1AB6440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83" w:history="1">
        <w:r w:rsidRPr="00B84F91">
          <w:rPr>
            <w:rStyle w:val="Hyperlink"/>
            <w:sz w:val="24"/>
            <w:lang w:val="bg-BG"/>
          </w:rPr>
          <w:t>http://data.europa.eu/eli/reg/2018/1046/oj</w:t>
        </w:r>
      </w:hyperlink>
      <w:r w:rsidRPr="00B84F91">
        <w:rPr>
          <w:sz w:val="24"/>
          <w:lang w:val="bg-BG"/>
        </w:rPr>
        <w:t>.</w:t>
      </w:r>
    </w:p>
  </w:footnote>
  <w:footnote w:id="384">
    <w:p w14:paraId="5D5BF1F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384" w:history="1">
        <w:r w:rsidRPr="00B84F91">
          <w:rPr>
            <w:rStyle w:val="Hyperlink"/>
            <w:sz w:val="24"/>
            <w:lang w:val="bg-BG"/>
          </w:rPr>
          <w:t>http://data.europa.eu/eli/reg/2024/2509/oj</w:t>
        </w:r>
      </w:hyperlink>
      <w:r w:rsidRPr="00B84F91">
        <w:rPr>
          <w:rStyle w:val="Hyperlink"/>
          <w:sz w:val="24"/>
          <w:lang w:val="bg-BG"/>
        </w:rPr>
        <w:t>.</w:t>
      </w:r>
    </w:p>
  </w:footnote>
  <w:footnote w:id="385">
    <w:p w14:paraId="2B5DAD0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L 53, 22.2.2007 г., стр. 1, ELI: </w:t>
      </w:r>
      <w:hyperlink r:id="rId385" w:history="1">
        <w:r w:rsidRPr="00B84F91">
          <w:rPr>
            <w:rStyle w:val="Hyperlink"/>
            <w:sz w:val="24"/>
            <w:lang w:val="bg-BG"/>
          </w:rPr>
          <w:t>http://data.europa.eu/eli/reg/2007/168/oj</w:t>
        </w:r>
      </w:hyperlink>
      <w:r w:rsidRPr="00B84F91">
        <w:rPr>
          <w:sz w:val="24"/>
          <w:lang w:val="bg-BG"/>
        </w:rPr>
        <w:t>.</w:t>
      </w:r>
    </w:p>
  </w:footnote>
  <w:footnote w:id="386">
    <w:p w14:paraId="43C2BBE8"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86" w:history="1">
        <w:r w:rsidRPr="00B84F91">
          <w:rPr>
            <w:rStyle w:val="Hyperlink"/>
            <w:sz w:val="24"/>
            <w:lang w:val="bg-BG"/>
          </w:rPr>
          <w:t>http://data.europa.eu/eli/reg_del/2019/715/oj</w:t>
        </w:r>
      </w:hyperlink>
      <w:r w:rsidRPr="00B84F91">
        <w:rPr>
          <w:sz w:val="24"/>
          <w:lang w:val="bg-BG"/>
        </w:rPr>
        <w:t>.</w:t>
      </w:r>
    </w:p>
  </w:footnote>
  <w:footnote w:id="387">
    <w:p w14:paraId="20AF842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387" w:history="1">
        <w:r w:rsidRPr="00B84F91">
          <w:rPr>
            <w:rStyle w:val="Hyperlink"/>
            <w:sz w:val="24"/>
            <w:lang w:val="bg-BG"/>
          </w:rPr>
          <w:t>http://data.europa.eu/eli/C/2024/6332/oj</w:t>
        </w:r>
      </w:hyperlink>
      <w:r w:rsidRPr="00B84F91">
        <w:rPr>
          <w:sz w:val="24"/>
          <w:lang w:val="bg-BG"/>
        </w:rPr>
        <w:t>.</w:t>
      </w:r>
    </w:p>
  </w:footnote>
  <w:footnote w:id="388">
    <w:p w14:paraId="086CBF7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388" w:history="1">
        <w:r w:rsidRPr="00B84F91">
          <w:rPr>
            <w:rStyle w:val="Hyperlink"/>
            <w:sz w:val="24"/>
            <w:lang w:val="bg-BG"/>
          </w:rPr>
          <w:t>http://data.europa.eu/eli/C/2024/6041/oj</w:t>
        </w:r>
      </w:hyperlink>
      <w:r w:rsidRPr="00B84F91">
        <w:rPr>
          <w:sz w:val="24"/>
          <w:lang w:val="bg-BG"/>
        </w:rPr>
        <w:t>.</w:t>
      </w:r>
    </w:p>
  </w:footnote>
  <w:footnote w:id="389">
    <w:p w14:paraId="4EF99A5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89" w:history="1">
        <w:r w:rsidRPr="00B84F91">
          <w:rPr>
            <w:rStyle w:val="Hyperlink"/>
            <w:sz w:val="24"/>
            <w:lang w:val="bg-BG"/>
          </w:rPr>
          <w:t>http://data.europa.eu/eli/reg/2018/1046/oj</w:t>
        </w:r>
      </w:hyperlink>
      <w:r w:rsidRPr="00B84F91">
        <w:rPr>
          <w:sz w:val="24"/>
          <w:lang w:val="bg-BG"/>
        </w:rPr>
        <w:t>.</w:t>
      </w:r>
    </w:p>
  </w:footnote>
  <w:footnote w:id="390">
    <w:p w14:paraId="58A29CD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390" w:history="1">
        <w:r w:rsidRPr="00B84F91">
          <w:rPr>
            <w:rStyle w:val="Hyperlink"/>
            <w:sz w:val="24"/>
            <w:lang w:val="bg-BG"/>
          </w:rPr>
          <w:t>http://data.europa.eu/eli/reg/2024/2509/oj</w:t>
        </w:r>
      </w:hyperlink>
      <w:r w:rsidRPr="00B84F91">
        <w:rPr>
          <w:rStyle w:val="Hyperlink"/>
          <w:sz w:val="24"/>
          <w:lang w:val="bg-BG"/>
        </w:rPr>
        <w:t>.</w:t>
      </w:r>
    </w:p>
  </w:footnote>
  <w:footnote w:id="391">
    <w:p w14:paraId="716909B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295, 14.11.2019 г., стр. 1, ELI: </w:t>
      </w:r>
      <w:hyperlink r:id="rId391" w:history="1">
        <w:r w:rsidRPr="00B84F91">
          <w:rPr>
            <w:rStyle w:val="Hyperlink"/>
            <w:sz w:val="24"/>
            <w:lang w:val="bg-BG"/>
          </w:rPr>
          <w:t>http://data.europa.eu/eli/reg/2019/1896/oj</w:t>
        </w:r>
      </w:hyperlink>
      <w:r w:rsidRPr="00B84F91">
        <w:rPr>
          <w:sz w:val="24"/>
          <w:lang w:val="bg-BG"/>
        </w:rPr>
        <w:t>.</w:t>
      </w:r>
    </w:p>
  </w:footnote>
  <w:footnote w:id="392">
    <w:p w14:paraId="65A701E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92" w:history="1">
        <w:r w:rsidRPr="00B84F91">
          <w:rPr>
            <w:rStyle w:val="Hyperlink"/>
            <w:sz w:val="24"/>
            <w:lang w:val="bg-BG"/>
          </w:rPr>
          <w:t>http://data.europa.eu/eli/reg_del/2019/715/oj</w:t>
        </w:r>
      </w:hyperlink>
      <w:r w:rsidRPr="00B84F91">
        <w:rPr>
          <w:sz w:val="24"/>
          <w:lang w:val="bg-BG"/>
        </w:rPr>
        <w:t>.</w:t>
      </w:r>
    </w:p>
  </w:footnote>
  <w:footnote w:id="393">
    <w:p w14:paraId="5301EDE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C/2024/6332, 24.10.2024 г., ELI: </w:t>
      </w:r>
      <w:hyperlink r:id="rId393" w:history="1">
        <w:r w:rsidRPr="00B84F91">
          <w:rPr>
            <w:rStyle w:val="Hyperlink"/>
            <w:sz w:val="24"/>
            <w:lang w:val="bg-BG"/>
          </w:rPr>
          <w:t>http://data.europa.eu/eli/C/2024/6332/oj</w:t>
        </w:r>
      </w:hyperlink>
      <w:r w:rsidRPr="00B84F91">
        <w:rPr>
          <w:sz w:val="24"/>
          <w:lang w:val="bg-BG"/>
        </w:rPr>
        <w:t>.</w:t>
      </w:r>
    </w:p>
  </w:footnote>
  <w:footnote w:id="394">
    <w:p w14:paraId="0C1002EC"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ОВ C, C/2024/6041, 10.10.2024 г., ELI: </w:t>
      </w:r>
      <w:hyperlink r:id="rId394" w:history="1">
        <w:r w:rsidRPr="00B84F91">
          <w:rPr>
            <w:rStyle w:val="Hyperlink"/>
            <w:sz w:val="24"/>
            <w:lang w:val="bg-BG"/>
          </w:rPr>
          <w:t>http://data.europa.eu/eli/C/2024/6041/oj</w:t>
        </w:r>
      </w:hyperlink>
      <w:r w:rsidRPr="00B84F91">
        <w:rPr>
          <w:sz w:val="24"/>
          <w:lang w:val="bg-BG"/>
        </w:rPr>
        <w:t>.</w:t>
      </w:r>
    </w:p>
  </w:footnote>
  <w:footnote w:id="395">
    <w:p w14:paraId="5D4CC8F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193, 30.7.2018 г., стр. 1, ELI: </w:t>
      </w:r>
      <w:hyperlink r:id="rId395" w:history="1">
        <w:r w:rsidRPr="00B84F91">
          <w:rPr>
            <w:rStyle w:val="Hyperlink"/>
            <w:sz w:val="24"/>
            <w:lang w:val="bg-BG"/>
          </w:rPr>
          <w:t>http://data.europa.eu/eli/reg/2018/1046/oj</w:t>
        </w:r>
      </w:hyperlink>
      <w:r w:rsidRPr="00B84F91">
        <w:rPr>
          <w:sz w:val="24"/>
          <w:lang w:val="bg-BG"/>
        </w:rPr>
        <w:t>.</w:t>
      </w:r>
    </w:p>
  </w:footnote>
  <w:footnote w:id="396">
    <w:p w14:paraId="65C66C2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2024/2509, 26.9.2024 г., ELI: </w:t>
      </w:r>
      <w:hyperlink r:id="rId396" w:history="1">
        <w:r w:rsidRPr="00B84F91">
          <w:rPr>
            <w:rStyle w:val="Hyperlink"/>
            <w:sz w:val="24"/>
            <w:lang w:val="bg-BG"/>
          </w:rPr>
          <w:t>http://data.europa.eu/eli/reg/2024/2509/oj</w:t>
        </w:r>
      </w:hyperlink>
      <w:r w:rsidRPr="00B84F91">
        <w:rPr>
          <w:rStyle w:val="Hyperlink"/>
          <w:sz w:val="24"/>
          <w:lang w:val="bg-BG"/>
        </w:rPr>
        <w:t>.</w:t>
      </w:r>
    </w:p>
  </w:footnote>
  <w:footnote w:id="397">
    <w:p w14:paraId="08308F8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295, 14.11.2019 г., стр. 1, ELI: </w:t>
      </w:r>
      <w:hyperlink r:id="rId397" w:history="1">
        <w:r w:rsidRPr="00B84F91">
          <w:rPr>
            <w:rStyle w:val="Hyperlink"/>
            <w:sz w:val="24"/>
            <w:lang w:val="bg-BG"/>
          </w:rPr>
          <w:t>http://data.europa.eu/eli/reg/2019/1896/oj</w:t>
        </w:r>
      </w:hyperlink>
      <w:r w:rsidRPr="00B84F91">
        <w:rPr>
          <w:sz w:val="24"/>
          <w:lang w:val="bg-BG"/>
        </w:rPr>
        <w:t>.</w:t>
      </w:r>
    </w:p>
  </w:footnote>
  <w:footnote w:id="398">
    <w:p w14:paraId="49FFFD9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OВ L 122, 10.5.2019 г., стр. 1, ELI: </w:t>
      </w:r>
      <w:hyperlink r:id="rId398" w:history="1">
        <w:r w:rsidRPr="00B84F91">
          <w:rPr>
            <w:rStyle w:val="Hyperlink"/>
            <w:sz w:val="24"/>
            <w:lang w:val="bg-BG"/>
          </w:rPr>
          <w:t>http://data.europa.eu/eli/reg_del/2019/715/oj</w:t>
        </w:r>
      </w:hyperlink>
      <w:r w:rsidRPr="00B84F91">
        <w:rPr>
          <w:sz w:val="24"/>
          <w:lang w:val="bg-BG"/>
        </w:rPr>
        <w:t>.</w:t>
      </w:r>
    </w:p>
  </w:footnote>
  <w:footnote w:id="399">
    <w:p w14:paraId="7CAFB2B6"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Съществуват три вида агенции на ЕС: децентрализирани агенции, изпълнителни агенции и други органи.</w:t>
      </w:r>
    </w:p>
  </w:footnote>
  <w:footnote w:id="400">
    <w:p w14:paraId="44CDDB9B" w14:textId="0588EB6D" w:rsidR="00EA1702" w:rsidRPr="00790EFE" w:rsidRDefault="00EA1702" w:rsidP="00EA1702">
      <w:pPr>
        <w:pStyle w:val="FootnoteText"/>
        <w:ind w:left="567" w:hanging="567"/>
        <w:rPr>
          <w:sz w:val="24"/>
          <w:lang w:val="bg-BG"/>
        </w:rPr>
      </w:pPr>
      <w:r w:rsidRPr="00790EFE">
        <w:rPr>
          <w:rStyle w:val="FootnoteReference"/>
          <w:sz w:val="24"/>
        </w:rPr>
        <w:footnoteRef/>
      </w:r>
      <w:r w:rsidRPr="00A43FA6">
        <w:rPr>
          <w:sz w:val="24"/>
          <w:lang w:val="bg-BG"/>
        </w:rPr>
        <w:tab/>
        <w:t>Регламент (ЕС, Евратом) 2024/2509 на Европейския парламент и на Съвета от 23 септември 2024 г</w:t>
      </w:r>
      <w:r>
        <w:rPr>
          <w:sz w:val="24"/>
          <w:lang w:val="bg-BG"/>
        </w:rPr>
        <w:t>.</w:t>
      </w:r>
      <w:r w:rsidRPr="00A43FA6">
        <w:rPr>
          <w:sz w:val="24"/>
          <w:lang w:val="bg-BG"/>
        </w:rPr>
        <w:t xml:space="preserve"> за финансовите правила, приложими за общия бюджет на Съюза (OВ L, 2024/2509, 26.9.2024 г., ELI: </w:t>
      </w:r>
      <w:hyperlink r:id="rId399" w:history="1">
        <w:r w:rsidRPr="00A43FA6">
          <w:rPr>
            <w:rStyle w:val="Hyperlink"/>
            <w:sz w:val="24"/>
            <w:lang w:val="bg-BG"/>
          </w:rPr>
          <w:t>http://data.europa.eu/eli/reg/2024/2509/oj</w:t>
        </w:r>
      </w:hyperlink>
      <w:r w:rsidRPr="00A43FA6">
        <w:rPr>
          <w:sz w:val="24"/>
          <w:lang w:val="bg-BG"/>
        </w:rPr>
        <w:t xml:space="preserve">). </w:t>
      </w:r>
    </w:p>
  </w:footnote>
  <w:footnote w:id="401">
    <w:p w14:paraId="7B67E6CD" w14:textId="474613D3" w:rsidR="00501BD5" w:rsidRPr="00B74E16" w:rsidRDefault="00501BD5" w:rsidP="00B84F91">
      <w:pPr>
        <w:pStyle w:val="FootnoteText"/>
        <w:ind w:left="567" w:hanging="567"/>
        <w:rPr>
          <w:sz w:val="24"/>
          <w:lang w:val="en-GB"/>
        </w:rPr>
      </w:pPr>
      <w:r w:rsidRPr="00B84F91">
        <w:rPr>
          <w:rStyle w:val="FootnoteReference"/>
          <w:sz w:val="24"/>
          <w:lang w:val="bg-BG"/>
        </w:rPr>
        <w:footnoteRef/>
      </w:r>
      <w:r w:rsidRPr="00B84F91">
        <w:rPr>
          <w:sz w:val="24"/>
          <w:lang w:val="bg-BG"/>
        </w:rPr>
        <w:t xml:space="preserve"> </w:t>
      </w:r>
      <w:r w:rsidRPr="00B84F91">
        <w:rPr>
          <w:sz w:val="24"/>
          <w:lang w:val="bg-BG"/>
        </w:rPr>
        <w:tab/>
      </w:r>
      <w:r w:rsidRPr="00B74E16">
        <w:rPr>
          <w:sz w:val="24"/>
          <w:lang w:val="bg-BG"/>
        </w:rPr>
        <w:t>Съвместно изявление</w:t>
      </w:r>
      <w:r w:rsidRPr="00B84F91">
        <w:rPr>
          <w:sz w:val="24"/>
          <w:lang w:val="bg-BG"/>
        </w:rPr>
        <w:t xml:space="preserve"> на Европейския парламент, Съвета на ЕС и Европейската комисия относно децентрализираните агенции от юли 2012 г.</w:t>
      </w:r>
      <w:r w:rsidR="00B74E16" w:rsidRPr="00A43FA6">
        <w:rPr>
          <w:sz w:val="24"/>
          <w:lang w:val="bg-BG"/>
        </w:rPr>
        <w:t>:</w:t>
      </w:r>
      <w:r w:rsidR="00B74E16" w:rsidRPr="00A43FA6">
        <w:rPr>
          <w:sz w:val="24"/>
          <w:szCs w:val="24"/>
          <w:lang w:val="bg-BG"/>
        </w:rPr>
        <w:t xml:space="preserve"> </w:t>
      </w:r>
      <w:hyperlink r:id="rId400" w:history="1">
        <w:r w:rsidR="00B74E16" w:rsidRPr="00A43FA6">
          <w:rPr>
            <w:rStyle w:val="Hyperlink"/>
            <w:sz w:val="24"/>
          </w:rPr>
          <w:t>https</w:t>
        </w:r>
        <w:r w:rsidR="00B74E16" w:rsidRPr="00A43FA6">
          <w:rPr>
            <w:rStyle w:val="Hyperlink"/>
            <w:sz w:val="24"/>
            <w:lang w:val="bg-BG"/>
          </w:rPr>
          <w:t>://</w:t>
        </w:r>
        <w:proofErr w:type="spellStart"/>
        <w:r w:rsidR="00B74E16" w:rsidRPr="00A43FA6">
          <w:rPr>
            <w:rStyle w:val="Hyperlink"/>
            <w:sz w:val="24"/>
          </w:rPr>
          <w:t>european</w:t>
        </w:r>
        <w:proofErr w:type="spellEnd"/>
        <w:r w:rsidR="00B74E16" w:rsidRPr="00A43FA6">
          <w:rPr>
            <w:rStyle w:val="Hyperlink"/>
            <w:sz w:val="24"/>
            <w:lang w:val="bg-BG"/>
          </w:rPr>
          <w:t>-</w:t>
        </w:r>
        <w:r w:rsidR="00B74E16" w:rsidRPr="00A43FA6">
          <w:rPr>
            <w:rStyle w:val="Hyperlink"/>
            <w:sz w:val="24"/>
          </w:rPr>
          <w:t>union</w:t>
        </w:r>
        <w:r w:rsidR="00B74E16" w:rsidRPr="00A43FA6">
          <w:rPr>
            <w:rStyle w:val="Hyperlink"/>
            <w:sz w:val="24"/>
            <w:lang w:val="bg-BG"/>
          </w:rPr>
          <w:t>.</w:t>
        </w:r>
        <w:proofErr w:type="spellStart"/>
        <w:r w:rsidR="00B74E16" w:rsidRPr="00A43FA6">
          <w:rPr>
            <w:rStyle w:val="Hyperlink"/>
            <w:sz w:val="24"/>
          </w:rPr>
          <w:t>europa</w:t>
        </w:r>
        <w:proofErr w:type="spellEnd"/>
        <w:r w:rsidR="00B74E16" w:rsidRPr="00A43FA6">
          <w:rPr>
            <w:rStyle w:val="Hyperlink"/>
            <w:sz w:val="24"/>
            <w:lang w:val="bg-BG"/>
          </w:rPr>
          <w:t>.</w:t>
        </w:r>
        <w:r w:rsidR="00B74E16" w:rsidRPr="00A43FA6">
          <w:rPr>
            <w:rStyle w:val="Hyperlink"/>
            <w:sz w:val="24"/>
          </w:rPr>
          <w:t>eu</w:t>
        </w:r>
        <w:r w:rsidR="00B74E16" w:rsidRPr="00A43FA6">
          <w:rPr>
            <w:rStyle w:val="Hyperlink"/>
            <w:sz w:val="24"/>
            <w:lang w:val="bg-BG"/>
          </w:rPr>
          <w:t>/</w:t>
        </w:r>
        <w:r w:rsidR="00B74E16" w:rsidRPr="00A43FA6">
          <w:rPr>
            <w:rStyle w:val="Hyperlink"/>
            <w:sz w:val="24"/>
          </w:rPr>
          <w:t>document</w:t>
        </w:r>
        <w:r w:rsidR="00B74E16" w:rsidRPr="00A43FA6">
          <w:rPr>
            <w:rStyle w:val="Hyperlink"/>
            <w:sz w:val="24"/>
            <w:lang w:val="bg-BG"/>
          </w:rPr>
          <w:t>/</w:t>
        </w:r>
        <w:r w:rsidR="00B74E16" w:rsidRPr="00A43FA6">
          <w:rPr>
            <w:rStyle w:val="Hyperlink"/>
            <w:sz w:val="24"/>
          </w:rPr>
          <w:t>download</w:t>
        </w:r>
        <w:r w:rsidR="00B74E16" w:rsidRPr="00A43FA6">
          <w:rPr>
            <w:rStyle w:val="Hyperlink"/>
            <w:sz w:val="24"/>
            <w:lang w:val="bg-BG"/>
          </w:rPr>
          <w:t>/</w:t>
        </w:r>
        <w:r w:rsidR="00B74E16" w:rsidRPr="00A43FA6">
          <w:rPr>
            <w:rStyle w:val="Hyperlink"/>
            <w:sz w:val="24"/>
          </w:rPr>
          <w:t>d</w:t>
        </w:r>
        <w:r w:rsidR="00B74E16" w:rsidRPr="00A43FA6">
          <w:rPr>
            <w:rStyle w:val="Hyperlink"/>
            <w:sz w:val="24"/>
            <w:lang w:val="bg-BG"/>
          </w:rPr>
          <w:t>4199</w:t>
        </w:r>
        <w:proofErr w:type="spellStart"/>
        <w:r w:rsidR="00B74E16" w:rsidRPr="00A43FA6">
          <w:rPr>
            <w:rStyle w:val="Hyperlink"/>
            <w:sz w:val="24"/>
          </w:rPr>
          <w:t>ff</w:t>
        </w:r>
        <w:proofErr w:type="spellEnd"/>
        <w:r w:rsidR="00B74E16" w:rsidRPr="00A43FA6">
          <w:rPr>
            <w:rStyle w:val="Hyperlink"/>
            <w:sz w:val="24"/>
            <w:lang w:val="bg-BG"/>
          </w:rPr>
          <w:t>4-1</w:t>
        </w:r>
        <w:r w:rsidR="00B74E16" w:rsidRPr="00A43FA6">
          <w:rPr>
            <w:rStyle w:val="Hyperlink"/>
            <w:sz w:val="24"/>
          </w:rPr>
          <w:t>e</w:t>
        </w:r>
        <w:r w:rsidR="00B74E16" w:rsidRPr="00A43FA6">
          <w:rPr>
            <w:rStyle w:val="Hyperlink"/>
            <w:sz w:val="24"/>
            <w:lang w:val="bg-BG"/>
          </w:rPr>
          <w:t>3</w:t>
        </w:r>
        <w:r w:rsidR="00B74E16" w:rsidRPr="00A43FA6">
          <w:rPr>
            <w:rStyle w:val="Hyperlink"/>
            <w:sz w:val="24"/>
          </w:rPr>
          <w:t>d</w:t>
        </w:r>
        <w:r w:rsidR="00B74E16" w:rsidRPr="00A43FA6">
          <w:rPr>
            <w:rStyle w:val="Hyperlink"/>
            <w:sz w:val="24"/>
            <w:lang w:val="bg-BG"/>
          </w:rPr>
          <w:t>-45</w:t>
        </w:r>
        <w:r w:rsidR="00B74E16" w:rsidRPr="00A43FA6">
          <w:rPr>
            <w:rStyle w:val="Hyperlink"/>
            <w:sz w:val="24"/>
          </w:rPr>
          <w:t>e</w:t>
        </w:r>
        <w:r w:rsidR="00B74E16" w:rsidRPr="00A43FA6">
          <w:rPr>
            <w:rStyle w:val="Hyperlink"/>
            <w:sz w:val="24"/>
            <w:lang w:val="bg-BG"/>
          </w:rPr>
          <w:t>6-</w:t>
        </w:r>
        <w:proofErr w:type="spellStart"/>
        <w:r w:rsidR="00B74E16" w:rsidRPr="00A43FA6">
          <w:rPr>
            <w:rStyle w:val="Hyperlink"/>
            <w:sz w:val="24"/>
          </w:rPr>
          <w:t>af</w:t>
        </w:r>
        <w:proofErr w:type="spellEnd"/>
        <w:r w:rsidR="00B74E16" w:rsidRPr="00A43FA6">
          <w:rPr>
            <w:rStyle w:val="Hyperlink"/>
            <w:sz w:val="24"/>
            <w:lang w:val="bg-BG"/>
          </w:rPr>
          <w:t>7</w:t>
        </w:r>
        <w:r w:rsidR="00B74E16" w:rsidRPr="00A43FA6">
          <w:rPr>
            <w:rStyle w:val="Hyperlink"/>
            <w:sz w:val="24"/>
          </w:rPr>
          <w:t>e</w:t>
        </w:r>
        <w:r w:rsidR="00B74E16" w:rsidRPr="00A43FA6">
          <w:rPr>
            <w:rStyle w:val="Hyperlink"/>
            <w:sz w:val="24"/>
            <w:lang w:val="bg-BG"/>
          </w:rPr>
          <w:t>-90</w:t>
        </w:r>
        <w:proofErr w:type="spellStart"/>
        <w:r w:rsidR="00B74E16" w:rsidRPr="00A43FA6">
          <w:rPr>
            <w:rStyle w:val="Hyperlink"/>
            <w:sz w:val="24"/>
          </w:rPr>
          <w:t>cf</w:t>
        </w:r>
        <w:proofErr w:type="spellEnd"/>
        <w:r w:rsidR="00B74E16" w:rsidRPr="00A43FA6">
          <w:rPr>
            <w:rStyle w:val="Hyperlink"/>
            <w:sz w:val="24"/>
            <w:lang w:val="bg-BG"/>
          </w:rPr>
          <w:t>1</w:t>
        </w:r>
        <w:r w:rsidR="00B74E16" w:rsidRPr="00A43FA6">
          <w:rPr>
            <w:rStyle w:val="Hyperlink"/>
            <w:sz w:val="24"/>
          </w:rPr>
          <w:t>a</w:t>
        </w:r>
        <w:r w:rsidR="00B74E16" w:rsidRPr="00A43FA6">
          <w:rPr>
            <w:rStyle w:val="Hyperlink"/>
            <w:sz w:val="24"/>
            <w:lang w:val="bg-BG"/>
          </w:rPr>
          <w:t>7</w:t>
        </w:r>
        <w:r w:rsidR="00B74E16" w:rsidRPr="00A43FA6">
          <w:rPr>
            <w:rStyle w:val="Hyperlink"/>
            <w:sz w:val="24"/>
          </w:rPr>
          <w:t>b</w:t>
        </w:r>
        <w:r w:rsidR="00B74E16" w:rsidRPr="00A43FA6">
          <w:rPr>
            <w:rStyle w:val="Hyperlink"/>
            <w:sz w:val="24"/>
            <w:lang w:val="bg-BG"/>
          </w:rPr>
          <w:t>10</w:t>
        </w:r>
        <w:proofErr w:type="spellStart"/>
        <w:r w:rsidR="00B74E16" w:rsidRPr="00A43FA6">
          <w:rPr>
            <w:rStyle w:val="Hyperlink"/>
            <w:sz w:val="24"/>
          </w:rPr>
          <w:t>bc</w:t>
        </w:r>
        <w:proofErr w:type="spellEnd"/>
        <w:r w:rsidR="00B74E16" w:rsidRPr="00A43FA6">
          <w:rPr>
            <w:rStyle w:val="Hyperlink"/>
            <w:sz w:val="24"/>
            <w:lang w:val="bg-BG"/>
          </w:rPr>
          <w:t>_</w:t>
        </w:r>
        <w:r w:rsidR="00B74E16" w:rsidRPr="00A43FA6">
          <w:rPr>
            <w:rStyle w:val="Hyperlink"/>
            <w:sz w:val="24"/>
          </w:rPr>
          <w:t>en</w:t>
        </w:r>
        <w:r w:rsidR="00B74E16" w:rsidRPr="00A43FA6">
          <w:rPr>
            <w:rStyle w:val="Hyperlink"/>
            <w:sz w:val="24"/>
            <w:lang w:val="bg-BG"/>
          </w:rPr>
          <w:t>?</w:t>
        </w:r>
        <w:proofErr w:type="spellStart"/>
        <w:r w:rsidR="00B74E16" w:rsidRPr="00A43FA6">
          <w:rPr>
            <w:rStyle w:val="Hyperlink"/>
            <w:sz w:val="24"/>
          </w:rPr>
          <w:t>filename</w:t>
        </w:r>
        <w:proofErr w:type="spellEnd"/>
        <w:r w:rsidR="00B74E16" w:rsidRPr="00A43FA6">
          <w:rPr>
            <w:rStyle w:val="Hyperlink"/>
            <w:sz w:val="24"/>
            <w:lang w:val="bg-BG"/>
          </w:rPr>
          <w:t>=</w:t>
        </w:r>
        <w:r w:rsidR="00B74E16" w:rsidRPr="00A43FA6">
          <w:rPr>
            <w:rStyle w:val="Hyperlink"/>
            <w:sz w:val="24"/>
          </w:rPr>
          <w:t>joint</w:t>
        </w:r>
        <w:r w:rsidR="00B74E16" w:rsidRPr="00A43FA6">
          <w:rPr>
            <w:rStyle w:val="Hyperlink"/>
            <w:sz w:val="24"/>
            <w:lang w:val="bg-BG"/>
          </w:rPr>
          <w:t>_</w:t>
        </w:r>
        <w:proofErr w:type="spellStart"/>
        <w:r w:rsidR="00B74E16" w:rsidRPr="00A43FA6">
          <w:rPr>
            <w:rStyle w:val="Hyperlink"/>
            <w:sz w:val="24"/>
          </w:rPr>
          <w:t>statement</w:t>
        </w:r>
        <w:proofErr w:type="spellEnd"/>
        <w:r w:rsidR="00B74E16" w:rsidRPr="00A43FA6">
          <w:rPr>
            <w:rStyle w:val="Hyperlink"/>
            <w:sz w:val="24"/>
            <w:lang w:val="bg-BG"/>
          </w:rPr>
          <w:t>_</w:t>
        </w:r>
        <w:r w:rsidR="00B74E16" w:rsidRPr="00A43FA6">
          <w:rPr>
            <w:rStyle w:val="Hyperlink"/>
            <w:sz w:val="24"/>
          </w:rPr>
          <w:t>on</w:t>
        </w:r>
        <w:r w:rsidR="00B74E16" w:rsidRPr="00A43FA6">
          <w:rPr>
            <w:rStyle w:val="Hyperlink"/>
            <w:sz w:val="24"/>
            <w:lang w:val="bg-BG"/>
          </w:rPr>
          <w:t>_</w:t>
        </w:r>
        <w:proofErr w:type="spellStart"/>
        <w:r w:rsidR="00B74E16" w:rsidRPr="00A43FA6">
          <w:rPr>
            <w:rStyle w:val="Hyperlink"/>
            <w:sz w:val="24"/>
          </w:rPr>
          <w:t>decentralised</w:t>
        </w:r>
        <w:proofErr w:type="spellEnd"/>
        <w:r w:rsidR="00B74E16" w:rsidRPr="00A43FA6">
          <w:rPr>
            <w:rStyle w:val="Hyperlink"/>
            <w:sz w:val="24"/>
            <w:lang w:val="bg-BG"/>
          </w:rPr>
          <w:t>_</w:t>
        </w:r>
        <w:proofErr w:type="spellStart"/>
        <w:r w:rsidR="00B74E16" w:rsidRPr="00A43FA6">
          <w:rPr>
            <w:rStyle w:val="Hyperlink"/>
            <w:sz w:val="24"/>
          </w:rPr>
          <w:t>agencies</w:t>
        </w:r>
        <w:proofErr w:type="spellEnd"/>
        <w:r w:rsidR="00B74E16" w:rsidRPr="00A43FA6">
          <w:rPr>
            <w:rStyle w:val="Hyperlink"/>
            <w:sz w:val="24"/>
            <w:lang w:val="bg-BG"/>
          </w:rPr>
          <w:t>_</w:t>
        </w:r>
        <w:r w:rsidR="00B74E16" w:rsidRPr="00A43FA6">
          <w:rPr>
            <w:rStyle w:val="Hyperlink"/>
            <w:sz w:val="24"/>
          </w:rPr>
          <w:t>en</w:t>
        </w:r>
        <w:r w:rsidR="00B74E16" w:rsidRPr="00A43FA6">
          <w:rPr>
            <w:rStyle w:val="Hyperlink"/>
            <w:sz w:val="24"/>
            <w:lang w:val="bg-BG"/>
          </w:rPr>
          <w:t>.</w:t>
        </w:r>
        <w:proofErr w:type="spellStart"/>
        <w:r w:rsidR="00B74E16" w:rsidRPr="00A43FA6">
          <w:rPr>
            <w:rStyle w:val="Hyperlink"/>
            <w:sz w:val="24"/>
          </w:rPr>
          <w:t>pdf</w:t>
        </w:r>
        <w:proofErr w:type="spellEnd"/>
      </w:hyperlink>
    </w:p>
  </w:footnote>
  <w:footnote w:id="402">
    <w:p w14:paraId="5C0E3BE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r>
      <w:r w:rsidRPr="00B84F91">
        <w:rPr>
          <w:sz w:val="24"/>
          <w:lang w:val="bg-BG"/>
        </w:rPr>
        <w:t xml:space="preserve">„Бъдещето на агенциите на ЕС — съществува потенциал за по-голяма гъвкавост и сътрудничество“, </w:t>
      </w:r>
      <w:hyperlink r:id="rId401" w:history="1">
        <w:r w:rsidRPr="00B84F91">
          <w:rPr>
            <w:rStyle w:val="Hyperlink"/>
            <w:sz w:val="24"/>
            <w:lang w:val="bg-BG"/>
          </w:rPr>
          <w:t>https://op.europa.eu/webpub/eca/special-reports/agencies-performance-audit-22-2020/bg/index.html</w:t>
        </w:r>
      </w:hyperlink>
      <w:r w:rsidRPr="00B84F91">
        <w:rPr>
          <w:rStyle w:val="Hyperlink"/>
          <w:sz w:val="24"/>
          <w:lang w:val="bg-BG"/>
        </w:rPr>
        <w:t>.</w:t>
      </w:r>
    </w:p>
  </w:footnote>
  <w:footnote w:id="403">
    <w:p w14:paraId="291C3F38" w14:textId="77777777" w:rsidR="00501BD5" w:rsidRPr="00B84F91" w:rsidRDefault="00501BD5" w:rsidP="00B84F91">
      <w:pPr>
        <w:ind w:left="567" w:hanging="567"/>
      </w:pPr>
      <w:r w:rsidRPr="00B84F91">
        <w:rPr>
          <w:rStyle w:val="FootnoteReference"/>
        </w:rPr>
        <w:footnoteRef/>
      </w:r>
      <w:r w:rsidRPr="00B84F91">
        <w:t xml:space="preserve"> </w:t>
      </w:r>
      <w:r w:rsidRPr="00B84F91">
        <w:tab/>
        <w:t>Общият подход не е правно обвързващ, институциите се споразумяха да го вземат предвид при вземането на решения относно децентрализираните агенции.</w:t>
      </w:r>
    </w:p>
  </w:footnote>
  <w:footnote w:id="404">
    <w:p w14:paraId="3BB21352"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Европейският център за развитие на професионалното обучение, Агенцията на Европейския съюз по наркотиците, Агенцията на Европейския съюз за киберсигурност, Агенцията за железопътен транспорт на Европейския съюз, Европейската агенция за безопасност и здраве при работа, Европейската фондация за подобряване на условията на живот и труд, Агенцията на Европейския съюз за сътрудничество в областта на наказателното правосъдие, Агенцията на Европейския съюз за основните права и Европейският институт за иновации и технологии.</w:t>
      </w:r>
    </w:p>
  </w:footnote>
  <w:footnote w:id="405">
    <w:p w14:paraId="399C11AC" w14:textId="2BBA50B0"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r>
      <w:proofErr w:type="spellStart"/>
      <w:r w:rsidRPr="00B84F91">
        <w:rPr>
          <w:sz w:val="24"/>
          <w:lang w:val="bg-BG"/>
        </w:rPr>
        <w:t>Evaluation</w:t>
      </w:r>
      <w:proofErr w:type="spellEnd"/>
      <w:r w:rsidRPr="00B84F91">
        <w:rPr>
          <w:sz w:val="24"/>
          <w:lang w:val="bg-BG"/>
        </w:rPr>
        <w:t xml:space="preserve"> </w:t>
      </w:r>
      <w:proofErr w:type="spellStart"/>
      <w:r w:rsidRPr="00B84F91">
        <w:rPr>
          <w:sz w:val="24"/>
          <w:lang w:val="bg-BG"/>
        </w:rPr>
        <w:t>of</w:t>
      </w:r>
      <w:proofErr w:type="spellEnd"/>
      <w:r w:rsidRPr="00B84F91">
        <w:rPr>
          <w:sz w:val="24"/>
          <w:lang w:val="bg-BG"/>
        </w:rPr>
        <w:t xml:space="preserve"> EU </w:t>
      </w:r>
      <w:proofErr w:type="spellStart"/>
      <w:r w:rsidRPr="00B84F91">
        <w:rPr>
          <w:sz w:val="24"/>
          <w:lang w:val="bg-BG"/>
        </w:rPr>
        <w:t>Agencies</w:t>
      </w:r>
      <w:proofErr w:type="spellEnd"/>
      <w:r w:rsidRPr="00B84F91">
        <w:rPr>
          <w:sz w:val="24"/>
          <w:lang w:val="bg-BG"/>
        </w:rPr>
        <w:t xml:space="preserve">: </w:t>
      </w:r>
      <w:proofErr w:type="spellStart"/>
      <w:r w:rsidRPr="00B84F91">
        <w:rPr>
          <w:sz w:val="24"/>
          <w:lang w:val="bg-BG"/>
        </w:rPr>
        <w:t>Eurofound</w:t>
      </w:r>
      <w:proofErr w:type="spellEnd"/>
      <w:r w:rsidRPr="00B84F91">
        <w:rPr>
          <w:sz w:val="24"/>
          <w:lang w:val="bg-BG"/>
        </w:rPr>
        <w:t xml:space="preserve">, </w:t>
      </w:r>
      <w:proofErr w:type="spellStart"/>
      <w:r w:rsidRPr="00B84F91">
        <w:rPr>
          <w:sz w:val="24"/>
          <w:lang w:val="bg-BG"/>
        </w:rPr>
        <w:t>Cedefop</w:t>
      </w:r>
      <w:proofErr w:type="spellEnd"/>
      <w:r w:rsidRPr="00B84F91">
        <w:rPr>
          <w:sz w:val="24"/>
          <w:lang w:val="bg-BG"/>
        </w:rPr>
        <w:t xml:space="preserve">, ETF </w:t>
      </w:r>
      <w:proofErr w:type="spellStart"/>
      <w:r w:rsidRPr="00B84F91">
        <w:rPr>
          <w:sz w:val="24"/>
          <w:lang w:val="bg-BG"/>
        </w:rPr>
        <w:t>and</w:t>
      </w:r>
      <w:proofErr w:type="spellEnd"/>
      <w:r w:rsidRPr="00B84F91">
        <w:rPr>
          <w:sz w:val="24"/>
          <w:lang w:val="bg-BG"/>
        </w:rPr>
        <w:t xml:space="preserve"> EU-OSHA (Оценка на агенциите на ЕС: </w:t>
      </w:r>
      <w:proofErr w:type="spellStart"/>
      <w:r w:rsidRPr="00B84F91">
        <w:rPr>
          <w:sz w:val="24"/>
          <w:lang w:val="bg-BG"/>
        </w:rPr>
        <w:t>Eurofound</w:t>
      </w:r>
      <w:proofErr w:type="spellEnd"/>
      <w:r w:rsidRPr="00B84F91">
        <w:rPr>
          <w:sz w:val="24"/>
          <w:lang w:val="bg-BG"/>
        </w:rPr>
        <w:t xml:space="preserve">, </w:t>
      </w:r>
      <w:proofErr w:type="spellStart"/>
      <w:r w:rsidRPr="00B84F91">
        <w:rPr>
          <w:sz w:val="24"/>
          <w:lang w:val="bg-BG"/>
        </w:rPr>
        <w:t>Cedefop</w:t>
      </w:r>
      <w:proofErr w:type="spellEnd"/>
      <w:r w:rsidRPr="00B84F91">
        <w:rPr>
          <w:sz w:val="24"/>
          <w:lang w:val="bg-BG"/>
        </w:rPr>
        <w:t>, ETF и EU-OSHA)</w:t>
      </w:r>
      <w:r>
        <w:rPr>
          <w:sz w:val="24"/>
          <w:lang w:val="bg-BG"/>
        </w:rPr>
        <w:t>, SWD(2024) </w:t>
      </w:r>
      <w:r w:rsidR="00EF0F07" w:rsidRPr="00A43FA6">
        <w:rPr>
          <w:sz w:val="24"/>
          <w:lang w:val="bg-BG"/>
        </w:rPr>
        <w:t xml:space="preserve">222 </w:t>
      </w:r>
      <w:proofErr w:type="spellStart"/>
      <w:r w:rsidR="00EF0F07" w:rsidRPr="00A43FA6">
        <w:rPr>
          <w:sz w:val="24"/>
          <w:lang w:val="bg-BG"/>
        </w:rPr>
        <w:t>final</w:t>
      </w:r>
      <w:proofErr w:type="spellEnd"/>
      <w:r w:rsidR="00EF0F07" w:rsidRPr="00A43FA6">
        <w:rPr>
          <w:sz w:val="24"/>
          <w:lang w:val="bg-BG"/>
        </w:rPr>
        <w:t xml:space="preserve">, стр. 42, </w:t>
      </w:r>
      <w:hyperlink r:id="rId402" w:history="1">
        <w:r w:rsidR="00EF0F07" w:rsidRPr="00A43FA6">
          <w:rPr>
            <w:rStyle w:val="Hyperlink"/>
            <w:sz w:val="24"/>
            <w:lang w:val="bg-BG"/>
          </w:rPr>
          <w:t>https://www.parlament.gv.at/dokument/XXVII/EU/198502/imfname_11414247.pdf</w:t>
        </w:r>
      </w:hyperlink>
      <w:r w:rsidR="00EF0F07" w:rsidRPr="00A43FA6">
        <w:rPr>
          <w:sz w:val="24"/>
          <w:lang w:val="bg-BG"/>
        </w:rPr>
        <w:t xml:space="preserve">. </w:t>
      </w:r>
      <w:r w:rsidRPr="00B84F91">
        <w:rPr>
          <w:sz w:val="24"/>
          <w:lang w:val="bg-BG"/>
        </w:rPr>
        <w:t>.</w:t>
      </w:r>
    </w:p>
  </w:footnote>
  <w:footnote w:id="406">
    <w:p w14:paraId="3F49ADAD" w14:textId="77777777" w:rsidR="00EF0F07" w:rsidRPr="00790EFE" w:rsidRDefault="00EF0F07" w:rsidP="00EF0F07">
      <w:pPr>
        <w:pStyle w:val="FootnoteText"/>
        <w:ind w:left="567" w:hanging="567"/>
        <w:rPr>
          <w:sz w:val="24"/>
          <w:lang w:val="bg-BG"/>
        </w:rPr>
      </w:pPr>
      <w:r w:rsidRPr="00790EFE">
        <w:rPr>
          <w:rStyle w:val="FootnoteReference"/>
          <w:sz w:val="24"/>
        </w:rPr>
        <w:footnoteRef/>
      </w:r>
      <w:r w:rsidRPr="00A43FA6">
        <w:rPr>
          <w:sz w:val="24"/>
          <w:lang w:val="bg-BG"/>
        </w:rPr>
        <w:tab/>
      </w:r>
      <w:r w:rsidRPr="00A43FA6">
        <w:rPr>
          <w:sz w:val="24"/>
          <w:lang w:val="bg-BG"/>
        </w:rPr>
        <w:t xml:space="preserve">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(ОВ L 295, 14.11.2019 г., стр. 1, </w:t>
      </w:r>
      <w:r w:rsidRPr="00A43FA6">
        <w:rPr>
          <w:color w:val="333333"/>
          <w:sz w:val="24"/>
          <w:shd w:val="clear" w:color="auto" w:fill="FFFFFF"/>
          <w:lang w:val="bg-BG"/>
        </w:rPr>
        <w:t xml:space="preserve">ELI: </w:t>
      </w:r>
      <w:hyperlink r:id="rId403"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A43FA6">
          <w:rPr>
            <w:rStyle w:val="Hyperlink1"/>
            <w:color w:val="337AB7"/>
            <w:sz w:val="24"/>
            <w:shd w:val="clear" w:color="auto" w:fill="FFFFFF"/>
            <w:lang w:val="bg-BG"/>
          </w:rPr>
          <w:t>http://data.europa.eu/eli/reg/2019/1896/oj</w:t>
        </w:r>
      </w:hyperlink>
      <w:r w:rsidRPr="00A43FA6">
        <w:rPr>
          <w:sz w:val="24"/>
          <w:lang w:val="bg-BG"/>
        </w:rPr>
        <w:t>).</w:t>
      </w:r>
    </w:p>
  </w:footnote>
  <w:footnote w:id="407">
    <w:p w14:paraId="562BA40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r>
      <w:r w:rsidRPr="00B84F91">
        <w:rPr>
          <w:sz w:val="24"/>
          <w:lang w:val="bg-BG"/>
        </w:rPr>
        <w:t>https://eur-lex.europa.eu/legal-content/BG/TXT/HTML/?uri=CELEX:52024DC0075 — част 3.</w:t>
      </w:r>
    </w:p>
  </w:footnote>
  <w:footnote w:id="408">
    <w:p w14:paraId="633FABC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Данни съгласно отчетите за приходите и разходите за финансовата 2023 година, публикувани в ОВ за всяка отделна агенция.</w:t>
      </w:r>
    </w:p>
  </w:footnote>
  <w:footnote w:id="409">
    <w:p w14:paraId="17F6707D"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Работен документ III за проектобюджета за 2023 г., стр. 24.</w:t>
      </w:r>
    </w:p>
  </w:footnote>
  <w:footnote w:id="410">
    <w:p w14:paraId="64463A7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Работен документ III за проектобюджета за 2023 г., стр. 26.</w:t>
      </w:r>
    </w:p>
  </w:footnote>
  <w:footnote w:id="411">
    <w:p w14:paraId="753D8C8B"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Работен документ III за проектобюджета за 2023 г., стр. 21.</w:t>
      </w:r>
    </w:p>
  </w:footnote>
  <w:footnote w:id="412">
    <w:p w14:paraId="55459BDE"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Заседание на комисия CONT, 4 декември 2023 г.</w:t>
      </w:r>
    </w:p>
  </w:footnote>
  <w:footnote w:id="413">
    <w:p w14:paraId="6A7978B9"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Нова бюджетна, счетоводна и финансова система въведена като пилотен проект през 2022 г.</w:t>
      </w:r>
    </w:p>
  </w:footnote>
  <w:footnote w:id="414">
    <w:p w14:paraId="511952AF"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r>
      <w:proofErr w:type="spellStart"/>
      <w:r w:rsidRPr="00B84F91">
        <w:rPr>
          <w:sz w:val="24"/>
          <w:lang w:val="bg-BG"/>
        </w:rPr>
        <w:t>UniSystems</w:t>
      </w:r>
      <w:proofErr w:type="spellEnd"/>
      <w:r w:rsidRPr="00B84F91">
        <w:rPr>
          <w:sz w:val="24"/>
          <w:lang w:val="bg-BG"/>
        </w:rPr>
        <w:t xml:space="preserve"> </w:t>
      </w:r>
      <w:proofErr w:type="spellStart"/>
      <w:r w:rsidRPr="00B84F91">
        <w:rPr>
          <w:sz w:val="24"/>
          <w:lang w:val="bg-BG"/>
        </w:rPr>
        <w:t>Luxembourg</w:t>
      </w:r>
      <w:proofErr w:type="spellEnd"/>
      <w:r w:rsidRPr="00B84F91">
        <w:rPr>
          <w:sz w:val="24"/>
          <w:lang w:val="bg-BG"/>
        </w:rPr>
        <w:t xml:space="preserve"> и </w:t>
      </w:r>
      <w:proofErr w:type="spellStart"/>
      <w:r w:rsidRPr="00B84F91">
        <w:rPr>
          <w:sz w:val="24"/>
          <w:lang w:val="bg-BG"/>
        </w:rPr>
        <w:t>Unisystems</w:t>
      </w:r>
      <w:proofErr w:type="spellEnd"/>
      <w:r w:rsidRPr="00B84F91">
        <w:rPr>
          <w:sz w:val="24"/>
          <w:lang w:val="bg-BG"/>
        </w:rPr>
        <w:t xml:space="preserve"> </w:t>
      </w:r>
      <w:proofErr w:type="spellStart"/>
      <w:r w:rsidRPr="00B84F91">
        <w:rPr>
          <w:sz w:val="24"/>
          <w:lang w:val="bg-BG"/>
        </w:rPr>
        <w:t>systimata</w:t>
      </w:r>
      <w:proofErr w:type="spellEnd"/>
      <w:r w:rsidRPr="00B84F91">
        <w:rPr>
          <w:sz w:val="24"/>
          <w:lang w:val="bg-BG"/>
        </w:rPr>
        <w:t xml:space="preserve"> </w:t>
      </w:r>
      <w:proofErr w:type="spellStart"/>
      <w:r w:rsidRPr="00B84F91">
        <w:rPr>
          <w:sz w:val="24"/>
          <w:lang w:val="bg-BG"/>
        </w:rPr>
        <w:t>pliroforikis</w:t>
      </w:r>
      <w:proofErr w:type="spellEnd"/>
      <w:r w:rsidRPr="00B84F91">
        <w:rPr>
          <w:sz w:val="24"/>
          <w:lang w:val="bg-BG"/>
        </w:rPr>
        <w:t xml:space="preserve"> v ESMA – дело T-750/22.</w:t>
      </w:r>
    </w:p>
  </w:footnote>
  <w:footnote w:id="415">
    <w:p w14:paraId="5385D89E" w14:textId="39554BB1"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Годишни отчети на ЕБО, с</w:t>
      </w:r>
      <w:r w:rsidR="00504D1B">
        <w:rPr>
          <w:sz w:val="24"/>
          <w:lang w:val="bg-BG"/>
        </w:rPr>
        <w:t>тр</w:t>
      </w:r>
      <w:r w:rsidRPr="00B84F91">
        <w:rPr>
          <w:sz w:val="24"/>
          <w:lang w:val="bg-BG"/>
        </w:rPr>
        <w:t>. 26, и Палатата за ESMA</w:t>
      </w:r>
      <w:r w:rsidR="00504D1B">
        <w:rPr>
          <w:sz w:val="24"/>
          <w:lang w:val="bg-BG"/>
        </w:rPr>
        <w:t>,</w:t>
      </w:r>
      <w:r w:rsidRPr="00B84F91">
        <w:rPr>
          <w:sz w:val="24"/>
          <w:lang w:val="bg-BG"/>
        </w:rPr>
        <w:t xml:space="preserve"> с</w:t>
      </w:r>
      <w:r w:rsidR="00504D1B">
        <w:rPr>
          <w:sz w:val="24"/>
          <w:lang w:val="bg-BG"/>
        </w:rPr>
        <w:t>тр</w:t>
      </w:r>
      <w:r w:rsidRPr="00B84F91">
        <w:rPr>
          <w:sz w:val="24"/>
          <w:lang w:val="bg-BG"/>
        </w:rPr>
        <w:t>. 139.</w:t>
      </w:r>
    </w:p>
  </w:footnote>
  <w:footnote w:id="416">
    <w:p w14:paraId="50D40575" w14:textId="3CBEF834"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Годишни отчети на </w:t>
      </w:r>
      <w:proofErr w:type="spellStart"/>
      <w:r w:rsidRPr="00B84F91">
        <w:rPr>
          <w:sz w:val="24"/>
          <w:lang w:val="bg-BG"/>
        </w:rPr>
        <w:t>eu</w:t>
      </w:r>
      <w:proofErr w:type="spellEnd"/>
      <w:r w:rsidRPr="00B84F91">
        <w:rPr>
          <w:sz w:val="24"/>
          <w:lang w:val="bg-BG"/>
        </w:rPr>
        <w:t>-LISA, с</w:t>
      </w:r>
      <w:r w:rsidR="00504D1B">
        <w:rPr>
          <w:sz w:val="24"/>
          <w:lang w:val="bg-BG"/>
        </w:rPr>
        <w:t>тр</w:t>
      </w:r>
      <w:r w:rsidRPr="00B84F91">
        <w:rPr>
          <w:sz w:val="24"/>
          <w:lang w:val="bg-BG"/>
        </w:rPr>
        <w:t>. 25.</w:t>
      </w:r>
    </w:p>
  </w:footnote>
  <w:footnote w:id="417">
    <w:p w14:paraId="70E22E18" w14:textId="3951005F"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Годишни отчети на </w:t>
      </w:r>
      <w:proofErr w:type="spellStart"/>
      <w:r w:rsidRPr="00B84F91">
        <w:rPr>
          <w:sz w:val="24"/>
          <w:lang w:val="bg-BG"/>
        </w:rPr>
        <w:t>Frontex</w:t>
      </w:r>
      <w:proofErr w:type="spellEnd"/>
      <w:r w:rsidRPr="00B84F91">
        <w:rPr>
          <w:sz w:val="24"/>
          <w:lang w:val="bg-BG"/>
        </w:rPr>
        <w:t xml:space="preserve"> с</w:t>
      </w:r>
      <w:r w:rsidR="00504D1B">
        <w:rPr>
          <w:sz w:val="24"/>
          <w:lang w:val="bg-BG"/>
        </w:rPr>
        <w:t>тр</w:t>
      </w:r>
      <w:r w:rsidRPr="00B84F91">
        <w:rPr>
          <w:sz w:val="24"/>
          <w:lang w:val="bg-BG"/>
        </w:rPr>
        <w:t>. 37.</w:t>
      </w:r>
    </w:p>
  </w:footnote>
  <w:footnote w:id="418">
    <w:p w14:paraId="300F51B2" w14:textId="6AB683A5"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r>
      <w:r w:rsidR="00504D1B" w:rsidRPr="00504D1B">
        <w:t>Пътна карта</w:t>
      </w:r>
      <w:r w:rsidR="00504D1B" w:rsidRPr="00A43FA6">
        <w:rPr>
          <w:sz w:val="24"/>
          <w:lang w:val="bg-BG"/>
        </w:rPr>
        <w:t xml:space="preserve"> за последващите действия във връзка с общия подход към децентрализираните агенции на ЕС: </w:t>
      </w:r>
      <w:hyperlink r:id="rId404" w:history="1">
        <w:r w:rsidR="00504D1B" w:rsidRPr="00A43FA6">
          <w:rPr>
            <w:rStyle w:val="Hyperlink"/>
            <w:sz w:val="24"/>
            <w:lang w:val="bg-BG"/>
          </w:rPr>
          <w:t>5-</w:t>
        </w:r>
        <w:r w:rsidR="00504D1B" w:rsidRPr="00A43FA6">
          <w:rPr>
            <w:rStyle w:val="Hyperlink"/>
            <w:sz w:val="24"/>
          </w:rPr>
          <w:t>AB</w:t>
        </w:r>
        <w:r w:rsidR="00504D1B" w:rsidRPr="00A43FA6">
          <w:rPr>
            <w:rStyle w:val="Hyperlink"/>
            <w:sz w:val="24"/>
            <w:lang w:val="bg-BG"/>
          </w:rPr>
          <w:t>-12-13_</w:t>
        </w:r>
        <w:r w:rsidR="00504D1B" w:rsidRPr="00A43FA6">
          <w:rPr>
            <w:rStyle w:val="Hyperlink"/>
            <w:sz w:val="24"/>
          </w:rPr>
          <w:t>Roadmap</w:t>
        </w:r>
        <w:r w:rsidR="00504D1B" w:rsidRPr="00A43FA6">
          <w:rPr>
            <w:rStyle w:val="Hyperlink"/>
            <w:sz w:val="24"/>
            <w:lang w:val="bg-BG"/>
          </w:rPr>
          <w:t xml:space="preserve"> </w:t>
        </w:r>
        <w:r w:rsidR="00504D1B" w:rsidRPr="00A43FA6">
          <w:rPr>
            <w:rStyle w:val="Hyperlink"/>
            <w:sz w:val="24"/>
          </w:rPr>
          <w:t>on</w:t>
        </w:r>
        <w:r w:rsidR="00504D1B" w:rsidRPr="00A43FA6">
          <w:rPr>
            <w:rStyle w:val="Hyperlink"/>
            <w:sz w:val="24"/>
            <w:lang w:val="bg-BG"/>
          </w:rPr>
          <w:t xml:space="preserve"> </w:t>
        </w:r>
        <w:r w:rsidR="00504D1B" w:rsidRPr="00A43FA6">
          <w:rPr>
            <w:rStyle w:val="Hyperlink"/>
            <w:sz w:val="24"/>
          </w:rPr>
          <w:t>the</w:t>
        </w:r>
        <w:r w:rsidR="00504D1B" w:rsidRPr="00A43FA6">
          <w:rPr>
            <w:rStyle w:val="Hyperlink"/>
            <w:sz w:val="24"/>
            <w:lang w:val="bg-BG"/>
          </w:rPr>
          <w:t xml:space="preserve"> </w:t>
        </w:r>
        <w:r w:rsidR="00504D1B" w:rsidRPr="00A43FA6">
          <w:rPr>
            <w:rStyle w:val="Hyperlink"/>
            <w:sz w:val="24"/>
          </w:rPr>
          <w:t>follow</w:t>
        </w:r>
        <w:r w:rsidR="00504D1B" w:rsidRPr="00A43FA6">
          <w:rPr>
            <w:rStyle w:val="Hyperlink"/>
            <w:sz w:val="24"/>
            <w:lang w:val="bg-BG"/>
          </w:rPr>
          <w:t xml:space="preserve"> </w:t>
        </w:r>
        <w:r w:rsidR="00504D1B" w:rsidRPr="00A43FA6">
          <w:rPr>
            <w:rStyle w:val="Hyperlink"/>
            <w:sz w:val="24"/>
          </w:rPr>
          <w:t>up</w:t>
        </w:r>
        <w:r w:rsidR="00504D1B" w:rsidRPr="00A43FA6">
          <w:rPr>
            <w:rStyle w:val="Hyperlink"/>
            <w:sz w:val="24"/>
            <w:lang w:val="bg-BG"/>
          </w:rPr>
          <w:t xml:space="preserve"> </w:t>
        </w:r>
        <w:r w:rsidR="00504D1B" w:rsidRPr="00A43FA6">
          <w:rPr>
            <w:rStyle w:val="Hyperlink"/>
            <w:sz w:val="24"/>
          </w:rPr>
          <w:t>to</w:t>
        </w:r>
        <w:r w:rsidR="00504D1B" w:rsidRPr="00A43FA6">
          <w:rPr>
            <w:rStyle w:val="Hyperlink"/>
            <w:sz w:val="24"/>
            <w:lang w:val="bg-BG"/>
          </w:rPr>
          <w:t xml:space="preserve"> </w:t>
        </w:r>
        <w:r w:rsidR="00504D1B" w:rsidRPr="00A43FA6">
          <w:rPr>
            <w:rStyle w:val="Hyperlink"/>
            <w:sz w:val="24"/>
          </w:rPr>
          <w:t>the</w:t>
        </w:r>
        <w:r w:rsidR="00504D1B" w:rsidRPr="00A43FA6">
          <w:rPr>
            <w:rStyle w:val="Hyperlink"/>
            <w:sz w:val="24"/>
            <w:lang w:val="bg-BG"/>
          </w:rPr>
          <w:t xml:space="preserve"> </w:t>
        </w:r>
        <w:r w:rsidR="00504D1B" w:rsidRPr="00A43FA6">
          <w:rPr>
            <w:rStyle w:val="Hyperlink"/>
            <w:sz w:val="24"/>
          </w:rPr>
          <w:t>Common</w:t>
        </w:r>
        <w:r w:rsidR="00504D1B" w:rsidRPr="00A43FA6">
          <w:rPr>
            <w:rStyle w:val="Hyperlink"/>
            <w:sz w:val="24"/>
            <w:lang w:val="bg-BG"/>
          </w:rPr>
          <w:t xml:space="preserve"> </w:t>
        </w:r>
        <w:proofErr w:type="spellStart"/>
        <w:r w:rsidR="00504D1B" w:rsidRPr="00A43FA6">
          <w:rPr>
            <w:rStyle w:val="Hyperlink"/>
            <w:sz w:val="24"/>
          </w:rPr>
          <w:t>Approach</w:t>
        </w:r>
        <w:proofErr w:type="spellEnd"/>
        <w:r w:rsidR="00504D1B" w:rsidRPr="00A43FA6">
          <w:rPr>
            <w:rStyle w:val="Hyperlink"/>
            <w:sz w:val="24"/>
            <w:lang w:val="bg-BG"/>
          </w:rPr>
          <w:t xml:space="preserve"> </w:t>
        </w:r>
        <w:proofErr w:type="spellStart"/>
        <w:r w:rsidR="00504D1B" w:rsidRPr="00A43FA6">
          <w:rPr>
            <w:rStyle w:val="Hyperlink"/>
            <w:sz w:val="24"/>
          </w:rPr>
          <w:t>on</w:t>
        </w:r>
        <w:proofErr w:type="spellEnd"/>
        <w:r w:rsidR="00504D1B" w:rsidRPr="00A43FA6">
          <w:rPr>
            <w:rStyle w:val="Hyperlink"/>
            <w:sz w:val="24"/>
            <w:lang w:val="bg-BG"/>
          </w:rPr>
          <w:t xml:space="preserve"> </w:t>
        </w:r>
        <w:r w:rsidR="00504D1B" w:rsidRPr="00A43FA6">
          <w:rPr>
            <w:rStyle w:val="Hyperlink"/>
            <w:sz w:val="24"/>
          </w:rPr>
          <w:t>EU</w:t>
        </w:r>
        <w:r w:rsidR="00504D1B" w:rsidRPr="00A43FA6">
          <w:rPr>
            <w:rStyle w:val="Hyperlink"/>
            <w:sz w:val="24"/>
            <w:lang w:val="bg-BG"/>
          </w:rPr>
          <w:t xml:space="preserve"> </w:t>
        </w:r>
        <w:proofErr w:type="spellStart"/>
        <w:r w:rsidR="00504D1B" w:rsidRPr="00A43FA6">
          <w:rPr>
            <w:rStyle w:val="Hyperlink"/>
            <w:sz w:val="24"/>
          </w:rPr>
          <w:t>Decentralised</w:t>
        </w:r>
        <w:proofErr w:type="spellEnd"/>
        <w:r w:rsidR="00504D1B" w:rsidRPr="00A43FA6">
          <w:rPr>
            <w:rStyle w:val="Hyperlink"/>
            <w:sz w:val="24"/>
            <w:lang w:val="bg-BG"/>
          </w:rPr>
          <w:t xml:space="preserve"> </w:t>
        </w:r>
        <w:proofErr w:type="spellStart"/>
        <w:r w:rsidR="00504D1B" w:rsidRPr="00A43FA6">
          <w:rPr>
            <w:rStyle w:val="Hyperlink"/>
            <w:sz w:val="24"/>
          </w:rPr>
          <w:t>Agencies</w:t>
        </w:r>
        <w:proofErr w:type="spellEnd"/>
        <w:r w:rsidR="00504D1B" w:rsidRPr="00A43FA6">
          <w:rPr>
            <w:rStyle w:val="Hyperlink"/>
            <w:sz w:val="24"/>
            <w:lang w:val="bg-BG"/>
          </w:rPr>
          <w:t>.</w:t>
        </w:r>
        <w:proofErr w:type="spellStart"/>
        <w:r w:rsidR="00504D1B" w:rsidRPr="00A43FA6">
          <w:rPr>
            <w:rStyle w:val="Hyperlink"/>
            <w:sz w:val="24"/>
          </w:rPr>
          <w:t>pdf</w:t>
        </w:r>
        <w:proofErr w:type="spellEnd"/>
      </w:hyperlink>
      <w:r w:rsidR="00504D1B" w:rsidRPr="00A43FA6">
        <w:rPr>
          <w:sz w:val="24"/>
          <w:lang w:val="bg-BG"/>
        </w:rPr>
        <w:t>.</w:t>
      </w:r>
    </w:p>
  </w:footnote>
  <w:footnote w:id="419">
    <w:p w14:paraId="56BDE09F" w14:textId="637ADDC9"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Европейска комисия, Документ на службите на Комисията, </w:t>
      </w:r>
      <w:proofErr w:type="spellStart"/>
      <w:r w:rsidRPr="00504D1B">
        <w:rPr>
          <w:sz w:val="24"/>
          <w:lang w:val="bg-BG"/>
        </w:rPr>
        <w:t>Guidelines</w:t>
      </w:r>
      <w:proofErr w:type="spellEnd"/>
      <w:r w:rsidRPr="00504D1B">
        <w:rPr>
          <w:sz w:val="24"/>
          <w:lang w:val="bg-BG"/>
        </w:rPr>
        <w:t xml:space="preserve"> </w:t>
      </w:r>
      <w:proofErr w:type="spellStart"/>
      <w:r w:rsidRPr="00504D1B">
        <w:rPr>
          <w:sz w:val="24"/>
          <w:lang w:val="bg-BG"/>
        </w:rPr>
        <w:t>on</w:t>
      </w:r>
      <w:proofErr w:type="spellEnd"/>
      <w:r w:rsidRPr="00504D1B">
        <w:rPr>
          <w:sz w:val="24"/>
          <w:lang w:val="bg-BG"/>
        </w:rPr>
        <w:t xml:space="preserve"> </w:t>
      </w:r>
      <w:proofErr w:type="spellStart"/>
      <w:r w:rsidRPr="00504D1B">
        <w:rPr>
          <w:sz w:val="24"/>
          <w:lang w:val="bg-BG"/>
        </w:rPr>
        <w:t>key</w:t>
      </w:r>
      <w:proofErr w:type="spellEnd"/>
      <w:r w:rsidRPr="00504D1B">
        <w:rPr>
          <w:sz w:val="24"/>
          <w:lang w:val="bg-BG"/>
        </w:rPr>
        <w:t xml:space="preserve"> </w:t>
      </w:r>
      <w:proofErr w:type="spellStart"/>
      <w:r w:rsidRPr="00504D1B">
        <w:rPr>
          <w:sz w:val="24"/>
          <w:lang w:val="bg-BG"/>
        </w:rPr>
        <w:t>performance</w:t>
      </w:r>
      <w:proofErr w:type="spellEnd"/>
      <w:r w:rsidRPr="00504D1B">
        <w:rPr>
          <w:sz w:val="24"/>
          <w:lang w:val="bg-BG"/>
        </w:rPr>
        <w:t xml:space="preserve"> </w:t>
      </w:r>
      <w:proofErr w:type="spellStart"/>
      <w:r w:rsidRPr="00504D1B">
        <w:rPr>
          <w:sz w:val="24"/>
          <w:lang w:val="bg-BG"/>
        </w:rPr>
        <w:t>indicators</w:t>
      </w:r>
      <w:proofErr w:type="spellEnd"/>
      <w:r w:rsidRPr="00B84F91">
        <w:rPr>
          <w:sz w:val="24"/>
          <w:lang w:val="bg-BG"/>
        </w:rPr>
        <w:t xml:space="preserve"> (KPI) </w:t>
      </w:r>
      <w:proofErr w:type="spellStart"/>
      <w:r w:rsidRPr="00B84F91">
        <w:rPr>
          <w:sz w:val="24"/>
          <w:lang w:val="bg-BG"/>
        </w:rPr>
        <w:t>for</w:t>
      </w:r>
      <w:proofErr w:type="spellEnd"/>
      <w:r w:rsidRPr="00B84F91">
        <w:rPr>
          <w:sz w:val="24"/>
          <w:lang w:val="bg-BG"/>
        </w:rPr>
        <w:t xml:space="preserve"> </w:t>
      </w:r>
      <w:proofErr w:type="spellStart"/>
      <w:r w:rsidRPr="00B84F91">
        <w:rPr>
          <w:sz w:val="24"/>
          <w:lang w:val="bg-BG"/>
        </w:rPr>
        <w:t>directors</w:t>
      </w:r>
      <w:proofErr w:type="spellEnd"/>
      <w:r w:rsidRPr="00B84F91">
        <w:rPr>
          <w:sz w:val="24"/>
          <w:lang w:val="bg-BG"/>
        </w:rPr>
        <w:t xml:space="preserve"> </w:t>
      </w:r>
      <w:proofErr w:type="spellStart"/>
      <w:r w:rsidRPr="00B84F91">
        <w:rPr>
          <w:sz w:val="24"/>
          <w:lang w:val="bg-BG"/>
        </w:rPr>
        <w:t>of</w:t>
      </w:r>
      <w:proofErr w:type="spellEnd"/>
      <w:r w:rsidRPr="00B84F91">
        <w:rPr>
          <w:sz w:val="24"/>
          <w:lang w:val="bg-BG"/>
        </w:rPr>
        <w:t xml:space="preserve"> EU </w:t>
      </w:r>
      <w:proofErr w:type="spellStart"/>
      <w:r w:rsidRPr="00B84F91">
        <w:rPr>
          <w:sz w:val="24"/>
          <w:lang w:val="bg-BG"/>
        </w:rPr>
        <w:t>decentralised</w:t>
      </w:r>
      <w:proofErr w:type="spellEnd"/>
      <w:r w:rsidRPr="00B84F91">
        <w:rPr>
          <w:sz w:val="24"/>
          <w:lang w:val="bg-BG"/>
        </w:rPr>
        <w:t xml:space="preserve"> </w:t>
      </w:r>
      <w:proofErr w:type="spellStart"/>
      <w:r w:rsidRPr="00B84F91">
        <w:rPr>
          <w:sz w:val="24"/>
          <w:lang w:val="bg-BG"/>
        </w:rPr>
        <w:t>agencies</w:t>
      </w:r>
      <w:proofErr w:type="spellEnd"/>
      <w:r w:rsidRPr="00B84F91">
        <w:rPr>
          <w:sz w:val="24"/>
          <w:lang w:val="bg-BG"/>
        </w:rPr>
        <w:t>, 13.3.2015 г., с</w:t>
      </w:r>
      <w:r w:rsidR="00504D1B">
        <w:rPr>
          <w:sz w:val="24"/>
          <w:lang w:val="bg-BG"/>
        </w:rPr>
        <w:t>тр</w:t>
      </w:r>
      <w:r w:rsidRPr="00B84F91">
        <w:rPr>
          <w:sz w:val="24"/>
          <w:lang w:val="bg-BG"/>
        </w:rPr>
        <w:t>. 3</w:t>
      </w:r>
      <w:r w:rsidR="00504D1B">
        <w:rPr>
          <w:sz w:val="24"/>
          <w:lang w:val="bg-BG"/>
        </w:rPr>
        <w:t xml:space="preserve">, </w:t>
      </w:r>
      <w:hyperlink r:id="rId405" w:history="1">
        <w:r w:rsidR="00504D1B" w:rsidRPr="00A43FA6">
          <w:rPr>
            <w:rStyle w:val="Hyperlink"/>
            <w:sz w:val="24"/>
            <w:lang w:val="bg-BG"/>
          </w:rPr>
          <w:t>https://www.eumonitor.eu/9353000/1/j9vvik7m1c3gyxp/vjx64xley4zd</w:t>
        </w:r>
      </w:hyperlink>
      <w:r w:rsidRPr="00B84F91">
        <w:rPr>
          <w:sz w:val="24"/>
          <w:lang w:val="bg-BG"/>
        </w:rPr>
        <w:t>.</w:t>
      </w:r>
    </w:p>
  </w:footnote>
  <w:footnote w:id="420">
    <w:p w14:paraId="4D5F0E20" w14:textId="42C796E4"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r>
      <w:r w:rsidRPr="00504D1B">
        <w:rPr>
          <w:sz w:val="24"/>
          <w:lang w:val="bg-BG"/>
        </w:rPr>
        <w:t>Специален доклад 22/202</w:t>
      </w:r>
      <w:r w:rsidR="00504D1B">
        <w:rPr>
          <w:sz w:val="24"/>
          <w:lang w:val="bg-BG"/>
        </w:rPr>
        <w:t>0</w:t>
      </w:r>
      <w:r w:rsidRPr="00504D1B">
        <w:rPr>
          <w:sz w:val="24"/>
          <w:lang w:val="bg-BG"/>
        </w:rPr>
        <w:t xml:space="preserve"> „Бъдещето на агенциите на ЕС – съществува потенциал за по-голяма гъвкавост и сътрудничество“</w:t>
      </w:r>
      <w:r w:rsidR="00504D1B">
        <w:rPr>
          <w:sz w:val="24"/>
          <w:lang w:val="bg-BG"/>
        </w:rPr>
        <w:t>:</w:t>
      </w:r>
      <w:hyperlink r:id="rId406" w:history="1">
        <w:r w:rsidR="00504D1B" w:rsidRPr="00A43FA6">
          <w:rPr>
            <w:rStyle w:val="Hyperlink"/>
            <w:sz w:val="24"/>
            <w:lang w:val="bg-BG"/>
          </w:rPr>
          <w:t>https://www.eca.europa.eu/Lists/ECADocuments/SR20_22/SR_Future_of_EU_Agencies_EN.pdf</w:t>
        </w:r>
      </w:hyperlink>
      <w:r w:rsidRPr="00B84F91">
        <w:rPr>
          <w:sz w:val="24"/>
          <w:lang w:val="bg-BG"/>
        </w:rPr>
        <w:t>.</w:t>
      </w:r>
    </w:p>
  </w:footnote>
  <w:footnote w:id="421">
    <w:p w14:paraId="7232C498" w14:textId="588EA900" w:rsidR="00504D1B" w:rsidRPr="00790EFE" w:rsidRDefault="00504D1B" w:rsidP="00504D1B">
      <w:pPr>
        <w:pStyle w:val="FootnoteText"/>
        <w:ind w:left="567" w:hanging="567"/>
        <w:rPr>
          <w:sz w:val="24"/>
          <w:lang w:val="bg-BG"/>
        </w:rPr>
      </w:pPr>
      <w:r w:rsidRPr="00790EFE">
        <w:rPr>
          <w:rStyle w:val="FootnoteReference"/>
          <w:sz w:val="24"/>
        </w:rPr>
        <w:footnoteRef/>
      </w:r>
      <w:r w:rsidRPr="00A43FA6">
        <w:rPr>
          <w:sz w:val="24"/>
          <w:lang w:val="bg-BG"/>
        </w:rPr>
        <w:tab/>
        <w:t>Регламент (ЕС) 2023/2842 на Европейския парламент и на Съвета от 22 ноември 2023 г</w:t>
      </w:r>
      <w:r>
        <w:rPr>
          <w:sz w:val="24"/>
          <w:lang w:val="bg-BG"/>
        </w:rPr>
        <w:t>.</w:t>
      </w:r>
      <w:r w:rsidRPr="00A43FA6">
        <w:rPr>
          <w:sz w:val="24"/>
          <w:lang w:val="bg-BG"/>
        </w:rPr>
        <w:t xml:space="preserve"> за изменение на Регламент (ЕО) № 1224/2009 на Съвета и за изменение на регламенти (ЕО) № 1967/2006 и (ЕО) № 1005/2008 на Съвета и на регламенти (ЕС) 2016/1139, (ЕС) 2017/2403 и (ЕС) 2019/473 на Европейския парламент и на Съвета по отношение на контрола на рибарството (OВ L, 2023/2842, 20.12.2023</w:t>
      </w:r>
      <w:r w:rsidRPr="00A43FA6">
        <w:rPr>
          <w:sz w:val="24"/>
          <w:lang w:val="fr-BE"/>
        </w:rPr>
        <w:t> </w:t>
      </w:r>
      <w:r w:rsidRPr="00A43FA6">
        <w:rPr>
          <w:sz w:val="24"/>
          <w:lang w:val="bg-BG"/>
        </w:rPr>
        <w:t>г., ELI:</w:t>
      </w:r>
      <w:r w:rsidRPr="00A43FA6">
        <w:rPr>
          <w:sz w:val="24"/>
          <w:lang w:val="fr-BE"/>
        </w:rPr>
        <w:t> </w:t>
      </w:r>
      <w:hyperlink r:id="rId407" w:history="1">
        <w:r w:rsidRPr="00A43FA6">
          <w:rPr>
            <w:rStyle w:val="Hyperlink"/>
            <w:sz w:val="24"/>
            <w:lang w:val="bg-BG"/>
          </w:rPr>
          <w:t>http://data.europa.eu/eli/reg/2023/2842/oj</w:t>
        </w:r>
      </w:hyperlink>
      <w:r w:rsidRPr="00A43FA6">
        <w:rPr>
          <w:sz w:val="24"/>
          <w:lang w:val="bg-BG"/>
        </w:rPr>
        <w:t xml:space="preserve">). </w:t>
      </w:r>
    </w:p>
  </w:footnote>
  <w:footnote w:id="422">
    <w:p w14:paraId="52ADBDB6" w14:textId="77777777" w:rsidR="00501BD5" w:rsidRPr="00B84F91" w:rsidRDefault="00501BD5" w:rsidP="00B84F91">
      <w:pPr>
        <w:pStyle w:val="FootnoteText"/>
        <w:ind w:left="567" w:hanging="567"/>
        <w:rPr>
          <w:rFonts w:eastAsiaTheme="minorHAnsi"/>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Регламент (ЕС) 2023/2131 на Европейския парламент и на Съвета от 4 октомври 2023 г. за изменение на Регламент (ЕС) 2018/1727 на Европейския парламент и на Съвета и на Решение 2005/671/ПВР на Съвета по отношение на цифровия обмен на информация по дела за тероризъм (OВ L, 2023/2131, 11.10.2023 г., ELI: </w:t>
      </w:r>
      <w:hyperlink r:id="rId40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B84F91">
          <w:rPr>
            <w:rStyle w:val="Hyperlink"/>
            <w:sz w:val="24"/>
            <w:lang w:val="bg-BG"/>
          </w:rPr>
          <w:t>http://data.europa.eu/eli/reg/2023/2131/oj</w:t>
        </w:r>
      </w:hyperlink>
      <w:r w:rsidRPr="00B84F91">
        <w:rPr>
          <w:sz w:val="24"/>
          <w:lang w:val="bg-BG"/>
        </w:rPr>
        <w:t>).</w:t>
      </w:r>
    </w:p>
  </w:footnote>
  <w:footnote w:id="423">
    <w:p w14:paraId="6E53D205" w14:textId="7ED1BD19"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Регламент (ЕС) 2023/969 на Европейския парламент и на Съвета от 10 май 2023 г. за създаване на платформа за сътрудничество за подпомагане на функционирането на съвместните екипи за разследване и за изменение на Регламент (ЕС) 2018/1726 (ОВ L</w:t>
      </w:r>
      <w:r w:rsidR="00AD6016">
        <w:rPr>
          <w:sz w:val="24"/>
          <w:lang w:val="bg-BG"/>
        </w:rPr>
        <w:t xml:space="preserve"> 132</w:t>
      </w:r>
      <w:r w:rsidRPr="00B84F91">
        <w:rPr>
          <w:sz w:val="24"/>
          <w:lang w:val="bg-BG"/>
        </w:rPr>
        <w:t>, 17.5.202</w:t>
      </w:r>
      <w:r w:rsidR="00504D1B">
        <w:rPr>
          <w:sz w:val="24"/>
          <w:lang w:val="bg-BG"/>
        </w:rPr>
        <w:t>3</w:t>
      </w:r>
      <w:r w:rsidRPr="00B84F91">
        <w:rPr>
          <w:sz w:val="24"/>
          <w:lang w:val="bg-BG"/>
        </w:rPr>
        <w:t> г.,</w:t>
      </w:r>
      <w:r w:rsidR="00504D1B">
        <w:rPr>
          <w:sz w:val="24"/>
          <w:lang w:val="bg-BG"/>
        </w:rPr>
        <w:t xml:space="preserve"> стр. 1,</w:t>
      </w:r>
      <w:r w:rsidRPr="00B84F91">
        <w:rPr>
          <w:sz w:val="24"/>
          <w:lang w:val="bg-BG"/>
        </w:rPr>
        <w:t xml:space="preserve"> </w:t>
      </w:r>
      <w:r w:rsidRPr="00B84F91">
        <w:rPr>
          <w:color w:val="333333"/>
          <w:sz w:val="24"/>
          <w:shd w:val="clear" w:color="auto" w:fill="FFFFFF"/>
          <w:lang w:val="bg-BG"/>
        </w:rPr>
        <w:t>ELI: </w:t>
      </w:r>
      <w:hyperlink r:id="rId409"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B84F91">
          <w:rPr>
            <w:rStyle w:val="Hyperlink"/>
            <w:color w:val="337AB7"/>
            <w:sz w:val="24"/>
            <w:shd w:val="clear" w:color="auto" w:fill="FFFFFF"/>
            <w:lang w:val="bg-BG"/>
          </w:rPr>
          <w:t>http://data.europa.eu/eli/reg/2023/969/oj</w:t>
        </w:r>
      </w:hyperlink>
      <w:r w:rsidRPr="00B84F91">
        <w:rPr>
          <w:sz w:val="24"/>
          <w:lang w:val="bg-BG"/>
        </w:rPr>
        <w:t>).</w:t>
      </w:r>
    </w:p>
  </w:footnote>
  <w:footnote w:id="424">
    <w:p w14:paraId="20AD0108" w14:textId="736E6C3A"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Регламент (ЕС) 2016/794 на Европейския парламент и на Съвета от 11 май 2016 г. относно Агенцията на Европейския съюз за сътрудничество в областта на правоприлагането (Европол) и за замяна и отмяна на решения 2009/371/ПВР, 2009/934/ПВР, 2009/935/ПВР, 2009/936/ПВР и 2009/968/ПВР на Съвета (ОВ L </w:t>
      </w:r>
      <w:r w:rsidR="00AD6016">
        <w:rPr>
          <w:sz w:val="24"/>
          <w:lang w:val="bg-BG"/>
        </w:rPr>
        <w:t>135</w:t>
      </w:r>
      <w:r w:rsidRPr="00B84F91">
        <w:rPr>
          <w:sz w:val="24"/>
          <w:lang w:val="bg-BG"/>
        </w:rPr>
        <w:t>, 24.5.2016 г.</w:t>
      </w:r>
      <w:r w:rsidR="00504D1B">
        <w:rPr>
          <w:sz w:val="24"/>
          <w:lang w:val="bg-BG"/>
        </w:rPr>
        <w:t>, стр. 53,</w:t>
      </w:r>
      <w:r w:rsidRPr="00B84F91">
        <w:rPr>
          <w:sz w:val="24"/>
          <w:lang w:val="bg-BG"/>
        </w:rPr>
        <w:t xml:space="preserve"> </w:t>
      </w:r>
      <w:r w:rsidRPr="00B84F91">
        <w:rPr>
          <w:color w:val="333333"/>
          <w:sz w:val="24"/>
          <w:shd w:val="clear" w:color="auto" w:fill="FFFFFF"/>
          <w:lang w:val="bg-BG"/>
        </w:rPr>
        <w:t>ELI: </w:t>
      </w:r>
      <w:hyperlink r:id="rId410"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B84F91">
          <w:rPr>
            <w:rStyle w:val="Hyperlink"/>
            <w:color w:val="337AB7"/>
            <w:sz w:val="24"/>
            <w:shd w:val="clear" w:color="auto" w:fill="FFFFFF"/>
            <w:lang w:val="bg-BG"/>
          </w:rPr>
          <w:t>http://data.europa.eu/eli/reg/2016/794/oj</w:t>
        </w:r>
      </w:hyperlink>
      <w:r w:rsidRPr="00B84F91">
        <w:rPr>
          <w:sz w:val="24"/>
          <w:lang w:val="bg-BG"/>
        </w:rPr>
        <w:t>).</w:t>
      </w:r>
    </w:p>
  </w:footnote>
  <w:footnote w:id="425">
    <w:p w14:paraId="280D4316" w14:textId="77777777" w:rsidR="00501BD5" w:rsidRPr="00B84F91" w:rsidRDefault="00501BD5" w:rsidP="00B84F91">
      <w:pPr>
        <w:pStyle w:val="FootnoteText"/>
        <w:ind w:left="567" w:hanging="567"/>
        <w:rPr>
          <w:rStyle w:val="FootnoteReference"/>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Доклад на ЕСП, стр. 37. Само констатациите, които се отнасят до агенциите, са част от настоящата резолюция.</w:t>
      </w:r>
    </w:p>
  </w:footnote>
  <w:footnote w:id="426">
    <w:p w14:paraId="1FD358CB" w14:textId="0388CD3E"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Констатации от предходни години, засягащи плащанията през 2023 г.: - ЕААБ — 1,6 милиона евро; - EIGE — 59 600 EUR; - ЕОТ — 1,32 милиона евро и основание за становище с резерви; </w:t>
      </w:r>
      <w:r w:rsidR="00504D1B">
        <w:rPr>
          <w:sz w:val="24"/>
          <w:lang w:val="bg-BG"/>
        </w:rPr>
        <w:t>–</w:t>
      </w:r>
      <w:r w:rsidRPr="00B84F91">
        <w:rPr>
          <w:sz w:val="24"/>
          <w:lang w:val="bg-BG"/>
        </w:rPr>
        <w:t xml:space="preserve"> ETF: две констатации — 175 500 EUR и 300 600 EUR; </w:t>
      </w:r>
      <w:r w:rsidR="00504D1B">
        <w:rPr>
          <w:sz w:val="24"/>
          <w:lang w:val="bg-BG"/>
        </w:rPr>
        <w:t>–</w:t>
      </w:r>
      <w:r w:rsidRPr="00B84F91">
        <w:rPr>
          <w:sz w:val="24"/>
          <w:lang w:val="bg-BG"/>
        </w:rPr>
        <w:t xml:space="preserve"> Евроюст — 59 </w:t>
      </w:r>
      <w:r w:rsidR="00504D1B">
        <w:rPr>
          <w:sz w:val="24"/>
          <w:lang w:val="bg-BG"/>
        </w:rPr>
        <w:t>3</w:t>
      </w:r>
      <w:r w:rsidRPr="00B84F91">
        <w:rPr>
          <w:sz w:val="24"/>
          <w:lang w:val="bg-BG"/>
        </w:rPr>
        <w:t xml:space="preserve">00 EUR; </w:t>
      </w:r>
      <w:r w:rsidR="00504D1B">
        <w:rPr>
          <w:sz w:val="24"/>
          <w:lang w:val="bg-BG"/>
        </w:rPr>
        <w:t>–</w:t>
      </w:r>
      <w:r w:rsidRPr="00B84F91">
        <w:rPr>
          <w:sz w:val="24"/>
          <w:lang w:val="bg-BG"/>
        </w:rPr>
        <w:t xml:space="preserve"> EUAA — 123 800 EUR; - </w:t>
      </w:r>
      <w:proofErr w:type="spellStart"/>
      <w:r w:rsidRPr="00B84F91">
        <w:rPr>
          <w:sz w:val="24"/>
          <w:lang w:val="bg-BG"/>
        </w:rPr>
        <w:t>eu</w:t>
      </w:r>
      <w:proofErr w:type="spellEnd"/>
      <w:r w:rsidRPr="00B84F91">
        <w:rPr>
          <w:sz w:val="24"/>
          <w:lang w:val="bg-BG"/>
        </w:rPr>
        <w:t xml:space="preserve">-LISA: три констатации — 7,7 милиона евро; 1,8 милиона евро; 0,4 милиона евро и основание за становище с резерви; - CEPOL — 85 000 EUR; </w:t>
      </w:r>
      <w:r w:rsidR="00504D1B">
        <w:rPr>
          <w:sz w:val="24"/>
          <w:lang w:val="bg-BG"/>
        </w:rPr>
        <w:t>–</w:t>
      </w:r>
      <w:r w:rsidRPr="00B84F91">
        <w:rPr>
          <w:sz w:val="24"/>
          <w:lang w:val="bg-BG"/>
        </w:rPr>
        <w:t xml:space="preserve"> </w:t>
      </w:r>
      <w:proofErr w:type="spellStart"/>
      <w:r w:rsidRPr="00B84F91">
        <w:rPr>
          <w:sz w:val="24"/>
          <w:lang w:val="bg-BG"/>
        </w:rPr>
        <w:t>CdT</w:t>
      </w:r>
      <w:proofErr w:type="spellEnd"/>
      <w:r w:rsidRPr="00B84F91">
        <w:rPr>
          <w:sz w:val="24"/>
          <w:lang w:val="bg-BG"/>
        </w:rPr>
        <w:t>: две констатации — 17 300 EUR и 257 200 EUR;</w:t>
      </w:r>
    </w:p>
  </w:footnote>
  <w:footnote w:id="427">
    <w:p w14:paraId="0A02274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С 64 % мъже и 36 % жени (съответно 67 % и 33 % през 2022 г.); с 54 % мъже и 46 % жени (съответно 54 % и 46 % през 2022 г.).</w:t>
      </w:r>
    </w:p>
  </w:footnote>
  <w:footnote w:id="428">
    <w:p w14:paraId="0FA8DBB5"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С 58 % мъже и 42 % жени (съответно 60 % и 40 % през 2022 г.).</w:t>
      </w:r>
    </w:p>
  </w:footnote>
  <w:footnote w:id="429">
    <w:p w14:paraId="5C01623A"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С 54 % мъже и 46 % жени (съответно 54 % и 46 % през 2022 г.);</w:t>
      </w:r>
    </w:p>
  </w:footnote>
  <w:footnote w:id="430">
    <w:p w14:paraId="3C22431B" w14:textId="1E9770C4"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r>
      <w:r w:rsidRPr="00504D1B">
        <w:rPr>
          <w:sz w:val="24"/>
          <w:lang w:val="bg-BG"/>
        </w:rPr>
        <w:t>Европейските тематични центрове</w:t>
      </w:r>
      <w:r w:rsidRPr="00B84F91">
        <w:rPr>
          <w:sz w:val="24"/>
          <w:lang w:val="bg-BG"/>
        </w:rPr>
        <w:t xml:space="preserve"> (ЕТЦ) са консорциуми от организации в държави — членки на ЕИП, с експертен опит в конкретни области на околната среда, с които ЕАОС е сключила договор в подкрепа на изпълнението на работните програми на ЕАОС</w:t>
      </w:r>
      <w:r w:rsidR="00504D1B">
        <w:rPr>
          <w:sz w:val="24"/>
          <w:lang w:val="bg-BG"/>
        </w:rPr>
        <w:t xml:space="preserve">: </w:t>
      </w:r>
      <w:hyperlink r:id="rId411" w:history="1">
        <w:r w:rsidR="00504D1B" w:rsidRPr="00A43FA6">
          <w:rPr>
            <w:rStyle w:val="Hyperlink"/>
            <w:sz w:val="24"/>
            <w:lang w:val="bg-BG"/>
          </w:rPr>
          <w:t>https://www.eionet.europa.eu/etcs</w:t>
        </w:r>
      </w:hyperlink>
      <w:r w:rsidRPr="00B84F91">
        <w:rPr>
          <w:sz w:val="24"/>
          <w:lang w:val="bg-BG"/>
        </w:rPr>
        <w:t>.</w:t>
      </w:r>
    </w:p>
  </w:footnote>
  <w:footnote w:id="431">
    <w:p w14:paraId="09753C34"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Пример: Европейски банков орган (EBA) - ЕСП, стр. 97; Европейска агенция по морска безопасност (ЕАМБ) - ЕСП, стр. 122; Европейски център за мониторинг на наркотици и наркомании (EMCDDA) - ЕСП, стр. 287.</w:t>
      </w:r>
    </w:p>
  </w:footnote>
  <w:footnote w:id="432">
    <w:p w14:paraId="71933EC0" w14:textId="7724C506" w:rsidR="00501BD5" w:rsidRPr="00504D1B" w:rsidRDefault="00501BD5" w:rsidP="00B84F91">
      <w:pPr>
        <w:pStyle w:val="FootnoteText"/>
        <w:ind w:left="567" w:hanging="567"/>
        <w:rPr>
          <w:sz w:val="24"/>
          <w:lang w:val="en-GB"/>
        </w:rPr>
      </w:pPr>
      <w:r w:rsidRPr="00B84F91">
        <w:rPr>
          <w:rStyle w:val="FootnoteReference"/>
          <w:sz w:val="24"/>
          <w:lang w:val="bg-BG"/>
        </w:rPr>
        <w:footnoteRef/>
      </w:r>
      <w:r w:rsidRPr="00B84F91">
        <w:rPr>
          <w:sz w:val="24"/>
          <w:lang w:val="bg-BG"/>
        </w:rPr>
        <w:t xml:space="preserve"> </w:t>
      </w:r>
      <w:r w:rsidRPr="00B84F91">
        <w:rPr>
          <w:sz w:val="24"/>
          <w:lang w:val="bg-BG"/>
        </w:rPr>
        <w:tab/>
      </w:r>
      <w:r w:rsidRPr="00504D1B">
        <w:rPr>
          <w:sz w:val="24"/>
          <w:lang w:val="bg-BG"/>
        </w:rPr>
        <w:t>Междуинституционалното споразумение от 20 май 2021 г.</w:t>
      </w:r>
      <w:r w:rsidRPr="00B84F91">
        <w:rPr>
          <w:sz w:val="24"/>
          <w:lang w:val="bg-BG"/>
        </w:rPr>
        <w:t xml:space="preserve"> между Европейския парламент, Съвета на Европейския съюз и Европейската комисия за задължителен регистър за прозрачност</w:t>
      </w:r>
      <w:r w:rsidR="00504D1B">
        <w:rPr>
          <w:sz w:val="24"/>
          <w:lang w:val="bg-BG"/>
        </w:rPr>
        <w:t xml:space="preserve"> (ОВ </w:t>
      </w:r>
      <w:r w:rsidR="00504D1B">
        <w:rPr>
          <w:sz w:val="24"/>
          <w:lang w:val="en-GB"/>
        </w:rPr>
        <w:t>L 207</w:t>
      </w:r>
      <w:r w:rsidR="00504D1B">
        <w:rPr>
          <w:sz w:val="24"/>
          <w:lang w:val="bg-BG"/>
        </w:rPr>
        <w:t>, 11.6.2021</w:t>
      </w:r>
      <w:r w:rsidR="00504D1B">
        <w:rPr>
          <w:sz w:val="24"/>
          <w:lang w:val="en-GB"/>
        </w:rPr>
        <w:t> </w:t>
      </w:r>
      <w:r w:rsidR="00504D1B">
        <w:rPr>
          <w:sz w:val="24"/>
          <w:lang w:val="bg-BG"/>
        </w:rPr>
        <w:t xml:space="preserve">г., стр. 1, </w:t>
      </w:r>
      <w:r w:rsidR="00504D1B">
        <w:rPr>
          <w:sz w:val="24"/>
          <w:lang w:val="en-GB"/>
        </w:rPr>
        <w:t xml:space="preserve">ELI: </w:t>
      </w:r>
      <w:r w:rsidR="00504D1B" w:rsidRPr="00504D1B">
        <w:rPr>
          <w:sz w:val="24"/>
          <w:lang w:val="bg-BG"/>
        </w:rPr>
        <w:t> </w:t>
      </w:r>
      <w:hyperlink r:id="rId412" w:tooltip="Gives access to this document through its ELI URI." w:history="1">
        <w:r w:rsidR="00504D1B" w:rsidRPr="00504D1B">
          <w:rPr>
            <w:rStyle w:val="Hyperlink"/>
            <w:sz w:val="24"/>
            <w:lang w:val="bg-BG"/>
          </w:rPr>
          <w:t>http://data.europa.eu/eli/agree_interinstit/2021/611/oj</w:t>
        </w:r>
      </w:hyperlink>
      <w:r w:rsidR="00504D1B">
        <w:rPr>
          <w:sz w:val="24"/>
          <w:lang w:val="en-GB"/>
        </w:rPr>
        <w:t>)</w:t>
      </w:r>
    </w:p>
  </w:footnote>
  <w:footnote w:id="433">
    <w:p w14:paraId="38DB3DDE" w14:textId="1038F85F" w:rsidR="00501BD5" w:rsidRPr="00B84F91" w:rsidRDefault="00501BD5" w:rsidP="00B84F91">
      <w:pPr>
        <w:ind w:left="567" w:hanging="567"/>
      </w:pPr>
      <w:r w:rsidRPr="00B84F91">
        <w:rPr>
          <w:rStyle w:val="FootnoteReference"/>
        </w:rPr>
        <w:footnoteRef/>
      </w:r>
      <w:r w:rsidRPr="00B84F91">
        <w:t xml:space="preserve"> </w:t>
      </w:r>
      <w:r w:rsidRPr="00B84F91">
        <w:tab/>
        <w:t xml:space="preserve">Мрежа на агенциите в областта на правосъдието и вътрешните работи (ПВР) — мрежата включва девет агенции: CEPOL, EASO, EIGE, ЕЦМНН, </w:t>
      </w:r>
      <w:proofErr w:type="spellStart"/>
      <w:r w:rsidRPr="00B84F91">
        <w:t>eu-L</w:t>
      </w:r>
      <w:r w:rsidR="00504D1B" w:rsidRPr="00B84F91">
        <w:t>isa</w:t>
      </w:r>
      <w:proofErr w:type="spellEnd"/>
      <w:r w:rsidRPr="00B84F91">
        <w:t xml:space="preserve">, Евроюст, Европол, FRA и </w:t>
      </w:r>
      <w:proofErr w:type="spellStart"/>
      <w:r w:rsidRPr="00B84F91">
        <w:t>Frontex</w:t>
      </w:r>
      <w:proofErr w:type="spellEnd"/>
      <w:r w:rsidR="00504D1B">
        <w:t xml:space="preserve">: </w:t>
      </w:r>
      <w:hyperlink r:id="rId413" w:tooltip="Дава достъп до този документ чрез неговия URI на ELI." w:history="1">
        <w:r w:rsidR="00504D1B" w:rsidRPr="00A43FA6">
          <w:rPr>
            <w:rStyle w:val="Hyperlink"/>
          </w:rPr>
          <w:t>http://data.europa.eu/eli/agree_interinstit/2021/611/oj</w:t>
        </w:r>
      </w:hyperlink>
      <w:r w:rsidRPr="00B84F91">
        <w:t>.</w:t>
      </w:r>
    </w:p>
  </w:footnote>
  <w:footnote w:id="434">
    <w:p w14:paraId="6FACBB5C" w14:textId="69A30178" w:rsidR="00504D1B" w:rsidRPr="00790EFE" w:rsidRDefault="00504D1B" w:rsidP="00504D1B">
      <w:pPr>
        <w:pStyle w:val="FootnoteText"/>
        <w:ind w:left="567" w:hanging="567"/>
        <w:rPr>
          <w:sz w:val="24"/>
          <w:lang w:val="bg-BG"/>
        </w:rPr>
      </w:pPr>
      <w:r w:rsidRPr="00790EFE">
        <w:rPr>
          <w:rStyle w:val="FootnoteReference"/>
          <w:sz w:val="24"/>
        </w:rPr>
        <w:footnoteRef/>
      </w:r>
      <w:r w:rsidRPr="00A43FA6">
        <w:rPr>
          <w:sz w:val="24"/>
          <w:lang w:val="bg-BG"/>
        </w:rPr>
        <w:tab/>
        <w:t>Директива (ЕС) 2019/1937 на Европейския парламент и на Съвета от 23 октомври 2019 г</w:t>
      </w:r>
      <w:r>
        <w:rPr>
          <w:sz w:val="24"/>
          <w:lang w:val="bg-BG"/>
        </w:rPr>
        <w:t>.</w:t>
      </w:r>
      <w:r w:rsidRPr="00A43FA6">
        <w:rPr>
          <w:sz w:val="24"/>
          <w:lang w:val="bg-BG"/>
        </w:rPr>
        <w:t xml:space="preserve"> относно защитата на лицата, които подават сигнали за нарушения на правото на Съюза (OB L 305, 26.11.2019 г., стр. 17, ELI: </w:t>
      </w:r>
      <w:hyperlink r:id="rId414" w:tooltip="Дава достъп до този документ чрез неговия URI на ELI." w:history="1">
        <w:r w:rsidRPr="00504D1B">
          <w:rPr>
            <w:color w:val="0070C0"/>
            <w:sz w:val="24"/>
            <w:u w:val="single"/>
            <w:lang w:val="bg-BG"/>
          </w:rPr>
          <w:t>http://data.europa.eu/eli/dir/2019/1937/oj</w:t>
        </w:r>
      </w:hyperlink>
      <w:r w:rsidRPr="00A43FA6">
        <w:rPr>
          <w:sz w:val="24"/>
          <w:lang w:val="bg-BG"/>
        </w:rPr>
        <w:t xml:space="preserve">). </w:t>
      </w:r>
    </w:p>
  </w:footnote>
  <w:footnote w:id="435">
    <w:p w14:paraId="4DE139B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ЕБО, ECDC, ECHA, ЕАОС, ЕОБХ, EOIPA, ЕАМБ, Европол, </w:t>
      </w:r>
      <w:proofErr w:type="spellStart"/>
      <w:r w:rsidRPr="00B84F91">
        <w:rPr>
          <w:sz w:val="24"/>
          <w:lang w:val="bg-BG"/>
        </w:rPr>
        <w:t>Eurofound</w:t>
      </w:r>
      <w:proofErr w:type="spellEnd"/>
      <w:r w:rsidRPr="00B84F91">
        <w:rPr>
          <w:sz w:val="24"/>
          <w:lang w:val="bg-BG"/>
        </w:rPr>
        <w:t>, ETF и ESMA.</w:t>
      </w:r>
    </w:p>
  </w:footnote>
  <w:footnote w:id="436">
    <w:p w14:paraId="546F6FE1"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Служба на ОЕРЕС, </w:t>
      </w:r>
      <w:proofErr w:type="spellStart"/>
      <w:r w:rsidRPr="00B84F91">
        <w:rPr>
          <w:sz w:val="24"/>
          <w:lang w:val="bg-BG"/>
        </w:rPr>
        <w:t>Cedefop</w:t>
      </w:r>
      <w:proofErr w:type="spellEnd"/>
      <w:r w:rsidRPr="00B84F91">
        <w:rPr>
          <w:sz w:val="24"/>
          <w:lang w:val="bg-BG"/>
        </w:rPr>
        <w:t xml:space="preserve">, </w:t>
      </w:r>
      <w:proofErr w:type="spellStart"/>
      <w:r w:rsidRPr="00B84F91">
        <w:rPr>
          <w:sz w:val="24"/>
          <w:lang w:val="bg-BG"/>
        </w:rPr>
        <w:t>eu</w:t>
      </w:r>
      <w:proofErr w:type="spellEnd"/>
      <w:r w:rsidRPr="00B84F91">
        <w:rPr>
          <w:sz w:val="24"/>
          <w:lang w:val="bg-BG"/>
        </w:rPr>
        <w:t>-LISA, EUSPA и EMA.</w:t>
      </w:r>
    </w:p>
  </w:footnote>
  <w:footnote w:id="437">
    <w:p w14:paraId="5223DB23" w14:textId="77777777" w:rsidR="00501BD5" w:rsidRPr="00B84F91" w:rsidRDefault="00501BD5" w:rsidP="00B84F91">
      <w:pPr>
        <w:pStyle w:val="FootnoteText"/>
        <w:ind w:left="567" w:hanging="567"/>
        <w:rPr>
          <w:sz w:val="24"/>
          <w:lang w:val="bg-BG"/>
        </w:rPr>
      </w:pPr>
      <w:r w:rsidRPr="00B84F91">
        <w:rPr>
          <w:rStyle w:val="FootnoteReference"/>
          <w:sz w:val="24"/>
          <w:lang w:val="bg-BG"/>
        </w:rPr>
        <w:footnoteRef/>
      </w:r>
      <w:r w:rsidRPr="00B84F91">
        <w:rPr>
          <w:sz w:val="24"/>
          <w:lang w:val="bg-BG"/>
        </w:rPr>
        <w:t xml:space="preserve"> </w:t>
      </w:r>
      <w:r w:rsidRPr="00B84F91">
        <w:rPr>
          <w:sz w:val="24"/>
          <w:lang w:val="bg-BG"/>
        </w:rPr>
        <w:tab/>
        <w:t xml:space="preserve">EIT, </w:t>
      </w:r>
      <w:proofErr w:type="spellStart"/>
      <w:r w:rsidRPr="00B84F91">
        <w:rPr>
          <w:sz w:val="24"/>
          <w:lang w:val="bg-BG"/>
        </w:rPr>
        <w:t>Frontex</w:t>
      </w:r>
      <w:proofErr w:type="spellEnd"/>
      <w:r w:rsidRPr="00B84F91">
        <w:rPr>
          <w:sz w:val="24"/>
          <w:lang w:val="bg-BG"/>
        </w:rPr>
        <w:t>, EUAA и ЕААБ.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C8F58" w14:textId="77777777" w:rsidR="00501BD5" w:rsidRPr="00B84F91" w:rsidRDefault="00501B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C13F5" w14:textId="77777777" w:rsidR="00501BD5" w:rsidRPr="00B84F91" w:rsidRDefault="00501BD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6247A" w14:textId="77777777" w:rsidR="00501BD5" w:rsidRPr="00B84F91" w:rsidRDefault="00501BD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B707F1E">
      <w:start w:val="1"/>
      <w:numFmt w:val="upperLetter"/>
      <w:lvlText w:val="%1."/>
      <w:lvlJc w:val="left"/>
      <w:pPr>
        <w:tabs>
          <w:tab w:val="num" w:pos="360"/>
        </w:tabs>
        <w:ind w:left="360" w:hanging="360"/>
      </w:pPr>
      <w:rPr>
        <w:rFonts w:hint="default"/>
      </w:rPr>
    </w:lvl>
    <w:lvl w:ilvl="1" w:tplc="20B4E8C4" w:tentative="1">
      <w:start w:val="1"/>
      <w:numFmt w:val="lowerLetter"/>
      <w:lvlText w:val="%2."/>
      <w:lvlJc w:val="left"/>
      <w:pPr>
        <w:tabs>
          <w:tab w:val="num" w:pos="1080"/>
        </w:tabs>
        <w:ind w:left="1080" w:hanging="360"/>
      </w:pPr>
    </w:lvl>
    <w:lvl w:ilvl="2" w:tplc="37F89CAA" w:tentative="1">
      <w:start w:val="1"/>
      <w:numFmt w:val="lowerRoman"/>
      <w:lvlText w:val="%3."/>
      <w:lvlJc w:val="right"/>
      <w:pPr>
        <w:tabs>
          <w:tab w:val="num" w:pos="1800"/>
        </w:tabs>
        <w:ind w:left="1800" w:hanging="180"/>
      </w:pPr>
    </w:lvl>
    <w:lvl w:ilvl="3" w:tplc="A5DC9A54" w:tentative="1">
      <w:start w:val="1"/>
      <w:numFmt w:val="decimal"/>
      <w:lvlText w:val="%4."/>
      <w:lvlJc w:val="left"/>
      <w:pPr>
        <w:tabs>
          <w:tab w:val="num" w:pos="2520"/>
        </w:tabs>
        <w:ind w:left="2520" w:hanging="360"/>
      </w:pPr>
    </w:lvl>
    <w:lvl w:ilvl="4" w:tplc="25241968" w:tentative="1">
      <w:start w:val="1"/>
      <w:numFmt w:val="lowerLetter"/>
      <w:lvlText w:val="%5."/>
      <w:lvlJc w:val="left"/>
      <w:pPr>
        <w:tabs>
          <w:tab w:val="num" w:pos="3240"/>
        </w:tabs>
        <w:ind w:left="3240" w:hanging="360"/>
      </w:pPr>
    </w:lvl>
    <w:lvl w:ilvl="5" w:tplc="2A0C8632" w:tentative="1">
      <w:start w:val="1"/>
      <w:numFmt w:val="lowerRoman"/>
      <w:lvlText w:val="%6."/>
      <w:lvlJc w:val="right"/>
      <w:pPr>
        <w:tabs>
          <w:tab w:val="num" w:pos="3960"/>
        </w:tabs>
        <w:ind w:left="3960" w:hanging="180"/>
      </w:pPr>
    </w:lvl>
    <w:lvl w:ilvl="6" w:tplc="A0A0BE56" w:tentative="1">
      <w:start w:val="1"/>
      <w:numFmt w:val="decimal"/>
      <w:lvlText w:val="%7."/>
      <w:lvlJc w:val="left"/>
      <w:pPr>
        <w:tabs>
          <w:tab w:val="num" w:pos="4680"/>
        </w:tabs>
        <w:ind w:left="4680" w:hanging="360"/>
      </w:pPr>
    </w:lvl>
    <w:lvl w:ilvl="7" w:tplc="9B547382" w:tentative="1">
      <w:start w:val="1"/>
      <w:numFmt w:val="lowerLetter"/>
      <w:lvlText w:val="%8."/>
      <w:lvlJc w:val="left"/>
      <w:pPr>
        <w:tabs>
          <w:tab w:val="num" w:pos="5400"/>
        </w:tabs>
        <w:ind w:left="5400" w:hanging="360"/>
      </w:pPr>
    </w:lvl>
    <w:lvl w:ilvl="8" w:tplc="D5885DA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6ACECED2">
      <w:start w:val="1"/>
      <w:numFmt w:val="decimal"/>
      <w:lvlText w:val="%1."/>
      <w:lvlJc w:val="left"/>
      <w:pPr>
        <w:tabs>
          <w:tab w:val="num" w:pos="720"/>
        </w:tabs>
        <w:ind w:left="720" w:hanging="360"/>
      </w:pPr>
    </w:lvl>
    <w:lvl w:ilvl="1" w:tplc="EC865B3A" w:tentative="1">
      <w:start w:val="1"/>
      <w:numFmt w:val="lowerLetter"/>
      <w:lvlText w:val="%2."/>
      <w:lvlJc w:val="left"/>
      <w:pPr>
        <w:tabs>
          <w:tab w:val="num" w:pos="1440"/>
        </w:tabs>
        <w:ind w:left="1440" w:hanging="360"/>
      </w:pPr>
    </w:lvl>
    <w:lvl w:ilvl="2" w:tplc="3CE0AF70" w:tentative="1">
      <w:start w:val="1"/>
      <w:numFmt w:val="lowerRoman"/>
      <w:lvlText w:val="%3."/>
      <w:lvlJc w:val="right"/>
      <w:pPr>
        <w:tabs>
          <w:tab w:val="num" w:pos="2160"/>
        </w:tabs>
        <w:ind w:left="2160" w:hanging="180"/>
      </w:pPr>
    </w:lvl>
    <w:lvl w:ilvl="3" w:tplc="EFDA16D8" w:tentative="1">
      <w:start w:val="1"/>
      <w:numFmt w:val="decimal"/>
      <w:lvlText w:val="%4."/>
      <w:lvlJc w:val="left"/>
      <w:pPr>
        <w:tabs>
          <w:tab w:val="num" w:pos="2880"/>
        </w:tabs>
        <w:ind w:left="2880" w:hanging="360"/>
      </w:pPr>
    </w:lvl>
    <w:lvl w:ilvl="4" w:tplc="C560A7C8" w:tentative="1">
      <w:start w:val="1"/>
      <w:numFmt w:val="lowerLetter"/>
      <w:lvlText w:val="%5."/>
      <w:lvlJc w:val="left"/>
      <w:pPr>
        <w:tabs>
          <w:tab w:val="num" w:pos="3600"/>
        </w:tabs>
        <w:ind w:left="3600" w:hanging="360"/>
      </w:pPr>
    </w:lvl>
    <w:lvl w:ilvl="5" w:tplc="5734D2B6" w:tentative="1">
      <w:start w:val="1"/>
      <w:numFmt w:val="lowerRoman"/>
      <w:lvlText w:val="%6."/>
      <w:lvlJc w:val="right"/>
      <w:pPr>
        <w:tabs>
          <w:tab w:val="num" w:pos="4320"/>
        </w:tabs>
        <w:ind w:left="4320" w:hanging="180"/>
      </w:pPr>
    </w:lvl>
    <w:lvl w:ilvl="6" w:tplc="05840432" w:tentative="1">
      <w:start w:val="1"/>
      <w:numFmt w:val="decimal"/>
      <w:lvlText w:val="%7."/>
      <w:lvlJc w:val="left"/>
      <w:pPr>
        <w:tabs>
          <w:tab w:val="num" w:pos="5040"/>
        </w:tabs>
        <w:ind w:left="5040" w:hanging="360"/>
      </w:pPr>
    </w:lvl>
    <w:lvl w:ilvl="7" w:tplc="6D90ACF8" w:tentative="1">
      <w:start w:val="1"/>
      <w:numFmt w:val="lowerLetter"/>
      <w:lvlText w:val="%8."/>
      <w:lvlJc w:val="left"/>
      <w:pPr>
        <w:tabs>
          <w:tab w:val="num" w:pos="5760"/>
        </w:tabs>
        <w:ind w:left="5760" w:hanging="360"/>
      </w:pPr>
    </w:lvl>
    <w:lvl w:ilvl="8" w:tplc="13668852" w:tentative="1">
      <w:start w:val="1"/>
      <w:numFmt w:val="lowerRoman"/>
      <w:lvlText w:val="%9."/>
      <w:lvlJc w:val="right"/>
      <w:pPr>
        <w:tabs>
          <w:tab w:val="num" w:pos="6480"/>
        </w:tabs>
        <w:ind w:left="6480" w:hanging="180"/>
      </w:pPr>
    </w:lvl>
  </w:abstractNum>
  <w:num w:numId="1" w16cid:durableId="1906336174">
    <w:abstractNumId w:val="9"/>
  </w:num>
  <w:num w:numId="2" w16cid:durableId="681203989">
    <w:abstractNumId w:val="9"/>
  </w:num>
  <w:num w:numId="3" w16cid:durableId="2053337721">
    <w:abstractNumId w:val="7"/>
  </w:num>
  <w:num w:numId="4" w16cid:durableId="2141797285">
    <w:abstractNumId w:val="7"/>
  </w:num>
  <w:num w:numId="5" w16cid:durableId="94447308">
    <w:abstractNumId w:val="6"/>
  </w:num>
  <w:num w:numId="6" w16cid:durableId="668367681">
    <w:abstractNumId w:val="6"/>
  </w:num>
  <w:num w:numId="7" w16cid:durableId="1936209328">
    <w:abstractNumId w:val="5"/>
  </w:num>
  <w:num w:numId="8" w16cid:durableId="557590255">
    <w:abstractNumId w:val="5"/>
  </w:num>
  <w:num w:numId="9" w16cid:durableId="1780493745">
    <w:abstractNumId w:val="4"/>
  </w:num>
  <w:num w:numId="10" w16cid:durableId="2075543020">
    <w:abstractNumId w:val="4"/>
  </w:num>
  <w:num w:numId="11" w16cid:durableId="1755781240">
    <w:abstractNumId w:val="8"/>
  </w:num>
  <w:num w:numId="12" w16cid:durableId="1785802215">
    <w:abstractNumId w:val="8"/>
  </w:num>
  <w:num w:numId="13" w16cid:durableId="348072158">
    <w:abstractNumId w:val="3"/>
  </w:num>
  <w:num w:numId="14" w16cid:durableId="2113089533">
    <w:abstractNumId w:val="3"/>
  </w:num>
  <w:num w:numId="15" w16cid:durableId="548617360">
    <w:abstractNumId w:val="2"/>
  </w:num>
  <w:num w:numId="16" w16cid:durableId="1154570046">
    <w:abstractNumId w:val="2"/>
  </w:num>
  <w:num w:numId="17" w16cid:durableId="1750150222">
    <w:abstractNumId w:val="1"/>
  </w:num>
  <w:num w:numId="18" w16cid:durableId="656809260">
    <w:abstractNumId w:val="1"/>
  </w:num>
  <w:num w:numId="19" w16cid:durableId="607322596">
    <w:abstractNumId w:val="0"/>
  </w:num>
  <w:num w:numId="20" w16cid:durableId="915943584">
    <w:abstractNumId w:val="0"/>
  </w:num>
  <w:num w:numId="21" w16cid:durableId="1157763577">
    <w:abstractNumId w:val="9"/>
  </w:num>
  <w:num w:numId="22" w16cid:durableId="920530658">
    <w:abstractNumId w:val="7"/>
  </w:num>
  <w:num w:numId="23" w16cid:durableId="1216887541">
    <w:abstractNumId w:val="6"/>
  </w:num>
  <w:num w:numId="24" w16cid:durableId="1973706371">
    <w:abstractNumId w:val="5"/>
  </w:num>
  <w:num w:numId="25" w16cid:durableId="808204256">
    <w:abstractNumId w:val="4"/>
  </w:num>
  <w:num w:numId="26" w16cid:durableId="1636638842">
    <w:abstractNumId w:val="8"/>
  </w:num>
  <w:num w:numId="27" w16cid:durableId="64233088">
    <w:abstractNumId w:val="3"/>
  </w:num>
  <w:num w:numId="28" w16cid:durableId="1906648183">
    <w:abstractNumId w:val="2"/>
  </w:num>
  <w:num w:numId="29" w16cid:durableId="1327173008">
    <w:abstractNumId w:val="1"/>
  </w:num>
  <w:num w:numId="30" w16cid:durableId="659042829">
    <w:abstractNumId w:val="0"/>
  </w:num>
  <w:num w:numId="31" w16cid:durableId="206335540">
    <w:abstractNumId w:val="9"/>
  </w:num>
  <w:num w:numId="32" w16cid:durableId="1156263621">
    <w:abstractNumId w:val="7"/>
  </w:num>
  <w:num w:numId="33" w16cid:durableId="12463442">
    <w:abstractNumId w:val="6"/>
  </w:num>
  <w:num w:numId="34" w16cid:durableId="715279822">
    <w:abstractNumId w:val="5"/>
  </w:num>
  <w:num w:numId="35" w16cid:durableId="1966545154">
    <w:abstractNumId w:val="4"/>
  </w:num>
  <w:num w:numId="36" w16cid:durableId="1579241454">
    <w:abstractNumId w:val="8"/>
  </w:num>
  <w:num w:numId="37" w16cid:durableId="501509227">
    <w:abstractNumId w:val="3"/>
  </w:num>
  <w:num w:numId="38" w16cid:durableId="769425099">
    <w:abstractNumId w:val="2"/>
  </w:num>
  <w:num w:numId="39" w16cid:durableId="1678539466">
    <w:abstractNumId w:val="1"/>
  </w:num>
  <w:num w:numId="40" w16cid:durableId="822968104">
    <w:abstractNumId w:val="0"/>
  </w:num>
  <w:num w:numId="41" w16cid:durableId="291448983">
    <w:abstractNumId w:val="10"/>
  </w:num>
  <w:num w:numId="42" w16cid:durableId="1356887165">
    <w:abstractNumId w:val="10"/>
  </w:num>
  <w:num w:numId="43" w16cid:durableId="1043019837">
    <w:abstractNumId w:val="10"/>
  </w:num>
  <w:num w:numId="44" w16cid:durableId="264267810">
    <w:abstractNumId w:val="12"/>
  </w:num>
  <w:num w:numId="45" w16cid:durableId="396249893">
    <w:abstractNumId w:val="13"/>
  </w:num>
  <w:num w:numId="46" w16cid:durableId="18058101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5/2025"/>
    <w:docVar w:name="dvlangue" w:val="BG"/>
    <w:docVar w:name="dvnumam" w:val="0"/>
    <w:docVar w:name="dvpe" w:val="765.000"/>
    <w:docVar w:name="dvrapporteur" w:val="Докладчик: "/>
    <w:docVar w:name="dvtitre" w:val="Решение на Европейския парламент от ... 2025 г. относно освобождаването от отговорност във връзка с изпълнението на бюджета на агенциите на Европейския съюз за финансовата 2023 година(2024/2030(DEC))"/>
  </w:docVars>
  <w:rsids>
    <w:rsidRoot w:val="00FD39BA"/>
    <w:rsid w:val="00002272"/>
    <w:rsid w:val="00064002"/>
    <w:rsid w:val="000677B9"/>
    <w:rsid w:val="000831BA"/>
    <w:rsid w:val="000A15EE"/>
    <w:rsid w:val="000A42CC"/>
    <w:rsid w:val="000E7DD9"/>
    <w:rsid w:val="0010095E"/>
    <w:rsid w:val="00125B37"/>
    <w:rsid w:val="001408AB"/>
    <w:rsid w:val="001413E5"/>
    <w:rsid w:val="00187494"/>
    <w:rsid w:val="001F32AE"/>
    <w:rsid w:val="00202A1E"/>
    <w:rsid w:val="002767FF"/>
    <w:rsid w:val="002B18FE"/>
    <w:rsid w:val="002B5493"/>
    <w:rsid w:val="00343214"/>
    <w:rsid w:val="00361C00"/>
    <w:rsid w:val="00395FA1"/>
    <w:rsid w:val="003E15D4"/>
    <w:rsid w:val="00411CCE"/>
    <w:rsid w:val="0041666E"/>
    <w:rsid w:val="00421060"/>
    <w:rsid w:val="00454306"/>
    <w:rsid w:val="00471C19"/>
    <w:rsid w:val="004867E3"/>
    <w:rsid w:val="00494A28"/>
    <w:rsid w:val="004C0004"/>
    <w:rsid w:val="004C5D52"/>
    <w:rsid w:val="004D1A97"/>
    <w:rsid w:val="004E57D3"/>
    <w:rsid w:val="00501BD5"/>
    <w:rsid w:val="00504D1B"/>
    <w:rsid w:val="0050519A"/>
    <w:rsid w:val="005072A1"/>
    <w:rsid w:val="00514517"/>
    <w:rsid w:val="00545827"/>
    <w:rsid w:val="00560270"/>
    <w:rsid w:val="0056199F"/>
    <w:rsid w:val="005664EE"/>
    <w:rsid w:val="005C2568"/>
    <w:rsid w:val="005F1B17"/>
    <w:rsid w:val="006037C0"/>
    <w:rsid w:val="006142BC"/>
    <w:rsid w:val="00661763"/>
    <w:rsid w:val="006631B6"/>
    <w:rsid w:val="00680577"/>
    <w:rsid w:val="006E37E9"/>
    <w:rsid w:val="006F74FA"/>
    <w:rsid w:val="00731ADD"/>
    <w:rsid w:val="00734777"/>
    <w:rsid w:val="00747932"/>
    <w:rsid w:val="00751A4A"/>
    <w:rsid w:val="00756632"/>
    <w:rsid w:val="00762C74"/>
    <w:rsid w:val="00786EC0"/>
    <w:rsid w:val="007D1690"/>
    <w:rsid w:val="007E22AD"/>
    <w:rsid w:val="008000A1"/>
    <w:rsid w:val="00817416"/>
    <w:rsid w:val="00842779"/>
    <w:rsid w:val="00865F67"/>
    <w:rsid w:val="00871A0B"/>
    <w:rsid w:val="00881A7B"/>
    <w:rsid w:val="008840E5"/>
    <w:rsid w:val="00887B3E"/>
    <w:rsid w:val="008C2AC6"/>
    <w:rsid w:val="00930C23"/>
    <w:rsid w:val="0093193B"/>
    <w:rsid w:val="009509D8"/>
    <w:rsid w:val="00950B64"/>
    <w:rsid w:val="00981893"/>
    <w:rsid w:val="009B0D65"/>
    <w:rsid w:val="00A1687D"/>
    <w:rsid w:val="00A43E52"/>
    <w:rsid w:val="00A4678D"/>
    <w:rsid w:val="00A778C7"/>
    <w:rsid w:val="00AA3BDD"/>
    <w:rsid w:val="00AB441E"/>
    <w:rsid w:val="00AB6293"/>
    <w:rsid w:val="00AC0ACE"/>
    <w:rsid w:val="00AD6016"/>
    <w:rsid w:val="00AE0928"/>
    <w:rsid w:val="00AF3B82"/>
    <w:rsid w:val="00B12E95"/>
    <w:rsid w:val="00B22876"/>
    <w:rsid w:val="00B558F0"/>
    <w:rsid w:val="00B74E16"/>
    <w:rsid w:val="00B84F91"/>
    <w:rsid w:val="00BD48FE"/>
    <w:rsid w:val="00BD7BD8"/>
    <w:rsid w:val="00BE6ADC"/>
    <w:rsid w:val="00C05BFE"/>
    <w:rsid w:val="00C23CD4"/>
    <w:rsid w:val="00C61C0C"/>
    <w:rsid w:val="00C941CB"/>
    <w:rsid w:val="00CA2030"/>
    <w:rsid w:val="00CC2357"/>
    <w:rsid w:val="00CF071A"/>
    <w:rsid w:val="00D058B8"/>
    <w:rsid w:val="00D56C11"/>
    <w:rsid w:val="00D81D8B"/>
    <w:rsid w:val="00D834A0"/>
    <w:rsid w:val="00D872DF"/>
    <w:rsid w:val="00D91E21"/>
    <w:rsid w:val="00DA7FCD"/>
    <w:rsid w:val="00E1486C"/>
    <w:rsid w:val="00E365E1"/>
    <w:rsid w:val="00E820A4"/>
    <w:rsid w:val="00EA1702"/>
    <w:rsid w:val="00EA34BF"/>
    <w:rsid w:val="00EB006A"/>
    <w:rsid w:val="00EB4772"/>
    <w:rsid w:val="00ED169E"/>
    <w:rsid w:val="00ED4235"/>
    <w:rsid w:val="00EF0F07"/>
    <w:rsid w:val="00F04346"/>
    <w:rsid w:val="00F075DC"/>
    <w:rsid w:val="00F149E9"/>
    <w:rsid w:val="00F5134D"/>
    <w:rsid w:val="00F74202"/>
    <w:rsid w:val="00F87713"/>
    <w:rsid w:val="00FB4360"/>
    <w:rsid w:val="00FC5007"/>
    <w:rsid w:val="00FD0C70"/>
    <w:rsid w:val="00FD39B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E0D8F2"/>
  <w15:chartTrackingRefBased/>
  <w15:docId w15:val="{6B87B719-4680-4521-A3B3-86266F0C4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D1A97"/>
    <w:rPr>
      <w:b/>
      <w:kern w:val="28"/>
      <w:sz w:val="28"/>
      <w:lang w:val="fr-FR" w:eastAsia="fr-FR"/>
    </w:rPr>
  </w:style>
  <w:style w:type="character" w:customStyle="1" w:styleId="Heading2Char">
    <w:name w:val="Heading 2 Char"/>
    <w:basedOn w:val="DefaultParagraphFont"/>
    <w:link w:val="Heading2"/>
    <w:semiHidden/>
    <w:rsid w:val="004D1A97"/>
    <w:rPr>
      <w:sz w:val="24"/>
      <w:lang w:val="fr-FR" w:eastAsia="fr-FR"/>
    </w:rPr>
  </w:style>
  <w:style w:type="character" w:customStyle="1" w:styleId="Heading3Char">
    <w:name w:val="Heading 3 Char"/>
    <w:basedOn w:val="DefaultParagraphFont"/>
    <w:link w:val="Heading3"/>
    <w:semiHidden/>
    <w:rsid w:val="004D1A97"/>
    <w:rPr>
      <w:rFonts w:ascii="Arial" w:hAnsi="Arial"/>
      <w:sz w:val="24"/>
      <w:lang w:val="fr-FR" w:eastAsia="fr-FR"/>
    </w:rPr>
  </w:style>
  <w:style w:type="character" w:customStyle="1" w:styleId="Heading4Char">
    <w:name w:val="Heading 4 Char"/>
    <w:basedOn w:val="DefaultParagraphFont"/>
    <w:link w:val="Heading4"/>
    <w:semiHidden/>
    <w:rsid w:val="004D1A97"/>
    <w:rPr>
      <w:sz w:val="24"/>
      <w:lang w:val="en-US" w:eastAsia="fr-FR"/>
    </w:rPr>
  </w:style>
  <w:style w:type="character" w:customStyle="1" w:styleId="Heading5Char">
    <w:name w:val="Heading 5 Char"/>
    <w:basedOn w:val="DefaultParagraphFont"/>
    <w:link w:val="Heading5"/>
    <w:semiHidden/>
    <w:rsid w:val="004D1A97"/>
    <w:rPr>
      <w:sz w:val="24"/>
      <w:lang w:val="en-US" w:eastAsia="fr-FR"/>
    </w:rPr>
  </w:style>
  <w:style w:type="character" w:customStyle="1" w:styleId="Heading6Char">
    <w:name w:val="Heading 6 Char"/>
    <w:basedOn w:val="DefaultParagraphFont"/>
    <w:link w:val="Heading6"/>
    <w:semiHidden/>
    <w:rsid w:val="004D1A97"/>
    <w:rPr>
      <w:i/>
      <w:sz w:val="22"/>
      <w:lang w:val="bg-BG"/>
    </w:rPr>
  </w:style>
  <w:style w:type="character" w:customStyle="1" w:styleId="Heading7Char">
    <w:name w:val="Heading 7 Char"/>
    <w:basedOn w:val="DefaultParagraphFont"/>
    <w:link w:val="Heading7"/>
    <w:semiHidden/>
    <w:rsid w:val="004D1A97"/>
    <w:rPr>
      <w:rFonts w:ascii="Arial" w:hAnsi="Arial"/>
      <w:sz w:val="24"/>
      <w:lang w:val="bg-BG"/>
    </w:rPr>
  </w:style>
  <w:style w:type="character" w:customStyle="1" w:styleId="Heading8Char">
    <w:name w:val="Heading 8 Char"/>
    <w:basedOn w:val="DefaultParagraphFont"/>
    <w:link w:val="Heading8"/>
    <w:semiHidden/>
    <w:rsid w:val="004D1A97"/>
    <w:rPr>
      <w:rFonts w:ascii="Arial" w:hAnsi="Arial"/>
      <w:i/>
      <w:sz w:val="24"/>
      <w:lang w:val="bg-BG"/>
    </w:rPr>
  </w:style>
  <w:style w:type="character" w:customStyle="1" w:styleId="Heading9Char">
    <w:name w:val="Heading 9 Char"/>
    <w:basedOn w:val="DefaultParagraphFont"/>
    <w:link w:val="Heading9"/>
    <w:semiHidden/>
    <w:rsid w:val="004D1A97"/>
    <w:rPr>
      <w:rFonts w:ascii="Arial" w:hAnsi="Arial"/>
      <w:b/>
      <w:i/>
      <w:sz w:val="18"/>
      <w:lang w:val="bg-BG"/>
    </w:rPr>
  </w:style>
  <w:style w:type="paragraph" w:styleId="TOCHeading">
    <w:name w:val="TOC Heading"/>
    <w:basedOn w:val="Normal"/>
    <w:next w:val="Normal"/>
    <w:uiPriority w:val="39"/>
    <w:unhideWhenUsed/>
    <w:qFormat/>
    <w:rsid w:val="004D1A97"/>
    <w:pPr>
      <w:widowControl/>
      <w:spacing w:after="240"/>
    </w:pPr>
    <w:rPr>
      <w:lang w:val="en-GB"/>
    </w:rPr>
  </w:style>
  <w:style w:type="paragraph" w:customStyle="1" w:styleId="EPFooter2">
    <w:name w:val="EPFooter2"/>
    <w:basedOn w:val="Normal"/>
    <w:next w:val="Normal"/>
    <w:rsid w:val="004D1A9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D1A97"/>
    <w:pPr>
      <w:spacing w:before="480" w:after="240"/>
    </w:pPr>
  </w:style>
  <w:style w:type="paragraph" w:customStyle="1" w:styleId="TOCPage">
    <w:name w:val="TOC Page"/>
    <w:basedOn w:val="Normal"/>
    <w:next w:val="TOC1"/>
    <w:rsid w:val="004D1A97"/>
    <w:pPr>
      <w:keepNext/>
      <w:spacing w:after="240"/>
      <w:jc w:val="right"/>
    </w:pPr>
    <w:rPr>
      <w:rFonts w:ascii="Arial" w:hAnsi="Arial"/>
      <w:b/>
    </w:rPr>
  </w:style>
  <w:style w:type="paragraph" w:customStyle="1" w:styleId="PageHeading">
    <w:name w:val="PageHeading"/>
    <w:basedOn w:val="Normal"/>
    <w:link w:val="PageHeadingChar"/>
    <w:rsid w:val="004D1A97"/>
    <w:pPr>
      <w:keepNext/>
      <w:spacing w:after="480"/>
      <w:jc w:val="center"/>
    </w:pPr>
    <w:rPr>
      <w:rFonts w:ascii="Arial" w:hAnsi="Arial" w:cs="Arial"/>
      <w:b/>
    </w:rPr>
  </w:style>
  <w:style w:type="paragraph" w:customStyle="1" w:styleId="NormalBold">
    <w:name w:val="NormalBold"/>
    <w:basedOn w:val="Normal"/>
    <w:rsid w:val="004D1A97"/>
    <w:rPr>
      <w:b/>
    </w:rPr>
  </w:style>
  <w:style w:type="paragraph" w:customStyle="1" w:styleId="NormalHanging12a">
    <w:name w:val="NormalHanging12a"/>
    <w:basedOn w:val="Normal"/>
    <w:link w:val="NormalHanging12aChar"/>
    <w:rsid w:val="004D1A97"/>
    <w:pPr>
      <w:spacing w:after="240"/>
      <w:ind w:left="567" w:hanging="567"/>
    </w:pPr>
  </w:style>
  <w:style w:type="paragraph" w:customStyle="1" w:styleId="CoverNormal24a">
    <w:name w:val="CoverNormal24a"/>
    <w:basedOn w:val="Normal"/>
    <w:rsid w:val="004D1A97"/>
    <w:pPr>
      <w:spacing w:after="480"/>
      <w:ind w:left="1417"/>
    </w:pPr>
  </w:style>
  <w:style w:type="paragraph" w:customStyle="1" w:styleId="CoverNormal">
    <w:name w:val="CoverNormal"/>
    <w:basedOn w:val="Normal"/>
    <w:rsid w:val="004D1A97"/>
    <w:pPr>
      <w:ind w:left="1418"/>
    </w:pPr>
  </w:style>
  <w:style w:type="paragraph" w:customStyle="1" w:styleId="NormalCenter12a">
    <w:name w:val="NormalCenter12a"/>
    <w:basedOn w:val="Normal"/>
    <w:rsid w:val="004D1A97"/>
    <w:pPr>
      <w:spacing w:after="240"/>
      <w:jc w:val="center"/>
    </w:pPr>
  </w:style>
  <w:style w:type="paragraph" w:customStyle="1" w:styleId="CoverReference">
    <w:name w:val="CoverReference"/>
    <w:basedOn w:val="Normal"/>
    <w:rsid w:val="004D1A97"/>
    <w:pPr>
      <w:spacing w:before="1080"/>
      <w:jc w:val="right"/>
    </w:pPr>
    <w:rPr>
      <w:rFonts w:ascii="Arial" w:hAnsi="Arial" w:cs="Arial"/>
      <w:b/>
    </w:rPr>
  </w:style>
  <w:style w:type="paragraph" w:customStyle="1" w:styleId="CoverDocType24a">
    <w:name w:val="CoverDocType24a"/>
    <w:basedOn w:val="Normal"/>
    <w:rsid w:val="004D1A97"/>
    <w:pPr>
      <w:spacing w:after="480"/>
      <w:ind w:left="1418"/>
    </w:pPr>
    <w:rPr>
      <w:rFonts w:ascii="Arial" w:hAnsi="Arial"/>
      <w:b/>
      <w:sz w:val="48"/>
    </w:rPr>
  </w:style>
  <w:style w:type="paragraph" w:customStyle="1" w:styleId="CoverDate">
    <w:name w:val="CoverDate"/>
    <w:basedOn w:val="Normal"/>
    <w:rsid w:val="004D1A97"/>
    <w:pPr>
      <w:spacing w:before="240" w:after="1200"/>
    </w:pPr>
  </w:style>
  <w:style w:type="paragraph" w:styleId="Header">
    <w:name w:val="header"/>
    <w:basedOn w:val="Normal"/>
    <w:link w:val="HeaderChar"/>
    <w:rsid w:val="004D1A97"/>
    <w:pPr>
      <w:tabs>
        <w:tab w:val="center" w:pos="4513"/>
        <w:tab w:val="right" w:pos="9026"/>
      </w:tabs>
    </w:pPr>
  </w:style>
  <w:style w:type="character" w:customStyle="1" w:styleId="HeaderChar">
    <w:name w:val="Header Char"/>
    <w:basedOn w:val="DefaultParagraphFont"/>
    <w:link w:val="Header"/>
    <w:rsid w:val="004D1A97"/>
    <w:rPr>
      <w:sz w:val="24"/>
      <w:lang w:val="bg-BG"/>
    </w:rPr>
  </w:style>
  <w:style w:type="paragraph" w:customStyle="1" w:styleId="EPBody">
    <w:name w:val="EPBody"/>
    <w:basedOn w:val="Normal"/>
    <w:rsid w:val="004D1A97"/>
    <w:pPr>
      <w:jc w:val="center"/>
    </w:pPr>
    <w:rPr>
      <w:rFonts w:ascii="Arial" w:hAnsi="Arial" w:cs="Arial"/>
      <w:i/>
      <w:sz w:val="22"/>
      <w:szCs w:val="22"/>
    </w:rPr>
  </w:style>
  <w:style w:type="paragraph" w:customStyle="1" w:styleId="EPFooter">
    <w:name w:val="EPFooter"/>
    <w:basedOn w:val="Normal"/>
    <w:rsid w:val="004D1A9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4D1A97"/>
    <w:rPr>
      <w:sz w:val="24"/>
      <w:lang w:val="bg-BG"/>
    </w:rPr>
  </w:style>
  <w:style w:type="paragraph" w:customStyle="1" w:styleId="PageHeadingDec">
    <w:name w:val="PageHeadingDec"/>
    <w:basedOn w:val="PageHeading"/>
    <w:link w:val="PageHeadingDecChar"/>
    <w:qFormat/>
    <w:rsid w:val="004D1A97"/>
  </w:style>
  <w:style w:type="character" w:customStyle="1" w:styleId="PageHeadingChar">
    <w:name w:val="PageHeading Char"/>
    <w:basedOn w:val="DefaultParagraphFont"/>
    <w:link w:val="PageHeading"/>
    <w:rsid w:val="004D1A97"/>
    <w:rPr>
      <w:rFonts w:ascii="Arial" w:hAnsi="Arial" w:cs="Arial"/>
      <w:b/>
      <w:sz w:val="24"/>
      <w:lang w:val="bg-BG"/>
    </w:rPr>
  </w:style>
  <w:style w:type="character" w:customStyle="1" w:styleId="PageHeadingDecChar">
    <w:name w:val="PageHeadingDec Char"/>
    <w:basedOn w:val="PageHeadingChar"/>
    <w:link w:val="PageHeadingDec"/>
    <w:rsid w:val="004D1A97"/>
    <w:rPr>
      <w:rFonts w:ascii="Arial" w:hAnsi="Arial" w:cs="Arial"/>
      <w:b/>
      <w:sz w:val="24"/>
      <w:lang w:val="bg-BG"/>
    </w:rPr>
  </w:style>
  <w:style w:type="paragraph" w:styleId="TOC9">
    <w:name w:val="toc 9"/>
    <w:basedOn w:val="Normal"/>
    <w:next w:val="Normal"/>
    <w:autoRedefine/>
    <w:uiPriority w:val="39"/>
    <w:rsid w:val="004D1A97"/>
    <w:pPr>
      <w:spacing w:after="100"/>
      <w:jc w:val="center"/>
    </w:pPr>
  </w:style>
  <w:style w:type="paragraph" w:styleId="TOC8">
    <w:name w:val="toc 8"/>
    <w:basedOn w:val="Normal"/>
    <w:next w:val="Normal"/>
    <w:autoRedefine/>
    <w:uiPriority w:val="39"/>
    <w:rsid w:val="004D1A97"/>
    <w:pPr>
      <w:tabs>
        <w:tab w:val="left" w:pos="567"/>
        <w:tab w:val="right" w:leader="dot" w:pos="9060"/>
      </w:tabs>
      <w:spacing w:after="240"/>
    </w:pPr>
    <w:rPr>
      <w:b/>
    </w:rPr>
  </w:style>
  <w:style w:type="paragraph" w:customStyle="1" w:styleId="PageHeadingNotTOC">
    <w:name w:val="PageHeadingNotTOC"/>
    <w:basedOn w:val="Normal"/>
    <w:link w:val="PageHeadingNotTOCChar"/>
    <w:rsid w:val="004D1A97"/>
    <w:pPr>
      <w:keepNext/>
      <w:spacing w:after="480"/>
      <w:jc w:val="center"/>
    </w:pPr>
    <w:rPr>
      <w:rFonts w:ascii="Arial" w:hAnsi="Arial" w:cs="Arial"/>
      <w:b/>
    </w:rPr>
  </w:style>
  <w:style w:type="character" w:styleId="Hyperlink">
    <w:name w:val="Hyperlink"/>
    <w:basedOn w:val="DefaultParagraphFont"/>
    <w:uiPriority w:val="99"/>
    <w:rsid w:val="004D1A97"/>
    <w:rPr>
      <w:color w:val="0563C1" w:themeColor="hyperlink"/>
      <w:u w:val="single"/>
    </w:rPr>
  </w:style>
  <w:style w:type="character" w:styleId="FollowedHyperlink">
    <w:name w:val="FollowedHyperlink"/>
    <w:basedOn w:val="DefaultParagraphFont"/>
    <w:rsid w:val="004D1A97"/>
    <w:rPr>
      <w:color w:val="954F72" w:themeColor="followedHyperlink"/>
      <w:u w:val="single"/>
    </w:rPr>
  </w:style>
  <w:style w:type="paragraph" w:styleId="TOC7">
    <w:name w:val="toc 7"/>
    <w:basedOn w:val="Normal"/>
    <w:next w:val="Normal"/>
    <w:autoRedefine/>
    <w:uiPriority w:val="39"/>
    <w:rsid w:val="004D1A97"/>
    <w:pPr>
      <w:tabs>
        <w:tab w:val="left" w:pos="567"/>
        <w:tab w:val="right" w:leader="dot" w:pos="9060"/>
      </w:tabs>
      <w:spacing w:after="100"/>
      <w:ind w:left="567" w:hanging="567"/>
    </w:pPr>
  </w:style>
  <w:style w:type="character" w:styleId="CommentReference">
    <w:name w:val="annotation reference"/>
    <w:basedOn w:val="DefaultParagraphFont"/>
    <w:uiPriority w:val="99"/>
    <w:rsid w:val="004D1A97"/>
    <w:rPr>
      <w:sz w:val="16"/>
      <w:szCs w:val="16"/>
    </w:rPr>
  </w:style>
  <w:style w:type="paragraph" w:styleId="CommentText">
    <w:name w:val="annotation text"/>
    <w:basedOn w:val="Normal"/>
    <w:link w:val="CommentTextChar"/>
    <w:uiPriority w:val="99"/>
    <w:rsid w:val="004D1A97"/>
    <w:rPr>
      <w:sz w:val="20"/>
    </w:rPr>
  </w:style>
  <w:style w:type="character" w:customStyle="1" w:styleId="CommentTextChar">
    <w:name w:val="Comment Text Char"/>
    <w:basedOn w:val="DefaultParagraphFont"/>
    <w:link w:val="CommentText"/>
    <w:uiPriority w:val="99"/>
    <w:rsid w:val="004D1A97"/>
    <w:rPr>
      <w:lang w:val="bg-BG"/>
    </w:rPr>
  </w:style>
  <w:style w:type="paragraph" w:styleId="CommentSubject">
    <w:name w:val="annotation subject"/>
    <w:basedOn w:val="CommentText"/>
    <w:next w:val="CommentText"/>
    <w:link w:val="CommentSubjectChar"/>
    <w:unhideWhenUsed/>
    <w:rsid w:val="004D1A97"/>
    <w:rPr>
      <w:b/>
      <w:bCs/>
    </w:rPr>
  </w:style>
  <w:style w:type="character" w:customStyle="1" w:styleId="CommentSubjectChar">
    <w:name w:val="Comment Subject Char"/>
    <w:basedOn w:val="CommentTextChar"/>
    <w:link w:val="CommentSubject"/>
    <w:rsid w:val="004D1A97"/>
    <w:rPr>
      <w:b/>
      <w:bCs/>
      <w:lang w:val="bg-BG"/>
    </w:rPr>
  </w:style>
  <w:style w:type="paragraph" w:styleId="BalloonText">
    <w:name w:val="Balloon Text"/>
    <w:basedOn w:val="Normal"/>
    <w:link w:val="BalloonTextChar"/>
    <w:unhideWhenUsed/>
    <w:rsid w:val="004D1A97"/>
    <w:rPr>
      <w:rFonts w:ascii="Segoe UI" w:hAnsi="Segoe UI" w:cs="Segoe UI"/>
      <w:sz w:val="18"/>
      <w:szCs w:val="18"/>
    </w:rPr>
  </w:style>
  <w:style w:type="character" w:customStyle="1" w:styleId="BalloonTextChar">
    <w:name w:val="Balloon Text Char"/>
    <w:basedOn w:val="DefaultParagraphFont"/>
    <w:link w:val="BalloonText"/>
    <w:rsid w:val="004D1A97"/>
    <w:rPr>
      <w:rFonts w:ascii="Segoe UI" w:hAnsi="Segoe UI" w:cs="Segoe UI"/>
      <w:sz w:val="18"/>
      <w:szCs w:val="18"/>
      <w:lang w:val="bg-BG"/>
    </w:rPr>
  </w:style>
  <w:style w:type="paragraph" w:customStyle="1" w:styleId="Normal24a">
    <w:name w:val="Normal24a"/>
    <w:basedOn w:val="Normal"/>
    <w:rsid w:val="004D1A97"/>
    <w:pPr>
      <w:spacing w:after="480"/>
    </w:pPr>
  </w:style>
  <w:style w:type="paragraph" w:customStyle="1" w:styleId="NormalBoldCenter">
    <w:name w:val="NormalBoldCenter"/>
    <w:basedOn w:val="Normal"/>
    <w:rsid w:val="004D1A97"/>
    <w:pPr>
      <w:jc w:val="center"/>
    </w:pPr>
    <w:rPr>
      <w:b/>
    </w:rPr>
  </w:style>
  <w:style w:type="paragraph" w:customStyle="1" w:styleId="Footprint12b">
    <w:name w:val="Footprint12b"/>
    <w:basedOn w:val="Normal"/>
    <w:rsid w:val="004D1A97"/>
    <w:pPr>
      <w:spacing w:before="240"/>
    </w:pPr>
    <w:rPr>
      <w:szCs w:val="24"/>
    </w:rPr>
  </w:style>
  <w:style w:type="paragraph" w:customStyle="1" w:styleId="NormalSingle">
    <w:name w:val="NormalSingle"/>
    <w:basedOn w:val="Normal"/>
    <w:qFormat/>
    <w:rsid w:val="004D1A97"/>
    <w:rPr>
      <w:szCs w:val="24"/>
    </w:rPr>
  </w:style>
  <w:style w:type="paragraph" w:styleId="Revision">
    <w:name w:val="Revision"/>
    <w:hidden/>
    <w:uiPriority w:val="99"/>
    <w:semiHidden/>
    <w:rsid w:val="004D1A97"/>
    <w:rPr>
      <w:sz w:val="24"/>
      <w:lang w:val="bg-BG"/>
    </w:rPr>
  </w:style>
  <w:style w:type="paragraph" w:styleId="ListParagraph">
    <w:name w:val="List Paragraph"/>
    <w:basedOn w:val="Normal"/>
    <w:uiPriority w:val="34"/>
    <w:qFormat/>
    <w:rsid w:val="004D1A97"/>
    <w:pPr>
      <w:widowControl/>
      <w:ind w:left="720"/>
      <w:contextualSpacing/>
      <w:jc w:val="both"/>
    </w:pPr>
    <w:rPr>
      <w:rFonts w:eastAsiaTheme="minorHAnsi"/>
      <w:szCs w:val="24"/>
      <w:lang w:eastAsia="en-US"/>
    </w:rPr>
  </w:style>
  <w:style w:type="paragraph" w:customStyle="1" w:styleId="Normal12Hanging">
    <w:name w:val="Normal12Hanging"/>
    <w:basedOn w:val="Normal"/>
    <w:rsid w:val="004D1A97"/>
    <w:pPr>
      <w:spacing w:after="240"/>
      <w:ind w:left="567" w:hanging="567"/>
    </w:pPr>
  </w:style>
  <w:style w:type="paragraph" w:customStyle="1" w:styleId="Normal12a">
    <w:name w:val="Normal12a"/>
    <w:basedOn w:val="Normal"/>
    <w:rsid w:val="004D1A97"/>
    <w:pPr>
      <w:spacing w:after="240"/>
    </w:pPr>
  </w:style>
  <w:style w:type="paragraph" w:customStyle="1" w:styleId="RollCallSymbols14pt">
    <w:name w:val="RollCallSymbols14pt"/>
    <w:basedOn w:val="Normal"/>
    <w:rsid w:val="004D1A9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D1A97"/>
    <w:pPr>
      <w:tabs>
        <w:tab w:val="center" w:pos="284"/>
        <w:tab w:val="left" w:pos="426"/>
      </w:tabs>
    </w:pPr>
    <w:rPr>
      <w:snapToGrid w:val="0"/>
      <w:lang w:eastAsia="en-US"/>
    </w:rPr>
  </w:style>
  <w:style w:type="paragraph" w:customStyle="1" w:styleId="RollCallVotes">
    <w:name w:val="RollCallVotes"/>
    <w:basedOn w:val="Normal"/>
    <w:rsid w:val="004D1A97"/>
    <w:pPr>
      <w:spacing w:before="120" w:after="120"/>
      <w:jc w:val="center"/>
    </w:pPr>
    <w:rPr>
      <w:b/>
      <w:bCs/>
      <w:snapToGrid w:val="0"/>
      <w:sz w:val="16"/>
      <w:lang w:eastAsia="en-US"/>
    </w:rPr>
  </w:style>
  <w:style w:type="paragraph" w:customStyle="1" w:styleId="RollCallTable">
    <w:name w:val="RollCallTable"/>
    <w:basedOn w:val="Normal"/>
    <w:rsid w:val="004D1A97"/>
    <w:pPr>
      <w:spacing w:before="120" w:after="120"/>
    </w:pPr>
    <w:rPr>
      <w:snapToGrid w:val="0"/>
      <w:sz w:val="16"/>
      <w:lang w:eastAsia="en-US"/>
    </w:rPr>
  </w:style>
  <w:style w:type="paragraph" w:customStyle="1" w:styleId="Visa">
    <w:name w:val="Visa"/>
    <w:basedOn w:val="Normal"/>
    <w:rsid w:val="004D1A97"/>
    <w:pPr>
      <w:tabs>
        <w:tab w:val="left" w:pos="357"/>
      </w:tabs>
      <w:snapToGrid w:val="0"/>
      <w:spacing w:after="240"/>
      <w:ind w:left="357" w:hanging="357"/>
    </w:pPr>
    <w:rPr>
      <w:lang w:eastAsia="en-US"/>
    </w:rPr>
  </w:style>
  <w:style w:type="paragraph" w:customStyle="1" w:styleId="Normal6a">
    <w:name w:val="Normal6a"/>
    <w:basedOn w:val="Normal"/>
    <w:rsid w:val="004D1A97"/>
    <w:pPr>
      <w:spacing w:after="120"/>
    </w:pPr>
  </w:style>
  <w:style w:type="paragraph" w:styleId="NormalWeb">
    <w:name w:val="Normal (Web)"/>
    <w:basedOn w:val="Normal"/>
    <w:uiPriority w:val="99"/>
    <w:unhideWhenUsed/>
    <w:rsid w:val="004D1A97"/>
    <w:pPr>
      <w:widowControl/>
      <w:spacing w:before="100" w:beforeAutospacing="1" w:after="100" w:afterAutospacing="1"/>
    </w:pPr>
    <w:rPr>
      <w:szCs w:val="24"/>
    </w:rPr>
  </w:style>
  <w:style w:type="paragraph" w:styleId="Footer">
    <w:name w:val="footer"/>
    <w:basedOn w:val="Normal"/>
    <w:link w:val="FooterChar"/>
    <w:rsid w:val="004D1A97"/>
    <w:pPr>
      <w:tabs>
        <w:tab w:val="center" w:pos="4513"/>
        <w:tab w:val="right" w:pos="9026"/>
      </w:tabs>
    </w:pPr>
  </w:style>
  <w:style w:type="character" w:customStyle="1" w:styleId="FooterChar">
    <w:name w:val="Footer Char"/>
    <w:basedOn w:val="DefaultParagraphFont"/>
    <w:link w:val="Footer"/>
    <w:rsid w:val="004D1A97"/>
    <w:rPr>
      <w:sz w:val="24"/>
      <w:lang w:val="bg-BG"/>
    </w:rPr>
  </w:style>
  <w:style w:type="paragraph" w:customStyle="1" w:styleId="RollCallSubtitle">
    <w:name w:val="RollCallSubtitle"/>
    <w:basedOn w:val="Normal"/>
    <w:qFormat/>
    <w:rsid w:val="004D1A97"/>
    <w:pPr>
      <w:snapToGrid w:val="0"/>
      <w:spacing w:after="240"/>
    </w:pPr>
    <w:rPr>
      <w:lang w:eastAsia="en-US"/>
    </w:rPr>
  </w:style>
  <w:style w:type="paragraph" w:customStyle="1" w:styleId="msonormal0">
    <w:name w:val="msonormal"/>
    <w:basedOn w:val="Normal"/>
    <w:rsid w:val="004D1A97"/>
    <w:pPr>
      <w:widowControl/>
      <w:spacing w:before="100" w:beforeAutospacing="1" w:after="100" w:afterAutospacing="1"/>
    </w:pPr>
    <w:rPr>
      <w:szCs w:val="24"/>
    </w:rPr>
  </w:style>
  <w:style w:type="character" w:customStyle="1" w:styleId="PageHeadingNotTOCChar">
    <w:name w:val="PageHeadingNotTOC Char"/>
    <w:basedOn w:val="DefaultParagraphFont"/>
    <w:link w:val="PageHeadingNotTOC"/>
    <w:locked/>
    <w:rsid w:val="004D1A97"/>
    <w:rPr>
      <w:rFonts w:ascii="Arial" w:hAnsi="Arial" w:cs="Arial"/>
      <w:b/>
      <w:sz w:val="24"/>
      <w:lang w:val="bg-BG"/>
    </w:rPr>
  </w:style>
  <w:style w:type="character" w:customStyle="1" w:styleId="Hyperlink1">
    <w:name w:val="Hyperlink1"/>
    <w:basedOn w:val="DefaultParagraphFont"/>
    <w:uiPriority w:val="99"/>
    <w:rsid w:val="00504D1B"/>
    <w:rPr>
      <w:color w:val="0563C1"/>
      <w:u w:val="single"/>
    </w:rPr>
  </w:style>
  <w:style w:type="character" w:styleId="UnresolvedMention">
    <w:name w:val="Unresolved Mention"/>
    <w:basedOn w:val="DefaultParagraphFont"/>
    <w:uiPriority w:val="99"/>
    <w:semiHidden/>
    <w:unhideWhenUsed/>
    <w:rsid w:val="00504D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21" Type="http://schemas.openxmlformats.org/officeDocument/2006/relationships/footer" Target="footer13.xml"/><Relationship Id="rId42" Type="http://schemas.openxmlformats.org/officeDocument/2006/relationships/footer" Target="footer34.xml"/><Relationship Id="rId47" Type="http://schemas.openxmlformats.org/officeDocument/2006/relationships/footer" Target="footer39.xml"/><Relationship Id="rId63" Type="http://schemas.openxmlformats.org/officeDocument/2006/relationships/footer" Target="footer55.xml"/><Relationship Id="rId68" Type="http://schemas.openxmlformats.org/officeDocument/2006/relationships/footer" Target="footer60.xml"/><Relationship Id="rId16" Type="http://schemas.openxmlformats.org/officeDocument/2006/relationships/footer" Target="footer8.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9.xml"/><Relationship Id="rId53" Type="http://schemas.openxmlformats.org/officeDocument/2006/relationships/footer" Target="footer45.xml"/><Relationship Id="rId58" Type="http://schemas.openxmlformats.org/officeDocument/2006/relationships/footer" Target="footer50.xml"/><Relationship Id="rId74" Type="http://schemas.openxmlformats.org/officeDocument/2006/relationships/header" Target="header1.xml"/><Relationship Id="rId79" Type="http://schemas.openxmlformats.org/officeDocument/2006/relationships/footer" Target="footer68.xml"/><Relationship Id="rId5" Type="http://schemas.openxmlformats.org/officeDocument/2006/relationships/webSettings" Target="webSettings.xml"/><Relationship Id="rId61" Type="http://schemas.openxmlformats.org/officeDocument/2006/relationships/footer" Target="footer53.xml"/><Relationship Id="rId19" Type="http://schemas.openxmlformats.org/officeDocument/2006/relationships/footer" Target="footer1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56" Type="http://schemas.openxmlformats.org/officeDocument/2006/relationships/footer" Target="footer48.xml"/><Relationship Id="rId64" Type="http://schemas.openxmlformats.org/officeDocument/2006/relationships/footer" Target="footer56.xml"/><Relationship Id="rId69" Type="http://schemas.openxmlformats.org/officeDocument/2006/relationships/footer" Target="footer61.xml"/><Relationship Id="rId77" Type="http://schemas.openxmlformats.org/officeDocument/2006/relationships/footer" Target="footer67.xml"/><Relationship Id="rId8" Type="http://schemas.openxmlformats.org/officeDocument/2006/relationships/image" Target="media/image1.png"/><Relationship Id="rId51" Type="http://schemas.openxmlformats.org/officeDocument/2006/relationships/footer" Target="footer43.xml"/><Relationship Id="rId72" Type="http://schemas.openxmlformats.org/officeDocument/2006/relationships/footer" Target="footer64.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footer" Target="footer51.xml"/><Relationship Id="rId67" Type="http://schemas.openxmlformats.org/officeDocument/2006/relationships/footer" Target="footer59.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footer" Target="footer46.xml"/><Relationship Id="rId62" Type="http://schemas.openxmlformats.org/officeDocument/2006/relationships/footer" Target="footer54.xml"/><Relationship Id="rId70" Type="http://schemas.openxmlformats.org/officeDocument/2006/relationships/footer" Target="footer62.xm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9.xml"/><Relationship Id="rId10" Type="http://schemas.openxmlformats.org/officeDocument/2006/relationships/footer" Target="footer2.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footer" Target="footer52.xml"/><Relationship Id="rId65" Type="http://schemas.openxmlformats.org/officeDocument/2006/relationships/footer" Target="footer57.xml"/><Relationship Id="rId73" Type="http://schemas.openxmlformats.org/officeDocument/2006/relationships/footer" Target="footer65.xm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31.xml"/><Relationship Id="rId34" Type="http://schemas.openxmlformats.org/officeDocument/2006/relationships/footer" Target="footer26.xml"/><Relationship Id="rId50" Type="http://schemas.openxmlformats.org/officeDocument/2006/relationships/footer" Target="footer42.xml"/><Relationship Id="rId55" Type="http://schemas.openxmlformats.org/officeDocument/2006/relationships/footer" Target="footer47.xml"/><Relationship Id="rId76" Type="http://schemas.openxmlformats.org/officeDocument/2006/relationships/footer" Target="footer66.xml"/><Relationship Id="rId7" Type="http://schemas.openxmlformats.org/officeDocument/2006/relationships/endnotes" Target="endnotes.xml"/><Relationship Id="rId71" Type="http://schemas.openxmlformats.org/officeDocument/2006/relationships/footer" Target="footer63.xml"/><Relationship Id="rId2" Type="http://schemas.openxmlformats.org/officeDocument/2006/relationships/numbering" Target="numbering.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2.xml"/><Relationship Id="rId45" Type="http://schemas.openxmlformats.org/officeDocument/2006/relationships/footer" Target="footer37.xml"/><Relationship Id="rId66" Type="http://schemas.openxmlformats.org/officeDocument/2006/relationships/footer" Target="footer58.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www.parlament.gv.at/dokument/XXVII/EU/198502/imfname_11414247.pdf"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46" Type="http://schemas.openxmlformats.org/officeDocument/2006/relationships/hyperlink" Target="http://data.europa.eu/eli/C/2024/6041/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413" Type="http://schemas.openxmlformats.org/officeDocument/2006/relationships/hyperlink" Target="http://data.europa.eu/eli/agree_interinstit/2021/611/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C/2024/6332/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eur-lex.europa.eu/eli/reg/2010/1094/oj" TargetMode="External"/><Relationship Id="rId217" Type="http://schemas.openxmlformats.org/officeDocument/2006/relationships/hyperlink" Target="https://eur-lex.europa.eu/eli/reg/2023/1322/oj" TargetMode="External"/><Relationship Id="rId399" Type="http://schemas.openxmlformats.org/officeDocument/2006/relationships/hyperlink" Target="http://data.europa.eu/eli/reg/2024/2509/oj" TargetMode="External"/><Relationship Id="rId259" Type="http://schemas.openxmlformats.org/officeDocument/2006/relationships/hyperlink" Target="https://eur-lex.europa.eu/eli/dec/2008/114(1)/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_del/2019/715/oj" TargetMode="External"/><Relationship Id="rId65" Type="http://schemas.openxmlformats.org/officeDocument/2006/relationships/hyperlink" Target="http://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_del/2019/715/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data.europa.eu/eli/reg/2008/1339/oj"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24/2509/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reg/2018/1046/oj" TargetMode="External"/><Relationship Id="rId359"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041/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C/2024/6332/oj" TargetMode="External"/><Relationship Id="rId241" Type="http://schemas.openxmlformats.org/officeDocument/2006/relationships/hyperlink" Target="https://eur-lex.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data.europa.eu/eli/reg/2006/1907/oj" TargetMode="External"/><Relationship Id="rId143" Type="http://schemas.openxmlformats.org/officeDocument/2006/relationships/hyperlink" Target="https://eur-lex.europa.eu/eli/reg/2002/178/oj" TargetMode="External"/><Relationship Id="rId185" Type="http://schemas.openxmlformats.org/officeDocument/2006/relationships/hyperlink" Target="https://eur-lex.europa.eu/eli/reg/2019/1149/oj" TargetMode="External"/><Relationship Id="rId350" Type="http://schemas.openxmlformats.org/officeDocument/2006/relationships/hyperlink" Target="http://data.europa.eu/eli/reg_del/2019/715/oj" TargetMode="External"/><Relationship Id="rId406" Type="http://schemas.openxmlformats.org/officeDocument/2006/relationships/hyperlink" Target="https://www.eca.europa.eu/Lists/ECADocuments/SR20_22/SR_Future_of_EU_Agencies_EN.pdf" TargetMode="External"/><Relationship Id="rId9" Type="http://schemas.openxmlformats.org/officeDocument/2006/relationships/hyperlink" Target="http://data.europa.eu/eli/reg/2018/1046/oj" TargetMode="External"/><Relationship Id="rId210" Type="http://schemas.openxmlformats.org/officeDocument/2006/relationships/hyperlink" Target="https://eur-lex.europa.eu/eli/reg/2023/1322/oj" TargetMode="External"/><Relationship Id="rId392" Type="http://schemas.openxmlformats.org/officeDocument/2006/relationships/hyperlink" Target="http://data.europa.eu/eli/reg_del/2019/715/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47" Type="http://schemas.openxmlformats.org/officeDocument/2006/relationships/hyperlink" Target="http://data.europa.eu/eli/reg/2019/128/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reg/2019/126/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24/2509/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24/2509/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55" Type="http://schemas.openxmlformats.org/officeDocument/2006/relationships/hyperlink" Target="https://eur-lex.europa.eu/eli/reg/2006/1922/oj" TargetMode="External"/><Relationship Id="rId176" Type="http://schemas.openxmlformats.org/officeDocument/2006/relationships/hyperlink" Target="http://data.europa.eu/eli/C/2024/6041/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046/oj" TargetMode="External"/><Relationship Id="rId362" Type="http://schemas.openxmlformats.org/officeDocument/2006/relationships/hyperlink" Target="http://data.europa.eu/eli/reg_del/2019/715/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s://eur-lex.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data.europa.eu/eli/reg/2023/2131/oj"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eur-lex.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202" Type="http://schemas.openxmlformats.org/officeDocument/2006/relationships/hyperlink" Target="http://data.europa.eu/eli/reg/2024/2509/oj" TargetMode="External"/><Relationship Id="rId223" Type="http://schemas.openxmlformats.org/officeDocument/2006/relationships/hyperlink" Target="https://eur-lex.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s://eur-lex.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data.europa.eu/eli/reg/2023/969/oj"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s://eur-lex.europa.eu/eli/reg/2008/1339" TargetMode="External"/><Relationship Id="rId410" Type="http://schemas.openxmlformats.org/officeDocument/2006/relationships/hyperlink" Target="http://data.europa.eu/eli/reg/2016/794/oj"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eur-lex.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european-union.europa.eu/document/download/d4199ff4-1e3d-45e6-af7e-90cf1a7b10bc_en?filename=joint_statement_on_decentralised_agencies_en.pdf" TargetMode="External"/><Relationship Id="rId116" Type="http://schemas.openxmlformats.org/officeDocument/2006/relationships/hyperlink" Target="http://data.europa.eu/eli/C/2024/6041/oj" TargetMode="External"/><Relationship Id="rId137" Type="http://schemas.openxmlformats.org/officeDocument/2006/relationships/hyperlink" Target="https://eur-lex.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s://eur-lex.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411" Type="http://schemas.openxmlformats.org/officeDocument/2006/relationships/hyperlink" Target="https://www.eionet.europa.eu/etcs"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s://op.europa.eu/webpub/eca/special-reports/agencies-performance-audit-22-2020/bg/index.html"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s://eur-lex.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s://eur-lex.europa.eu/eli/reg/2016/796/oj" TargetMode="External"/><Relationship Id="rId412" Type="http://schemas.openxmlformats.org/officeDocument/2006/relationships/hyperlink" Target="http://data.europa.eu/eli/agree_interinstit/2021/611/oj"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s://eur-lex.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eur-lex.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19/126/oj" TargetMode="External"/><Relationship Id="rId367" Type="http://schemas.openxmlformats.org/officeDocument/2006/relationships/hyperlink" Target="http://data.europa.eu/eli/reg/2021/696/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eur-lex.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24/2509/oj" TargetMode="External"/><Relationship Id="rId403" Type="http://schemas.openxmlformats.org/officeDocument/2006/relationships/hyperlink" Target="http://data.europa.eu/eli/reg/2019/1896/oj"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reg/2018/1046/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4/6332/oj" TargetMode="External"/><Relationship Id="rId414" Type="http://schemas.openxmlformats.org/officeDocument/2006/relationships/hyperlink" Target="http://data.europa.eu/eli/dir/2019/1937/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316" Type="http://schemas.openxmlformats.org/officeDocument/2006/relationships/hyperlink" Target="http://data.europa.eu/eli/C/2024/6041/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041/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69" Type="http://schemas.openxmlformats.org/officeDocument/2006/relationships/hyperlink" Target="http://data.europa.eu/eli/C/2024/6332/oj" TargetMode="External"/><Relationship Id="rId173" Type="http://schemas.openxmlformats.org/officeDocument/2006/relationships/hyperlink" Target="https://eur-lex.europa.eu/eli/reg/2021/819/oj" TargetMode="External"/><Relationship Id="rId229" Type="http://schemas.openxmlformats.org/officeDocument/2006/relationships/hyperlink" Target="https://eur-lex.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35" Type="http://schemas.openxmlformats.org/officeDocument/2006/relationships/hyperlink" Target="http://data.europa.eu/eli/reg/1994/2965/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_del/2019/715/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19/1896/oj" TargetMode="External"/><Relationship Id="rId405" Type="http://schemas.openxmlformats.org/officeDocument/2006/relationships/hyperlink" Target="https://www.eumonitor.eu/9353000/1/j9vvik7m1c3gyxp/vjx64xley4zd"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eur-lex.europa.eu/eli/reg/2006/1920/oj" TargetMode="External"/><Relationship Id="rId360" Type="http://schemas.openxmlformats.org/officeDocument/2006/relationships/hyperlink" Target="http://data.europa.eu/eli/reg/2024/2509/oj"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93" Type="http://schemas.openxmlformats.org/officeDocument/2006/relationships/hyperlink" Target="http://data.europa.eu/eli/C/2024/6332/oj" TargetMode="External"/><Relationship Id="rId407" Type="http://schemas.openxmlformats.org/officeDocument/2006/relationships/hyperlink" Target="http://data.europa.eu/eli/reg/2023/2842/oj" TargetMode="External"/><Relationship Id="rId211" Type="http://schemas.openxmlformats.org/officeDocument/2006/relationships/hyperlink" Target="http://data.europa.eu/eli/reg_del/2019/715/oj" TargetMode="External"/><Relationship Id="rId253" Type="http://schemas.openxmlformats.org/officeDocument/2006/relationships/hyperlink" Target="https://eur-lex.europa.eu/eli/reg/2016/796/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data.europa.eu/eli/reg/2009/401/oj" TargetMode="External"/><Relationship Id="rId320" Type="http://schemas.openxmlformats.org/officeDocument/2006/relationships/hyperlink" Target="http://data.europa.eu/eli/reg_del/2019/7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BBB4F-1B63-4242-871F-3C0BA2ADE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172</Pages>
  <Words>49734</Words>
  <Characters>281838</Characters>
  <Application>Microsoft Office Word</Application>
  <DocSecurity>0</DocSecurity>
  <Lines>4776</Lines>
  <Paragraphs>645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MINKOVA Maria</cp:lastModifiedBy>
  <cp:revision>2</cp:revision>
  <cp:lastPrinted>2004-11-19T15:42:00Z</cp:lastPrinted>
  <dcterms:created xsi:type="dcterms:W3CDTF">2025-11-26T12:09:00Z</dcterms:created>
  <dcterms:modified xsi:type="dcterms:W3CDTF">2025-11-26T12:09:00Z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P10_TA(2025)0088_</vt:lpwstr>
  </property>
  <property fmtid="{D5CDD505-2E9C-101B-9397-08002B2CF9AE}" pid="4" name="&lt;Type&gt;">
    <vt:lpwstr>RR</vt:lpwstr>
  </property>
</Properties>
</file>