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5B3" w14:paraId="7331C2BA" w14:textId="77777777" w:rsidTr="0010095E">
        <w:trPr>
          <w:trHeight w:hRule="exact" w:val="1418"/>
        </w:trPr>
        <w:tc>
          <w:tcPr>
            <w:tcW w:w="6804" w:type="dxa"/>
            <w:shd w:val="clear" w:color="auto" w:fill="auto"/>
            <w:vAlign w:val="center"/>
          </w:tcPr>
          <w:p w14:paraId="3A34C958" w14:textId="77777777" w:rsidR="00751A4A" w:rsidRPr="00F725B3" w:rsidRDefault="00D7733D" w:rsidP="0010095E">
            <w:pPr>
              <w:pStyle w:val="EPName"/>
            </w:pPr>
            <w:r w:rsidRPr="00F725B3">
              <w:t>Evropský parlament</w:t>
            </w:r>
          </w:p>
          <w:p w14:paraId="161D0E96" w14:textId="77777777" w:rsidR="00751A4A" w:rsidRPr="00F725B3" w:rsidRDefault="005F1B17" w:rsidP="005F1B17">
            <w:pPr>
              <w:pStyle w:val="EPTerm"/>
              <w:rPr>
                <w:rStyle w:val="HideTWBExt"/>
                <w:noProof w:val="0"/>
                <w:vanish w:val="0"/>
                <w:color w:val="auto"/>
              </w:rPr>
            </w:pPr>
            <w:r w:rsidRPr="00F725B3">
              <w:t>2024</w:t>
            </w:r>
            <w:r w:rsidR="00817416" w:rsidRPr="00F725B3">
              <w:t>-202</w:t>
            </w:r>
            <w:r w:rsidRPr="00F725B3">
              <w:t>9</w:t>
            </w:r>
          </w:p>
        </w:tc>
        <w:tc>
          <w:tcPr>
            <w:tcW w:w="2268" w:type="dxa"/>
            <w:shd w:val="clear" w:color="auto" w:fill="auto"/>
          </w:tcPr>
          <w:p w14:paraId="73C54D42" w14:textId="77777777" w:rsidR="00751A4A" w:rsidRPr="00F725B3" w:rsidRDefault="00187494" w:rsidP="0010095E">
            <w:pPr>
              <w:pStyle w:val="EPLogo"/>
            </w:pPr>
            <w:r w:rsidRPr="00F725B3">
              <w:rPr>
                <w:noProof/>
                <w:lang w:val="en-GB"/>
              </w:rPr>
              <w:drawing>
                <wp:inline distT="0" distB="0" distL="0" distR="0" wp14:anchorId="5E948BC6" wp14:editId="03C311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084D2F" w14:textId="77777777" w:rsidR="00D058B8" w:rsidRPr="00F725B3" w:rsidRDefault="00D058B8" w:rsidP="004C5D52">
      <w:pPr>
        <w:pStyle w:val="LineTop"/>
      </w:pPr>
    </w:p>
    <w:p w14:paraId="7485E866" w14:textId="77777777" w:rsidR="00680577" w:rsidRPr="00F725B3" w:rsidRDefault="00D7733D" w:rsidP="00680577">
      <w:pPr>
        <w:pStyle w:val="EPBodyTA1"/>
      </w:pPr>
      <w:r w:rsidRPr="00F725B3">
        <w:t>PŘIJATÉ TEXTY</w:t>
      </w:r>
    </w:p>
    <w:p w14:paraId="50319993" w14:textId="77777777" w:rsidR="00D058B8" w:rsidRPr="00F725B3" w:rsidRDefault="00D058B8" w:rsidP="00D058B8">
      <w:pPr>
        <w:pStyle w:val="LineBottom"/>
      </w:pPr>
    </w:p>
    <w:p w14:paraId="19DD7472" w14:textId="77777777" w:rsidR="00D7733D" w:rsidRPr="00F725B3" w:rsidRDefault="00D7733D" w:rsidP="00D7733D">
      <w:pPr>
        <w:pStyle w:val="ATHeading1"/>
      </w:pPr>
      <w:r w:rsidRPr="00F725B3">
        <w:t>P10_</w:t>
      </w:r>
      <w:proofErr w:type="gramStart"/>
      <w:r w:rsidRPr="00F725B3">
        <w:t>TA(</w:t>
      </w:r>
      <w:proofErr w:type="gramEnd"/>
      <w:r w:rsidRPr="00F725B3">
        <w:t>2025)00</w:t>
      </w:r>
      <w:r w:rsidR="000262AD">
        <w:t>88</w:t>
      </w:r>
    </w:p>
    <w:p w14:paraId="5FC8FD4C" w14:textId="77777777" w:rsidR="00D7733D" w:rsidRPr="00F725B3" w:rsidRDefault="00C04381" w:rsidP="00D7733D">
      <w:pPr>
        <w:pStyle w:val="ATHeading2"/>
      </w:pPr>
      <w:r w:rsidRPr="00C04381">
        <w:t>Ud</w:t>
      </w:r>
      <w:r w:rsidR="003812F6">
        <w:t xml:space="preserve">ělení absolutoria za </w:t>
      </w:r>
      <w:r w:rsidRPr="00C04381">
        <w:t>r</w:t>
      </w:r>
      <w:r w:rsidR="003812F6">
        <w:t xml:space="preserve">ok 2023: </w:t>
      </w:r>
      <w:r w:rsidRPr="00C04381">
        <w:t>agentury</w:t>
      </w:r>
    </w:p>
    <w:p w14:paraId="3CAA3C2E" w14:textId="77777777" w:rsidR="00D7733D" w:rsidRPr="00F725B3" w:rsidRDefault="00D7733D" w:rsidP="00D7733D">
      <w:pPr>
        <w:rPr>
          <w:i/>
          <w:vanish/>
        </w:rPr>
      </w:pPr>
      <w:r w:rsidRPr="00F725B3">
        <w:rPr>
          <w:i/>
        </w:rPr>
        <w:fldChar w:fldCharType="begin"/>
      </w:r>
      <w:r w:rsidRPr="00F725B3">
        <w:rPr>
          <w:i/>
        </w:rPr>
        <w:instrText xml:space="preserve"> TC"(A10-0065/2025 - Zpravodaj: Erik </w:instrText>
      </w:r>
      <w:proofErr w:type="spellStart"/>
      <w:r w:rsidRPr="00F725B3">
        <w:rPr>
          <w:i/>
        </w:rPr>
        <w:instrText>Marquardt</w:instrText>
      </w:r>
      <w:proofErr w:type="spellEnd"/>
      <w:r w:rsidRPr="00F725B3">
        <w:rPr>
          <w:i/>
        </w:rPr>
        <w:instrText xml:space="preserve">)"\l3 \n&gt; \* MERGEFORMAT </w:instrText>
      </w:r>
      <w:r w:rsidRPr="00F725B3">
        <w:rPr>
          <w:i/>
        </w:rPr>
        <w:fldChar w:fldCharType="end"/>
      </w:r>
    </w:p>
    <w:p w14:paraId="69D375F1" w14:textId="77777777" w:rsidR="00D7733D" w:rsidRPr="00F725B3" w:rsidRDefault="00D7733D" w:rsidP="00D7733D">
      <w:pPr>
        <w:rPr>
          <w:vanish/>
        </w:rPr>
      </w:pPr>
      <w:r w:rsidRPr="00F725B3">
        <w:rPr>
          <w:vanish/>
        </w:rPr>
        <w:t>Výbor pro rozpočtovou kontrolu</w:t>
      </w:r>
    </w:p>
    <w:p w14:paraId="70609875" w14:textId="77777777" w:rsidR="00D7733D" w:rsidRPr="00F725B3" w:rsidRDefault="00D7733D" w:rsidP="00D7733D">
      <w:pPr>
        <w:rPr>
          <w:vanish/>
        </w:rPr>
      </w:pPr>
      <w:r w:rsidRPr="00F725B3">
        <w:rPr>
          <w:vanish/>
        </w:rPr>
        <w:t>PE765.000</w:t>
      </w:r>
    </w:p>
    <w:p w14:paraId="733C4A05" w14:textId="5CC914BC" w:rsidR="00872DB8" w:rsidRPr="00E51DFE" w:rsidRDefault="00872DB8" w:rsidP="00872DB8">
      <w:pPr>
        <w:pStyle w:val="ATHeading3"/>
      </w:pPr>
      <w:r w:rsidRPr="00E51DFE">
        <w:t>1. Rozhodnutí Evropského parlamentu ze dne 7. května 2025 o udělení absolutoria za plnění rozpočtu Agentury Evropské unie pro spolupráci energetických regulačních orgánů na rozpočtový rok 2023 (2024/2030(DEC))</w:t>
      </w:r>
    </w:p>
    <w:p w14:paraId="6AF0998D" w14:textId="77777777" w:rsidR="00872DB8" w:rsidRPr="00E51DFE" w:rsidRDefault="00872DB8" w:rsidP="00872DB8">
      <w:pPr>
        <w:spacing w:before="480" w:after="240"/>
      </w:pPr>
      <w:r w:rsidRPr="00E51DFE">
        <w:rPr>
          <w:i/>
        </w:rPr>
        <w:t>Evropský parlament</w:t>
      </w:r>
      <w:r w:rsidRPr="00E51DFE">
        <w:t>,</w:t>
      </w:r>
    </w:p>
    <w:p w14:paraId="2B3F9A41" w14:textId="77777777" w:rsidR="00872DB8" w:rsidRPr="00E51DFE" w:rsidRDefault="00872DB8" w:rsidP="00872DB8">
      <w:pPr>
        <w:spacing w:after="240"/>
        <w:ind w:left="567" w:hanging="567"/>
      </w:pPr>
      <w:r w:rsidRPr="00E51DFE">
        <w:t>–</w:t>
      </w:r>
      <w:r w:rsidRPr="00E51DFE">
        <w:tab/>
        <w:t>s ohledem na konečnou roční účetní závěrku Agentury Evropské unie pro spolupráci energetických regulačních orgánů za rozpočtový rok 2023,</w:t>
      </w:r>
    </w:p>
    <w:p w14:paraId="420D75F9"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
      </w:r>
      <w:r w:rsidRPr="00E51DFE">
        <w:t>,</w:t>
      </w:r>
    </w:p>
    <w:p w14:paraId="19739A71"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
      </w:r>
      <w:r w:rsidRPr="00E51DFE">
        <w:t xml:space="preserve"> účetnictví a o legalitě a správnosti uskutečněných operací, které předložil Účetní dvůr za rozpočtový rok 2023 podle článku 287 Smlouvy o fungování Evropské unie,</w:t>
      </w:r>
    </w:p>
    <w:p w14:paraId="02F89162"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4EE162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CD4767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
      </w:r>
      <w:r w:rsidRPr="00E51DFE">
        <w:t>, a zejména na článek 70 tohoto nařízení,</w:t>
      </w:r>
    </w:p>
    <w:p w14:paraId="4DD188B9"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4"/>
      </w:r>
      <w:r w:rsidRPr="00E51DFE">
        <w:t>, a zejména na článek 70 tohoto nařízení,</w:t>
      </w:r>
    </w:p>
    <w:p w14:paraId="7A7704B5" w14:textId="77777777" w:rsidR="00872DB8" w:rsidRPr="00E51DFE" w:rsidRDefault="00872DB8" w:rsidP="00872DB8">
      <w:pPr>
        <w:spacing w:after="240"/>
        <w:ind w:left="567" w:hanging="567"/>
      </w:pPr>
      <w:r w:rsidRPr="00E51DFE">
        <w:t>–</w:t>
      </w:r>
      <w:r w:rsidRPr="00E51DFE">
        <w:tab/>
        <w:t>s ohledem na nařízení Evropského parlamentu a Rady (EU) 2019/942 ze dne 5. června 2019, kterým se zřizuje Agentura Evropské unie pro spolupráci energetických regulačních orgánů</w:t>
      </w:r>
      <w:r w:rsidRPr="00E51DFE">
        <w:rPr>
          <w:vertAlign w:val="superscript"/>
        </w:rPr>
        <w:footnoteReference w:id="5"/>
      </w:r>
      <w:r w:rsidRPr="00E51DFE">
        <w:t>, a zejména na článek 35 tohoto nařízení,</w:t>
      </w:r>
    </w:p>
    <w:p w14:paraId="42FC9C59"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6"/>
      </w:r>
      <w:r w:rsidRPr="00E51DFE">
        <w:t>, a zejména na článek 105 tohoto nařízení,</w:t>
      </w:r>
    </w:p>
    <w:p w14:paraId="7006E143" w14:textId="77777777" w:rsidR="00872DB8" w:rsidRPr="00E51DFE" w:rsidRDefault="00872DB8" w:rsidP="00872DB8">
      <w:pPr>
        <w:spacing w:after="240"/>
        <w:ind w:left="567" w:hanging="567"/>
      </w:pPr>
      <w:r w:rsidRPr="00E51DFE">
        <w:t>–</w:t>
      </w:r>
      <w:r w:rsidRPr="00E51DFE">
        <w:tab/>
        <w:t>s ohledem na článek 102 a přílohu V jednacího řádu,</w:t>
      </w:r>
    </w:p>
    <w:p w14:paraId="52FCCCDC" w14:textId="77777777" w:rsidR="00872DB8" w:rsidRPr="00E51DFE" w:rsidRDefault="00872DB8" w:rsidP="00872DB8">
      <w:pPr>
        <w:spacing w:after="240"/>
        <w:ind w:left="567" w:hanging="567"/>
      </w:pPr>
      <w:r w:rsidRPr="00E51DFE">
        <w:t>–</w:t>
      </w:r>
      <w:r w:rsidRPr="00E51DFE">
        <w:tab/>
        <w:t>s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74C082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AE0F5FD" w14:textId="77777777" w:rsidR="00872DB8" w:rsidRPr="00E51DFE" w:rsidRDefault="00872DB8" w:rsidP="00872DB8">
      <w:pPr>
        <w:spacing w:after="240"/>
        <w:ind w:left="567" w:hanging="567"/>
      </w:pPr>
      <w:r w:rsidRPr="00E51DFE">
        <w:t>1.</w:t>
      </w:r>
      <w:r w:rsidRPr="00E51DFE">
        <w:tab/>
        <w:t>uděluje absolutorium řediteli Agentury Evropské unie pro spolupráci energetických regulačních orgánů za plnění rozpočtu agentury na rozpočtový rok 2023;</w:t>
      </w:r>
    </w:p>
    <w:p w14:paraId="3349CB7E" w14:textId="77777777" w:rsidR="00872DB8" w:rsidRPr="00E51DFE" w:rsidRDefault="00872DB8" w:rsidP="00872DB8">
      <w:pPr>
        <w:spacing w:after="240"/>
        <w:ind w:left="567" w:hanging="567"/>
      </w:pPr>
      <w:r w:rsidRPr="00E51DFE">
        <w:t>2.</w:t>
      </w:r>
      <w:r w:rsidRPr="00E51DFE">
        <w:tab/>
        <w:t>předkládá své připomínky v níže uvedeném usnesení;</w:t>
      </w:r>
    </w:p>
    <w:p w14:paraId="31107FC9"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řediteli Agentury Evropské unie pro spolupráci energetických regulačních orgánů, Radě, Komisi a Účetnímu dvoru a aby zajistila jejich zveřejnění v </w:t>
      </w:r>
      <w:r w:rsidRPr="00E51DFE">
        <w:rPr>
          <w:i/>
        </w:rPr>
        <w:t>Úředním věstníku Evropské unie</w:t>
      </w:r>
      <w:r w:rsidRPr="00E51DFE">
        <w:t xml:space="preserve"> (řada L).</w:t>
      </w:r>
    </w:p>
    <w:p w14:paraId="610301C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B684599" w14:textId="1431FD24" w:rsidR="00872DB8" w:rsidRPr="00E51DFE" w:rsidRDefault="00872DB8" w:rsidP="00872DB8">
      <w:pPr>
        <w:pStyle w:val="ATHeading3"/>
      </w:pPr>
      <w:r w:rsidRPr="00E51DFE">
        <w:t>2. Rozhodnutí Evropského parlamentu ze dne 7. května 2025 o uzavření účtů Agentury Evropské unie pro spolupráci energetických regulačních orgánů za rozpočtový rok 2023 (2024/2030(DEC))</w:t>
      </w:r>
    </w:p>
    <w:p w14:paraId="7A42E6A7" w14:textId="77777777" w:rsidR="00872DB8" w:rsidRPr="00E51DFE" w:rsidRDefault="00872DB8" w:rsidP="00872DB8">
      <w:pPr>
        <w:spacing w:before="480" w:after="240"/>
      </w:pPr>
      <w:r w:rsidRPr="00E51DFE">
        <w:rPr>
          <w:i/>
        </w:rPr>
        <w:t>Evropský parlament</w:t>
      </w:r>
      <w:r w:rsidRPr="00E51DFE">
        <w:t>,</w:t>
      </w:r>
    </w:p>
    <w:p w14:paraId="7397A055" w14:textId="77777777" w:rsidR="00872DB8" w:rsidRPr="00E51DFE" w:rsidRDefault="00872DB8" w:rsidP="00872DB8">
      <w:pPr>
        <w:spacing w:after="240"/>
        <w:ind w:left="567" w:hanging="567"/>
      </w:pPr>
      <w:r w:rsidRPr="00E51DFE">
        <w:t>–</w:t>
      </w:r>
      <w:r w:rsidRPr="00E51DFE">
        <w:tab/>
        <w:t>s ohledem na konečnou roční účetní závěrku Agentury Evropské unie pro spolupráci energetických regulačních orgánů za rozpočtový rok 2023,</w:t>
      </w:r>
    </w:p>
    <w:p w14:paraId="1AEECCE6"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7"/>
      </w:r>
      <w:r w:rsidRPr="00E51DFE">
        <w:t>,</w:t>
      </w:r>
    </w:p>
    <w:p w14:paraId="56375C4F"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8"/>
      </w:r>
      <w:r w:rsidRPr="00E51DFE">
        <w:t xml:space="preserve"> účetnictví a o legalitě a správnosti uskutečněných operací, které předložil Účetní dvůr za rozpočtový rok 2023 podle článku 287 Smlouvy o fungování Evropské unie,</w:t>
      </w:r>
    </w:p>
    <w:p w14:paraId="24DD2ADA"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53C1B31A"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900D85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9"/>
      </w:r>
      <w:r w:rsidRPr="00E51DFE">
        <w:t>, a zejména na článek 70 tohoto nařízení,</w:t>
      </w:r>
    </w:p>
    <w:p w14:paraId="40787106"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0"/>
      </w:r>
      <w:r w:rsidRPr="00E51DFE">
        <w:t>, a zejména na článek 70 tohoto nařízení,</w:t>
      </w:r>
    </w:p>
    <w:p w14:paraId="6794D0D7" w14:textId="77777777" w:rsidR="00872DB8" w:rsidRPr="00E51DFE" w:rsidRDefault="00872DB8" w:rsidP="00872DB8">
      <w:pPr>
        <w:spacing w:after="240"/>
        <w:ind w:left="567" w:hanging="567"/>
      </w:pPr>
      <w:r w:rsidRPr="00E51DFE">
        <w:t>–</w:t>
      </w:r>
      <w:r w:rsidRPr="00E51DFE">
        <w:tab/>
        <w:t>s ohledem na nařízení Evropského parlamentu a Rady (EU) 2019/942 ze dne 5. června 2019, kterým se zřizuje Agentura Evropské unie pro spolupráci energetických regulačních orgánů</w:t>
      </w:r>
      <w:r w:rsidRPr="00E51DFE">
        <w:rPr>
          <w:vertAlign w:val="superscript"/>
        </w:rPr>
        <w:footnoteReference w:id="11"/>
      </w:r>
      <w:r w:rsidRPr="00E51DFE">
        <w:t>, a zejména na článek 35 tohoto nařízení,</w:t>
      </w:r>
    </w:p>
    <w:p w14:paraId="531CA3E4"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2"/>
      </w:r>
      <w:r w:rsidRPr="00E51DFE">
        <w:t>, a zejména na článek 105 tohoto nařízení,</w:t>
      </w:r>
    </w:p>
    <w:p w14:paraId="0CC84F3A" w14:textId="77777777" w:rsidR="00872DB8" w:rsidRPr="00E51DFE" w:rsidRDefault="00872DB8" w:rsidP="00872DB8">
      <w:pPr>
        <w:spacing w:after="240"/>
        <w:ind w:left="567" w:hanging="567"/>
      </w:pPr>
      <w:r w:rsidRPr="00E51DFE">
        <w:t>–</w:t>
      </w:r>
      <w:r w:rsidRPr="00E51DFE">
        <w:tab/>
        <w:t>s ohledem na článek 102 a přílohu V jednacího řádu,</w:t>
      </w:r>
    </w:p>
    <w:p w14:paraId="7B941F09" w14:textId="77777777" w:rsidR="00872DB8" w:rsidRPr="00E51DFE" w:rsidRDefault="00872DB8" w:rsidP="00872DB8">
      <w:pPr>
        <w:spacing w:after="240"/>
        <w:ind w:left="567" w:hanging="567"/>
      </w:pPr>
      <w:r w:rsidRPr="00E51DFE">
        <w:t>–</w:t>
      </w:r>
      <w:r w:rsidRPr="00E51DFE">
        <w:tab/>
        <w:t>s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C779A9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372C304" w14:textId="77777777" w:rsidR="00872DB8" w:rsidRPr="00E51DFE" w:rsidRDefault="00872DB8" w:rsidP="00872DB8">
      <w:pPr>
        <w:spacing w:after="240"/>
        <w:ind w:left="567" w:hanging="567"/>
      </w:pPr>
      <w:r w:rsidRPr="00E51DFE">
        <w:t>1.</w:t>
      </w:r>
      <w:r w:rsidRPr="00E51DFE">
        <w:tab/>
        <w:t>schvaluje uzavření účtů Agentury Evropské unie pro spolupráci energetických regulačních orgánů za rozpočtový rok 2023;</w:t>
      </w:r>
    </w:p>
    <w:p w14:paraId="34B0256E" w14:textId="77777777" w:rsidR="00872DB8" w:rsidRPr="00E51DFE" w:rsidRDefault="00872DB8" w:rsidP="00872DB8">
      <w:pPr>
        <w:spacing w:after="240"/>
        <w:ind w:left="567" w:hanging="567"/>
      </w:pPr>
      <w:r w:rsidRPr="00E51DFE">
        <w:t>2.</w:t>
      </w:r>
      <w:r w:rsidRPr="00E51DFE">
        <w:tab/>
        <w:t>pověřuje svou předsedkyni, aby předala toto rozhodnutí řediteli Agentury Evropské unie pro spolupráci energetických regulačních orgánů, Radě, Komisi a Účetnímu dvoru a aby zajistila jeho zveřejnění v </w:t>
      </w:r>
      <w:r w:rsidRPr="00E51DFE">
        <w:rPr>
          <w:i/>
        </w:rPr>
        <w:t>Úředním věstníku Evropské unie</w:t>
      </w:r>
      <w:r w:rsidRPr="00E51DFE">
        <w:t xml:space="preserve"> (řada L).</w:t>
      </w:r>
    </w:p>
    <w:p w14:paraId="6498B08B"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0B9BE8E" w14:textId="4C9BE877" w:rsidR="00872DB8" w:rsidRPr="00E51DFE" w:rsidRDefault="00872DB8" w:rsidP="00872DB8">
      <w:pPr>
        <w:pStyle w:val="ATHeading3"/>
      </w:pPr>
      <w:r w:rsidRPr="00E51DFE">
        <w:t>3. Rozhodnutí Evropského parlamentu ze dne 7. května 2025 o udělení absolutoria za plnění rozpočtu Agentury na podporu BEREC na rozpočtový rok 2023 (2024/2030(DEC))</w:t>
      </w:r>
    </w:p>
    <w:p w14:paraId="00D0234F" w14:textId="77777777" w:rsidR="00872DB8" w:rsidRPr="00E51DFE" w:rsidRDefault="00872DB8" w:rsidP="00872DB8">
      <w:pPr>
        <w:spacing w:before="480" w:after="240"/>
      </w:pPr>
      <w:r w:rsidRPr="00E51DFE">
        <w:rPr>
          <w:i/>
        </w:rPr>
        <w:t>Evropský parlament</w:t>
      </w:r>
      <w:r w:rsidRPr="00E51DFE">
        <w:t>,</w:t>
      </w:r>
    </w:p>
    <w:p w14:paraId="4BE73962" w14:textId="77777777" w:rsidR="00872DB8" w:rsidRPr="00E51DFE" w:rsidRDefault="00872DB8" w:rsidP="00872DB8">
      <w:pPr>
        <w:spacing w:after="240"/>
        <w:ind w:left="567" w:hanging="567"/>
      </w:pPr>
      <w:r w:rsidRPr="00E51DFE">
        <w:t>–</w:t>
      </w:r>
      <w:r w:rsidRPr="00E51DFE">
        <w:tab/>
        <w:t>s ohledem na konečnou roční účetní závěrku Agentury na podporu BEREC za rozpočtový rok 2023,</w:t>
      </w:r>
    </w:p>
    <w:p w14:paraId="00913A7A"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3"/>
      </w:r>
      <w:r w:rsidRPr="00E51DFE">
        <w:t>,</w:t>
      </w:r>
    </w:p>
    <w:p w14:paraId="5E7CF90A"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4"/>
      </w:r>
      <w:r w:rsidRPr="00E51DFE">
        <w:t xml:space="preserve"> účetnictví a o legalitě a správnosti uskutečněných operací, které předložil Účetní dvůr za rozpočtový rok 2023 podle článku 287 Smlouvy o fungování Evropské unie,</w:t>
      </w:r>
    </w:p>
    <w:p w14:paraId="7B6AE09A"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E3775C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0AEE4B5"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5"/>
      </w:r>
      <w:r w:rsidRPr="00E51DFE">
        <w:t>, a zejména na článek 70 tohoto nařízení,</w:t>
      </w:r>
    </w:p>
    <w:p w14:paraId="1088C62E"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6"/>
      </w:r>
      <w:r w:rsidRPr="00E51DFE">
        <w:t>, a zejména na článek 70 tohoto nařízení,</w:t>
      </w:r>
    </w:p>
    <w:p w14:paraId="6A277EB1" w14:textId="77777777" w:rsidR="00872DB8" w:rsidRPr="00E51DFE" w:rsidRDefault="00872DB8" w:rsidP="00872DB8">
      <w:pPr>
        <w:spacing w:after="240"/>
        <w:ind w:left="567" w:hanging="567"/>
      </w:pPr>
      <w:r w:rsidRPr="00E51DFE">
        <w:t>–</w:t>
      </w:r>
      <w:r w:rsidRPr="00E51DFE">
        <w:tab/>
        <w:t>s ohledem na nařízení Evropského parlamentu a Rady (EU) 2018/1971 ze dne 11. prosince 2018 o zřízení Sdružení evropských regulačních orgánů v oblasti elektronických komunikací (BEREC) a Agentury na podporu BEREC (Úřad BEREC), o změně nařízení (EU) 2015/2120 a o zrušení nařízení (ES) č. 1211/2009</w:t>
      </w:r>
      <w:r w:rsidRPr="00E51DFE">
        <w:rPr>
          <w:vertAlign w:val="superscript"/>
        </w:rPr>
        <w:footnoteReference w:id="17"/>
      </w:r>
      <w:r w:rsidRPr="00E51DFE">
        <w:t>, a zejména na článek 28 tohoto nařízení,</w:t>
      </w:r>
    </w:p>
    <w:p w14:paraId="08343E0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8"/>
      </w:r>
      <w:r w:rsidRPr="00E51DFE">
        <w:t>, a zejména na článek 105 tohoto nařízení,</w:t>
      </w:r>
    </w:p>
    <w:p w14:paraId="573CFB7E" w14:textId="77777777" w:rsidR="00872DB8" w:rsidRPr="00E51DFE" w:rsidRDefault="00872DB8" w:rsidP="00872DB8">
      <w:pPr>
        <w:spacing w:after="240"/>
        <w:ind w:left="567" w:hanging="567"/>
      </w:pPr>
      <w:r w:rsidRPr="00E51DFE">
        <w:t>–</w:t>
      </w:r>
      <w:r w:rsidRPr="00E51DFE">
        <w:tab/>
        <w:t>s ohledem na článek 102 a přílohu V jednacího řádu,</w:t>
      </w:r>
    </w:p>
    <w:p w14:paraId="59890642"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8C20AF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72C4CCC" w14:textId="77777777" w:rsidR="00872DB8" w:rsidRPr="00E51DFE" w:rsidRDefault="00872DB8" w:rsidP="00872DB8">
      <w:pPr>
        <w:spacing w:after="240"/>
        <w:ind w:left="567" w:hanging="567"/>
      </w:pPr>
      <w:r w:rsidRPr="00E51DFE">
        <w:t>1.</w:t>
      </w:r>
      <w:r w:rsidRPr="00E51DFE">
        <w:tab/>
        <w:t>uděluje absolutorium ředitelce Agentury na podporu BEREC za plnění rozpočtu agentury na rozpočtový rok 2023;</w:t>
      </w:r>
    </w:p>
    <w:p w14:paraId="098B13A4" w14:textId="77777777" w:rsidR="00872DB8" w:rsidRPr="00E51DFE" w:rsidRDefault="00872DB8" w:rsidP="00872DB8">
      <w:pPr>
        <w:spacing w:after="240"/>
        <w:ind w:left="567" w:hanging="567"/>
      </w:pPr>
      <w:r w:rsidRPr="00E51DFE">
        <w:t>2.</w:t>
      </w:r>
      <w:r w:rsidRPr="00E51DFE">
        <w:tab/>
        <w:t>předkládá své připomínky v níže uvedeném usnesení;</w:t>
      </w:r>
    </w:p>
    <w:p w14:paraId="377D32C6"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Agentury na podporu BEREC, Radě, Komisi a Účetnímu dvoru a aby zajistila jejich zveřejnění v </w:t>
      </w:r>
      <w:r w:rsidRPr="00E51DFE">
        <w:rPr>
          <w:i/>
        </w:rPr>
        <w:t>Úředním věstníku Evropské unie</w:t>
      </w:r>
      <w:r w:rsidRPr="00E51DFE">
        <w:t xml:space="preserve"> (řada L).</w:t>
      </w:r>
    </w:p>
    <w:p w14:paraId="5911B89C"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7E41AFB" w14:textId="3224EF12" w:rsidR="00872DB8" w:rsidRPr="00E51DFE" w:rsidRDefault="00872DB8" w:rsidP="00872DB8">
      <w:pPr>
        <w:pStyle w:val="ATHeading3"/>
      </w:pPr>
      <w:r w:rsidRPr="00E51DFE">
        <w:t>4. Rozhodnutí Evropského parlamentu ze dne 7. května 2025 o uzavření účtů Agentury na podporu BEREC za rozpočtový rok 2023 (2024/2030(DEC))</w:t>
      </w:r>
    </w:p>
    <w:p w14:paraId="24EBCEA6" w14:textId="77777777" w:rsidR="00872DB8" w:rsidRPr="00E51DFE" w:rsidRDefault="00872DB8" w:rsidP="00872DB8">
      <w:pPr>
        <w:spacing w:before="480" w:after="240"/>
      </w:pPr>
      <w:r w:rsidRPr="00E51DFE">
        <w:rPr>
          <w:i/>
        </w:rPr>
        <w:t>Evropský parlament</w:t>
      </w:r>
      <w:r w:rsidRPr="00E51DFE">
        <w:t>,</w:t>
      </w:r>
    </w:p>
    <w:p w14:paraId="05638A61" w14:textId="77777777" w:rsidR="00872DB8" w:rsidRPr="00E51DFE" w:rsidRDefault="00872DB8" w:rsidP="00872DB8">
      <w:pPr>
        <w:spacing w:after="240"/>
        <w:ind w:left="567" w:hanging="567"/>
      </w:pPr>
      <w:r w:rsidRPr="00E51DFE">
        <w:t>–</w:t>
      </w:r>
      <w:r w:rsidRPr="00E51DFE">
        <w:tab/>
        <w:t>s ohledem na konečnou roční účetní závěrku Agentury na podporu BEREC za rozpočtový rok 2023,</w:t>
      </w:r>
    </w:p>
    <w:p w14:paraId="56C05712"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9"/>
      </w:r>
      <w:r w:rsidRPr="00E51DFE">
        <w:t>,</w:t>
      </w:r>
    </w:p>
    <w:p w14:paraId="2BD9315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0"/>
      </w:r>
      <w:r w:rsidRPr="00E51DFE">
        <w:t xml:space="preserve"> účetnictví a o legalitě a správnosti uskutečněných operací, které předložil Účetní dvůr za rozpočtový rok 2023 podle článku 287 Smlouvy o fungování Evropské unie,</w:t>
      </w:r>
    </w:p>
    <w:p w14:paraId="4646D4B6"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265B187E"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FC7737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1"/>
      </w:r>
      <w:r w:rsidRPr="00E51DFE">
        <w:t>, a zejména na článek 70 tohoto nařízení,</w:t>
      </w:r>
    </w:p>
    <w:p w14:paraId="71A55FF7"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2"/>
      </w:r>
      <w:r w:rsidRPr="00E51DFE">
        <w:t>, a zejména na článek 70 tohoto nařízení,</w:t>
      </w:r>
    </w:p>
    <w:p w14:paraId="705F685C" w14:textId="77777777" w:rsidR="00872DB8" w:rsidRPr="00E51DFE" w:rsidRDefault="00872DB8" w:rsidP="00872DB8">
      <w:pPr>
        <w:spacing w:after="240"/>
        <w:ind w:left="567" w:hanging="567"/>
      </w:pPr>
      <w:r w:rsidRPr="00E51DFE">
        <w:t>–</w:t>
      </w:r>
      <w:r w:rsidRPr="00E51DFE">
        <w:tab/>
        <w:t>s ohledem na nařízení Evropského parlamentu a Rady (EU) 2018/1971 ze dne 11. prosince 2018 o zřízení Sdružení evropských regulačních orgánů v oblasti elektronických komunikací (BEREC) a Agentury na podporu BEREC (Úřad BEREC), o změně nařízení (EU) 2015/2120 a o zrušení nařízení (ES) č. 1211/2009</w:t>
      </w:r>
      <w:r w:rsidRPr="00E51DFE">
        <w:rPr>
          <w:vertAlign w:val="superscript"/>
        </w:rPr>
        <w:footnoteReference w:id="23"/>
      </w:r>
      <w:r w:rsidRPr="00E51DFE">
        <w:t>, a zejména na článek 28 tohoto nařízení,</w:t>
      </w:r>
    </w:p>
    <w:p w14:paraId="17338557"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4"/>
      </w:r>
      <w:r w:rsidRPr="00E51DFE">
        <w:t>, a zejména na článek 105 tohoto nařízení,</w:t>
      </w:r>
    </w:p>
    <w:p w14:paraId="2E8F0E15" w14:textId="77777777" w:rsidR="00872DB8" w:rsidRPr="00E51DFE" w:rsidRDefault="00872DB8" w:rsidP="00872DB8">
      <w:pPr>
        <w:spacing w:after="240"/>
        <w:ind w:left="567" w:hanging="567"/>
      </w:pPr>
      <w:r w:rsidRPr="00E51DFE">
        <w:t>–</w:t>
      </w:r>
      <w:r w:rsidRPr="00E51DFE">
        <w:tab/>
        <w:t>s ohledem na článek 102 a přílohu V jednacího řádu,</w:t>
      </w:r>
    </w:p>
    <w:p w14:paraId="411C0D4D"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C371C5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947EA03" w14:textId="77777777" w:rsidR="00872DB8" w:rsidRPr="00E51DFE" w:rsidRDefault="00872DB8" w:rsidP="00872DB8">
      <w:pPr>
        <w:spacing w:after="240"/>
        <w:ind w:left="567" w:hanging="567"/>
      </w:pPr>
      <w:r w:rsidRPr="00E51DFE">
        <w:t>1.</w:t>
      </w:r>
      <w:r w:rsidRPr="00E51DFE">
        <w:tab/>
        <w:t>schvaluje uzavření účtů Agentury na podporu BEREC za rozpočtový rok 2023;</w:t>
      </w:r>
    </w:p>
    <w:p w14:paraId="76E940D7" w14:textId="77777777" w:rsidR="00872DB8" w:rsidRPr="00E51DFE" w:rsidRDefault="00872DB8" w:rsidP="00872DB8">
      <w:pPr>
        <w:spacing w:after="240"/>
        <w:ind w:left="567" w:hanging="567"/>
      </w:pPr>
      <w:r w:rsidRPr="00E51DFE">
        <w:t>2.</w:t>
      </w:r>
      <w:r w:rsidRPr="00E51DFE">
        <w:tab/>
        <w:t>pověřuje svou předsedkyni, aby předala toto rozhodnutí ředitelce Agentury na podporu BEREC, Radě, Komisi a Účetnímu dvoru a aby zajistila jeho zveřejnění v </w:t>
      </w:r>
      <w:r w:rsidRPr="00E51DFE">
        <w:rPr>
          <w:i/>
        </w:rPr>
        <w:t>Úředním věstníku Evropské unie</w:t>
      </w:r>
      <w:r w:rsidRPr="00E51DFE">
        <w:t xml:space="preserve"> (řada L).</w:t>
      </w:r>
    </w:p>
    <w:p w14:paraId="6D696A72"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0257873" w14:textId="268E6912" w:rsidR="00872DB8" w:rsidRPr="00E51DFE" w:rsidRDefault="00872DB8" w:rsidP="00872DB8">
      <w:pPr>
        <w:pStyle w:val="ATHeading3"/>
      </w:pPr>
      <w:r w:rsidRPr="00E51DFE">
        <w:t>5. Rozhodnutí Evropského parlamentu ze dne 7. května 2025 o udělení absolutoria za plnění rozpočtu Překladatelského střediska pro instituce Evropské unie na rozpočtový rok 2023 (2024/2030(DEC))</w:t>
      </w:r>
    </w:p>
    <w:p w14:paraId="388A8FF2" w14:textId="77777777" w:rsidR="00872DB8" w:rsidRPr="00E51DFE" w:rsidRDefault="00872DB8" w:rsidP="00872DB8">
      <w:pPr>
        <w:spacing w:before="480" w:after="240"/>
      </w:pPr>
      <w:r w:rsidRPr="00E51DFE">
        <w:rPr>
          <w:i/>
        </w:rPr>
        <w:t>Evropský parlament</w:t>
      </w:r>
      <w:r w:rsidRPr="00E51DFE">
        <w:t>,</w:t>
      </w:r>
    </w:p>
    <w:p w14:paraId="36C10B49" w14:textId="77777777" w:rsidR="00872DB8" w:rsidRPr="00E51DFE" w:rsidRDefault="00872DB8" w:rsidP="00872DB8">
      <w:pPr>
        <w:spacing w:after="240"/>
        <w:ind w:left="567" w:hanging="567"/>
      </w:pPr>
      <w:r w:rsidRPr="00E51DFE">
        <w:t>–</w:t>
      </w:r>
      <w:r w:rsidRPr="00E51DFE">
        <w:tab/>
        <w:t>s ohledem na konečnou roční účetní závěrku Překladatelského střediska pro instituce Evropské unie za rozpočtový rok 2023,</w:t>
      </w:r>
    </w:p>
    <w:p w14:paraId="26DAC59D"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5"/>
      </w:r>
      <w:r w:rsidRPr="00E51DFE">
        <w:t>,</w:t>
      </w:r>
    </w:p>
    <w:p w14:paraId="31DBE69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6"/>
      </w:r>
      <w:r w:rsidRPr="00E51DFE">
        <w:t xml:space="preserve"> účetnictví a o legalitě a správnosti uskutečněných operací, které předložil Účetní dvůr za rozpočtový rok 2023 podle článku 287 Smlouvy o fungování Evropské unie,</w:t>
      </w:r>
    </w:p>
    <w:p w14:paraId="5C28E393"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C10-0024/2025),</w:t>
      </w:r>
    </w:p>
    <w:p w14:paraId="27AF6043"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E0CA65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7"/>
      </w:r>
      <w:r w:rsidRPr="00E51DFE">
        <w:t>, a zejména na článek 70 tohoto nařízení,</w:t>
      </w:r>
    </w:p>
    <w:p w14:paraId="1656DDDB"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8"/>
      </w:r>
      <w:r w:rsidRPr="00E51DFE">
        <w:t>, a zejména na článek 70 tohoto nařízení,</w:t>
      </w:r>
    </w:p>
    <w:p w14:paraId="1D89EA82" w14:textId="77777777" w:rsidR="00872DB8" w:rsidRPr="00E51DFE" w:rsidRDefault="00872DB8" w:rsidP="00872DB8">
      <w:pPr>
        <w:spacing w:after="240"/>
        <w:ind w:left="567" w:hanging="567"/>
      </w:pPr>
      <w:r w:rsidRPr="00E51DFE">
        <w:t>–</w:t>
      </w:r>
      <w:r w:rsidRPr="00E51DFE">
        <w:tab/>
        <w:t>s ohledem na nařízení Rady (ES) č. 2965/94 ze dne 28. listopadu 1994 o zřízení Překladatelského střediska pro instituce Evropské unie</w:t>
      </w:r>
      <w:r w:rsidRPr="00E51DFE">
        <w:rPr>
          <w:vertAlign w:val="superscript"/>
        </w:rPr>
        <w:footnoteReference w:id="29"/>
      </w:r>
      <w:r w:rsidRPr="00E51DFE">
        <w:t>, a zejména na článek 14 tohoto nařízení,</w:t>
      </w:r>
    </w:p>
    <w:p w14:paraId="4EF64FC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0"/>
      </w:r>
      <w:r w:rsidRPr="00E51DFE">
        <w:t>, a zejména na článek 105 tohoto nařízení,</w:t>
      </w:r>
    </w:p>
    <w:p w14:paraId="5A602564" w14:textId="77777777" w:rsidR="00872DB8" w:rsidRPr="00E51DFE" w:rsidRDefault="00872DB8" w:rsidP="00872DB8">
      <w:pPr>
        <w:spacing w:after="240"/>
        <w:ind w:left="567" w:hanging="567"/>
      </w:pPr>
      <w:r w:rsidRPr="00E51DFE">
        <w:t>–</w:t>
      </w:r>
      <w:r w:rsidRPr="00E51DFE">
        <w:tab/>
        <w:t>s ohledem na článek 102 a přílohu V jednacího řádu,</w:t>
      </w:r>
    </w:p>
    <w:p w14:paraId="358756D4"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41AD344"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4279FC9" w14:textId="77777777" w:rsidR="00872DB8" w:rsidRPr="00E51DFE" w:rsidRDefault="00872DB8" w:rsidP="00872DB8">
      <w:pPr>
        <w:spacing w:after="240"/>
        <w:ind w:left="567" w:hanging="567"/>
      </w:pPr>
      <w:r w:rsidRPr="00E51DFE">
        <w:t>1.</w:t>
      </w:r>
      <w:r w:rsidRPr="00E51DFE">
        <w:tab/>
        <w:t>uděluje absolutorium ředitelce Překladatelského střediska pro instituce Evropské unie za plnění rozpočtu střediska na rozpočtový rok 2023;</w:t>
      </w:r>
    </w:p>
    <w:p w14:paraId="6F29B1D1" w14:textId="77777777" w:rsidR="00872DB8" w:rsidRPr="00E51DFE" w:rsidRDefault="00872DB8" w:rsidP="00872DB8">
      <w:pPr>
        <w:spacing w:after="240"/>
        <w:ind w:left="567" w:hanging="567"/>
      </w:pPr>
      <w:r w:rsidRPr="00E51DFE">
        <w:t>2.</w:t>
      </w:r>
      <w:r w:rsidRPr="00E51DFE">
        <w:tab/>
        <w:t>předkládá své připomínky v níže uvedeném usnesení;</w:t>
      </w:r>
    </w:p>
    <w:p w14:paraId="2D9789ED"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Překladatelského střediska pro instituce Evropské unie, Radě, Komisi a Účetnímu dvoru a aby zajistila jejich zveřejnění v </w:t>
      </w:r>
      <w:r w:rsidRPr="00E51DFE">
        <w:rPr>
          <w:i/>
        </w:rPr>
        <w:t>Úředním věstníku Evropské unie</w:t>
      </w:r>
      <w:r w:rsidRPr="00E51DFE">
        <w:t xml:space="preserve"> (řada L).</w:t>
      </w:r>
    </w:p>
    <w:p w14:paraId="29930B4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923CBBB" w14:textId="4FAC93DA" w:rsidR="00872DB8" w:rsidRPr="00E51DFE" w:rsidRDefault="00872DB8" w:rsidP="00872DB8">
      <w:pPr>
        <w:pStyle w:val="ATHeading3"/>
      </w:pPr>
      <w:r w:rsidRPr="00E51DFE">
        <w:t>6. Rozhodnutí Evropského parlamentu ze dne 7. května 2025 o uzavření účtů Překladatelského střediska pro instituce Evropské unie za rozpočtový rok 2023 (2024/2030(DEC))</w:t>
      </w:r>
    </w:p>
    <w:p w14:paraId="3D4B75DD" w14:textId="77777777" w:rsidR="00872DB8" w:rsidRPr="00E51DFE" w:rsidRDefault="00872DB8" w:rsidP="00872DB8">
      <w:pPr>
        <w:spacing w:before="480" w:after="240"/>
      </w:pPr>
      <w:r w:rsidRPr="00E51DFE">
        <w:rPr>
          <w:i/>
        </w:rPr>
        <w:t>Evropský parlament</w:t>
      </w:r>
      <w:r w:rsidRPr="00E51DFE">
        <w:t>,</w:t>
      </w:r>
    </w:p>
    <w:p w14:paraId="12F56A37" w14:textId="77777777" w:rsidR="00872DB8" w:rsidRPr="00E51DFE" w:rsidRDefault="00872DB8" w:rsidP="00872DB8">
      <w:pPr>
        <w:spacing w:after="240"/>
        <w:ind w:left="567" w:hanging="567"/>
      </w:pPr>
      <w:r w:rsidRPr="00E51DFE">
        <w:t>–</w:t>
      </w:r>
      <w:r w:rsidRPr="00E51DFE">
        <w:tab/>
        <w:t>s ohledem na konečnou roční účetní závěrku Překladatelského střediska pro instituce Evropské unie za rozpočtový rok 2023,</w:t>
      </w:r>
    </w:p>
    <w:p w14:paraId="6BF88C08"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1"/>
      </w:r>
      <w:r w:rsidRPr="00E51DFE">
        <w:t>,</w:t>
      </w:r>
    </w:p>
    <w:p w14:paraId="3920F6C2"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2"/>
      </w:r>
      <w:r w:rsidRPr="00E51DFE">
        <w:t xml:space="preserve"> účetnictví a o legalitě a správnosti uskutečněných operací, které předložil Účetní dvůr za rozpočtový rok 2023 podle článku 287 Smlouvy o fungování Evropské unie,</w:t>
      </w:r>
    </w:p>
    <w:p w14:paraId="40A74106"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w:t>
      </w:r>
      <w:r w:rsidRPr="00E51DFE">
        <w:noBreakHyphen/>
        <w:t>0024/2025),</w:t>
      </w:r>
    </w:p>
    <w:p w14:paraId="6B766722"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85F690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3"/>
      </w:r>
      <w:r w:rsidRPr="00E51DFE">
        <w:t>, a zejména na článek 70 tohoto nařízení,</w:t>
      </w:r>
    </w:p>
    <w:p w14:paraId="3F4D1E1D"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4"/>
      </w:r>
      <w:r w:rsidRPr="00E51DFE">
        <w:t>, a zejména na článek 70 tohoto nařízení,</w:t>
      </w:r>
    </w:p>
    <w:p w14:paraId="0C891FF2" w14:textId="77777777" w:rsidR="00872DB8" w:rsidRPr="00E51DFE" w:rsidRDefault="00872DB8" w:rsidP="00872DB8">
      <w:pPr>
        <w:spacing w:after="240"/>
        <w:ind w:left="567" w:hanging="567"/>
      </w:pPr>
      <w:r w:rsidRPr="00E51DFE">
        <w:t>–</w:t>
      </w:r>
      <w:r w:rsidRPr="00E51DFE">
        <w:tab/>
        <w:t>s ohledem na nařízení Rady (ES) č. 2965/94 ze dne 28. listopadu 1994 o zřízení Překladatelského střediska pro instituce Evropské unie</w:t>
      </w:r>
      <w:r w:rsidRPr="00E51DFE">
        <w:rPr>
          <w:vertAlign w:val="superscript"/>
        </w:rPr>
        <w:footnoteReference w:id="35"/>
      </w:r>
      <w:r w:rsidRPr="00E51DFE">
        <w:t>, a zejména na článek 14 tohoto nařízení,</w:t>
      </w:r>
    </w:p>
    <w:p w14:paraId="039B3F7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6"/>
      </w:r>
      <w:r w:rsidRPr="00E51DFE">
        <w:t>, a zejména na článek 105 tohoto nařízení,</w:t>
      </w:r>
    </w:p>
    <w:p w14:paraId="75DF5734" w14:textId="77777777" w:rsidR="00872DB8" w:rsidRPr="00E51DFE" w:rsidRDefault="00872DB8" w:rsidP="00872DB8">
      <w:pPr>
        <w:spacing w:after="240"/>
        <w:ind w:left="567" w:hanging="567"/>
      </w:pPr>
      <w:r w:rsidRPr="00E51DFE">
        <w:t>–</w:t>
      </w:r>
      <w:r w:rsidRPr="00E51DFE">
        <w:tab/>
        <w:t>s ohledem na článek 102 a přílohu V jednacího řádu,</w:t>
      </w:r>
    </w:p>
    <w:p w14:paraId="142159F5"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5E84CD6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7C94B4D" w14:textId="77777777" w:rsidR="00872DB8" w:rsidRPr="00E51DFE" w:rsidRDefault="00872DB8" w:rsidP="00872DB8">
      <w:pPr>
        <w:spacing w:after="240"/>
        <w:ind w:left="567" w:hanging="567"/>
      </w:pPr>
      <w:r w:rsidRPr="00E51DFE">
        <w:t>1.</w:t>
      </w:r>
      <w:r w:rsidRPr="00E51DFE">
        <w:tab/>
        <w:t>schvaluje uzavření účtů Překladatelského střediska pro instituce Evropské unie za rozpočtový rok 2023;</w:t>
      </w:r>
    </w:p>
    <w:p w14:paraId="705AA31C" w14:textId="77777777" w:rsidR="00872DB8" w:rsidRPr="00E51DFE" w:rsidRDefault="00872DB8" w:rsidP="00872DB8">
      <w:pPr>
        <w:spacing w:after="240"/>
        <w:ind w:left="567" w:hanging="567"/>
      </w:pPr>
      <w:r w:rsidRPr="00E51DFE">
        <w:t>2.</w:t>
      </w:r>
      <w:r w:rsidRPr="00E51DFE">
        <w:tab/>
        <w:t>pověřuje svou předsedkyni, aby předala toto rozhodnutí ředitelce Překladatelského střediska pro instituce Evropské unie, Radě, Komisi a Účetnímu dvoru a aby zajistila jeho zveřejnění v </w:t>
      </w:r>
      <w:r w:rsidRPr="00E51DFE">
        <w:rPr>
          <w:i/>
        </w:rPr>
        <w:t>Úředním věstníku Evropské unie</w:t>
      </w:r>
      <w:r w:rsidRPr="00E51DFE">
        <w:t xml:space="preserve"> (řada L).</w:t>
      </w:r>
    </w:p>
    <w:p w14:paraId="603056B7"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97B99E6" w14:textId="19B2B7FC" w:rsidR="00872DB8" w:rsidRPr="00E51DFE" w:rsidRDefault="00872DB8" w:rsidP="00872DB8">
      <w:pPr>
        <w:pStyle w:val="ATHeading3"/>
      </w:pPr>
      <w:r w:rsidRPr="00E51DFE">
        <w:t>7. Rozhodnutí Evropského parlamentu ze dne 7. května 2025 o udělení absolutoria za plnění rozpočtu Evropského střediska pro rozvoj odborného vzdělávání na rozpočtový rok 2023 (2024/2030(DEC))</w:t>
      </w:r>
    </w:p>
    <w:p w14:paraId="55CBEA37" w14:textId="77777777" w:rsidR="00872DB8" w:rsidRPr="00E51DFE" w:rsidRDefault="00872DB8" w:rsidP="00872DB8">
      <w:pPr>
        <w:spacing w:before="480" w:after="240"/>
      </w:pPr>
      <w:r w:rsidRPr="00E51DFE">
        <w:rPr>
          <w:i/>
        </w:rPr>
        <w:t>Evropský parlament</w:t>
      </w:r>
      <w:r w:rsidRPr="00E51DFE">
        <w:t>,</w:t>
      </w:r>
    </w:p>
    <w:p w14:paraId="0AE51BC5" w14:textId="77777777" w:rsidR="00872DB8" w:rsidRPr="00E51DFE" w:rsidRDefault="00872DB8" w:rsidP="00872DB8">
      <w:pPr>
        <w:spacing w:after="240"/>
        <w:ind w:left="567" w:hanging="567"/>
      </w:pPr>
      <w:r w:rsidRPr="00E51DFE">
        <w:t>–</w:t>
      </w:r>
      <w:r w:rsidRPr="00E51DFE">
        <w:tab/>
        <w:t>s ohledem na konečnou roční účetní závěrku Evropského střediska pro rozvoj odborného vzdělávání za rozpočtový rok 2023,</w:t>
      </w:r>
    </w:p>
    <w:p w14:paraId="12671B9A"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7"/>
      </w:r>
      <w:r w:rsidRPr="00E51DFE">
        <w:t>,</w:t>
      </w:r>
    </w:p>
    <w:p w14:paraId="189A9DEB"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8"/>
      </w:r>
      <w:r w:rsidRPr="00E51DFE">
        <w:t xml:space="preserve"> účetnictví a o legalitě a správnosti uskutečněných operací, které předložil Účetní dvůr za rozpočtový rok 2023 podle článku 287 Smlouvy o fungování Evropské unie,</w:t>
      </w:r>
    </w:p>
    <w:p w14:paraId="7EA8F1F8"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w:t>
      </w:r>
      <w:r w:rsidRPr="00E51DFE">
        <w:noBreakHyphen/>
        <w:t>0024/2025),</w:t>
      </w:r>
    </w:p>
    <w:p w14:paraId="3257C0BD"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B89E00F"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9"/>
      </w:r>
      <w:r w:rsidRPr="00E51DFE">
        <w:t>, a zejména na článek 70 tohoto nařízení,</w:t>
      </w:r>
    </w:p>
    <w:p w14:paraId="236591A4"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40"/>
      </w:r>
      <w:r w:rsidRPr="00E51DFE">
        <w:t>, a zejména na článek 70 tohoto nařízení,</w:t>
      </w:r>
    </w:p>
    <w:p w14:paraId="0A911387" w14:textId="77777777" w:rsidR="00872DB8" w:rsidRPr="00E51DFE" w:rsidRDefault="00872DB8" w:rsidP="00872DB8">
      <w:pPr>
        <w:spacing w:after="240"/>
        <w:ind w:left="567" w:hanging="567"/>
      </w:pPr>
      <w:r w:rsidRPr="00E51DFE">
        <w:t>–</w:t>
      </w:r>
      <w:r w:rsidRPr="00E51DFE">
        <w:tab/>
        <w:t>s ohledem na nařízení Evropského parlamentu a Rady (EU) 2019/128 ze dne 16. ledna 2019 o zřízení Evropského střediska pro rozvoj odborného vzdělávání (</w:t>
      </w:r>
      <w:proofErr w:type="spellStart"/>
      <w:r w:rsidRPr="00E51DFE">
        <w:t>Cedefop</w:t>
      </w:r>
      <w:proofErr w:type="spellEnd"/>
      <w:r w:rsidRPr="00E51DFE">
        <w:t>) a o zrušení nařízení Rady (EHS) č. 337/75</w:t>
      </w:r>
      <w:r w:rsidRPr="00E51DFE">
        <w:rPr>
          <w:vertAlign w:val="superscript"/>
        </w:rPr>
        <w:footnoteReference w:id="41"/>
      </w:r>
      <w:r w:rsidRPr="00E51DFE">
        <w:t>, a zejména na článek 15 tohoto nařízení,</w:t>
      </w:r>
    </w:p>
    <w:p w14:paraId="7AA6D870"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42"/>
      </w:r>
      <w:r w:rsidRPr="00E51DFE">
        <w:t>, a zejména na článek 105 tohoto nařízení,</w:t>
      </w:r>
    </w:p>
    <w:p w14:paraId="6DCA3BF1" w14:textId="77777777" w:rsidR="00872DB8" w:rsidRPr="00E51DFE" w:rsidRDefault="00872DB8" w:rsidP="00872DB8">
      <w:pPr>
        <w:spacing w:after="240"/>
        <w:ind w:left="567" w:hanging="567"/>
      </w:pPr>
      <w:r w:rsidRPr="00E51DFE">
        <w:t>–</w:t>
      </w:r>
      <w:r w:rsidRPr="00E51DFE">
        <w:tab/>
        <w:t>s ohledem na článek 102 a přílohu V jednacího řádu,</w:t>
      </w:r>
    </w:p>
    <w:p w14:paraId="026A851D"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B81670D"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E5B3C6F" w14:textId="77777777" w:rsidR="00872DB8" w:rsidRPr="00E51DFE" w:rsidRDefault="00872DB8" w:rsidP="00872DB8">
      <w:pPr>
        <w:spacing w:after="240"/>
        <w:ind w:left="567" w:hanging="567"/>
      </w:pPr>
      <w:r w:rsidRPr="00E51DFE">
        <w:t>1.</w:t>
      </w:r>
      <w:r w:rsidRPr="00E51DFE">
        <w:tab/>
        <w:t>uděluje absolutorium výkonnému řediteli Evropského střediska pro rozvoj odborného vzdělávání za plnění rozpočtu střediska na rozpočtový rok 2023;</w:t>
      </w:r>
    </w:p>
    <w:p w14:paraId="4D2A4F95" w14:textId="77777777" w:rsidR="00872DB8" w:rsidRPr="00E51DFE" w:rsidRDefault="00872DB8" w:rsidP="00872DB8">
      <w:pPr>
        <w:spacing w:after="240"/>
        <w:ind w:left="567" w:hanging="567"/>
      </w:pPr>
      <w:r w:rsidRPr="00E51DFE">
        <w:t>2.</w:t>
      </w:r>
      <w:r w:rsidRPr="00E51DFE">
        <w:tab/>
        <w:t>předkládá své připomínky v níže uvedeném usnesení;</w:t>
      </w:r>
    </w:p>
    <w:p w14:paraId="6B3BD820"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Evropského střediska pro rozvoj odborného vzdělávání, Radě, Komisi a Účetnímu dvoru a aby zajistila jejich zveřejnění v </w:t>
      </w:r>
      <w:r w:rsidRPr="00E51DFE">
        <w:rPr>
          <w:i/>
        </w:rPr>
        <w:t>Úředním věstníku Evropské unie</w:t>
      </w:r>
      <w:r w:rsidRPr="00E51DFE">
        <w:t xml:space="preserve"> (řada L).</w:t>
      </w:r>
    </w:p>
    <w:p w14:paraId="71DF2B06"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982787F" w14:textId="6F9520C9" w:rsidR="00872DB8" w:rsidRPr="00E51DFE" w:rsidRDefault="00872DB8" w:rsidP="00872DB8">
      <w:pPr>
        <w:pStyle w:val="ATHeading3"/>
      </w:pPr>
      <w:r w:rsidRPr="00E51DFE">
        <w:t>8. Rozhodnutí Evropského parlamentu ze dne 7. května 2025 o uzavření účtů Evropského střediska pro rozvoj odborného vzdělávání za rozpočtový rok 2023</w:t>
      </w:r>
      <w:r w:rsidR="00F64AFA">
        <w:t xml:space="preserve"> </w:t>
      </w:r>
      <w:r w:rsidRPr="00E51DFE">
        <w:t>(2024/2030(DEC))</w:t>
      </w:r>
    </w:p>
    <w:p w14:paraId="3D556898" w14:textId="77777777" w:rsidR="00872DB8" w:rsidRPr="00E51DFE" w:rsidRDefault="00872DB8" w:rsidP="00872DB8">
      <w:pPr>
        <w:spacing w:before="480" w:after="240"/>
      </w:pPr>
      <w:r w:rsidRPr="00E51DFE">
        <w:rPr>
          <w:i/>
        </w:rPr>
        <w:t>Evropský parlament</w:t>
      </w:r>
      <w:r w:rsidRPr="00E51DFE">
        <w:t>,</w:t>
      </w:r>
    </w:p>
    <w:p w14:paraId="109A5B80" w14:textId="77777777" w:rsidR="00872DB8" w:rsidRPr="00E51DFE" w:rsidRDefault="00872DB8" w:rsidP="00872DB8">
      <w:pPr>
        <w:spacing w:after="240"/>
        <w:ind w:left="567" w:hanging="567"/>
      </w:pPr>
      <w:r w:rsidRPr="00E51DFE">
        <w:t>–</w:t>
      </w:r>
      <w:r w:rsidRPr="00E51DFE">
        <w:tab/>
        <w:t>s ohledem na konečnou roční účetní závěrku Evropského střediska pro rozvoj odborného vzdělávání za rozpočtový rok 2023,</w:t>
      </w:r>
    </w:p>
    <w:p w14:paraId="0CB4ED88"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43"/>
      </w:r>
      <w:r w:rsidRPr="00E51DFE">
        <w:t>,</w:t>
      </w:r>
    </w:p>
    <w:p w14:paraId="14093E72"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44"/>
      </w:r>
      <w:r w:rsidRPr="00E51DFE">
        <w:t xml:space="preserve"> účetnictví a o legalitě a správnosti uskutečněných operací, které předložil Účetní dvůr za rozpočtový rok 2023 podle článku 287 Smlouvy o fungování Evropské unie,</w:t>
      </w:r>
    </w:p>
    <w:p w14:paraId="41AD4C31"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w:t>
      </w:r>
      <w:r w:rsidRPr="00E51DFE">
        <w:noBreakHyphen/>
        <w:t>0024/2025),</w:t>
      </w:r>
    </w:p>
    <w:p w14:paraId="3050D72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285AEDD4"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45"/>
      </w:r>
      <w:r w:rsidRPr="00E51DFE">
        <w:t>, a zejména na článek 70 tohoto nařízení,</w:t>
      </w:r>
    </w:p>
    <w:p w14:paraId="43629EC1"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46"/>
      </w:r>
      <w:r w:rsidRPr="00E51DFE">
        <w:t>, a zejména na článek 70 tohoto nařízení,</w:t>
      </w:r>
    </w:p>
    <w:p w14:paraId="3971298E" w14:textId="77777777" w:rsidR="00872DB8" w:rsidRPr="00E51DFE" w:rsidRDefault="00872DB8" w:rsidP="00872DB8">
      <w:pPr>
        <w:spacing w:after="240"/>
        <w:ind w:left="567" w:hanging="567"/>
      </w:pPr>
      <w:r w:rsidRPr="00E51DFE">
        <w:t>–</w:t>
      </w:r>
      <w:r w:rsidRPr="00E51DFE">
        <w:tab/>
        <w:t>s ohledem na nařízení Evropského parlamentu a Rady (EU) 2019/128 ze dne 16. ledna 2019 o zřízení Evropského střediska pro rozvoj odborného vzdělávání (</w:t>
      </w:r>
      <w:proofErr w:type="spellStart"/>
      <w:r w:rsidRPr="00E51DFE">
        <w:t>Cedefop</w:t>
      </w:r>
      <w:proofErr w:type="spellEnd"/>
      <w:r w:rsidRPr="00E51DFE">
        <w:t>) a o zrušení nařízení Rady (EHS) č. 337/75</w:t>
      </w:r>
      <w:r w:rsidRPr="00E51DFE">
        <w:rPr>
          <w:vertAlign w:val="superscript"/>
        </w:rPr>
        <w:footnoteReference w:id="47"/>
      </w:r>
      <w:r w:rsidRPr="00E51DFE">
        <w:t>, a zejména na článek 15 tohoto nařízení,</w:t>
      </w:r>
    </w:p>
    <w:p w14:paraId="45540573"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48"/>
      </w:r>
      <w:r w:rsidRPr="00E51DFE">
        <w:t>, a zejména na článek 105 tohoto nařízení,</w:t>
      </w:r>
    </w:p>
    <w:p w14:paraId="4361F6F3" w14:textId="77777777" w:rsidR="00872DB8" w:rsidRPr="00E51DFE" w:rsidRDefault="00872DB8" w:rsidP="00872DB8">
      <w:pPr>
        <w:spacing w:after="240"/>
        <w:ind w:left="567" w:hanging="567"/>
      </w:pPr>
      <w:r w:rsidRPr="00E51DFE">
        <w:t>–</w:t>
      </w:r>
      <w:r w:rsidRPr="00E51DFE">
        <w:tab/>
        <w:t>s ohledem na článek 102 a přílohu V jednacího řádu,</w:t>
      </w:r>
    </w:p>
    <w:p w14:paraId="204BB0E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2CD7119"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6E7878E3" w14:textId="77777777" w:rsidR="00872DB8" w:rsidRPr="00E51DFE" w:rsidRDefault="00872DB8" w:rsidP="00872DB8">
      <w:pPr>
        <w:spacing w:after="240"/>
        <w:ind w:left="567" w:hanging="567"/>
      </w:pPr>
      <w:r w:rsidRPr="00E51DFE">
        <w:t>1.</w:t>
      </w:r>
      <w:r w:rsidRPr="00E51DFE">
        <w:tab/>
        <w:t>schvaluje uzavření účtů Evropského střediska pro rozvoj odborného vzdělávání za rozpočtový rok 2023;</w:t>
      </w:r>
    </w:p>
    <w:p w14:paraId="1EC28E22"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Evropského střediska pro rozvoj odborného vzdělávání, Radě, Komisi a Účetnímu dvoru a aby zajistila jeho zveřejnění v </w:t>
      </w:r>
      <w:r w:rsidRPr="00E51DFE">
        <w:rPr>
          <w:i/>
        </w:rPr>
        <w:t>Úředním věstníku Evropské unie</w:t>
      </w:r>
      <w:r w:rsidRPr="00E51DFE">
        <w:t xml:space="preserve"> (řada L).</w:t>
      </w:r>
    </w:p>
    <w:p w14:paraId="28D376F5"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3876F37" w14:textId="71134D49" w:rsidR="00872DB8" w:rsidRPr="00E51DFE" w:rsidRDefault="00872DB8" w:rsidP="00872DB8">
      <w:pPr>
        <w:pStyle w:val="ATHeading3"/>
      </w:pPr>
      <w:r w:rsidRPr="00E51DFE">
        <w:t>9. Rozhodnutí Evropského parlamentu ze dne 7. května 2025 o udělení absolutoria za plnění rozpočtu Agentury Evropské unie pro vzdělávání a výcvik v oblasti prosazování práva na rozpočtový rok 2023</w:t>
      </w:r>
      <w:r w:rsidR="00F64AFA">
        <w:t xml:space="preserve"> </w:t>
      </w:r>
      <w:r w:rsidRPr="00E51DFE">
        <w:t>(2024/2030(DEC))</w:t>
      </w:r>
    </w:p>
    <w:p w14:paraId="0DC2857F" w14:textId="77777777" w:rsidR="00872DB8" w:rsidRPr="00E51DFE" w:rsidRDefault="00872DB8" w:rsidP="00872DB8">
      <w:pPr>
        <w:spacing w:before="480" w:after="240"/>
      </w:pPr>
      <w:r w:rsidRPr="00E51DFE">
        <w:rPr>
          <w:i/>
        </w:rPr>
        <w:t>Evropský parlament</w:t>
      </w:r>
      <w:r w:rsidRPr="00E51DFE">
        <w:t>,</w:t>
      </w:r>
    </w:p>
    <w:p w14:paraId="7A881DEB" w14:textId="77777777" w:rsidR="00872DB8" w:rsidRPr="00E51DFE" w:rsidRDefault="00872DB8" w:rsidP="00872DB8">
      <w:pPr>
        <w:spacing w:after="240"/>
        <w:ind w:left="567" w:hanging="567"/>
      </w:pPr>
      <w:r w:rsidRPr="00E51DFE">
        <w:t>–</w:t>
      </w:r>
      <w:r w:rsidRPr="00E51DFE">
        <w:tab/>
        <w:t>s ohledem na konečnou roční účetní závěrku Agentury Evropské unie pro vzdělávání a výcvik v oblasti prosazování práva za rozpočtový rok 2023,</w:t>
      </w:r>
    </w:p>
    <w:p w14:paraId="52F0B6D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49"/>
      </w:r>
      <w:r w:rsidRPr="00E51DFE">
        <w:t>,</w:t>
      </w:r>
    </w:p>
    <w:p w14:paraId="77A2E9F5"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50"/>
      </w:r>
      <w:r w:rsidRPr="00E51DFE">
        <w:t xml:space="preserve"> účetnictví a o legalitě a správnosti uskutečněných operací, které předložil Účetní dvůr za rozpočtový rok 2023 podle článku 287 Smlouvy o fungování Evropské unie,</w:t>
      </w:r>
    </w:p>
    <w:p w14:paraId="3FF66160"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6A028600"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DDB9DF0"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51"/>
      </w:r>
      <w:r w:rsidRPr="00E51DFE">
        <w:t>, a zejména na článek 70 tohoto nařízení,</w:t>
      </w:r>
    </w:p>
    <w:p w14:paraId="6D470EA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52"/>
      </w:r>
      <w:r w:rsidRPr="00E51DFE">
        <w:t>, a zejména na článek 70 tohoto nařízení,</w:t>
      </w:r>
    </w:p>
    <w:p w14:paraId="5A08F580" w14:textId="77777777" w:rsidR="00872DB8" w:rsidRPr="00E51DFE" w:rsidRDefault="00872DB8" w:rsidP="00872DB8">
      <w:pPr>
        <w:spacing w:after="240"/>
        <w:ind w:left="567" w:hanging="567"/>
      </w:pPr>
      <w:r w:rsidRPr="00E51DFE">
        <w:t>–</w:t>
      </w:r>
      <w:r w:rsidRPr="00E51DFE">
        <w:tab/>
        <w:t>s ohledem na nařízení Evropského parlamentu a Rady (EU) 2015/2219 ze dne 25. listopadu 2015 o Agentuře Evropské unie pro vzdělávání a výcvik v oblasti prosazování práva (CEPOL) a o nahrazení a zrušení rozhodnutí Rady 2005/681/SVV</w:t>
      </w:r>
      <w:r w:rsidRPr="00E51DFE">
        <w:rPr>
          <w:vertAlign w:val="superscript"/>
        </w:rPr>
        <w:footnoteReference w:id="53"/>
      </w:r>
      <w:r w:rsidRPr="00E51DFE">
        <w:t>, a zejména na článek 20 tohoto nařízení,</w:t>
      </w:r>
    </w:p>
    <w:p w14:paraId="24BF2690"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54"/>
      </w:r>
      <w:r w:rsidRPr="00E51DFE">
        <w:t>, a zejména na článek 105 tohoto nařízení,</w:t>
      </w:r>
    </w:p>
    <w:p w14:paraId="54372DD7" w14:textId="77777777" w:rsidR="00872DB8" w:rsidRPr="00E51DFE" w:rsidRDefault="00872DB8" w:rsidP="00872DB8">
      <w:pPr>
        <w:spacing w:after="240"/>
        <w:ind w:left="567" w:hanging="567"/>
      </w:pPr>
      <w:r w:rsidRPr="00E51DFE">
        <w:t>–</w:t>
      </w:r>
      <w:r w:rsidRPr="00E51DFE">
        <w:tab/>
        <w:t>s ohledem na článek 102 a přílohu V jednacího řádu,</w:t>
      </w:r>
    </w:p>
    <w:p w14:paraId="63E66E8A"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A2B9162"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47509A3" w14:textId="77777777" w:rsidR="00872DB8" w:rsidRPr="00E51DFE" w:rsidRDefault="00872DB8" w:rsidP="00872DB8">
      <w:pPr>
        <w:spacing w:after="240"/>
        <w:ind w:left="567" w:hanging="567"/>
      </w:pPr>
      <w:r w:rsidRPr="00E51DFE">
        <w:t>1.</w:t>
      </w:r>
      <w:r w:rsidRPr="00E51DFE">
        <w:tab/>
        <w:t>uděluje absolutorium výkonné ředitelce Agentury Evropské unie pro vzdělávání a výcvik v oblasti prosazování práva za plnění rozpočtu agentury na rozpočtový rok 2023;</w:t>
      </w:r>
    </w:p>
    <w:p w14:paraId="68FF6C0F" w14:textId="77777777" w:rsidR="00872DB8" w:rsidRPr="00E51DFE" w:rsidRDefault="00872DB8" w:rsidP="00872DB8">
      <w:pPr>
        <w:spacing w:after="240"/>
        <w:ind w:left="567" w:hanging="567"/>
      </w:pPr>
      <w:r w:rsidRPr="00E51DFE">
        <w:t>2.</w:t>
      </w:r>
      <w:r w:rsidRPr="00E51DFE">
        <w:tab/>
        <w:t>předkládá své připomínky v níže uvedeném usnesení;</w:t>
      </w:r>
    </w:p>
    <w:p w14:paraId="29E15DFB"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Agentury Evropské unie pro vzdělávání a výcvik v oblasti prosazování práva, Radě, Komisi a Účetnímu dvoru a aby zajistila jejich zveřejnění v </w:t>
      </w:r>
      <w:r w:rsidRPr="00E51DFE">
        <w:rPr>
          <w:i/>
        </w:rPr>
        <w:t>Úředním věstníku Evropské unie</w:t>
      </w:r>
      <w:r w:rsidRPr="00E51DFE">
        <w:t xml:space="preserve"> (řada L).</w:t>
      </w:r>
    </w:p>
    <w:p w14:paraId="45DF3A8E"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FD6214B" w14:textId="0C03882D" w:rsidR="00872DB8" w:rsidRPr="00E51DFE" w:rsidRDefault="00872DB8" w:rsidP="00872DB8">
      <w:pPr>
        <w:pStyle w:val="ATHeading3"/>
      </w:pPr>
      <w:r w:rsidRPr="00E51DFE">
        <w:t>10. Rozhodnutí Evropského parlamentu ze dne 7. května 2025 o uzavření účtů Agentury Evropské unie pro vzdělávání a výcvik v oblasti prosazování práva za rozpočtový rok 2023 (2024/2030(DEC))</w:t>
      </w:r>
    </w:p>
    <w:p w14:paraId="74C80D90" w14:textId="77777777" w:rsidR="00872DB8" w:rsidRPr="00E51DFE" w:rsidRDefault="00872DB8" w:rsidP="00872DB8">
      <w:pPr>
        <w:spacing w:before="480" w:after="240"/>
      </w:pPr>
      <w:r w:rsidRPr="00E51DFE">
        <w:rPr>
          <w:i/>
        </w:rPr>
        <w:t>Evropský parlament</w:t>
      </w:r>
      <w:r w:rsidRPr="00E51DFE">
        <w:t>,</w:t>
      </w:r>
    </w:p>
    <w:p w14:paraId="39BD4CEB" w14:textId="77777777" w:rsidR="00872DB8" w:rsidRPr="00E51DFE" w:rsidRDefault="00872DB8" w:rsidP="00872DB8">
      <w:pPr>
        <w:spacing w:after="240"/>
        <w:ind w:left="567" w:hanging="567"/>
      </w:pPr>
      <w:r w:rsidRPr="00E51DFE">
        <w:t>–</w:t>
      </w:r>
      <w:r w:rsidRPr="00E51DFE">
        <w:tab/>
        <w:t>s ohledem na konečnou roční účetní závěrku Agentury Evropské unie pro vzdělávání a výcvik v oblasti prosazování práva za rozpočtový rok 2023,</w:t>
      </w:r>
    </w:p>
    <w:p w14:paraId="2E3C93BC"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55"/>
      </w:r>
      <w:r w:rsidRPr="00E51DFE">
        <w:t>,</w:t>
      </w:r>
    </w:p>
    <w:p w14:paraId="64FC6E42"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56"/>
      </w:r>
      <w:r w:rsidRPr="00E51DFE">
        <w:t xml:space="preserve"> účetnictví a o legalitě a správnosti uskutečněných operací, které předložil Účetní dvůr za rozpočtový rok 2023 podle článku 287 Smlouvy o fungování Evropské unie,</w:t>
      </w:r>
    </w:p>
    <w:p w14:paraId="431EC772"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0ED648B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DB0685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57"/>
      </w:r>
      <w:r w:rsidRPr="00E51DFE">
        <w:t>, a zejména na článek 70 tohoto nařízení,</w:t>
      </w:r>
    </w:p>
    <w:p w14:paraId="039F1BD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58"/>
      </w:r>
      <w:r w:rsidRPr="00E51DFE">
        <w:t>, a zejména na článek 70 tohoto nařízení,</w:t>
      </w:r>
    </w:p>
    <w:p w14:paraId="09FA9E02" w14:textId="77777777" w:rsidR="00872DB8" w:rsidRPr="00E51DFE" w:rsidRDefault="00872DB8" w:rsidP="00872DB8">
      <w:pPr>
        <w:spacing w:after="240"/>
        <w:ind w:left="567" w:hanging="567"/>
      </w:pPr>
      <w:r w:rsidRPr="00E51DFE">
        <w:t>–</w:t>
      </w:r>
      <w:r w:rsidRPr="00E51DFE">
        <w:tab/>
        <w:t>s ohledem na nařízení Evropského parlamentu a Rady (EU) 2015/2219 ze dne 25. listopadu 2015 o Agentuře Evropské unie pro vzdělávání a výcvik v oblasti prosazování práva (CEPOL) a o nahrazení a zrušení rozhodnutí Rady 2005/681/SVV</w:t>
      </w:r>
      <w:r w:rsidRPr="00E51DFE">
        <w:rPr>
          <w:vertAlign w:val="superscript"/>
        </w:rPr>
        <w:footnoteReference w:id="59"/>
      </w:r>
      <w:r w:rsidRPr="00E51DFE">
        <w:t>, a zejména na článek 20 tohoto nařízení,</w:t>
      </w:r>
    </w:p>
    <w:p w14:paraId="6E8C62F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60"/>
      </w:r>
      <w:r w:rsidRPr="00E51DFE">
        <w:t>, a zejména na článek 105 tohoto nařízení,</w:t>
      </w:r>
    </w:p>
    <w:p w14:paraId="1ABE1020" w14:textId="77777777" w:rsidR="00872DB8" w:rsidRPr="00E51DFE" w:rsidRDefault="00872DB8" w:rsidP="00872DB8">
      <w:pPr>
        <w:spacing w:after="240"/>
        <w:ind w:left="567" w:hanging="567"/>
      </w:pPr>
      <w:r w:rsidRPr="00E51DFE">
        <w:t>–</w:t>
      </w:r>
      <w:r w:rsidRPr="00E51DFE">
        <w:tab/>
        <w:t>s ohledem na článek 102 a přílohu V jednacího řádu,</w:t>
      </w:r>
    </w:p>
    <w:p w14:paraId="087D667B"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DD141C4"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6FD4E82C" w14:textId="77777777" w:rsidR="00872DB8" w:rsidRPr="00E51DFE" w:rsidRDefault="00872DB8" w:rsidP="00872DB8">
      <w:pPr>
        <w:spacing w:after="240"/>
        <w:ind w:left="567" w:hanging="567"/>
      </w:pPr>
      <w:r w:rsidRPr="00E51DFE">
        <w:t>1.</w:t>
      </w:r>
      <w:r w:rsidRPr="00E51DFE">
        <w:tab/>
        <w:t>schvaluje uzavření účtů Agentury Evropské unie pro vzdělávání a výcvik v oblasti prosazování práva za rozpočtový rok 2023;</w:t>
      </w:r>
    </w:p>
    <w:p w14:paraId="55DBD65F" w14:textId="77777777" w:rsidR="00872DB8" w:rsidRPr="00E51DFE" w:rsidRDefault="00872DB8" w:rsidP="00872DB8">
      <w:pPr>
        <w:spacing w:after="240"/>
        <w:ind w:left="567" w:hanging="567"/>
      </w:pPr>
      <w:r w:rsidRPr="00E51DFE">
        <w:t>2.</w:t>
      </w:r>
      <w:r w:rsidRPr="00E51DFE">
        <w:tab/>
        <w:t>pověřuje svou předsedkyni, aby předala toto rozhodnutí výkonné ředitelce Agentury Evropské unie pro vzdělávání a výcvik v oblasti prosazování práva, Radě, Komisi a Účetnímu dvoru a aby zajistila jeho zveřejnění v </w:t>
      </w:r>
      <w:r w:rsidRPr="00E51DFE">
        <w:rPr>
          <w:i/>
        </w:rPr>
        <w:t>Úředním věstníku Evropské unie</w:t>
      </w:r>
      <w:r w:rsidRPr="00E51DFE">
        <w:t xml:space="preserve"> (řada L).</w:t>
      </w:r>
    </w:p>
    <w:p w14:paraId="6DBBD40C"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9C2D2E2" w14:textId="4E6ECEE2" w:rsidR="00872DB8" w:rsidRPr="00E51DFE" w:rsidRDefault="00872DB8" w:rsidP="00872DB8">
      <w:pPr>
        <w:pStyle w:val="ATHeading3"/>
      </w:pPr>
      <w:r w:rsidRPr="00E51DFE">
        <w:t>11. Rozhodnutí Evropského parlamentu ze dne 7. května 2025 o udělení absolutoria za plnění rozpočtu Agentury Evropské unie pro bezpečnost letectví na rozpočtový rok 2023 (2024/2030(DEC))</w:t>
      </w:r>
    </w:p>
    <w:p w14:paraId="22211221" w14:textId="77777777" w:rsidR="00872DB8" w:rsidRPr="00E51DFE" w:rsidRDefault="00872DB8" w:rsidP="00872DB8">
      <w:pPr>
        <w:spacing w:before="480" w:after="240"/>
      </w:pPr>
      <w:r w:rsidRPr="00E51DFE">
        <w:rPr>
          <w:i/>
        </w:rPr>
        <w:t>Evropský parlament</w:t>
      </w:r>
      <w:r w:rsidRPr="00E51DFE">
        <w:t>,</w:t>
      </w:r>
    </w:p>
    <w:p w14:paraId="69C13049" w14:textId="77777777" w:rsidR="00872DB8" w:rsidRPr="00E51DFE" w:rsidRDefault="00872DB8" w:rsidP="00872DB8">
      <w:pPr>
        <w:spacing w:after="240"/>
        <w:ind w:left="567" w:hanging="567"/>
      </w:pPr>
      <w:r w:rsidRPr="00E51DFE">
        <w:t>–</w:t>
      </w:r>
      <w:r w:rsidRPr="00E51DFE">
        <w:tab/>
        <w:t>s ohledem na konečnou roční účetní závěrku Agentury Evropské unie pro bezpečnost letectví za rozpočtový rok 2023,</w:t>
      </w:r>
    </w:p>
    <w:p w14:paraId="3366587B"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61"/>
      </w:r>
      <w:r w:rsidRPr="00E51DFE">
        <w:t>,</w:t>
      </w:r>
    </w:p>
    <w:p w14:paraId="785D391A"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62"/>
      </w:r>
      <w:r w:rsidRPr="00E51DFE">
        <w:t xml:space="preserve"> účetnictví a o legalitě a správnosti uskutečněných operací, které předložil Účetní dvůr za rozpočtový rok 2023 podle článku 287 Smlouvy o fungování Evropské unie,</w:t>
      </w:r>
    </w:p>
    <w:p w14:paraId="2B649328"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C6E30F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A5A0A04"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63"/>
      </w:r>
      <w:r w:rsidRPr="00E51DFE">
        <w:t>, a zejména na článek 70 tohoto nařízení,</w:t>
      </w:r>
    </w:p>
    <w:p w14:paraId="2B3F0675"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64"/>
      </w:r>
      <w:r w:rsidRPr="00E51DFE">
        <w:t>, a zejména na článek 70 tohoto nařízení,</w:t>
      </w:r>
    </w:p>
    <w:p w14:paraId="2BE78987" w14:textId="77777777" w:rsidR="00872DB8" w:rsidRPr="00E51DFE" w:rsidRDefault="00872DB8" w:rsidP="00872DB8">
      <w:pPr>
        <w:spacing w:after="240"/>
        <w:ind w:left="567" w:hanging="567"/>
      </w:pPr>
      <w:r w:rsidRPr="00E51DFE">
        <w:t>–</w:t>
      </w:r>
      <w:r w:rsidRPr="00E51DFE">
        <w:tab/>
        <w:t>s ohledem na nařízení Evropského parlamentu a Rady (EU) 2018/1139 ze dne 4. července 2018 o společných pravidlech v oblasti civilního letectví a o zřízení Agentury 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E51DFE">
        <w:rPr>
          <w:vertAlign w:val="superscript"/>
        </w:rPr>
        <w:footnoteReference w:id="65"/>
      </w:r>
      <w:r w:rsidRPr="00E51DFE">
        <w:t>, a zejména na článek 121 tohoto nařízení,</w:t>
      </w:r>
    </w:p>
    <w:p w14:paraId="6C93BD68"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66"/>
      </w:r>
      <w:r w:rsidRPr="00E51DFE">
        <w:t>, a zejména na článek 105 tohoto nařízení,</w:t>
      </w:r>
    </w:p>
    <w:p w14:paraId="7AD635EA" w14:textId="77777777" w:rsidR="00872DB8" w:rsidRPr="00E51DFE" w:rsidRDefault="00872DB8" w:rsidP="00872DB8">
      <w:pPr>
        <w:spacing w:after="240"/>
        <w:ind w:left="567" w:hanging="567"/>
      </w:pPr>
      <w:r w:rsidRPr="00E51DFE">
        <w:t>–</w:t>
      </w:r>
      <w:r w:rsidRPr="00E51DFE">
        <w:tab/>
        <w:t>s ohledem na článek 102 a přílohu V jednacího řádu,</w:t>
      </w:r>
    </w:p>
    <w:p w14:paraId="06DF4B05"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3F4DBFC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4C321A4" w14:textId="77777777" w:rsidR="00872DB8" w:rsidRPr="00E51DFE" w:rsidRDefault="00872DB8" w:rsidP="00872DB8">
      <w:pPr>
        <w:spacing w:after="240"/>
        <w:ind w:left="567" w:hanging="567"/>
      </w:pPr>
      <w:r w:rsidRPr="00E51DFE">
        <w:t>1.</w:t>
      </w:r>
      <w:r w:rsidRPr="00E51DFE">
        <w:tab/>
        <w:t>uděluje absolutorium výkonnému řediteli Agentury Evropské unie pro bezpečnost letectví za plnění rozpočtu agentury na rozpočtový rok 2023;</w:t>
      </w:r>
    </w:p>
    <w:p w14:paraId="6CEE5D14"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F75B391"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Agentury Evropské unie pro bezpečnost letectví, Radě, Komisi a Účetnímu dvoru a aby zajistila jejich zveřejnění v </w:t>
      </w:r>
      <w:r w:rsidRPr="00E51DFE">
        <w:rPr>
          <w:i/>
        </w:rPr>
        <w:t>Úředním věstníku Evropské unie</w:t>
      </w:r>
      <w:r w:rsidRPr="00E51DFE">
        <w:t xml:space="preserve"> (řada L).</w:t>
      </w:r>
    </w:p>
    <w:p w14:paraId="31767959"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291A2399" w14:textId="550B1284" w:rsidR="00872DB8" w:rsidRPr="00E51DFE" w:rsidRDefault="00872DB8" w:rsidP="00872DB8">
      <w:pPr>
        <w:pStyle w:val="ATHeading3"/>
      </w:pPr>
      <w:r w:rsidRPr="00E51DFE">
        <w:t>12. Rozhodnutí Evropského parlamentu ze dne 7. května 2025 o uzavření účtů Agentury Evropské unie pro bezpečnost letectví za rozpočtový rok 2023</w:t>
      </w:r>
      <w:r w:rsidR="00F64AFA">
        <w:t xml:space="preserve"> </w:t>
      </w:r>
      <w:r w:rsidRPr="00E51DFE">
        <w:t>(2024/2030(DEC))</w:t>
      </w:r>
    </w:p>
    <w:p w14:paraId="6AD47D5F" w14:textId="77777777" w:rsidR="00872DB8" w:rsidRPr="00E51DFE" w:rsidRDefault="00872DB8" w:rsidP="00872DB8">
      <w:pPr>
        <w:spacing w:before="480" w:after="240"/>
      </w:pPr>
      <w:r w:rsidRPr="00E51DFE">
        <w:rPr>
          <w:i/>
        </w:rPr>
        <w:t>Evropský parlament</w:t>
      </w:r>
      <w:r w:rsidRPr="00E51DFE">
        <w:t>,</w:t>
      </w:r>
    </w:p>
    <w:p w14:paraId="74DA88B7" w14:textId="77777777" w:rsidR="00872DB8" w:rsidRPr="00E51DFE" w:rsidRDefault="00872DB8" w:rsidP="00872DB8">
      <w:pPr>
        <w:spacing w:after="240"/>
        <w:ind w:left="567" w:hanging="567"/>
      </w:pPr>
      <w:r w:rsidRPr="00E51DFE">
        <w:t>–</w:t>
      </w:r>
      <w:r w:rsidRPr="00E51DFE">
        <w:tab/>
        <w:t>s ohledem na konečnou roční účetní závěrku Agentury Evropské unie pro bezpečnost letectví za rozpočtový rok 2023,</w:t>
      </w:r>
    </w:p>
    <w:p w14:paraId="7EBBC133"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67"/>
      </w:r>
      <w:r w:rsidRPr="00E51DFE">
        <w:t>,</w:t>
      </w:r>
    </w:p>
    <w:p w14:paraId="03EFB0F3"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68"/>
      </w:r>
      <w:r w:rsidRPr="00E51DFE">
        <w:t xml:space="preserve"> účetnictví a o legalitě a správnosti uskutečněných operací, které předložil Účetní dvůr za rozpočtový rok 2023 podle článku 287 Smlouvy o fungování Evropské unie,</w:t>
      </w:r>
    </w:p>
    <w:p w14:paraId="1D6411A7"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2305F010"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5D758B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69"/>
      </w:r>
      <w:r w:rsidRPr="00E51DFE">
        <w:t>, a zejména na článek 70 tohoto nařízení,</w:t>
      </w:r>
    </w:p>
    <w:p w14:paraId="217392EA"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70"/>
      </w:r>
      <w:r w:rsidRPr="00E51DFE">
        <w:t>, a zejména na článek 70 tohoto nařízení,</w:t>
      </w:r>
    </w:p>
    <w:p w14:paraId="69D7EF73" w14:textId="77777777" w:rsidR="00872DB8" w:rsidRPr="00E51DFE" w:rsidRDefault="00872DB8" w:rsidP="00872DB8">
      <w:pPr>
        <w:spacing w:after="240"/>
        <w:ind w:left="567" w:hanging="567"/>
      </w:pPr>
      <w:r w:rsidRPr="00E51DFE">
        <w:t>–</w:t>
      </w:r>
      <w:r w:rsidRPr="00E51DFE">
        <w:tab/>
        <w:t>s ohledem na nařízení Evropského parlamentu a Rady (EU) 2018/1139 ze dne 4. července 2018 o společných pravidlech v oblasti civilního letectví a o zřízení Agentury 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E51DFE">
        <w:rPr>
          <w:vertAlign w:val="superscript"/>
        </w:rPr>
        <w:footnoteReference w:id="71"/>
      </w:r>
      <w:r w:rsidRPr="00E51DFE">
        <w:t>, a zejména na článek 121 tohoto nařízení,</w:t>
      </w:r>
    </w:p>
    <w:p w14:paraId="1C0A03D1"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72"/>
      </w:r>
      <w:r w:rsidRPr="00E51DFE">
        <w:t>, a zejména na článek 105 tohoto nařízení,</w:t>
      </w:r>
    </w:p>
    <w:p w14:paraId="47413820" w14:textId="77777777" w:rsidR="00872DB8" w:rsidRPr="00E51DFE" w:rsidRDefault="00872DB8" w:rsidP="00872DB8">
      <w:pPr>
        <w:spacing w:after="240"/>
        <w:ind w:left="567" w:hanging="567"/>
      </w:pPr>
      <w:r w:rsidRPr="00E51DFE">
        <w:t>–</w:t>
      </w:r>
      <w:r w:rsidRPr="00E51DFE">
        <w:tab/>
        <w:t>s ohledem na článek 102 a přílohu V jednacího řádu,</w:t>
      </w:r>
    </w:p>
    <w:p w14:paraId="2C12FD3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F89F04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9D42CA3" w14:textId="77777777" w:rsidR="00872DB8" w:rsidRPr="00E51DFE" w:rsidRDefault="00872DB8" w:rsidP="00872DB8">
      <w:pPr>
        <w:spacing w:after="240"/>
        <w:ind w:left="567" w:hanging="567"/>
      </w:pPr>
      <w:r w:rsidRPr="00E51DFE">
        <w:t>1.</w:t>
      </w:r>
      <w:r w:rsidRPr="00E51DFE">
        <w:tab/>
        <w:t>schvaluje uzavření účtů Agentury Evropské unie pro bezpečnost letectví za rozpočtový rok 2023;</w:t>
      </w:r>
    </w:p>
    <w:p w14:paraId="7BC13676"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Agentury Evropské unie pro bezpečnost letectví, Radě, Komisi a Účetnímu dvoru a aby zajistila jeho zveřejnění v </w:t>
      </w:r>
      <w:r w:rsidRPr="00E51DFE">
        <w:rPr>
          <w:i/>
        </w:rPr>
        <w:t>Úředním věstníku Evropské unie</w:t>
      </w:r>
      <w:r w:rsidRPr="00E51DFE">
        <w:t xml:space="preserve"> (řada L).</w:t>
      </w:r>
    </w:p>
    <w:p w14:paraId="3E53577C"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E500B63" w14:textId="77777777" w:rsidR="00872DB8" w:rsidRPr="00E51DFE" w:rsidRDefault="00872DB8" w:rsidP="00872DB8">
      <w:pPr>
        <w:pStyle w:val="ATHeading3"/>
      </w:pPr>
      <w:r w:rsidRPr="00E51DFE">
        <w:t>13. Rozhodnutí Evropského parlamentu ze dne 7. května 2025 o udělení absolutoria za plnění rozpočtu Evropského orgánu pro bankovnictví na rozpočtový rok 2023 (2024/2030(DEC))</w:t>
      </w:r>
    </w:p>
    <w:p w14:paraId="7FD1988C" w14:textId="77777777" w:rsidR="00872DB8" w:rsidRPr="00E51DFE" w:rsidRDefault="00872DB8" w:rsidP="00872DB8">
      <w:pPr>
        <w:spacing w:before="480" w:after="240"/>
      </w:pPr>
      <w:r w:rsidRPr="00E51DFE">
        <w:rPr>
          <w:i/>
        </w:rPr>
        <w:t>Evropský parlament</w:t>
      </w:r>
      <w:r w:rsidRPr="00E51DFE">
        <w:t>,</w:t>
      </w:r>
    </w:p>
    <w:p w14:paraId="26D62CEB" w14:textId="612FA5F3" w:rsidR="00872DB8" w:rsidRPr="00E51DFE" w:rsidRDefault="00872DB8" w:rsidP="00872DB8">
      <w:pPr>
        <w:spacing w:after="240"/>
        <w:ind w:left="567" w:hanging="567"/>
      </w:pPr>
      <w:r w:rsidRPr="00E51DFE">
        <w:t>–</w:t>
      </w:r>
      <w:r w:rsidRPr="00E51DFE">
        <w:tab/>
        <w:t>s ohledem na konečnou roční účetní závěrku Evropského orgánu pro bankovnictví za rozpočtový rok 2023,</w:t>
      </w:r>
    </w:p>
    <w:p w14:paraId="0186092B" w14:textId="636DC461"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73"/>
      </w:r>
      <w:r w:rsidRPr="00E51DFE">
        <w:t>,</w:t>
      </w:r>
    </w:p>
    <w:p w14:paraId="0E1A6947" w14:textId="5BC5A9DE"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74"/>
      </w:r>
      <w:r w:rsidRPr="00E51DFE">
        <w:t xml:space="preserve"> účetnictví a o legalitě a správnosti uskutečněných operací, které předložil Účetní dvůr za rozpočtový rok 2023 podle článku 287 Smlouvy o fungování Evropské unie,</w:t>
      </w:r>
    </w:p>
    <w:p w14:paraId="2645742E" w14:textId="67D7D23C"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5186CE35" w14:textId="3D6DB106" w:rsidR="00872DB8" w:rsidRPr="00E51DFE" w:rsidRDefault="00872DB8" w:rsidP="00872DB8">
      <w:pPr>
        <w:spacing w:after="240"/>
        <w:ind w:left="567" w:hanging="567"/>
      </w:pPr>
      <w:r w:rsidRPr="00E51DFE">
        <w:t>–</w:t>
      </w:r>
      <w:r w:rsidRPr="00E51DFE">
        <w:tab/>
        <w:t>s ohledem na článek 319 Smlouvy o fungování Evropské unie,</w:t>
      </w:r>
    </w:p>
    <w:p w14:paraId="3BA1A002" w14:textId="3F258CD1"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75"/>
      </w:r>
      <w:r w:rsidRPr="00E51DFE">
        <w:t>, a zejména na článek 70 tohoto nařízení,</w:t>
      </w:r>
    </w:p>
    <w:p w14:paraId="4284394E" w14:textId="48FBC10C"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76"/>
      </w:r>
      <w:r w:rsidRPr="00E51DFE">
        <w:t>, a zejména na článek 70 tohoto nařízení,</w:t>
      </w:r>
    </w:p>
    <w:p w14:paraId="6597313D" w14:textId="47D5FA51" w:rsidR="00872DB8" w:rsidRPr="00E51DFE" w:rsidRDefault="00872DB8" w:rsidP="00872DB8">
      <w:pPr>
        <w:spacing w:after="240"/>
        <w:ind w:left="567" w:hanging="567"/>
      </w:pPr>
      <w:r w:rsidRPr="00E51DFE">
        <w:t>–</w:t>
      </w:r>
      <w:r w:rsidRPr="00E51DFE">
        <w:tab/>
        <w:t>s ohledem na nařízení Evropského parlamentu a Rady (EU) č. 1093/2010 ze dne 24. listopadu 2010 o zřízení Evropského orgánu dohledu (Evropského orgánu pro bankovnictví), o změně rozhodnutí č. 716/2009/ES a o zrušení rozhodnutí Komise 2009/78/ES</w:t>
      </w:r>
      <w:r w:rsidRPr="00E51DFE">
        <w:rPr>
          <w:vertAlign w:val="superscript"/>
        </w:rPr>
        <w:footnoteReference w:id="77"/>
      </w:r>
      <w:r w:rsidRPr="00E51DFE">
        <w:t>, a zejména na článek 64 tohoto nařízení,</w:t>
      </w:r>
    </w:p>
    <w:p w14:paraId="7448CB12" w14:textId="110CA134"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78"/>
      </w:r>
      <w:r w:rsidRPr="00E51DFE">
        <w:t>, a zejména na článek 105 tohoto nařízení,</w:t>
      </w:r>
    </w:p>
    <w:p w14:paraId="27A3708B" w14:textId="5261074D" w:rsidR="00872DB8" w:rsidRPr="00E51DFE" w:rsidRDefault="00872DB8" w:rsidP="00872DB8">
      <w:pPr>
        <w:spacing w:after="240"/>
        <w:ind w:left="567" w:hanging="567"/>
      </w:pPr>
      <w:r w:rsidRPr="00E51DFE">
        <w:t>–</w:t>
      </w:r>
      <w:r w:rsidRPr="00E51DFE">
        <w:tab/>
        <w:t>s ohledem na článek 102 a přílohu V jednacího řádu,</w:t>
      </w:r>
    </w:p>
    <w:p w14:paraId="442159D7" w14:textId="1BA32CC5"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E8062AC" w14:textId="40010FCD"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E564AF5" w14:textId="2BBFDCE4"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F86771D" w14:textId="77777777" w:rsidR="00872DB8" w:rsidRPr="00E51DFE" w:rsidRDefault="00872DB8" w:rsidP="00872DB8">
      <w:pPr>
        <w:spacing w:after="240"/>
        <w:ind w:left="567" w:hanging="567"/>
      </w:pPr>
      <w:r w:rsidRPr="00E51DFE">
        <w:t>1.</w:t>
      </w:r>
      <w:r w:rsidRPr="00E51DFE">
        <w:tab/>
        <w:t>uděluje absolutorium výkonnému řediteli Evropského orgánu pro bankovnictví za plnění rozpočtu orgánu na rozpočtový rok 2023;</w:t>
      </w:r>
    </w:p>
    <w:p w14:paraId="249472C5" w14:textId="77777777" w:rsidR="00872DB8" w:rsidRPr="00E51DFE" w:rsidRDefault="00872DB8" w:rsidP="00872DB8">
      <w:pPr>
        <w:spacing w:after="240"/>
        <w:ind w:left="567" w:hanging="567"/>
      </w:pPr>
      <w:r w:rsidRPr="00E51DFE">
        <w:t>2.</w:t>
      </w:r>
      <w:r w:rsidRPr="00E51DFE">
        <w:tab/>
        <w:t>předkládá své připomínky v níže uvedeném usnesení;</w:t>
      </w:r>
    </w:p>
    <w:p w14:paraId="6E03C43C"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Evropského orgánu pro bankovnictví, Radě, Komisi a Účetnímu dvoru a aby zajistila jejich zveřejnění v </w:t>
      </w:r>
      <w:r w:rsidRPr="00E51DFE">
        <w:rPr>
          <w:i/>
        </w:rPr>
        <w:t>Úředním věstníku Evropské unie</w:t>
      </w:r>
      <w:r w:rsidRPr="00E51DFE">
        <w:t xml:space="preserve"> (řada L).</w:t>
      </w:r>
    </w:p>
    <w:p w14:paraId="218C1561"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61CED27" w14:textId="50CC850C" w:rsidR="00872DB8" w:rsidRPr="00E51DFE" w:rsidRDefault="00872DB8" w:rsidP="00872DB8">
      <w:pPr>
        <w:pStyle w:val="ATHeading3"/>
      </w:pPr>
      <w:r w:rsidRPr="00E51DFE">
        <w:t>14. Rozhodnutí Evropského parlamentu ze dne 7. května 2025 o uzavření účtů Evropského orgánu pro bankovnictví za rozpočtový rok 2023 (2024/2030(DEC))</w:t>
      </w:r>
    </w:p>
    <w:p w14:paraId="6EC2AC82" w14:textId="77777777" w:rsidR="00872DB8" w:rsidRPr="00E51DFE" w:rsidRDefault="00872DB8" w:rsidP="00872DB8">
      <w:pPr>
        <w:spacing w:before="480" w:after="240"/>
      </w:pPr>
      <w:r w:rsidRPr="00E51DFE">
        <w:rPr>
          <w:i/>
        </w:rPr>
        <w:t>Evropský parlament</w:t>
      </w:r>
      <w:r w:rsidRPr="00E51DFE">
        <w:t>,</w:t>
      </w:r>
    </w:p>
    <w:p w14:paraId="3D60F209" w14:textId="77777777" w:rsidR="00872DB8" w:rsidRPr="00E51DFE" w:rsidRDefault="00872DB8" w:rsidP="00872DB8">
      <w:pPr>
        <w:spacing w:after="240"/>
        <w:ind w:left="567" w:hanging="567"/>
      </w:pPr>
      <w:r w:rsidRPr="00E51DFE">
        <w:t>–</w:t>
      </w:r>
      <w:r w:rsidRPr="00E51DFE">
        <w:tab/>
        <w:t>s ohledem na konečnou roční účetní závěrku Evropského orgánu pro bankovnictví za rozpočtový rok 2023,</w:t>
      </w:r>
    </w:p>
    <w:p w14:paraId="4B32120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79"/>
      </w:r>
      <w:r w:rsidRPr="00E51DFE">
        <w:t>,</w:t>
      </w:r>
    </w:p>
    <w:p w14:paraId="5AEA1FF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80"/>
      </w:r>
      <w:r w:rsidRPr="00E51DFE">
        <w:t xml:space="preserve"> účetnictví a o legalitě a správnosti uskutečněných operací, které předložil Účetní dvůr za rozpočtový rok 2023 podle článku 287 Smlouvy o fungování Evropské unie,</w:t>
      </w:r>
    </w:p>
    <w:p w14:paraId="62D9DC0A"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5ADB4F23"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2A77D3F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81"/>
      </w:r>
      <w:r w:rsidRPr="00E51DFE">
        <w:t>, a zejména na článek 70 tohoto nařízení,</w:t>
      </w:r>
    </w:p>
    <w:p w14:paraId="520AC9C6"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82"/>
      </w:r>
      <w:r w:rsidRPr="00E51DFE">
        <w:t>, a zejména na článek 70 tohoto nařízení,</w:t>
      </w:r>
    </w:p>
    <w:p w14:paraId="02EB8920" w14:textId="77777777" w:rsidR="00872DB8" w:rsidRPr="00E51DFE" w:rsidRDefault="00872DB8" w:rsidP="00872DB8">
      <w:pPr>
        <w:spacing w:after="240"/>
        <w:ind w:left="567" w:hanging="567"/>
      </w:pPr>
      <w:r w:rsidRPr="00E51DFE">
        <w:t>–</w:t>
      </w:r>
      <w:r w:rsidRPr="00E51DFE">
        <w:tab/>
        <w:t>s ohledem na nařízení Evropského parlamentu a Rady (EU) č. 1093/2010 ze dne 24. listopadu 2010 o zřízení Evropského orgánu dohledu (Evropského orgánu pro bankovnictví), o změně rozhodnutí č. 716/2009/ES a o zrušení rozhodnutí Komise 2009/78/ES</w:t>
      </w:r>
      <w:r w:rsidRPr="00E51DFE">
        <w:rPr>
          <w:vertAlign w:val="superscript"/>
        </w:rPr>
        <w:footnoteReference w:id="83"/>
      </w:r>
      <w:r w:rsidRPr="00E51DFE">
        <w:t>, a zejména na článek 64 tohoto nařízení,</w:t>
      </w:r>
    </w:p>
    <w:p w14:paraId="20F83C16"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84"/>
      </w:r>
      <w:r w:rsidRPr="00E51DFE">
        <w:t>, a zejména na článek 105 tohoto nařízení,</w:t>
      </w:r>
    </w:p>
    <w:p w14:paraId="6E25D8F4" w14:textId="77777777" w:rsidR="00872DB8" w:rsidRPr="00E51DFE" w:rsidRDefault="00872DB8" w:rsidP="00872DB8">
      <w:pPr>
        <w:spacing w:after="240"/>
        <w:ind w:left="567" w:hanging="567"/>
      </w:pPr>
      <w:r w:rsidRPr="00E51DFE">
        <w:t>–</w:t>
      </w:r>
      <w:r w:rsidRPr="00E51DFE">
        <w:tab/>
        <w:t>s ohledem na článek 102 a přílohu V jednacího řádu,</w:t>
      </w:r>
    </w:p>
    <w:p w14:paraId="3D010BF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C35D2C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67E435BE" w14:textId="77777777" w:rsidR="00872DB8" w:rsidRPr="00E51DFE" w:rsidRDefault="00872DB8" w:rsidP="00872DB8">
      <w:pPr>
        <w:spacing w:after="240"/>
        <w:ind w:left="567" w:hanging="567"/>
      </w:pPr>
      <w:r w:rsidRPr="00E51DFE">
        <w:t>1.</w:t>
      </w:r>
      <w:r w:rsidRPr="00E51DFE">
        <w:tab/>
        <w:t>schvaluje uzavření účtů Evropského orgánu pro bankovnictví za rozpočtový rok 2023;</w:t>
      </w:r>
    </w:p>
    <w:p w14:paraId="38EEBA3A"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Evropského orgánu pro bankovnictví, Radě, Komisi a Účetnímu dvoru a aby zajistila jeho zveřejnění v </w:t>
      </w:r>
      <w:r w:rsidRPr="00E51DFE">
        <w:rPr>
          <w:i/>
        </w:rPr>
        <w:t>Úředním věstníku Evropské unie</w:t>
      </w:r>
      <w:r w:rsidRPr="00E51DFE">
        <w:t xml:space="preserve"> (řada L).</w:t>
      </w:r>
    </w:p>
    <w:p w14:paraId="396B14BE"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C079669" w14:textId="4D47A688" w:rsidR="00872DB8" w:rsidRPr="00E51DFE" w:rsidRDefault="00872DB8" w:rsidP="00872DB8">
      <w:pPr>
        <w:pStyle w:val="ATHeading3"/>
      </w:pPr>
      <w:r w:rsidRPr="00E51DFE">
        <w:t>15. Rozhodnutí Evropského parlamentu ze dne 7. května 2025 o udělení absolutoria za plnění rozpočtu Evropského střediska pro prevenci a kontrolu nemocí na rozpočtový rok 2023 (2024/2030(DEC))</w:t>
      </w:r>
    </w:p>
    <w:p w14:paraId="2A222EBC" w14:textId="77777777" w:rsidR="00872DB8" w:rsidRPr="00E51DFE" w:rsidRDefault="00872DB8" w:rsidP="00872DB8">
      <w:pPr>
        <w:spacing w:before="480" w:after="240"/>
      </w:pPr>
      <w:r w:rsidRPr="00E51DFE">
        <w:rPr>
          <w:i/>
        </w:rPr>
        <w:t>Evropský parlament</w:t>
      </w:r>
      <w:r w:rsidRPr="00E51DFE">
        <w:t>,</w:t>
      </w:r>
    </w:p>
    <w:p w14:paraId="7C67AE0C" w14:textId="77777777" w:rsidR="00872DB8" w:rsidRPr="00E51DFE" w:rsidRDefault="00872DB8" w:rsidP="00872DB8">
      <w:pPr>
        <w:spacing w:after="240"/>
        <w:ind w:left="567" w:hanging="567"/>
      </w:pPr>
      <w:r w:rsidRPr="00E51DFE">
        <w:t>–</w:t>
      </w:r>
      <w:r w:rsidRPr="00E51DFE">
        <w:tab/>
        <w:t>s ohledem na konečnou roční účetní závěrku Evropského střediska pro prevenci a kontrolu nemocí za rozpočtový rok 2023,</w:t>
      </w:r>
    </w:p>
    <w:p w14:paraId="308CF4B4"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85"/>
      </w:r>
      <w:r w:rsidRPr="00E51DFE">
        <w:t>,</w:t>
      </w:r>
    </w:p>
    <w:p w14:paraId="2A94581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86"/>
      </w:r>
      <w:r w:rsidRPr="00E51DFE">
        <w:t xml:space="preserve"> účetnictví a o legalitě a správnosti uskutečněných operací, které předložil Účetní dvůr za rozpočtový rok 2023 podle článku 287 Smlouvy o fungování Evropské unie,</w:t>
      </w:r>
    </w:p>
    <w:p w14:paraId="180319E8"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w:t>
      </w:r>
      <w:r w:rsidRPr="00E51DFE">
        <w:noBreakHyphen/>
        <w:t>0024/2025),</w:t>
      </w:r>
    </w:p>
    <w:p w14:paraId="4A05A6AF"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5D8536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87"/>
      </w:r>
      <w:r w:rsidRPr="00E51DFE">
        <w:t>, a zejména na článek 70 tohoto nařízení,</w:t>
      </w:r>
    </w:p>
    <w:p w14:paraId="6704695D"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88"/>
      </w:r>
      <w:r w:rsidRPr="00E51DFE">
        <w:t>, a zejména na článek 70 tohoto nařízení,</w:t>
      </w:r>
    </w:p>
    <w:p w14:paraId="2F4AF18C" w14:textId="77777777" w:rsidR="00872DB8" w:rsidRPr="00E51DFE" w:rsidRDefault="00872DB8" w:rsidP="00872DB8">
      <w:pPr>
        <w:spacing w:after="240"/>
        <w:ind w:left="567" w:hanging="567"/>
      </w:pPr>
      <w:r w:rsidRPr="00E51DFE">
        <w:t>–</w:t>
      </w:r>
      <w:r w:rsidRPr="00E51DFE">
        <w:tab/>
        <w:t>s ohledem na nařízení Evropského parlamentu a Rady (ES) č. 851/2004 ze dne 21. dubna 2004 o zřízení Evropského střediska pro prevenci a kontrolu nemocí</w:t>
      </w:r>
      <w:r w:rsidRPr="00E51DFE">
        <w:rPr>
          <w:vertAlign w:val="superscript"/>
        </w:rPr>
        <w:footnoteReference w:id="89"/>
      </w:r>
      <w:r w:rsidRPr="00E51DFE">
        <w:t>, a zejména na článek 23 tohoto nařízení,</w:t>
      </w:r>
    </w:p>
    <w:p w14:paraId="69215CC0"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90"/>
      </w:r>
      <w:r w:rsidRPr="00E51DFE">
        <w:t>, a zejména na článek 105 tohoto nařízení,</w:t>
      </w:r>
    </w:p>
    <w:p w14:paraId="3FF02A3C" w14:textId="77777777" w:rsidR="00872DB8" w:rsidRPr="00E51DFE" w:rsidRDefault="00872DB8" w:rsidP="00872DB8">
      <w:pPr>
        <w:spacing w:after="240"/>
        <w:ind w:left="567" w:hanging="567"/>
      </w:pPr>
      <w:r w:rsidRPr="00E51DFE">
        <w:t>–</w:t>
      </w:r>
      <w:r w:rsidRPr="00E51DFE">
        <w:tab/>
        <w:t>s ohledem na článek 102 a přílohu V jednacího řádu,</w:t>
      </w:r>
    </w:p>
    <w:p w14:paraId="7B911CA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9044EB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54C90A2" w14:textId="77777777" w:rsidR="00872DB8" w:rsidRPr="00E51DFE" w:rsidRDefault="00872DB8" w:rsidP="00872DB8">
      <w:pPr>
        <w:spacing w:after="240"/>
        <w:ind w:left="567" w:hanging="567"/>
      </w:pPr>
      <w:r w:rsidRPr="00E51DFE">
        <w:t>1.</w:t>
      </w:r>
      <w:r w:rsidRPr="00E51DFE">
        <w:tab/>
        <w:t>uděluje absolutorium ředitelce Evropského střediska pro prevenci a kontrolu nemocí za plnění rozpočtu střediska na rozpočtový rok 2023;</w:t>
      </w:r>
    </w:p>
    <w:p w14:paraId="65555BA2" w14:textId="77777777" w:rsidR="00872DB8" w:rsidRPr="00E51DFE" w:rsidRDefault="00872DB8" w:rsidP="00872DB8">
      <w:pPr>
        <w:spacing w:after="240"/>
        <w:ind w:left="567" w:hanging="567"/>
      </w:pPr>
      <w:r w:rsidRPr="00E51DFE">
        <w:t>2.</w:t>
      </w:r>
      <w:r w:rsidRPr="00E51DFE">
        <w:tab/>
        <w:t>předkládá své připomínky v níže uvedeném usnesení;</w:t>
      </w:r>
    </w:p>
    <w:p w14:paraId="16A94C51"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Evropského střediska pro prevenci a kontrolu nemocí, Radě, Komisi a Účetnímu dvoru a aby zajistila jejich zveřejnění v </w:t>
      </w:r>
      <w:r w:rsidRPr="00E51DFE">
        <w:rPr>
          <w:i/>
        </w:rPr>
        <w:t>Úředním věstníku Evropské unie</w:t>
      </w:r>
      <w:r w:rsidRPr="00E51DFE">
        <w:t xml:space="preserve"> (řada L).</w:t>
      </w:r>
    </w:p>
    <w:p w14:paraId="77E17991"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2001AE15" w14:textId="50EFD24F" w:rsidR="00872DB8" w:rsidRPr="00E51DFE" w:rsidRDefault="00872DB8" w:rsidP="00872DB8">
      <w:pPr>
        <w:pStyle w:val="ATHeading3"/>
      </w:pPr>
      <w:r w:rsidRPr="00E51DFE">
        <w:t>16. Rozhodnutí Evropského parlamentu ze dne 7. května 2025 o uzavření účtů Evropského střediska pro prevenci a kontrolu nemocí za rozpočtový rok 2023 (2024/2030(DEC))</w:t>
      </w:r>
    </w:p>
    <w:p w14:paraId="7B801F96" w14:textId="77777777" w:rsidR="00872DB8" w:rsidRPr="00E51DFE" w:rsidRDefault="00872DB8" w:rsidP="00872DB8">
      <w:pPr>
        <w:spacing w:before="480" w:after="240"/>
      </w:pPr>
      <w:r w:rsidRPr="00E51DFE">
        <w:rPr>
          <w:i/>
        </w:rPr>
        <w:t>Evropský parlament</w:t>
      </w:r>
      <w:r w:rsidRPr="00E51DFE">
        <w:t>,</w:t>
      </w:r>
    </w:p>
    <w:p w14:paraId="7D48B406" w14:textId="77777777" w:rsidR="00872DB8" w:rsidRPr="00E51DFE" w:rsidRDefault="00872DB8" w:rsidP="00872DB8">
      <w:pPr>
        <w:spacing w:after="240"/>
        <w:ind w:left="567" w:hanging="567"/>
      </w:pPr>
      <w:r w:rsidRPr="00E51DFE">
        <w:t>–</w:t>
      </w:r>
      <w:r w:rsidRPr="00E51DFE">
        <w:tab/>
        <w:t>s ohledem na konečnou roční účetní závěrku Evropského střediska pro prevenci a kontrolu nemocí za rozpočtový rok 2023,</w:t>
      </w:r>
    </w:p>
    <w:p w14:paraId="692F582B"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91"/>
      </w:r>
      <w:r w:rsidRPr="00E51DFE">
        <w:t>,</w:t>
      </w:r>
    </w:p>
    <w:p w14:paraId="58564B8D"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92"/>
      </w:r>
      <w:r w:rsidRPr="00E51DFE">
        <w:t xml:space="preserve"> účetnictví a o legalitě a správnosti uskutečněných operací, které předložil Účetní dvůr za rozpočtový rok 2023 podle článku 287 Smlouvy o fungování Evropské unie,</w:t>
      </w:r>
    </w:p>
    <w:p w14:paraId="019D4993" w14:textId="77777777" w:rsidR="00872DB8" w:rsidRPr="00E51DFE" w:rsidRDefault="00872DB8" w:rsidP="00872DB8">
      <w:pPr>
        <w:spacing w:after="240"/>
        <w:ind w:left="567" w:hanging="567"/>
      </w:pPr>
      <w:r w:rsidRPr="00E51DFE">
        <w:t>–</w:t>
      </w:r>
      <w:r w:rsidRPr="00E51DFE">
        <w:tab/>
        <w:t>s ohledem na doporučení Rady ze dne 17. února 2025 o udělení absolutoria středisku za plnění rozpočtu na rozpočtový rok 2023 (05755/2025 – C10</w:t>
      </w:r>
      <w:r w:rsidRPr="00E51DFE">
        <w:noBreakHyphen/>
        <w:t>0024/2025),</w:t>
      </w:r>
    </w:p>
    <w:p w14:paraId="0A1C4EB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B0492CD"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93"/>
      </w:r>
      <w:r w:rsidRPr="00E51DFE">
        <w:t>, a zejména na článek 70 tohoto nařízení,</w:t>
      </w:r>
    </w:p>
    <w:p w14:paraId="7980C362"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94"/>
      </w:r>
      <w:r w:rsidRPr="00E51DFE">
        <w:t>, a zejména na článek 70 tohoto nařízení,</w:t>
      </w:r>
    </w:p>
    <w:p w14:paraId="5BD48767" w14:textId="77777777" w:rsidR="00872DB8" w:rsidRPr="00E51DFE" w:rsidRDefault="00872DB8" w:rsidP="00872DB8">
      <w:pPr>
        <w:spacing w:after="240"/>
        <w:ind w:left="567" w:hanging="567"/>
      </w:pPr>
      <w:r w:rsidRPr="00E51DFE">
        <w:t>–</w:t>
      </w:r>
      <w:r w:rsidRPr="00E51DFE">
        <w:tab/>
        <w:t>s ohledem na nařízení Evropského parlamentu a Rady (ES) č. 851/2004 ze dne 21. dubna 2004 o zřízení Evropského střediska pro prevenci a kontrolu nemocí</w:t>
      </w:r>
      <w:r w:rsidRPr="00E51DFE">
        <w:rPr>
          <w:vertAlign w:val="superscript"/>
        </w:rPr>
        <w:footnoteReference w:id="95"/>
      </w:r>
      <w:r w:rsidRPr="00E51DFE">
        <w:t>, a zejména na článek 23 tohoto nařízení,</w:t>
      </w:r>
    </w:p>
    <w:p w14:paraId="035B5D8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96"/>
      </w:r>
      <w:r w:rsidRPr="00E51DFE">
        <w:t>, a zejména na článek 105 tohoto nařízení,</w:t>
      </w:r>
    </w:p>
    <w:p w14:paraId="6320A99C" w14:textId="77777777" w:rsidR="00872DB8" w:rsidRPr="00E51DFE" w:rsidRDefault="00872DB8" w:rsidP="00872DB8">
      <w:pPr>
        <w:spacing w:after="240"/>
        <w:ind w:left="567" w:hanging="567"/>
      </w:pPr>
      <w:r w:rsidRPr="00E51DFE">
        <w:t>–</w:t>
      </w:r>
      <w:r w:rsidRPr="00E51DFE">
        <w:tab/>
        <w:t>s ohledem na článek 102 a přílohu V jednacího řádu,</w:t>
      </w:r>
    </w:p>
    <w:p w14:paraId="7717B922"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4264A0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BF2F856" w14:textId="77777777" w:rsidR="00872DB8" w:rsidRPr="00E51DFE" w:rsidRDefault="00872DB8" w:rsidP="00872DB8">
      <w:pPr>
        <w:spacing w:after="240"/>
        <w:ind w:left="567" w:hanging="567"/>
      </w:pPr>
      <w:r w:rsidRPr="00E51DFE">
        <w:t>1.</w:t>
      </w:r>
      <w:r w:rsidRPr="00E51DFE">
        <w:tab/>
        <w:t>schvaluje uzavření účtů Evropského střediska pro prevenci a kontrolu nemocí za rozpočtový rok 2023;</w:t>
      </w:r>
    </w:p>
    <w:p w14:paraId="232DD682" w14:textId="77777777" w:rsidR="00872DB8" w:rsidRPr="00E51DFE" w:rsidRDefault="00872DB8" w:rsidP="00872DB8">
      <w:pPr>
        <w:spacing w:after="240"/>
        <w:ind w:left="567" w:hanging="567"/>
      </w:pPr>
      <w:r w:rsidRPr="00E51DFE">
        <w:t>2.</w:t>
      </w:r>
      <w:r w:rsidRPr="00E51DFE">
        <w:tab/>
        <w:t>pověřuje svou předsedkyni, aby předala toto rozhodnutí ředitelce Evropského střediska pro prevenci a kontrolu nemocí, Radě, Komisi a Účetnímu dvoru a aby zajistila jeho zveřejnění v </w:t>
      </w:r>
      <w:r w:rsidRPr="00E51DFE">
        <w:rPr>
          <w:i/>
        </w:rPr>
        <w:t>Úředním věstníku Evropské unie</w:t>
      </w:r>
      <w:r w:rsidRPr="00E51DFE">
        <w:t xml:space="preserve"> (řada L).</w:t>
      </w:r>
    </w:p>
    <w:p w14:paraId="308AF5D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E063748" w14:textId="2D96600A" w:rsidR="00872DB8" w:rsidRPr="00E51DFE" w:rsidRDefault="00872DB8" w:rsidP="00872DB8">
      <w:pPr>
        <w:pStyle w:val="ATHeading3"/>
      </w:pPr>
      <w:r w:rsidRPr="00E51DFE">
        <w:t>17. Rozhodnutí Evropského parlamentu ze dne 7. května 2025 o udělení absolutoria za plnění rozpočtu Evropské agentury pro chemické látky na rozpočtový rok 2023</w:t>
      </w:r>
      <w:r w:rsidR="00F64AFA">
        <w:t xml:space="preserve"> </w:t>
      </w:r>
      <w:r w:rsidRPr="00E51DFE">
        <w:t>(2024/2030(DEC))</w:t>
      </w:r>
    </w:p>
    <w:p w14:paraId="2F83C0DD" w14:textId="77777777" w:rsidR="00872DB8" w:rsidRPr="00E51DFE" w:rsidRDefault="00872DB8" w:rsidP="00872DB8">
      <w:pPr>
        <w:spacing w:before="480" w:after="240"/>
      </w:pPr>
      <w:r w:rsidRPr="00E51DFE">
        <w:rPr>
          <w:i/>
        </w:rPr>
        <w:t>Evropský parlament</w:t>
      </w:r>
      <w:r w:rsidRPr="00E51DFE">
        <w:t>,</w:t>
      </w:r>
    </w:p>
    <w:p w14:paraId="6C8AB3DA" w14:textId="77777777" w:rsidR="00872DB8" w:rsidRPr="00E51DFE" w:rsidRDefault="00872DB8" w:rsidP="00872DB8">
      <w:pPr>
        <w:spacing w:after="240"/>
        <w:ind w:left="567" w:hanging="567"/>
      </w:pPr>
      <w:r w:rsidRPr="00E51DFE">
        <w:t>–</w:t>
      </w:r>
      <w:r w:rsidRPr="00E51DFE">
        <w:tab/>
        <w:t>s ohledem na konečnou roční účetní závěrku Evropské agentury pro chemické látky za rozpočtový rok 2023,</w:t>
      </w:r>
    </w:p>
    <w:p w14:paraId="20229CAC"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97"/>
      </w:r>
      <w:r w:rsidRPr="00E51DFE">
        <w:t>,</w:t>
      </w:r>
    </w:p>
    <w:p w14:paraId="6AE12A4E"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98"/>
      </w:r>
      <w:r w:rsidRPr="00E51DFE">
        <w:t xml:space="preserve"> účetnictví a o legalitě a správnosti uskutečněných operací, které předložil Účetní dvůr za rozpočtový rok 2023 podle článku 287 Smlouvy o fungování Evropské unie,</w:t>
      </w:r>
    </w:p>
    <w:p w14:paraId="5B20D889"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61FF6AF"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347552A"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99"/>
      </w:r>
      <w:r w:rsidRPr="00E51DFE">
        <w:t>, a zejména na článek 70 tohoto nařízení,</w:t>
      </w:r>
    </w:p>
    <w:p w14:paraId="429B11F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00"/>
      </w:r>
      <w:r w:rsidRPr="00E51DFE">
        <w:t>, a zejména na článek 70 tohoto nařízení,</w:t>
      </w:r>
    </w:p>
    <w:p w14:paraId="520BEA52" w14:textId="77777777" w:rsidR="00872DB8" w:rsidRPr="00E51DFE" w:rsidRDefault="00872DB8" w:rsidP="00872DB8">
      <w:pPr>
        <w:spacing w:after="240"/>
        <w:ind w:left="567" w:hanging="567"/>
      </w:pPr>
      <w:r w:rsidRPr="00E51DFE">
        <w:t>–</w:t>
      </w:r>
      <w:r w:rsidRPr="00E51DFE">
        <w:tab/>
        <w:t>s ohledem na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w:t>
      </w:r>
      <w:r w:rsidRPr="00E51DFE">
        <w:rPr>
          <w:vertAlign w:val="superscript"/>
        </w:rPr>
        <w:footnoteReference w:id="101"/>
      </w:r>
      <w:r w:rsidRPr="00E51DFE">
        <w:t>, a zejména na článek 97 tohoto nařízení,</w:t>
      </w:r>
    </w:p>
    <w:p w14:paraId="2E29263B"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02"/>
      </w:r>
      <w:r w:rsidRPr="00E51DFE">
        <w:t>, a zejména na článek 105 tohoto nařízení,</w:t>
      </w:r>
    </w:p>
    <w:p w14:paraId="7BAC621F" w14:textId="77777777" w:rsidR="00872DB8" w:rsidRPr="00E51DFE" w:rsidRDefault="00872DB8" w:rsidP="00872DB8">
      <w:pPr>
        <w:spacing w:after="240"/>
        <w:ind w:left="567" w:hanging="567"/>
      </w:pPr>
      <w:r w:rsidRPr="00E51DFE">
        <w:t>–</w:t>
      </w:r>
      <w:r w:rsidRPr="00E51DFE">
        <w:tab/>
        <w:t>s ohledem na článek 102 a přílohu V jednacího řádu,</w:t>
      </w:r>
    </w:p>
    <w:p w14:paraId="1F3D4469"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C764172"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FB968F7" w14:textId="77777777" w:rsidR="00872DB8" w:rsidRPr="00E51DFE" w:rsidRDefault="00872DB8" w:rsidP="00872DB8">
      <w:pPr>
        <w:spacing w:after="240"/>
        <w:ind w:left="567" w:hanging="567"/>
      </w:pPr>
      <w:r w:rsidRPr="00E51DFE">
        <w:t>1.</w:t>
      </w:r>
      <w:r w:rsidRPr="00E51DFE">
        <w:tab/>
        <w:t>uděluje absolutorium výkonné ředitelce Evropské agentury pro chemické látky za plnění rozpočtu agentury na rozpočtový rok 2023;</w:t>
      </w:r>
    </w:p>
    <w:p w14:paraId="76FC8832" w14:textId="77777777" w:rsidR="00872DB8" w:rsidRPr="00E51DFE" w:rsidRDefault="00872DB8" w:rsidP="00872DB8">
      <w:pPr>
        <w:spacing w:after="240"/>
        <w:ind w:left="567" w:hanging="567"/>
      </w:pPr>
      <w:r w:rsidRPr="00E51DFE">
        <w:t>2.</w:t>
      </w:r>
      <w:r w:rsidRPr="00E51DFE">
        <w:tab/>
        <w:t>předkládá své připomínky v níže uvedeném usnesení;</w:t>
      </w:r>
    </w:p>
    <w:p w14:paraId="5101D668"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 agentury pro chemické látky, Radě, Komisi a Účetnímu dvoru a aby zajistila jejich zveřejnění v </w:t>
      </w:r>
      <w:r w:rsidRPr="00E51DFE">
        <w:rPr>
          <w:i/>
        </w:rPr>
        <w:t>Úředním věstníku Evropské unie</w:t>
      </w:r>
      <w:r w:rsidRPr="00E51DFE">
        <w:t xml:space="preserve"> (řada L).</w:t>
      </w:r>
    </w:p>
    <w:p w14:paraId="4E8B3184"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CF777B5" w14:textId="0076E8E4" w:rsidR="00872DB8" w:rsidRPr="00E51DFE" w:rsidRDefault="00872DB8" w:rsidP="00872DB8">
      <w:pPr>
        <w:pStyle w:val="ATHeading3"/>
      </w:pPr>
      <w:r w:rsidRPr="00E51DFE">
        <w:t>18. Rozhodnutí Evropského parlamentu ze dne 7. května 2025 o uzavření účtů Evropské agentury pro chemické látky za rozpočtový rok 2023</w:t>
      </w:r>
      <w:r w:rsidR="00F64AFA">
        <w:t xml:space="preserve"> </w:t>
      </w:r>
      <w:r w:rsidRPr="00E51DFE">
        <w:t>(2024/2030(DEC))</w:t>
      </w:r>
    </w:p>
    <w:p w14:paraId="4CB84407" w14:textId="77777777" w:rsidR="00872DB8" w:rsidRPr="00E51DFE" w:rsidRDefault="00872DB8" w:rsidP="00872DB8">
      <w:pPr>
        <w:spacing w:before="480" w:after="240"/>
      </w:pPr>
      <w:r w:rsidRPr="00E51DFE">
        <w:rPr>
          <w:i/>
        </w:rPr>
        <w:t>Evropský parlament</w:t>
      </w:r>
      <w:r w:rsidRPr="00E51DFE">
        <w:t>,</w:t>
      </w:r>
    </w:p>
    <w:p w14:paraId="5416A240" w14:textId="77777777" w:rsidR="00872DB8" w:rsidRPr="00E51DFE" w:rsidRDefault="00872DB8" w:rsidP="00872DB8">
      <w:pPr>
        <w:spacing w:after="240"/>
        <w:ind w:left="567" w:hanging="567"/>
      </w:pPr>
      <w:r w:rsidRPr="00E51DFE">
        <w:t>–</w:t>
      </w:r>
      <w:r w:rsidRPr="00E51DFE">
        <w:tab/>
        <w:t>s ohledem na konečnou roční účetní závěrku Evropské agentury pro chemické látky za rozpočtový rok 2023,</w:t>
      </w:r>
    </w:p>
    <w:p w14:paraId="035B45B3"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03"/>
      </w:r>
      <w:r w:rsidRPr="00E51DFE">
        <w:t>,</w:t>
      </w:r>
    </w:p>
    <w:p w14:paraId="5F8D8C56"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04"/>
      </w:r>
      <w:r w:rsidRPr="00E51DFE">
        <w:t xml:space="preserve"> účetnictví a o legalitě a správnosti uskutečněných operací, které předložil Účetní dvůr za rozpočtový rok 2023 podle článku 287 Smlouvy o fungování Evropské unie,</w:t>
      </w:r>
    </w:p>
    <w:p w14:paraId="544DB4CE"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41E1C73"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2364AE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05"/>
      </w:r>
      <w:r w:rsidRPr="00E51DFE">
        <w:t>, a zejména na článek 70 tohoto nařízení,</w:t>
      </w:r>
    </w:p>
    <w:p w14:paraId="07E48C0A"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06"/>
      </w:r>
      <w:r w:rsidRPr="00E51DFE">
        <w:t>, a zejména na článek 70 tohoto nařízení,</w:t>
      </w:r>
    </w:p>
    <w:p w14:paraId="65DD025E" w14:textId="77777777" w:rsidR="00872DB8" w:rsidRPr="00E51DFE" w:rsidRDefault="00872DB8" w:rsidP="00872DB8">
      <w:pPr>
        <w:spacing w:after="240"/>
        <w:ind w:left="567" w:hanging="567"/>
      </w:pPr>
      <w:r w:rsidRPr="00E51DFE">
        <w:t>–</w:t>
      </w:r>
      <w:r w:rsidRPr="00E51DFE">
        <w:tab/>
        <w:t>s ohledem na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w:t>
      </w:r>
      <w:r w:rsidRPr="00E51DFE">
        <w:rPr>
          <w:vertAlign w:val="superscript"/>
        </w:rPr>
        <w:footnoteReference w:id="107"/>
      </w:r>
      <w:r w:rsidRPr="00E51DFE">
        <w:t>, a zejména na článek 97 tohoto nařízení,</w:t>
      </w:r>
    </w:p>
    <w:p w14:paraId="6AB0CCD4"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08"/>
      </w:r>
      <w:r w:rsidRPr="00E51DFE">
        <w:t>, a zejména na článek 105 tohoto nařízení,</w:t>
      </w:r>
    </w:p>
    <w:p w14:paraId="1BAEC473" w14:textId="77777777" w:rsidR="00872DB8" w:rsidRPr="00E51DFE" w:rsidRDefault="00872DB8" w:rsidP="00872DB8">
      <w:pPr>
        <w:spacing w:after="240"/>
        <w:ind w:left="567" w:hanging="567"/>
      </w:pPr>
      <w:r w:rsidRPr="00E51DFE">
        <w:t>–</w:t>
      </w:r>
      <w:r w:rsidRPr="00E51DFE">
        <w:tab/>
        <w:t>s ohledem na článek 102 a přílohu V jednacího řádu,</w:t>
      </w:r>
    </w:p>
    <w:p w14:paraId="1AB324A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592E3D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F3B13D5" w14:textId="77777777" w:rsidR="00872DB8" w:rsidRPr="00E51DFE" w:rsidRDefault="00872DB8" w:rsidP="00872DB8">
      <w:pPr>
        <w:spacing w:after="240"/>
        <w:ind w:left="567" w:hanging="567"/>
      </w:pPr>
      <w:r w:rsidRPr="00E51DFE">
        <w:t>1.</w:t>
      </w:r>
      <w:r w:rsidRPr="00E51DFE">
        <w:tab/>
        <w:t>schvaluje uzavření účtů Evropské agentury pro chemické látky za rozpočtový rok 2023;</w:t>
      </w:r>
    </w:p>
    <w:p w14:paraId="2874A7B9"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 agentury pro chemické látky, Radě, Komisi a Účetnímu dvoru a aby zajistila jeho zveřejnění v </w:t>
      </w:r>
      <w:r w:rsidRPr="00E51DFE">
        <w:rPr>
          <w:i/>
        </w:rPr>
        <w:t>Úředním věstníku Evropské unie</w:t>
      </w:r>
      <w:r w:rsidRPr="00E51DFE">
        <w:t xml:space="preserve"> (řada L).</w:t>
      </w:r>
    </w:p>
    <w:p w14:paraId="1E5339C7"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79DC4B66" w14:textId="7F336DFC" w:rsidR="00872DB8" w:rsidRPr="00E51DFE" w:rsidRDefault="00872DB8" w:rsidP="00872DB8">
      <w:pPr>
        <w:pStyle w:val="ATHeading3"/>
      </w:pPr>
      <w:r w:rsidRPr="00E51DFE">
        <w:t>19. Rozhodnutí Evropského parlamentu ze dne 7. května 2025 o udělení absolutoria za plnění rozpočtu Evropské agentury pro životní prostředí na rozpočtový rok 2023 (2024/2030(DEC))</w:t>
      </w:r>
    </w:p>
    <w:p w14:paraId="13458C88" w14:textId="77777777" w:rsidR="00872DB8" w:rsidRPr="00E51DFE" w:rsidRDefault="00872DB8" w:rsidP="00872DB8">
      <w:pPr>
        <w:spacing w:before="480" w:after="240"/>
      </w:pPr>
      <w:r w:rsidRPr="00E51DFE">
        <w:rPr>
          <w:i/>
        </w:rPr>
        <w:t>Evropský parlament</w:t>
      </w:r>
      <w:r w:rsidRPr="00E51DFE">
        <w:t>,</w:t>
      </w:r>
    </w:p>
    <w:p w14:paraId="6E2CF646" w14:textId="77777777" w:rsidR="00872DB8" w:rsidRPr="00E51DFE" w:rsidRDefault="00872DB8" w:rsidP="00872DB8">
      <w:pPr>
        <w:spacing w:after="240"/>
        <w:ind w:left="567" w:hanging="567"/>
      </w:pPr>
      <w:r w:rsidRPr="00E51DFE">
        <w:t>–</w:t>
      </w:r>
      <w:r w:rsidRPr="00E51DFE">
        <w:tab/>
        <w:t>s ohledem na konečnou roční účetní závěrku Evropské agentury pro životní prostředí za rozpočtový rok 2023,</w:t>
      </w:r>
    </w:p>
    <w:p w14:paraId="4DF0D676"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09"/>
      </w:r>
      <w:r w:rsidRPr="00E51DFE">
        <w:t>,</w:t>
      </w:r>
    </w:p>
    <w:p w14:paraId="2B605099"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10"/>
      </w:r>
      <w:r w:rsidRPr="00E51DFE">
        <w:t xml:space="preserve"> účetnictví a o legalitě a správnosti uskutečněných operací, které předložil Účetní dvůr za rozpočtový rok 2023 podle článku 287 Smlouvy o fungování Evropské unie,</w:t>
      </w:r>
    </w:p>
    <w:p w14:paraId="2900CE5B"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EF94B8F"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CD45FE6"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11"/>
      </w:r>
      <w:r w:rsidRPr="00E51DFE">
        <w:t>, a zejména na článek 70 tohoto nařízení,</w:t>
      </w:r>
    </w:p>
    <w:p w14:paraId="5A6FE82C"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12"/>
      </w:r>
      <w:r w:rsidRPr="00E51DFE">
        <w:t>, a zejména na článek 70 tohoto nařízení,</w:t>
      </w:r>
    </w:p>
    <w:p w14:paraId="122AD639" w14:textId="77777777" w:rsidR="00872DB8" w:rsidRPr="00E51DFE" w:rsidRDefault="00872DB8" w:rsidP="00872DB8">
      <w:pPr>
        <w:spacing w:after="240"/>
        <w:ind w:left="567" w:hanging="567"/>
      </w:pPr>
      <w:r w:rsidRPr="00E51DFE">
        <w:t>–</w:t>
      </w:r>
      <w:r w:rsidRPr="00E51DFE">
        <w:tab/>
        <w:t>s ohledem na nařízení Evropského parlamentu a Rady (ES) č. 401/2009 ze dne 23. dubna 2009 o Evropské agentuře pro životní prostředí a Evropské informační a pozorovací síti pro životní prostředí</w:t>
      </w:r>
      <w:r w:rsidRPr="00E51DFE">
        <w:rPr>
          <w:vertAlign w:val="superscript"/>
        </w:rPr>
        <w:footnoteReference w:id="113"/>
      </w:r>
      <w:r w:rsidRPr="00E51DFE">
        <w:t>, a zejména na článek 13 tohoto nařízení,</w:t>
      </w:r>
    </w:p>
    <w:p w14:paraId="10691450"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14"/>
      </w:r>
      <w:r w:rsidRPr="00E51DFE">
        <w:t>, a zejména na článek 105 tohoto nařízení,</w:t>
      </w:r>
    </w:p>
    <w:p w14:paraId="2A3CFF1B" w14:textId="77777777" w:rsidR="00872DB8" w:rsidRPr="00E51DFE" w:rsidRDefault="00872DB8" w:rsidP="00872DB8">
      <w:pPr>
        <w:spacing w:after="240"/>
        <w:ind w:left="567" w:hanging="567"/>
      </w:pPr>
      <w:r w:rsidRPr="00E51DFE">
        <w:t>–</w:t>
      </w:r>
      <w:r w:rsidRPr="00E51DFE">
        <w:tab/>
        <w:t>s ohledem na článek 102 a přílohu V jednacího řádu,</w:t>
      </w:r>
    </w:p>
    <w:p w14:paraId="01137193"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1F8C1CF"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F2FFEE4" w14:textId="77777777" w:rsidR="00872DB8" w:rsidRPr="00E51DFE" w:rsidRDefault="00872DB8" w:rsidP="00872DB8">
      <w:pPr>
        <w:spacing w:after="240"/>
        <w:ind w:left="567" w:hanging="567"/>
      </w:pPr>
      <w:r w:rsidRPr="00E51DFE">
        <w:t>1.</w:t>
      </w:r>
      <w:r w:rsidRPr="00E51DFE">
        <w:tab/>
        <w:t>uděluje absolutorium výkonné ředitelce Evropské agentury pro životní prostředí za plnění rozpočtu agentury na rozpočtový rok 2023;</w:t>
      </w:r>
    </w:p>
    <w:p w14:paraId="0F5223DC" w14:textId="77777777" w:rsidR="00872DB8" w:rsidRPr="00E51DFE" w:rsidRDefault="00872DB8" w:rsidP="00872DB8">
      <w:pPr>
        <w:spacing w:after="240"/>
        <w:ind w:left="567" w:hanging="567"/>
      </w:pPr>
      <w:r w:rsidRPr="00E51DFE">
        <w:t>2.</w:t>
      </w:r>
      <w:r w:rsidRPr="00E51DFE">
        <w:tab/>
        <w:t>předkládá své připomínky v níže uvedeném usnesení;</w:t>
      </w:r>
    </w:p>
    <w:p w14:paraId="5D3656C8"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 agentury pro životní prostředí, Radě, Komisi a Účetnímu dvoru a aby zajistila jejich zveřejnění v </w:t>
      </w:r>
      <w:r w:rsidRPr="00E51DFE">
        <w:rPr>
          <w:i/>
        </w:rPr>
        <w:t>Úředním věstníku Evropské unie</w:t>
      </w:r>
      <w:r w:rsidRPr="00E51DFE">
        <w:t xml:space="preserve"> (řada L).</w:t>
      </w:r>
    </w:p>
    <w:p w14:paraId="08AC28C7"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FA4FFE8" w14:textId="1D4F1DB5" w:rsidR="00872DB8" w:rsidRPr="00E51DFE" w:rsidRDefault="00872DB8" w:rsidP="00872DB8">
      <w:pPr>
        <w:pStyle w:val="ATHeading3"/>
      </w:pPr>
      <w:r w:rsidRPr="00E51DFE">
        <w:t>20. Rozhodnutí Evropského parlamentu ze dne 7. května 2025 o uzavření účtů Evropské agentury pro životní prostředí za rozpočtový rok 2023 (2024/2030(DEC))</w:t>
      </w:r>
    </w:p>
    <w:p w14:paraId="07FA482B" w14:textId="77777777" w:rsidR="00872DB8" w:rsidRPr="00E51DFE" w:rsidRDefault="00872DB8" w:rsidP="00872DB8">
      <w:pPr>
        <w:spacing w:before="480" w:after="240"/>
      </w:pPr>
      <w:r w:rsidRPr="00E51DFE">
        <w:rPr>
          <w:i/>
        </w:rPr>
        <w:t>Evropský parlament</w:t>
      </w:r>
      <w:r w:rsidRPr="00E51DFE">
        <w:t>,</w:t>
      </w:r>
    </w:p>
    <w:p w14:paraId="27AF47C7" w14:textId="77777777" w:rsidR="00872DB8" w:rsidRPr="00E51DFE" w:rsidRDefault="00872DB8" w:rsidP="00872DB8">
      <w:pPr>
        <w:spacing w:after="240"/>
        <w:ind w:left="567" w:hanging="567"/>
      </w:pPr>
      <w:r w:rsidRPr="00E51DFE">
        <w:t>–</w:t>
      </w:r>
      <w:r w:rsidRPr="00E51DFE">
        <w:tab/>
        <w:t>s ohledem na konečnou roční účetní závěrku Evropské agentury pro životní prostředí za rozpočtový rok 2023,</w:t>
      </w:r>
    </w:p>
    <w:p w14:paraId="0A6172F1"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15"/>
      </w:r>
      <w:r w:rsidRPr="00E51DFE">
        <w:t>,</w:t>
      </w:r>
    </w:p>
    <w:p w14:paraId="57832C44"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16"/>
      </w:r>
      <w:r w:rsidRPr="00E51DFE">
        <w:t xml:space="preserve"> účetnictví a o legalitě a správnosti uskutečněných operací, které předložil Účetní dvůr za rozpočtový rok 2023 podle článku 287 Smlouvy o fungování Evropské unie,</w:t>
      </w:r>
    </w:p>
    <w:p w14:paraId="5E4606B1"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3F7B93E9"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2E622C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17"/>
      </w:r>
      <w:r w:rsidRPr="00E51DFE">
        <w:t>, a zejména na článek 70 tohoto nařízení,</w:t>
      </w:r>
    </w:p>
    <w:p w14:paraId="51D194B8"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18"/>
      </w:r>
      <w:r w:rsidRPr="00E51DFE">
        <w:t>, a zejména na článek 70 tohoto nařízení,</w:t>
      </w:r>
    </w:p>
    <w:p w14:paraId="704341EA" w14:textId="77777777" w:rsidR="00872DB8" w:rsidRPr="00E51DFE" w:rsidRDefault="00872DB8" w:rsidP="00872DB8">
      <w:pPr>
        <w:spacing w:after="240"/>
        <w:ind w:left="567" w:hanging="567"/>
      </w:pPr>
      <w:r w:rsidRPr="00E51DFE">
        <w:t>–</w:t>
      </w:r>
      <w:r w:rsidRPr="00E51DFE">
        <w:tab/>
        <w:t>s ohledem na nařízení Evropského parlamentu a Rady (ES) č. 401/2009 ze dne 23. dubna 2009 o Evropské agentuře pro životní prostředí a Evropské informační a pozorovací síti pro životní prostředí</w:t>
      </w:r>
      <w:r w:rsidRPr="00E51DFE">
        <w:rPr>
          <w:vertAlign w:val="superscript"/>
        </w:rPr>
        <w:footnoteReference w:id="119"/>
      </w:r>
      <w:r w:rsidRPr="00E51DFE">
        <w:t>, a zejména na článek 13 tohoto nařízení,</w:t>
      </w:r>
    </w:p>
    <w:p w14:paraId="5F44B481"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20"/>
      </w:r>
      <w:r w:rsidRPr="00E51DFE">
        <w:t>, a zejména na článek 105 tohoto nařízení,</w:t>
      </w:r>
    </w:p>
    <w:p w14:paraId="69CD9480" w14:textId="77777777" w:rsidR="00872DB8" w:rsidRPr="00E51DFE" w:rsidRDefault="00872DB8" w:rsidP="00872DB8">
      <w:pPr>
        <w:spacing w:after="240"/>
        <w:ind w:left="567" w:hanging="567"/>
      </w:pPr>
      <w:r w:rsidRPr="00E51DFE">
        <w:t>–</w:t>
      </w:r>
      <w:r w:rsidRPr="00E51DFE">
        <w:tab/>
        <w:t>s ohledem na článek 102 a přílohu V jednacího řádu,</w:t>
      </w:r>
    </w:p>
    <w:p w14:paraId="0EC6D1F6"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C718D9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B513DFC" w14:textId="77777777" w:rsidR="00872DB8" w:rsidRPr="00E51DFE" w:rsidRDefault="00872DB8" w:rsidP="00872DB8">
      <w:pPr>
        <w:spacing w:after="240"/>
        <w:ind w:left="567" w:hanging="567"/>
      </w:pPr>
      <w:r w:rsidRPr="00E51DFE">
        <w:t>1.</w:t>
      </w:r>
      <w:r w:rsidRPr="00E51DFE">
        <w:tab/>
        <w:t>schvaluje uzavření účtů Evropské agentury pro životní prostředí za rozpočtový rok 2023;</w:t>
      </w:r>
    </w:p>
    <w:p w14:paraId="66C3B081"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 agentury pro životní prostředí, Radě, Komisi a Účetnímu dvoru a aby zajistila jeho zveřejnění v </w:t>
      </w:r>
      <w:r w:rsidRPr="00E51DFE">
        <w:rPr>
          <w:i/>
        </w:rPr>
        <w:t>Úředním věstníku Evropské unie</w:t>
      </w:r>
      <w:r w:rsidRPr="00E51DFE">
        <w:t xml:space="preserve"> (řada L).</w:t>
      </w:r>
    </w:p>
    <w:p w14:paraId="7C573B65"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98E9F88" w14:textId="602B9886" w:rsidR="00872DB8" w:rsidRPr="00E51DFE" w:rsidRDefault="00872DB8" w:rsidP="00872DB8">
      <w:pPr>
        <w:pStyle w:val="ATHeading3"/>
      </w:pPr>
      <w:r w:rsidRPr="00E51DFE">
        <w:t>21. Rozhodnutí Evropského parlamentu ze dne 7. května 2025 o udělení absolutoria za plnění rozpočtu Evropské agentury pro kontrolu rybolovu na rozpočtový rok 2023 (2024/2030(DEC))</w:t>
      </w:r>
    </w:p>
    <w:p w14:paraId="2F8AF867" w14:textId="77777777" w:rsidR="00872DB8" w:rsidRPr="00E51DFE" w:rsidRDefault="00872DB8" w:rsidP="00872DB8">
      <w:pPr>
        <w:spacing w:before="480" w:after="240"/>
      </w:pPr>
      <w:r w:rsidRPr="00E51DFE">
        <w:rPr>
          <w:i/>
        </w:rPr>
        <w:t>Evropský parlament</w:t>
      </w:r>
      <w:r w:rsidRPr="00E51DFE">
        <w:t>,</w:t>
      </w:r>
    </w:p>
    <w:p w14:paraId="016852A6" w14:textId="77777777" w:rsidR="00872DB8" w:rsidRPr="00E51DFE" w:rsidRDefault="00872DB8" w:rsidP="00872DB8">
      <w:pPr>
        <w:spacing w:after="240"/>
        <w:ind w:left="567" w:hanging="567"/>
      </w:pPr>
      <w:r w:rsidRPr="00E51DFE">
        <w:t>–</w:t>
      </w:r>
      <w:r w:rsidRPr="00E51DFE">
        <w:tab/>
        <w:t>s ohledem na konečnou roční účetní závěrku Evropské agentury pro kontrolu rybolovu za rozpočtový rok 2023,</w:t>
      </w:r>
    </w:p>
    <w:p w14:paraId="1A376BD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21"/>
      </w:r>
      <w:r w:rsidRPr="00E51DFE">
        <w:t>,</w:t>
      </w:r>
    </w:p>
    <w:p w14:paraId="5B31FB04"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22"/>
      </w:r>
      <w:r w:rsidRPr="00E51DFE">
        <w:t xml:space="preserve"> účetnictví a o legalitě a správnosti uskutečněných operací, které předložil Účetní dvůr za rozpočtový rok 2023 podle článku 287 Smlouvy o fungování Evropské unie,</w:t>
      </w:r>
    </w:p>
    <w:p w14:paraId="2777A5DA"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342272D0"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289B6E81"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23"/>
      </w:r>
      <w:r w:rsidRPr="00E51DFE">
        <w:t>, a zejména na článek 70 tohoto nařízení,</w:t>
      </w:r>
    </w:p>
    <w:p w14:paraId="6DEB15A4"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24"/>
      </w:r>
      <w:r w:rsidRPr="00E51DFE">
        <w:t>, a zejména na článek 70 tohoto nařízení,</w:t>
      </w:r>
    </w:p>
    <w:p w14:paraId="6EAA190E" w14:textId="77777777" w:rsidR="00872DB8" w:rsidRPr="00E51DFE" w:rsidRDefault="00872DB8" w:rsidP="00872DB8">
      <w:pPr>
        <w:spacing w:after="240"/>
        <w:ind w:left="567" w:hanging="567"/>
      </w:pPr>
      <w:r w:rsidRPr="00E51DFE">
        <w:t>–</w:t>
      </w:r>
      <w:r w:rsidRPr="00E51DFE">
        <w:tab/>
        <w:t>s ohledem na nařízení Evropského parlamentu a Rady (EU) 2019/473 ze dne 19. března 2019 o Evropské agentuře pro kontrolu rybolovu</w:t>
      </w:r>
      <w:r w:rsidRPr="00E51DFE">
        <w:rPr>
          <w:vertAlign w:val="superscript"/>
        </w:rPr>
        <w:footnoteReference w:id="125"/>
      </w:r>
      <w:r w:rsidRPr="00E51DFE">
        <w:t>, a zejména na článek 45 tohoto nařízení,</w:t>
      </w:r>
    </w:p>
    <w:p w14:paraId="0E901E42"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26"/>
      </w:r>
      <w:r w:rsidRPr="00E51DFE">
        <w:t>, a zejména na článek 105 tohoto nařízení,</w:t>
      </w:r>
    </w:p>
    <w:p w14:paraId="49E57A4E" w14:textId="77777777" w:rsidR="00872DB8" w:rsidRPr="00E51DFE" w:rsidRDefault="00872DB8" w:rsidP="00872DB8">
      <w:pPr>
        <w:spacing w:after="240"/>
        <w:ind w:left="567" w:hanging="567"/>
      </w:pPr>
      <w:r w:rsidRPr="00E51DFE">
        <w:t>–</w:t>
      </w:r>
      <w:r w:rsidRPr="00E51DFE">
        <w:tab/>
        <w:t>s ohledem na článek 102 a přílohu V jednacího řádu,</w:t>
      </w:r>
    </w:p>
    <w:p w14:paraId="0391E240"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EA1518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5DC22659" w14:textId="77777777" w:rsidR="00872DB8" w:rsidRPr="00E51DFE" w:rsidRDefault="00872DB8" w:rsidP="00872DB8">
      <w:pPr>
        <w:spacing w:after="240"/>
        <w:ind w:left="567" w:hanging="567"/>
      </w:pPr>
      <w:r w:rsidRPr="00E51DFE">
        <w:t>1.</w:t>
      </w:r>
      <w:r w:rsidRPr="00E51DFE">
        <w:tab/>
        <w:t>uděluje absolutorium výkonné ředitelce Evropské agentury pro kontrolu rybolovu za plnění rozpočtu agentury na rozpočtový rok 2023;</w:t>
      </w:r>
    </w:p>
    <w:p w14:paraId="7C4610E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27034F54"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 agentury pro kontrolu rybolovu, Radě, Komisi a Účetnímu dvoru a aby zajistila jejich zveřejnění v </w:t>
      </w:r>
      <w:r w:rsidRPr="00E51DFE">
        <w:rPr>
          <w:i/>
        </w:rPr>
        <w:t>Úředním věstníku Evropské unie</w:t>
      </w:r>
      <w:r w:rsidRPr="00E51DFE">
        <w:t xml:space="preserve"> (řada L).</w:t>
      </w:r>
    </w:p>
    <w:p w14:paraId="45070216"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8E7E527" w14:textId="24DF92B3" w:rsidR="00872DB8" w:rsidRPr="00E51DFE" w:rsidRDefault="00872DB8" w:rsidP="00872DB8">
      <w:pPr>
        <w:pStyle w:val="ATHeading3"/>
      </w:pPr>
      <w:r w:rsidRPr="00E51DFE">
        <w:t>22. Rozhodnutí Evropského parlamentu ze dne 7. května 2025 o uzavření účtů Evropské agentury pro kontrolu rybolovu za rozpočtový rok 2023 (2024/2030(DEC))</w:t>
      </w:r>
    </w:p>
    <w:p w14:paraId="334ED6DF" w14:textId="77777777" w:rsidR="00872DB8" w:rsidRPr="00E51DFE" w:rsidRDefault="00872DB8" w:rsidP="00872DB8">
      <w:pPr>
        <w:spacing w:before="480" w:after="240"/>
      </w:pPr>
      <w:r w:rsidRPr="00E51DFE">
        <w:rPr>
          <w:i/>
        </w:rPr>
        <w:t>Evropský parlament</w:t>
      </w:r>
      <w:r w:rsidRPr="00E51DFE">
        <w:t>,</w:t>
      </w:r>
    </w:p>
    <w:p w14:paraId="7295EA59" w14:textId="77777777" w:rsidR="00872DB8" w:rsidRPr="00E51DFE" w:rsidRDefault="00872DB8" w:rsidP="00872DB8">
      <w:pPr>
        <w:spacing w:after="240"/>
        <w:ind w:left="567" w:hanging="567"/>
      </w:pPr>
      <w:r w:rsidRPr="00E51DFE">
        <w:t>–</w:t>
      </w:r>
      <w:r w:rsidRPr="00E51DFE">
        <w:tab/>
        <w:t>s ohledem na konečnou roční účetní závěrku Evropské agentury pro kontrolu rybolovu za rozpočtový rok 2023,</w:t>
      </w:r>
    </w:p>
    <w:p w14:paraId="7C4C4127"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27"/>
      </w:r>
      <w:r w:rsidRPr="00E51DFE">
        <w:t>,</w:t>
      </w:r>
    </w:p>
    <w:p w14:paraId="146C79DE"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28"/>
      </w:r>
      <w:r w:rsidRPr="00E51DFE">
        <w:t xml:space="preserve"> účetnictví a o legalitě a správnosti uskutečněných operací, které předložil Účetní dvůr za rozpočtový rok 2023 podle článku 287 Smlouvy o fungování Evropské unie,</w:t>
      </w:r>
    </w:p>
    <w:p w14:paraId="208C0780"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370888C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D73F48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29"/>
      </w:r>
      <w:r w:rsidRPr="00E51DFE">
        <w:t>, a zejména na článek 70 tohoto nařízení,</w:t>
      </w:r>
    </w:p>
    <w:p w14:paraId="44782499"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30"/>
      </w:r>
      <w:r w:rsidRPr="00E51DFE">
        <w:t>, a zejména na článek 70 tohoto nařízení,</w:t>
      </w:r>
    </w:p>
    <w:p w14:paraId="5020E7B5" w14:textId="77777777" w:rsidR="00872DB8" w:rsidRPr="00E51DFE" w:rsidRDefault="00872DB8" w:rsidP="00872DB8">
      <w:pPr>
        <w:spacing w:after="240"/>
        <w:ind w:left="567" w:hanging="567"/>
      </w:pPr>
      <w:r w:rsidRPr="00E51DFE">
        <w:t>–</w:t>
      </w:r>
      <w:r w:rsidRPr="00E51DFE">
        <w:tab/>
        <w:t>s ohledem na nařízení Evropského parlamentu a Rady (EU) 2019/473 ze dne 19. března 2019 o Evropské agentuře pro kontrolu rybolovu</w:t>
      </w:r>
      <w:r w:rsidRPr="00E51DFE">
        <w:rPr>
          <w:vertAlign w:val="superscript"/>
        </w:rPr>
        <w:footnoteReference w:id="131"/>
      </w:r>
      <w:r w:rsidRPr="00E51DFE">
        <w:t>, a zejména na článek 45 tohoto nařízení,</w:t>
      </w:r>
    </w:p>
    <w:p w14:paraId="1965FAB3"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32"/>
      </w:r>
      <w:r w:rsidRPr="00E51DFE">
        <w:t>, a zejména na článek 105 tohoto nařízení,</w:t>
      </w:r>
    </w:p>
    <w:p w14:paraId="784F66BD" w14:textId="77777777" w:rsidR="00872DB8" w:rsidRPr="00E51DFE" w:rsidRDefault="00872DB8" w:rsidP="00872DB8">
      <w:pPr>
        <w:spacing w:after="240"/>
        <w:ind w:left="567" w:hanging="567"/>
      </w:pPr>
      <w:r w:rsidRPr="00E51DFE">
        <w:t>–</w:t>
      </w:r>
      <w:r w:rsidRPr="00E51DFE">
        <w:tab/>
        <w:t>s ohledem na článek 102 a přílohu V jednacího řádu,</w:t>
      </w:r>
    </w:p>
    <w:p w14:paraId="192545F7"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5F9DE6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DD544A6" w14:textId="77777777" w:rsidR="00872DB8" w:rsidRPr="00E51DFE" w:rsidRDefault="00872DB8" w:rsidP="00872DB8">
      <w:pPr>
        <w:spacing w:after="240"/>
        <w:ind w:left="567" w:hanging="567"/>
      </w:pPr>
      <w:r w:rsidRPr="00E51DFE">
        <w:t>1.</w:t>
      </w:r>
      <w:r w:rsidRPr="00E51DFE">
        <w:tab/>
        <w:t>schvaluje uzavření účtů Evropské agentury pro kontrolu rybolovu za rozpočtový rok 2023;</w:t>
      </w:r>
    </w:p>
    <w:p w14:paraId="19B74F20"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 agentury pro kontrolu rybolovu, Radě, Komisi a Účetnímu dvoru a aby zajistila jeho zveřejnění v </w:t>
      </w:r>
      <w:r w:rsidRPr="00E51DFE">
        <w:rPr>
          <w:i/>
        </w:rPr>
        <w:t>Úředním věstníku Evropské unie</w:t>
      </w:r>
      <w:r w:rsidRPr="00E51DFE">
        <w:t xml:space="preserve"> (řada L).</w:t>
      </w:r>
    </w:p>
    <w:p w14:paraId="286348A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3E71A32" w14:textId="2B59822B" w:rsidR="00872DB8" w:rsidRPr="00E51DFE" w:rsidRDefault="00872DB8" w:rsidP="00872DB8">
      <w:pPr>
        <w:pStyle w:val="ATHeading3"/>
      </w:pPr>
      <w:r w:rsidRPr="00E51DFE">
        <w:t>23. Rozhodnutí Evropského parlamentu ze dne 7. května 2025 o udělení absolutoria za plnění rozpočtu Evropského úřadu pro bezpečnost potravin na rozpočtový rok 2023 (2024/2030(DEC))</w:t>
      </w:r>
    </w:p>
    <w:p w14:paraId="53E49660" w14:textId="77777777" w:rsidR="00872DB8" w:rsidRPr="00E51DFE" w:rsidRDefault="00872DB8" w:rsidP="00872DB8">
      <w:pPr>
        <w:spacing w:before="480" w:after="240"/>
      </w:pPr>
      <w:r w:rsidRPr="00E51DFE">
        <w:rPr>
          <w:i/>
        </w:rPr>
        <w:t>Evropský parlament</w:t>
      </w:r>
      <w:r w:rsidRPr="00E51DFE">
        <w:t>,</w:t>
      </w:r>
    </w:p>
    <w:p w14:paraId="0369D325" w14:textId="77777777" w:rsidR="00872DB8" w:rsidRPr="00E51DFE" w:rsidRDefault="00872DB8" w:rsidP="00872DB8">
      <w:pPr>
        <w:spacing w:after="240"/>
        <w:ind w:left="567" w:hanging="567"/>
      </w:pPr>
      <w:r w:rsidRPr="00E51DFE">
        <w:t>–</w:t>
      </w:r>
      <w:r w:rsidRPr="00E51DFE">
        <w:tab/>
        <w:t>s ohledem na konečnou roční účetní závěrku Evropského úřadu pro bezpečnost potravin za rozpočtový rok 2023,</w:t>
      </w:r>
    </w:p>
    <w:p w14:paraId="0DD5E5F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33"/>
      </w:r>
      <w:r w:rsidRPr="00E51DFE">
        <w:t>,</w:t>
      </w:r>
    </w:p>
    <w:p w14:paraId="61E519E9"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34"/>
      </w:r>
      <w:r w:rsidRPr="00E51DFE">
        <w:t xml:space="preserve"> účetnictví a o legalitě a správnosti uskutečněných operací, které předložil Účetní dvůr za rozpočtový rok 2023 podle článku 287 Smlouvy o fungování Evropské unie,</w:t>
      </w:r>
    </w:p>
    <w:p w14:paraId="2D1FFB47" w14:textId="77777777" w:rsidR="00872DB8" w:rsidRPr="00E51DFE" w:rsidRDefault="00872DB8" w:rsidP="00872DB8">
      <w:pPr>
        <w:spacing w:after="240"/>
        <w:ind w:left="567" w:hanging="567"/>
      </w:pPr>
      <w:r w:rsidRPr="00E51DFE">
        <w:t>–</w:t>
      </w:r>
      <w:r w:rsidRPr="00E51DFE">
        <w:tab/>
        <w:t>s ohledem na doporučení Rady ze dne 17. února 2025 o udělení absolutoria úřadu za plnění rozpočtu na rozpočtový rok 2023 (05755/2025 – C10</w:t>
      </w:r>
      <w:r w:rsidRPr="00E51DFE">
        <w:noBreakHyphen/>
        <w:t>0024/2025),</w:t>
      </w:r>
    </w:p>
    <w:p w14:paraId="3EF7A165"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CF767E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35"/>
      </w:r>
      <w:r w:rsidRPr="00E51DFE">
        <w:t>, a zejména na článek 70 tohoto nařízení,</w:t>
      </w:r>
    </w:p>
    <w:p w14:paraId="7A5AA677"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36"/>
      </w:r>
      <w:r w:rsidRPr="00E51DFE">
        <w:t>, a zejména na článek 70 tohoto nařízení,</w:t>
      </w:r>
    </w:p>
    <w:p w14:paraId="02B12C5A" w14:textId="77777777" w:rsidR="00872DB8" w:rsidRPr="00E51DFE" w:rsidRDefault="00872DB8" w:rsidP="00872DB8">
      <w:pPr>
        <w:spacing w:after="240"/>
        <w:ind w:left="567" w:hanging="567"/>
      </w:pPr>
      <w:r w:rsidRPr="00E51DFE">
        <w:t>–</w:t>
      </w:r>
      <w:r w:rsidRPr="00E51DFE">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E51DFE">
        <w:rPr>
          <w:vertAlign w:val="superscript"/>
        </w:rPr>
        <w:footnoteReference w:id="137"/>
      </w:r>
      <w:r w:rsidRPr="00E51DFE">
        <w:t>, a zejména na článek 44 tohoto nařízení,</w:t>
      </w:r>
    </w:p>
    <w:p w14:paraId="61FF3BC1"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38"/>
      </w:r>
      <w:r w:rsidRPr="00E51DFE">
        <w:t>, a zejména na článek 105 tohoto nařízení,</w:t>
      </w:r>
    </w:p>
    <w:p w14:paraId="17A44AC3" w14:textId="77777777" w:rsidR="00872DB8" w:rsidRPr="00E51DFE" w:rsidRDefault="00872DB8" w:rsidP="00872DB8">
      <w:pPr>
        <w:spacing w:after="240"/>
        <w:ind w:left="567" w:hanging="567"/>
      </w:pPr>
      <w:r w:rsidRPr="00E51DFE">
        <w:t>–</w:t>
      </w:r>
      <w:r w:rsidRPr="00E51DFE">
        <w:tab/>
        <w:t>s ohledem na článek 102 a přílohu V jednacího řádu,</w:t>
      </w:r>
    </w:p>
    <w:p w14:paraId="14D4D7AF"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4631AEF"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90D0BCE" w14:textId="77777777" w:rsidR="00872DB8" w:rsidRPr="00E51DFE" w:rsidRDefault="00872DB8" w:rsidP="00872DB8">
      <w:pPr>
        <w:spacing w:after="240"/>
        <w:ind w:left="567" w:hanging="567"/>
      </w:pPr>
      <w:r w:rsidRPr="00E51DFE">
        <w:t>1.</w:t>
      </w:r>
      <w:r w:rsidRPr="00E51DFE">
        <w:tab/>
        <w:t>uděluje absolutorium úřadujícímu výkonnému řediteli Evropského úřadu pro bezpečnost potravin za plnění rozpočtu úřadu na rozpočtový rok 2023;</w:t>
      </w:r>
    </w:p>
    <w:p w14:paraId="748AB48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83C7EF4"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úřadujícímu výkonnému řediteli Evropského úřadu pro bezpečnost potravin, Radě, Komisi a Účetnímu dvoru a aby zajistila jejich zveřejnění v </w:t>
      </w:r>
      <w:r w:rsidRPr="00E51DFE">
        <w:rPr>
          <w:i/>
        </w:rPr>
        <w:t>Úředním věstníku Evropské unie</w:t>
      </w:r>
      <w:r w:rsidRPr="00E51DFE">
        <w:t xml:space="preserve"> (řada L).</w:t>
      </w:r>
    </w:p>
    <w:p w14:paraId="13DF1D4D"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7173D176" w14:textId="744D4CCF" w:rsidR="00872DB8" w:rsidRPr="00E51DFE" w:rsidRDefault="00872DB8" w:rsidP="00872DB8">
      <w:pPr>
        <w:pStyle w:val="ATHeading3"/>
      </w:pPr>
      <w:r w:rsidRPr="00E51DFE">
        <w:t>24. Rozhodnutí Evropského parlamentu ze dne 7. května 2025 o uzavření účtů Evropského úřadu pro bezpečnost potravin za rozpočtový rok 2023 (2024/2030(DEC))</w:t>
      </w:r>
    </w:p>
    <w:p w14:paraId="03378871" w14:textId="77777777" w:rsidR="00872DB8" w:rsidRPr="00E51DFE" w:rsidRDefault="00872DB8" w:rsidP="00872DB8">
      <w:pPr>
        <w:spacing w:before="480" w:after="240"/>
      </w:pPr>
      <w:r w:rsidRPr="00E51DFE">
        <w:rPr>
          <w:i/>
        </w:rPr>
        <w:t>Evropský parlament</w:t>
      </w:r>
      <w:r w:rsidRPr="00E51DFE">
        <w:t>,</w:t>
      </w:r>
    </w:p>
    <w:p w14:paraId="047A122C" w14:textId="77777777" w:rsidR="00872DB8" w:rsidRPr="00E51DFE" w:rsidRDefault="00872DB8" w:rsidP="00872DB8">
      <w:pPr>
        <w:spacing w:after="240"/>
        <w:ind w:left="567" w:hanging="567"/>
      </w:pPr>
      <w:r w:rsidRPr="00E51DFE">
        <w:t>–</w:t>
      </w:r>
      <w:r w:rsidRPr="00E51DFE">
        <w:tab/>
        <w:t>s ohledem na konečnou roční účetní závěrku Evropského úřadu pro bezpečnost potravin za rozpočtový rok 2023,</w:t>
      </w:r>
    </w:p>
    <w:p w14:paraId="5A17E186"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39"/>
      </w:r>
      <w:r w:rsidRPr="00E51DFE">
        <w:t>,</w:t>
      </w:r>
    </w:p>
    <w:p w14:paraId="6133C3B6"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40"/>
      </w:r>
      <w:r w:rsidRPr="00E51DFE">
        <w:t xml:space="preserve"> účetnictví a o legalitě a správnosti uskutečněných operací, které předložil Účetní dvůr za rozpočtový rok 2023 podle článku 287 Smlouvy o fungování Evropské unie,</w:t>
      </w:r>
    </w:p>
    <w:p w14:paraId="19E7F935" w14:textId="77777777" w:rsidR="00872DB8" w:rsidRPr="00E51DFE" w:rsidRDefault="00872DB8" w:rsidP="00872DB8">
      <w:pPr>
        <w:spacing w:after="240"/>
        <w:ind w:left="567" w:hanging="567"/>
      </w:pPr>
      <w:r w:rsidRPr="00E51DFE">
        <w:t>–</w:t>
      </w:r>
      <w:r w:rsidRPr="00E51DFE">
        <w:tab/>
        <w:t>s ohledem na doporučení Rady ze dne 17. února 2025 o udělení absolutoria úřadu za plnění rozpočtu na rozpočtový rok 2023 (05755/2025 – C10</w:t>
      </w:r>
      <w:r w:rsidRPr="00E51DFE">
        <w:noBreakHyphen/>
        <w:t>0024/2025),</w:t>
      </w:r>
    </w:p>
    <w:p w14:paraId="735022CB"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453BCF5"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41"/>
      </w:r>
      <w:r w:rsidRPr="00E51DFE">
        <w:t>, a zejména na článek 70 tohoto nařízení,</w:t>
      </w:r>
    </w:p>
    <w:p w14:paraId="7B84DC8A"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42"/>
      </w:r>
      <w:r w:rsidRPr="00E51DFE">
        <w:t>, a zejména na článek 70 tohoto nařízení,</w:t>
      </w:r>
    </w:p>
    <w:p w14:paraId="330D9CA9" w14:textId="77777777" w:rsidR="00872DB8" w:rsidRPr="00E51DFE" w:rsidRDefault="00872DB8" w:rsidP="00872DB8">
      <w:pPr>
        <w:spacing w:after="240"/>
        <w:ind w:left="567" w:hanging="567"/>
      </w:pPr>
      <w:r w:rsidRPr="00E51DFE">
        <w:t>–</w:t>
      </w:r>
      <w:r w:rsidRPr="00E51DFE">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E51DFE">
        <w:rPr>
          <w:vertAlign w:val="superscript"/>
        </w:rPr>
        <w:footnoteReference w:id="143"/>
      </w:r>
      <w:r w:rsidRPr="00E51DFE">
        <w:t>, a zejména na článek 44 tohoto nařízení,</w:t>
      </w:r>
    </w:p>
    <w:p w14:paraId="2C3FC30E"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44"/>
      </w:r>
      <w:r w:rsidRPr="00E51DFE">
        <w:t>, a zejména na článek 105 tohoto nařízení,</w:t>
      </w:r>
    </w:p>
    <w:p w14:paraId="252ACAC0" w14:textId="77777777" w:rsidR="00872DB8" w:rsidRPr="00E51DFE" w:rsidRDefault="00872DB8" w:rsidP="00872DB8">
      <w:pPr>
        <w:spacing w:after="240"/>
        <w:ind w:left="567" w:hanging="567"/>
      </w:pPr>
      <w:r w:rsidRPr="00E51DFE">
        <w:t>–</w:t>
      </w:r>
      <w:r w:rsidRPr="00E51DFE">
        <w:tab/>
        <w:t>s ohledem na článek 102 a přílohu V jednacího řádu,</w:t>
      </w:r>
    </w:p>
    <w:p w14:paraId="75B0F95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15A9DC1"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C62C776" w14:textId="77777777" w:rsidR="00872DB8" w:rsidRPr="00E51DFE" w:rsidRDefault="00872DB8" w:rsidP="00872DB8">
      <w:pPr>
        <w:spacing w:after="240"/>
        <w:ind w:left="567" w:hanging="567"/>
      </w:pPr>
      <w:r w:rsidRPr="00E51DFE">
        <w:t>1.</w:t>
      </w:r>
      <w:r w:rsidRPr="00E51DFE">
        <w:tab/>
        <w:t>schvaluje uzavření účtů Evropského úřadu pro bezpečnost potravin za rozpočtový rok 2023;</w:t>
      </w:r>
    </w:p>
    <w:p w14:paraId="648AC53E" w14:textId="77777777" w:rsidR="00872DB8" w:rsidRPr="00E51DFE" w:rsidRDefault="00872DB8" w:rsidP="00872DB8">
      <w:pPr>
        <w:spacing w:after="240"/>
        <w:ind w:left="567" w:hanging="567"/>
      </w:pPr>
      <w:r w:rsidRPr="00E51DFE">
        <w:t>2.</w:t>
      </w:r>
      <w:r w:rsidRPr="00E51DFE">
        <w:tab/>
        <w:t>pověřuje svou předsedkyni, aby předala toto rozhodnutí úřadujícímu výkonnému řediteli Evropského úřadu pro bezpečnost potravin, Radě, Komisi a Účetnímu dvoru a aby zajistila jeho zveřejnění v </w:t>
      </w:r>
      <w:r w:rsidRPr="00E51DFE">
        <w:rPr>
          <w:i/>
        </w:rPr>
        <w:t>Úředním věstníku Evropské unie</w:t>
      </w:r>
      <w:r w:rsidRPr="00E51DFE">
        <w:t xml:space="preserve"> (řada L).</w:t>
      </w:r>
    </w:p>
    <w:p w14:paraId="3ABDD16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F169217" w14:textId="130E958E" w:rsidR="00872DB8" w:rsidRPr="00E51DFE" w:rsidRDefault="00872DB8" w:rsidP="00872DB8">
      <w:pPr>
        <w:pStyle w:val="ATHeading3"/>
      </w:pPr>
      <w:r w:rsidRPr="00E51DFE">
        <w:t>25. Rozhodnutí Evropského parlamentu ze dne 7. května 2025 o udělení absolutoria za plnění rozpočtu Evropského institutu pro rovnost žen a mužů na rozpočtový rok 2023 (2024/2030(DEC))</w:t>
      </w:r>
    </w:p>
    <w:p w14:paraId="3FEF4F00" w14:textId="77777777" w:rsidR="00872DB8" w:rsidRPr="00E51DFE" w:rsidRDefault="00872DB8" w:rsidP="00872DB8">
      <w:pPr>
        <w:spacing w:before="480" w:after="240"/>
      </w:pPr>
      <w:r w:rsidRPr="00E51DFE">
        <w:rPr>
          <w:i/>
        </w:rPr>
        <w:t>Evropský parlament</w:t>
      </w:r>
      <w:r w:rsidRPr="00E51DFE">
        <w:t>,</w:t>
      </w:r>
    </w:p>
    <w:p w14:paraId="5AB69A40" w14:textId="77777777" w:rsidR="00872DB8" w:rsidRPr="00E51DFE" w:rsidRDefault="00872DB8" w:rsidP="00872DB8">
      <w:pPr>
        <w:spacing w:after="240"/>
        <w:ind w:left="567" w:hanging="567"/>
      </w:pPr>
      <w:r w:rsidRPr="00E51DFE">
        <w:t>–</w:t>
      </w:r>
      <w:r w:rsidRPr="00E51DFE">
        <w:tab/>
        <w:t>s ohledem na konečnou roční účetní závěrku Evropského institutu pro rovnost žen a mužů za rozpočtový rok 2023,</w:t>
      </w:r>
    </w:p>
    <w:p w14:paraId="2A486EA1"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45"/>
      </w:r>
      <w:r w:rsidRPr="00E51DFE">
        <w:t>,</w:t>
      </w:r>
    </w:p>
    <w:p w14:paraId="37C8E71D"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46"/>
      </w:r>
      <w:r w:rsidRPr="00E51DFE">
        <w:t xml:space="preserve"> účetnictví a o legalitě a správnosti uskutečněných operací, které předložil Účetní dvůr za rozpočtový rok 2023 podle článku 287 Smlouvy o fungování Evropské unie,</w:t>
      </w:r>
    </w:p>
    <w:p w14:paraId="31570819" w14:textId="77777777" w:rsidR="00872DB8" w:rsidRPr="00E51DFE" w:rsidRDefault="00872DB8" w:rsidP="00872DB8">
      <w:pPr>
        <w:spacing w:after="240"/>
        <w:ind w:left="567" w:hanging="567"/>
      </w:pPr>
      <w:r w:rsidRPr="00E51DFE">
        <w:t>–</w:t>
      </w:r>
      <w:r w:rsidRPr="00E51DFE">
        <w:tab/>
        <w:t>s ohledem na doporučení Rady ze dne 17. února 2025 o udělení absolutoria institutu za plnění rozpočtu na rozpočtový rok 2023 (05755/2025 – C10</w:t>
      </w:r>
      <w:r w:rsidRPr="00E51DFE">
        <w:noBreakHyphen/>
        <w:t>0024/2025),</w:t>
      </w:r>
    </w:p>
    <w:p w14:paraId="72DE624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86D044D"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47"/>
      </w:r>
      <w:r w:rsidRPr="00E51DFE">
        <w:t>, a zejména na článek 70 tohoto nařízení,</w:t>
      </w:r>
    </w:p>
    <w:p w14:paraId="694AD4F6"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48"/>
      </w:r>
      <w:r w:rsidRPr="00E51DFE">
        <w:t>, a zejména na článek 70 tohoto nařízení,</w:t>
      </w:r>
    </w:p>
    <w:p w14:paraId="76D8DD25" w14:textId="77777777" w:rsidR="00872DB8" w:rsidRPr="00E51DFE" w:rsidRDefault="00872DB8" w:rsidP="00872DB8">
      <w:pPr>
        <w:spacing w:after="240"/>
        <w:ind w:left="567" w:hanging="567"/>
      </w:pPr>
      <w:r w:rsidRPr="00E51DFE">
        <w:t>–</w:t>
      </w:r>
      <w:r w:rsidRPr="00E51DFE">
        <w:tab/>
        <w:t>s ohledem na nařízení Evropského parlamentu a Rady (ES) č. 1922/2006 ze dne 20. prosince 2006 o zřízení Evropského institutu pro rovnost žen a mužů</w:t>
      </w:r>
      <w:r w:rsidRPr="00E51DFE">
        <w:rPr>
          <w:vertAlign w:val="superscript"/>
        </w:rPr>
        <w:footnoteReference w:id="149"/>
      </w:r>
      <w:r w:rsidRPr="00E51DFE">
        <w:t>, a zejména na článek 15 tohoto nařízení,</w:t>
      </w:r>
    </w:p>
    <w:p w14:paraId="78A8D757"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50"/>
      </w:r>
      <w:r w:rsidRPr="00E51DFE">
        <w:t>, a zejména na článek 105 tohoto nařízení,</w:t>
      </w:r>
    </w:p>
    <w:p w14:paraId="005A0B09" w14:textId="77777777" w:rsidR="00872DB8" w:rsidRPr="00E51DFE" w:rsidRDefault="00872DB8" w:rsidP="00872DB8">
      <w:pPr>
        <w:spacing w:after="240"/>
        <w:ind w:left="567" w:hanging="567"/>
      </w:pPr>
      <w:r w:rsidRPr="00E51DFE">
        <w:t>–</w:t>
      </w:r>
      <w:r w:rsidRPr="00E51DFE">
        <w:tab/>
        <w:t>s ohledem na článek 102 a přílohu V jednacího řádu,</w:t>
      </w:r>
    </w:p>
    <w:p w14:paraId="19661770"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C9DDBE2"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F095E26" w14:textId="77777777" w:rsidR="00872DB8" w:rsidRPr="00E51DFE" w:rsidRDefault="00872DB8" w:rsidP="00872DB8">
      <w:pPr>
        <w:spacing w:after="240"/>
        <w:ind w:left="567" w:hanging="567"/>
      </w:pPr>
      <w:r w:rsidRPr="00E51DFE">
        <w:t>1.</w:t>
      </w:r>
      <w:r w:rsidRPr="00E51DFE">
        <w:tab/>
        <w:t>uděluje absolutorium ředitelce Evropského institutu pro rovnost žen a mužů za plnění rozpočtu institutu na rozpočtový rok 2023;</w:t>
      </w:r>
    </w:p>
    <w:p w14:paraId="356DBD2F"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DFF84B2"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Evropského institutu pro rovnost žen a mužů, Radě, Komisi a Účetnímu dvoru a aby zajistila jejich zveřejnění v </w:t>
      </w:r>
      <w:r w:rsidRPr="00E51DFE">
        <w:rPr>
          <w:i/>
        </w:rPr>
        <w:t>Úředním věstníku Evropské unie</w:t>
      </w:r>
      <w:r w:rsidRPr="00E51DFE">
        <w:t xml:space="preserve"> (řada L).</w:t>
      </w:r>
    </w:p>
    <w:p w14:paraId="5E928B96"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701DB0D" w14:textId="2E98E9AF" w:rsidR="00872DB8" w:rsidRPr="00E51DFE" w:rsidRDefault="00872DB8" w:rsidP="00872DB8">
      <w:pPr>
        <w:pStyle w:val="ATHeading3"/>
      </w:pPr>
      <w:r w:rsidRPr="00E51DFE">
        <w:t>26. Rozhodnutí Evropského parlamentu ze dne 7. května 2025 o uzavření účtů Evropského institutu pro rovnost žen a mužů za rozpočtový rok 2023 (2024/2030(DEC))</w:t>
      </w:r>
    </w:p>
    <w:p w14:paraId="5D3D483B" w14:textId="77777777" w:rsidR="00872DB8" w:rsidRPr="00E51DFE" w:rsidRDefault="00872DB8" w:rsidP="00872DB8">
      <w:pPr>
        <w:spacing w:before="480" w:after="240"/>
      </w:pPr>
      <w:r w:rsidRPr="00E51DFE">
        <w:rPr>
          <w:i/>
        </w:rPr>
        <w:t>Evropský parlament</w:t>
      </w:r>
      <w:r w:rsidRPr="00E51DFE">
        <w:t>,</w:t>
      </w:r>
    </w:p>
    <w:p w14:paraId="1308D65A" w14:textId="77777777" w:rsidR="00872DB8" w:rsidRPr="00E51DFE" w:rsidRDefault="00872DB8" w:rsidP="00872DB8">
      <w:pPr>
        <w:spacing w:after="240"/>
        <w:ind w:left="567" w:hanging="567"/>
      </w:pPr>
      <w:r w:rsidRPr="00E51DFE">
        <w:t>–</w:t>
      </w:r>
      <w:r w:rsidRPr="00E51DFE">
        <w:tab/>
        <w:t>s ohledem na konečnou roční účetní závěrku Evropského institutu pro rovnost žen a mužů za rozpočtový rok 2023,</w:t>
      </w:r>
    </w:p>
    <w:p w14:paraId="5514092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51"/>
      </w:r>
      <w:r w:rsidRPr="00E51DFE">
        <w:t>,</w:t>
      </w:r>
    </w:p>
    <w:p w14:paraId="7CAFB11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52"/>
      </w:r>
      <w:r w:rsidRPr="00E51DFE">
        <w:t xml:space="preserve"> účetnictví a o legalitě a správnosti uskutečněných operací, které předložil Účetní dvůr za rozpočtový rok 2023 podle článku 287 Smlouvy o fungování Evropské unie,</w:t>
      </w:r>
    </w:p>
    <w:p w14:paraId="7B29F20E" w14:textId="77777777" w:rsidR="00872DB8" w:rsidRPr="00E51DFE" w:rsidRDefault="00872DB8" w:rsidP="00872DB8">
      <w:pPr>
        <w:spacing w:after="240"/>
        <w:ind w:left="567" w:hanging="567"/>
      </w:pPr>
      <w:r w:rsidRPr="00E51DFE">
        <w:t>–</w:t>
      </w:r>
      <w:r w:rsidRPr="00E51DFE">
        <w:tab/>
        <w:t>s ohledem na doporučení Rady ze dne 17. února 2025 o udělení absolutoria institutu za plnění rozpočtu na rozpočtový rok 2023 (05755/2025 – C10</w:t>
      </w:r>
      <w:r w:rsidRPr="00E51DFE">
        <w:noBreakHyphen/>
        <w:t>0024/2025),</w:t>
      </w:r>
    </w:p>
    <w:p w14:paraId="13380B89"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81F316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53"/>
      </w:r>
      <w:r w:rsidRPr="00E51DFE">
        <w:t>, a zejména na článek 70 tohoto nařízení,</w:t>
      </w:r>
    </w:p>
    <w:p w14:paraId="0FB723D3"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54"/>
      </w:r>
      <w:r w:rsidRPr="00E51DFE">
        <w:t>, a zejména na článek 70 tohoto nařízení,</w:t>
      </w:r>
    </w:p>
    <w:p w14:paraId="7FE5FC3D" w14:textId="77777777" w:rsidR="00872DB8" w:rsidRPr="00E51DFE" w:rsidRDefault="00872DB8" w:rsidP="00872DB8">
      <w:pPr>
        <w:spacing w:after="240"/>
        <w:ind w:left="567" w:hanging="567"/>
      </w:pPr>
      <w:r w:rsidRPr="00E51DFE">
        <w:t>–</w:t>
      </w:r>
      <w:r w:rsidRPr="00E51DFE">
        <w:tab/>
        <w:t>s ohledem na nařízení Evropského parlamentu a Rady (ES) č. 1922/2006 ze dne 20. prosince 2006 o zřízení Evropského institutu pro rovnost žen a mužů</w:t>
      </w:r>
      <w:r w:rsidRPr="00E51DFE">
        <w:rPr>
          <w:vertAlign w:val="superscript"/>
        </w:rPr>
        <w:footnoteReference w:id="155"/>
      </w:r>
      <w:r w:rsidRPr="00E51DFE">
        <w:t>, a zejména na článek 15 tohoto nařízení,</w:t>
      </w:r>
    </w:p>
    <w:p w14:paraId="350A9EE8"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56"/>
      </w:r>
      <w:r w:rsidRPr="00E51DFE">
        <w:t>, a zejména na článek 105 tohoto nařízení,</w:t>
      </w:r>
    </w:p>
    <w:p w14:paraId="737EEFBD" w14:textId="77777777" w:rsidR="00872DB8" w:rsidRPr="00E51DFE" w:rsidRDefault="00872DB8" w:rsidP="00872DB8">
      <w:pPr>
        <w:spacing w:after="240"/>
        <w:ind w:left="567" w:hanging="567"/>
      </w:pPr>
      <w:r w:rsidRPr="00E51DFE">
        <w:t>–</w:t>
      </w:r>
      <w:r w:rsidRPr="00E51DFE">
        <w:tab/>
        <w:t>s ohledem na článek 102 a přílohu V jednacího řádu,</w:t>
      </w:r>
    </w:p>
    <w:p w14:paraId="67C00E1C"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DEA2A1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B5E10CC" w14:textId="77777777" w:rsidR="00872DB8" w:rsidRPr="00E51DFE" w:rsidRDefault="00872DB8" w:rsidP="00872DB8">
      <w:pPr>
        <w:spacing w:after="240"/>
        <w:ind w:left="567" w:hanging="567"/>
      </w:pPr>
      <w:r w:rsidRPr="00E51DFE">
        <w:t>1.</w:t>
      </w:r>
      <w:r w:rsidRPr="00E51DFE">
        <w:tab/>
        <w:t>schvaluje uzavření účtů Evropského institutu pro rovnost žen a mužů za rozpočtový rok 2023;</w:t>
      </w:r>
    </w:p>
    <w:p w14:paraId="52B7246C" w14:textId="77777777" w:rsidR="00872DB8" w:rsidRPr="00E51DFE" w:rsidRDefault="00872DB8" w:rsidP="00872DB8">
      <w:pPr>
        <w:spacing w:after="240"/>
        <w:ind w:left="567" w:hanging="567"/>
      </w:pPr>
      <w:r w:rsidRPr="00E51DFE">
        <w:t>2.</w:t>
      </w:r>
      <w:r w:rsidRPr="00E51DFE">
        <w:tab/>
        <w:t>pověřuje svou předsedkyni, aby předala toto rozhodnutí ředitelce Evropského institutu pro rovnost žen a mužů, Radě, Komisi a Účetnímu dvoru a aby zajistila jeho zveřejnění v </w:t>
      </w:r>
      <w:r w:rsidRPr="00E51DFE">
        <w:rPr>
          <w:i/>
        </w:rPr>
        <w:t>Úředním věstníku Evropské unie</w:t>
      </w:r>
      <w:r w:rsidRPr="00E51DFE">
        <w:t xml:space="preserve"> (řada L).</w:t>
      </w:r>
    </w:p>
    <w:p w14:paraId="56FD138E"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5E42400" w14:textId="7A70179F" w:rsidR="00872DB8" w:rsidRPr="00E51DFE" w:rsidRDefault="00872DB8" w:rsidP="00872DB8">
      <w:pPr>
        <w:pStyle w:val="ATHeading3"/>
      </w:pPr>
      <w:r w:rsidRPr="00E51DFE">
        <w:t>27. Rozhodnutí Evropského parlamentu ze dne 7. května 2025 o udělení absolutoria za plnění rozpočtu Evropského orgánu pro pojišťovnictví a zaměstnanecké penzijní pojištění na rozpočtový rok 2023 (2024/2030(DEC))</w:t>
      </w:r>
    </w:p>
    <w:p w14:paraId="5C45DFAD" w14:textId="77777777" w:rsidR="00872DB8" w:rsidRPr="00E51DFE" w:rsidRDefault="00872DB8" w:rsidP="00872DB8">
      <w:pPr>
        <w:spacing w:before="480" w:after="240"/>
      </w:pPr>
      <w:r w:rsidRPr="00E51DFE">
        <w:rPr>
          <w:i/>
        </w:rPr>
        <w:t>Evropský parlament</w:t>
      </w:r>
      <w:r w:rsidRPr="00E51DFE">
        <w:t>,</w:t>
      </w:r>
    </w:p>
    <w:p w14:paraId="7FA2DB37" w14:textId="77777777" w:rsidR="00872DB8" w:rsidRPr="00E51DFE" w:rsidRDefault="00872DB8" w:rsidP="00872DB8">
      <w:pPr>
        <w:spacing w:after="240"/>
        <w:ind w:left="567" w:hanging="567"/>
      </w:pPr>
      <w:r w:rsidRPr="00E51DFE">
        <w:t>–</w:t>
      </w:r>
      <w:r w:rsidRPr="00E51DFE">
        <w:tab/>
        <w:t>s ohledem na konečnou roční účetní závěrku Evropského orgánu pro pojišťovnictví a zaměstnanecké penzijní pojištění za rozpočtový rok 2023,</w:t>
      </w:r>
    </w:p>
    <w:p w14:paraId="25C0D859"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57"/>
      </w:r>
      <w:r w:rsidRPr="00E51DFE">
        <w:t>,</w:t>
      </w:r>
    </w:p>
    <w:p w14:paraId="7238A279"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58"/>
      </w:r>
      <w:r w:rsidRPr="00E51DFE">
        <w:t xml:space="preserve"> účetnictví a o legalitě a správnosti uskutečněných operací, které předložil Účetní dvůr za rozpočtový rok 2023 podle článku 287 Smlouvy o fungování Evropské unie,</w:t>
      </w:r>
    </w:p>
    <w:p w14:paraId="01BDFB7D"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7065A3E1"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64CD4C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59"/>
      </w:r>
      <w:r w:rsidRPr="00E51DFE">
        <w:t>, a zejména na článek 70 tohoto nařízení,</w:t>
      </w:r>
    </w:p>
    <w:p w14:paraId="4C8C496F"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60"/>
      </w:r>
      <w:r w:rsidRPr="00E51DFE">
        <w:t>, a zejména na článek 70 tohoto nařízení,</w:t>
      </w:r>
    </w:p>
    <w:p w14:paraId="3CEA116C" w14:textId="77777777" w:rsidR="00872DB8" w:rsidRPr="00E51DFE" w:rsidRDefault="00872DB8" w:rsidP="00872DB8">
      <w:pPr>
        <w:spacing w:after="240"/>
        <w:ind w:left="567" w:hanging="567"/>
      </w:pPr>
      <w:r w:rsidRPr="00E51DFE">
        <w:t>–</w:t>
      </w:r>
      <w:r w:rsidRPr="00E51DFE">
        <w:tab/>
        <w:t>s ohledem na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w:t>
      </w:r>
      <w:r w:rsidRPr="00E51DFE">
        <w:rPr>
          <w:vertAlign w:val="superscript"/>
        </w:rPr>
        <w:footnoteReference w:id="161"/>
      </w:r>
      <w:r w:rsidRPr="00E51DFE">
        <w:t>, a zejména na článek 64 tohoto nařízení,</w:t>
      </w:r>
    </w:p>
    <w:p w14:paraId="7AAB3DD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62"/>
      </w:r>
      <w:r w:rsidRPr="00E51DFE">
        <w:t>, a zejména na článek 105 tohoto nařízení,</w:t>
      </w:r>
    </w:p>
    <w:p w14:paraId="16713B21" w14:textId="77777777" w:rsidR="00872DB8" w:rsidRPr="00E51DFE" w:rsidRDefault="00872DB8" w:rsidP="00872DB8">
      <w:pPr>
        <w:spacing w:after="240"/>
        <w:ind w:left="567" w:hanging="567"/>
      </w:pPr>
      <w:r w:rsidRPr="00E51DFE">
        <w:t>–</w:t>
      </w:r>
      <w:r w:rsidRPr="00E51DFE">
        <w:tab/>
        <w:t>s ohledem na článek 102 a přílohu V jednacího řádu,</w:t>
      </w:r>
    </w:p>
    <w:p w14:paraId="10F60D93"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A7376CD"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AA16B5E" w14:textId="77777777" w:rsidR="00872DB8" w:rsidRPr="00E51DFE" w:rsidRDefault="00872DB8" w:rsidP="00872DB8">
      <w:pPr>
        <w:spacing w:after="240"/>
        <w:ind w:left="567" w:hanging="567"/>
      </w:pPr>
      <w:r w:rsidRPr="00E51DFE">
        <w:t>1.</w:t>
      </w:r>
      <w:r w:rsidRPr="00E51DFE">
        <w:tab/>
        <w:t>uděluje absolutorium výkonnému řediteli Evropského orgánu pro pojišťovnictví a zaměstnanecké penzijní pojištění za plnění rozpočtu orgánu na rozpočtový rok 2023;</w:t>
      </w:r>
    </w:p>
    <w:p w14:paraId="2DA0C745"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C097EE8"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Evropského orgánu pro pojišťovnictví a zaměstnanecké penzijní pojištění, Radě, Komisi a Účetnímu dvoru a aby zajistila jejich zveřejnění v </w:t>
      </w:r>
      <w:r w:rsidRPr="00E51DFE">
        <w:rPr>
          <w:i/>
        </w:rPr>
        <w:t>Úředním věstníku Evropské unie</w:t>
      </w:r>
      <w:r w:rsidRPr="00E51DFE">
        <w:t xml:space="preserve"> (řada L).</w:t>
      </w:r>
    </w:p>
    <w:p w14:paraId="63563FC7"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7ED9A9A7" w14:textId="6F03D9DD" w:rsidR="00872DB8" w:rsidRPr="00E51DFE" w:rsidRDefault="00872DB8" w:rsidP="00872DB8">
      <w:pPr>
        <w:pStyle w:val="ATHeading3"/>
      </w:pPr>
      <w:r w:rsidRPr="00E51DFE">
        <w:t>28. Rozhodnutí Evropského parlamentu ze dne 7. května 2025 o uzavření účtů Evropského orgánu pro pojišťovnictví a zaměstnanecké penzijní pojištění za rozpočtový rok 2023 (2024/2030(DEC))</w:t>
      </w:r>
    </w:p>
    <w:p w14:paraId="7F4E6F3D" w14:textId="77777777" w:rsidR="00872DB8" w:rsidRPr="00E51DFE" w:rsidRDefault="00872DB8" w:rsidP="00872DB8">
      <w:pPr>
        <w:spacing w:before="480" w:after="240"/>
      </w:pPr>
      <w:r w:rsidRPr="00E51DFE">
        <w:rPr>
          <w:i/>
        </w:rPr>
        <w:t>Evropský parlament</w:t>
      </w:r>
      <w:r w:rsidRPr="00E51DFE">
        <w:t>,</w:t>
      </w:r>
    </w:p>
    <w:p w14:paraId="7F0E75DC" w14:textId="77777777" w:rsidR="00872DB8" w:rsidRPr="00E51DFE" w:rsidRDefault="00872DB8" w:rsidP="00872DB8">
      <w:pPr>
        <w:spacing w:after="240"/>
        <w:ind w:left="567" w:hanging="567"/>
      </w:pPr>
      <w:r w:rsidRPr="00E51DFE">
        <w:t>–</w:t>
      </w:r>
      <w:r w:rsidRPr="00E51DFE">
        <w:tab/>
        <w:t>s ohledem na konečnou roční účetní závěrku Evropského orgánu pro pojišťovnictví a zaměstnanecké penzijní pojištění za rozpočtový rok 2023,</w:t>
      </w:r>
    </w:p>
    <w:p w14:paraId="68CC7F1E"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63"/>
      </w:r>
      <w:r w:rsidRPr="00E51DFE">
        <w:t>,</w:t>
      </w:r>
    </w:p>
    <w:p w14:paraId="0835880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64"/>
      </w:r>
      <w:r w:rsidRPr="00E51DFE">
        <w:t xml:space="preserve"> účetnictví a o legalitě a správnosti uskutečněných operací, které předložil Účetní dvůr za rozpočtový rok 2023 podle článku 287 Smlouvy o fungování Evropské unie,</w:t>
      </w:r>
    </w:p>
    <w:p w14:paraId="08B03E20"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6C4C135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D8EAF8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65"/>
      </w:r>
      <w:r w:rsidRPr="00E51DFE">
        <w:t>, a zejména na článek 70 tohoto nařízení,</w:t>
      </w:r>
    </w:p>
    <w:p w14:paraId="25F15784"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66"/>
      </w:r>
      <w:r w:rsidRPr="00E51DFE">
        <w:t>, a zejména na článek 70 tohoto nařízení,</w:t>
      </w:r>
    </w:p>
    <w:p w14:paraId="36B72BA2" w14:textId="77777777" w:rsidR="00872DB8" w:rsidRPr="00E51DFE" w:rsidRDefault="00872DB8" w:rsidP="00872DB8">
      <w:pPr>
        <w:spacing w:after="240"/>
        <w:ind w:left="567" w:hanging="567"/>
      </w:pPr>
      <w:r w:rsidRPr="00E51DFE">
        <w:t>–</w:t>
      </w:r>
      <w:r w:rsidRPr="00E51DFE">
        <w:tab/>
        <w:t>s ohledem na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w:t>
      </w:r>
      <w:r w:rsidRPr="00E51DFE">
        <w:rPr>
          <w:vertAlign w:val="superscript"/>
        </w:rPr>
        <w:footnoteReference w:id="167"/>
      </w:r>
      <w:r w:rsidRPr="00E51DFE">
        <w:t>, a zejména na článek 64 tohoto nařízení,</w:t>
      </w:r>
    </w:p>
    <w:p w14:paraId="2C11C709"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68"/>
      </w:r>
      <w:r w:rsidRPr="00E51DFE">
        <w:t>, a zejména na článek 105 tohoto nařízení,</w:t>
      </w:r>
    </w:p>
    <w:p w14:paraId="410D6E4D" w14:textId="77777777" w:rsidR="00872DB8" w:rsidRPr="00E51DFE" w:rsidRDefault="00872DB8" w:rsidP="00872DB8">
      <w:pPr>
        <w:spacing w:after="240"/>
        <w:ind w:left="567" w:hanging="567"/>
      </w:pPr>
      <w:r w:rsidRPr="00E51DFE">
        <w:t>–</w:t>
      </w:r>
      <w:r w:rsidRPr="00E51DFE">
        <w:tab/>
        <w:t>s ohledem na článek 102 a přílohu V jednacího řádu,</w:t>
      </w:r>
    </w:p>
    <w:p w14:paraId="3B4D4522"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E61F5EE"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F24775D" w14:textId="77777777" w:rsidR="00872DB8" w:rsidRPr="00E51DFE" w:rsidRDefault="00872DB8" w:rsidP="00872DB8">
      <w:pPr>
        <w:spacing w:after="240"/>
        <w:ind w:left="567" w:hanging="567"/>
      </w:pPr>
      <w:r w:rsidRPr="00E51DFE">
        <w:t>1.</w:t>
      </w:r>
      <w:r w:rsidRPr="00E51DFE">
        <w:tab/>
        <w:t>schvaluje uzavření účtů Evropského orgánu pro pojišťovnictví a zaměstnanecké penzijní pojištění za rozpočtový rok 2023;</w:t>
      </w:r>
    </w:p>
    <w:p w14:paraId="250404B3"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Evropského orgánu pro pojišťovnictví a zaměstnanecké penzijní pojištění, Radě, Komisi a Účetnímu dvoru a aby zajistila jeho zveřejnění v </w:t>
      </w:r>
      <w:r w:rsidRPr="00E51DFE">
        <w:rPr>
          <w:i/>
        </w:rPr>
        <w:t>Úředním věstníku Evropské unie</w:t>
      </w:r>
      <w:r w:rsidRPr="00E51DFE">
        <w:t xml:space="preserve"> (řada L).</w:t>
      </w:r>
    </w:p>
    <w:p w14:paraId="26351FAB"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F0CB863" w14:textId="12C1569D" w:rsidR="00872DB8" w:rsidRPr="00E51DFE" w:rsidRDefault="00872DB8" w:rsidP="00872DB8">
      <w:pPr>
        <w:pStyle w:val="ATHeading3"/>
      </w:pPr>
      <w:r w:rsidRPr="00E51DFE">
        <w:t>29. Rozhodnutí Evropského parlamentu ze dne 7. května 2025 o udělení absolutoria za plnění rozpočtu Evropského inovačního a technologického institutu na rozpočtový rok 2023 (2024/2030(DEC))</w:t>
      </w:r>
    </w:p>
    <w:p w14:paraId="060AA2EF" w14:textId="77777777" w:rsidR="00872DB8" w:rsidRPr="00E51DFE" w:rsidRDefault="00872DB8" w:rsidP="00872DB8">
      <w:pPr>
        <w:spacing w:before="480" w:after="240"/>
      </w:pPr>
      <w:r w:rsidRPr="00E51DFE">
        <w:rPr>
          <w:i/>
        </w:rPr>
        <w:t>Evropský parlament</w:t>
      </w:r>
      <w:r w:rsidRPr="00E51DFE">
        <w:t>,</w:t>
      </w:r>
    </w:p>
    <w:p w14:paraId="61194CB1" w14:textId="77777777" w:rsidR="00872DB8" w:rsidRPr="00E51DFE" w:rsidRDefault="00872DB8" w:rsidP="00872DB8">
      <w:pPr>
        <w:spacing w:after="240"/>
        <w:ind w:left="567" w:hanging="567"/>
      </w:pPr>
      <w:r w:rsidRPr="00E51DFE">
        <w:t>–</w:t>
      </w:r>
      <w:r w:rsidRPr="00E51DFE">
        <w:tab/>
        <w:t>s ohledem na konečnou roční účetní závěrku Evropského inovačního a technologického institutu za rozpočtový rok 2023,</w:t>
      </w:r>
    </w:p>
    <w:p w14:paraId="22A0000A"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69"/>
      </w:r>
      <w:r w:rsidRPr="00E51DFE">
        <w:t>,</w:t>
      </w:r>
    </w:p>
    <w:p w14:paraId="6F2E3C06"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70"/>
      </w:r>
      <w:r w:rsidRPr="00E51DFE">
        <w:t xml:space="preserve"> účetnictví a o legalitě a správnosti uskutečněných operací, které předložil Účetní dvůr za rozpočtový rok 2023 podle článku 287 Smlouvy o fungování Evropské unie,</w:t>
      </w:r>
    </w:p>
    <w:p w14:paraId="5BC19B74" w14:textId="77777777" w:rsidR="00872DB8" w:rsidRPr="00E51DFE" w:rsidRDefault="00872DB8" w:rsidP="00872DB8">
      <w:pPr>
        <w:spacing w:after="240"/>
        <w:ind w:left="567" w:hanging="567"/>
      </w:pPr>
      <w:r w:rsidRPr="00E51DFE">
        <w:t>–</w:t>
      </w:r>
      <w:r w:rsidRPr="00E51DFE">
        <w:tab/>
        <w:t>s ohledem na doporučení Rady ze dne 17. února 2025 o udělení absolutoria institutu za plnění rozpočtu na rozpočtový rok 2023 (05755/2025 – C10</w:t>
      </w:r>
      <w:r w:rsidRPr="00E51DFE">
        <w:noBreakHyphen/>
        <w:t>0024/2025),</w:t>
      </w:r>
    </w:p>
    <w:p w14:paraId="2D7592E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12924326"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71"/>
      </w:r>
      <w:r w:rsidRPr="00E51DFE">
        <w:t>, a zejména na článek 70 tohoto nařízení,</w:t>
      </w:r>
    </w:p>
    <w:p w14:paraId="1026D35D"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72"/>
      </w:r>
      <w:r w:rsidRPr="00E51DFE">
        <w:t>, a zejména na článek 70 tohoto nařízení,</w:t>
      </w:r>
    </w:p>
    <w:p w14:paraId="3C873FFF" w14:textId="77777777" w:rsidR="00872DB8" w:rsidRPr="00E51DFE" w:rsidRDefault="00872DB8" w:rsidP="00872DB8">
      <w:pPr>
        <w:spacing w:after="240"/>
        <w:ind w:left="567" w:hanging="567"/>
      </w:pPr>
      <w:r w:rsidRPr="00E51DFE">
        <w:t>–</w:t>
      </w:r>
      <w:r w:rsidRPr="00E51DFE">
        <w:tab/>
        <w:t>s ohledem na nařízení Evropského parlamentu a Rady (EU) 2021/819 ze dne 20. května 2021 o Evropském inovačním a technologickém institutu</w:t>
      </w:r>
      <w:r w:rsidRPr="00E51DFE">
        <w:rPr>
          <w:vertAlign w:val="superscript"/>
        </w:rPr>
        <w:footnoteReference w:id="173"/>
      </w:r>
      <w:r w:rsidRPr="00E51DFE">
        <w:t>, a zejména na článek 23 tohoto nařízení,</w:t>
      </w:r>
    </w:p>
    <w:p w14:paraId="2BAEEFBB"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74"/>
      </w:r>
      <w:r w:rsidRPr="00E51DFE">
        <w:t>, a zejména na článek 105 tohoto nařízení,</w:t>
      </w:r>
    </w:p>
    <w:p w14:paraId="712FA775" w14:textId="77777777" w:rsidR="00872DB8" w:rsidRPr="00E51DFE" w:rsidRDefault="00872DB8" w:rsidP="00872DB8">
      <w:pPr>
        <w:spacing w:after="240"/>
        <w:ind w:left="567" w:hanging="567"/>
      </w:pPr>
      <w:r w:rsidRPr="00E51DFE">
        <w:t>–</w:t>
      </w:r>
      <w:r w:rsidRPr="00E51DFE">
        <w:tab/>
        <w:t>s ohledem na článek 102 a přílohu V jednacího řádu,</w:t>
      </w:r>
    </w:p>
    <w:p w14:paraId="4C381B2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F75A2E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EF7FAB7" w14:textId="77777777" w:rsidR="00872DB8" w:rsidRPr="00E51DFE" w:rsidRDefault="00872DB8" w:rsidP="00872DB8">
      <w:pPr>
        <w:spacing w:after="240"/>
        <w:ind w:left="567" w:hanging="567"/>
      </w:pPr>
      <w:r w:rsidRPr="00E51DFE">
        <w:t>1.</w:t>
      </w:r>
      <w:r w:rsidRPr="00E51DFE">
        <w:tab/>
        <w:t>uděluje absolutorium řediteli Evropského inovačního a technologického institutu za plnění rozpočtu institutu na rozpočtový rok 2023;</w:t>
      </w:r>
    </w:p>
    <w:p w14:paraId="0A5A4D8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55CB7B7"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řediteli Evropského inovačního a technologického institutu, Radě, Komisi a Účetnímu dvoru a aby zajistila jejich zveřejnění v </w:t>
      </w:r>
      <w:r w:rsidRPr="00E51DFE">
        <w:rPr>
          <w:i/>
        </w:rPr>
        <w:t>Úředním věstníku Evropské unie</w:t>
      </w:r>
      <w:r w:rsidRPr="00E51DFE">
        <w:t xml:space="preserve"> (řada L).</w:t>
      </w:r>
    </w:p>
    <w:p w14:paraId="1100BD80"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4729F0E" w14:textId="6C42E908" w:rsidR="00872DB8" w:rsidRPr="00E51DFE" w:rsidRDefault="00872DB8" w:rsidP="00872DB8">
      <w:pPr>
        <w:pStyle w:val="ATHeading3"/>
      </w:pPr>
      <w:r w:rsidRPr="00E51DFE">
        <w:t>30. Rozhodnutí Evropského parlamentu ze dne 7. května 2025 o uzavření účtů Evropského inovačního a technologického institutu za rozpočtový rok 2023 (2024/2030(DEC))</w:t>
      </w:r>
    </w:p>
    <w:p w14:paraId="1C4CC7D6" w14:textId="77777777" w:rsidR="00872DB8" w:rsidRPr="00E51DFE" w:rsidRDefault="00872DB8" w:rsidP="00872DB8">
      <w:pPr>
        <w:spacing w:before="480" w:after="240"/>
      </w:pPr>
      <w:r w:rsidRPr="00E51DFE">
        <w:rPr>
          <w:i/>
        </w:rPr>
        <w:t>Evropský parlament</w:t>
      </w:r>
      <w:r w:rsidRPr="00E51DFE">
        <w:t>,</w:t>
      </w:r>
    </w:p>
    <w:p w14:paraId="489B17DC" w14:textId="77777777" w:rsidR="00872DB8" w:rsidRPr="00E51DFE" w:rsidRDefault="00872DB8" w:rsidP="00872DB8">
      <w:pPr>
        <w:spacing w:after="240"/>
        <w:ind w:left="567" w:hanging="567"/>
      </w:pPr>
      <w:r w:rsidRPr="00E51DFE">
        <w:t>–</w:t>
      </w:r>
      <w:r w:rsidRPr="00E51DFE">
        <w:tab/>
        <w:t>s ohledem na konečnou roční účetní závěrku Evropského inovačního a technologického institutu za rozpočtový rok 2023,</w:t>
      </w:r>
    </w:p>
    <w:p w14:paraId="00EF38D4"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75"/>
      </w:r>
      <w:r w:rsidRPr="00E51DFE">
        <w:t>,</w:t>
      </w:r>
    </w:p>
    <w:p w14:paraId="7463D1B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76"/>
      </w:r>
      <w:r w:rsidRPr="00E51DFE">
        <w:t xml:space="preserve"> účetnictví a o legalitě a správnosti uskutečněných operací, které předložil Účetní dvůr za rozpočtový rok 2023 podle článku 287 Smlouvy o fungování Evropské unie,</w:t>
      </w:r>
    </w:p>
    <w:p w14:paraId="34704161" w14:textId="77777777" w:rsidR="00872DB8" w:rsidRPr="00E51DFE" w:rsidRDefault="00872DB8" w:rsidP="00872DB8">
      <w:pPr>
        <w:spacing w:after="240"/>
        <w:ind w:left="567" w:hanging="567"/>
      </w:pPr>
      <w:r w:rsidRPr="00E51DFE">
        <w:t>–</w:t>
      </w:r>
      <w:r w:rsidRPr="00E51DFE">
        <w:tab/>
        <w:t>s ohledem na doporučení Rady ze dne 17. února 2025 o udělení absolutoria institutu za plnění rozpočtu na rozpočtový rok 2023 (05755/2025 – C10</w:t>
      </w:r>
      <w:r w:rsidRPr="00E51DFE">
        <w:noBreakHyphen/>
        <w:t>0024/2025),</w:t>
      </w:r>
    </w:p>
    <w:p w14:paraId="5188EF9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D5C6D64"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77"/>
      </w:r>
      <w:r w:rsidRPr="00E51DFE">
        <w:t>, a zejména na článek 70 tohoto nařízení,</w:t>
      </w:r>
    </w:p>
    <w:p w14:paraId="2DDD60A2"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78"/>
      </w:r>
      <w:r w:rsidRPr="00E51DFE">
        <w:t>, a zejména na článek 70 tohoto nařízení,</w:t>
      </w:r>
    </w:p>
    <w:p w14:paraId="20D0EF62" w14:textId="77777777" w:rsidR="00872DB8" w:rsidRPr="00E51DFE" w:rsidRDefault="00872DB8" w:rsidP="00872DB8">
      <w:pPr>
        <w:spacing w:after="240"/>
        <w:ind w:left="567" w:hanging="567"/>
      </w:pPr>
      <w:r w:rsidRPr="00E51DFE">
        <w:t>–</w:t>
      </w:r>
      <w:r w:rsidRPr="00E51DFE">
        <w:tab/>
        <w:t>s ohledem na nařízení Evropského parlamentu a Rady (EU) 2021/819 ze dne 20. května 2021 o Evropském inovačním a technologickém institutu</w:t>
      </w:r>
      <w:r w:rsidRPr="00E51DFE">
        <w:rPr>
          <w:vertAlign w:val="superscript"/>
        </w:rPr>
        <w:footnoteReference w:id="179"/>
      </w:r>
      <w:r w:rsidRPr="00E51DFE">
        <w:t>, a zejména na článek 23 tohoto nařízení,</w:t>
      </w:r>
    </w:p>
    <w:p w14:paraId="0A7C55D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80"/>
      </w:r>
      <w:r w:rsidRPr="00E51DFE">
        <w:t>, a zejména na článek 105 tohoto nařízení,</w:t>
      </w:r>
    </w:p>
    <w:p w14:paraId="5EF6381A" w14:textId="77777777" w:rsidR="00872DB8" w:rsidRPr="00E51DFE" w:rsidRDefault="00872DB8" w:rsidP="00872DB8">
      <w:pPr>
        <w:spacing w:after="240"/>
        <w:ind w:left="567" w:hanging="567"/>
      </w:pPr>
      <w:r w:rsidRPr="00E51DFE">
        <w:t>–</w:t>
      </w:r>
      <w:r w:rsidRPr="00E51DFE">
        <w:tab/>
        <w:t>s ohledem na článek 102 a přílohu V jednacího řádu,</w:t>
      </w:r>
    </w:p>
    <w:p w14:paraId="26D3283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DBABFF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5063357B" w14:textId="77777777" w:rsidR="00872DB8" w:rsidRPr="00E51DFE" w:rsidRDefault="00872DB8" w:rsidP="00872DB8">
      <w:pPr>
        <w:spacing w:after="240"/>
        <w:ind w:left="567" w:hanging="567"/>
      </w:pPr>
      <w:r w:rsidRPr="00E51DFE">
        <w:t>1.</w:t>
      </w:r>
      <w:r w:rsidRPr="00E51DFE">
        <w:tab/>
        <w:t>schvaluje uzavření účtů Evropského inovačního a technologického institutu za rozpočtový rok 2023;</w:t>
      </w:r>
    </w:p>
    <w:p w14:paraId="090785DB" w14:textId="77777777" w:rsidR="00872DB8" w:rsidRPr="00E51DFE" w:rsidRDefault="00872DB8" w:rsidP="00872DB8">
      <w:pPr>
        <w:spacing w:after="240"/>
        <w:ind w:left="567" w:hanging="567"/>
      </w:pPr>
      <w:r w:rsidRPr="00E51DFE">
        <w:t>2.</w:t>
      </w:r>
      <w:r w:rsidRPr="00E51DFE">
        <w:tab/>
        <w:t>pověřuje svou předsedkyni, aby předala toto rozhodnutí řediteli Evropského inovačního a technologického institutu, Radě, Komisi a Účetnímu dvoru a aby zajistila jeho zveřejnění v </w:t>
      </w:r>
      <w:r w:rsidRPr="00E51DFE">
        <w:rPr>
          <w:i/>
        </w:rPr>
        <w:t>Úředním věstníku Evropské unie</w:t>
      </w:r>
      <w:r w:rsidRPr="00E51DFE">
        <w:t xml:space="preserve"> (řada L).</w:t>
      </w:r>
    </w:p>
    <w:p w14:paraId="00A6D1B1"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AC73072" w14:textId="65309979" w:rsidR="00872DB8" w:rsidRPr="00E51DFE" w:rsidRDefault="00872DB8" w:rsidP="00872DB8">
      <w:pPr>
        <w:pStyle w:val="ATHeading3"/>
      </w:pPr>
      <w:r w:rsidRPr="00E51DFE">
        <w:t>31. Rozhodnutí Evropského parlamentu ze dne 7. května 2025 o udělení absolutoria za plnění rozpočtu Evropského orgánu pro pracovní záležitosti na rozpočtový rok 2023 (2024/2030(DEC))</w:t>
      </w:r>
    </w:p>
    <w:p w14:paraId="669A4148" w14:textId="77777777" w:rsidR="00872DB8" w:rsidRPr="00E51DFE" w:rsidRDefault="00872DB8" w:rsidP="00872DB8">
      <w:pPr>
        <w:spacing w:before="480" w:after="240"/>
      </w:pPr>
      <w:r w:rsidRPr="00E51DFE">
        <w:rPr>
          <w:i/>
        </w:rPr>
        <w:t>Evropský parlament</w:t>
      </w:r>
      <w:r w:rsidRPr="00E51DFE">
        <w:t>,</w:t>
      </w:r>
    </w:p>
    <w:p w14:paraId="46C75184" w14:textId="77777777" w:rsidR="00872DB8" w:rsidRPr="00E51DFE" w:rsidRDefault="00872DB8" w:rsidP="00872DB8">
      <w:pPr>
        <w:spacing w:after="240"/>
        <w:ind w:left="567" w:hanging="567"/>
      </w:pPr>
      <w:r w:rsidRPr="00E51DFE">
        <w:t>–</w:t>
      </w:r>
      <w:r w:rsidRPr="00E51DFE">
        <w:tab/>
        <w:t>s ohledem na konečnou roční účetní závěrku Evropského orgánu pro pracovní záležitosti za rozpočtový rok 2023,</w:t>
      </w:r>
    </w:p>
    <w:p w14:paraId="678F1BC1"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81"/>
      </w:r>
      <w:r w:rsidRPr="00E51DFE">
        <w:t>,</w:t>
      </w:r>
    </w:p>
    <w:p w14:paraId="78289D0B"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82"/>
      </w:r>
      <w:r w:rsidRPr="00E51DFE">
        <w:t xml:space="preserve"> účetnictví a o legalitě a správnosti uskutečněných operací, které předložil Účetní dvůr za rozpočtový rok 2023 podle článku 287 Smlouvy o fungování Evropské unie,</w:t>
      </w:r>
    </w:p>
    <w:p w14:paraId="491D9858"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0F6A50C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CAA5A01"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83"/>
      </w:r>
      <w:r w:rsidRPr="00E51DFE">
        <w:t>, a zejména na článek 70 tohoto nařízení,</w:t>
      </w:r>
    </w:p>
    <w:p w14:paraId="2E4BC589"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84"/>
      </w:r>
      <w:r w:rsidRPr="00E51DFE">
        <w:t>, a zejména na článek 70 tohoto nařízení,</w:t>
      </w:r>
    </w:p>
    <w:p w14:paraId="2BE5E546" w14:textId="77777777" w:rsidR="00872DB8" w:rsidRPr="00E51DFE" w:rsidRDefault="00872DB8" w:rsidP="00872DB8">
      <w:pPr>
        <w:spacing w:after="240"/>
        <w:ind w:left="567" w:hanging="567"/>
      </w:pPr>
      <w:r w:rsidRPr="00E51DFE">
        <w:t>–</w:t>
      </w:r>
      <w:r w:rsidRPr="00E51DFE">
        <w:tab/>
        <w:t>s ohledem na nařízení Evropského parlamentu a Rady (EU) 2019/1149 ze dne 20. června 2019, kterým se zřizuje Evropský orgán pro pracovní záležitosti, mění nařízení (ES) č. 883/2004, (EU) č. 492/2011 a (EU) 2016/589 a zrušuje rozhodnutí (EU) 2016/344</w:t>
      </w:r>
      <w:r w:rsidRPr="00E51DFE">
        <w:rPr>
          <w:vertAlign w:val="superscript"/>
        </w:rPr>
        <w:footnoteReference w:id="185"/>
      </w:r>
      <w:r w:rsidRPr="00E51DFE">
        <w:t>, a zejména na článek 28 tohoto nařízení,</w:t>
      </w:r>
    </w:p>
    <w:p w14:paraId="2D99735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86"/>
      </w:r>
      <w:r w:rsidRPr="00E51DFE">
        <w:t>, a zejména na článek 105 tohoto nařízení,</w:t>
      </w:r>
    </w:p>
    <w:p w14:paraId="72EB94D1" w14:textId="77777777" w:rsidR="00872DB8" w:rsidRPr="00E51DFE" w:rsidRDefault="00872DB8" w:rsidP="00872DB8">
      <w:pPr>
        <w:spacing w:after="240"/>
        <w:ind w:left="567" w:hanging="567"/>
      </w:pPr>
      <w:r w:rsidRPr="00E51DFE">
        <w:t>–</w:t>
      </w:r>
      <w:r w:rsidRPr="00E51DFE">
        <w:tab/>
        <w:t>s ohledem na článek 102 a přílohu V jednacího řádu,</w:t>
      </w:r>
    </w:p>
    <w:p w14:paraId="52B9148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1566487"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A5B59D3" w14:textId="77777777" w:rsidR="00872DB8" w:rsidRPr="00E51DFE" w:rsidRDefault="00872DB8" w:rsidP="00872DB8">
      <w:pPr>
        <w:spacing w:after="240"/>
        <w:ind w:left="567" w:hanging="567"/>
      </w:pPr>
      <w:r w:rsidRPr="00E51DFE">
        <w:t>1.</w:t>
      </w:r>
      <w:r w:rsidRPr="00E51DFE">
        <w:tab/>
        <w:t>uděluje absolutorium výkonnému řediteli Evropského orgánu pro pracovní záležitosti za plnění rozpočtu orgánu na rozpočtový rok 2023;</w:t>
      </w:r>
    </w:p>
    <w:p w14:paraId="6D91B1C4"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95D9C4D"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Evropského orgánu pro pracovní záležitosti, Radě, Komisi a Účetnímu dvoru a aby zajistila jejich zveřejnění v </w:t>
      </w:r>
      <w:r w:rsidRPr="00E51DFE">
        <w:rPr>
          <w:i/>
        </w:rPr>
        <w:t>Úředním věstníku Evropské unie</w:t>
      </w:r>
      <w:r w:rsidRPr="00E51DFE">
        <w:t xml:space="preserve"> (řada L).</w:t>
      </w:r>
    </w:p>
    <w:p w14:paraId="6741DF42"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51EC409" w14:textId="0E263203" w:rsidR="00872DB8" w:rsidRPr="00E51DFE" w:rsidRDefault="00872DB8" w:rsidP="00872DB8">
      <w:pPr>
        <w:pStyle w:val="ATHeading3"/>
      </w:pPr>
      <w:r w:rsidRPr="00E51DFE">
        <w:t>32. Rozhodnutí Evropského parlamentu ze dne 7. května 2025 o uzavření účtů Evropského orgánu pro pracovní záležitosti za rozpočtový rok 2023 (2024/2030(DEC))</w:t>
      </w:r>
    </w:p>
    <w:p w14:paraId="68537E09" w14:textId="77777777" w:rsidR="00872DB8" w:rsidRPr="00E51DFE" w:rsidRDefault="00872DB8" w:rsidP="00872DB8">
      <w:pPr>
        <w:spacing w:before="480" w:after="240"/>
      </w:pPr>
      <w:r w:rsidRPr="00E51DFE">
        <w:rPr>
          <w:i/>
        </w:rPr>
        <w:t>Evropský parlament</w:t>
      </w:r>
      <w:r w:rsidRPr="00E51DFE">
        <w:t>,</w:t>
      </w:r>
    </w:p>
    <w:p w14:paraId="66170745" w14:textId="77777777" w:rsidR="00872DB8" w:rsidRPr="00E51DFE" w:rsidRDefault="00872DB8" w:rsidP="00872DB8">
      <w:pPr>
        <w:spacing w:after="240"/>
        <w:ind w:left="567" w:hanging="567"/>
      </w:pPr>
      <w:r w:rsidRPr="00E51DFE">
        <w:t>–</w:t>
      </w:r>
      <w:r w:rsidRPr="00E51DFE">
        <w:tab/>
        <w:t>s ohledem na konečnou roční účetní závěrku Evropského orgánu pro pracovní záležitosti za rozpočtový rok 2023,</w:t>
      </w:r>
    </w:p>
    <w:p w14:paraId="1C7EC067"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87"/>
      </w:r>
      <w:r w:rsidRPr="00E51DFE">
        <w:t>,</w:t>
      </w:r>
    </w:p>
    <w:p w14:paraId="45A7FD32"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88"/>
      </w:r>
      <w:r w:rsidRPr="00E51DFE">
        <w:t xml:space="preserve"> účetnictví a o legalitě a správnosti uskutečněných operací, které předložil Účetní dvůr za rozpočtový rok 2023 podle článku 287 Smlouvy o fungování Evropské unie,</w:t>
      </w:r>
    </w:p>
    <w:p w14:paraId="58A92F78"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6D8EF34B"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2018893F"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89"/>
      </w:r>
      <w:r w:rsidRPr="00E51DFE">
        <w:t>, a zejména na článek 70 tohoto nařízení,</w:t>
      </w:r>
    </w:p>
    <w:p w14:paraId="6855F93F"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90"/>
      </w:r>
      <w:r w:rsidRPr="00E51DFE">
        <w:t>, a zejména na článek 70 tohoto nařízení,</w:t>
      </w:r>
    </w:p>
    <w:p w14:paraId="4547CB0A" w14:textId="77777777" w:rsidR="00872DB8" w:rsidRPr="00E51DFE" w:rsidRDefault="00872DB8" w:rsidP="00872DB8">
      <w:pPr>
        <w:spacing w:after="240"/>
        <w:ind w:left="567" w:hanging="567"/>
      </w:pPr>
      <w:r w:rsidRPr="00E51DFE">
        <w:t>–</w:t>
      </w:r>
      <w:r w:rsidRPr="00E51DFE">
        <w:tab/>
        <w:t>s ohledem na nařízení Evropského parlamentu a Rady (EU) 2019/1149 ze dne 20. června 2019, kterým se zřizuje Evropský orgán pro pracovní záležitosti, mění nařízení (ES) č. 883/2004, (EU) č. 492/2011 a (EU) 2016/589 a zrušuje rozhodnutí (EU) 2016/344</w:t>
      </w:r>
      <w:r w:rsidRPr="00E51DFE">
        <w:rPr>
          <w:vertAlign w:val="superscript"/>
        </w:rPr>
        <w:footnoteReference w:id="191"/>
      </w:r>
      <w:r w:rsidRPr="00E51DFE">
        <w:t>, a zejména na článek 28 tohoto nařízení,</w:t>
      </w:r>
    </w:p>
    <w:p w14:paraId="6E4520B6"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92"/>
      </w:r>
      <w:r w:rsidRPr="00E51DFE">
        <w:t>, a zejména na článek 105 tohoto nařízení,</w:t>
      </w:r>
    </w:p>
    <w:p w14:paraId="6D04DD67" w14:textId="77777777" w:rsidR="00872DB8" w:rsidRPr="00E51DFE" w:rsidRDefault="00872DB8" w:rsidP="00872DB8">
      <w:pPr>
        <w:spacing w:after="240"/>
        <w:ind w:left="567" w:hanging="567"/>
      </w:pPr>
      <w:r w:rsidRPr="00E51DFE">
        <w:t>–</w:t>
      </w:r>
      <w:r w:rsidRPr="00E51DFE">
        <w:tab/>
        <w:t>s ohledem na článek 102 a přílohu V jednacího řádu,</w:t>
      </w:r>
    </w:p>
    <w:p w14:paraId="6EAE98D9"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3B2AB45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0556304" w14:textId="77777777" w:rsidR="00872DB8" w:rsidRPr="00E51DFE" w:rsidRDefault="00872DB8" w:rsidP="00872DB8">
      <w:pPr>
        <w:spacing w:after="240"/>
        <w:ind w:left="567" w:hanging="567"/>
      </w:pPr>
      <w:r w:rsidRPr="00E51DFE">
        <w:t>1.</w:t>
      </w:r>
      <w:r w:rsidRPr="00E51DFE">
        <w:tab/>
        <w:t>schvaluje uzavření účtů Evropského orgánu pro pracovní záležitosti za rozpočtový rok 2023;</w:t>
      </w:r>
    </w:p>
    <w:p w14:paraId="16C4827F"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Evropského orgánu pro pracovní záležitosti, Radě, Komisi a Účetnímu dvoru a aby zajistila jeho zveřejnění v </w:t>
      </w:r>
      <w:r w:rsidRPr="00E51DFE">
        <w:rPr>
          <w:i/>
        </w:rPr>
        <w:t>Úředním věstníku Evropské unie</w:t>
      </w:r>
      <w:r w:rsidRPr="00E51DFE">
        <w:t xml:space="preserve"> (řada L).</w:t>
      </w:r>
    </w:p>
    <w:p w14:paraId="0BCF074D"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2057BB30" w14:textId="78FE8572" w:rsidR="00872DB8" w:rsidRPr="00E51DFE" w:rsidRDefault="00872DB8" w:rsidP="00872DB8">
      <w:pPr>
        <w:pStyle w:val="ATHeading3"/>
      </w:pPr>
      <w:r w:rsidRPr="00E51DFE">
        <w:t>33. Rozhodnutí Evropského parlamentu ze dne 7. května 2025 o udělení absolutoria za plnění rozpočtu Evropské agentury pro léčivé přípravky na rozpočtový rok 2023 (2024/2030(DEC))</w:t>
      </w:r>
    </w:p>
    <w:p w14:paraId="60B4EC57" w14:textId="77777777" w:rsidR="00872DB8" w:rsidRPr="00E51DFE" w:rsidRDefault="00872DB8" w:rsidP="00872DB8">
      <w:pPr>
        <w:spacing w:before="480" w:after="240"/>
      </w:pPr>
      <w:r w:rsidRPr="00E51DFE">
        <w:rPr>
          <w:i/>
        </w:rPr>
        <w:t>Evropský parlament</w:t>
      </w:r>
      <w:r w:rsidRPr="00E51DFE">
        <w:t>,</w:t>
      </w:r>
    </w:p>
    <w:p w14:paraId="17DB9F86" w14:textId="77777777" w:rsidR="00872DB8" w:rsidRPr="00E51DFE" w:rsidRDefault="00872DB8" w:rsidP="00872DB8">
      <w:pPr>
        <w:spacing w:after="240"/>
        <w:ind w:left="567" w:hanging="567"/>
      </w:pPr>
      <w:r w:rsidRPr="00E51DFE">
        <w:t>–</w:t>
      </w:r>
      <w:r w:rsidRPr="00E51DFE">
        <w:tab/>
        <w:t>s ohledem na konečnou roční účetní závěrku Evropské agentury pro léčivé přípravky za rozpočtový rok 2023,</w:t>
      </w:r>
    </w:p>
    <w:p w14:paraId="5F8389F4"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93"/>
      </w:r>
      <w:r w:rsidRPr="00E51DFE">
        <w:t>,</w:t>
      </w:r>
    </w:p>
    <w:p w14:paraId="54505145"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194"/>
      </w:r>
      <w:r w:rsidRPr="00E51DFE">
        <w:t xml:space="preserve"> účetnictví a o legalitě a správnosti uskutečněných operací, které předložil Účetní dvůr za rozpočtový rok 2023 podle článku 287 Smlouvy o fungování Evropské unie,</w:t>
      </w:r>
    </w:p>
    <w:p w14:paraId="284AB908"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55A93023"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6A88C7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195"/>
      </w:r>
      <w:r w:rsidRPr="00E51DFE">
        <w:t>, a zejména na článek 70 tohoto nařízení,</w:t>
      </w:r>
    </w:p>
    <w:p w14:paraId="1B20FA89"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196"/>
      </w:r>
      <w:r w:rsidRPr="00E51DFE">
        <w:t>, a zejména na článek 70 tohoto nařízení,</w:t>
      </w:r>
    </w:p>
    <w:p w14:paraId="5B381CAE" w14:textId="77777777" w:rsidR="00872DB8" w:rsidRPr="00E51DFE" w:rsidRDefault="00872DB8" w:rsidP="00872DB8">
      <w:pPr>
        <w:spacing w:after="240"/>
        <w:ind w:left="567" w:hanging="567"/>
      </w:pPr>
      <w:r w:rsidRPr="00E51DFE">
        <w:t>–</w:t>
      </w:r>
      <w:r w:rsidRPr="00E51DFE">
        <w:tab/>
        <w:t>s ohledem na nařízení Evropského parlamentu a Rady (ES) č. 726/2004 ze dne 31. března 2004, kterým se stanovují postupy Unie pro registraci humánních léčivých přípravků a dozor nad nimi a kterým se zřizuje Evropská agentura pro léčivé přípravky</w:t>
      </w:r>
      <w:r w:rsidRPr="00E51DFE">
        <w:rPr>
          <w:vertAlign w:val="superscript"/>
        </w:rPr>
        <w:footnoteReference w:id="197"/>
      </w:r>
      <w:r w:rsidRPr="00E51DFE">
        <w:t>, a zejména na článek 68 tohoto nařízení,</w:t>
      </w:r>
    </w:p>
    <w:p w14:paraId="12B120E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198"/>
      </w:r>
      <w:r w:rsidRPr="00E51DFE">
        <w:t>, a zejména na článek 105 tohoto nařízení,</w:t>
      </w:r>
    </w:p>
    <w:p w14:paraId="3048ABD1" w14:textId="77777777" w:rsidR="00872DB8" w:rsidRPr="00E51DFE" w:rsidRDefault="00872DB8" w:rsidP="00872DB8">
      <w:pPr>
        <w:spacing w:after="240"/>
        <w:ind w:left="567" w:hanging="567"/>
      </w:pPr>
      <w:r w:rsidRPr="00E51DFE">
        <w:t>–</w:t>
      </w:r>
      <w:r w:rsidRPr="00E51DFE">
        <w:tab/>
        <w:t>s ohledem na článek 102 a přílohu V jednacího řádu,</w:t>
      </w:r>
    </w:p>
    <w:p w14:paraId="6EF43F99"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B38C62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C165322" w14:textId="77777777" w:rsidR="00872DB8" w:rsidRPr="00E51DFE" w:rsidRDefault="00872DB8" w:rsidP="00872DB8">
      <w:pPr>
        <w:spacing w:after="240"/>
        <w:ind w:left="567" w:hanging="567"/>
      </w:pPr>
      <w:r w:rsidRPr="00E51DFE">
        <w:t>1.</w:t>
      </w:r>
      <w:r w:rsidRPr="00E51DFE">
        <w:tab/>
        <w:t>uděluje absolutorium výkonné ředitelce Evropské agentury pro léčivé přípravky za plnění rozpočtu agentury na rozpočtový rok 2023;</w:t>
      </w:r>
    </w:p>
    <w:p w14:paraId="3F80031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2D0344A0"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 agentury pro léčivé přípravky, Radě, Komisi a Účetnímu dvoru a aby zajistila jejich zveřejnění v </w:t>
      </w:r>
      <w:r w:rsidRPr="00E51DFE">
        <w:rPr>
          <w:i/>
        </w:rPr>
        <w:t>Úředním věstníku Evropské unie</w:t>
      </w:r>
      <w:r w:rsidRPr="00E51DFE">
        <w:t xml:space="preserve"> (řada L).</w:t>
      </w:r>
    </w:p>
    <w:p w14:paraId="716C7B99"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9CE95BD" w14:textId="5338F521" w:rsidR="00872DB8" w:rsidRPr="00E51DFE" w:rsidRDefault="00872DB8" w:rsidP="00872DB8">
      <w:pPr>
        <w:pStyle w:val="ATHeading3"/>
      </w:pPr>
      <w:r w:rsidRPr="00E51DFE">
        <w:t>34. Rozhodnutí Evropského parlamentu ze dne 7. května 2025 o uzavření účtů Evropské agentury pro léčivé přípravky za rozpočtový rok 2023 (2024/2030(DEC))</w:t>
      </w:r>
    </w:p>
    <w:p w14:paraId="355368ED" w14:textId="77777777" w:rsidR="00872DB8" w:rsidRPr="00E51DFE" w:rsidRDefault="00872DB8" w:rsidP="00872DB8">
      <w:pPr>
        <w:spacing w:before="480" w:after="240"/>
      </w:pPr>
      <w:r w:rsidRPr="00E51DFE">
        <w:rPr>
          <w:i/>
        </w:rPr>
        <w:t>Evropský parlament</w:t>
      </w:r>
      <w:r w:rsidRPr="00E51DFE">
        <w:t>,</w:t>
      </w:r>
    </w:p>
    <w:p w14:paraId="5BED09D6" w14:textId="77777777" w:rsidR="00872DB8" w:rsidRPr="00E51DFE" w:rsidRDefault="00872DB8" w:rsidP="00872DB8">
      <w:pPr>
        <w:spacing w:after="240"/>
        <w:ind w:left="567" w:hanging="567"/>
      </w:pPr>
      <w:r w:rsidRPr="00E51DFE">
        <w:t>–</w:t>
      </w:r>
      <w:r w:rsidRPr="00E51DFE">
        <w:tab/>
        <w:t>s ohledem na konečnou roční účetní závěrku Evropské agentury pro léčivé přípravky za rozpočtový rok 2023,</w:t>
      </w:r>
    </w:p>
    <w:p w14:paraId="2F9F4A5C"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199"/>
      </w:r>
      <w:r w:rsidRPr="00E51DFE">
        <w:t>,</w:t>
      </w:r>
    </w:p>
    <w:p w14:paraId="0CF46951"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00"/>
      </w:r>
      <w:r w:rsidRPr="00E51DFE">
        <w:t xml:space="preserve"> účetnictví a o legalitě a správnosti uskutečněných operací, které předložil Účetní dvůr za rozpočtový rok 2023 podle článku 287 Smlouvy o fungování Evropské unie,</w:t>
      </w:r>
    </w:p>
    <w:p w14:paraId="1778FD41"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7985C44"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B18524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01"/>
      </w:r>
      <w:r w:rsidRPr="00E51DFE">
        <w:t>, a zejména na článek 70 tohoto nařízení,</w:t>
      </w:r>
    </w:p>
    <w:p w14:paraId="7F1942C2"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02"/>
      </w:r>
      <w:r w:rsidRPr="00E51DFE">
        <w:t>, a zejména na článek 70 tohoto nařízení,</w:t>
      </w:r>
    </w:p>
    <w:p w14:paraId="07230BEF" w14:textId="77777777" w:rsidR="00872DB8" w:rsidRPr="00E51DFE" w:rsidRDefault="00872DB8" w:rsidP="00872DB8">
      <w:pPr>
        <w:spacing w:after="240"/>
        <w:ind w:left="567" w:hanging="567"/>
      </w:pPr>
      <w:r w:rsidRPr="00E51DFE">
        <w:t>–</w:t>
      </w:r>
      <w:r w:rsidRPr="00E51DFE">
        <w:tab/>
        <w:t>s ohledem na nařízení Evropského parlamentu a Rady (ES) č. 726/2004 ze dne 31. března 2004, kterým se stanovují postupy Unie pro registraci humánních léčivých přípravků a dozor nad nimi a kterým se zřizuje Evropská agentura pro léčivé přípravky</w:t>
      </w:r>
      <w:r w:rsidRPr="00E51DFE">
        <w:rPr>
          <w:vertAlign w:val="superscript"/>
        </w:rPr>
        <w:footnoteReference w:id="203"/>
      </w:r>
      <w:r w:rsidRPr="00E51DFE">
        <w:t>, a zejména na článek 68 tohoto nařízení,</w:t>
      </w:r>
    </w:p>
    <w:p w14:paraId="668D8240"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04"/>
      </w:r>
      <w:r w:rsidRPr="00E51DFE">
        <w:t>, a zejména na článek 105 tohoto nařízení,</w:t>
      </w:r>
    </w:p>
    <w:p w14:paraId="5DCAB474" w14:textId="77777777" w:rsidR="00872DB8" w:rsidRPr="00E51DFE" w:rsidRDefault="00872DB8" w:rsidP="00872DB8">
      <w:pPr>
        <w:spacing w:after="240"/>
        <w:ind w:left="567" w:hanging="567"/>
      </w:pPr>
      <w:r w:rsidRPr="00E51DFE">
        <w:t>–</w:t>
      </w:r>
      <w:r w:rsidRPr="00E51DFE">
        <w:tab/>
        <w:t>s ohledem na článek 102 a přílohu V jednacího řádu,</w:t>
      </w:r>
    </w:p>
    <w:p w14:paraId="4479B2DD"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BCF914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504B465" w14:textId="77777777" w:rsidR="00872DB8" w:rsidRPr="00E51DFE" w:rsidRDefault="00872DB8" w:rsidP="00872DB8">
      <w:pPr>
        <w:spacing w:after="240"/>
        <w:ind w:left="567" w:hanging="567"/>
      </w:pPr>
      <w:r w:rsidRPr="00E51DFE">
        <w:t>1.</w:t>
      </w:r>
      <w:r w:rsidRPr="00E51DFE">
        <w:tab/>
        <w:t>schvaluje uzavření účtů Evropské agentury pro léčivé přípravky za rozpočtový rok 2023;</w:t>
      </w:r>
    </w:p>
    <w:p w14:paraId="1089669A"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 agentury pro léčivé přípravky, Radě, Komisi a Účetnímu dvoru a aby zajistila jeho zveřejnění v </w:t>
      </w:r>
      <w:r w:rsidRPr="00E51DFE">
        <w:rPr>
          <w:i/>
        </w:rPr>
        <w:t>Úředním věstníku Evropské unie</w:t>
      </w:r>
      <w:r w:rsidRPr="00E51DFE">
        <w:t xml:space="preserve"> (řada L).</w:t>
      </w:r>
    </w:p>
    <w:p w14:paraId="0231E89B"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FB540CC" w14:textId="44F8ACED" w:rsidR="00872DB8" w:rsidRPr="00E51DFE" w:rsidRDefault="00872DB8" w:rsidP="00872DB8">
      <w:pPr>
        <w:pStyle w:val="ATHeading3"/>
      </w:pPr>
      <w:r w:rsidRPr="00E51DFE">
        <w:t>35. Rozhodnutí Evropského parlamentu ze dne 7. května 2025 o udělení absolutoria za plnění rozpočtu Evropského monitorovacího centra pro drogy a drogovou závislost (nyní Agentura Evropské unie pro drogy) na rozpočtový rok 2023 (2024/2030(DEC))</w:t>
      </w:r>
    </w:p>
    <w:p w14:paraId="7783BEAE" w14:textId="77777777" w:rsidR="00872DB8" w:rsidRPr="00E51DFE" w:rsidRDefault="00872DB8" w:rsidP="00872DB8">
      <w:pPr>
        <w:spacing w:before="480" w:after="240"/>
      </w:pPr>
      <w:r w:rsidRPr="00E51DFE">
        <w:rPr>
          <w:i/>
        </w:rPr>
        <w:t>Evropský parlament</w:t>
      </w:r>
      <w:r w:rsidRPr="00E51DFE">
        <w:t>,</w:t>
      </w:r>
    </w:p>
    <w:p w14:paraId="143711A0" w14:textId="77777777" w:rsidR="00872DB8" w:rsidRPr="00E51DFE" w:rsidRDefault="00872DB8" w:rsidP="00872DB8">
      <w:pPr>
        <w:spacing w:after="240"/>
        <w:ind w:left="567" w:hanging="567"/>
      </w:pPr>
      <w:r w:rsidRPr="00E51DFE">
        <w:t>–</w:t>
      </w:r>
      <w:r w:rsidRPr="00E51DFE">
        <w:tab/>
        <w:t>s ohledem na konečnou roční účetní závěrku Evropského monitorovacího centra pro drogy a drogovou závislost za rozpočtový rok 2023,</w:t>
      </w:r>
    </w:p>
    <w:p w14:paraId="1FABD6B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05"/>
      </w:r>
      <w:r w:rsidRPr="00E51DFE">
        <w:t>,</w:t>
      </w:r>
    </w:p>
    <w:p w14:paraId="1E589E5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06"/>
      </w:r>
      <w:r w:rsidRPr="00E51DFE">
        <w:t xml:space="preserve"> účetnictví a o legalitě a správnosti uskutečněných operací, které předložil Účetní dvůr za rozpočtový rok 2023 podle článku 287 Smlouvy o fungování Evropské unie,</w:t>
      </w:r>
    </w:p>
    <w:p w14:paraId="48BF5F79"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70BE8610"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829FD3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07"/>
      </w:r>
      <w:r w:rsidRPr="00E51DFE">
        <w:t>, a zejména na článek 70 tohoto nařízení,</w:t>
      </w:r>
    </w:p>
    <w:p w14:paraId="5DE4D683"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08"/>
      </w:r>
      <w:r w:rsidRPr="00E51DFE">
        <w:t>, a zejména na článek 70 tohoto nařízení,</w:t>
      </w:r>
    </w:p>
    <w:p w14:paraId="2F065920" w14:textId="77777777" w:rsidR="00872DB8" w:rsidRPr="00E51DFE" w:rsidRDefault="00872DB8" w:rsidP="00872DB8">
      <w:pPr>
        <w:spacing w:after="240"/>
        <w:ind w:left="567" w:hanging="567"/>
      </w:pPr>
      <w:r w:rsidRPr="00E51DFE">
        <w:t>–</w:t>
      </w:r>
      <w:r w:rsidRPr="00E51DFE">
        <w:tab/>
        <w:t>s ohledem na nařízení Evropského parlamentu a Rady (ES) č. 1920/2006 ze dne 12. prosince 2006 o Evropském monitorovacím centru pro drogy a drogovou závislost</w:t>
      </w:r>
      <w:r w:rsidRPr="00E51DFE">
        <w:rPr>
          <w:vertAlign w:val="superscript"/>
        </w:rPr>
        <w:footnoteReference w:id="209"/>
      </w:r>
      <w:r w:rsidRPr="00E51DFE">
        <w:t>, a zejména na článek 15 tohoto nařízení,</w:t>
      </w:r>
    </w:p>
    <w:p w14:paraId="2195EBEE" w14:textId="77777777" w:rsidR="00872DB8" w:rsidRPr="00E51DFE" w:rsidRDefault="00872DB8" w:rsidP="00872DB8">
      <w:pPr>
        <w:spacing w:after="240"/>
        <w:ind w:left="567" w:hanging="567"/>
      </w:pPr>
      <w:r w:rsidRPr="00E51DFE">
        <w:t>–</w:t>
      </w:r>
      <w:r w:rsidRPr="00E51DFE">
        <w:tab/>
        <w:t>s ohledem na nařízení Evropského parlamentu a Rady (EU) 2023/1322 ze dne 27. června 2023 o Agentuře Evropské unie pro drogy (EUDA) a zrušení nařízení (ES) č. 1920/2006</w:t>
      </w:r>
      <w:r w:rsidRPr="00E51DFE">
        <w:rPr>
          <w:vertAlign w:val="superscript"/>
        </w:rPr>
        <w:footnoteReference w:id="210"/>
      </w:r>
      <w:r w:rsidRPr="00E51DFE">
        <w:t>, a zejména na článek 41 tohoto nařízení,</w:t>
      </w:r>
    </w:p>
    <w:p w14:paraId="0F88D1FF"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11"/>
      </w:r>
      <w:r w:rsidRPr="00E51DFE">
        <w:t>, a zejména na článek 105 tohoto nařízení,</w:t>
      </w:r>
    </w:p>
    <w:p w14:paraId="0EECD086" w14:textId="77777777" w:rsidR="00872DB8" w:rsidRPr="00E51DFE" w:rsidRDefault="00872DB8" w:rsidP="00872DB8">
      <w:pPr>
        <w:spacing w:after="240"/>
        <w:ind w:left="567" w:hanging="567"/>
      </w:pPr>
      <w:r w:rsidRPr="00E51DFE">
        <w:t>–</w:t>
      </w:r>
      <w:r w:rsidRPr="00E51DFE">
        <w:tab/>
        <w:t>s ohledem na článek 102 a přílohu V jednacího řádu,</w:t>
      </w:r>
    </w:p>
    <w:p w14:paraId="2E085097"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008754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F878553" w14:textId="77777777" w:rsidR="00872DB8" w:rsidRPr="00E51DFE" w:rsidRDefault="00872DB8" w:rsidP="00872DB8">
      <w:pPr>
        <w:spacing w:after="240"/>
        <w:ind w:left="567" w:hanging="567"/>
      </w:pPr>
      <w:r w:rsidRPr="00E51DFE">
        <w:t>1.</w:t>
      </w:r>
      <w:r w:rsidRPr="00E51DFE">
        <w:tab/>
        <w:t>uděluje absolutorium řediteli Agentury Evropské unie pro drogy za plnění rozpočtu agentury na rozpočtový rok 2023;</w:t>
      </w:r>
    </w:p>
    <w:p w14:paraId="7D128FE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C276716"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řediteli Agentury Evropské unie pro drogy, Radě, Komisi a Účetnímu dvoru a aby zajistila jejich zveřejnění v </w:t>
      </w:r>
      <w:r w:rsidRPr="00E51DFE">
        <w:rPr>
          <w:i/>
        </w:rPr>
        <w:t>Úředním věstníku Evropské unie</w:t>
      </w:r>
      <w:r w:rsidRPr="00E51DFE">
        <w:t xml:space="preserve"> (řada L).</w:t>
      </w:r>
    </w:p>
    <w:p w14:paraId="1EAA8CA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FE2144C" w14:textId="786AEC03" w:rsidR="00872DB8" w:rsidRPr="00E51DFE" w:rsidRDefault="00872DB8" w:rsidP="00872DB8">
      <w:pPr>
        <w:pStyle w:val="ATHeading3"/>
      </w:pPr>
      <w:r w:rsidRPr="00E51DFE">
        <w:t>36. Rozhodnutí Evropského parlamentu ze dne 7. května 2025 o uzavření účtů Evropského monitorovacího centra pro drogy a drogovou závislost (nyní Agentura Evropské unie pro drogy) za rozpočtový rok 2023 (2024/2030(DEC))</w:t>
      </w:r>
    </w:p>
    <w:p w14:paraId="6F315B3B" w14:textId="77777777" w:rsidR="00872DB8" w:rsidRPr="00E51DFE" w:rsidRDefault="00872DB8" w:rsidP="00872DB8">
      <w:pPr>
        <w:spacing w:before="480" w:after="240"/>
      </w:pPr>
      <w:r w:rsidRPr="00E51DFE">
        <w:rPr>
          <w:i/>
        </w:rPr>
        <w:t>Evropský parlament</w:t>
      </w:r>
      <w:r w:rsidRPr="00E51DFE">
        <w:t>,</w:t>
      </w:r>
    </w:p>
    <w:p w14:paraId="5385EC68" w14:textId="77777777" w:rsidR="00872DB8" w:rsidRPr="00E51DFE" w:rsidRDefault="00872DB8" w:rsidP="00872DB8">
      <w:pPr>
        <w:spacing w:after="240"/>
        <w:ind w:left="567" w:hanging="567"/>
      </w:pPr>
      <w:r w:rsidRPr="00E51DFE">
        <w:t>–</w:t>
      </w:r>
      <w:r w:rsidRPr="00E51DFE">
        <w:tab/>
        <w:t>s ohledem na konečnou roční účetní závěrku Evropského monitorovacího centra pro drogy a drogovou závislost za rozpočtový rok 2023,</w:t>
      </w:r>
    </w:p>
    <w:p w14:paraId="53CB22ED"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12"/>
      </w:r>
      <w:r w:rsidRPr="00E51DFE">
        <w:t>,</w:t>
      </w:r>
    </w:p>
    <w:p w14:paraId="3307D37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13"/>
      </w:r>
      <w:r w:rsidRPr="00E51DFE">
        <w:t xml:space="preserve"> účetnictví a o legalitě a správnosti uskutečněných operací, které předložil Účetní dvůr za rozpočtový rok 2023 podle článku 287 Smlouvy o fungování Evropské unie,</w:t>
      </w:r>
    </w:p>
    <w:p w14:paraId="4E473465"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CB1F630"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23E4DB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14"/>
      </w:r>
      <w:r w:rsidRPr="00E51DFE">
        <w:t>, a zejména na článek 70 tohoto nařízení,</w:t>
      </w:r>
    </w:p>
    <w:p w14:paraId="5B37CA0E"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15"/>
      </w:r>
      <w:r w:rsidRPr="00E51DFE">
        <w:t>, a zejména na článek 70 tohoto nařízení,</w:t>
      </w:r>
    </w:p>
    <w:p w14:paraId="064F6902" w14:textId="77777777" w:rsidR="00872DB8" w:rsidRPr="00E51DFE" w:rsidRDefault="00872DB8" w:rsidP="00872DB8">
      <w:pPr>
        <w:spacing w:after="240"/>
        <w:ind w:left="567" w:hanging="567"/>
      </w:pPr>
      <w:r w:rsidRPr="00E51DFE">
        <w:t>–</w:t>
      </w:r>
      <w:r w:rsidRPr="00E51DFE">
        <w:tab/>
        <w:t xml:space="preserve">s ohledem na nařízení Evropského parlamentu a Rady (ES) č. 1920/2006 ze dne 12. prosince 2006 o Evropském monitorovacím centru pro drogy a drogovou závislost </w:t>
      </w:r>
      <w:r w:rsidRPr="00E51DFE">
        <w:rPr>
          <w:vertAlign w:val="superscript"/>
        </w:rPr>
        <w:footnoteReference w:id="216"/>
      </w:r>
      <w:r w:rsidRPr="00E51DFE">
        <w:t>, a zejména na článek 15 tohoto nařízení,</w:t>
      </w:r>
    </w:p>
    <w:p w14:paraId="2F7C371D" w14:textId="77777777" w:rsidR="00872DB8" w:rsidRPr="00E51DFE" w:rsidRDefault="00872DB8" w:rsidP="00872DB8">
      <w:pPr>
        <w:spacing w:after="240"/>
        <w:ind w:left="567" w:hanging="567"/>
      </w:pPr>
      <w:r w:rsidRPr="00E51DFE">
        <w:t>–</w:t>
      </w:r>
      <w:r w:rsidRPr="00E51DFE">
        <w:tab/>
        <w:t>s ohledem na nařízení Evropského parlamentu a Rady (EU) 2023/1322 ze dne 27. června 2023 o Agentuře Evropské unie pro drogy (EUDA) a zrušení nařízení (ES) č. 1920/2006</w:t>
      </w:r>
      <w:r w:rsidRPr="00E51DFE">
        <w:rPr>
          <w:vertAlign w:val="superscript"/>
        </w:rPr>
        <w:footnoteReference w:id="217"/>
      </w:r>
      <w:r w:rsidRPr="00E51DFE">
        <w:t>, a zejména na článek 41 tohoto nařízení,</w:t>
      </w:r>
    </w:p>
    <w:p w14:paraId="4B5B0EA7"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18"/>
      </w:r>
      <w:r w:rsidRPr="00E51DFE">
        <w:t>, a zejména na článek 105 tohoto nařízení,</w:t>
      </w:r>
    </w:p>
    <w:p w14:paraId="7F4E0291" w14:textId="77777777" w:rsidR="00872DB8" w:rsidRPr="00E51DFE" w:rsidRDefault="00872DB8" w:rsidP="00872DB8">
      <w:pPr>
        <w:spacing w:after="240"/>
        <w:ind w:left="567" w:hanging="567"/>
      </w:pPr>
      <w:r w:rsidRPr="00E51DFE">
        <w:t>–</w:t>
      </w:r>
      <w:r w:rsidRPr="00E51DFE">
        <w:tab/>
        <w:t>s ohledem na článek 102 a přílohu V jednacího řádu,</w:t>
      </w:r>
    </w:p>
    <w:p w14:paraId="6EC57613"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84FAB6B"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36FECBC" w14:textId="77777777" w:rsidR="00872DB8" w:rsidRPr="00E51DFE" w:rsidRDefault="00872DB8" w:rsidP="00872DB8">
      <w:pPr>
        <w:spacing w:after="240"/>
        <w:ind w:left="567" w:hanging="567"/>
      </w:pPr>
      <w:r w:rsidRPr="00E51DFE">
        <w:t>1.</w:t>
      </w:r>
      <w:r w:rsidRPr="00E51DFE">
        <w:tab/>
        <w:t>schvaluje uzavření účtů Evropského monitorovacího centra pro drogy a drogovou závislost za rozpočtový rok 2023;</w:t>
      </w:r>
    </w:p>
    <w:p w14:paraId="47D99900" w14:textId="77777777" w:rsidR="00872DB8" w:rsidRPr="00E51DFE" w:rsidRDefault="00872DB8" w:rsidP="00872DB8">
      <w:pPr>
        <w:spacing w:after="240"/>
        <w:ind w:left="567" w:hanging="567"/>
      </w:pPr>
      <w:r w:rsidRPr="00E51DFE">
        <w:t>2.</w:t>
      </w:r>
      <w:r w:rsidRPr="00E51DFE">
        <w:tab/>
        <w:t>pověřuje svou předsedkyni, aby předala toto rozhodnutí řediteli Agentury Evropské unie pro drogy, Radě, Komisi a Účetnímu dvoru a aby zajistila jeho zveřejnění v </w:t>
      </w:r>
      <w:r w:rsidRPr="00E51DFE">
        <w:rPr>
          <w:i/>
        </w:rPr>
        <w:t>Úředním věstníku Evropské unie</w:t>
      </w:r>
      <w:r w:rsidRPr="00E51DFE">
        <w:t xml:space="preserve"> (řada L).</w:t>
      </w:r>
    </w:p>
    <w:p w14:paraId="01CF7164"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E3DBB62" w14:textId="162C5AE4" w:rsidR="00872DB8" w:rsidRPr="00E51DFE" w:rsidRDefault="00872DB8" w:rsidP="00872DB8">
      <w:pPr>
        <w:pStyle w:val="ATHeading3"/>
      </w:pPr>
      <w:r w:rsidRPr="00E51DFE">
        <w:t>37. Rozhodnutí Evropského parlamentu ze dne 7. května 2025 o udělení absolutoria za plnění rozpočtu Evropské agentury pro námořní bezpečnost na rozpočtový rok 2023 (2024/2030(DEC))</w:t>
      </w:r>
    </w:p>
    <w:p w14:paraId="714A5EF7" w14:textId="77777777" w:rsidR="00872DB8" w:rsidRPr="00E51DFE" w:rsidRDefault="00872DB8" w:rsidP="00872DB8">
      <w:pPr>
        <w:spacing w:before="480" w:after="240"/>
      </w:pPr>
      <w:r w:rsidRPr="00E51DFE">
        <w:rPr>
          <w:i/>
        </w:rPr>
        <w:t>Evropský parlament</w:t>
      </w:r>
      <w:r w:rsidRPr="00E51DFE">
        <w:t>,</w:t>
      </w:r>
    </w:p>
    <w:p w14:paraId="4D2A1BB2" w14:textId="77777777" w:rsidR="00872DB8" w:rsidRPr="00E51DFE" w:rsidRDefault="00872DB8" w:rsidP="00872DB8">
      <w:pPr>
        <w:spacing w:after="240"/>
        <w:ind w:left="567" w:hanging="567"/>
      </w:pPr>
      <w:r w:rsidRPr="00E51DFE">
        <w:t>–</w:t>
      </w:r>
      <w:r w:rsidRPr="00E51DFE">
        <w:tab/>
        <w:t>s ohledem na konečnou roční účetní závěrku Evropské agentury pro námořní bezpečnost za rozpočtový rok 2023,</w:t>
      </w:r>
    </w:p>
    <w:p w14:paraId="63756024"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19"/>
      </w:r>
      <w:r w:rsidRPr="00E51DFE">
        <w:t>,</w:t>
      </w:r>
    </w:p>
    <w:p w14:paraId="28F6352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20"/>
      </w:r>
      <w:r w:rsidRPr="00E51DFE">
        <w:t xml:space="preserve"> účetnictví a o legalitě a správnosti uskutečněných operací, které předložil Účetní dvůr za rozpočtový rok 2023 podle článku 287 Smlouvy o fungování Evropské unie,</w:t>
      </w:r>
    </w:p>
    <w:p w14:paraId="0862A8A3"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BEC2BE9"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E5D7A6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21"/>
      </w:r>
      <w:r w:rsidRPr="00E51DFE">
        <w:t>, a zejména na článek 70 tohoto nařízení,</w:t>
      </w:r>
    </w:p>
    <w:p w14:paraId="232DF626"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22"/>
      </w:r>
      <w:r w:rsidRPr="00E51DFE">
        <w:t>, a zejména na článek 70 tohoto nařízení,</w:t>
      </w:r>
    </w:p>
    <w:p w14:paraId="3548C7C7" w14:textId="77777777" w:rsidR="00872DB8" w:rsidRPr="00E51DFE" w:rsidRDefault="00872DB8" w:rsidP="00872DB8">
      <w:pPr>
        <w:spacing w:after="240"/>
        <w:ind w:left="567" w:hanging="567"/>
      </w:pPr>
      <w:r w:rsidRPr="00E51DFE">
        <w:t>–</w:t>
      </w:r>
      <w:r w:rsidRPr="00E51DFE">
        <w:tab/>
        <w:t>s ohledem na nařízení Evropského parlamentu a Rady (ES) č. 1406/2002 ze dne 27. června 2002, kterým se zřizuje Evropská agentura pro námořní bezpečnost</w:t>
      </w:r>
      <w:r w:rsidRPr="00E51DFE">
        <w:rPr>
          <w:vertAlign w:val="superscript"/>
        </w:rPr>
        <w:footnoteReference w:id="223"/>
      </w:r>
      <w:r w:rsidRPr="00E51DFE">
        <w:t>, a zejména na článek 19 tohoto nařízení,</w:t>
      </w:r>
    </w:p>
    <w:p w14:paraId="4424EB12"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24"/>
      </w:r>
      <w:r w:rsidRPr="00E51DFE">
        <w:t>, a zejména na článek 105 tohoto nařízení,</w:t>
      </w:r>
    </w:p>
    <w:p w14:paraId="575AD9D8" w14:textId="77777777" w:rsidR="00872DB8" w:rsidRPr="00E51DFE" w:rsidRDefault="00872DB8" w:rsidP="00872DB8">
      <w:pPr>
        <w:spacing w:after="240"/>
        <w:ind w:left="567" w:hanging="567"/>
      </w:pPr>
      <w:r w:rsidRPr="00E51DFE">
        <w:t>–</w:t>
      </w:r>
      <w:r w:rsidRPr="00E51DFE">
        <w:tab/>
        <w:t>s ohledem na článek 102 a přílohu V jednacího řádu,</w:t>
      </w:r>
    </w:p>
    <w:p w14:paraId="5364182C"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2002E9E"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C094D0D" w14:textId="77777777" w:rsidR="00872DB8" w:rsidRPr="00E51DFE" w:rsidRDefault="00872DB8" w:rsidP="00872DB8">
      <w:pPr>
        <w:spacing w:after="240"/>
        <w:ind w:left="567" w:hanging="567"/>
      </w:pPr>
      <w:r w:rsidRPr="00E51DFE">
        <w:t>1.</w:t>
      </w:r>
      <w:r w:rsidRPr="00E51DFE">
        <w:tab/>
        <w:t>uděluje absolutorium výkonné ředitelce Evropské agentury pro námořní bezpečnost za plnění rozpočtu agentury na rozpočtový rok 2023;</w:t>
      </w:r>
    </w:p>
    <w:p w14:paraId="2BDDA38C" w14:textId="77777777" w:rsidR="00872DB8" w:rsidRPr="00E51DFE" w:rsidRDefault="00872DB8" w:rsidP="00872DB8">
      <w:pPr>
        <w:spacing w:after="240"/>
        <w:ind w:left="567" w:hanging="567"/>
      </w:pPr>
      <w:r w:rsidRPr="00E51DFE">
        <w:t>2.</w:t>
      </w:r>
      <w:r w:rsidRPr="00E51DFE">
        <w:tab/>
        <w:t>předkládá své připomínky v níže uvedeném usnesení;</w:t>
      </w:r>
    </w:p>
    <w:p w14:paraId="70D7F1B2"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 agentury pro námořní bezpečnost, Radě, Komisi a Účetnímu dvoru a aby zajistila jejich zveřejnění v </w:t>
      </w:r>
      <w:r w:rsidRPr="00E51DFE">
        <w:rPr>
          <w:i/>
        </w:rPr>
        <w:t>Úředním věstníku Evropské unie</w:t>
      </w:r>
      <w:r w:rsidRPr="00E51DFE">
        <w:t xml:space="preserve"> (řada L).</w:t>
      </w:r>
    </w:p>
    <w:p w14:paraId="27603094"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0345B6F" w14:textId="6E5E89DA" w:rsidR="00872DB8" w:rsidRPr="00E51DFE" w:rsidRDefault="00872DB8" w:rsidP="00872DB8">
      <w:pPr>
        <w:pStyle w:val="ATHeading3"/>
      </w:pPr>
      <w:r w:rsidRPr="00E51DFE">
        <w:t>38. Rozhodnutí Evropského parlamentu ze dne 7. května 2025 o uzavření účtů Evropské agentury pro námořní bezpečnost za rozpočtový rok 2023 (2024/2030(DEC))</w:t>
      </w:r>
    </w:p>
    <w:p w14:paraId="63A4779B" w14:textId="77777777" w:rsidR="00872DB8" w:rsidRPr="00E51DFE" w:rsidRDefault="00872DB8" w:rsidP="00872DB8">
      <w:pPr>
        <w:spacing w:before="480" w:after="240"/>
      </w:pPr>
      <w:r w:rsidRPr="00E51DFE">
        <w:rPr>
          <w:i/>
        </w:rPr>
        <w:t>Evropský parlament</w:t>
      </w:r>
      <w:r w:rsidRPr="00E51DFE">
        <w:t>,</w:t>
      </w:r>
    </w:p>
    <w:p w14:paraId="378D5DAF" w14:textId="77777777" w:rsidR="00872DB8" w:rsidRPr="00E51DFE" w:rsidRDefault="00872DB8" w:rsidP="00872DB8">
      <w:pPr>
        <w:spacing w:after="240"/>
        <w:ind w:left="567" w:hanging="567"/>
      </w:pPr>
      <w:r w:rsidRPr="00E51DFE">
        <w:t>–</w:t>
      </w:r>
      <w:r w:rsidRPr="00E51DFE">
        <w:tab/>
        <w:t>s ohledem na konečnou roční účetní závěrku Evropské agentury pro námořní bezpečnost za rozpočtový rok 2023,</w:t>
      </w:r>
    </w:p>
    <w:p w14:paraId="454FDD63"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25"/>
      </w:r>
      <w:r w:rsidRPr="00E51DFE">
        <w:t>,</w:t>
      </w:r>
    </w:p>
    <w:p w14:paraId="23ECFE8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26"/>
      </w:r>
      <w:r w:rsidRPr="00E51DFE">
        <w:t xml:space="preserve"> účetnictví a o legalitě a správnosti uskutečněných operací, které předložil Účetní dvůr za rozpočtový rok 2023 podle článku 287 Smlouvy o fungování Evropské unie,</w:t>
      </w:r>
    </w:p>
    <w:p w14:paraId="55EC3EAE"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632D6C4E"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0A0D70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27"/>
      </w:r>
      <w:r w:rsidRPr="00E51DFE">
        <w:t>, a zejména na článek 70 tohoto nařízení,</w:t>
      </w:r>
    </w:p>
    <w:p w14:paraId="156640ED"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28"/>
      </w:r>
      <w:r w:rsidRPr="00E51DFE">
        <w:t>, a zejména na článek 70 tohoto nařízení,</w:t>
      </w:r>
    </w:p>
    <w:p w14:paraId="0ED5709C" w14:textId="77777777" w:rsidR="00872DB8" w:rsidRPr="00E51DFE" w:rsidRDefault="00872DB8" w:rsidP="00872DB8">
      <w:pPr>
        <w:spacing w:after="240"/>
        <w:ind w:left="567" w:hanging="567"/>
      </w:pPr>
      <w:r w:rsidRPr="00E51DFE">
        <w:t>–</w:t>
      </w:r>
      <w:r w:rsidRPr="00E51DFE">
        <w:tab/>
        <w:t>s ohledem na nařízení Evropského parlamentu a Rady (ES) č. 1406/2002 ze dne 27. června 2002, kterým se zřizuje Evropská agentura pro námořní bezpečnost</w:t>
      </w:r>
      <w:r w:rsidRPr="00E51DFE">
        <w:rPr>
          <w:vertAlign w:val="superscript"/>
        </w:rPr>
        <w:footnoteReference w:id="229"/>
      </w:r>
      <w:r w:rsidRPr="00E51DFE">
        <w:t>, a zejména na článek 19 tohoto nařízení,</w:t>
      </w:r>
    </w:p>
    <w:p w14:paraId="2D4DC01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30"/>
      </w:r>
      <w:r w:rsidRPr="00E51DFE">
        <w:t>, a zejména na článek 105 tohoto nařízení,</w:t>
      </w:r>
    </w:p>
    <w:p w14:paraId="1ACF7E76" w14:textId="77777777" w:rsidR="00872DB8" w:rsidRPr="00E51DFE" w:rsidRDefault="00872DB8" w:rsidP="00872DB8">
      <w:pPr>
        <w:spacing w:after="240"/>
        <w:ind w:left="567" w:hanging="567"/>
      </w:pPr>
      <w:r w:rsidRPr="00E51DFE">
        <w:t>–</w:t>
      </w:r>
      <w:r w:rsidRPr="00E51DFE">
        <w:tab/>
        <w:t>s ohledem na článek 102 a přílohu V jednacího řádu,</w:t>
      </w:r>
    </w:p>
    <w:p w14:paraId="2533469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3B28D56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88F4DCC" w14:textId="77777777" w:rsidR="00872DB8" w:rsidRPr="00E51DFE" w:rsidRDefault="00872DB8" w:rsidP="00872DB8">
      <w:pPr>
        <w:spacing w:after="240"/>
        <w:ind w:left="567" w:hanging="567"/>
      </w:pPr>
      <w:r w:rsidRPr="00E51DFE">
        <w:t>1.</w:t>
      </w:r>
      <w:r w:rsidRPr="00E51DFE">
        <w:tab/>
        <w:t>schvaluje uzavření účtů Evropské agentury pro námořní bezpečnost za rozpočtový rok 2023;</w:t>
      </w:r>
    </w:p>
    <w:p w14:paraId="1CA8573D"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 agentury pro námořní bezpečnost, Radě, Komisi a Účetnímu dvoru a aby zajistila jeho zveřejnění v </w:t>
      </w:r>
      <w:r w:rsidRPr="00E51DFE">
        <w:rPr>
          <w:i/>
        </w:rPr>
        <w:t>Úředním věstníku Evropské unie</w:t>
      </w:r>
      <w:r w:rsidRPr="00E51DFE">
        <w:t xml:space="preserve"> (řada L).</w:t>
      </w:r>
    </w:p>
    <w:p w14:paraId="0127879F"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48A84AC" w14:textId="6F6712FC" w:rsidR="00872DB8" w:rsidRPr="00E51DFE" w:rsidRDefault="00872DB8" w:rsidP="00872DB8">
      <w:pPr>
        <w:pStyle w:val="ATHeading3"/>
      </w:pPr>
      <w:r w:rsidRPr="00E51DFE">
        <w:t>39. Rozhodnutí Evropského parlamentu ze dne 7. května 2025 o udělení absolutoria za plnění rozpočtu Agentury Evropské unie pro kybernetickou bezpečnost na rozpočtový rok 2023 (2024/2030(DEC))</w:t>
      </w:r>
    </w:p>
    <w:p w14:paraId="3110B73E" w14:textId="77777777" w:rsidR="00872DB8" w:rsidRPr="00E51DFE" w:rsidRDefault="00872DB8" w:rsidP="00872DB8">
      <w:pPr>
        <w:spacing w:before="480" w:after="240"/>
      </w:pPr>
      <w:r w:rsidRPr="00E51DFE">
        <w:rPr>
          <w:i/>
        </w:rPr>
        <w:t>Evropský parlament</w:t>
      </w:r>
      <w:r w:rsidRPr="00E51DFE">
        <w:t>,</w:t>
      </w:r>
    </w:p>
    <w:p w14:paraId="69529505" w14:textId="77777777" w:rsidR="00872DB8" w:rsidRPr="00E51DFE" w:rsidRDefault="00872DB8" w:rsidP="00872DB8">
      <w:pPr>
        <w:spacing w:after="240"/>
        <w:ind w:left="567" w:hanging="567"/>
      </w:pPr>
      <w:r w:rsidRPr="00E51DFE">
        <w:t>–</w:t>
      </w:r>
      <w:r w:rsidRPr="00E51DFE">
        <w:tab/>
        <w:t>s ohledem na konečnou roční účetní závěrku Agentury Evropské unie pro kybernetickou bezpečnost za rozpočtový rok 2023,</w:t>
      </w:r>
    </w:p>
    <w:p w14:paraId="202BD64E"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31"/>
      </w:r>
      <w:r w:rsidRPr="00E51DFE">
        <w:t>,</w:t>
      </w:r>
    </w:p>
    <w:p w14:paraId="4CC940FB"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32"/>
      </w:r>
      <w:r w:rsidRPr="00E51DFE">
        <w:t xml:space="preserve"> účetnictví a o legalitě a správnosti uskutečněných operací, které předložil Účetní dvůr za rozpočtový rok 2023 podle článku 287 Smlouvy o fungování Evropské unie,</w:t>
      </w:r>
    </w:p>
    <w:p w14:paraId="5FCEC46F"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A52BBB4"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2F7B90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33"/>
      </w:r>
      <w:r w:rsidRPr="00E51DFE">
        <w:t>, a zejména na článek 70 tohoto nařízení,</w:t>
      </w:r>
    </w:p>
    <w:p w14:paraId="24819304"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34"/>
      </w:r>
      <w:r w:rsidRPr="00E51DFE">
        <w:t>, a zejména na článek 70 tohoto nařízení,</w:t>
      </w:r>
    </w:p>
    <w:p w14:paraId="19F1BBB9" w14:textId="77777777" w:rsidR="00872DB8" w:rsidRPr="00E51DFE" w:rsidRDefault="00872DB8" w:rsidP="00872DB8">
      <w:pPr>
        <w:spacing w:after="240"/>
        <w:ind w:left="567" w:hanging="567"/>
      </w:pPr>
      <w:r w:rsidRPr="00E51DFE">
        <w:t>–</w:t>
      </w:r>
      <w:r w:rsidRPr="00E51DFE">
        <w:tab/>
        <w:t>s ohledem na nařízení Evropského parlamentu a Rady (EU) 2019/881 ze dne 17. dubna 2019 o agentuře ENISA („Agentuře Evropské unie pro kybernetickou bezpečnost“), o certifikaci kybernetické bezpečnosti informačních a komunikačních technologií a o zrušení nařízení (EU) č. 526/2013 („akt o kybernetické bezpečnosti“)</w:t>
      </w:r>
      <w:r w:rsidRPr="00E51DFE">
        <w:rPr>
          <w:vertAlign w:val="superscript"/>
        </w:rPr>
        <w:footnoteReference w:id="235"/>
      </w:r>
      <w:r w:rsidRPr="00E51DFE">
        <w:t>, a zejména na článek 31 tohoto nařízení,</w:t>
      </w:r>
    </w:p>
    <w:p w14:paraId="69BB75AE"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36"/>
      </w:r>
      <w:r w:rsidRPr="00E51DFE">
        <w:t>, a zejména na článek 105 tohoto nařízení,</w:t>
      </w:r>
    </w:p>
    <w:p w14:paraId="579E8D5E" w14:textId="77777777" w:rsidR="00872DB8" w:rsidRPr="00E51DFE" w:rsidRDefault="00872DB8" w:rsidP="00872DB8">
      <w:pPr>
        <w:spacing w:after="240"/>
        <w:ind w:left="567" w:hanging="567"/>
      </w:pPr>
      <w:r w:rsidRPr="00E51DFE">
        <w:t>–</w:t>
      </w:r>
      <w:r w:rsidRPr="00E51DFE">
        <w:tab/>
        <w:t>s ohledem na článek 102 a přílohu V jednacího řádu,</w:t>
      </w:r>
    </w:p>
    <w:p w14:paraId="78A24455"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4247462"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5917EB0" w14:textId="77777777" w:rsidR="00872DB8" w:rsidRPr="00E51DFE" w:rsidRDefault="00872DB8" w:rsidP="00872DB8">
      <w:pPr>
        <w:spacing w:after="240"/>
        <w:ind w:left="567" w:hanging="567"/>
      </w:pPr>
      <w:r w:rsidRPr="00E51DFE">
        <w:t>1.</w:t>
      </w:r>
      <w:r w:rsidRPr="00E51DFE">
        <w:tab/>
        <w:t>uděluje absolutorium výkonnému řediteli Agentury Evropské unie pro kybernetickou bezpečnost za plnění rozpočtu agentury na rozpočtový rok 2023;</w:t>
      </w:r>
    </w:p>
    <w:p w14:paraId="39B5EA6C" w14:textId="77777777" w:rsidR="00872DB8" w:rsidRPr="00E51DFE" w:rsidRDefault="00872DB8" w:rsidP="00872DB8">
      <w:pPr>
        <w:spacing w:after="240"/>
        <w:ind w:left="567" w:hanging="567"/>
      </w:pPr>
      <w:r w:rsidRPr="00E51DFE">
        <w:t>2.</w:t>
      </w:r>
      <w:r w:rsidRPr="00E51DFE">
        <w:tab/>
        <w:t>předkládá své připomínky v níže uvedeném usnesení;</w:t>
      </w:r>
    </w:p>
    <w:p w14:paraId="12EF0BD3"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Agentury Evropské unie pro kybernetickou bezpečnost, Radě, Komisi a Účetnímu dvoru a aby zajistila jejich zveřejnění v </w:t>
      </w:r>
      <w:r w:rsidRPr="00E51DFE">
        <w:rPr>
          <w:i/>
        </w:rPr>
        <w:t>Úředním věstníku Evropské unie</w:t>
      </w:r>
      <w:r w:rsidRPr="00E51DFE">
        <w:t xml:space="preserve"> (řada L).</w:t>
      </w:r>
    </w:p>
    <w:p w14:paraId="77A56847"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F9E68B3" w14:textId="0EB1A7AC" w:rsidR="00872DB8" w:rsidRPr="00E51DFE" w:rsidRDefault="00872DB8" w:rsidP="00872DB8">
      <w:pPr>
        <w:pStyle w:val="ATHeading3"/>
      </w:pPr>
      <w:r w:rsidRPr="00E51DFE">
        <w:t>40. Rozhodnutí Evropského parlamentu ze dne 7. května 2025 o uzavření účtů Agentury Evropské unie pro kybernetickou bezpečnost za rozpočtový rok 2023 (2024/2030(DEC))</w:t>
      </w:r>
    </w:p>
    <w:p w14:paraId="1B236D14" w14:textId="77777777" w:rsidR="00872DB8" w:rsidRPr="00E51DFE" w:rsidRDefault="00872DB8" w:rsidP="00872DB8">
      <w:pPr>
        <w:spacing w:before="480" w:after="240"/>
      </w:pPr>
      <w:r w:rsidRPr="00E51DFE">
        <w:rPr>
          <w:i/>
        </w:rPr>
        <w:t>Evropský parlament</w:t>
      </w:r>
      <w:r w:rsidRPr="00E51DFE">
        <w:t>,</w:t>
      </w:r>
    </w:p>
    <w:p w14:paraId="391C47C5" w14:textId="77777777" w:rsidR="00872DB8" w:rsidRPr="00E51DFE" w:rsidRDefault="00872DB8" w:rsidP="00872DB8">
      <w:pPr>
        <w:spacing w:after="240"/>
        <w:ind w:left="567" w:hanging="567"/>
      </w:pPr>
      <w:r w:rsidRPr="00E51DFE">
        <w:t>–</w:t>
      </w:r>
      <w:r w:rsidRPr="00E51DFE">
        <w:tab/>
        <w:t>s ohledem na konečnou roční účetní závěrku Agentury Evropské unie pro kybernetickou bezpečnost za rozpočtový rok 2023,</w:t>
      </w:r>
    </w:p>
    <w:p w14:paraId="0CFA308E"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37"/>
      </w:r>
      <w:r w:rsidRPr="00E51DFE">
        <w:t>,</w:t>
      </w:r>
    </w:p>
    <w:p w14:paraId="75255ED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38"/>
      </w:r>
      <w:r w:rsidRPr="00E51DFE">
        <w:t xml:space="preserve"> účetnictví a o legalitě a správnosti uskutečněných operací, které předložil Účetní dvůr za rozpočtový rok 2023 podle článku 287 Smlouvy o fungování Evropské unie,</w:t>
      </w:r>
    </w:p>
    <w:p w14:paraId="35B48B91"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6A5B0055"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028A1B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39"/>
      </w:r>
      <w:r w:rsidRPr="00E51DFE">
        <w:t>, a zejména na článek 70 tohoto nařízení,</w:t>
      </w:r>
    </w:p>
    <w:p w14:paraId="71D16F81"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40"/>
      </w:r>
      <w:r w:rsidRPr="00E51DFE">
        <w:t>, a zejména na článek 70 tohoto nařízení,</w:t>
      </w:r>
    </w:p>
    <w:p w14:paraId="0AAF8946" w14:textId="77777777" w:rsidR="00872DB8" w:rsidRPr="00E51DFE" w:rsidRDefault="00872DB8" w:rsidP="00872DB8">
      <w:pPr>
        <w:spacing w:after="240"/>
        <w:ind w:left="567" w:hanging="567"/>
      </w:pPr>
      <w:r w:rsidRPr="00E51DFE">
        <w:t>–</w:t>
      </w:r>
      <w:r w:rsidRPr="00E51DFE">
        <w:tab/>
        <w:t>s ohledem na nařízení Evropského parlamentu a Rady (EU) 2019/881 ze dne 17. dubna 2019 o agentuře ENISA („Agentuře Evropské unie pro kybernetickou bezpečnost“), o certifikaci kybernetické bezpečnosti informačních a komunikačních technologií a o zrušení nařízení (EU) č. 526/2013 („akt o kybernetické bezpečnosti“)</w:t>
      </w:r>
      <w:r w:rsidRPr="00E51DFE">
        <w:rPr>
          <w:vertAlign w:val="superscript"/>
        </w:rPr>
        <w:footnoteReference w:id="241"/>
      </w:r>
      <w:r w:rsidRPr="00E51DFE">
        <w:t>, a zejména na článek 31 tohoto nařízení,</w:t>
      </w:r>
    </w:p>
    <w:p w14:paraId="0B31FB01"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42"/>
      </w:r>
      <w:r w:rsidRPr="00E51DFE">
        <w:t>, a zejména na článek 105 tohoto nařízení,</w:t>
      </w:r>
    </w:p>
    <w:p w14:paraId="17770E29" w14:textId="77777777" w:rsidR="00872DB8" w:rsidRPr="00E51DFE" w:rsidRDefault="00872DB8" w:rsidP="00872DB8">
      <w:pPr>
        <w:spacing w:after="240"/>
        <w:ind w:left="567" w:hanging="567"/>
      </w:pPr>
      <w:r w:rsidRPr="00E51DFE">
        <w:t>–</w:t>
      </w:r>
      <w:r w:rsidRPr="00E51DFE">
        <w:tab/>
        <w:t>s ohledem na článek 102 a přílohu V jednacího řádu,</w:t>
      </w:r>
    </w:p>
    <w:p w14:paraId="4D67089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4C196E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1C79E33" w14:textId="77777777" w:rsidR="00872DB8" w:rsidRPr="00E51DFE" w:rsidRDefault="00872DB8" w:rsidP="00872DB8">
      <w:pPr>
        <w:spacing w:after="240"/>
        <w:ind w:left="567" w:hanging="567"/>
      </w:pPr>
      <w:r w:rsidRPr="00E51DFE">
        <w:t>1.</w:t>
      </w:r>
      <w:r w:rsidRPr="00E51DFE">
        <w:tab/>
        <w:t>schvaluje uzavření účtů Agentury Evropské unie pro kybernetickou bezpečnost za rozpočtový rok 2023;</w:t>
      </w:r>
    </w:p>
    <w:p w14:paraId="320CC26D"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Agentury Evropské unie pro kybernetickou bezpečnost, Radě, Komisi a Účetnímu dvoru a aby zajistila jeho zveřejnění v </w:t>
      </w:r>
      <w:r w:rsidRPr="00E51DFE">
        <w:rPr>
          <w:i/>
        </w:rPr>
        <w:t>Úředním věstníku Evropské unie</w:t>
      </w:r>
      <w:r w:rsidRPr="00E51DFE">
        <w:t xml:space="preserve"> (řada L).</w:t>
      </w:r>
    </w:p>
    <w:p w14:paraId="2E8B966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C15E035" w14:textId="5864EAD9" w:rsidR="00872DB8" w:rsidRPr="00E51DFE" w:rsidRDefault="00872DB8" w:rsidP="00872DB8">
      <w:pPr>
        <w:pStyle w:val="ATHeading3"/>
      </w:pPr>
      <w:r w:rsidRPr="00E51DFE">
        <w:t>41. Rozhodnutí Evropského parlamentu ze dne 7. května 2025 o udělení absolutoria za plnění rozpočtu Agentury Evropské unie pro železnice na rozpočtový rok 2023 (2024/2030(DEC))</w:t>
      </w:r>
    </w:p>
    <w:p w14:paraId="2E473596" w14:textId="77777777" w:rsidR="00872DB8" w:rsidRPr="00E51DFE" w:rsidRDefault="00872DB8" w:rsidP="00872DB8">
      <w:pPr>
        <w:spacing w:before="480" w:after="240"/>
      </w:pPr>
      <w:r w:rsidRPr="00E51DFE">
        <w:rPr>
          <w:i/>
        </w:rPr>
        <w:t>Evropský parlament</w:t>
      </w:r>
      <w:r w:rsidRPr="004105F7">
        <w:t>,</w:t>
      </w:r>
    </w:p>
    <w:p w14:paraId="7CDF7748" w14:textId="77777777" w:rsidR="00872DB8" w:rsidRPr="00E51DFE" w:rsidRDefault="00872DB8" w:rsidP="00872DB8">
      <w:pPr>
        <w:spacing w:after="240"/>
        <w:ind w:left="567" w:hanging="567"/>
      </w:pPr>
      <w:r w:rsidRPr="00E51DFE">
        <w:t>–</w:t>
      </w:r>
      <w:r w:rsidRPr="00E51DFE">
        <w:tab/>
        <w:t>s ohledem na konečnou roční účetní závěrku Agentury Evropské unie pro železnice za rozpočtový rok 2023,</w:t>
      </w:r>
    </w:p>
    <w:p w14:paraId="23F0036A"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43"/>
      </w:r>
      <w:r w:rsidRPr="00E51DFE">
        <w:t>,</w:t>
      </w:r>
    </w:p>
    <w:p w14:paraId="49BFAF88"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44"/>
      </w:r>
      <w:r w:rsidRPr="00E51DFE">
        <w:t xml:space="preserve"> účetnictví a o legalitě a správnosti uskutečněných operací, které předložil Účetní dvůr za rozpočtový rok 2023 podle článku 287 Smlouvy o fungování Evropské unie,</w:t>
      </w:r>
    </w:p>
    <w:p w14:paraId="59BDCCD2"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61677B04"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9E7236A"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45"/>
      </w:r>
      <w:r w:rsidRPr="00E51DFE">
        <w:t>, a zejména na článek 70 tohoto nařízení,</w:t>
      </w:r>
    </w:p>
    <w:p w14:paraId="134686FB"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46"/>
      </w:r>
      <w:r w:rsidRPr="00E51DFE">
        <w:t>, a zejména na článek 70 tohoto nařízení,</w:t>
      </w:r>
    </w:p>
    <w:p w14:paraId="13B50D20" w14:textId="77777777" w:rsidR="00872DB8" w:rsidRPr="00E51DFE" w:rsidRDefault="00872DB8" w:rsidP="00872DB8">
      <w:pPr>
        <w:spacing w:after="240"/>
        <w:ind w:left="567" w:hanging="567"/>
      </w:pPr>
      <w:r w:rsidRPr="00E51DFE">
        <w:t>–</w:t>
      </w:r>
      <w:r w:rsidRPr="00E51DFE">
        <w:tab/>
        <w:t>s ohledem na nařízení Evropského parlamentu a Rady (EU) 2016/796 ze dne 11. května 2016 o Agentuře Evropské unie pro železnice a o zrušení nařízení (ES) č. 881/2004</w:t>
      </w:r>
      <w:r w:rsidRPr="00E51DFE">
        <w:rPr>
          <w:vertAlign w:val="superscript"/>
        </w:rPr>
        <w:footnoteReference w:id="247"/>
      </w:r>
      <w:r w:rsidRPr="00E51DFE">
        <w:t>, a zejména na článek 65 tohoto nařízení,</w:t>
      </w:r>
    </w:p>
    <w:p w14:paraId="23C5321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48"/>
      </w:r>
      <w:r w:rsidRPr="00E51DFE">
        <w:t>, a zejména na článek 105 tohoto nařízení,</w:t>
      </w:r>
    </w:p>
    <w:p w14:paraId="5F201976" w14:textId="77777777" w:rsidR="00872DB8" w:rsidRPr="00E51DFE" w:rsidRDefault="00872DB8" w:rsidP="00872DB8">
      <w:pPr>
        <w:spacing w:after="240"/>
        <w:ind w:left="567" w:hanging="567"/>
      </w:pPr>
      <w:r w:rsidRPr="00E51DFE">
        <w:t>–</w:t>
      </w:r>
      <w:r w:rsidRPr="00E51DFE">
        <w:tab/>
        <w:t>s ohledem na článek 102 a přílohu V jednacího řádu,</w:t>
      </w:r>
    </w:p>
    <w:p w14:paraId="6D7DB40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A7093E4"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BE64468" w14:textId="77777777" w:rsidR="00872DB8" w:rsidRPr="00E51DFE" w:rsidRDefault="00872DB8" w:rsidP="00872DB8">
      <w:pPr>
        <w:spacing w:after="240"/>
        <w:ind w:left="567" w:hanging="567"/>
      </w:pPr>
      <w:r w:rsidRPr="00E51DFE">
        <w:t>1.</w:t>
      </w:r>
      <w:r w:rsidRPr="00E51DFE">
        <w:tab/>
        <w:t>uděluje absolutorium prozatímnímu výkonnému řediteli Agentury Evropské unie pro železnice za plnění rozpočtu agentury na rozpočtový rok 2023;</w:t>
      </w:r>
    </w:p>
    <w:p w14:paraId="6BDB148F"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EB0966D"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prozatímnímu výkonnému řediteli Agentury Evropské unie pro železnice, Radě, Komisi a Účetnímu dvoru a aby zajistila jejich zveřejnění v </w:t>
      </w:r>
      <w:r w:rsidRPr="00E51DFE">
        <w:rPr>
          <w:i/>
        </w:rPr>
        <w:t>Úředním věstníku Evropské unie</w:t>
      </w:r>
      <w:r w:rsidRPr="00E51DFE">
        <w:t xml:space="preserve"> (řada L).</w:t>
      </w:r>
    </w:p>
    <w:p w14:paraId="6787C3C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E6E0CD2" w14:textId="6C8631A3" w:rsidR="00872DB8" w:rsidRPr="00E51DFE" w:rsidRDefault="00872DB8" w:rsidP="00771E45">
      <w:pPr>
        <w:pStyle w:val="ATHeading3"/>
      </w:pPr>
      <w:r w:rsidRPr="00E51DFE">
        <w:t>42. Rozhodnutí Evropského parlamentu ze dne 7. května 2025 o uzavření účtů Agentury Evropské unie pro železnice za rozpočtový rok 2023 (2024/2030(DEC))</w:t>
      </w:r>
    </w:p>
    <w:p w14:paraId="3EEEAD3B" w14:textId="237346B2" w:rsidR="00872DB8" w:rsidRPr="00E51DFE" w:rsidRDefault="004105F7" w:rsidP="00872DB8">
      <w:pPr>
        <w:spacing w:before="480" w:after="240"/>
      </w:pPr>
      <w:r w:rsidRPr="004105F7">
        <w:rPr>
          <w:i/>
        </w:rPr>
        <w:t>Evropský parlament</w:t>
      </w:r>
      <w:r w:rsidR="00872DB8" w:rsidRPr="00E51DFE">
        <w:t>,</w:t>
      </w:r>
    </w:p>
    <w:p w14:paraId="65787B36" w14:textId="77777777" w:rsidR="00872DB8" w:rsidRPr="00E51DFE" w:rsidRDefault="00872DB8" w:rsidP="00872DB8">
      <w:pPr>
        <w:spacing w:after="240"/>
        <w:ind w:left="567" w:hanging="567"/>
      </w:pPr>
      <w:r w:rsidRPr="00E51DFE">
        <w:t>–</w:t>
      </w:r>
      <w:r w:rsidRPr="00E51DFE">
        <w:tab/>
        <w:t>s ohledem na konečnou roční účetní závěrku Agentury Evropské unie pro železnice za rozpočtový rok 2023,</w:t>
      </w:r>
    </w:p>
    <w:p w14:paraId="5A1BAB18"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49"/>
      </w:r>
      <w:r w:rsidRPr="00E51DFE">
        <w:t>,</w:t>
      </w:r>
    </w:p>
    <w:p w14:paraId="727FA7CF"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50"/>
      </w:r>
      <w:r w:rsidRPr="00E51DFE">
        <w:t xml:space="preserve"> účetnictví a o legalitě a správnosti uskutečněných operací, které předložil Účetní dvůr za rozpočtový rok 2023 podle článku 287 Smlouvy o fungování Evropské unie,</w:t>
      </w:r>
    </w:p>
    <w:p w14:paraId="2655A637"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3ED642C1"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CCBB77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51"/>
      </w:r>
      <w:r w:rsidRPr="00E51DFE">
        <w:t>, a zejména na článek 70 tohoto nařízení,</w:t>
      </w:r>
    </w:p>
    <w:p w14:paraId="6E4AF3EC"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52"/>
      </w:r>
      <w:r w:rsidRPr="00E51DFE">
        <w:t>, a zejména na článek 70 tohoto nařízení,</w:t>
      </w:r>
    </w:p>
    <w:p w14:paraId="4C7CA9CE" w14:textId="77777777" w:rsidR="00872DB8" w:rsidRPr="00E51DFE" w:rsidRDefault="00872DB8" w:rsidP="00872DB8">
      <w:pPr>
        <w:spacing w:after="240"/>
        <w:ind w:left="567" w:hanging="567"/>
      </w:pPr>
      <w:r w:rsidRPr="00E51DFE">
        <w:t>–</w:t>
      </w:r>
      <w:r w:rsidRPr="00E51DFE">
        <w:tab/>
        <w:t>s ohledem na nařízení Evropského parlamentu a Rady (EU) 2016/796 ze dne 11. května 2016 o Agentuře Evropské unie pro železnice a o zrušení nařízení (ES) č. 881/2004</w:t>
      </w:r>
      <w:r w:rsidRPr="00E51DFE">
        <w:rPr>
          <w:vertAlign w:val="superscript"/>
        </w:rPr>
        <w:footnoteReference w:id="253"/>
      </w:r>
      <w:r w:rsidRPr="00E51DFE">
        <w:t>, a zejména na článek 65 tohoto nařízení,</w:t>
      </w:r>
    </w:p>
    <w:p w14:paraId="658B3474"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54"/>
      </w:r>
      <w:r w:rsidRPr="00E51DFE">
        <w:t>, a zejména na článek 105 tohoto nařízení,</w:t>
      </w:r>
    </w:p>
    <w:p w14:paraId="28682035" w14:textId="77777777" w:rsidR="00872DB8" w:rsidRPr="00E51DFE" w:rsidRDefault="00872DB8" w:rsidP="00872DB8">
      <w:pPr>
        <w:spacing w:after="240"/>
        <w:ind w:left="567" w:hanging="567"/>
      </w:pPr>
      <w:r w:rsidRPr="00E51DFE">
        <w:t>–</w:t>
      </w:r>
      <w:r w:rsidRPr="00E51DFE">
        <w:tab/>
        <w:t>s ohledem na článek 102 a přílohu V jednacího řádu,</w:t>
      </w:r>
    </w:p>
    <w:p w14:paraId="3DA8517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D4A359E"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2F7E41D" w14:textId="77777777" w:rsidR="00872DB8" w:rsidRPr="00E51DFE" w:rsidRDefault="00872DB8" w:rsidP="00872DB8">
      <w:pPr>
        <w:spacing w:after="240"/>
        <w:ind w:left="567" w:hanging="567"/>
      </w:pPr>
      <w:r w:rsidRPr="00E51DFE">
        <w:t>1.</w:t>
      </w:r>
      <w:r w:rsidRPr="00E51DFE">
        <w:tab/>
        <w:t>schvaluje uzavření účtů Agentury Evropské unie pro železnice za rozpočtový rok 2023;</w:t>
      </w:r>
    </w:p>
    <w:p w14:paraId="1AF6EDCD" w14:textId="77777777" w:rsidR="00872DB8" w:rsidRPr="00E51DFE" w:rsidRDefault="00872DB8" w:rsidP="00872DB8">
      <w:pPr>
        <w:spacing w:after="240"/>
        <w:ind w:left="567" w:hanging="567"/>
      </w:pPr>
      <w:r w:rsidRPr="00E51DFE">
        <w:t>2.</w:t>
      </w:r>
      <w:r w:rsidRPr="00E51DFE">
        <w:tab/>
        <w:t>pověřuje svou předsedkyni, aby předala toto rozhodnutí prozatímnímu výkonnému řediteli Agentury Evropské unie pro železnice, Radě, Komisi a Účetnímu dvoru a aby zajistila jeho zveřejnění v </w:t>
      </w:r>
      <w:r w:rsidRPr="00E51DFE">
        <w:rPr>
          <w:i/>
        </w:rPr>
        <w:t>Úředním věstníku Evropské unie</w:t>
      </w:r>
      <w:r w:rsidRPr="00E51DFE">
        <w:t xml:space="preserve"> (řada L).</w:t>
      </w:r>
    </w:p>
    <w:p w14:paraId="0E0D8CF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8E5C21D" w14:textId="72FADB17" w:rsidR="00872DB8" w:rsidRPr="00E51DFE" w:rsidRDefault="00872DB8" w:rsidP="00771E45">
      <w:pPr>
        <w:pStyle w:val="ATHeading3"/>
      </w:pPr>
      <w:r w:rsidRPr="00E51DFE">
        <w:t>43. Rozhodnutí Evropského parlamentu ze dne 7. května 2025 o udělení absolutoria za plnění rozpočtu Zásobovací agentury Euratomu na rozpočtový rok 2023 (2024/2030(DEC))</w:t>
      </w:r>
    </w:p>
    <w:p w14:paraId="654C4D66" w14:textId="77777777" w:rsidR="004105F7" w:rsidRPr="00E51DFE" w:rsidRDefault="004105F7" w:rsidP="004105F7">
      <w:pPr>
        <w:spacing w:before="480" w:after="240"/>
      </w:pPr>
      <w:r w:rsidRPr="004105F7">
        <w:rPr>
          <w:i/>
        </w:rPr>
        <w:t>Evropský parlament</w:t>
      </w:r>
      <w:r w:rsidRPr="00E51DFE">
        <w:t>,</w:t>
      </w:r>
    </w:p>
    <w:p w14:paraId="057D320C" w14:textId="77777777" w:rsidR="00872DB8" w:rsidRPr="00E51DFE" w:rsidRDefault="00872DB8" w:rsidP="00872DB8">
      <w:pPr>
        <w:spacing w:after="240"/>
        <w:ind w:left="567" w:hanging="567"/>
      </w:pPr>
      <w:r w:rsidRPr="00E51DFE">
        <w:t>–</w:t>
      </w:r>
      <w:r w:rsidRPr="00E51DFE">
        <w:tab/>
        <w:t>s ohledem na konečnou roční účetní závěrku Zásobovací agentury Euratomu za rozpočtový rok 2023,</w:t>
      </w:r>
    </w:p>
    <w:p w14:paraId="2EF5A292"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55"/>
      </w:r>
      <w:r w:rsidRPr="00E51DFE">
        <w:t>,</w:t>
      </w:r>
    </w:p>
    <w:p w14:paraId="206A74F6"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56"/>
      </w:r>
      <w:r w:rsidRPr="00E51DFE">
        <w:t xml:space="preserve"> účetnictví a o legalitě a správnosti uskutečněných operací, které předložil Účetní dvůr za rozpočtový rok 2023 podle článku 287 Smlouvy o fungování Evropské unie,</w:t>
      </w:r>
    </w:p>
    <w:p w14:paraId="2F15C481"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7120591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107759F" w14:textId="77777777" w:rsidR="00872DB8" w:rsidRPr="00E51DFE" w:rsidRDefault="00872DB8" w:rsidP="00872DB8">
      <w:pPr>
        <w:spacing w:after="240"/>
        <w:ind w:left="567" w:hanging="567"/>
      </w:pPr>
      <w:r w:rsidRPr="00E51DFE">
        <w:t>–</w:t>
      </w:r>
      <w:r w:rsidRPr="00E51DFE">
        <w:tab/>
        <w:t>s ohledem na článek 106a Smlouvy o založení Evropského společenství pro atomovou energii,</w:t>
      </w:r>
    </w:p>
    <w:p w14:paraId="1637FE5A"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57"/>
      </w:r>
      <w:r w:rsidRPr="00E51DFE">
        <w:t>, a zejména na článek 68 tohoto nařízení,</w:t>
      </w:r>
    </w:p>
    <w:p w14:paraId="7D256EE7"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58"/>
      </w:r>
      <w:r w:rsidRPr="00E51DFE">
        <w:t>, a zejména na článek 68 tohoto nařízení,</w:t>
      </w:r>
    </w:p>
    <w:p w14:paraId="201C7FB4" w14:textId="77777777" w:rsidR="00872DB8" w:rsidRPr="00E51DFE" w:rsidRDefault="00872DB8" w:rsidP="00872DB8">
      <w:pPr>
        <w:spacing w:after="240"/>
        <w:ind w:left="567" w:hanging="567"/>
      </w:pPr>
      <w:r w:rsidRPr="00E51DFE">
        <w:t>–</w:t>
      </w:r>
      <w:r w:rsidRPr="00E51DFE">
        <w:tab/>
        <w:t>s ohledem na rozhodnutí Rady 2008/114/ES, Euratom ze dne 12. února 2008, kterým se stanoví stanovy Zásobovací agentury Euratomu</w:t>
      </w:r>
      <w:r w:rsidRPr="00E51DFE">
        <w:rPr>
          <w:vertAlign w:val="superscript"/>
        </w:rPr>
        <w:footnoteReference w:id="259"/>
      </w:r>
      <w:r w:rsidRPr="00E51DFE">
        <w:t>, a zejména na článek 8 přílohy tohoto rozhodnutí,</w:t>
      </w:r>
    </w:p>
    <w:p w14:paraId="005BEE4B" w14:textId="77777777" w:rsidR="00872DB8" w:rsidRPr="00E51DFE" w:rsidRDefault="00872DB8" w:rsidP="00872DB8">
      <w:pPr>
        <w:spacing w:after="240"/>
        <w:ind w:left="567" w:hanging="567"/>
      </w:pPr>
      <w:r w:rsidRPr="00E51DFE">
        <w:t>–</w:t>
      </w:r>
      <w:r w:rsidRPr="00E51DFE">
        <w:tab/>
        <w:t>s ohledem na článek 102 a přílohu V jednacího řádu,</w:t>
      </w:r>
    </w:p>
    <w:p w14:paraId="61D154D0"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36AF97C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95EFBA6" w14:textId="77777777" w:rsidR="00872DB8" w:rsidRPr="00E51DFE" w:rsidRDefault="00872DB8" w:rsidP="00872DB8">
      <w:pPr>
        <w:spacing w:after="240"/>
        <w:ind w:left="567" w:hanging="567"/>
      </w:pPr>
      <w:r w:rsidRPr="00E51DFE">
        <w:t>1.</w:t>
      </w:r>
      <w:r w:rsidRPr="00E51DFE">
        <w:tab/>
        <w:t>uděluje absolutorium generálnímu řediteli Zásobovací agentury Euratomu za plnění rozpočtu agentury na rozpočtový rok 2023;</w:t>
      </w:r>
    </w:p>
    <w:p w14:paraId="1BE8CBED"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CE3F48D"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generálnímu řediteli Zásobovací agentury Euratomu, Radě, Komisi a Účetnímu dvoru a aby zajistila jejich zveřejnění v </w:t>
      </w:r>
      <w:r w:rsidRPr="00E51DFE">
        <w:rPr>
          <w:i/>
        </w:rPr>
        <w:t>Úředním věstníku Evropské unie</w:t>
      </w:r>
      <w:r w:rsidRPr="00E51DFE">
        <w:t xml:space="preserve"> (řada L).</w:t>
      </w:r>
    </w:p>
    <w:p w14:paraId="60299A90"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71B823F" w14:textId="68DC8200" w:rsidR="00872DB8" w:rsidRPr="00E51DFE" w:rsidRDefault="00872DB8" w:rsidP="00771E45">
      <w:pPr>
        <w:pStyle w:val="ATHeading3"/>
      </w:pPr>
      <w:r w:rsidRPr="00E51DFE">
        <w:t>44. Rozhodnutí Evropského parlamentu ze dne 7. května 2025 o uzavření účtů Zásobovací agentury Euratomu za rozpočtový rok 2023 (2024/2030(DEC))</w:t>
      </w:r>
    </w:p>
    <w:p w14:paraId="441BDD01" w14:textId="77777777" w:rsidR="004105F7" w:rsidRPr="00E51DFE" w:rsidRDefault="004105F7" w:rsidP="004105F7">
      <w:pPr>
        <w:spacing w:before="480" w:after="240"/>
      </w:pPr>
      <w:r w:rsidRPr="004105F7">
        <w:rPr>
          <w:i/>
        </w:rPr>
        <w:t>Evropský parlament</w:t>
      </w:r>
      <w:r w:rsidRPr="00E51DFE">
        <w:t>,</w:t>
      </w:r>
    </w:p>
    <w:p w14:paraId="4F8F0ABF" w14:textId="77777777" w:rsidR="00872DB8" w:rsidRPr="00E51DFE" w:rsidRDefault="00872DB8" w:rsidP="00872DB8">
      <w:pPr>
        <w:spacing w:after="240"/>
        <w:ind w:left="567" w:hanging="567"/>
      </w:pPr>
      <w:r w:rsidRPr="00E51DFE">
        <w:t>–</w:t>
      </w:r>
      <w:r w:rsidRPr="00E51DFE">
        <w:tab/>
        <w:t>s ohledem na konečnou roční účetní závěrku Zásobovací agentury Euratomu za rozpočtový rok 2023,</w:t>
      </w:r>
    </w:p>
    <w:p w14:paraId="3D9C209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60"/>
      </w:r>
      <w:r w:rsidRPr="00E51DFE">
        <w:t>,</w:t>
      </w:r>
    </w:p>
    <w:p w14:paraId="299C486F"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61"/>
      </w:r>
      <w:r w:rsidRPr="00E51DFE">
        <w:t xml:space="preserve"> účetnictví a o legalitě a správnosti uskutečněných operací, které předložil Účetní dvůr za rozpočtový rok 2023 podle článku 287 Smlouvy o fungování Evropské unie,</w:t>
      </w:r>
    </w:p>
    <w:p w14:paraId="6B93878A"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5C3A25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D37719F" w14:textId="77777777" w:rsidR="00872DB8" w:rsidRPr="00E51DFE" w:rsidRDefault="00872DB8" w:rsidP="00872DB8">
      <w:pPr>
        <w:spacing w:after="240"/>
        <w:ind w:left="567" w:hanging="567"/>
      </w:pPr>
      <w:r w:rsidRPr="00E51DFE">
        <w:t>–</w:t>
      </w:r>
      <w:r w:rsidRPr="00E51DFE">
        <w:tab/>
        <w:t>s ohledem na článek 106a Smlouvy o založení Evropského společenství pro atomovou energii,</w:t>
      </w:r>
    </w:p>
    <w:p w14:paraId="230E92F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62"/>
      </w:r>
      <w:r w:rsidRPr="00E51DFE">
        <w:t>, a zejména na článek 68 tohoto nařízení,</w:t>
      </w:r>
    </w:p>
    <w:p w14:paraId="0128DC09"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63"/>
      </w:r>
      <w:r w:rsidRPr="00E51DFE">
        <w:t>, a zejména na článek 68 tohoto nařízení,</w:t>
      </w:r>
    </w:p>
    <w:p w14:paraId="178DF1A1" w14:textId="77777777" w:rsidR="00872DB8" w:rsidRPr="00E51DFE" w:rsidRDefault="00872DB8" w:rsidP="00872DB8">
      <w:pPr>
        <w:spacing w:after="240"/>
        <w:ind w:left="567" w:hanging="567"/>
      </w:pPr>
      <w:r w:rsidRPr="00E51DFE">
        <w:t>–</w:t>
      </w:r>
      <w:r w:rsidRPr="00E51DFE">
        <w:tab/>
        <w:t>s ohledem na rozhodnutí Rady 2008/114/ES, Euratom ze dne 12. února 2008, kterým se stanoví stanovy Zásobovací agentury Euratomu</w:t>
      </w:r>
      <w:r w:rsidRPr="00E51DFE">
        <w:rPr>
          <w:vertAlign w:val="superscript"/>
        </w:rPr>
        <w:footnoteReference w:id="264"/>
      </w:r>
      <w:r w:rsidRPr="00E51DFE">
        <w:t>, a zejména na článek 8 přílohy tohoto rozhodnutí,</w:t>
      </w:r>
    </w:p>
    <w:p w14:paraId="3B7B7559" w14:textId="77777777" w:rsidR="00872DB8" w:rsidRPr="00E51DFE" w:rsidRDefault="00872DB8" w:rsidP="00872DB8">
      <w:pPr>
        <w:spacing w:after="240"/>
        <w:ind w:left="567" w:hanging="567"/>
      </w:pPr>
      <w:r w:rsidRPr="00E51DFE">
        <w:t>–</w:t>
      </w:r>
      <w:r w:rsidRPr="00E51DFE">
        <w:tab/>
        <w:t>s ohledem na článek 102 a přílohu V jednacího řádu,</w:t>
      </w:r>
    </w:p>
    <w:p w14:paraId="0A519DBB"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81CC82D"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3385DDD" w14:textId="77777777" w:rsidR="00872DB8" w:rsidRPr="00E51DFE" w:rsidRDefault="00872DB8" w:rsidP="00872DB8">
      <w:pPr>
        <w:spacing w:after="240"/>
        <w:ind w:left="567" w:hanging="567"/>
      </w:pPr>
      <w:r w:rsidRPr="00E51DFE">
        <w:t>1.</w:t>
      </w:r>
      <w:r w:rsidRPr="00E51DFE">
        <w:tab/>
        <w:t>schvaluje uzavření účtů Zásobovací agentury Euratomu za rozpočtový rok 2023;</w:t>
      </w:r>
    </w:p>
    <w:p w14:paraId="24758FF9" w14:textId="77777777" w:rsidR="00872DB8" w:rsidRPr="00E51DFE" w:rsidRDefault="00872DB8" w:rsidP="00872DB8">
      <w:pPr>
        <w:spacing w:after="240"/>
        <w:ind w:left="567" w:hanging="567"/>
      </w:pPr>
      <w:r w:rsidRPr="00E51DFE">
        <w:t>2.</w:t>
      </w:r>
      <w:r w:rsidRPr="00E51DFE">
        <w:tab/>
        <w:t>pověřuje svou předsedkyni, aby předala toto rozhodnutí generálnímu řediteli Zásobovací agentury Euratomu, Radě, Komisi a Účetnímu dvoru a aby zajistila jeho zveřejnění v </w:t>
      </w:r>
      <w:r w:rsidRPr="00E51DFE">
        <w:rPr>
          <w:i/>
        </w:rPr>
        <w:t>Úředním věstníku Evropské unie</w:t>
      </w:r>
      <w:r w:rsidRPr="00E51DFE">
        <w:t xml:space="preserve"> (řada L).</w:t>
      </w:r>
    </w:p>
    <w:p w14:paraId="4D210F2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84E8DBB" w14:textId="77777777" w:rsidR="00872DB8" w:rsidRPr="00E51DFE" w:rsidRDefault="00872DB8" w:rsidP="00771E45">
      <w:pPr>
        <w:pStyle w:val="ATHeading3"/>
      </w:pPr>
      <w:r w:rsidRPr="00E51DFE">
        <w:t>45. Rozhodnutí Evropského parlamentu ze dne 7. května 2025 o udělení absolutoria za plnění rozpočtu Evropského orgánu pro cenné papíry a trhy na rozpočtový rok 2023 (2024/2030(DEC))</w:t>
      </w:r>
    </w:p>
    <w:p w14:paraId="4B97E468" w14:textId="77777777" w:rsidR="004105F7" w:rsidRPr="00E51DFE" w:rsidRDefault="004105F7" w:rsidP="004105F7">
      <w:pPr>
        <w:spacing w:before="480" w:after="240"/>
      </w:pPr>
      <w:r w:rsidRPr="004105F7">
        <w:rPr>
          <w:i/>
        </w:rPr>
        <w:t>Evropský parlament</w:t>
      </w:r>
      <w:r w:rsidRPr="00E51DFE">
        <w:t>,</w:t>
      </w:r>
    </w:p>
    <w:p w14:paraId="3B73F432" w14:textId="77777777" w:rsidR="00872DB8" w:rsidRPr="00E51DFE" w:rsidRDefault="00872DB8" w:rsidP="00872DB8">
      <w:pPr>
        <w:spacing w:after="240"/>
        <w:ind w:left="567" w:hanging="567"/>
      </w:pPr>
      <w:r w:rsidRPr="00E51DFE">
        <w:t>–</w:t>
      </w:r>
      <w:r w:rsidRPr="00E51DFE">
        <w:tab/>
        <w:t>s ohledem na konečnou roční účetní závěrku Evropského orgánu pro cenné papíry a trhy za rozpočtový rok 2023,</w:t>
      </w:r>
    </w:p>
    <w:p w14:paraId="6A6BFB40"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65"/>
      </w:r>
      <w:r w:rsidRPr="00E51DFE">
        <w:t>,</w:t>
      </w:r>
    </w:p>
    <w:p w14:paraId="4B92C554"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66"/>
      </w:r>
      <w:r w:rsidRPr="00E51DFE">
        <w:t xml:space="preserve"> účetnictví a o legalitě a správnosti uskutečněných operací, které předložil Účetní dvůr za rozpočtový rok 2023 podle článku 287 Smlouvy o fungování Evropské unie,</w:t>
      </w:r>
    </w:p>
    <w:p w14:paraId="58A903C0"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6701CD97"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B3908D3"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67"/>
      </w:r>
      <w:r w:rsidRPr="00E51DFE">
        <w:t>, a zejména na článek 70 tohoto nařízení,</w:t>
      </w:r>
    </w:p>
    <w:p w14:paraId="661460DD"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68"/>
      </w:r>
      <w:r w:rsidRPr="00E51DFE">
        <w:t>, a zejména na článek 70 tohoto nařízení,</w:t>
      </w:r>
    </w:p>
    <w:p w14:paraId="36D4F2CD" w14:textId="77777777" w:rsidR="00872DB8" w:rsidRPr="00E51DFE" w:rsidRDefault="00872DB8" w:rsidP="00872DB8">
      <w:pPr>
        <w:spacing w:after="240"/>
        <w:ind w:left="567" w:hanging="567"/>
      </w:pPr>
      <w:r w:rsidRPr="00E51DFE">
        <w:t>–</w:t>
      </w:r>
      <w:r w:rsidRPr="00E51DFE">
        <w:tab/>
        <w:t>s ohledem na nařízení Evropského parlamentu a Rady (EU) č. 1095/2010 ze dne 24. listopadu 2010 o zřízení Evropského orgánu dohledu (Evropského orgánu pro cenné papíry a trhy), o změně rozhodnutí č. 716/2009/ES a o zrušení rozhodnutí Komise 2009/77/ES</w:t>
      </w:r>
      <w:r w:rsidRPr="00E51DFE">
        <w:rPr>
          <w:vertAlign w:val="superscript"/>
        </w:rPr>
        <w:footnoteReference w:id="269"/>
      </w:r>
      <w:r w:rsidRPr="00E51DFE">
        <w:t>, a zejména na článek 64 tohoto nařízení,</w:t>
      </w:r>
    </w:p>
    <w:p w14:paraId="22736742"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70"/>
      </w:r>
      <w:r w:rsidRPr="00E51DFE">
        <w:t>, a zejména na článek 105 tohoto nařízení,</w:t>
      </w:r>
    </w:p>
    <w:p w14:paraId="404D1F13" w14:textId="77777777" w:rsidR="00872DB8" w:rsidRPr="00E51DFE" w:rsidRDefault="00872DB8" w:rsidP="00872DB8">
      <w:pPr>
        <w:spacing w:after="240"/>
        <w:ind w:left="567" w:hanging="567"/>
      </w:pPr>
      <w:r w:rsidRPr="00E51DFE">
        <w:t>–</w:t>
      </w:r>
      <w:r w:rsidRPr="00E51DFE">
        <w:tab/>
        <w:t>s ohledem na článek 102 a přílohu V jednacího řádu,</w:t>
      </w:r>
    </w:p>
    <w:p w14:paraId="69ADFC6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52B9202F"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3149553" w14:textId="77777777" w:rsidR="00872DB8" w:rsidRPr="00E51DFE" w:rsidRDefault="00872DB8" w:rsidP="00872DB8">
      <w:pPr>
        <w:spacing w:after="240"/>
        <w:ind w:left="567" w:hanging="567"/>
      </w:pPr>
      <w:r w:rsidRPr="00E51DFE">
        <w:t>1.</w:t>
      </w:r>
      <w:r w:rsidRPr="00E51DFE">
        <w:tab/>
        <w:t>uděluje absolutorium výkonné ředitelce Evropského orgánu pro cenné papíry a trhy za plnění rozpočtu orgánu na rozpočtový rok 2023;</w:t>
      </w:r>
    </w:p>
    <w:p w14:paraId="67B15A5B" w14:textId="77777777" w:rsidR="00872DB8" w:rsidRPr="00E51DFE" w:rsidRDefault="00872DB8" w:rsidP="00872DB8">
      <w:pPr>
        <w:spacing w:after="240"/>
        <w:ind w:left="567" w:hanging="567"/>
      </w:pPr>
      <w:r w:rsidRPr="00E51DFE">
        <w:t>2.</w:t>
      </w:r>
      <w:r w:rsidRPr="00E51DFE">
        <w:tab/>
        <w:t>předkládá své připomínky v níže uvedeném usnesení;</w:t>
      </w:r>
    </w:p>
    <w:p w14:paraId="19E440A9"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Evropského orgánu pro cenné papíry a trhy, Radě, Komisi a Účetnímu dvoru a aby zajistila jejich zveřejnění v </w:t>
      </w:r>
      <w:r w:rsidRPr="00E51DFE">
        <w:rPr>
          <w:i/>
        </w:rPr>
        <w:t>Úředním věstníku Evropské unie</w:t>
      </w:r>
      <w:r w:rsidRPr="00E51DFE">
        <w:t xml:space="preserve"> (řada L).</w:t>
      </w:r>
    </w:p>
    <w:p w14:paraId="6491409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367358C" w14:textId="6130AA44" w:rsidR="00872DB8" w:rsidRPr="00E51DFE" w:rsidRDefault="00872DB8" w:rsidP="00771E45">
      <w:pPr>
        <w:pStyle w:val="ATHeading3"/>
      </w:pPr>
      <w:r w:rsidRPr="00E51DFE">
        <w:t>46. Rozhodnutí Evropského parlamentu ze dne 7. května 2025 o uzavření účtů Evropského orgánu pro cenné papíry a trhy za rozpočtový rok 2023 (2024/2030(DEC))</w:t>
      </w:r>
    </w:p>
    <w:p w14:paraId="488E6528" w14:textId="77777777" w:rsidR="004105F7" w:rsidRPr="00E51DFE" w:rsidRDefault="004105F7" w:rsidP="004105F7">
      <w:pPr>
        <w:spacing w:before="480" w:after="240"/>
      </w:pPr>
      <w:r w:rsidRPr="004105F7">
        <w:rPr>
          <w:i/>
        </w:rPr>
        <w:t>Evropský parlament</w:t>
      </w:r>
      <w:r w:rsidRPr="00E51DFE">
        <w:t>,</w:t>
      </w:r>
    </w:p>
    <w:p w14:paraId="152484ED" w14:textId="77777777" w:rsidR="00872DB8" w:rsidRPr="00E51DFE" w:rsidRDefault="00872DB8" w:rsidP="00872DB8">
      <w:pPr>
        <w:spacing w:after="240"/>
        <w:ind w:left="567" w:hanging="567"/>
      </w:pPr>
      <w:r w:rsidRPr="00E51DFE">
        <w:t>–</w:t>
      </w:r>
      <w:r w:rsidRPr="00E51DFE">
        <w:tab/>
        <w:t>s ohledem na konečnou roční účetní závěrku Evropského orgánu pro cenné papíry a trhy za rozpočtový rok 2023,</w:t>
      </w:r>
    </w:p>
    <w:p w14:paraId="350C38C3"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71"/>
      </w:r>
      <w:r w:rsidRPr="00E51DFE">
        <w:t>,</w:t>
      </w:r>
    </w:p>
    <w:p w14:paraId="30EA6150"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72"/>
      </w:r>
      <w:r w:rsidRPr="00E51DFE">
        <w:t xml:space="preserve"> účetnictví a o legalitě a správnosti uskutečněných operací, které předložil Účetní dvůr za rozpočtový rok 2023 podle článku 287 Smlouvy o fungování Evropské unie,</w:t>
      </w:r>
    </w:p>
    <w:p w14:paraId="2AA4170D" w14:textId="77777777" w:rsidR="00872DB8" w:rsidRPr="00E51DFE" w:rsidRDefault="00872DB8" w:rsidP="00872DB8">
      <w:pPr>
        <w:spacing w:after="240"/>
        <w:ind w:left="567" w:hanging="567"/>
      </w:pPr>
      <w:r w:rsidRPr="00E51DFE">
        <w:t>–</w:t>
      </w:r>
      <w:r w:rsidRPr="00E51DFE">
        <w:tab/>
        <w:t>s ohledem na doporučení Rady ze dne 17. února 2025 o udělení absolutoria orgánu za plnění rozpočtu na rozpočtový rok 2023 (05755/2025 – C10</w:t>
      </w:r>
      <w:r w:rsidRPr="00E51DFE">
        <w:noBreakHyphen/>
        <w:t>0024/2025),</w:t>
      </w:r>
    </w:p>
    <w:p w14:paraId="7415112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74017A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73"/>
      </w:r>
      <w:r w:rsidRPr="00E51DFE">
        <w:t>, a zejména na článek 70 tohoto nařízení,</w:t>
      </w:r>
    </w:p>
    <w:p w14:paraId="20D83FB5"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74"/>
      </w:r>
      <w:r w:rsidRPr="00E51DFE">
        <w:t>, a zejména na článek 70 tohoto nařízení,</w:t>
      </w:r>
    </w:p>
    <w:p w14:paraId="2310B4A9" w14:textId="77777777" w:rsidR="00872DB8" w:rsidRPr="00E51DFE" w:rsidRDefault="00872DB8" w:rsidP="00872DB8">
      <w:pPr>
        <w:spacing w:after="240"/>
        <w:ind w:left="567" w:hanging="567"/>
      </w:pPr>
      <w:r w:rsidRPr="00E51DFE">
        <w:t>–</w:t>
      </w:r>
      <w:r w:rsidRPr="00E51DFE">
        <w:tab/>
        <w:t>s ohledem na nařízení Evropského parlamentu a Rady (EU) č. 1095/2010 ze dne 24. listopadu 2010 o zřízení Evropského orgánu dohledu (Evropského orgánu pro cenné papíry a trhy), o změně rozhodnutí č. 716/2009/ES a o zrušení rozhodnutí Komise 2009/77/ES</w:t>
      </w:r>
      <w:r w:rsidRPr="00E51DFE">
        <w:rPr>
          <w:vertAlign w:val="superscript"/>
        </w:rPr>
        <w:footnoteReference w:id="275"/>
      </w:r>
      <w:r w:rsidRPr="00E51DFE">
        <w:t>, a zejména na článek 64 tohoto nařízení,</w:t>
      </w:r>
    </w:p>
    <w:p w14:paraId="52EF69D2"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76"/>
      </w:r>
      <w:r w:rsidRPr="00E51DFE">
        <w:t>, a zejména na článek 105 tohoto nařízení,</w:t>
      </w:r>
    </w:p>
    <w:p w14:paraId="45BB807E" w14:textId="77777777" w:rsidR="00872DB8" w:rsidRPr="00E51DFE" w:rsidRDefault="00872DB8" w:rsidP="00872DB8">
      <w:pPr>
        <w:spacing w:after="240"/>
        <w:ind w:left="567" w:hanging="567"/>
      </w:pPr>
      <w:r w:rsidRPr="00E51DFE">
        <w:t>–</w:t>
      </w:r>
      <w:r w:rsidRPr="00E51DFE">
        <w:tab/>
        <w:t>s ohledem na článek 102 a přílohu V jednacího řádu,</w:t>
      </w:r>
    </w:p>
    <w:p w14:paraId="453D4E7F"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5BF9271E"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05E8098" w14:textId="77777777" w:rsidR="00872DB8" w:rsidRPr="00E51DFE" w:rsidRDefault="00872DB8" w:rsidP="00872DB8">
      <w:pPr>
        <w:spacing w:after="240"/>
        <w:ind w:left="567" w:hanging="567"/>
      </w:pPr>
      <w:r w:rsidRPr="00E51DFE">
        <w:t>1.</w:t>
      </w:r>
      <w:r w:rsidRPr="00E51DFE">
        <w:tab/>
        <w:t>schvaluje uzavření účtů Evropského orgánu pro cenné papíry a trhy za rozpočtový rok 2023;</w:t>
      </w:r>
    </w:p>
    <w:p w14:paraId="447800C4" w14:textId="77777777" w:rsidR="00872DB8" w:rsidRPr="00E51DFE" w:rsidRDefault="00872DB8" w:rsidP="00872DB8">
      <w:pPr>
        <w:spacing w:after="240"/>
        <w:ind w:left="567" w:hanging="567"/>
      </w:pPr>
      <w:r w:rsidRPr="00E51DFE">
        <w:t>2.</w:t>
      </w:r>
      <w:r w:rsidRPr="00E51DFE">
        <w:tab/>
        <w:t>pověřuje svou předsedkyni, aby předala toto rozhodnutí výkonné ředitelce Evropského orgánu pro cenné papíry a trhy, Radě, Komisi a Účetnímu dvoru a aby zajistila jeho zveřejnění v </w:t>
      </w:r>
      <w:r w:rsidRPr="00E51DFE">
        <w:rPr>
          <w:i/>
        </w:rPr>
        <w:t>Úředním věstníku Evropské unie</w:t>
      </w:r>
      <w:r w:rsidRPr="00E51DFE">
        <w:t xml:space="preserve"> (řada L).</w:t>
      </w:r>
    </w:p>
    <w:p w14:paraId="4AC225DD"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15335C2A" w14:textId="379F8F3E" w:rsidR="00872DB8" w:rsidRPr="00E51DFE" w:rsidRDefault="00872DB8" w:rsidP="00771E45">
      <w:pPr>
        <w:pStyle w:val="ATHeading3"/>
      </w:pPr>
      <w:r w:rsidRPr="00E51DFE">
        <w:t>47. Rozhodnutí Evropského parlamentu ze dne 7. května 2025 o udělení absolutoria za plnění rozpočtu Evropské nadace odborného vzdělávání na rozpočtový rok 2023 (2024/2030(DEC))</w:t>
      </w:r>
    </w:p>
    <w:p w14:paraId="06F9EAEE" w14:textId="77777777" w:rsidR="004105F7" w:rsidRPr="00E51DFE" w:rsidRDefault="004105F7" w:rsidP="004105F7">
      <w:pPr>
        <w:spacing w:before="480" w:after="240"/>
      </w:pPr>
      <w:r w:rsidRPr="004105F7">
        <w:rPr>
          <w:i/>
        </w:rPr>
        <w:t>Evropský parlament</w:t>
      </w:r>
      <w:r w:rsidRPr="00E51DFE">
        <w:t>,</w:t>
      </w:r>
    </w:p>
    <w:p w14:paraId="791927E9" w14:textId="77777777" w:rsidR="00872DB8" w:rsidRPr="00E51DFE" w:rsidRDefault="00872DB8" w:rsidP="00872DB8">
      <w:pPr>
        <w:spacing w:after="240"/>
        <w:ind w:left="567" w:hanging="567"/>
      </w:pPr>
      <w:r w:rsidRPr="00E51DFE">
        <w:t>–</w:t>
      </w:r>
      <w:r w:rsidRPr="00E51DFE">
        <w:tab/>
        <w:t>s ohledem na konečnou roční účetní závěrku Evropské nadace odborného vzdělávání za rozpočtový rok 2023,</w:t>
      </w:r>
    </w:p>
    <w:p w14:paraId="551D162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77"/>
      </w:r>
      <w:r w:rsidRPr="00E51DFE">
        <w:t>,</w:t>
      </w:r>
    </w:p>
    <w:p w14:paraId="57E7770F"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78"/>
      </w:r>
      <w:r w:rsidRPr="00E51DFE">
        <w:t xml:space="preserve"> účetnictví a o legalitě a správnosti uskutečněných operací, které předložil Účetní dvůr za rozpočtový rok 2023 podle článku 287 Smlouvy o fungování Evropské unie,</w:t>
      </w:r>
    </w:p>
    <w:p w14:paraId="65CF70AF" w14:textId="77777777" w:rsidR="00872DB8" w:rsidRPr="00E51DFE" w:rsidRDefault="00872DB8" w:rsidP="00872DB8">
      <w:pPr>
        <w:spacing w:after="240"/>
        <w:ind w:left="567" w:hanging="567"/>
      </w:pPr>
      <w:r w:rsidRPr="00E51DFE">
        <w:t>–</w:t>
      </w:r>
      <w:r w:rsidRPr="00E51DFE">
        <w:tab/>
        <w:t>s ohledem na doporučení Rady ze dne 17. února 2025 o udělení absolutoria nadaci za plnění rozpočtu na rozpočtový rok 2023 (05755/2025 – C10</w:t>
      </w:r>
      <w:r w:rsidRPr="00E51DFE">
        <w:noBreakHyphen/>
        <w:t>0024/2025),</w:t>
      </w:r>
    </w:p>
    <w:p w14:paraId="6222DB8A"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E4D218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79"/>
      </w:r>
      <w:r w:rsidRPr="00E51DFE">
        <w:t>, a zejména na článek 70 tohoto nařízení,</w:t>
      </w:r>
    </w:p>
    <w:p w14:paraId="200C6DE5"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80"/>
      </w:r>
      <w:r w:rsidRPr="00E51DFE">
        <w:t>, a zejména na článek 70 tohoto nařízení,</w:t>
      </w:r>
    </w:p>
    <w:p w14:paraId="17E0BE0A" w14:textId="77777777" w:rsidR="00872DB8" w:rsidRPr="00E51DFE" w:rsidRDefault="00872DB8" w:rsidP="00872DB8">
      <w:pPr>
        <w:spacing w:after="240"/>
        <w:ind w:left="567" w:hanging="567"/>
      </w:pPr>
      <w:r w:rsidRPr="00E51DFE">
        <w:t>–</w:t>
      </w:r>
      <w:r w:rsidRPr="00E51DFE">
        <w:tab/>
        <w:t>s ohledem na nařízení Evropského parlamentu a Rady (ES) č. 1339/2008 ze dne 16. prosince 2008 o zřízení Evropské nadace odborného vzdělávání</w:t>
      </w:r>
      <w:r w:rsidRPr="00E51DFE">
        <w:rPr>
          <w:vertAlign w:val="superscript"/>
        </w:rPr>
        <w:footnoteReference w:id="281"/>
      </w:r>
      <w:r w:rsidRPr="00E51DFE">
        <w:t>, a zejména na článek 17 tohoto nařízení,</w:t>
      </w:r>
    </w:p>
    <w:p w14:paraId="23E742E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82"/>
      </w:r>
      <w:r w:rsidRPr="00E51DFE">
        <w:t>, a zejména na článek 105 tohoto nařízení,</w:t>
      </w:r>
    </w:p>
    <w:p w14:paraId="79FF47E6" w14:textId="77777777" w:rsidR="00872DB8" w:rsidRPr="00E51DFE" w:rsidRDefault="00872DB8" w:rsidP="00872DB8">
      <w:pPr>
        <w:spacing w:after="240"/>
        <w:ind w:left="567" w:hanging="567"/>
      </w:pPr>
      <w:r w:rsidRPr="00E51DFE">
        <w:t>–</w:t>
      </w:r>
      <w:r w:rsidRPr="00E51DFE">
        <w:tab/>
        <w:t>s ohledem na článek 102 a přílohu V jednacího řádu,</w:t>
      </w:r>
    </w:p>
    <w:p w14:paraId="51763F89"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07043B6"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2DE267E6" w14:textId="77777777" w:rsidR="00872DB8" w:rsidRPr="00E51DFE" w:rsidRDefault="00872DB8" w:rsidP="00872DB8">
      <w:pPr>
        <w:spacing w:after="240"/>
        <w:ind w:left="567" w:hanging="567"/>
      </w:pPr>
      <w:r w:rsidRPr="00E51DFE">
        <w:t>1.</w:t>
      </w:r>
      <w:r w:rsidRPr="00E51DFE">
        <w:tab/>
        <w:t>uděluje absolutorium ředitelce Evropské nadace odborného vzdělávání za plnění rozpočtu nadace na rozpočtový rok 2023;</w:t>
      </w:r>
    </w:p>
    <w:p w14:paraId="61B8A0AB"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2F8B038"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Evropské nadace odborného vzdělávání, Radě, Komisi a Účetnímu dvoru a aby zajistila jejich zveřejnění v </w:t>
      </w:r>
      <w:r w:rsidRPr="00E51DFE">
        <w:rPr>
          <w:i/>
        </w:rPr>
        <w:t>Úředním věstníku Evropské unie</w:t>
      </w:r>
      <w:r w:rsidRPr="00E51DFE">
        <w:t xml:space="preserve"> (řada L).</w:t>
      </w:r>
    </w:p>
    <w:p w14:paraId="198CFDA2"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0EAE68D" w14:textId="2314EDFC" w:rsidR="00872DB8" w:rsidRPr="00E51DFE" w:rsidRDefault="00872DB8" w:rsidP="00771E45">
      <w:pPr>
        <w:pStyle w:val="ATHeading3"/>
      </w:pPr>
      <w:r w:rsidRPr="00E51DFE">
        <w:t>48. Rozhodnutí Evropského parlamentu ze dne 7. května 2025 o uzavření účtů Evropské nadace odborného vzdělávání za rozpočtový rok 2023 (2024/2030(DEC))</w:t>
      </w:r>
    </w:p>
    <w:p w14:paraId="5E9B90A1" w14:textId="77777777" w:rsidR="00872DB8" w:rsidRPr="00E51DFE" w:rsidRDefault="00872DB8" w:rsidP="00872DB8">
      <w:pPr>
        <w:spacing w:before="480" w:after="240"/>
      </w:pPr>
      <w:r w:rsidRPr="00E51DFE">
        <w:rPr>
          <w:i/>
        </w:rPr>
        <w:t>Evropský parlament</w:t>
      </w:r>
      <w:r w:rsidRPr="00E51DFE">
        <w:t>,</w:t>
      </w:r>
    </w:p>
    <w:p w14:paraId="11084F6D" w14:textId="77777777" w:rsidR="00872DB8" w:rsidRPr="00E51DFE" w:rsidRDefault="00872DB8" w:rsidP="00872DB8">
      <w:pPr>
        <w:spacing w:after="240"/>
        <w:ind w:left="567" w:hanging="567"/>
      </w:pPr>
      <w:r w:rsidRPr="00E51DFE">
        <w:t>–</w:t>
      </w:r>
      <w:r w:rsidRPr="00E51DFE">
        <w:tab/>
        <w:t>s ohledem na konečnou roční účetní závěrku Evropské nadace odborného vzdělávání za rozpočtový rok 2023,</w:t>
      </w:r>
    </w:p>
    <w:p w14:paraId="06DBC166"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83"/>
      </w:r>
      <w:r w:rsidRPr="00E51DFE">
        <w:t>,</w:t>
      </w:r>
    </w:p>
    <w:p w14:paraId="37970D65"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84"/>
      </w:r>
      <w:r w:rsidRPr="00E51DFE">
        <w:t xml:space="preserve"> účetnictví a o legalitě a správnosti uskutečněných operací, které předložil Účetní dvůr za rozpočtový rok 2023 podle článku 287 Smlouvy o fungování Evropské unie,</w:t>
      </w:r>
    </w:p>
    <w:p w14:paraId="38E99D08" w14:textId="77777777" w:rsidR="00872DB8" w:rsidRPr="00E51DFE" w:rsidRDefault="00872DB8" w:rsidP="00872DB8">
      <w:pPr>
        <w:spacing w:after="240"/>
        <w:ind w:left="567" w:hanging="567"/>
      </w:pPr>
      <w:r w:rsidRPr="00E51DFE">
        <w:t>–</w:t>
      </w:r>
      <w:r w:rsidRPr="00E51DFE">
        <w:tab/>
        <w:t>s ohledem na doporučení Rady ze dne 17. února 2025 o udělení absolutoria nadaci za plnění rozpočtu na rozpočtový rok 2023 (05755/2025 – C10</w:t>
      </w:r>
      <w:r w:rsidRPr="00E51DFE">
        <w:noBreakHyphen/>
        <w:t>0024/2025),</w:t>
      </w:r>
    </w:p>
    <w:p w14:paraId="7539FE5D"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CE03A68"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85"/>
      </w:r>
      <w:r w:rsidRPr="00E51DFE">
        <w:t>, a zejména na článek 70 tohoto nařízení,</w:t>
      </w:r>
    </w:p>
    <w:p w14:paraId="512D951A"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86"/>
      </w:r>
      <w:r w:rsidRPr="00E51DFE">
        <w:t>, a zejména na článek 70 tohoto nařízení,</w:t>
      </w:r>
    </w:p>
    <w:p w14:paraId="5CBDE0CF" w14:textId="77777777" w:rsidR="00872DB8" w:rsidRPr="00E51DFE" w:rsidRDefault="00872DB8" w:rsidP="00872DB8">
      <w:pPr>
        <w:spacing w:after="240"/>
        <w:ind w:left="567" w:hanging="567"/>
      </w:pPr>
      <w:r w:rsidRPr="00E51DFE">
        <w:t>–</w:t>
      </w:r>
      <w:r w:rsidRPr="00E51DFE">
        <w:tab/>
        <w:t>s ohledem na nařízení Evropského parlamentu a Rady (ES) č. 1339/2008 ze dne 16. prosince 2008 o zřízení Evropské nadace odborného vzdělávání</w:t>
      </w:r>
      <w:r w:rsidRPr="00E51DFE">
        <w:rPr>
          <w:vertAlign w:val="superscript"/>
        </w:rPr>
        <w:footnoteReference w:id="287"/>
      </w:r>
      <w:r w:rsidRPr="00E51DFE">
        <w:t>, a zejména na článek 17 tohoto nařízení,</w:t>
      </w:r>
    </w:p>
    <w:p w14:paraId="7B664148"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88"/>
      </w:r>
      <w:r w:rsidRPr="00E51DFE">
        <w:t>, a zejména na článek 105 tohoto nařízení,</w:t>
      </w:r>
    </w:p>
    <w:p w14:paraId="1CE3706D" w14:textId="77777777" w:rsidR="00872DB8" w:rsidRPr="00E51DFE" w:rsidRDefault="00872DB8" w:rsidP="00872DB8">
      <w:pPr>
        <w:spacing w:after="240"/>
        <w:ind w:left="567" w:hanging="567"/>
      </w:pPr>
      <w:r w:rsidRPr="00E51DFE">
        <w:t>–</w:t>
      </w:r>
      <w:r w:rsidRPr="00E51DFE">
        <w:tab/>
        <w:t>s ohledem na článek 102 a přílohu V jednacího řádu,</w:t>
      </w:r>
    </w:p>
    <w:p w14:paraId="5C5CD672"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09BACE0"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F4408EF" w14:textId="77777777" w:rsidR="00872DB8" w:rsidRPr="00E51DFE" w:rsidRDefault="00872DB8" w:rsidP="00872DB8">
      <w:pPr>
        <w:spacing w:after="240"/>
        <w:ind w:left="567" w:hanging="567"/>
      </w:pPr>
      <w:r w:rsidRPr="00E51DFE">
        <w:t>1.</w:t>
      </w:r>
      <w:r w:rsidRPr="00E51DFE">
        <w:tab/>
        <w:t>schvaluje uzavření účtů Evropské nadace odborného vzdělávání za rozpočtový rok 2023;</w:t>
      </w:r>
    </w:p>
    <w:p w14:paraId="10178089" w14:textId="77777777" w:rsidR="00872DB8" w:rsidRPr="00E51DFE" w:rsidRDefault="00872DB8" w:rsidP="00872DB8">
      <w:pPr>
        <w:spacing w:after="240"/>
        <w:ind w:left="567" w:hanging="567"/>
      </w:pPr>
      <w:r w:rsidRPr="00E51DFE">
        <w:t>2.</w:t>
      </w:r>
      <w:r w:rsidRPr="00E51DFE">
        <w:tab/>
        <w:t>pověřuje svou předsedkyni, aby předala toto rozhodnutí ředitelce Evropské nadace odborného vzdělávání, Radě, Komisi a Účetnímu dvoru a aby zajistila jeho zveřejnění v </w:t>
      </w:r>
      <w:r w:rsidRPr="00E51DFE">
        <w:rPr>
          <w:i/>
        </w:rPr>
        <w:t>Úředním věstníku Evropské unie</w:t>
      </w:r>
      <w:r w:rsidRPr="00E51DFE">
        <w:t xml:space="preserve"> (řada L).</w:t>
      </w:r>
    </w:p>
    <w:p w14:paraId="70AAB4B9"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FE41CCF" w14:textId="3B38D05D" w:rsidR="00872DB8" w:rsidRPr="00E51DFE" w:rsidRDefault="00872DB8" w:rsidP="00771E45">
      <w:pPr>
        <w:pStyle w:val="ATHeading3"/>
      </w:pPr>
      <w:r w:rsidRPr="00E51DFE">
        <w:t>49. Rozhodnutí Evropského parlamentu ze dne 7. května 2025 o udělení absolutoria za plnění rozpočtu Agentury Evropské unie pro otázky azylu na rozpočtový rok 2023 (2024/2030(DEC))</w:t>
      </w:r>
    </w:p>
    <w:p w14:paraId="4D3217ED" w14:textId="77777777" w:rsidR="00872DB8" w:rsidRPr="00E51DFE" w:rsidRDefault="00872DB8" w:rsidP="00872DB8">
      <w:pPr>
        <w:spacing w:before="480" w:after="240"/>
      </w:pPr>
      <w:r w:rsidRPr="00E51DFE">
        <w:rPr>
          <w:i/>
        </w:rPr>
        <w:t>Evropský parlament</w:t>
      </w:r>
      <w:r w:rsidRPr="00E51DFE">
        <w:t>,</w:t>
      </w:r>
    </w:p>
    <w:p w14:paraId="15CCBA10" w14:textId="77777777" w:rsidR="00872DB8" w:rsidRPr="00E51DFE" w:rsidRDefault="00872DB8" w:rsidP="00872DB8">
      <w:pPr>
        <w:spacing w:after="240"/>
        <w:ind w:left="567" w:hanging="567"/>
      </w:pPr>
      <w:r w:rsidRPr="00E51DFE">
        <w:t>–</w:t>
      </w:r>
      <w:r w:rsidRPr="00E51DFE">
        <w:tab/>
        <w:t>s ohledem na konečnou roční účetní závěrku Agentury Evropské unie pro otázky azylu za rozpočtový rok 2023,</w:t>
      </w:r>
    </w:p>
    <w:p w14:paraId="6A0ABEEB"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89"/>
      </w:r>
      <w:r w:rsidRPr="00E51DFE">
        <w:t>,</w:t>
      </w:r>
    </w:p>
    <w:p w14:paraId="394B25A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90"/>
      </w:r>
      <w:r w:rsidRPr="00E51DFE">
        <w:t xml:space="preserve"> účetnictví a o legalitě a správnosti uskutečněných operací, které předložil Účetní dvůr za rozpočtový rok 2023 podle článku 287 Smlouvy o fungování Evropské unie,</w:t>
      </w:r>
    </w:p>
    <w:p w14:paraId="12F10B55"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44C792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4D156CA"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91"/>
      </w:r>
      <w:r w:rsidRPr="00E51DFE">
        <w:t>, a zejména na článek 70 tohoto nařízení,</w:t>
      </w:r>
    </w:p>
    <w:p w14:paraId="2DFB5A0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92"/>
      </w:r>
      <w:r w:rsidRPr="00E51DFE">
        <w:t>, a zejména na článek 70 tohoto nařízení,</w:t>
      </w:r>
    </w:p>
    <w:p w14:paraId="1EB88AF1" w14:textId="77777777" w:rsidR="00872DB8" w:rsidRPr="00E51DFE" w:rsidRDefault="00872DB8" w:rsidP="00872DB8">
      <w:pPr>
        <w:spacing w:after="240"/>
        <w:ind w:left="720" w:hanging="360"/>
      </w:pPr>
      <w:r w:rsidRPr="00E51DFE">
        <w:t>–</w:t>
      </w:r>
      <w:r w:rsidRPr="00E51DFE">
        <w:tab/>
        <w:t>s ohledem na nařízení Evropského parlamentu a Rady (EU) č. 439/2010 ze dne 19. května 2010 o zřízení Evropského podpůrného úřadu pro otázky azylu</w:t>
      </w:r>
      <w:r w:rsidRPr="00E51DFE">
        <w:rPr>
          <w:rStyle w:val="FootnoteReference"/>
        </w:rPr>
        <w:footnoteReference w:id="293"/>
      </w:r>
      <w:r w:rsidRPr="00E51DFE">
        <w:t>, a zejména na článek 36 tohoto nařízení,</w:t>
      </w:r>
    </w:p>
    <w:p w14:paraId="28B70A55" w14:textId="77777777" w:rsidR="00872DB8" w:rsidRPr="00E51DFE" w:rsidRDefault="00872DB8" w:rsidP="00872DB8">
      <w:pPr>
        <w:spacing w:after="240"/>
        <w:ind w:left="567" w:hanging="567"/>
      </w:pPr>
      <w:r w:rsidRPr="00E51DFE">
        <w:t>–</w:t>
      </w:r>
      <w:r w:rsidRPr="00E51DFE">
        <w:tab/>
        <w:t>s ohledem na nařízení Evropského parlamentu a Rady (EU) 2021/2303 ze dne 15. prosince 2021 o zřízení Agentury Evropské unie pro otázky azylu a o zrušení nařízení (EU) č. 439/2010</w:t>
      </w:r>
      <w:r w:rsidRPr="00E51DFE">
        <w:rPr>
          <w:vertAlign w:val="superscript"/>
        </w:rPr>
        <w:footnoteReference w:id="294"/>
      </w:r>
      <w:r w:rsidRPr="00E51DFE">
        <w:t>, a zejména na článek 55 tohoto nařízení,</w:t>
      </w:r>
    </w:p>
    <w:p w14:paraId="11141CFF"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295"/>
      </w:r>
      <w:r w:rsidRPr="00E51DFE">
        <w:t>, a zejména na článek 105 tohoto nařízení,</w:t>
      </w:r>
    </w:p>
    <w:p w14:paraId="4BA92C5E" w14:textId="77777777" w:rsidR="00872DB8" w:rsidRPr="00E51DFE" w:rsidRDefault="00872DB8" w:rsidP="00872DB8">
      <w:pPr>
        <w:spacing w:after="240"/>
        <w:ind w:left="567" w:hanging="567"/>
      </w:pPr>
      <w:r w:rsidRPr="00E51DFE">
        <w:t>–</w:t>
      </w:r>
      <w:r w:rsidRPr="00E51DFE">
        <w:tab/>
        <w:t>s ohledem na článek 102 a přílohu V jednacího řádu,</w:t>
      </w:r>
    </w:p>
    <w:p w14:paraId="3417E1CC"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33E2C2C"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53315E63" w14:textId="77777777" w:rsidR="00872DB8" w:rsidRPr="00E51DFE" w:rsidRDefault="00872DB8" w:rsidP="00872DB8">
      <w:pPr>
        <w:spacing w:after="240"/>
        <w:ind w:left="567" w:hanging="567"/>
      </w:pPr>
      <w:r w:rsidRPr="00E51DFE">
        <w:t>1.</w:t>
      </w:r>
      <w:r w:rsidRPr="00E51DFE">
        <w:tab/>
        <w:t>odkládá rozhodnutí o udělení absolutoria výkonné ředitelce Agentury Evropské unie pro otázky azylu za plnění rozpočtu agentury na rozpočtový rok 2023;</w:t>
      </w:r>
    </w:p>
    <w:p w14:paraId="27FEE3F8" w14:textId="77777777" w:rsidR="00872DB8" w:rsidRPr="00E51DFE" w:rsidRDefault="00872DB8" w:rsidP="00872DB8">
      <w:pPr>
        <w:spacing w:after="240"/>
        <w:ind w:left="567" w:hanging="567"/>
      </w:pPr>
      <w:r w:rsidRPr="00E51DFE">
        <w:t>2.</w:t>
      </w:r>
      <w:r w:rsidRPr="00E51DFE">
        <w:tab/>
        <w:t>předkládá své připomínky v níže uvedeném usnesení;</w:t>
      </w:r>
    </w:p>
    <w:p w14:paraId="787C5910"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Agentury Evropské unie pro otázky azylu, Radě, Komisi a Účetnímu dvoru a aby zajistila jejich zveřejnění v </w:t>
      </w:r>
      <w:r w:rsidRPr="00E51DFE">
        <w:rPr>
          <w:i/>
        </w:rPr>
        <w:t>Úředním věstníku Evropské unie</w:t>
      </w:r>
      <w:r w:rsidRPr="00E51DFE">
        <w:t xml:space="preserve"> (řada L).</w:t>
      </w:r>
    </w:p>
    <w:p w14:paraId="5571AEF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5518F1A" w14:textId="37C8DBF7" w:rsidR="00872DB8" w:rsidRPr="00E51DFE" w:rsidRDefault="00872DB8" w:rsidP="00771E45">
      <w:pPr>
        <w:pStyle w:val="ATHeading3"/>
      </w:pPr>
      <w:r w:rsidRPr="00E51DFE">
        <w:t>50. Rozhodnutí Evropského parlamentu ze dne 7. května 2025 o uzavření účtů Agentury Evropské unie pro otázky azylu za rozpočtový rok 2023 (2024/2030(DEC))</w:t>
      </w:r>
    </w:p>
    <w:p w14:paraId="24EB7E5C" w14:textId="77777777" w:rsidR="00872DB8" w:rsidRPr="00E51DFE" w:rsidRDefault="00872DB8" w:rsidP="00872DB8">
      <w:pPr>
        <w:spacing w:before="480" w:after="240"/>
      </w:pPr>
      <w:r w:rsidRPr="00E51DFE">
        <w:rPr>
          <w:i/>
        </w:rPr>
        <w:t>Evropský parlament</w:t>
      </w:r>
      <w:r w:rsidRPr="00E51DFE">
        <w:t>,</w:t>
      </w:r>
    </w:p>
    <w:p w14:paraId="795B65D0" w14:textId="77777777" w:rsidR="00872DB8" w:rsidRPr="00E51DFE" w:rsidRDefault="00872DB8" w:rsidP="00872DB8">
      <w:pPr>
        <w:spacing w:after="240"/>
        <w:ind w:left="567" w:hanging="567"/>
      </w:pPr>
      <w:r w:rsidRPr="00E51DFE">
        <w:t>–</w:t>
      </w:r>
      <w:r w:rsidRPr="00E51DFE">
        <w:tab/>
        <w:t>s ohledem na konečnou roční účetní závěrku Agentury Evropské unie pro otázky azylu za rozpočtový rok 2023,</w:t>
      </w:r>
    </w:p>
    <w:p w14:paraId="425DC6F6"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296"/>
      </w:r>
      <w:r w:rsidRPr="00E51DFE">
        <w:t>,</w:t>
      </w:r>
    </w:p>
    <w:p w14:paraId="22A6A283"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297"/>
      </w:r>
      <w:r w:rsidRPr="00E51DFE">
        <w:t xml:space="preserve"> účetnictví a o legalitě a správnosti uskutečněných operací, které předložil Účetní dvůr za rozpočtový rok 2023 podle článku 287 Smlouvy o fungování Evropské unie,</w:t>
      </w:r>
    </w:p>
    <w:p w14:paraId="6DB53894"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5C48806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473966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298"/>
      </w:r>
      <w:r w:rsidRPr="00E51DFE">
        <w:t>, a zejména na článek 70 tohoto nařízení,</w:t>
      </w:r>
    </w:p>
    <w:p w14:paraId="415E188E"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299"/>
      </w:r>
      <w:r w:rsidRPr="00E51DFE">
        <w:t>, a zejména na článek 70 tohoto nařízení,</w:t>
      </w:r>
    </w:p>
    <w:p w14:paraId="51E0D454" w14:textId="77777777" w:rsidR="00872DB8" w:rsidRPr="00E51DFE" w:rsidRDefault="00872DB8" w:rsidP="00872DB8">
      <w:pPr>
        <w:spacing w:after="240"/>
        <w:ind w:left="567" w:hanging="567"/>
      </w:pPr>
      <w:r w:rsidRPr="00E51DFE">
        <w:t>–</w:t>
      </w:r>
      <w:r w:rsidRPr="00E51DFE">
        <w:tab/>
        <w:t>s ohledem na nařízení Evropského parlamentu a Rady (EU) č. 439/2010 ze dne 19. května 2010 o zřízení Evropského podpůrného úřadu pro otázky azylu</w:t>
      </w:r>
      <w:r w:rsidRPr="00E51DFE">
        <w:rPr>
          <w:vertAlign w:val="superscript"/>
        </w:rPr>
        <w:footnoteReference w:id="300"/>
      </w:r>
      <w:r w:rsidRPr="00E51DFE">
        <w:t>, a zejména na článek 36 tohoto nařízení,</w:t>
      </w:r>
    </w:p>
    <w:p w14:paraId="393E8510" w14:textId="77777777" w:rsidR="00872DB8" w:rsidRPr="00E51DFE" w:rsidRDefault="00872DB8" w:rsidP="00872DB8">
      <w:pPr>
        <w:spacing w:after="240"/>
        <w:ind w:left="720" w:hanging="360"/>
      </w:pPr>
      <w:r w:rsidRPr="00E51DFE">
        <w:t>–</w:t>
      </w:r>
      <w:r w:rsidRPr="00E51DFE">
        <w:tab/>
        <w:t>s ohledem na nařízení Evropského parlamentu a Rady (EU) 2021/2303 ze dne 15. prosince 2021 o zřízení Agentury Evropské unie pro otázky azylu a o zrušení nařízení (EU) č. 439/2010</w:t>
      </w:r>
      <w:r w:rsidRPr="00E51DFE">
        <w:footnoteReference w:id="301"/>
      </w:r>
      <w:r w:rsidRPr="00E51DFE">
        <w:t>, a zejména článek 55 tohoto nařízení,</w:t>
      </w:r>
    </w:p>
    <w:p w14:paraId="2E839BE4"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02"/>
      </w:r>
      <w:r w:rsidRPr="00E51DFE">
        <w:t>, a zejména na článek 105 tohoto nařízení,</w:t>
      </w:r>
    </w:p>
    <w:p w14:paraId="0A0054F2" w14:textId="77777777" w:rsidR="00872DB8" w:rsidRPr="00E51DFE" w:rsidRDefault="00872DB8" w:rsidP="00872DB8">
      <w:pPr>
        <w:spacing w:after="240"/>
        <w:ind w:left="567" w:hanging="567"/>
      </w:pPr>
      <w:r w:rsidRPr="00E51DFE">
        <w:t>–</w:t>
      </w:r>
      <w:r w:rsidRPr="00E51DFE">
        <w:tab/>
        <w:t>s ohledem na článek 102 a přílohu V jednacího řádu,</w:t>
      </w:r>
    </w:p>
    <w:p w14:paraId="49C7769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41D854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B8EC962" w14:textId="77777777" w:rsidR="00872DB8" w:rsidRPr="00E51DFE" w:rsidRDefault="00872DB8" w:rsidP="00872DB8">
      <w:pPr>
        <w:spacing w:after="240"/>
        <w:ind w:left="567" w:hanging="567"/>
      </w:pPr>
      <w:r w:rsidRPr="00E51DFE">
        <w:t>1.</w:t>
      </w:r>
      <w:r w:rsidRPr="00E51DFE">
        <w:tab/>
        <w:t>odkládá uzavření účtů Agentury Evropské unie pro otázky azylu za rozpočtový rok 2023;</w:t>
      </w:r>
    </w:p>
    <w:p w14:paraId="2FD0B794" w14:textId="77777777" w:rsidR="00872DB8" w:rsidRPr="00E51DFE" w:rsidRDefault="00872DB8" w:rsidP="00872DB8">
      <w:pPr>
        <w:spacing w:after="240"/>
        <w:ind w:left="567" w:hanging="567"/>
      </w:pPr>
      <w:r w:rsidRPr="00E51DFE">
        <w:t>2.</w:t>
      </w:r>
      <w:r w:rsidRPr="00E51DFE">
        <w:tab/>
        <w:t>pověřuje svou předsedkyni, aby předala toto rozhodnutí výkonné ředitelce Agentury Evropské unie pro otázky azylu, Radě, Komisi a Účetnímu dvoru a aby zajistila jeho zveřejnění v </w:t>
      </w:r>
      <w:r w:rsidRPr="00E51DFE">
        <w:rPr>
          <w:i/>
        </w:rPr>
        <w:t>Úředním věstníku Evropské unie</w:t>
      </w:r>
      <w:r w:rsidRPr="00E51DFE">
        <w:t xml:space="preserve"> (řada L).</w:t>
      </w:r>
    </w:p>
    <w:p w14:paraId="751F6FB8"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20DE692" w14:textId="3950C1DB" w:rsidR="00872DB8" w:rsidRPr="00E51DFE" w:rsidRDefault="00872DB8" w:rsidP="00771E45">
      <w:pPr>
        <w:pStyle w:val="ATHeading3"/>
      </w:pPr>
      <w:r w:rsidRPr="00E51DFE">
        <w:t>51. Rozhodnutí Evropského parlamentu ze dne 7. května 2025 o udělení absolutoria za plnění rozpočtu Agentury Evropské unie pro provozní řízení rozsáhlých informačních systémů v prostoru svobody, bezpečnosti a práva na rozpočtový rok 2023 (2024/2030(DEC))</w:t>
      </w:r>
    </w:p>
    <w:p w14:paraId="7A534B46" w14:textId="77777777" w:rsidR="00872DB8" w:rsidRPr="00E51DFE" w:rsidRDefault="00872DB8" w:rsidP="00872DB8">
      <w:pPr>
        <w:spacing w:before="480" w:after="240"/>
      </w:pPr>
      <w:r w:rsidRPr="00E51DFE">
        <w:rPr>
          <w:i/>
        </w:rPr>
        <w:t>Evropský parlament</w:t>
      </w:r>
      <w:r w:rsidRPr="00E51DFE">
        <w:t>,</w:t>
      </w:r>
    </w:p>
    <w:p w14:paraId="687BAD45" w14:textId="77777777" w:rsidR="00872DB8" w:rsidRPr="00E51DFE" w:rsidRDefault="00872DB8" w:rsidP="00872DB8">
      <w:pPr>
        <w:spacing w:after="240"/>
        <w:ind w:left="567" w:hanging="567"/>
      </w:pPr>
      <w:r w:rsidRPr="00E51DFE">
        <w:t>–</w:t>
      </w:r>
      <w:r w:rsidRPr="00E51DFE">
        <w:tab/>
        <w:t>s ohledem na konečnou roční účetní závěrku Agentury Evropské unie pro provozní řízení rozsáhlých informačních systémů v prostoru svobody, bezpečnosti a práva za rozpočtový rok 2023,</w:t>
      </w:r>
    </w:p>
    <w:p w14:paraId="6BB31F2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03"/>
      </w:r>
      <w:r w:rsidRPr="00E51DFE">
        <w:t>,</w:t>
      </w:r>
    </w:p>
    <w:p w14:paraId="51C03639"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04"/>
      </w:r>
      <w:r w:rsidRPr="00E51DFE">
        <w:t xml:space="preserve"> účetnictví a o legalitě a správnosti uskutečněných operací, které předložil Účetní dvůr za rozpočtový rok 2023 podle článku 287 Smlouvy o fungování Evropské unie,</w:t>
      </w:r>
    </w:p>
    <w:p w14:paraId="55ED1521"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03506676"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E777DAE"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05"/>
      </w:r>
      <w:r w:rsidRPr="00E51DFE">
        <w:t>, a zejména na článek 70 tohoto nařízení,</w:t>
      </w:r>
    </w:p>
    <w:p w14:paraId="091D5AA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06"/>
      </w:r>
      <w:r w:rsidRPr="00E51DFE">
        <w:t>, a zejména na článek 70 tohoto nařízení,</w:t>
      </w:r>
    </w:p>
    <w:p w14:paraId="462A7182" w14:textId="77777777" w:rsidR="00872DB8" w:rsidRPr="00E51DFE" w:rsidRDefault="00872DB8" w:rsidP="00872DB8">
      <w:pPr>
        <w:spacing w:after="240"/>
        <w:ind w:left="567" w:hanging="567"/>
      </w:pPr>
      <w:r w:rsidRPr="00E51DFE">
        <w:t>–</w:t>
      </w:r>
      <w:r w:rsidRPr="00E51DFE">
        <w:tab/>
        <w:t>s ohledem na nařízení Evropského parlamentu a Rady (EU) 2018/1726 ze dne 14. listopadu 2018 o Agentuře Evropské unie pro provozní řízení rozsáhlých informačních systémů v prostoru svobody, bezpečnosti a práva (</w:t>
      </w:r>
      <w:proofErr w:type="spellStart"/>
      <w:r w:rsidRPr="00E51DFE">
        <w:t>eu</w:t>
      </w:r>
      <w:proofErr w:type="spellEnd"/>
      <w:r w:rsidRPr="00E51DFE">
        <w:t>-LISA) a o změně nařízení (ES) č. 1987/2006 a rozhodnutí Rady 2007/533/SVV a zrušení nařízení (EU) č. 1077/2011</w:t>
      </w:r>
      <w:r w:rsidRPr="00E51DFE">
        <w:rPr>
          <w:vertAlign w:val="superscript"/>
        </w:rPr>
        <w:footnoteReference w:id="307"/>
      </w:r>
      <w:r w:rsidRPr="00E51DFE">
        <w:t>, a zejména na článek 47 tohoto nařízení,</w:t>
      </w:r>
    </w:p>
    <w:p w14:paraId="655169B5"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08"/>
      </w:r>
      <w:r w:rsidRPr="00E51DFE">
        <w:t>, a zejména na článek 105 tohoto nařízení,</w:t>
      </w:r>
    </w:p>
    <w:p w14:paraId="7F512AA7" w14:textId="77777777" w:rsidR="00872DB8" w:rsidRPr="00E51DFE" w:rsidRDefault="00872DB8" w:rsidP="00872DB8">
      <w:pPr>
        <w:spacing w:after="240"/>
        <w:ind w:left="567" w:hanging="567"/>
      </w:pPr>
      <w:r w:rsidRPr="00E51DFE">
        <w:t>–</w:t>
      </w:r>
      <w:r w:rsidRPr="00E51DFE">
        <w:tab/>
        <w:t>s ohledem na článek 102 a přílohu V jednacího řádu,</w:t>
      </w:r>
    </w:p>
    <w:p w14:paraId="67DE4A1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55CC62B0"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CF2E516" w14:textId="77777777" w:rsidR="00872DB8" w:rsidRPr="00E51DFE" w:rsidRDefault="00872DB8" w:rsidP="00872DB8">
      <w:pPr>
        <w:spacing w:after="240"/>
        <w:ind w:left="567" w:hanging="567"/>
      </w:pPr>
      <w:r w:rsidRPr="00E51DFE">
        <w:t>1.</w:t>
      </w:r>
      <w:r w:rsidRPr="00E51DFE">
        <w:tab/>
        <w:t>uděluje absolutorium prozatímní výkonné ředitelce Agentury Evropské unie pro provozní řízení rozsáhlých informačních systémů v prostoru svobody, bezpečnosti a práva za plnění rozpočtu agentury na rozpočtový rok 2023;</w:t>
      </w:r>
    </w:p>
    <w:p w14:paraId="2D4B4D18" w14:textId="77777777" w:rsidR="00872DB8" w:rsidRPr="00E51DFE" w:rsidRDefault="00872DB8" w:rsidP="00872DB8">
      <w:pPr>
        <w:spacing w:after="240"/>
        <w:ind w:left="567" w:hanging="567"/>
      </w:pPr>
      <w:r w:rsidRPr="00E51DFE">
        <w:t>2.</w:t>
      </w:r>
      <w:r w:rsidRPr="00E51DFE">
        <w:tab/>
        <w:t>předkládá své připomínky v níže uvedeném usnesení;</w:t>
      </w:r>
    </w:p>
    <w:p w14:paraId="3CD94BDD"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prozatímní výkonné ředitelce Agentury Evropské unie pro provozní řízení rozsáhlých informačních systémů v prostoru svobody, bezpečnosti a práva, Radě, Komisi a Účetnímu dvoru a aby zajistila jejich zveřejnění v </w:t>
      </w:r>
      <w:r w:rsidRPr="00E51DFE">
        <w:rPr>
          <w:i/>
        </w:rPr>
        <w:t>Úředním věstníku Evropské unie</w:t>
      </w:r>
      <w:r w:rsidRPr="00E51DFE">
        <w:t xml:space="preserve"> (řada L).</w:t>
      </w:r>
    </w:p>
    <w:p w14:paraId="77403553"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754A9B66" w14:textId="554FB2FC" w:rsidR="00872DB8" w:rsidRPr="00E51DFE" w:rsidRDefault="00872DB8" w:rsidP="00771E45">
      <w:pPr>
        <w:pStyle w:val="ATHeading3"/>
      </w:pPr>
      <w:r w:rsidRPr="00E51DFE">
        <w:t>52. Rozhodnutí Evropského parlamentu ze dne 7. května 2025 o uzavření účtů Agentury Evropské unie pro provozní řízení rozsáhlých informačních systémů v prostoru svobody, bezpečnosti a práva za rozpočtový rok 2023 (2024/2030(DEC))</w:t>
      </w:r>
    </w:p>
    <w:p w14:paraId="4A3887C6" w14:textId="77777777" w:rsidR="00872DB8" w:rsidRPr="00E51DFE" w:rsidRDefault="00872DB8" w:rsidP="00872DB8">
      <w:pPr>
        <w:spacing w:before="480" w:after="240"/>
      </w:pPr>
      <w:r w:rsidRPr="00E51DFE">
        <w:rPr>
          <w:i/>
        </w:rPr>
        <w:t>Evropský parlament</w:t>
      </w:r>
      <w:r w:rsidRPr="00E51DFE">
        <w:t>,</w:t>
      </w:r>
    </w:p>
    <w:p w14:paraId="75BD8A2C" w14:textId="77777777" w:rsidR="00872DB8" w:rsidRPr="00E51DFE" w:rsidRDefault="00872DB8" w:rsidP="00872DB8">
      <w:pPr>
        <w:spacing w:after="240"/>
        <w:ind w:left="567" w:hanging="567"/>
      </w:pPr>
      <w:r w:rsidRPr="00E51DFE">
        <w:t>–</w:t>
      </w:r>
      <w:r w:rsidRPr="00E51DFE">
        <w:tab/>
        <w:t>s ohledem na konečnou roční účetní závěrku Agentury Evropské unie pro provozní řízení rozsáhlých informačních systémů v prostoru svobody, bezpečnosti a práva za rozpočtový rok 2023,</w:t>
      </w:r>
    </w:p>
    <w:p w14:paraId="036AB29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09"/>
      </w:r>
      <w:r w:rsidRPr="00E51DFE">
        <w:t>,</w:t>
      </w:r>
    </w:p>
    <w:p w14:paraId="2F534253"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10"/>
      </w:r>
      <w:r w:rsidRPr="00E51DFE">
        <w:t xml:space="preserve"> účetnictví a o legalitě a správnosti uskutečněných operací, které předložil Účetní dvůr za rozpočtový rok 2023 podle článku 287 Smlouvy o fungování Evropské unie,</w:t>
      </w:r>
    </w:p>
    <w:p w14:paraId="28242559"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0DB98DD8"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22834806"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11"/>
      </w:r>
      <w:r w:rsidRPr="00E51DFE">
        <w:t>, a zejména na článek 70 tohoto nařízení,</w:t>
      </w:r>
    </w:p>
    <w:p w14:paraId="216EDCA2"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12"/>
      </w:r>
      <w:r w:rsidRPr="00E51DFE">
        <w:t>, a zejména na článek 70 tohoto nařízení,</w:t>
      </w:r>
    </w:p>
    <w:p w14:paraId="3512ED26" w14:textId="77777777" w:rsidR="00872DB8" w:rsidRPr="00E51DFE" w:rsidRDefault="00872DB8" w:rsidP="00872DB8">
      <w:pPr>
        <w:spacing w:after="240"/>
        <w:ind w:left="567" w:hanging="567"/>
      </w:pPr>
      <w:r w:rsidRPr="00E51DFE">
        <w:t>–</w:t>
      </w:r>
      <w:r w:rsidRPr="00E51DFE">
        <w:tab/>
        <w:t>s ohledem na nařízení Evropského parlamentu a Rady (EU) 2018/1726 ze dne 14. listopadu 2018 o Agentuře Evropské unie pro provozní řízení rozsáhlých informačních systémů v prostoru svobody, bezpečnosti a práva (</w:t>
      </w:r>
      <w:proofErr w:type="spellStart"/>
      <w:r w:rsidRPr="00E51DFE">
        <w:t>eu</w:t>
      </w:r>
      <w:proofErr w:type="spellEnd"/>
      <w:r w:rsidRPr="00E51DFE">
        <w:t>-LISA) a o změně nařízení (ES) č. 1987/2006 a rozhodnutí Rady 2007/533/SVV a zrušení nařízení (EU) č. 1077/2011</w:t>
      </w:r>
      <w:r w:rsidRPr="00E51DFE">
        <w:rPr>
          <w:vertAlign w:val="superscript"/>
        </w:rPr>
        <w:footnoteReference w:id="313"/>
      </w:r>
      <w:r w:rsidRPr="00E51DFE">
        <w:t>, a zejména na článek 47 tohoto nařízení,</w:t>
      </w:r>
    </w:p>
    <w:p w14:paraId="32208A6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14"/>
      </w:r>
      <w:r w:rsidRPr="00E51DFE">
        <w:t>, a zejména na článek 105 tohoto nařízení,</w:t>
      </w:r>
    </w:p>
    <w:p w14:paraId="256B0CE1" w14:textId="77777777" w:rsidR="00872DB8" w:rsidRPr="00E51DFE" w:rsidRDefault="00872DB8" w:rsidP="00872DB8">
      <w:pPr>
        <w:spacing w:after="240"/>
        <w:ind w:left="567" w:hanging="567"/>
      </w:pPr>
      <w:r w:rsidRPr="00E51DFE">
        <w:t>–</w:t>
      </w:r>
      <w:r w:rsidRPr="00E51DFE">
        <w:tab/>
        <w:t>s ohledem na článek 102 a přílohu V jednacího řádu,</w:t>
      </w:r>
    </w:p>
    <w:p w14:paraId="16D9DDB2"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3F1AB3DB"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E72A941" w14:textId="77777777" w:rsidR="00872DB8" w:rsidRPr="00E51DFE" w:rsidRDefault="00872DB8" w:rsidP="00872DB8">
      <w:pPr>
        <w:spacing w:after="240"/>
        <w:ind w:left="567" w:hanging="567"/>
      </w:pPr>
      <w:r w:rsidRPr="00E51DFE">
        <w:t>1.</w:t>
      </w:r>
      <w:r w:rsidRPr="00E51DFE">
        <w:tab/>
        <w:t>schvaluje uzavření účtů Agentury Evropské unie pro provozní řízení rozsáhlých informačních systémů v prostoru svobody, bezpečnosti a práva za rozpočtový rok 2023;</w:t>
      </w:r>
    </w:p>
    <w:p w14:paraId="0FD41482" w14:textId="77777777" w:rsidR="00872DB8" w:rsidRPr="00E51DFE" w:rsidRDefault="00872DB8" w:rsidP="00872DB8">
      <w:pPr>
        <w:spacing w:after="240"/>
        <w:ind w:left="567" w:hanging="567"/>
      </w:pPr>
      <w:r w:rsidRPr="00E51DFE">
        <w:t>2.</w:t>
      </w:r>
      <w:r w:rsidRPr="00E51DFE">
        <w:tab/>
        <w:t>pověřuje svou předsedkyni, aby předala toto rozhodnutí prozatímní výkonné ředitelce Agentury Evropské unie pro provozní řízení rozsáhlých informačních systémů v prostoru svobody, bezpečnosti a práva, Radě, Komisi a Účetnímu dvoru a aby zajistila jeho zveřejnění v </w:t>
      </w:r>
      <w:r w:rsidRPr="00E51DFE">
        <w:rPr>
          <w:i/>
        </w:rPr>
        <w:t>Úředním věstníku Evropské unie</w:t>
      </w:r>
      <w:r w:rsidRPr="00E51DFE">
        <w:t xml:space="preserve"> (řada L).</w:t>
      </w:r>
    </w:p>
    <w:p w14:paraId="5623764C"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297E2EDB" w14:textId="2309F7E7" w:rsidR="00872DB8" w:rsidRPr="00E51DFE" w:rsidRDefault="00872DB8" w:rsidP="00771E45">
      <w:pPr>
        <w:pStyle w:val="ATHeading3"/>
      </w:pPr>
      <w:r w:rsidRPr="00E51DFE">
        <w:t>53. Rozhodnutí Evropského parlamentu ze dne 7. května 2025 o udělení absolutoria za plnění rozpočtu Evropské agentury pro bezpečnost a ochranu zdraví při práci na rozpočtový rok 2023 (2024/2030(DEC))</w:t>
      </w:r>
    </w:p>
    <w:p w14:paraId="68D85AF4" w14:textId="77777777" w:rsidR="00872DB8" w:rsidRPr="00E51DFE" w:rsidRDefault="00872DB8" w:rsidP="00872DB8">
      <w:pPr>
        <w:spacing w:before="480" w:after="240"/>
      </w:pPr>
      <w:r w:rsidRPr="00E51DFE">
        <w:rPr>
          <w:i/>
        </w:rPr>
        <w:t>Evropský parlament</w:t>
      </w:r>
      <w:r w:rsidRPr="00E51DFE">
        <w:t>,</w:t>
      </w:r>
    </w:p>
    <w:p w14:paraId="4F2622D9" w14:textId="77777777" w:rsidR="00872DB8" w:rsidRPr="00E51DFE" w:rsidRDefault="00872DB8" w:rsidP="00872DB8">
      <w:pPr>
        <w:spacing w:after="240"/>
        <w:ind w:left="567" w:hanging="567"/>
      </w:pPr>
      <w:r w:rsidRPr="00E51DFE">
        <w:t>–</w:t>
      </w:r>
      <w:r w:rsidRPr="00E51DFE">
        <w:tab/>
        <w:t>s ohledem na konečnou roční účetní závěrku Evropské agentury pro bezpečnost a ochranu zdraví při práci za rozpočtový rok 2023,</w:t>
      </w:r>
    </w:p>
    <w:p w14:paraId="0513C15E"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15"/>
      </w:r>
      <w:r w:rsidRPr="00E51DFE">
        <w:t>,</w:t>
      </w:r>
    </w:p>
    <w:p w14:paraId="61EDE127"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16"/>
      </w:r>
      <w:r w:rsidRPr="00E51DFE">
        <w:t xml:space="preserve"> účetnictví a o legalitě a správnosti uskutečněných operací, které předložil Účetní dvůr za rozpočtový rok 2023 podle článku 287 Smlouvy o fungování Evropské unie,</w:t>
      </w:r>
    </w:p>
    <w:p w14:paraId="7DE3833C"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1C2E8E7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11CDDEC"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17"/>
      </w:r>
      <w:r w:rsidRPr="00E51DFE">
        <w:t>, a zejména na článek 70 tohoto nařízení,</w:t>
      </w:r>
    </w:p>
    <w:p w14:paraId="0B7A8D64"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18"/>
      </w:r>
      <w:r w:rsidRPr="00E51DFE">
        <w:t>, a zejména na článek 70 tohoto nařízení,</w:t>
      </w:r>
    </w:p>
    <w:p w14:paraId="778EE2F5" w14:textId="77777777" w:rsidR="00872DB8" w:rsidRPr="00E51DFE" w:rsidRDefault="00872DB8" w:rsidP="00872DB8">
      <w:pPr>
        <w:spacing w:after="240"/>
        <w:ind w:left="567" w:hanging="567"/>
      </w:pPr>
      <w:r w:rsidRPr="00E51DFE">
        <w:t>–</w:t>
      </w:r>
      <w:r w:rsidRPr="00E51DFE">
        <w:tab/>
        <w:t>s ohledem na nařízení Evropského parlamentu a Rady (EU) 2019/126 ze dne 16. ledna 2019 o zřízení Evropské agentury pro bezpečnost a ochranu zdraví při práci (EU-OSHA) a o zrušení nařízení Rady (ES) č. 2062/94</w:t>
      </w:r>
      <w:r w:rsidRPr="00E51DFE">
        <w:rPr>
          <w:vertAlign w:val="superscript"/>
        </w:rPr>
        <w:footnoteReference w:id="319"/>
      </w:r>
      <w:r w:rsidRPr="00E51DFE">
        <w:t>, a zejména na článek 16 tohoto nařízení,</w:t>
      </w:r>
    </w:p>
    <w:p w14:paraId="3FA5C298"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20"/>
      </w:r>
      <w:r w:rsidRPr="00E51DFE">
        <w:t>, a zejména na článek 105 tohoto nařízení,</w:t>
      </w:r>
    </w:p>
    <w:p w14:paraId="55272925" w14:textId="77777777" w:rsidR="00872DB8" w:rsidRPr="00E51DFE" w:rsidRDefault="00872DB8" w:rsidP="00872DB8">
      <w:pPr>
        <w:spacing w:after="240"/>
        <w:ind w:left="567" w:hanging="567"/>
      </w:pPr>
      <w:r w:rsidRPr="00E51DFE">
        <w:t>–</w:t>
      </w:r>
      <w:r w:rsidRPr="00E51DFE">
        <w:tab/>
        <w:t>s ohledem na článek 102 a přílohu V jednacího řádu,</w:t>
      </w:r>
    </w:p>
    <w:p w14:paraId="5A6247C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769A21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A7C6103" w14:textId="77777777" w:rsidR="00872DB8" w:rsidRPr="00E51DFE" w:rsidRDefault="00872DB8" w:rsidP="00872DB8">
      <w:pPr>
        <w:spacing w:after="240"/>
        <w:ind w:left="567" w:hanging="567"/>
      </w:pPr>
      <w:r w:rsidRPr="00E51DFE">
        <w:t>1.</w:t>
      </w:r>
      <w:r w:rsidRPr="00E51DFE">
        <w:tab/>
        <w:t>uděluje absolutorium výkonnému řediteli Evropské agentury pro bezpečnost a ochranu zdraví při práci za plnění rozpočtu agentury na rozpočtový rok 2023;</w:t>
      </w:r>
    </w:p>
    <w:p w14:paraId="10A29851"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8BA2860"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 agentury pro bezpečnost a ochranu zdraví při práci, Radě, Komisi a Účetnímu dvoru a aby zajistila jejich zveřejnění v </w:t>
      </w:r>
      <w:r w:rsidRPr="00E51DFE">
        <w:rPr>
          <w:i/>
        </w:rPr>
        <w:t>Úředním věstníku Evropské unie</w:t>
      </w:r>
      <w:r w:rsidRPr="00E51DFE">
        <w:t xml:space="preserve"> (řada L).</w:t>
      </w:r>
    </w:p>
    <w:p w14:paraId="28ABD99F"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3C86E12" w14:textId="5B29B7F4" w:rsidR="00872DB8" w:rsidRPr="00E51DFE" w:rsidRDefault="00872DB8" w:rsidP="00771E45">
      <w:pPr>
        <w:pStyle w:val="ATHeading3"/>
      </w:pPr>
      <w:r w:rsidRPr="00E51DFE">
        <w:t>54. Rozhodnutí Evropského parlamentu ze dne 7. května 2025 o uzavření účtů Evropské agentury pro bezpečnost a ochranu zdraví při práci za rozpočtový rok 2023 (2024/2030(DEC))</w:t>
      </w:r>
    </w:p>
    <w:p w14:paraId="1B33830E" w14:textId="77777777" w:rsidR="00872DB8" w:rsidRPr="00E51DFE" w:rsidRDefault="00872DB8" w:rsidP="00872DB8">
      <w:pPr>
        <w:spacing w:before="480" w:after="240"/>
      </w:pPr>
      <w:r w:rsidRPr="00E51DFE">
        <w:rPr>
          <w:i/>
        </w:rPr>
        <w:t>Evropský parlament</w:t>
      </w:r>
      <w:r w:rsidRPr="00E51DFE">
        <w:t>,</w:t>
      </w:r>
    </w:p>
    <w:p w14:paraId="223773C0" w14:textId="77777777" w:rsidR="00872DB8" w:rsidRPr="00E51DFE" w:rsidRDefault="00872DB8" w:rsidP="00872DB8">
      <w:pPr>
        <w:spacing w:after="240"/>
        <w:ind w:left="567" w:hanging="567"/>
      </w:pPr>
      <w:r w:rsidRPr="00E51DFE">
        <w:t>–</w:t>
      </w:r>
      <w:r w:rsidRPr="00E51DFE">
        <w:tab/>
        <w:t>s ohledem na konečnou roční účetní závěrku Evropské agentury pro bezpečnost a ochranu zdraví při práci za rozpočtový rok 2023,</w:t>
      </w:r>
    </w:p>
    <w:p w14:paraId="4460410D"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21"/>
      </w:r>
      <w:r w:rsidRPr="00E51DFE">
        <w:t>,</w:t>
      </w:r>
    </w:p>
    <w:p w14:paraId="3BAC6152"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22"/>
      </w:r>
      <w:r w:rsidRPr="00E51DFE">
        <w:t xml:space="preserve"> účetnictví a o legalitě a správnosti uskutečněných operací, které předložil Účetní dvůr za rozpočtový rok 2023 podle článku 287 Smlouvy o fungování Evropské unie,</w:t>
      </w:r>
    </w:p>
    <w:p w14:paraId="5F1E5935"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2A513EF7"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9E9551D"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23"/>
      </w:r>
      <w:r w:rsidRPr="00E51DFE">
        <w:t>, a zejména na článek 70 tohoto nařízení,</w:t>
      </w:r>
    </w:p>
    <w:p w14:paraId="5772E2AB"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24"/>
      </w:r>
      <w:r w:rsidRPr="00E51DFE">
        <w:t>, a zejména na článek 70 tohoto nařízení,</w:t>
      </w:r>
    </w:p>
    <w:p w14:paraId="6D6EAF9B" w14:textId="77777777" w:rsidR="00872DB8" w:rsidRPr="00E51DFE" w:rsidRDefault="00872DB8" w:rsidP="00872DB8">
      <w:pPr>
        <w:spacing w:after="240"/>
        <w:ind w:left="567" w:hanging="567"/>
      </w:pPr>
      <w:r w:rsidRPr="00E51DFE">
        <w:t>–</w:t>
      </w:r>
      <w:r w:rsidRPr="00E51DFE">
        <w:tab/>
        <w:t>s ohledem na nařízení Evropského parlamentu a Rady (EU) 2019/126 ze dne 16. ledna 2019 o zřízení Evropské agentury pro bezpečnost a ochranu zdraví při práci (EU-OSHA) a o zrušení nařízení Rady (ES) č. 2062/94</w:t>
      </w:r>
      <w:r w:rsidRPr="00E51DFE">
        <w:rPr>
          <w:vertAlign w:val="superscript"/>
        </w:rPr>
        <w:footnoteReference w:id="325"/>
      </w:r>
      <w:r w:rsidRPr="00E51DFE">
        <w:t>, a zejména na článek 16 tohoto nařízení,</w:t>
      </w:r>
    </w:p>
    <w:p w14:paraId="4A53C651"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26"/>
      </w:r>
      <w:r w:rsidRPr="00E51DFE">
        <w:t>, a zejména na článek 105 tohoto nařízení,</w:t>
      </w:r>
    </w:p>
    <w:p w14:paraId="0AEBF8C1" w14:textId="77777777" w:rsidR="00872DB8" w:rsidRPr="00E51DFE" w:rsidRDefault="00872DB8" w:rsidP="00872DB8">
      <w:pPr>
        <w:spacing w:after="240"/>
        <w:ind w:left="567" w:hanging="567"/>
      </w:pPr>
      <w:r w:rsidRPr="00E51DFE">
        <w:t>–</w:t>
      </w:r>
      <w:r w:rsidRPr="00E51DFE">
        <w:tab/>
        <w:t>s ohledem na článek 102 a přílohu V jednacího řádu,</w:t>
      </w:r>
    </w:p>
    <w:p w14:paraId="19B2CA19"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AFFED9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474A586D" w14:textId="77777777" w:rsidR="00872DB8" w:rsidRPr="00E51DFE" w:rsidRDefault="00872DB8" w:rsidP="00872DB8">
      <w:pPr>
        <w:spacing w:after="240"/>
        <w:ind w:left="567" w:hanging="567"/>
      </w:pPr>
      <w:r w:rsidRPr="00E51DFE">
        <w:t>1.</w:t>
      </w:r>
      <w:r w:rsidRPr="00E51DFE">
        <w:tab/>
        <w:t>schvaluje uzavření účtů Evropské agentury pro bezpečnost a ochranu zdraví při práci za rozpočtový rok 2023;</w:t>
      </w:r>
    </w:p>
    <w:p w14:paraId="0A2F2BA3"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 agentury pro bezpečnost a ochranu zdraví při práci, Radě, Komisi a Účetnímu dvoru a aby zajistila jeho zveřejnění v </w:t>
      </w:r>
      <w:r w:rsidRPr="00E51DFE">
        <w:rPr>
          <w:i/>
        </w:rPr>
        <w:t>Úředním věstníku Evropské unie</w:t>
      </w:r>
      <w:r w:rsidRPr="00E51DFE">
        <w:t xml:space="preserve"> (řada L).</w:t>
      </w:r>
    </w:p>
    <w:p w14:paraId="4EA9BE1E"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0EF5DB0" w14:textId="0CBA7B61" w:rsidR="00872DB8" w:rsidRPr="00E51DFE" w:rsidRDefault="00872DB8" w:rsidP="00771E45">
      <w:pPr>
        <w:pStyle w:val="ATHeading3"/>
      </w:pPr>
      <w:r w:rsidRPr="00E51DFE">
        <w:t>55. Rozhodnutí Evropského parlamentu ze dne 7. května 2025 o udělení absolutoria za plnění rozpočtu Evropské nadace pro zlepšení životních a pracovních podmínek na rozpočtový rok 2023 (2024/2030(DEC))</w:t>
      </w:r>
    </w:p>
    <w:p w14:paraId="59EA0C24" w14:textId="77777777" w:rsidR="00872DB8" w:rsidRPr="00E51DFE" w:rsidRDefault="00872DB8" w:rsidP="00872DB8">
      <w:pPr>
        <w:spacing w:before="480" w:after="240"/>
      </w:pPr>
      <w:r w:rsidRPr="00E51DFE">
        <w:rPr>
          <w:i/>
        </w:rPr>
        <w:t>Evropský parlament</w:t>
      </w:r>
      <w:r w:rsidRPr="00E51DFE">
        <w:t>,</w:t>
      </w:r>
    </w:p>
    <w:p w14:paraId="02E0ADCE" w14:textId="77777777" w:rsidR="00872DB8" w:rsidRPr="00E51DFE" w:rsidRDefault="00872DB8" w:rsidP="00872DB8">
      <w:pPr>
        <w:spacing w:after="240"/>
        <w:ind w:left="567" w:hanging="567"/>
      </w:pPr>
      <w:r w:rsidRPr="00E51DFE">
        <w:t>–</w:t>
      </w:r>
      <w:r w:rsidRPr="00E51DFE">
        <w:tab/>
        <w:t>s ohledem na konečnou roční účetní závěrku Evropské nadace pro zlepšení životních a pracovních podmínek za rozpočtový rok 2023,</w:t>
      </w:r>
    </w:p>
    <w:p w14:paraId="00785A75"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27"/>
      </w:r>
      <w:r w:rsidRPr="00E51DFE">
        <w:t>,</w:t>
      </w:r>
    </w:p>
    <w:p w14:paraId="2432EAD6"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28"/>
      </w:r>
      <w:r w:rsidRPr="00E51DFE">
        <w:t xml:space="preserve"> účetnictví a o legalitě a správnosti uskutečněných operací, které předložil Účetní dvůr za rozpočtový rok 2023 podle článku 287 Smlouvy o fungování Evropské unie,</w:t>
      </w:r>
    </w:p>
    <w:p w14:paraId="5067E449" w14:textId="77777777" w:rsidR="00872DB8" w:rsidRPr="00E51DFE" w:rsidRDefault="00872DB8" w:rsidP="00872DB8">
      <w:pPr>
        <w:spacing w:after="240"/>
        <w:ind w:left="567" w:hanging="567"/>
      </w:pPr>
      <w:r w:rsidRPr="00E51DFE">
        <w:t>–</w:t>
      </w:r>
      <w:r w:rsidRPr="00E51DFE">
        <w:tab/>
        <w:t>s ohledem na doporučení Rady ze dne 17. února 2025 o udělení absolutoria nadaci za plnění rozpočtu na rozpočtový rok 2023 (05755/2025 – C10</w:t>
      </w:r>
      <w:r w:rsidRPr="00E51DFE">
        <w:noBreakHyphen/>
        <w:t>0024/2025),</w:t>
      </w:r>
    </w:p>
    <w:p w14:paraId="3CAD9555"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6A46A0B6"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29"/>
      </w:r>
      <w:r w:rsidRPr="00E51DFE">
        <w:t>, a zejména na článek 70 tohoto nařízení,</w:t>
      </w:r>
    </w:p>
    <w:p w14:paraId="32906738"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30"/>
      </w:r>
      <w:r w:rsidRPr="00E51DFE">
        <w:t>, a zejména na článek 70 tohoto nařízení,</w:t>
      </w:r>
    </w:p>
    <w:p w14:paraId="68D4A7E8" w14:textId="77777777" w:rsidR="00872DB8" w:rsidRPr="00E51DFE" w:rsidRDefault="00872DB8" w:rsidP="00872DB8">
      <w:pPr>
        <w:spacing w:after="240"/>
        <w:ind w:left="567" w:hanging="567"/>
      </w:pPr>
      <w:r w:rsidRPr="00E51DFE">
        <w:t>–</w:t>
      </w:r>
      <w:r w:rsidRPr="00E51DFE">
        <w:tab/>
        <w:t>s ohledem na nařízení Evropského parlamentu a Rady (EU) 2019/127 ze dne 16. ledna 2019 o zřízení Evropské nadace pro zlepšení životních a pracovních podmínek (</w:t>
      </w:r>
      <w:proofErr w:type="spellStart"/>
      <w:r w:rsidRPr="00E51DFE">
        <w:t>Eurofound</w:t>
      </w:r>
      <w:proofErr w:type="spellEnd"/>
      <w:r w:rsidRPr="00E51DFE">
        <w:t>) a o zrušení nařízení Rady (EHS) č. 1365/75</w:t>
      </w:r>
      <w:r w:rsidRPr="00E51DFE">
        <w:rPr>
          <w:vertAlign w:val="superscript"/>
        </w:rPr>
        <w:footnoteReference w:id="331"/>
      </w:r>
      <w:r w:rsidRPr="00E51DFE">
        <w:t>, a zejména na článek 16 tohoto nařízení,</w:t>
      </w:r>
    </w:p>
    <w:p w14:paraId="413A63F2"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32"/>
      </w:r>
      <w:r w:rsidRPr="00E51DFE">
        <w:t>, a zejména na článek 105 tohoto nařízení,</w:t>
      </w:r>
    </w:p>
    <w:p w14:paraId="78190DA2" w14:textId="77777777" w:rsidR="00872DB8" w:rsidRPr="00E51DFE" w:rsidRDefault="00872DB8" w:rsidP="00872DB8">
      <w:pPr>
        <w:spacing w:after="240"/>
        <w:ind w:left="567" w:hanging="567"/>
      </w:pPr>
      <w:r w:rsidRPr="00E51DFE">
        <w:t>–</w:t>
      </w:r>
      <w:r w:rsidRPr="00E51DFE">
        <w:tab/>
        <w:t>s ohledem na článek 102 a přílohu V jednacího řádu,</w:t>
      </w:r>
    </w:p>
    <w:p w14:paraId="742CEE1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AB609DE"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4A5880E" w14:textId="77777777" w:rsidR="00872DB8" w:rsidRPr="00E51DFE" w:rsidRDefault="00872DB8" w:rsidP="00872DB8">
      <w:pPr>
        <w:spacing w:after="240"/>
        <w:ind w:left="567" w:hanging="567"/>
      </w:pPr>
      <w:r w:rsidRPr="00E51DFE">
        <w:t>1.</w:t>
      </w:r>
      <w:r w:rsidRPr="00E51DFE">
        <w:tab/>
        <w:t>uděluje absolutorium výkonnému řediteli Evropské nadace pro zlepšení životních a pracovních podmínek za plnění rozpočtu nadace na rozpočtový rok 2023;</w:t>
      </w:r>
    </w:p>
    <w:p w14:paraId="4D61450C" w14:textId="77777777" w:rsidR="00872DB8" w:rsidRPr="00E51DFE" w:rsidRDefault="00872DB8" w:rsidP="00872DB8">
      <w:pPr>
        <w:spacing w:after="240"/>
        <w:ind w:left="567" w:hanging="567"/>
      </w:pPr>
      <w:r w:rsidRPr="00E51DFE">
        <w:t>2.</w:t>
      </w:r>
      <w:r w:rsidRPr="00E51DFE">
        <w:tab/>
        <w:t>předkládá své připomínky v níže uvedeném usnesení;</w:t>
      </w:r>
    </w:p>
    <w:p w14:paraId="27A2AD89"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 nadace pro zlepšení životních a pracovních podmínek, Radě, Komisi a Účetnímu dvoru a aby zajistila jejich zveřejnění v </w:t>
      </w:r>
      <w:r w:rsidRPr="00E51DFE">
        <w:rPr>
          <w:i/>
        </w:rPr>
        <w:t>Úředním věstníku Evropské unie</w:t>
      </w:r>
      <w:r w:rsidRPr="00E51DFE">
        <w:t xml:space="preserve"> (řada L).</w:t>
      </w:r>
    </w:p>
    <w:p w14:paraId="26E821E2"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3268AF06" w14:textId="29F31BAB" w:rsidR="00872DB8" w:rsidRPr="00E51DFE" w:rsidRDefault="00872DB8" w:rsidP="00771E45">
      <w:pPr>
        <w:pStyle w:val="ATHeading3"/>
      </w:pPr>
      <w:r w:rsidRPr="00E51DFE">
        <w:t>56. Rozhodnutí Evropského parlamentu ze dne 7. května 2025 o uzavření účtů Evropské nadace pro zlepšení životních a pracovních podmínek za rozpočtový rok 2023 (2024/2030(DEC))</w:t>
      </w:r>
    </w:p>
    <w:p w14:paraId="750F3D70" w14:textId="77777777" w:rsidR="00872DB8" w:rsidRPr="00E51DFE" w:rsidRDefault="00872DB8" w:rsidP="00872DB8">
      <w:pPr>
        <w:spacing w:before="480" w:after="240"/>
      </w:pPr>
      <w:r w:rsidRPr="00E51DFE">
        <w:rPr>
          <w:i/>
        </w:rPr>
        <w:t>Evropský parlament</w:t>
      </w:r>
      <w:r w:rsidRPr="00E51DFE">
        <w:t>,</w:t>
      </w:r>
    </w:p>
    <w:p w14:paraId="64B4DDBB" w14:textId="77777777" w:rsidR="00872DB8" w:rsidRPr="00E51DFE" w:rsidRDefault="00872DB8" w:rsidP="00872DB8">
      <w:pPr>
        <w:spacing w:after="240"/>
        <w:ind w:left="567" w:hanging="567"/>
      </w:pPr>
      <w:r w:rsidRPr="00E51DFE">
        <w:t>–</w:t>
      </w:r>
      <w:r w:rsidRPr="00E51DFE">
        <w:tab/>
        <w:t>s ohledem na konečnou roční účetní závěrku Evropské nadace pro zlepšení životních a pracovních podmínek za rozpočtový rok 2023,</w:t>
      </w:r>
    </w:p>
    <w:p w14:paraId="09AB4C71"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33"/>
      </w:r>
      <w:r w:rsidRPr="00E51DFE">
        <w:t>,</w:t>
      </w:r>
    </w:p>
    <w:p w14:paraId="0BA0480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34"/>
      </w:r>
      <w:r w:rsidRPr="00E51DFE">
        <w:t xml:space="preserve"> účetnictví a o legalitě a správnosti uskutečněných operací, které předložil Účetní dvůr za rozpočtový rok 2023 podle článku 287 Smlouvy o fungování Evropské unie,</w:t>
      </w:r>
    </w:p>
    <w:p w14:paraId="1EF8A24B" w14:textId="77777777" w:rsidR="00872DB8" w:rsidRPr="00E51DFE" w:rsidRDefault="00872DB8" w:rsidP="00872DB8">
      <w:pPr>
        <w:spacing w:after="240"/>
        <w:ind w:left="567" w:hanging="567"/>
      </w:pPr>
      <w:r w:rsidRPr="00E51DFE">
        <w:t>–</w:t>
      </w:r>
      <w:r w:rsidRPr="00E51DFE">
        <w:tab/>
        <w:t>s ohledem na doporučení Rady ze dne 17. února 2025 o udělení absolutoria nadaci za plnění rozpočtu na rozpočtový rok 2023 (05755/2025 – C10</w:t>
      </w:r>
      <w:r w:rsidRPr="00E51DFE">
        <w:noBreakHyphen/>
        <w:t>0024/2025),</w:t>
      </w:r>
    </w:p>
    <w:p w14:paraId="4376D7FC"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148B5FD"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35"/>
      </w:r>
      <w:r w:rsidRPr="00E51DFE">
        <w:t>, a zejména na článek 70 tohoto nařízení,</w:t>
      </w:r>
    </w:p>
    <w:p w14:paraId="1D7A83C7"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36"/>
      </w:r>
      <w:r w:rsidRPr="00E51DFE">
        <w:t>, a zejména na článek 70 tohoto nařízení,</w:t>
      </w:r>
    </w:p>
    <w:p w14:paraId="001E2D1B" w14:textId="77777777" w:rsidR="00872DB8" w:rsidRPr="00E51DFE" w:rsidRDefault="00872DB8" w:rsidP="00872DB8">
      <w:pPr>
        <w:spacing w:after="240"/>
        <w:ind w:left="567" w:hanging="567"/>
      </w:pPr>
      <w:r w:rsidRPr="00E51DFE">
        <w:t>–</w:t>
      </w:r>
      <w:r w:rsidRPr="00E51DFE">
        <w:tab/>
        <w:t>s ohledem na nařízení Evropského parlamentu a Rady (EU) 2019/127 ze dne 16. ledna 2019 o zřízení Evropské nadace pro zlepšení životních a pracovních podmínek (</w:t>
      </w:r>
      <w:proofErr w:type="spellStart"/>
      <w:r w:rsidRPr="00E51DFE">
        <w:t>Eurofound</w:t>
      </w:r>
      <w:proofErr w:type="spellEnd"/>
      <w:r w:rsidRPr="00E51DFE">
        <w:t>) a o zrušení nařízení Rady (EHS) č. 1365/75</w:t>
      </w:r>
      <w:r w:rsidRPr="00E51DFE">
        <w:rPr>
          <w:vertAlign w:val="superscript"/>
        </w:rPr>
        <w:footnoteReference w:id="337"/>
      </w:r>
      <w:r w:rsidRPr="00E51DFE">
        <w:t>, a zejména na článek 16 tohoto nařízení,</w:t>
      </w:r>
    </w:p>
    <w:p w14:paraId="20B5270C"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38"/>
      </w:r>
      <w:r w:rsidRPr="00E51DFE">
        <w:t>, a zejména na článek 105 tohoto nařízení,</w:t>
      </w:r>
    </w:p>
    <w:p w14:paraId="60A7C0B7" w14:textId="77777777" w:rsidR="00872DB8" w:rsidRPr="00E51DFE" w:rsidRDefault="00872DB8" w:rsidP="00872DB8">
      <w:pPr>
        <w:spacing w:after="240"/>
        <w:ind w:left="567" w:hanging="567"/>
      </w:pPr>
      <w:r w:rsidRPr="00E51DFE">
        <w:t>–</w:t>
      </w:r>
      <w:r w:rsidRPr="00E51DFE">
        <w:tab/>
        <w:t>s ohledem na článek 102 a přílohu V jednacího řádu,</w:t>
      </w:r>
    </w:p>
    <w:p w14:paraId="1E990E0A"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0BC5C2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0527A800" w14:textId="77777777" w:rsidR="00872DB8" w:rsidRPr="00E51DFE" w:rsidRDefault="00872DB8" w:rsidP="00872DB8">
      <w:pPr>
        <w:spacing w:after="240"/>
        <w:ind w:left="567" w:hanging="567"/>
      </w:pPr>
      <w:r w:rsidRPr="00E51DFE">
        <w:t>1.</w:t>
      </w:r>
      <w:r w:rsidRPr="00E51DFE">
        <w:tab/>
        <w:t>schvaluje uzavření účtů Evropské nadace pro zlepšení životních a pracovních podmínek za rozpočtový rok 2023;</w:t>
      </w:r>
    </w:p>
    <w:p w14:paraId="5D64B016"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 nadace pro zlepšení životních a pracovních podmínek, Radě, Komisi a Účetnímu dvoru a aby zajistila jeho zveřejnění v </w:t>
      </w:r>
      <w:r w:rsidRPr="00E51DFE">
        <w:rPr>
          <w:i/>
        </w:rPr>
        <w:t>Úředním věstníku Evropské unie</w:t>
      </w:r>
      <w:r w:rsidRPr="00E51DFE">
        <w:t xml:space="preserve"> (řada L).</w:t>
      </w:r>
    </w:p>
    <w:p w14:paraId="7AC41CA5"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08BF248" w14:textId="77777777" w:rsidR="00872DB8" w:rsidRPr="00E51DFE" w:rsidRDefault="00872DB8" w:rsidP="00771E45">
      <w:pPr>
        <w:pStyle w:val="ATHeading3"/>
      </w:pPr>
      <w:r w:rsidRPr="00E51DFE">
        <w:t>57. Rozhodnutí Evropského parlamentu ze dne 7. května 2025 o udělení absolutoria za plnění rozpočtu Agentury Evropské unie pro justiční spolupráci v trestních věcech na rozpočtový rok 2023 (2024/2030(DEC))</w:t>
      </w:r>
    </w:p>
    <w:p w14:paraId="23DA963D" w14:textId="77777777" w:rsidR="00872DB8" w:rsidRPr="00E51DFE" w:rsidRDefault="00872DB8" w:rsidP="00872DB8">
      <w:pPr>
        <w:spacing w:before="480" w:after="240"/>
      </w:pPr>
      <w:r w:rsidRPr="00E51DFE">
        <w:rPr>
          <w:i/>
        </w:rPr>
        <w:t>Evropský parlament</w:t>
      </w:r>
      <w:r w:rsidRPr="00E51DFE">
        <w:t>,</w:t>
      </w:r>
    </w:p>
    <w:p w14:paraId="13C27316" w14:textId="4A4D2ACC" w:rsidR="00872DB8" w:rsidRPr="00E51DFE" w:rsidRDefault="00771E45" w:rsidP="00872DB8">
      <w:pPr>
        <w:spacing w:after="240"/>
        <w:ind w:left="567" w:hanging="567"/>
      </w:pPr>
      <w:r w:rsidRPr="00E51DFE">
        <w:t>–</w:t>
      </w:r>
      <w:r w:rsidR="00872DB8" w:rsidRPr="00E51DFE">
        <w:tab/>
        <w:t>s ohledem na konečnou roční účetní závěrku Agentury Evropské unie pro justiční spolupráci v trestních věcech za rozpočtový rok 2023,</w:t>
      </w:r>
    </w:p>
    <w:p w14:paraId="25C5CD10" w14:textId="0F5D215E" w:rsidR="00872DB8" w:rsidRPr="00E51DFE" w:rsidRDefault="00771E45" w:rsidP="00872DB8">
      <w:pPr>
        <w:spacing w:after="240"/>
        <w:ind w:left="567" w:hanging="567"/>
      </w:pPr>
      <w:r w:rsidRPr="00E51DFE">
        <w:t>–</w:t>
      </w:r>
      <w:r w:rsidR="00872DB8" w:rsidRPr="00E51DFE">
        <w:tab/>
        <w:t>s ohledem na výroční zprávu Účetního dvora o agenturách EU za rozpočtový rok 2023 spolu s odpověďmi agentur</w:t>
      </w:r>
      <w:r w:rsidR="00872DB8" w:rsidRPr="00E51DFE">
        <w:rPr>
          <w:vertAlign w:val="superscript"/>
        </w:rPr>
        <w:footnoteReference w:id="339"/>
      </w:r>
      <w:r w:rsidR="00872DB8" w:rsidRPr="00E51DFE">
        <w:t>,</w:t>
      </w:r>
    </w:p>
    <w:p w14:paraId="3058AFE3" w14:textId="5FEC65E1" w:rsidR="00872DB8" w:rsidRPr="00E51DFE" w:rsidRDefault="00771E45" w:rsidP="00872DB8">
      <w:pPr>
        <w:spacing w:after="240"/>
        <w:ind w:left="567" w:hanging="567"/>
      </w:pPr>
      <w:r w:rsidRPr="00E51DFE">
        <w:t>–</w:t>
      </w:r>
      <w:r w:rsidR="00872DB8" w:rsidRPr="00E51DFE">
        <w:tab/>
        <w:t>s ohledem na prohlášení o věrohodnosti</w:t>
      </w:r>
      <w:r w:rsidR="00872DB8" w:rsidRPr="00E51DFE">
        <w:rPr>
          <w:vertAlign w:val="superscript"/>
        </w:rPr>
        <w:footnoteReference w:id="340"/>
      </w:r>
      <w:r w:rsidR="00872DB8" w:rsidRPr="00E51DFE">
        <w:t xml:space="preserve"> účetnictví a o legalitě a správnosti uskutečněných operací, které předložil Účetní dvůr za rozpočtový rok 2023 podle článku 287 Smlouvy o fungování Evropské unie,</w:t>
      </w:r>
    </w:p>
    <w:p w14:paraId="55605F78" w14:textId="194F72F5" w:rsidR="00872DB8" w:rsidRPr="00E51DFE" w:rsidRDefault="00771E45" w:rsidP="00872DB8">
      <w:pPr>
        <w:spacing w:after="240"/>
        <w:ind w:left="567" w:hanging="567"/>
      </w:pPr>
      <w:r w:rsidRPr="00E51DFE">
        <w:t>–</w:t>
      </w:r>
      <w:r w:rsidR="00872DB8" w:rsidRPr="00E51DFE">
        <w:tab/>
        <w:t>s ohledem na doporučení Rady ze dne 17. února 2025 o udělení absolutoria agentuře za plnění rozpočtu na rozpočtový rok 2023 (05755/2025 – C10</w:t>
      </w:r>
      <w:r w:rsidR="00872DB8" w:rsidRPr="00E51DFE">
        <w:noBreakHyphen/>
        <w:t>0024/2025),</w:t>
      </w:r>
    </w:p>
    <w:p w14:paraId="6D3B6DC9" w14:textId="181524F9" w:rsidR="00872DB8" w:rsidRPr="00E51DFE" w:rsidRDefault="00771E45" w:rsidP="00872DB8">
      <w:pPr>
        <w:spacing w:after="240"/>
        <w:ind w:left="567" w:hanging="567"/>
      </w:pPr>
      <w:r w:rsidRPr="00E51DFE">
        <w:t>–</w:t>
      </w:r>
      <w:r w:rsidR="00872DB8" w:rsidRPr="00E51DFE">
        <w:tab/>
        <w:t>s ohledem na článek 319 Smlouvy o fungování Evropské unie,</w:t>
      </w:r>
    </w:p>
    <w:p w14:paraId="1BEFA724" w14:textId="67D79327" w:rsidR="00872DB8" w:rsidRPr="00E51DFE" w:rsidRDefault="00771E45" w:rsidP="00872DB8">
      <w:pPr>
        <w:spacing w:after="240"/>
        <w:ind w:left="567" w:hanging="567"/>
      </w:pPr>
      <w:r w:rsidRPr="00E51DFE">
        <w:t>–</w:t>
      </w:r>
      <w:r w:rsidR="00872DB8"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00872DB8" w:rsidRPr="00E51DFE">
        <w:rPr>
          <w:vertAlign w:val="superscript"/>
        </w:rPr>
        <w:footnoteReference w:id="341"/>
      </w:r>
      <w:r w:rsidR="00872DB8" w:rsidRPr="00E51DFE">
        <w:t>, a zejména na článek 70 tohoto nařízení,</w:t>
      </w:r>
    </w:p>
    <w:p w14:paraId="53EBD1F0" w14:textId="4B6AC16F" w:rsidR="00872DB8" w:rsidRPr="00E51DFE" w:rsidRDefault="00771E45" w:rsidP="00872DB8">
      <w:pPr>
        <w:spacing w:after="240"/>
        <w:ind w:left="567" w:hanging="567"/>
      </w:pPr>
      <w:r w:rsidRPr="00E51DFE">
        <w:t>–</w:t>
      </w:r>
      <w:r w:rsidR="00872DB8" w:rsidRPr="00E51DFE">
        <w:tab/>
        <w:t>s ohledem na nařízení Evropského parlamentu a Rady (EU, Euratom) 2024/2509 ze dne 23. září 2024, kterým se stanoví finanční pravidla pro souhrnný rozpočet Unie</w:t>
      </w:r>
      <w:r w:rsidR="00872DB8" w:rsidRPr="00E51DFE">
        <w:rPr>
          <w:vertAlign w:val="superscript"/>
        </w:rPr>
        <w:footnoteReference w:id="342"/>
      </w:r>
      <w:r w:rsidR="00872DB8" w:rsidRPr="00E51DFE">
        <w:t>, a zejména na článek 70 tohoto nařízení,</w:t>
      </w:r>
    </w:p>
    <w:p w14:paraId="18E1D76E" w14:textId="59A84723" w:rsidR="00872DB8" w:rsidRPr="00E51DFE" w:rsidRDefault="00771E45" w:rsidP="00872DB8">
      <w:pPr>
        <w:spacing w:after="240"/>
        <w:ind w:left="567" w:hanging="567"/>
      </w:pPr>
      <w:r w:rsidRPr="00E51DFE">
        <w:t>–</w:t>
      </w:r>
      <w:r w:rsidR="00872DB8" w:rsidRPr="00E51DFE">
        <w:tab/>
        <w:t>s ohledem na nařízení Evropského parlamentu a Rady (EU) 2018/1727 ze dne 14. listopadu 2018 o Agentuře Evropské unie pro justiční spolupráci v trestních věcech (</w:t>
      </w:r>
      <w:proofErr w:type="spellStart"/>
      <w:r w:rsidR="00872DB8" w:rsidRPr="00E51DFE">
        <w:t>Eurojust</w:t>
      </w:r>
      <w:proofErr w:type="spellEnd"/>
      <w:r w:rsidR="00872DB8" w:rsidRPr="00E51DFE">
        <w:t>) a o nahrazení a zrušení rozhodnutí Rady 2002/187/SVV</w:t>
      </w:r>
      <w:r w:rsidR="00872DB8" w:rsidRPr="00E51DFE">
        <w:rPr>
          <w:vertAlign w:val="superscript"/>
        </w:rPr>
        <w:footnoteReference w:id="343"/>
      </w:r>
      <w:r w:rsidR="00872DB8" w:rsidRPr="00E51DFE">
        <w:t>, a zejména na článek 63 tohoto nařízení,</w:t>
      </w:r>
    </w:p>
    <w:p w14:paraId="2B125860" w14:textId="3E4AA82B" w:rsidR="00872DB8" w:rsidRPr="00E51DFE" w:rsidRDefault="00771E45" w:rsidP="00872DB8">
      <w:pPr>
        <w:spacing w:after="240"/>
        <w:ind w:left="567" w:hanging="567"/>
      </w:pPr>
      <w:r w:rsidRPr="00E51DFE">
        <w:t>–</w:t>
      </w:r>
      <w:r w:rsidR="00872DB8"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00872DB8" w:rsidRPr="00E51DFE">
        <w:rPr>
          <w:vertAlign w:val="superscript"/>
        </w:rPr>
        <w:footnoteReference w:id="344"/>
      </w:r>
      <w:r w:rsidR="00872DB8" w:rsidRPr="00E51DFE">
        <w:t>, a zejména na článek 105 tohoto nařízení,</w:t>
      </w:r>
    </w:p>
    <w:p w14:paraId="79D5244D" w14:textId="2B1CBC3C" w:rsidR="00872DB8" w:rsidRPr="00E51DFE" w:rsidRDefault="00771E45" w:rsidP="00872DB8">
      <w:pPr>
        <w:spacing w:after="240"/>
        <w:ind w:left="567" w:hanging="567"/>
      </w:pPr>
      <w:r w:rsidRPr="00E51DFE">
        <w:t>–</w:t>
      </w:r>
      <w:r w:rsidR="00872DB8" w:rsidRPr="00E51DFE">
        <w:tab/>
        <w:t>s ohledem na článek 102 a přílohu V jednacího řádu,</w:t>
      </w:r>
    </w:p>
    <w:p w14:paraId="00DE9E7B" w14:textId="7F9CEC75" w:rsidR="00872DB8" w:rsidRPr="00E51DFE" w:rsidRDefault="00771E45" w:rsidP="00872DB8">
      <w:pPr>
        <w:spacing w:after="240"/>
        <w:ind w:left="567" w:hanging="567"/>
      </w:pPr>
      <w:r w:rsidRPr="00E51DFE">
        <w:t>–</w:t>
      </w:r>
      <w:r w:rsidR="00872DB8"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7727593" w14:textId="1FB8104B" w:rsidR="00872DB8" w:rsidRPr="00E51DFE" w:rsidRDefault="00771E45" w:rsidP="00872DB8">
      <w:pPr>
        <w:spacing w:after="240"/>
        <w:ind w:left="567" w:hanging="567"/>
      </w:pPr>
      <w:r w:rsidRPr="00E51DFE">
        <w:t>–</w:t>
      </w:r>
      <w:r w:rsidR="00872DB8" w:rsidRPr="00E51DFE">
        <w:tab/>
        <w:t>s ohledem na zprávu Výboru pro rozpočtovou kontrolu (A10</w:t>
      </w:r>
      <w:r w:rsidR="00872DB8" w:rsidRPr="00E51DFE">
        <w:noBreakHyphen/>
        <w:t>0065/2025),</w:t>
      </w:r>
    </w:p>
    <w:p w14:paraId="7D157EA3" w14:textId="77777777" w:rsidR="00872DB8" w:rsidRPr="00E51DFE" w:rsidRDefault="00872DB8" w:rsidP="00872DB8">
      <w:pPr>
        <w:spacing w:after="240"/>
        <w:ind w:left="567" w:hanging="567"/>
      </w:pPr>
      <w:r w:rsidRPr="00E51DFE">
        <w:t>1.</w:t>
      </w:r>
      <w:r w:rsidRPr="00E51DFE">
        <w:tab/>
        <w:t>uděluje absolutorium správnímu řediteli Agentury Evropské unie pro justiční spolupráci v trestních věcech za plnění rozpočtu agentury na rozpočtový rok 2023;</w:t>
      </w:r>
    </w:p>
    <w:p w14:paraId="3CA830B8" w14:textId="77777777" w:rsidR="00872DB8" w:rsidRPr="00E51DFE" w:rsidRDefault="00872DB8" w:rsidP="00872DB8">
      <w:pPr>
        <w:spacing w:after="240"/>
        <w:ind w:left="567" w:hanging="567"/>
      </w:pPr>
      <w:r w:rsidRPr="00E51DFE">
        <w:t>2.</w:t>
      </w:r>
      <w:r w:rsidRPr="00E51DFE">
        <w:tab/>
        <w:t>předkládá své připomínky v níže uvedeném usnesení;</w:t>
      </w:r>
    </w:p>
    <w:p w14:paraId="1B61E647"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správnímu řediteli Agentury Evropské unie pro justiční spolupráci v trestních věcech, Radě, Komisi a Účetnímu dvoru a aby zajistila jejich zveřejnění v </w:t>
      </w:r>
      <w:r w:rsidRPr="00E51DFE">
        <w:rPr>
          <w:i/>
        </w:rPr>
        <w:t>Úředním věstníku Evropské unie</w:t>
      </w:r>
      <w:r w:rsidRPr="00E51DFE">
        <w:t xml:space="preserve"> (řada L).</w:t>
      </w:r>
    </w:p>
    <w:p w14:paraId="15CBE6B2" w14:textId="77777777" w:rsidR="00872DB8" w:rsidRPr="00FD07C2" w:rsidRDefault="00872DB8" w:rsidP="00872DB8">
      <w:pPr>
        <w:sectPr w:rsidR="00872DB8" w:rsidRPr="00FD07C2"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A5DF748" w14:textId="5DEF51DE" w:rsidR="00872DB8" w:rsidRPr="00E51DFE" w:rsidRDefault="00872DB8" w:rsidP="00771E45">
      <w:pPr>
        <w:pStyle w:val="ATHeading3"/>
      </w:pPr>
      <w:r w:rsidRPr="00E51DFE">
        <w:t>58. Rozhodnutí Evropského parlamentu ze dne 7. května 2025 o uzavření účtů Agentury Evropské unie pro justiční spolupráci v trestních věcech za rozpočtový rok 2023 (2024/2030(DEC))</w:t>
      </w:r>
    </w:p>
    <w:p w14:paraId="11E45CFA" w14:textId="77777777" w:rsidR="00872DB8" w:rsidRPr="00E51DFE" w:rsidRDefault="00872DB8" w:rsidP="00872DB8">
      <w:pPr>
        <w:spacing w:before="480" w:after="240"/>
      </w:pPr>
      <w:r w:rsidRPr="00E51DFE">
        <w:rPr>
          <w:i/>
        </w:rPr>
        <w:t>Evropský parlament</w:t>
      </w:r>
      <w:r w:rsidRPr="00E51DFE">
        <w:t>,</w:t>
      </w:r>
    </w:p>
    <w:p w14:paraId="00CF91CE" w14:textId="77777777" w:rsidR="00872DB8" w:rsidRPr="00E51DFE" w:rsidRDefault="00872DB8" w:rsidP="00872DB8">
      <w:pPr>
        <w:spacing w:after="240"/>
        <w:ind w:left="567" w:hanging="567"/>
      </w:pPr>
      <w:r w:rsidRPr="00E51DFE">
        <w:t>–</w:t>
      </w:r>
      <w:r w:rsidRPr="00E51DFE">
        <w:tab/>
        <w:t>s ohledem na konečnou roční účetní závěrku Agentury Evropské unie pro justiční spolupráci v trestních věcech za rozpočtový rok 2023,</w:t>
      </w:r>
    </w:p>
    <w:p w14:paraId="36193B0B"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45"/>
      </w:r>
      <w:r w:rsidRPr="00E51DFE">
        <w:t>,</w:t>
      </w:r>
    </w:p>
    <w:p w14:paraId="00FAD91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46"/>
      </w:r>
      <w:r w:rsidRPr="00E51DFE">
        <w:t xml:space="preserve"> účetnictví a o legalitě a správnosti uskutečněných operací, které předložil Účetní dvůr za rozpočtový rok 2023 podle článku 287 Smlouvy o fungování Evropské unie,</w:t>
      </w:r>
    </w:p>
    <w:p w14:paraId="3267CA62"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52CBE8D2"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73AF8FBF"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47"/>
      </w:r>
      <w:r w:rsidRPr="00E51DFE">
        <w:t>, a zejména na článek 70 tohoto nařízení,</w:t>
      </w:r>
    </w:p>
    <w:p w14:paraId="312A979C"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48"/>
      </w:r>
      <w:r w:rsidRPr="00E51DFE">
        <w:t>, a zejména na článek 70 tohoto nařízení,</w:t>
      </w:r>
    </w:p>
    <w:p w14:paraId="4A071403" w14:textId="77777777" w:rsidR="00872DB8" w:rsidRPr="00E51DFE" w:rsidRDefault="00872DB8" w:rsidP="00872DB8">
      <w:pPr>
        <w:spacing w:after="240"/>
        <w:ind w:left="567" w:hanging="567"/>
      </w:pPr>
      <w:r w:rsidRPr="00E51DFE">
        <w:t>–</w:t>
      </w:r>
      <w:r w:rsidRPr="00E51DFE">
        <w:tab/>
        <w:t>s ohledem na nařízení Evropského parlamentu a Rady (EU) 2018/1727 ze dne 14. listopadu 2018 o Agentuře Evropské unie pro justiční spolupráci v trestních věcech (</w:t>
      </w:r>
      <w:proofErr w:type="spellStart"/>
      <w:r w:rsidRPr="00E51DFE">
        <w:t>Eurojust</w:t>
      </w:r>
      <w:proofErr w:type="spellEnd"/>
      <w:r w:rsidRPr="00E51DFE">
        <w:t>) a o nahrazení a zrušení rozhodnutí Rady 2002/187/SVV</w:t>
      </w:r>
      <w:r w:rsidRPr="00E51DFE">
        <w:rPr>
          <w:vertAlign w:val="superscript"/>
        </w:rPr>
        <w:footnoteReference w:id="349"/>
      </w:r>
      <w:r w:rsidRPr="00E51DFE">
        <w:t>, a zejména na článek 63 tohoto nařízení,</w:t>
      </w:r>
    </w:p>
    <w:p w14:paraId="0C9796D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50"/>
      </w:r>
      <w:r w:rsidRPr="00E51DFE">
        <w:t>, a zejména na článek 105 tohoto nařízení,</w:t>
      </w:r>
    </w:p>
    <w:p w14:paraId="2E82E1EB" w14:textId="77777777" w:rsidR="00872DB8" w:rsidRPr="00E51DFE" w:rsidRDefault="00872DB8" w:rsidP="00872DB8">
      <w:pPr>
        <w:spacing w:after="240"/>
        <w:ind w:left="567" w:hanging="567"/>
      </w:pPr>
      <w:r w:rsidRPr="00E51DFE">
        <w:t>–</w:t>
      </w:r>
      <w:r w:rsidRPr="00E51DFE">
        <w:tab/>
        <w:t>s ohledem na článek 102 a přílohu V jednacího řádu,</w:t>
      </w:r>
    </w:p>
    <w:p w14:paraId="6E21BB1A"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F13C045"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53C3D93A" w14:textId="77777777" w:rsidR="00872DB8" w:rsidRPr="00E51DFE" w:rsidRDefault="00872DB8" w:rsidP="00872DB8">
      <w:pPr>
        <w:spacing w:after="240"/>
        <w:ind w:left="567" w:hanging="567"/>
      </w:pPr>
      <w:r w:rsidRPr="00E51DFE">
        <w:t>1.</w:t>
      </w:r>
      <w:r w:rsidRPr="00E51DFE">
        <w:tab/>
        <w:t>schvaluje uzavření účtů Agentury Evropské unie pro justiční spolupráci v trestních věcech za rozpočtový rok 2023;</w:t>
      </w:r>
    </w:p>
    <w:p w14:paraId="1B716ED3" w14:textId="77777777" w:rsidR="00872DB8" w:rsidRPr="00E51DFE" w:rsidRDefault="00872DB8" w:rsidP="00872DB8">
      <w:pPr>
        <w:spacing w:after="240"/>
        <w:ind w:left="567" w:hanging="567"/>
      </w:pPr>
      <w:r w:rsidRPr="00E51DFE">
        <w:t>2.</w:t>
      </w:r>
      <w:r w:rsidRPr="00E51DFE">
        <w:tab/>
        <w:t>pověřuje svou předsedkyni, aby předala toto rozhodnutí správnímu řediteli Agentury Evropské unie pro justiční spolupráci v trestních věcech, Radě, Komisi a Účetnímu dvoru a aby zajistila jeho zveřejnění v </w:t>
      </w:r>
      <w:r w:rsidRPr="00E51DFE">
        <w:rPr>
          <w:i/>
        </w:rPr>
        <w:t>Úředním věstníku Evropské unie</w:t>
      </w:r>
      <w:r w:rsidRPr="00E51DFE">
        <w:t xml:space="preserve"> (řada L).</w:t>
      </w:r>
    </w:p>
    <w:p w14:paraId="69B54594"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A3B300E" w14:textId="48E49A18" w:rsidR="00872DB8" w:rsidRPr="00E51DFE" w:rsidRDefault="00872DB8" w:rsidP="00771E45">
      <w:pPr>
        <w:pStyle w:val="ATHeading3"/>
      </w:pPr>
      <w:r w:rsidRPr="00E51DFE">
        <w:t>59. Rozhodnutí Evropského parlamentu ze dne 7. května 2025 o udělení absolutoria za plnění rozpočtu Agentury Evropské unie pro spolupráci v oblasti prosazování práva na rozpočtový rok 2023 (2024/2030(DEC))</w:t>
      </w:r>
    </w:p>
    <w:p w14:paraId="7BAF7B80" w14:textId="77777777" w:rsidR="00872DB8" w:rsidRPr="00E51DFE" w:rsidRDefault="00872DB8" w:rsidP="00872DB8">
      <w:pPr>
        <w:spacing w:before="480" w:after="240"/>
      </w:pPr>
      <w:r w:rsidRPr="00E51DFE">
        <w:rPr>
          <w:i/>
        </w:rPr>
        <w:t>Evropský parlament</w:t>
      </w:r>
      <w:r w:rsidRPr="00E51DFE">
        <w:t>,</w:t>
      </w:r>
    </w:p>
    <w:p w14:paraId="1621C55A" w14:textId="77777777" w:rsidR="00872DB8" w:rsidRPr="00E51DFE" w:rsidRDefault="00872DB8" w:rsidP="00872DB8">
      <w:pPr>
        <w:spacing w:after="240"/>
        <w:ind w:left="567" w:hanging="567"/>
      </w:pPr>
      <w:r w:rsidRPr="00E51DFE">
        <w:t>–</w:t>
      </w:r>
      <w:r w:rsidRPr="00E51DFE">
        <w:tab/>
        <w:t>s ohledem na konečnou roční účetní závěrku Agentury Evropské unie pro spolupráci v oblasti prosazování práva za rozpočtový rok 2023,</w:t>
      </w:r>
    </w:p>
    <w:p w14:paraId="289CDE3F"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51"/>
      </w:r>
      <w:r w:rsidRPr="00E51DFE">
        <w:t>,</w:t>
      </w:r>
    </w:p>
    <w:p w14:paraId="2506D47B"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52"/>
      </w:r>
      <w:r w:rsidRPr="00E51DFE">
        <w:t xml:space="preserve"> účetnictví a o legalitě a správnosti uskutečněných operací, které předložil Účetní dvůr za rozpočtový rok 2023 podle článku 287 Smlouvy o fungování Evropské unie,</w:t>
      </w:r>
    </w:p>
    <w:p w14:paraId="12123200"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5F14F022"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14D22CA"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53"/>
      </w:r>
      <w:r w:rsidRPr="00E51DFE">
        <w:t>, a zejména na článek 70 tohoto nařízení,</w:t>
      </w:r>
    </w:p>
    <w:p w14:paraId="473C8270"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54"/>
      </w:r>
      <w:r w:rsidRPr="00E51DFE">
        <w:t>, a zejména na článek 70 tohoto nařízení,</w:t>
      </w:r>
    </w:p>
    <w:p w14:paraId="7764E178" w14:textId="77777777" w:rsidR="00872DB8" w:rsidRPr="00E51DFE" w:rsidRDefault="00872DB8" w:rsidP="00872DB8">
      <w:pPr>
        <w:spacing w:after="240"/>
        <w:ind w:left="567" w:hanging="567"/>
      </w:pPr>
      <w:r w:rsidRPr="00E51DFE">
        <w:t>–</w:t>
      </w:r>
      <w:r w:rsidRPr="00E51DFE">
        <w:tab/>
        <w:t>s ohledem na nařízení Evropského parlamentu a Rady (EU) 2016/794 ze dne 11. května 2016 o Agentuře Evropské unie pro spolupráci v oblasti prosazování práva (Europol) a o zrušení a nahrazení rozhodnutí 2009/371/SVV, 2009/934/SVV, 2009/935/SVV, 2009/936/SVV a 2009/968/SVV</w:t>
      </w:r>
      <w:r w:rsidRPr="00E51DFE">
        <w:rPr>
          <w:vertAlign w:val="superscript"/>
        </w:rPr>
        <w:footnoteReference w:id="355"/>
      </w:r>
      <w:r w:rsidRPr="00E51DFE">
        <w:t>, a zejména na článek 60 tohoto nařízení,</w:t>
      </w:r>
    </w:p>
    <w:p w14:paraId="742AB02D"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56"/>
      </w:r>
      <w:r w:rsidRPr="00E51DFE">
        <w:t>, a zejména na článek 105 tohoto nařízení,</w:t>
      </w:r>
    </w:p>
    <w:p w14:paraId="24B5AAA8" w14:textId="77777777" w:rsidR="00872DB8" w:rsidRPr="00E51DFE" w:rsidRDefault="00872DB8" w:rsidP="00872DB8">
      <w:pPr>
        <w:spacing w:after="240"/>
        <w:ind w:left="567" w:hanging="567"/>
      </w:pPr>
      <w:r w:rsidRPr="00E51DFE">
        <w:t>–</w:t>
      </w:r>
      <w:r w:rsidRPr="00E51DFE">
        <w:tab/>
        <w:t>s ohledem na článek 102 a přílohu V jednacího řádu,</w:t>
      </w:r>
    </w:p>
    <w:p w14:paraId="6860AFB1"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041102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B14EBB4" w14:textId="77777777" w:rsidR="00872DB8" w:rsidRPr="00E51DFE" w:rsidRDefault="00872DB8" w:rsidP="00872DB8">
      <w:pPr>
        <w:spacing w:after="240"/>
        <w:ind w:left="567" w:hanging="567"/>
      </w:pPr>
      <w:r w:rsidRPr="00E51DFE">
        <w:t>1.</w:t>
      </w:r>
      <w:r w:rsidRPr="00E51DFE">
        <w:tab/>
        <w:t>uděluje absolutorium výkonné ředitelce Agentury Evropské unie pro spolupráci v oblasti prosazování práva za plnění rozpočtu agentury na rozpočtový rok 2023;</w:t>
      </w:r>
    </w:p>
    <w:p w14:paraId="2CA31BD4" w14:textId="77777777" w:rsidR="00872DB8" w:rsidRPr="00E51DFE" w:rsidRDefault="00872DB8" w:rsidP="00872DB8">
      <w:pPr>
        <w:spacing w:after="240"/>
        <w:ind w:left="567" w:hanging="567"/>
      </w:pPr>
      <w:r w:rsidRPr="00E51DFE">
        <w:t>2.</w:t>
      </w:r>
      <w:r w:rsidRPr="00E51DFE">
        <w:tab/>
        <w:t>předkládá své připomínky v níže uvedeném usnesení;</w:t>
      </w:r>
    </w:p>
    <w:p w14:paraId="086F59C7"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 ředitelce Agentury Evropské unie pro spolupráci v oblasti prosazování práva, Radě, Komisi a Účetnímu dvoru a aby zajistila jejich zveřejnění v </w:t>
      </w:r>
      <w:r w:rsidRPr="00E51DFE">
        <w:rPr>
          <w:i/>
        </w:rPr>
        <w:t>Úředním věstníku Evropské unie</w:t>
      </w:r>
      <w:r w:rsidRPr="00E51DFE">
        <w:t xml:space="preserve"> (řada L).</w:t>
      </w:r>
    </w:p>
    <w:p w14:paraId="32D3DEE4"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51AA221" w14:textId="67D5C2A1" w:rsidR="00872DB8" w:rsidRPr="00E51DFE" w:rsidRDefault="00872DB8" w:rsidP="00771E45">
      <w:pPr>
        <w:pStyle w:val="ATHeading3"/>
      </w:pPr>
      <w:r w:rsidRPr="00E51DFE">
        <w:t>60. Rozhodnutí Evropského parlamentu ze dne 7. května 2025 o uzavření účtů Agentury Evropské unie pro spolupráci v oblasti prosazování práva za rozpočtový rok 2023 (2024/2030(DEC))</w:t>
      </w:r>
    </w:p>
    <w:p w14:paraId="69CA8289" w14:textId="77777777" w:rsidR="00872DB8" w:rsidRPr="00E51DFE" w:rsidRDefault="00872DB8" w:rsidP="00872DB8">
      <w:pPr>
        <w:spacing w:before="480" w:after="240"/>
      </w:pPr>
      <w:r w:rsidRPr="00E51DFE">
        <w:rPr>
          <w:i/>
        </w:rPr>
        <w:t>Evropský parlament</w:t>
      </w:r>
      <w:r w:rsidRPr="00E51DFE">
        <w:t>,</w:t>
      </w:r>
    </w:p>
    <w:p w14:paraId="18FEA49A" w14:textId="77777777" w:rsidR="00872DB8" w:rsidRPr="00E51DFE" w:rsidRDefault="00872DB8" w:rsidP="00872DB8">
      <w:pPr>
        <w:spacing w:after="240"/>
        <w:ind w:left="567" w:hanging="567"/>
      </w:pPr>
      <w:r w:rsidRPr="00E51DFE">
        <w:t>–</w:t>
      </w:r>
      <w:r w:rsidRPr="00E51DFE">
        <w:tab/>
        <w:t>s ohledem na konečnou roční účetní závěrku Agentury Evropské unie pro spolupráci v oblasti prosazování práva za rozpočtový rok 2023,</w:t>
      </w:r>
    </w:p>
    <w:p w14:paraId="7BFD71D2"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57"/>
      </w:r>
      <w:r w:rsidRPr="00E51DFE">
        <w:t>,</w:t>
      </w:r>
    </w:p>
    <w:p w14:paraId="4504893D"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58"/>
      </w:r>
      <w:r w:rsidRPr="00E51DFE">
        <w:t xml:space="preserve"> účetnictví a o legalitě a správnosti uskutečněných operací, které předložil Účetní dvůr za rozpočtový rok 2023 podle článku 287 Smlouvy o fungování Evropské unie,</w:t>
      </w:r>
    </w:p>
    <w:p w14:paraId="5A11BE0D"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75B4F134"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9965B17"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59"/>
      </w:r>
      <w:r w:rsidRPr="00E51DFE">
        <w:t>, a zejména na článek 70 tohoto nařízení,</w:t>
      </w:r>
    </w:p>
    <w:p w14:paraId="58315D4B"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60"/>
      </w:r>
      <w:r w:rsidRPr="00E51DFE">
        <w:t>, a zejména na článek 70 tohoto nařízení,</w:t>
      </w:r>
    </w:p>
    <w:p w14:paraId="78D4DB36" w14:textId="77777777" w:rsidR="00872DB8" w:rsidRPr="00E51DFE" w:rsidRDefault="00872DB8" w:rsidP="00872DB8">
      <w:pPr>
        <w:spacing w:after="240"/>
        <w:ind w:left="567" w:hanging="567"/>
      </w:pPr>
      <w:r w:rsidRPr="00E51DFE">
        <w:t>–</w:t>
      </w:r>
      <w:r w:rsidRPr="00E51DFE">
        <w:tab/>
        <w:t>s ohledem na nařízení Evropského parlamentu a Rady (EU) 2016/794 ze dne 11. května 2016 o Agentuře Evropské unie pro spolupráci v oblasti prosazování práva (Europol) a o zrušení a nahrazení rozhodnutí 2009/371/SVV, 2009/934/SVV, 2009/935/SVV, 2009/936/SVV a 2009/968/SVV</w:t>
      </w:r>
      <w:r w:rsidRPr="00E51DFE">
        <w:rPr>
          <w:vertAlign w:val="superscript"/>
        </w:rPr>
        <w:footnoteReference w:id="361"/>
      </w:r>
      <w:r w:rsidRPr="00E51DFE">
        <w:t>, a zejména na článek 60 tohoto nařízení,</w:t>
      </w:r>
    </w:p>
    <w:p w14:paraId="18EAA613"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62"/>
      </w:r>
      <w:r w:rsidRPr="00E51DFE">
        <w:t>, a zejména na článek 105 tohoto nařízení,</w:t>
      </w:r>
    </w:p>
    <w:p w14:paraId="7CF1D953" w14:textId="77777777" w:rsidR="00872DB8" w:rsidRPr="00E51DFE" w:rsidRDefault="00872DB8" w:rsidP="00872DB8">
      <w:pPr>
        <w:spacing w:after="240"/>
        <w:ind w:left="567" w:hanging="567"/>
      </w:pPr>
      <w:r w:rsidRPr="00E51DFE">
        <w:t>–</w:t>
      </w:r>
      <w:r w:rsidRPr="00E51DFE">
        <w:tab/>
        <w:t>s ohledem na článek 102 a přílohu V jednacího řádu,</w:t>
      </w:r>
    </w:p>
    <w:p w14:paraId="652B4EB8"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977D590"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1548E4A9" w14:textId="77777777" w:rsidR="00872DB8" w:rsidRPr="00E51DFE" w:rsidRDefault="00872DB8" w:rsidP="00872DB8">
      <w:pPr>
        <w:spacing w:after="240"/>
        <w:ind w:left="567" w:hanging="567"/>
      </w:pPr>
      <w:r w:rsidRPr="00E51DFE">
        <w:t>1.</w:t>
      </w:r>
      <w:r w:rsidRPr="00E51DFE">
        <w:tab/>
        <w:t>schvaluje uzavření účtů Agentury Evropské unie pro spolupráci v oblasti prosazování práva za rozpočtový rok 2023;</w:t>
      </w:r>
    </w:p>
    <w:p w14:paraId="2878D7BA" w14:textId="77777777" w:rsidR="00872DB8" w:rsidRPr="00E51DFE" w:rsidRDefault="00872DB8" w:rsidP="00872DB8">
      <w:pPr>
        <w:spacing w:after="240"/>
        <w:ind w:left="567" w:hanging="567"/>
      </w:pPr>
      <w:r w:rsidRPr="00E51DFE">
        <w:t>2.</w:t>
      </w:r>
      <w:r w:rsidRPr="00E51DFE">
        <w:tab/>
        <w:t>pověřuje svou předsedkyni, aby předala toto rozhodnutí výkonné ředitelce Agentury Evropské unie pro spolupráci v oblasti prosazování práva, Radě, Komisi a Účetnímu dvoru a aby zajistila jeho zveřejnění v </w:t>
      </w:r>
      <w:r w:rsidRPr="00E51DFE">
        <w:rPr>
          <w:i/>
        </w:rPr>
        <w:t>Úředním věstníku Evropské unie</w:t>
      </w:r>
      <w:r w:rsidRPr="00E51DFE">
        <w:t xml:space="preserve"> (řada L).</w:t>
      </w:r>
    </w:p>
    <w:p w14:paraId="3EF8B41E"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6622A98E" w14:textId="2AA9A681" w:rsidR="00872DB8" w:rsidRPr="00E51DFE" w:rsidRDefault="00872DB8" w:rsidP="00771E45">
      <w:pPr>
        <w:pStyle w:val="ATHeading3"/>
      </w:pPr>
      <w:r w:rsidRPr="00E51DFE">
        <w:t>61. Rozhodnutí Evropského parlamentu ze dne 7. května 2025 o udělení absolutoria za plnění rozpočtu Agentury Evropské unie pro kosmický program na rozpočtový rok 2023 (2024/2030(DEC))</w:t>
      </w:r>
    </w:p>
    <w:p w14:paraId="5ACF9170" w14:textId="77777777" w:rsidR="00872DB8" w:rsidRPr="00E51DFE" w:rsidRDefault="00872DB8" w:rsidP="00872DB8">
      <w:pPr>
        <w:spacing w:before="480" w:after="240"/>
      </w:pPr>
      <w:r w:rsidRPr="00E51DFE">
        <w:rPr>
          <w:i/>
        </w:rPr>
        <w:t>Evropský parlament</w:t>
      </w:r>
      <w:r w:rsidRPr="00E51DFE">
        <w:t>,</w:t>
      </w:r>
    </w:p>
    <w:p w14:paraId="680B6242" w14:textId="77777777" w:rsidR="00872DB8" w:rsidRPr="00E51DFE" w:rsidRDefault="00872DB8" w:rsidP="00872DB8">
      <w:pPr>
        <w:spacing w:after="240"/>
        <w:ind w:left="567" w:hanging="567"/>
      </w:pPr>
      <w:r w:rsidRPr="00E51DFE">
        <w:t>–</w:t>
      </w:r>
      <w:r w:rsidRPr="00E51DFE">
        <w:tab/>
        <w:t>s ohledem na konečnou roční účetní závěrku Agentury Evropské unie pro kosmický program za rozpočtový rok 2023,</w:t>
      </w:r>
    </w:p>
    <w:p w14:paraId="17C55F63"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63"/>
      </w:r>
      <w:r w:rsidRPr="00E51DFE">
        <w:t>,</w:t>
      </w:r>
    </w:p>
    <w:p w14:paraId="09E9118A"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64"/>
      </w:r>
      <w:r w:rsidRPr="00E51DFE">
        <w:t xml:space="preserve"> účetnictví a o legalitě a správnosti uskutečněných operací, které předložil Účetní dvůr za rozpočtový rok 2023 podle článku 287 Smlouvy o fungování Evropské unie,</w:t>
      </w:r>
    </w:p>
    <w:p w14:paraId="4D5293EE"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7401DF29"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06DB0F9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65"/>
      </w:r>
      <w:r w:rsidRPr="00E51DFE">
        <w:t>, a zejména na článek 70 tohoto nařízení,</w:t>
      </w:r>
    </w:p>
    <w:p w14:paraId="1CF2230C"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66"/>
      </w:r>
      <w:r w:rsidRPr="00E51DFE">
        <w:t>, a zejména na článek 70 tohoto nařízení,</w:t>
      </w:r>
    </w:p>
    <w:p w14:paraId="10373B42" w14:textId="77777777" w:rsidR="00872DB8" w:rsidRPr="00E51DFE" w:rsidRDefault="00872DB8" w:rsidP="00872DB8">
      <w:pPr>
        <w:spacing w:after="240"/>
        <w:ind w:left="567" w:hanging="567"/>
      </w:pPr>
      <w:r w:rsidRPr="00E51DFE">
        <w:t>–</w:t>
      </w:r>
      <w:r w:rsidRPr="00E51DFE">
        <w:tab/>
        <w:t>s ohledem na nařízení Evropského parlamentu a Rady (EU) 2021/696 ze dne 28. dubna 2021, kterým se zavádí Kosmický program Unie a zřizuje Agentura Evropské unie pro Kosmický program a zrušují nařízení (EU) č. 912/2010, (EU) č. 1285/2013 a (EU) č. 377/2014 a rozhodnutí č. 541/2014/EU</w:t>
      </w:r>
      <w:r w:rsidRPr="00E51DFE">
        <w:rPr>
          <w:vertAlign w:val="superscript"/>
        </w:rPr>
        <w:footnoteReference w:id="367"/>
      </w:r>
      <w:r w:rsidRPr="00E51DFE">
        <w:t>, a zejména na články 85 a 86 tohoto nařízení,</w:t>
      </w:r>
    </w:p>
    <w:p w14:paraId="31E919C9"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68"/>
      </w:r>
      <w:r w:rsidRPr="00E51DFE">
        <w:t>, a zejména na článek 105 tohoto nařízení,</w:t>
      </w:r>
    </w:p>
    <w:p w14:paraId="568F0072" w14:textId="77777777" w:rsidR="00872DB8" w:rsidRPr="00E51DFE" w:rsidRDefault="00872DB8" w:rsidP="00872DB8">
      <w:pPr>
        <w:spacing w:after="240"/>
        <w:ind w:left="567" w:hanging="567"/>
      </w:pPr>
      <w:r w:rsidRPr="00E51DFE">
        <w:t>–</w:t>
      </w:r>
      <w:r w:rsidRPr="00E51DFE">
        <w:tab/>
        <w:t>s ohledem na článek 102 a přílohu V jednacího řádu,</w:t>
      </w:r>
    </w:p>
    <w:p w14:paraId="4710F9BE"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149D02D"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7C44C9A" w14:textId="77777777" w:rsidR="00872DB8" w:rsidRPr="00E51DFE" w:rsidRDefault="00872DB8" w:rsidP="00872DB8">
      <w:pPr>
        <w:spacing w:after="240"/>
        <w:ind w:left="567" w:hanging="567"/>
      </w:pPr>
      <w:r w:rsidRPr="00E51DFE">
        <w:t>1.</w:t>
      </w:r>
      <w:r w:rsidRPr="00E51DFE">
        <w:tab/>
        <w:t>uděluje absolutorium výkonnému řediteli Agentury Evropské unie pro kosmický program za plnění rozpočtu agentury na rozpočtový rok 2023;</w:t>
      </w:r>
    </w:p>
    <w:p w14:paraId="00BB8C56" w14:textId="77777777" w:rsidR="00872DB8" w:rsidRPr="00E51DFE" w:rsidRDefault="00872DB8" w:rsidP="00872DB8">
      <w:pPr>
        <w:spacing w:after="240"/>
        <w:ind w:left="567" w:hanging="567"/>
      </w:pPr>
      <w:r w:rsidRPr="00E51DFE">
        <w:t>2.</w:t>
      </w:r>
      <w:r w:rsidRPr="00E51DFE">
        <w:tab/>
        <w:t>předkládá své připomínky v níže uvedeném usnesení;</w:t>
      </w:r>
    </w:p>
    <w:p w14:paraId="3603714C"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Agentury Evropské unie pro kosmický program, Radě, Komisi a Účetnímu dvoru a aby zajistila jejich zveřejnění v </w:t>
      </w:r>
      <w:r w:rsidRPr="00E51DFE">
        <w:rPr>
          <w:i/>
        </w:rPr>
        <w:t>Úředním věstníku Evropské unie</w:t>
      </w:r>
      <w:r w:rsidRPr="00E51DFE">
        <w:t xml:space="preserve"> (řada L).</w:t>
      </w:r>
    </w:p>
    <w:p w14:paraId="3D1E30F9"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4A49A6E2" w14:textId="19E4CB19" w:rsidR="00872DB8" w:rsidRPr="00E51DFE" w:rsidRDefault="00872DB8" w:rsidP="00771E45">
      <w:pPr>
        <w:pStyle w:val="ATHeading3"/>
      </w:pPr>
      <w:r w:rsidRPr="00E51DFE">
        <w:t>62. Rozhodnutí Evropského parlamentu ze dne 7. května 2025 o uzavření účtů Agentury Evropské unie pro kosmický program za rozpočtový rok 2023 (2024/2030(DEC))</w:t>
      </w:r>
    </w:p>
    <w:p w14:paraId="0694118F" w14:textId="77777777" w:rsidR="00872DB8" w:rsidRPr="00E51DFE" w:rsidRDefault="00872DB8" w:rsidP="00872DB8">
      <w:pPr>
        <w:spacing w:before="480" w:after="240"/>
      </w:pPr>
      <w:r w:rsidRPr="00E51DFE">
        <w:rPr>
          <w:i/>
        </w:rPr>
        <w:t>Evropský parlament</w:t>
      </w:r>
      <w:r w:rsidRPr="00E51DFE">
        <w:t>,</w:t>
      </w:r>
    </w:p>
    <w:p w14:paraId="79724C2D" w14:textId="77777777" w:rsidR="00872DB8" w:rsidRPr="00E51DFE" w:rsidRDefault="00872DB8" w:rsidP="00872DB8">
      <w:pPr>
        <w:spacing w:after="240"/>
        <w:ind w:left="567" w:hanging="567"/>
      </w:pPr>
      <w:r w:rsidRPr="00E51DFE">
        <w:t>–</w:t>
      </w:r>
      <w:r w:rsidRPr="00E51DFE">
        <w:tab/>
        <w:t>s ohledem na konečnou roční účetní závěrku Agentury Evropské unie pro kosmický program za rozpočtový rok 2023,</w:t>
      </w:r>
    </w:p>
    <w:p w14:paraId="30E14127"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69"/>
      </w:r>
      <w:r w:rsidRPr="00E51DFE">
        <w:t>,</w:t>
      </w:r>
    </w:p>
    <w:p w14:paraId="4C8D30B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70"/>
      </w:r>
      <w:r w:rsidRPr="00E51DFE">
        <w:t xml:space="preserve"> účetnictví a o legalitě a správnosti uskutečněných operací, které předložil Účetní dvůr za rozpočtový rok 2023 podle článku 287 Smlouvy o fungování Evropské unie,</w:t>
      </w:r>
    </w:p>
    <w:p w14:paraId="5F9385A5"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397AF39E"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3CE0C4B9"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71"/>
      </w:r>
      <w:r w:rsidRPr="00E51DFE">
        <w:t>, a zejména na článek 70 tohoto nařízení,</w:t>
      </w:r>
    </w:p>
    <w:p w14:paraId="15E7BC42"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72"/>
      </w:r>
      <w:r w:rsidRPr="00E51DFE">
        <w:t>, a zejména na článek 70 tohoto nařízení,</w:t>
      </w:r>
    </w:p>
    <w:p w14:paraId="762DFBA7" w14:textId="77777777" w:rsidR="00872DB8" w:rsidRPr="00E51DFE" w:rsidRDefault="00872DB8" w:rsidP="00872DB8">
      <w:pPr>
        <w:spacing w:after="240"/>
        <w:ind w:left="567" w:hanging="567"/>
      </w:pPr>
      <w:r w:rsidRPr="00E51DFE">
        <w:t>–</w:t>
      </w:r>
      <w:r w:rsidRPr="00E51DFE">
        <w:tab/>
        <w:t>s ohledem na nařízení Evropského parlamentu a Rady (EU) 2021/696 ze dne 28. dubna 2021, kterým se zavádí Kosmický program Unie a zřizuje Agentura Evropské unie pro Kosmický program a zrušují nařízení (EU) č. 912/2010, (EU) č. 1285/2013 a (EU) č. 377/2014 a rozhodnutí č. 541/2014/EU</w:t>
      </w:r>
      <w:r w:rsidRPr="00E51DFE">
        <w:rPr>
          <w:vertAlign w:val="superscript"/>
        </w:rPr>
        <w:footnoteReference w:id="373"/>
      </w:r>
      <w:r w:rsidRPr="00E51DFE">
        <w:t>, a zejména na články 85 a 86 tohoto nařízení,</w:t>
      </w:r>
    </w:p>
    <w:p w14:paraId="5D1C210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74"/>
      </w:r>
      <w:r w:rsidRPr="00E51DFE">
        <w:t>, a zejména na článek 105 tohoto nařízení,</w:t>
      </w:r>
    </w:p>
    <w:p w14:paraId="1B2C61B7" w14:textId="77777777" w:rsidR="00872DB8" w:rsidRPr="00E51DFE" w:rsidRDefault="00872DB8" w:rsidP="00872DB8">
      <w:pPr>
        <w:spacing w:after="240"/>
        <w:ind w:left="567" w:hanging="567"/>
      </w:pPr>
      <w:r w:rsidRPr="00E51DFE">
        <w:t>–</w:t>
      </w:r>
      <w:r w:rsidRPr="00E51DFE">
        <w:tab/>
        <w:t>s ohledem na článek 102 a přílohu V jednacího řádu,</w:t>
      </w:r>
    </w:p>
    <w:p w14:paraId="10AD5E3C"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6604D27A"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620B7260" w14:textId="77777777" w:rsidR="00872DB8" w:rsidRPr="00E51DFE" w:rsidRDefault="00872DB8" w:rsidP="00872DB8">
      <w:pPr>
        <w:spacing w:after="240"/>
        <w:ind w:left="567" w:hanging="567"/>
      </w:pPr>
      <w:r w:rsidRPr="00E51DFE">
        <w:t>1.</w:t>
      </w:r>
      <w:r w:rsidRPr="00E51DFE">
        <w:tab/>
        <w:t>schvaluje uzavření účtů Agentury Evropské unie pro kosmický program za rozpočtový rok 2023;</w:t>
      </w:r>
    </w:p>
    <w:p w14:paraId="6C2FC7D4"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Agentury Evropské unie pro kosmický program, Radě, Komisi a Účetnímu dvoru a aby zajistila jeho zveřejnění v </w:t>
      </w:r>
      <w:r w:rsidRPr="00E51DFE">
        <w:rPr>
          <w:i/>
        </w:rPr>
        <w:t>Úředním věstníku Evropské unie</w:t>
      </w:r>
      <w:r w:rsidRPr="00E51DFE">
        <w:t xml:space="preserve"> (řada L).</w:t>
      </w:r>
    </w:p>
    <w:p w14:paraId="001212FF"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06F613B" w14:textId="77777777" w:rsidR="00872DB8" w:rsidRPr="00E51DFE" w:rsidRDefault="00872DB8" w:rsidP="00771E45">
      <w:pPr>
        <w:pStyle w:val="ATHeading3"/>
      </w:pPr>
      <w:r w:rsidRPr="00E51DFE">
        <w:t>63. Rozhodnutí Evropského parlamentu ze dne 7. května 2025 o udělení absolutoria za plnění rozpočtu Agentury Evropské unie pro základní práva na rozpočtový rok 2023 (2024/2030(DEC))</w:t>
      </w:r>
    </w:p>
    <w:p w14:paraId="5BF1EECC" w14:textId="77777777" w:rsidR="00872DB8" w:rsidRPr="00E51DFE" w:rsidRDefault="00872DB8" w:rsidP="00872DB8">
      <w:pPr>
        <w:spacing w:before="480" w:after="240"/>
      </w:pPr>
      <w:r w:rsidRPr="00E51DFE">
        <w:rPr>
          <w:i/>
        </w:rPr>
        <w:t>Evropský parlament</w:t>
      </w:r>
      <w:r w:rsidRPr="00E51DFE">
        <w:t>,</w:t>
      </w:r>
    </w:p>
    <w:p w14:paraId="6B62F1D5" w14:textId="61E23143" w:rsidR="00872DB8" w:rsidRPr="00E51DFE" w:rsidRDefault="00771E45" w:rsidP="00872DB8">
      <w:pPr>
        <w:spacing w:after="240"/>
        <w:ind w:left="567" w:hanging="567"/>
      </w:pPr>
      <w:r w:rsidRPr="00E51DFE">
        <w:t>–</w:t>
      </w:r>
      <w:r w:rsidR="00872DB8" w:rsidRPr="00E51DFE">
        <w:tab/>
        <w:t>s ohledem na konečnou roční účetní závěrku Agentury Evropské unie pro základní práva za rozpočtový rok 2023,</w:t>
      </w:r>
    </w:p>
    <w:p w14:paraId="4DE45D88" w14:textId="44BF0CCF" w:rsidR="00872DB8" w:rsidRPr="00E51DFE" w:rsidRDefault="00771E45" w:rsidP="00872DB8">
      <w:pPr>
        <w:spacing w:after="240"/>
        <w:ind w:left="567" w:hanging="567"/>
      </w:pPr>
      <w:r w:rsidRPr="00E51DFE">
        <w:t>–</w:t>
      </w:r>
      <w:r w:rsidR="00872DB8" w:rsidRPr="00E51DFE">
        <w:tab/>
        <w:t>s ohledem na výroční zprávu Účetního dvora o agenturách EU za rozpočtový rok 2023 spolu s odpověďmi agentur</w:t>
      </w:r>
      <w:r w:rsidR="00872DB8" w:rsidRPr="00E51DFE">
        <w:rPr>
          <w:vertAlign w:val="superscript"/>
        </w:rPr>
        <w:footnoteReference w:id="375"/>
      </w:r>
      <w:r w:rsidR="00872DB8" w:rsidRPr="00E51DFE">
        <w:t>,</w:t>
      </w:r>
    </w:p>
    <w:p w14:paraId="4CE50CA3" w14:textId="74FAD710" w:rsidR="00872DB8" w:rsidRPr="00E51DFE" w:rsidRDefault="00771E45" w:rsidP="00872DB8">
      <w:pPr>
        <w:spacing w:after="240"/>
        <w:ind w:left="567" w:hanging="567"/>
      </w:pPr>
      <w:r w:rsidRPr="00E51DFE">
        <w:t>–</w:t>
      </w:r>
      <w:r w:rsidR="00872DB8" w:rsidRPr="00E51DFE">
        <w:tab/>
        <w:t>s ohledem na prohlášení o věrohodnosti</w:t>
      </w:r>
      <w:r w:rsidR="00872DB8" w:rsidRPr="00E51DFE">
        <w:rPr>
          <w:vertAlign w:val="superscript"/>
        </w:rPr>
        <w:footnoteReference w:id="376"/>
      </w:r>
      <w:r w:rsidR="00872DB8" w:rsidRPr="00E51DFE">
        <w:t xml:space="preserve"> účetnictví a o legalitě a správnosti uskutečněných operací, které předložil Účetní dvůr za rozpočtový rok 2023 podle článku 287 Smlouvy o fungování Evropské unie,</w:t>
      </w:r>
    </w:p>
    <w:p w14:paraId="0A22A814" w14:textId="3A8A0007" w:rsidR="00872DB8" w:rsidRPr="00E51DFE" w:rsidRDefault="00771E45" w:rsidP="00872DB8">
      <w:pPr>
        <w:spacing w:after="240"/>
        <w:ind w:left="567" w:hanging="567"/>
      </w:pPr>
      <w:r w:rsidRPr="00E51DFE">
        <w:t>–</w:t>
      </w:r>
      <w:r w:rsidR="00872DB8" w:rsidRPr="00E51DFE">
        <w:tab/>
        <w:t>s ohledem na doporučení Rady ze dne 17. února 2025 o udělení absolutoria agentuře za plnění rozpočtu na rozpočtový rok 2023 (05755/2025 – C10</w:t>
      </w:r>
      <w:r w:rsidR="00872DB8" w:rsidRPr="00E51DFE">
        <w:noBreakHyphen/>
        <w:t>0024/2025),</w:t>
      </w:r>
    </w:p>
    <w:p w14:paraId="6E96B917" w14:textId="544A95F1" w:rsidR="00872DB8" w:rsidRPr="00E51DFE" w:rsidRDefault="00771E45" w:rsidP="00872DB8">
      <w:pPr>
        <w:spacing w:after="240"/>
        <w:ind w:left="567" w:hanging="567"/>
      </w:pPr>
      <w:r w:rsidRPr="00E51DFE">
        <w:t>–</w:t>
      </w:r>
      <w:r w:rsidR="00872DB8" w:rsidRPr="00E51DFE">
        <w:tab/>
        <w:t>s ohledem na článek 319 Smlouvy o fungování Evropské unie,</w:t>
      </w:r>
    </w:p>
    <w:p w14:paraId="27479F8B" w14:textId="2ABD9EE3" w:rsidR="00872DB8" w:rsidRPr="00E51DFE" w:rsidRDefault="00771E45" w:rsidP="00872DB8">
      <w:pPr>
        <w:spacing w:after="240"/>
        <w:ind w:left="567" w:hanging="567"/>
      </w:pPr>
      <w:r w:rsidRPr="00E51DFE">
        <w:t>–</w:t>
      </w:r>
      <w:r w:rsidR="00872DB8"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00872DB8" w:rsidRPr="00E51DFE">
        <w:rPr>
          <w:vertAlign w:val="superscript"/>
        </w:rPr>
        <w:footnoteReference w:id="377"/>
      </w:r>
      <w:r w:rsidR="00872DB8" w:rsidRPr="00E51DFE">
        <w:t>, a zejména na článek 70 tohoto nařízení,</w:t>
      </w:r>
    </w:p>
    <w:p w14:paraId="01C05877" w14:textId="5F1010B4" w:rsidR="00872DB8" w:rsidRPr="00E51DFE" w:rsidRDefault="00771E45" w:rsidP="00872DB8">
      <w:pPr>
        <w:spacing w:after="240"/>
        <w:ind w:left="567" w:hanging="567"/>
      </w:pPr>
      <w:r w:rsidRPr="00E51DFE">
        <w:t>–</w:t>
      </w:r>
      <w:r w:rsidR="00872DB8" w:rsidRPr="00E51DFE">
        <w:tab/>
        <w:t>s ohledem na nařízení Evropského parlamentu a Rady (EU, Euratom) 2024/2509 ze dne 23. září 2024, kterým se stanoví finanční pravidla pro souhrnný rozpočet Unie</w:t>
      </w:r>
      <w:r w:rsidR="00872DB8" w:rsidRPr="00E51DFE">
        <w:rPr>
          <w:vertAlign w:val="superscript"/>
        </w:rPr>
        <w:footnoteReference w:id="378"/>
      </w:r>
      <w:r w:rsidR="00872DB8" w:rsidRPr="00E51DFE">
        <w:t>, a zejména na článek 70 tohoto nařízení,</w:t>
      </w:r>
    </w:p>
    <w:p w14:paraId="4B0E6CDA" w14:textId="54A75970" w:rsidR="00872DB8" w:rsidRPr="00E51DFE" w:rsidRDefault="00771E45" w:rsidP="00872DB8">
      <w:pPr>
        <w:spacing w:after="240"/>
        <w:ind w:left="567" w:hanging="567"/>
      </w:pPr>
      <w:r w:rsidRPr="00E51DFE">
        <w:t>–</w:t>
      </w:r>
      <w:r w:rsidR="00872DB8" w:rsidRPr="00E51DFE">
        <w:tab/>
        <w:t>s ohledem na nařízení Rady (ES) č. 168/2007, ze dne 15. února 2007 o zřízení Agentury Evropské unie pro základní práva</w:t>
      </w:r>
      <w:r w:rsidR="00872DB8" w:rsidRPr="00E51DFE">
        <w:rPr>
          <w:vertAlign w:val="superscript"/>
        </w:rPr>
        <w:footnoteReference w:id="379"/>
      </w:r>
      <w:r w:rsidR="00872DB8" w:rsidRPr="00E51DFE">
        <w:t>, a zejména na článek 21 tohoto nařízení,</w:t>
      </w:r>
    </w:p>
    <w:p w14:paraId="0372B3B4" w14:textId="454A3061" w:rsidR="00872DB8" w:rsidRPr="00E51DFE" w:rsidRDefault="00771E45" w:rsidP="00872DB8">
      <w:pPr>
        <w:spacing w:after="240"/>
        <w:ind w:left="567" w:hanging="567"/>
      </w:pPr>
      <w:r w:rsidRPr="00E51DFE">
        <w:t>–</w:t>
      </w:r>
      <w:r w:rsidR="00872DB8"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00872DB8" w:rsidRPr="00E51DFE">
        <w:rPr>
          <w:vertAlign w:val="superscript"/>
        </w:rPr>
        <w:footnoteReference w:id="380"/>
      </w:r>
      <w:r w:rsidR="00872DB8" w:rsidRPr="00E51DFE">
        <w:t>, a zejména na článek 105 tohoto nařízení,</w:t>
      </w:r>
    </w:p>
    <w:p w14:paraId="6264B5F6" w14:textId="02758BA8" w:rsidR="00872DB8" w:rsidRPr="00E51DFE" w:rsidRDefault="00771E45" w:rsidP="00872DB8">
      <w:pPr>
        <w:spacing w:after="240"/>
        <w:ind w:left="567" w:hanging="567"/>
      </w:pPr>
      <w:r w:rsidRPr="00E51DFE">
        <w:t>–</w:t>
      </w:r>
      <w:r w:rsidR="00872DB8" w:rsidRPr="00E51DFE">
        <w:tab/>
        <w:t>s ohledem na článek 102 a přílohu V jednacího řádu,</w:t>
      </w:r>
    </w:p>
    <w:p w14:paraId="4CA599B3" w14:textId="00CCBE43" w:rsidR="00872DB8" w:rsidRPr="00E51DFE" w:rsidRDefault="00771E45" w:rsidP="00872DB8">
      <w:pPr>
        <w:spacing w:after="240"/>
        <w:ind w:left="567" w:hanging="567"/>
      </w:pPr>
      <w:r w:rsidRPr="00E51DFE">
        <w:t>–</w:t>
      </w:r>
      <w:r w:rsidR="00872DB8"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806411F" w14:textId="2AE1CEED" w:rsidR="00872DB8" w:rsidRPr="00E51DFE" w:rsidRDefault="00771E45" w:rsidP="00872DB8">
      <w:pPr>
        <w:spacing w:after="240"/>
        <w:ind w:left="567" w:hanging="567"/>
      </w:pPr>
      <w:r w:rsidRPr="00E51DFE">
        <w:t>–</w:t>
      </w:r>
      <w:r w:rsidR="00872DB8" w:rsidRPr="00E51DFE">
        <w:tab/>
        <w:t>s ohledem na zprávu Výboru pro rozpočtovou kontrolu (A10</w:t>
      </w:r>
      <w:r w:rsidR="00872DB8" w:rsidRPr="00E51DFE">
        <w:noBreakHyphen/>
        <w:t>0065/2025),</w:t>
      </w:r>
    </w:p>
    <w:p w14:paraId="72FCF49C" w14:textId="77777777" w:rsidR="00872DB8" w:rsidRPr="00E51DFE" w:rsidRDefault="00872DB8" w:rsidP="00872DB8">
      <w:pPr>
        <w:spacing w:after="240"/>
        <w:ind w:left="567" w:hanging="567"/>
      </w:pPr>
      <w:r w:rsidRPr="00E51DFE">
        <w:t>1.</w:t>
      </w:r>
      <w:r w:rsidRPr="00E51DFE">
        <w:tab/>
        <w:t>uděluje absolutorium ředitelce Agentury Evropské unie pro základní práva za plnění rozpočtu agentury na rozpočtový rok 2023;</w:t>
      </w:r>
    </w:p>
    <w:p w14:paraId="6D410745" w14:textId="77777777" w:rsidR="00872DB8" w:rsidRPr="00E51DFE" w:rsidRDefault="00872DB8" w:rsidP="00872DB8">
      <w:pPr>
        <w:spacing w:after="240"/>
        <w:ind w:left="567" w:hanging="567"/>
      </w:pPr>
      <w:r w:rsidRPr="00E51DFE">
        <w:t>2.</w:t>
      </w:r>
      <w:r w:rsidRPr="00E51DFE">
        <w:tab/>
        <w:t>předkládá své připomínky v níže uvedeném usnesení;</w:t>
      </w:r>
    </w:p>
    <w:p w14:paraId="72C0D2FB"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ředitelce Agentury Evropské unie pro základní práva, Radě, Komisi a Účetnímu dvoru a aby zajistila jejich zveřejnění v </w:t>
      </w:r>
      <w:r w:rsidRPr="00E51DFE">
        <w:rPr>
          <w:i/>
        </w:rPr>
        <w:t>Úředním věstníku Evropské unie</w:t>
      </w:r>
      <w:r w:rsidRPr="00E51DFE">
        <w:t xml:space="preserve"> (řada L).</w:t>
      </w:r>
    </w:p>
    <w:p w14:paraId="6A6ADD32"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20B4A44D" w14:textId="77777777" w:rsidR="00872DB8" w:rsidRPr="00E51DFE" w:rsidRDefault="00872DB8" w:rsidP="00F64AFA">
      <w:pPr>
        <w:pStyle w:val="ATHeading3"/>
      </w:pPr>
      <w:r w:rsidRPr="00E51DFE">
        <w:t>64. Rozhodnutí Evropského parlamentu ze dne 7. května 2025 o uzavření účtů Agentury Evropské unie pro základní práva za rozpočtový rok 2023 (2024/2030(DEC))</w:t>
      </w:r>
    </w:p>
    <w:p w14:paraId="4D0FEF58" w14:textId="77777777" w:rsidR="00872DB8" w:rsidRPr="00E51DFE" w:rsidRDefault="00872DB8" w:rsidP="00872DB8">
      <w:pPr>
        <w:spacing w:before="480" w:after="240"/>
      </w:pPr>
      <w:r w:rsidRPr="00E51DFE">
        <w:rPr>
          <w:i/>
        </w:rPr>
        <w:t>Evropský parlament</w:t>
      </w:r>
      <w:r w:rsidRPr="00E51DFE">
        <w:t>,</w:t>
      </w:r>
    </w:p>
    <w:p w14:paraId="775DE6D8" w14:textId="2BF504D4" w:rsidR="00872DB8" w:rsidRPr="00E51DFE" w:rsidRDefault="00F64AFA" w:rsidP="00872DB8">
      <w:pPr>
        <w:spacing w:after="240"/>
        <w:ind w:left="567" w:hanging="567"/>
      </w:pPr>
      <w:r w:rsidRPr="00E51DFE">
        <w:t>–</w:t>
      </w:r>
      <w:r w:rsidR="00872DB8" w:rsidRPr="00E51DFE">
        <w:tab/>
        <w:t>s ohledem na konečnou roční účetní závěrku Agentury Evropské unie pro základní práva za rozpočtový rok 2023,</w:t>
      </w:r>
    </w:p>
    <w:p w14:paraId="686DF18A" w14:textId="79C9F428" w:rsidR="00872DB8" w:rsidRPr="00E51DFE" w:rsidRDefault="00F64AFA" w:rsidP="00872DB8">
      <w:pPr>
        <w:spacing w:after="240"/>
        <w:ind w:left="567" w:hanging="567"/>
      </w:pPr>
      <w:r w:rsidRPr="00E51DFE">
        <w:t>–</w:t>
      </w:r>
      <w:r w:rsidR="00872DB8" w:rsidRPr="00E51DFE">
        <w:tab/>
        <w:t>s ohledem na výroční zprávu Účetního dvora o agenturách EU za rozpočtový rok 2023 spolu s odpověďmi agentur</w:t>
      </w:r>
      <w:r w:rsidR="00872DB8" w:rsidRPr="00E51DFE">
        <w:rPr>
          <w:vertAlign w:val="superscript"/>
        </w:rPr>
        <w:footnoteReference w:id="381"/>
      </w:r>
      <w:r w:rsidR="00872DB8" w:rsidRPr="00E51DFE">
        <w:t>,</w:t>
      </w:r>
    </w:p>
    <w:p w14:paraId="5CD82BC0" w14:textId="039544CB" w:rsidR="00872DB8" w:rsidRPr="00E51DFE" w:rsidRDefault="00F64AFA" w:rsidP="00872DB8">
      <w:pPr>
        <w:spacing w:after="240"/>
        <w:ind w:left="567" w:hanging="567"/>
      </w:pPr>
      <w:r w:rsidRPr="00E51DFE">
        <w:t>–</w:t>
      </w:r>
      <w:r w:rsidR="00872DB8" w:rsidRPr="00E51DFE">
        <w:tab/>
        <w:t>s ohledem na prohlášení o věrohodnosti</w:t>
      </w:r>
      <w:r w:rsidR="00872DB8" w:rsidRPr="00E51DFE">
        <w:rPr>
          <w:vertAlign w:val="superscript"/>
        </w:rPr>
        <w:footnoteReference w:id="382"/>
      </w:r>
      <w:r w:rsidR="00872DB8" w:rsidRPr="00E51DFE">
        <w:t xml:space="preserve"> účetnictví a o legalitě a správnosti uskutečněných operací, které předložil Účetní dvůr za rozpočtový rok 2023 podle článku 287 Smlouvy o fungování Evropské unie,</w:t>
      </w:r>
    </w:p>
    <w:p w14:paraId="6C133ED0" w14:textId="21B14D02" w:rsidR="00872DB8" w:rsidRPr="00E51DFE" w:rsidRDefault="00F64AFA" w:rsidP="00872DB8">
      <w:pPr>
        <w:spacing w:after="240"/>
        <w:ind w:left="567" w:hanging="567"/>
      </w:pPr>
      <w:r w:rsidRPr="00E51DFE">
        <w:t>–</w:t>
      </w:r>
      <w:r w:rsidR="00872DB8" w:rsidRPr="00E51DFE">
        <w:tab/>
        <w:t>s ohledem na doporučení Rady ze dne 17. února 2025 o udělení absolutoria agentuře za plnění rozpočtu na rozpočtový rok 2023 (05755/2025 – C10</w:t>
      </w:r>
      <w:r w:rsidR="00872DB8" w:rsidRPr="00E51DFE">
        <w:noBreakHyphen/>
        <w:t>0024/2025),</w:t>
      </w:r>
    </w:p>
    <w:p w14:paraId="395D9824" w14:textId="2C2F16CB" w:rsidR="00872DB8" w:rsidRPr="00E51DFE" w:rsidRDefault="00F64AFA" w:rsidP="00872DB8">
      <w:pPr>
        <w:spacing w:after="240"/>
        <w:ind w:left="567" w:hanging="567"/>
      </w:pPr>
      <w:r w:rsidRPr="00E51DFE">
        <w:t>–</w:t>
      </w:r>
      <w:r w:rsidR="00872DB8" w:rsidRPr="00E51DFE">
        <w:tab/>
        <w:t>s ohledem na článek 319 Smlouvy o fungování Evropské unie,</w:t>
      </w:r>
    </w:p>
    <w:p w14:paraId="56A26A2E" w14:textId="42E29397" w:rsidR="00872DB8" w:rsidRPr="00E51DFE" w:rsidRDefault="00F64AFA" w:rsidP="00872DB8">
      <w:pPr>
        <w:spacing w:after="240"/>
        <w:ind w:left="567" w:hanging="567"/>
      </w:pPr>
      <w:r w:rsidRPr="00E51DFE">
        <w:t>–</w:t>
      </w:r>
      <w:r w:rsidR="00872DB8"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00872DB8" w:rsidRPr="00E51DFE">
        <w:rPr>
          <w:vertAlign w:val="superscript"/>
        </w:rPr>
        <w:footnoteReference w:id="383"/>
      </w:r>
      <w:r w:rsidR="00872DB8" w:rsidRPr="00E51DFE">
        <w:t>, a zejména na článek 70 tohoto nařízení,</w:t>
      </w:r>
    </w:p>
    <w:p w14:paraId="2FD03D08" w14:textId="3073F3C8" w:rsidR="00872DB8" w:rsidRPr="00E51DFE" w:rsidRDefault="00F64AFA" w:rsidP="00872DB8">
      <w:pPr>
        <w:spacing w:after="240"/>
        <w:ind w:left="567" w:hanging="567"/>
      </w:pPr>
      <w:r w:rsidRPr="00E51DFE">
        <w:t>–</w:t>
      </w:r>
      <w:r w:rsidR="00872DB8" w:rsidRPr="00E51DFE">
        <w:tab/>
        <w:t>s ohledem na nařízení Evropského parlamentu a Rady (EU, Euratom) 2024/2509 ze dne 23. září 2024, kterým se stanoví finanční pravidla pro souhrnný rozpočet Unie</w:t>
      </w:r>
      <w:r w:rsidR="00872DB8" w:rsidRPr="00E51DFE">
        <w:rPr>
          <w:vertAlign w:val="superscript"/>
        </w:rPr>
        <w:footnoteReference w:id="384"/>
      </w:r>
      <w:r w:rsidR="00872DB8" w:rsidRPr="00E51DFE">
        <w:t>, a zejména na článek 70 tohoto nařízení,</w:t>
      </w:r>
    </w:p>
    <w:p w14:paraId="62C218F9" w14:textId="43377DC1" w:rsidR="00872DB8" w:rsidRPr="00E51DFE" w:rsidRDefault="00F64AFA" w:rsidP="00872DB8">
      <w:pPr>
        <w:spacing w:after="240"/>
        <w:ind w:left="567" w:hanging="567"/>
      </w:pPr>
      <w:r w:rsidRPr="00E51DFE">
        <w:t>–</w:t>
      </w:r>
      <w:r w:rsidR="00872DB8" w:rsidRPr="00E51DFE">
        <w:tab/>
        <w:t>s ohledem na nařízení Rady (ES) č. 168/2007, ze dne 15. února 2007 o zřízení Agentury Evropské unie pro základní práva</w:t>
      </w:r>
      <w:r w:rsidR="00872DB8" w:rsidRPr="00E51DFE">
        <w:rPr>
          <w:vertAlign w:val="superscript"/>
        </w:rPr>
        <w:footnoteReference w:id="385"/>
      </w:r>
      <w:r w:rsidR="00872DB8" w:rsidRPr="00E51DFE">
        <w:t>, a zejména na článek 21 tohoto nařízení,</w:t>
      </w:r>
    </w:p>
    <w:p w14:paraId="4B44E3B8" w14:textId="2D5F1959" w:rsidR="00872DB8" w:rsidRPr="00E51DFE" w:rsidRDefault="00F64AFA" w:rsidP="00872DB8">
      <w:pPr>
        <w:spacing w:after="240"/>
        <w:ind w:left="567" w:hanging="567"/>
      </w:pPr>
      <w:r w:rsidRPr="00E51DFE">
        <w:t>–</w:t>
      </w:r>
      <w:r w:rsidR="00872DB8"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00872DB8" w:rsidRPr="00E51DFE">
        <w:rPr>
          <w:vertAlign w:val="superscript"/>
        </w:rPr>
        <w:footnoteReference w:id="386"/>
      </w:r>
      <w:r w:rsidR="00872DB8" w:rsidRPr="00E51DFE">
        <w:t>, a zejména na článek 105 tohoto nařízení,</w:t>
      </w:r>
    </w:p>
    <w:p w14:paraId="2CE0ECD3" w14:textId="51F644BE" w:rsidR="00872DB8" w:rsidRPr="00E51DFE" w:rsidRDefault="00F64AFA" w:rsidP="00872DB8">
      <w:pPr>
        <w:spacing w:after="240"/>
        <w:ind w:left="567" w:hanging="567"/>
      </w:pPr>
      <w:r w:rsidRPr="00E51DFE">
        <w:t>–</w:t>
      </w:r>
      <w:r w:rsidR="00872DB8" w:rsidRPr="00E51DFE">
        <w:tab/>
        <w:t>s ohledem na článek 102 a přílohu V jednacího řádu,</w:t>
      </w:r>
    </w:p>
    <w:p w14:paraId="4BEA3278" w14:textId="040885A6" w:rsidR="00872DB8" w:rsidRPr="00E51DFE" w:rsidRDefault="00F64AFA" w:rsidP="00872DB8">
      <w:pPr>
        <w:spacing w:after="240"/>
        <w:ind w:left="567" w:hanging="567"/>
      </w:pPr>
      <w:r w:rsidRPr="00E51DFE">
        <w:t>–</w:t>
      </w:r>
      <w:r w:rsidR="00872DB8"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729EFAEF" w14:textId="3A59ABC7" w:rsidR="00872DB8" w:rsidRPr="00E51DFE" w:rsidRDefault="00F64AFA" w:rsidP="00872DB8">
      <w:pPr>
        <w:spacing w:after="240"/>
        <w:ind w:left="567" w:hanging="567"/>
      </w:pPr>
      <w:r w:rsidRPr="00E51DFE">
        <w:t>–</w:t>
      </w:r>
      <w:r w:rsidR="00872DB8" w:rsidRPr="00E51DFE">
        <w:tab/>
        <w:t>s ohledem na zprávu Výboru pro rozpočtovou kontrolu (A10</w:t>
      </w:r>
      <w:r w:rsidR="00872DB8" w:rsidRPr="00E51DFE">
        <w:noBreakHyphen/>
        <w:t>0065/2025),</w:t>
      </w:r>
    </w:p>
    <w:p w14:paraId="580D9EC1" w14:textId="77777777" w:rsidR="00872DB8" w:rsidRPr="00E51DFE" w:rsidRDefault="00872DB8" w:rsidP="00872DB8">
      <w:pPr>
        <w:spacing w:after="240"/>
        <w:ind w:left="567" w:hanging="567"/>
      </w:pPr>
      <w:r w:rsidRPr="00E51DFE">
        <w:t>1.</w:t>
      </w:r>
      <w:r w:rsidRPr="00E51DFE">
        <w:tab/>
        <w:t>schvaluje uzavření účtů Agentury Evropské unie pro základní práva za rozpočtový rok 2023;</w:t>
      </w:r>
    </w:p>
    <w:p w14:paraId="1D903CBD" w14:textId="77777777" w:rsidR="00872DB8" w:rsidRPr="00E51DFE" w:rsidRDefault="00872DB8" w:rsidP="00872DB8">
      <w:pPr>
        <w:spacing w:after="240"/>
        <w:ind w:left="567" w:hanging="567"/>
      </w:pPr>
      <w:r w:rsidRPr="00E51DFE">
        <w:t>2.</w:t>
      </w:r>
      <w:r w:rsidRPr="00E51DFE">
        <w:tab/>
        <w:t>pověřuje svou předsedkyni, aby předala toto rozhodnutí ředitelce Agentury Evropské unie pro základní práva, Radě, Komisi a Účetnímu dvoru a aby zajistila jeho zveřejnění v </w:t>
      </w:r>
      <w:r w:rsidRPr="00E51DFE">
        <w:rPr>
          <w:i/>
        </w:rPr>
        <w:t>Úředním věstníku Evropské unie</w:t>
      </w:r>
      <w:r w:rsidRPr="00E51DFE">
        <w:t xml:space="preserve"> (řada L).</w:t>
      </w:r>
    </w:p>
    <w:p w14:paraId="4176E458"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0922DAF7" w14:textId="2165F612" w:rsidR="00872DB8" w:rsidRPr="00E51DFE" w:rsidRDefault="00872DB8" w:rsidP="00F64AFA">
      <w:pPr>
        <w:pStyle w:val="ATHeading3"/>
      </w:pPr>
      <w:r w:rsidRPr="00E51DFE">
        <w:t>65. Rozhodnutí Evropského parlamentu ze dne 7. května 2025 o udělení absolutoria za plnění rozpočtu Evropské agentury pro pohraniční a pobřežní stráž na rozpočtový rok 2023 (2024/2030(DEC))</w:t>
      </w:r>
    </w:p>
    <w:p w14:paraId="1936E4CA" w14:textId="77777777" w:rsidR="00872DB8" w:rsidRPr="00E51DFE" w:rsidRDefault="00872DB8" w:rsidP="00872DB8">
      <w:pPr>
        <w:spacing w:before="480" w:after="240"/>
      </w:pPr>
      <w:r w:rsidRPr="00E51DFE">
        <w:rPr>
          <w:i/>
        </w:rPr>
        <w:t>Evropský parlament</w:t>
      </w:r>
      <w:r w:rsidRPr="00E51DFE">
        <w:t>,</w:t>
      </w:r>
    </w:p>
    <w:p w14:paraId="69F3CF8E" w14:textId="77777777" w:rsidR="00872DB8" w:rsidRPr="00E51DFE" w:rsidRDefault="00872DB8" w:rsidP="00872DB8">
      <w:pPr>
        <w:spacing w:after="240"/>
        <w:ind w:left="567" w:hanging="567"/>
      </w:pPr>
      <w:r w:rsidRPr="00E51DFE">
        <w:t>–</w:t>
      </w:r>
      <w:r w:rsidRPr="00E51DFE">
        <w:tab/>
        <w:t>s ohledem na konečnou roční účetní závěrku Evropské agentury pro pohraniční a pobřežní stráž za rozpočtový rok 2023,</w:t>
      </w:r>
    </w:p>
    <w:p w14:paraId="496E60F0"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87"/>
      </w:r>
      <w:r w:rsidRPr="00E51DFE">
        <w:t>,</w:t>
      </w:r>
    </w:p>
    <w:p w14:paraId="2A89B5AC"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88"/>
      </w:r>
      <w:r w:rsidRPr="00E51DFE">
        <w:t xml:space="preserve"> účetnictví a o legalitě a správnosti uskutečněných operací, které předložil Účetní dvůr za rozpočtový rok 2023 podle článku 287 Smlouvy o fungování Evropské unie,</w:t>
      </w:r>
    </w:p>
    <w:p w14:paraId="000B6333"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4FE95B97"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466B954F"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89"/>
      </w:r>
      <w:r w:rsidRPr="00E51DFE">
        <w:t>, a zejména na článek 70 tohoto nařízení,</w:t>
      </w:r>
    </w:p>
    <w:p w14:paraId="284BDCEE"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90"/>
      </w:r>
      <w:r w:rsidRPr="00E51DFE">
        <w:t>, a zejména na článek 70 tohoto nařízení,</w:t>
      </w:r>
    </w:p>
    <w:p w14:paraId="01675927" w14:textId="77777777" w:rsidR="00872DB8" w:rsidRPr="00E51DFE" w:rsidRDefault="00872DB8" w:rsidP="00872DB8">
      <w:pPr>
        <w:spacing w:after="240"/>
        <w:ind w:left="567" w:hanging="567"/>
      </w:pPr>
      <w:r w:rsidRPr="00E51DFE">
        <w:t>–</w:t>
      </w:r>
      <w:r w:rsidRPr="00E51DFE">
        <w:tab/>
        <w:t>s ohledem na nařízení Evropského parlamentu a Rady (EU) 2019/1896 ze dne 13. listopadu 2019 o Evropské pohraniční a pobřežní stráži a o zrušení nařízení (EU) č. 1052/2013 a (EU) 2016/1624</w:t>
      </w:r>
      <w:r w:rsidRPr="00E51DFE">
        <w:rPr>
          <w:vertAlign w:val="superscript"/>
        </w:rPr>
        <w:footnoteReference w:id="391"/>
      </w:r>
      <w:r w:rsidRPr="00E51DFE">
        <w:t>, a zejména na článek 116 tohoto nařízení,</w:t>
      </w:r>
    </w:p>
    <w:p w14:paraId="74D3D39A"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92"/>
      </w:r>
      <w:r w:rsidRPr="00E51DFE">
        <w:t>, a zejména na článek 105 tohoto nařízení,</w:t>
      </w:r>
    </w:p>
    <w:p w14:paraId="7D69C21D" w14:textId="77777777" w:rsidR="00872DB8" w:rsidRPr="00E51DFE" w:rsidRDefault="00872DB8" w:rsidP="00872DB8">
      <w:pPr>
        <w:spacing w:after="240"/>
        <w:ind w:left="567" w:hanging="567"/>
      </w:pPr>
      <w:r w:rsidRPr="00E51DFE">
        <w:t>–</w:t>
      </w:r>
      <w:r w:rsidRPr="00E51DFE">
        <w:tab/>
        <w:t>s ohledem na článek 102 a přílohu V jednacího řádu,</w:t>
      </w:r>
    </w:p>
    <w:p w14:paraId="5D48D1FD"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4DACAFB3"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74DD493B" w14:textId="77777777" w:rsidR="00872DB8" w:rsidRPr="00E51DFE" w:rsidRDefault="00872DB8" w:rsidP="00872DB8">
      <w:pPr>
        <w:spacing w:after="240"/>
        <w:ind w:left="567" w:hanging="567"/>
      </w:pPr>
      <w:r w:rsidRPr="00E51DFE">
        <w:t>1.</w:t>
      </w:r>
      <w:r w:rsidRPr="00E51DFE">
        <w:tab/>
        <w:t>uděluje absolutorium výkonnému řediteli Evropské agentury pro pohraniční a pobřežní stráž za plnění rozpočtu agentury na rozpočtový rok 2023;</w:t>
      </w:r>
    </w:p>
    <w:p w14:paraId="684F4927" w14:textId="77777777" w:rsidR="00872DB8" w:rsidRPr="00E51DFE" w:rsidRDefault="00872DB8" w:rsidP="00872DB8">
      <w:pPr>
        <w:spacing w:after="240"/>
        <w:ind w:left="567" w:hanging="567"/>
      </w:pPr>
      <w:r w:rsidRPr="00E51DFE">
        <w:t>2.</w:t>
      </w:r>
      <w:r w:rsidRPr="00E51DFE">
        <w:tab/>
        <w:t>předkládá své připomínky v níže uvedeném usnesení;</w:t>
      </w:r>
    </w:p>
    <w:p w14:paraId="44B64C96" w14:textId="77777777" w:rsidR="00872DB8" w:rsidRPr="00E51DFE" w:rsidRDefault="00872DB8" w:rsidP="00872DB8">
      <w:pPr>
        <w:spacing w:after="240"/>
        <w:ind w:left="567" w:hanging="567"/>
      </w:pPr>
      <w:r w:rsidRPr="00E51DFE">
        <w:t>3.</w:t>
      </w:r>
      <w:r w:rsidRPr="00E51DFE">
        <w:tab/>
        <w:t>pověřuje svou předsedkyni, aby předala toto rozhodnutí a usnesení, které je jeho nedílnou součástí, výkonnému řediteli Evropské agentury pro pohraniční a pobřežní stráž, Radě, Komisi a Účetnímu dvoru a aby zajistila jejich zveřejnění v </w:t>
      </w:r>
      <w:r w:rsidRPr="00E51DFE">
        <w:rPr>
          <w:i/>
        </w:rPr>
        <w:t>Úředním věstníku Evropské unie</w:t>
      </w:r>
      <w:r w:rsidRPr="00E51DFE">
        <w:t xml:space="preserve"> (řada L).</w:t>
      </w:r>
    </w:p>
    <w:p w14:paraId="20A4F428"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733757F4" w14:textId="379E4D27" w:rsidR="00872DB8" w:rsidRPr="00E51DFE" w:rsidRDefault="00872DB8" w:rsidP="00F64AFA">
      <w:pPr>
        <w:pStyle w:val="ATHeading3"/>
      </w:pPr>
      <w:r w:rsidRPr="00E51DFE">
        <w:t>66. Rozhodnutí Evropského parlamentu ze dne 7. května 2025 o uzavření účtů Evropské agentury pro pohraniční a pobřežní stráž za rozpočtový rok 2023 (2024/2030(DEC))</w:t>
      </w:r>
    </w:p>
    <w:p w14:paraId="2D36190A" w14:textId="77777777" w:rsidR="00872DB8" w:rsidRPr="00E51DFE" w:rsidRDefault="00872DB8" w:rsidP="00872DB8">
      <w:pPr>
        <w:spacing w:before="480" w:after="240"/>
      </w:pPr>
      <w:r w:rsidRPr="00E51DFE">
        <w:rPr>
          <w:i/>
        </w:rPr>
        <w:t>Evropský parlament</w:t>
      </w:r>
      <w:r w:rsidRPr="00E51DFE">
        <w:t>,</w:t>
      </w:r>
    </w:p>
    <w:p w14:paraId="0F6B4F9B" w14:textId="77777777" w:rsidR="00872DB8" w:rsidRPr="00E51DFE" w:rsidRDefault="00872DB8" w:rsidP="00872DB8">
      <w:pPr>
        <w:spacing w:after="240"/>
        <w:ind w:left="567" w:hanging="567"/>
      </w:pPr>
      <w:r w:rsidRPr="00E51DFE">
        <w:t>–</w:t>
      </w:r>
      <w:r w:rsidRPr="00E51DFE">
        <w:tab/>
        <w:t>s ohledem na konečnou roční účetní závěrku Evropské agentury pro pohraniční a pobřežní stráž za rozpočtový rok 2023,</w:t>
      </w:r>
    </w:p>
    <w:p w14:paraId="22D99EEA" w14:textId="77777777" w:rsidR="00872DB8" w:rsidRPr="00E51DFE" w:rsidRDefault="00872DB8" w:rsidP="00872DB8">
      <w:pPr>
        <w:spacing w:after="240"/>
        <w:ind w:left="567" w:hanging="567"/>
      </w:pPr>
      <w:r w:rsidRPr="00E51DFE">
        <w:t>–</w:t>
      </w:r>
      <w:r w:rsidRPr="00E51DFE">
        <w:tab/>
        <w:t>s ohledem na výroční zprávu Účetního dvora o agenturách EU za rozpočtový rok 2023 spolu s odpověďmi agentur</w:t>
      </w:r>
      <w:r w:rsidRPr="00E51DFE">
        <w:rPr>
          <w:vertAlign w:val="superscript"/>
        </w:rPr>
        <w:footnoteReference w:id="393"/>
      </w:r>
      <w:r w:rsidRPr="00E51DFE">
        <w:t>,</w:t>
      </w:r>
    </w:p>
    <w:p w14:paraId="11B233ED" w14:textId="77777777" w:rsidR="00872DB8" w:rsidRPr="00E51DFE" w:rsidRDefault="00872DB8" w:rsidP="00872DB8">
      <w:pPr>
        <w:spacing w:after="240"/>
        <w:ind w:left="567" w:hanging="567"/>
      </w:pPr>
      <w:r w:rsidRPr="00E51DFE">
        <w:t>–</w:t>
      </w:r>
      <w:r w:rsidRPr="00E51DFE">
        <w:tab/>
        <w:t>s ohledem na prohlášení o věrohodnosti</w:t>
      </w:r>
      <w:r w:rsidRPr="00E51DFE">
        <w:rPr>
          <w:vertAlign w:val="superscript"/>
        </w:rPr>
        <w:footnoteReference w:id="394"/>
      </w:r>
      <w:r w:rsidRPr="00E51DFE">
        <w:t xml:space="preserve"> účetnictví a o legalitě a správnosti uskutečněných operací, které předložil Účetní dvůr za rozpočtový rok 2023 podle článku 287 Smlouvy o fungování Evropské unie,</w:t>
      </w:r>
    </w:p>
    <w:p w14:paraId="7C7ED86C" w14:textId="77777777" w:rsidR="00872DB8" w:rsidRPr="00E51DFE" w:rsidRDefault="00872DB8" w:rsidP="00872DB8">
      <w:pPr>
        <w:spacing w:after="240"/>
        <w:ind w:left="567" w:hanging="567"/>
      </w:pPr>
      <w:r w:rsidRPr="00E51DFE">
        <w:t>–</w:t>
      </w:r>
      <w:r w:rsidRPr="00E51DFE">
        <w:tab/>
        <w:t>s ohledem na doporučení Rady ze dne 17. února 2025 o udělení absolutoria agentuře za plnění rozpočtu na rozpočtový rok 2023 (05755/2025 – C10</w:t>
      </w:r>
      <w:r w:rsidRPr="00E51DFE">
        <w:noBreakHyphen/>
        <w:t>0024/2025),</w:t>
      </w:r>
    </w:p>
    <w:p w14:paraId="29419275" w14:textId="77777777" w:rsidR="00872DB8" w:rsidRPr="00E51DFE" w:rsidRDefault="00872DB8" w:rsidP="00872DB8">
      <w:pPr>
        <w:spacing w:after="240"/>
        <w:ind w:left="567" w:hanging="567"/>
      </w:pPr>
      <w:r w:rsidRPr="00E51DFE">
        <w:t>–</w:t>
      </w:r>
      <w:r w:rsidRPr="00E51DFE">
        <w:tab/>
        <w:t>s ohledem na článek 319 Smlouvy o fungování Evropské unie,</w:t>
      </w:r>
    </w:p>
    <w:p w14:paraId="539C69A5" w14:textId="77777777" w:rsidR="00872DB8" w:rsidRPr="00E51DFE" w:rsidRDefault="00872DB8" w:rsidP="00872DB8">
      <w:pPr>
        <w:spacing w:after="240"/>
        <w:ind w:left="567" w:hanging="567"/>
      </w:pPr>
      <w:r w:rsidRPr="00E51DFE">
        <w:t>–</w:t>
      </w:r>
      <w:r w:rsidRPr="00E51DF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E51DFE">
        <w:rPr>
          <w:vertAlign w:val="superscript"/>
        </w:rPr>
        <w:footnoteReference w:id="395"/>
      </w:r>
      <w:r w:rsidRPr="00E51DFE">
        <w:t>, a zejména na článek 70 tohoto nařízení,</w:t>
      </w:r>
    </w:p>
    <w:p w14:paraId="328DC24C" w14:textId="77777777" w:rsidR="00872DB8" w:rsidRPr="00E51DFE" w:rsidRDefault="00872DB8" w:rsidP="00872DB8">
      <w:pPr>
        <w:spacing w:after="240"/>
        <w:ind w:left="567" w:hanging="567"/>
      </w:pPr>
      <w:r w:rsidRPr="00E51DFE">
        <w:t>–</w:t>
      </w:r>
      <w:r w:rsidRPr="00E51DFE">
        <w:tab/>
        <w:t>s ohledem na nařízení Evropského parlamentu a Rady (EU, Euratom) 2024/2509 ze dne 23. září 2024, kterým se stanoví finanční pravidla pro souhrnný rozpočet Unie</w:t>
      </w:r>
      <w:r w:rsidRPr="00E51DFE">
        <w:rPr>
          <w:vertAlign w:val="superscript"/>
        </w:rPr>
        <w:footnoteReference w:id="396"/>
      </w:r>
      <w:r w:rsidRPr="00E51DFE">
        <w:t>, a zejména na článek 70 tohoto nařízení,</w:t>
      </w:r>
    </w:p>
    <w:p w14:paraId="0363B1E8" w14:textId="77777777" w:rsidR="00872DB8" w:rsidRPr="00E51DFE" w:rsidRDefault="00872DB8" w:rsidP="00872DB8">
      <w:pPr>
        <w:spacing w:after="240"/>
        <w:ind w:left="567" w:hanging="567"/>
      </w:pPr>
      <w:r w:rsidRPr="00E51DFE">
        <w:t>–</w:t>
      </w:r>
      <w:r w:rsidRPr="00E51DFE">
        <w:tab/>
        <w:t>s ohledem na nařízení Evropského parlamentu a Rady (EU) 2019/1896 ze dne 13. listopadu 2019 o Evropské pohraniční a pobřežní stráži a o zrušení nařízení (EU) č. 1052/2013 a (EU) 2016/1624</w:t>
      </w:r>
      <w:r w:rsidRPr="00E51DFE">
        <w:rPr>
          <w:vertAlign w:val="superscript"/>
        </w:rPr>
        <w:footnoteReference w:id="397"/>
      </w:r>
      <w:r w:rsidRPr="00E51DFE">
        <w:t>, a zejména na článek 116 tohoto nařízení,</w:t>
      </w:r>
    </w:p>
    <w:p w14:paraId="22ACD205" w14:textId="77777777" w:rsidR="00872DB8" w:rsidRPr="00E51DFE" w:rsidRDefault="00872DB8" w:rsidP="00872DB8">
      <w:pPr>
        <w:spacing w:after="240"/>
        <w:ind w:left="567" w:hanging="567"/>
      </w:pPr>
      <w:r w:rsidRPr="00E51DFE">
        <w:t>–</w:t>
      </w:r>
      <w:r w:rsidRPr="00E51DFE">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E51DFE">
        <w:rPr>
          <w:vertAlign w:val="superscript"/>
        </w:rPr>
        <w:footnoteReference w:id="398"/>
      </w:r>
      <w:r w:rsidRPr="00E51DFE">
        <w:t>, a zejména na článek 105 tohoto nařízení,</w:t>
      </w:r>
    </w:p>
    <w:p w14:paraId="5B01E142" w14:textId="77777777" w:rsidR="00872DB8" w:rsidRPr="00E51DFE" w:rsidRDefault="00872DB8" w:rsidP="00872DB8">
      <w:pPr>
        <w:spacing w:after="240"/>
        <w:ind w:left="567" w:hanging="567"/>
      </w:pPr>
      <w:r w:rsidRPr="00E51DFE">
        <w:t>–</w:t>
      </w:r>
      <w:r w:rsidRPr="00E51DFE">
        <w:tab/>
        <w:t>s ohledem na článek 102 a přílohu V jednacího řádu,</w:t>
      </w:r>
    </w:p>
    <w:p w14:paraId="722B79D7" w14:textId="77777777" w:rsidR="00872DB8" w:rsidRPr="00E51DFE" w:rsidRDefault="00872DB8" w:rsidP="00872DB8">
      <w:pPr>
        <w:spacing w:after="240"/>
        <w:ind w:left="567" w:hanging="567"/>
      </w:pPr>
      <w:r w:rsidRPr="00E51DFE">
        <w:t>–</w:t>
      </w:r>
      <w:r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08EE1748" w14:textId="77777777" w:rsidR="00872DB8" w:rsidRPr="00E51DFE" w:rsidRDefault="00872DB8" w:rsidP="00872DB8">
      <w:pPr>
        <w:spacing w:after="240"/>
        <w:ind w:left="567" w:hanging="567"/>
      </w:pPr>
      <w:r w:rsidRPr="00E51DFE">
        <w:t>–</w:t>
      </w:r>
      <w:r w:rsidRPr="00E51DFE">
        <w:tab/>
        <w:t>s ohledem na zprávu Výboru pro rozpočtovou kontrolu (A10</w:t>
      </w:r>
      <w:r w:rsidRPr="00E51DFE">
        <w:noBreakHyphen/>
        <w:t>0065/2025),</w:t>
      </w:r>
    </w:p>
    <w:p w14:paraId="30FFE778" w14:textId="77777777" w:rsidR="00872DB8" w:rsidRPr="00E51DFE" w:rsidRDefault="00872DB8" w:rsidP="00872DB8">
      <w:pPr>
        <w:spacing w:after="240"/>
        <w:ind w:left="567" w:hanging="567"/>
      </w:pPr>
      <w:r w:rsidRPr="00E51DFE">
        <w:t>1.</w:t>
      </w:r>
      <w:r w:rsidRPr="00E51DFE">
        <w:tab/>
        <w:t>schvaluje uzavření účtů Evropské agentury pro pohraniční a pobřežní stráž za rozpočtový rok 2023;</w:t>
      </w:r>
    </w:p>
    <w:p w14:paraId="645FB6EA" w14:textId="77777777" w:rsidR="00872DB8" w:rsidRPr="00E51DFE" w:rsidRDefault="00872DB8" w:rsidP="00872DB8">
      <w:pPr>
        <w:spacing w:after="240"/>
        <w:ind w:left="567" w:hanging="567"/>
      </w:pPr>
      <w:r w:rsidRPr="00E51DFE">
        <w:t>2.</w:t>
      </w:r>
      <w:r w:rsidRPr="00E51DFE">
        <w:tab/>
        <w:t>pověřuje svou předsedkyni, aby předala toto rozhodnutí výkonnému řediteli Evropské agentury pro pohraniční a pobřežní stráž, Radě, Komisi a Účetnímu dvoru a aby zajistila jeho zveřejnění v </w:t>
      </w:r>
      <w:r w:rsidRPr="00E51DFE">
        <w:rPr>
          <w:i/>
        </w:rPr>
        <w:t>Úředním věstníku Evropské unie</w:t>
      </w:r>
      <w:r w:rsidRPr="00E51DFE">
        <w:t xml:space="preserve"> (řada L).</w:t>
      </w:r>
    </w:p>
    <w:p w14:paraId="46F9246C" w14:textId="77777777" w:rsidR="00872DB8" w:rsidRPr="00E51DFE" w:rsidRDefault="00872DB8" w:rsidP="00872DB8">
      <w:pPr>
        <w:sectPr w:rsidR="00872DB8" w:rsidRPr="00E51DFE" w:rsidSect="00872DB8">
          <w:footnotePr>
            <w:numRestart w:val="eachSect"/>
          </w:footnotePr>
          <w:endnotePr>
            <w:numFmt w:val="decimal"/>
          </w:endnotePr>
          <w:pgSz w:w="11906" w:h="16838"/>
          <w:pgMar w:top="1440" w:right="1440" w:bottom="1440" w:left="1440" w:header="708" w:footer="708" w:gutter="0"/>
          <w:cols w:space="708"/>
          <w:docGrid w:linePitch="360"/>
        </w:sectPr>
      </w:pPr>
    </w:p>
    <w:p w14:paraId="5EF70EE9" w14:textId="77777777" w:rsidR="00872DB8" w:rsidRPr="00E51DFE" w:rsidRDefault="00872DB8" w:rsidP="00F64AFA">
      <w:pPr>
        <w:pStyle w:val="ATHeading3"/>
      </w:pPr>
      <w:r w:rsidRPr="00E51DFE">
        <w:t>67. Usnesení Evropského parlamentu ze dne 7. května 2025 obsahující připomínky, které jsou nedílnou součástí rozhodnutí o udělení absolutoria za plnění rozpočtu agentur Evropské unie na rozpočtový rok 2023 (2024/2030(DEC))</w:t>
      </w:r>
    </w:p>
    <w:p w14:paraId="4703EC04" w14:textId="77777777" w:rsidR="00872DB8" w:rsidRPr="00E51DFE" w:rsidRDefault="00872DB8" w:rsidP="00872DB8">
      <w:pPr>
        <w:spacing w:before="480" w:after="240"/>
      </w:pPr>
      <w:r w:rsidRPr="00E51DFE">
        <w:rPr>
          <w:i/>
        </w:rPr>
        <w:t>Evropský parlament</w:t>
      </w:r>
      <w:r w:rsidRPr="00E51DFE">
        <w:t>,</w:t>
      </w:r>
    </w:p>
    <w:p w14:paraId="7C823A74" w14:textId="190781DA" w:rsidR="00872DB8" w:rsidRPr="00E51DFE" w:rsidRDefault="00F64AFA" w:rsidP="00872DB8">
      <w:pPr>
        <w:spacing w:after="240"/>
        <w:ind w:left="567" w:hanging="567"/>
      </w:pPr>
      <w:r w:rsidRPr="00E51DFE">
        <w:t>–</w:t>
      </w:r>
      <w:r w:rsidR="00872DB8" w:rsidRPr="00E51DFE">
        <w:tab/>
        <w:t>s ohledem na své rozhodnutí o udělení absolutoria za plnění rozpočtu Agentury Evropské unie pro spolupráci energetických regulačních orgánů na rozpočtový rok 2023,</w:t>
      </w:r>
    </w:p>
    <w:p w14:paraId="2B096EA6" w14:textId="2AD32ED4" w:rsidR="00872DB8" w:rsidRPr="00E51DFE" w:rsidRDefault="00F64AFA" w:rsidP="00872DB8">
      <w:pPr>
        <w:spacing w:after="240"/>
        <w:ind w:left="567" w:hanging="567"/>
      </w:pPr>
      <w:r w:rsidRPr="00E51DFE">
        <w:t>–</w:t>
      </w:r>
      <w:r w:rsidR="00872DB8" w:rsidRPr="00E51DFE">
        <w:tab/>
        <w:t>s ohledem na své rozhodnutí o udělení absolutoria za plnění rozpočtu Agentury na podporu BEREC na rozpočtový rok 2023,</w:t>
      </w:r>
    </w:p>
    <w:p w14:paraId="23E6AF8C" w14:textId="715D6C9A" w:rsidR="00872DB8" w:rsidRPr="00E51DFE" w:rsidRDefault="00F64AFA" w:rsidP="00872DB8">
      <w:pPr>
        <w:spacing w:after="240"/>
        <w:ind w:left="567" w:hanging="567"/>
      </w:pPr>
      <w:r w:rsidRPr="00E51DFE">
        <w:t>–</w:t>
      </w:r>
      <w:r w:rsidR="00872DB8" w:rsidRPr="00E51DFE">
        <w:tab/>
        <w:t>s ohledem na své rozhodnutí o udělení absolutoria za plnění rozpočtu Překladatelského střediska pro instituce Evropské unie na rozpočtový rok 2023,</w:t>
      </w:r>
    </w:p>
    <w:p w14:paraId="63E94E25" w14:textId="616C885B" w:rsidR="00872DB8" w:rsidRPr="00E51DFE" w:rsidRDefault="00F64AFA" w:rsidP="00872DB8">
      <w:pPr>
        <w:spacing w:after="240"/>
        <w:ind w:left="567" w:hanging="567"/>
      </w:pPr>
      <w:r w:rsidRPr="00E51DFE">
        <w:t>–</w:t>
      </w:r>
      <w:r w:rsidR="00872DB8" w:rsidRPr="00E51DFE">
        <w:tab/>
        <w:t>s ohledem na své rozhodnutí o udělení absolutoria za plnění rozpočtu Evropského střediska pro rozvoj odborného vzdělávání na rozpočtový rok 2023,</w:t>
      </w:r>
    </w:p>
    <w:p w14:paraId="0867DBCE" w14:textId="7973361C" w:rsidR="00872DB8" w:rsidRPr="00E51DFE" w:rsidRDefault="00F64AFA" w:rsidP="00872DB8">
      <w:pPr>
        <w:spacing w:after="240"/>
        <w:ind w:left="567" w:hanging="567"/>
      </w:pPr>
      <w:r w:rsidRPr="00E51DFE">
        <w:t>–</w:t>
      </w:r>
      <w:r w:rsidR="00872DB8" w:rsidRPr="00E51DFE">
        <w:tab/>
        <w:t>s ohledem na své rozhodnutí o udělení absolutoria za plnění rozpočtu Agentury Evropské unie pro vzdělávání a výcvik v oblasti prosazování práva na rozpočtový rok 2023,</w:t>
      </w:r>
    </w:p>
    <w:p w14:paraId="136812B4" w14:textId="02A86A9D"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bezpečnost letectví na rozpočtový rok 2023,</w:t>
      </w:r>
    </w:p>
    <w:p w14:paraId="1AA244F5" w14:textId="57A55ED2" w:rsidR="00872DB8" w:rsidRPr="00E51DFE" w:rsidRDefault="00F64AFA" w:rsidP="00872DB8">
      <w:pPr>
        <w:spacing w:after="240"/>
        <w:ind w:left="567" w:hanging="567"/>
      </w:pPr>
      <w:r>
        <w:t>–</w:t>
      </w:r>
      <w:r w:rsidR="00872DB8" w:rsidRPr="00E51DFE">
        <w:tab/>
        <w:t>s ohledem na své rozhodnutí o udělení absolutoria za plnění rozpočtu Evropského orgánu pro bankovnictví na rozpočtový rok 2023,</w:t>
      </w:r>
    </w:p>
    <w:p w14:paraId="5E3C1C01" w14:textId="166C48FC" w:rsidR="00872DB8" w:rsidRPr="00E51DFE" w:rsidRDefault="00F64AFA" w:rsidP="00872DB8">
      <w:pPr>
        <w:spacing w:after="240"/>
        <w:ind w:left="567" w:hanging="567"/>
      </w:pPr>
      <w:r>
        <w:t>–</w:t>
      </w:r>
      <w:r w:rsidR="00872DB8" w:rsidRPr="00E51DFE">
        <w:tab/>
        <w:t>s ohledem na své rozhodnutí o udělení absolutoria za plnění rozpočtu Evropského střediska pro prevenci a kontrolu nemocí na rozpočtový rok 2023,</w:t>
      </w:r>
    </w:p>
    <w:p w14:paraId="430B4AA0" w14:textId="3E89F73B" w:rsidR="00872DB8" w:rsidRPr="00E51DFE" w:rsidRDefault="00F64AFA" w:rsidP="00872DB8">
      <w:pPr>
        <w:spacing w:after="240"/>
        <w:ind w:left="567" w:hanging="567"/>
      </w:pPr>
      <w:r>
        <w:t>–</w:t>
      </w:r>
      <w:r w:rsidR="00872DB8" w:rsidRPr="00E51DFE">
        <w:tab/>
        <w:t>s ohledem na své rozhodnutí o udělení absolutoria za plnění rozpočtu Evropské agentury pro chemické látky na rozpočtový rok 2023,</w:t>
      </w:r>
    </w:p>
    <w:p w14:paraId="233AA40F" w14:textId="68CFCC65" w:rsidR="00872DB8" w:rsidRPr="00E51DFE" w:rsidRDefault="00F64AFA" w:rsidP="00872DB8">
      <w:pPr>
        <w:spacing w:after="240"/>
        <w:ind w:left="567" w:hanging="567"/>
      </w:pPr>
      <w:r>
        <w:t>–</w:t>
      </w:r>
      <w:r w:rsidR="00872DB8" w:rsidRPr="00E51DFE">
        <w:tab/>
        <w:t>s ohledem na své rozhodnutí o udělení absolutoria za plnění rozpočtu Evropské agentury pro životní prostředí na rozpočtový rok 2023,</w:t>
      </w:r>
    </w:p>
    <w:p w14:paraId="1BB49550" w14:textId="04D2E6F2" w:rsidR="00872DB8" w:rsidRPr="00E51DFE" w:rsidRDefault="00F64AFA" w:rsidP="00872DB8">
      <w:pPr>
        <w:spacing w:after="240"/>
        <w:ind w:left="567" w:hanging="567"/>
      </w:pPr>
      <w:r>
        <w:t>–</w:t>
      </w:r>
      <w:r w:rsidR="00872DB8" w:rsidRPr="00E51DFE">
        <w:tab/>
        <w:t>s ohledem na své rozhodnutí o udělení absolutoria za plnění rozpočtu Evropské agentury pro kontrolu rybolovu na rozpočtový rok 2023,</w:t>
      </w:r>
    </w:p>
    <w:p w14:paraId="79D0EAF0" w14:textId="555EFCBE" w:rsidR="00872DB8" w:rsidRPr="00E51DFE" w:rsidRDefault="00F64AFA" w:rsidP="00872DB8">
      <w:pPr>
        <w:spacing w:after="240"/>
        <w:ind w:left="567" w:hanging="567"/>
      </w:pPr>
      <w:r>
        <w:t>–</w:t>
      </w:r>
      <w:r w:rsidR="00872DB8" w:rsidRPr="00E51DFE">
        <w:tab/>
        <w:t>s ohledem na své rozhodnutí o udělení absolutoria za plnění rozpočtu Evropského úřadu pro bezpečnost potravin na rozpočtový rok 2023,</w:t>
      </w:r>
    </w:p>
    <w:p w14:paraId="5ED1E0F6" w14:textId="4AFBE7EB" w:rsidR="00872DB8" w:rsidRPr="00E51DFE" w:rsidRDefault="00F64AFA" w:rsidP="00872DB8">
      <w:pPr>
        <w:spacing w:after="240"/>
        <w:ind w:left="567" w:hanging="567"/>
      </w:pPr>
      <w:r>
        <w:t>–</w:t>
      </w:r>
      <w:r w:rsidR="00872DB8" w:rsidRPr="00E51DFE">
        <w:tab/>
        <w:t>s ohledem na své rozhodnutí o udělení absolutoria za plnění rozpočtu Evropského institutu pro rovnost žen a mužů na rozpočtový rok 2023,</w:t>
      </w:r>
    </w:p>
    <w:p w14:paraId="34B02D3C" w14:textId="4EEEC61A" w:rsidR="00872DB8" w:rsidRPr="00E51DFE" w:rsidRDefault="00F64AFA" w:rsidP="00872DB8">
      <w:pPr>
        <w:spacing w:after="240"/>
        <w:ind w:left="567" w:hanging="567"/>
      </w:pPr>
      <w:r>
        <w:t>–</w:t>
      </w:r>
      <w:r w:rsidR="00872DB8" w:rsidRPr="00E51DFE">
        <w:tab/>
        <w:t>s ohledem na své rozhodnutí o udělení absolutoria za plnění rozpočtu Evropského orgánu pro pojišťovnictví a zaměstnanecké penzijní pojištění na rozpočtový rok 2023,</w:t>
      </w:r>
    </w:p>
    <w:p w14:paraId="65C437E7" w14:textId="67E99E4B" w:rsidR="00872DB8" w:rsidRPr="00E51DFE" w:rsidRDefault="00F64AFA" w:rsidP="00872DB8">
      <w:pPr>
        <w:spacing w:after="240"/>
        <w:ind w:left="567" w:hanging="567"/>
      </w:pPr>
      <w:r>
        <w:t>–</w:t>
      </w:r>
      <w:r w:rsidR="00872DB8" w:rsidRPr="00E51DFE">
        <w:tab/>
        <w:t>s ohledem na své rozhodnutí o udělení absolutoria za plnění rozpočtu Evropského inovačního a technologického institutu na rozpočtový rok 2023,</w:t>
      </w:r>
    </w:p>
    <w:p w14:paraId="33A18258" w14:textId="7B8F2128" w:rsidR="00872DB8" w:rsidRPr="00E51DFE" w:rsidRDefault="00F64AFA" w:rsidP="00872DB8">
      <w:pPr>
        <w:spacing w:after="240"/>
        <w:ind w:left="567" w:hanging="567"/>
      </w:pPr>
      <w:r>
        <w:t>–</w:t>
      </w:r>
      <w:r w:rsidR="00872DB8" w:rsidRPr="00E51DFE">
        <w:tab/>
        <w:t>s ohledem na své rozhodnutí o udělení absolutoria za plnění rozpočtu Evropského orgánu pro pracovní záležitosti na rozpočtový rok 2023,</w:t>
      </w:r>
    </w:p>
    <w:p w14:paraId="5612333F" w14:textId="0F8FB7E9" w:rsidR="00872DB8" w:rsidRPr="00E51DFE" w:rsidRDefault="00F64AFA" w:rsidP="00872DB8">
      <w:pPr>
        <w:spacing w:after="240"/>
        <w:ind w:left="567" w:hanging="567"/>
      </w:pPr>
      <w:r>
        <w:t>–</w:t>
      </w:r>
      <w:r w:rsidR="00872DB8" w:rsidRPr="00E51DFE">
        <w:tab/>
        <w:t>s ohledem na své rozhodnutí o udělení absolutoria za plnění rozpočtu Evropské agentury pro léčivé přípravky na rozpočtový rok 2023,</w:t>
      </w:r>
    </w:p>
    <w:p w14:paraId="1344EA75" w14:textId="68E01F21" w:rsidR="00872DB8" w:rsidRPr="00E51DFE" w:rsidRDefault="00F64AFA" w:rsidP="00872DB8">
      <w:pPr>
        <w:spacing w:after="240"/>
        <w:ind w:left="567" w:hanging="567"/>
      </w:pPr>
      <w:r>
        <w:t>–</w:t>
      </w:r>
      <w:r w:rsidR="00872DB8" w:rsidRPr="00E51DFE">
        <w:tab/>
        <w:t>s ohledem na své rozhodnutí o udělení absolutoria za plnění rozpočtu Evropského monitorovacího centra pro drogy a drogovou závislost na rozpočtový rok 2023,</w:t>
      </w:r>
    </w:p>
    <w:p w14:paraId="55E33390" w14:textId="06A8F549" w:rsidR="00872DB8" w:rsidRPr="00E51DFE" w:rsidRDefault="00F64AFA" w:rsidP="00872DB8">
      <w:pPr>
        <w:spacing w:after="240"/>
        <w:ind w:left="567" w:hanging="567"/>
      </w:pPr>
      <w:r>
        <w:t>–</w:t>
      </w:r>
      <w:r w:rsidR="00872DB8" w:rsidRPr="00E51DFE">
        <w:tab/>
        <w:t>s ohledem na své rozhodnutí o udělení absolutoria za plnění rozpočtu Evropské agentury pro námořní bezpečnost na rozpočtový rok 2023,</w:t>
      </w:r>
    </w:p>
    <w:p w14:paraId="083E09D6" w14:textId="34E9BA50"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kybernetickou bezpečnost na rozpočtový rok 2023,</w:t>
      </w:r>
    </w:p>
    <w:p w14:paraId="4F0C0725" w14:textId="0249FD8B"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železnice na rozpočtový rok 2023,</w:t>
      </w:r>
    </w:p>
    <w:p w14:paraId="1B7AFD52" w14:textId="1EE356CA" w:rsidR="00872DB8" w:rsidRPr="00E51DFE" w:rsidRDefault="00F64AFA" w:rsidP="00872DB8">
      <w:pPr>
        <w:spacing w:after="240"/>
        <w:ind w:left="567" w:hanging="567"/>
      </w:pPr>
      <w:r>
        <w:t>–</w:t>
      </w:r>
      <w:r w:rsidR="00872DB8" w:rsidRPr="00E51DFE">
        <w:tab/>
        <w:t>s ohledem na své rozhodnutí o udělení absolutoria za plnění rozpočtu Zásobovací agentury Euratomu na rozpočtový rok 2023,</w:t>
      </w:r>
    </w:p>
    <w:p w14:paraId="5854F553" w14:textId="1E370955" w:rsidR="00872DB8" w:rsidRPr="00E51DFE" w:rsidRDefault="00F64AFA" w:rsidP="00872DB8">
      <w:pPr>
        <w:spacing w:after="240"/>
        <w:ind w:left="567" w:hanging="567"/>
      </w:pPr>
      <w:r>
        <w:t>–</w:t>
      </w:r>
      <w:r w:rsidR="00872DB8" w:rsidRPr="00E51DFE">
        <w:tab/>
        <w:t>s ohledem na své rozhodnutí o udělení absolutoria za plnění rozpočtu Evropského orgánu pro cenné papíry a trhy na rozpočtový rok 2023,</w:t>
      </w:r>
    </w:p>
    <w:p w14:paraId="4E545661" w14:textId="50B87D58" w:rsidR="00872DB8" w:rsidRPr="00E51DFE" w:rsidRDefault="00F64AFA" w:rsidP="00872DB8">
      <w:pPr>
        <w:spacing w:after="240"/>
        <w:ind w:left="567" w:hanging="567"/>
      </w:pPr>
      <w:r>
        <w:t>–</w:t>
      </w:r>
      <w:r w:rsidR="00872DB8" w:rsidRPr="00E51DFE">
        <w:tab/>
        <w:t>s ohledem na své rozhodnutí o udělení absolutoria za plnění rozpočtu Evropské nadace odborného vzdělávání na rozpočtový rok 2023,</w:t>
      </w:r>
    </w:p>
    <w:p w14:paraId="1482B04A" w14:textId="29FA76C9"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otázky azylu na rozpočtový rok 2023,</w:t>
      </w:r>
    </w:p>
    <w:p w14:paraId="74B1D3AE" w14:textId="411FA176"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provozní řízení rozsáhlých informačních systémů v prostoru svobody, bezpečnosti a práva na rozpočtový rok 2023,</w:t>
      </w:r>
    </w:p>
    <w:p w14:paraId="6512C161" w14:textId="1519A559" w:rsidR="00872DB8" w:rsidRPr="00E51DFE" w:rsidRDefault="00F64AFA" w:rsidP="00872DB8">
      <w:pPr>
        <w:spacing w:after="240"/>
        <w:ind w:left="567" w:hanging="567"/>
      </w:pPr>
      <w:r>
        <w:t>–</w:t>
      </w:r>
      <w:r w:rsidR="00872DB8" w:rsidRPr="00E51DFE">
        <w:tab/>
        <w:t>s ohledem na své rozhodnutí o udělení absolutoria za plnění rozpočtu Evropské agentury pro bezpečnost a ochranu zdraví při práci na rozpočtový rok 2023,</w:t>
      </w:r>
    </w:p>
    <w:p w14:paraId="1B919A28" w14:textId="6BDF2963" w:rsidR="00872DB8" w:rsidRPr="00E51DFE" w:rsidRDefault="00F64AFA" w:rsidP="00872DB8">
      <w:pPr>
        <w:spacing w:after="240"/>
        <w:ind w:left="567" w:hanging="567"/>
      </w:pPr>
      <w:r>
        <w:t>–</w:t>
      </w:r>
      <w:r w:rsidR="00872DB8" w:rsidRPr="00E51DFE">
        <w:tab/>
        <w:t>s ohledem na své rozhodnutí o udělení absolutoria za plnění rozpočtu Evropské nadace pro zlepšení životních a pracovních podmínek na rozpočtový rok 2023,</w:t>
      </w:r>
    </w:p>
    <w:p w14:paraId="3BD3A3EF" w14:textId="1D1798E9"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justiční spolupráci v trestních věcech na rozpočtový rok 2023,</w:t>
      </w:r>
    </w:p>
    <w:p w14:paraId="4144D287" w14:textId="389E68C7"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spolupráci v oblasti prosazování práva na rozpočtový rok 2023,</w:t>
      </w:r>
    </w:p>
    <w:p w14:paraId="084D628F" w14:textId="4DA11544"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kosmický program na rozpočtový rok 2023,</w:t>
      </w:r>
    </w:p>
    <w:p w14:paraId="1BCAAF70" w14:textId="68FC84E8" w:rsidR="00872DB8" w:rsidRPr="00E51DFE" w:rsidRDefault="00F64AFA" w:rsidP="00872DB8">
      <w:pPr>
        <w:spacing w:after="240"/>
        <w:ind w:left="567" w:hanging="567"/>
      </w:pPr>
      <w:r>
        <w:t>–</w:t>
      </w:r>
      <w:r w:rsidR="00872DB8" w:rsidRPr="00E51DFE">
        <w:tab/>
        <w:t>s ohledem na své rozhodnutí o udělení absolutoria za plnění rozpočtu Agentury Evropské unie pro základní práva na rozpočtový rok 2023,</w:t>
      </w:r>
    </w:p>
    <w:p w14:paraId="49B92AF6" w14:textId="68FBCDB8" w:rsidR="00872DB8" w:rsidRPr="00E51DFE" w:rsidRDefault="00F64AFA" w:rsidP="00872DB8">
      <w:pPr>
        <w:spacing w:after="240"/>
        <w:ind w:left="567" w:hanging="567"/>
      </w:pPr>
      <w:r>
        <w:t>–</w:t>
      </w:r>
      <w:r w:rsidR="00872DB8" w:rsidRPr="00E51DFE">
        <w:tab/>
        <w:t>s ohledem na své rozhodnutí o udělení absolutoria za plnění rozpočtu Evropské agentury pro pohraniční a pobřežní stráž na rozpočtový rok 2023,</w:t>
      </w:r>
    </w:p>
    <w:p w14:paraId="5FB1FFF3" w14:textId="42805E80" w:rsidR="00872DB8" w:rsidRPr="00E51DFE" w:rsidRDefault="00F64AFA" w:rsidP="00872DB8">
      <w:pPr>
        <w:spacing w:after="240"/>
        <w:ind w:left="567" w:hanging="567"/>
      </w:pPr>
      <w:r>
        <w:t>–</w:t>
      </w:r>
      <w:r w:rsidR="00872DB8" w:rsidRPr="00E51DFE">
        <w:tab/>
        <w:t>s ohledem na článek 102 a přílohu V jednacího řádu,</w:t>
      </w:r>
    </w:p>
    <w:p w14:paraId="4AB4EC49" w14:textId="56BA7EA7" w:rsidR="00872DB8" w:rsidRPr="00E51DFE" w:rsidRDefault="00F64AFA" w:rsidP="00872DB8">
      <w:pPr>
        <w:spacing w:after="240"/>
        <w:ind w:left="567" w:hanging="567"/>
      </w:pPr>
      <w:r>
        <w:t>–</w:t>
      </w:r>
      <w:r w:rsidR="00872DB8" w:rsidRPr="00E51DFE">
        <w:tab/>
        <w:t>s ohledem na stanoviska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19D992A6" w14:textId="6392387F" w:rsidR="00872DB8" w:rsidRPr="00E51DFE" w:rsidRDefault="00F64AFA" w:rsidP="00872DB8">
      <w:pPr>
        <w:spacing w:after="240"/>
        <w:ind w:left="567" w:hanging="567"/>
      </w:pPr>
      <w:r>
        <w:t>–</w:t>
      </w:r>
      <w:r w:rsidR="00872DB8" w:rsidRPr="00E51DFE">
        <w:tab/>
        <w:t>s ohledem na zprávu Výboru pro rozpočtovou kontrolu (A10-0065/2025),</w:t>
      </w:r>
    </w:p>
    <w:p w14:paraId="4ADBB3E2" w14:textId="77777777" w:rsidR="00872DB8" w:rsidRPr="00E51DFE" w:rsidRDefault="00872DB8" w:rsidP="00872DB8">
      <w:pPr>
        <w:spacing w:after="240"/>
        <w:ind w:left="567" w:hanging="567"/>
      </w:pPr>
      <w:r w:rsidRPr="00E51DFE">
        <w:t>A.</w:t>
      </w:r>
      <w:r w:rsidRPr="00E51DFE">
        <w:tab/>
        <w:t>vzhledem k tomu, že agentury EU </w:t>
      </w:r>
      <w:r w:rsidRPr="00E51DFE">
        <w:rPr>
          <w:vertAlign w:val="superscript"/>
        </w:rPr>
        <w:footnoteReference w:id="399"/>
      </w:r>
      <w:r w:rsidRPr="00E51DFE">
        <w:t xml:space="preserve"> jsou právně samostatné subjekty, jež se zřizují, aby prováděly technické, vědecké a řídicí úkoly, a jež pomáhají orgánům EU koncipovat a realizovat různé politiky; vzhledem k tomu, že sídlí v různých členských státech a výrazně ovlivňují oblasti, které mají zásadní význam pro každodenní život občanů EU, jako je zdraví, bezpečnost, ochrana, svoboda a spravedlnost;</w:t>
      </w:r>
    </w:p>
    <w:p w14:paraId="6990CD2D" w14:textId="77777777" w:rsidR="00872DB8" w:rsidRPr="00E51DFE" w:rsidRDefault="00872DB8" w:rsidP="00872DB8">
      <w:pPr>
        <w:spacing w:after="240"/>
        <w:ind w:left="567" w:hanging="567"/>
      </w:pPr>
      <w:r w:rsidRPr="00E51DFE">
        <w:t>B.</w:t>
      </w:r>
      <w:r w:rsidRPr="00E51DFE">
        <w:tab/>
        <w:t>vzhledem k tomu, že toto usnesení obsahuje pro každý ze subjektů uvedených v článku 70 nařízení Evropského parlamentu a Rady (EU, Euratom) 2024/2509</w:t>
      </w:r>
      <w:r w:rsidRPr="00E51DFE">
        <w:rPr>
          <w:rStyle w:val="FootnoteReference"/>
        </w:rPr>
        <w:footnoteReference w:id="400"/>
      </w:r>
      <w:r w:rsidRPr="00E51DFE">
        <w:t xml:space="preserve"> a pro Zásobovací agenturu Euratomu připomínky horizontální povahy, které doprovázejí rozhodnutí o udělení absolutoria v souladu s článkem 268 nařízení (EU, Euratom) 2024/2509 a článkem 3 přílohy V jednacího řádu Evropského parlamentu;</w:t>
      </w:r>
    </w:p>
    <w:p w14:paraId="731C1CA6" w14:textId="77777777" w:rsidR="00872DB8" w:rsidRPr="00E51DFE" w:rsidRDefault="00872DB8" w:rsidP="00872DB8">
      <w:pPr>
        <w:spacing w:after="240"/>
        <w:ind w:left="567" w:hanging="567"/>
      </w:pPr>
      <w:r w:rsidRPr="00E51DFE">
        <w:t>C.</w:t>
      </w:r>
      <w:r w:rsidRPr="00E51DFE">
        <w:tab/>
        <w:t>vzhledem k tomu, že decentralizované agentury Unie a Zásobovací agentura Euratomu by se měly zaměřit na úkoly s jasnou evropskou přidanou hodnotou a organizace takových úkolů by měla být optimalizována, aby se zabránilo překrývání činností, což je v nejlepším zájmu daňových poplatníků Unie;</w:t>
      </w:r>
    </w:p>
    <w:p w14:paraId="1883FC53" w14:textId="77777777" w:rsidR="00872DB8" w:rsidRPr="00E51DFE" w:rsidRDefault="00872DB8" w:rsidP="00872DB8">
      <w:pPr>
        <w:spacing w:after="240"/>
        <w:ind w:left="567" w:hanging="567"/>
      </w:pPr>
      <w:r w:rsidRPr="00E51DFE">
        <w:t>D.</w:t>
      </w:r>
      <w:r w:rsidRPr="00E51DFE">
        <w:tab/>
        <w:t>vzhledem k tomu, že v souvislosti s postupem udělování absolutoria je cílem orgánu příslušného k udělení absolutoria zdůraznit velký význam posilování demokratické legitimity orgánů Unie; vzhledem k tomu, že to zahrnuje posílení transparentnosti a odpovědnosti, jakož i sestavování rozpočtu podle výkonnosti a zajištění řádné správy lidských zdrojů;</w:t>
      </w:r>
    </w:p>
    <w:p w14:paraId="1A73C4E9" w14:textId="77777777" w:rsidR="00872DB8" w:rsidRPr="00E51DFE" w:rsidRDefault="00872DB8" w:rsidP="00872DB8">
      <w:pPr>
        <w:spacing w:after="240"/>
        <w:ind w:left="567" w:hanging="567"/>
      </w:pPr>
      <w:r w:rsidRPr="00E51DFE">
        <w:t>E.</w:t>
      </w:r>
      <w:r w:rsidRPr="00E51DFE">
        <w:tab/>
        <w:t>vzhledem k tomu, že činnost Evropské unie v oblasti rozpočtové kontroly se zakládá na dvou zásadách: na zajištění řádného a transparentního plnění výdajové stránky rozpočtu Unie na straně jedné a na ochraně finančních zájmů Unie a boji proti podvodům na straně druhé;</w:t>
      </w:r>
    </w:p>
    <w:p w14:paraId="6655E06E" w14:textId="77777777" w:rsidR="00872DB8" w:rsidRPr="00E51DFE" w:rsidRDefault="00872DB8" w:rsidP="00872DB8">
      <w:pPr>
        <w:spacing w:after="240"/>
        <w:ind w:left="567" w:hanging="567"/>
      </w:pPr>
      <w:r w:rsidRPr="00E51DFE">
        <w:t>F.</w:t>
      </w:r>
      <w:r w:rsidRPr="00E51DFE">
        <w:tab/>
        <w:t>vzhledem k tomu, že v roce 2012 přijal Evropský parlament, Rada Evropské unie a Evropská komise „společné prohlášení“ a komplexní soubor hlavních zásad – „společný přístup“ </w:t>
      </w:r>
      <w:r w:rsidRPr="00E51DFE">
        <w:rPr>
          <w:rFonts w:eastAsia="Calibri"/>
          <w:vertAlign w:val="superscript"/>
        </w:rPr>
        <w:footnoteReference w:id="401"/>
      </w:r>
      <w:r w:rsidRPr="00E51DFE">
        <w:t xml:space="preserve"> – s cílem dosáhnout toho, aby agentury byly soudržnější, účinnější a odpovědnější; vzhledem k tomu, že se Komise zavázala přijmout na základě této dohody další opatření, případně ve spolupráci s agenturami;</w:t>
      </w:r>
    </w:p>
    <w:p w14:paraId="078FC83C" w14:textId="77777777" w:rsidR="00872DB8" w:rsidRPr="00E51DFE" w:rsidRDefault="00872DB8" w:rsidP="00872DB8">
      <w:pPr>
        <w:spacing w:after="240"/>
        <w:ind w:left="567" w:hanging="567"/>
      </w:pPr>
      <w:r w:rsidRPr="00E51DFE">
        <w:t>G.</w:t>
      </w:r>
      <w:r w:rsidRPr="00E51DFE">
        <w:tab/>
        <w:t xml:space="preserve">vzhledem k tomu, že ačkoli orgány uznávají, že společné prohlášení a společný přístup uvedený v jeho příloze nejsou právně závazné, zohlední tento společný přístup v kontextu všech budoucích rozhodnutí o decentralizovaných agenturách Unie, a to na základě analýzy jednotlivých </w:t>
      </w:r>
      <w:proofErr w:type="gramStart"/>
      <w:r w:rsidRPr="00E51DFE">
        <w:t>případů</w:t>
      </w:r>
      <w:proofErr w:type="gramEnd"/>
      <w:r w:rsidRPr="00E51DFE">
        <w:t xml:space="preserve"> a aniž jsou dotčeny jejich funkce v legislativních postupech a v ročním rozpočtovém procesu;</w:t>
      </w:r>
    </w:p>
    <w:p w14:paraId="32016B55" w14:textId="77777777" w:rsidR="00872DB8" w:rsidRPr="00E51DFE" w:rsidRDefault="00872DB8" w:rsidP="00872DB8">
      <w:pPr>
        <w:spacing w:after="240"/>
        <w:ind w:left="567" w:hanging="567"/>
        <w:rPr>
          <w:b/>
          <w:i/>
        </w:rPr>
      </w:pPr>
      <w:r w:rsidRPr="00E51DFE">
        <w:rPr>
          <w:b/>
          <w:i/>
        </w:rPr>
        <w:t>Obecné informace</w:t>
      </w:r>
    </w:p>
    <w:p w14:paraId="7B7F64EE" w14:textId="77777777" w:rsidR="00872DB8" w:rsidRPr="00E51DFE" w:rsidRDefault="00872DB8" w:rsidP="00872DB8">
      <w:pPr>
        <w:spacing w:after="240"/>
        <w:ind w:left="567" w:hanging="567"/>
      </w:pPr>
      <w:r w:rsidRPr="00E51DFE">
        <w:t>1.</w:t>
      </w:r>
      <w:r w:rsidRPr="00E51DFE">
        <w:tab/>
        <w:t>konstatuje, že agentury EU se člení na tři typy: decentralizované agentury, výkonné agentury a další subjekty;</w:t>
      </w:r>
    </w:p>
    <w:p w14:paraId="6150027C" w14:textId="77777777" w:rsidR="00872DB8" w:rsidRPr="00E51DFE" w:rsidRDefault="00872DB8" w:rsidP="00872DB8">
      <w:pPr>
        <w:spacing w:after="240"/>
        <w:ind w:left="567" w:hanging="567"/>
      </w:pPr>
      <w:r w:rsidRPr="00E51DFE">
        <w:t>2.</w:t>
      </w:r>
      <w:r w:rsidRPr="00E51DFE">
        <w:tab/>
        <w:t>připomíná, že toto usnesení se týká 31 z 33 decentralizovaných agentur a dvou ze čtyř dalších subjektů (Evropského inovačního a technologického institutu (EIT) a Zásobovací agentury Euratomu (ESA)); zdůrazňuje, že v případě dvou plně samofinancovaných decentralizovaných agentur, totiž Odrůdového úřadu Společenství (CPVO) a Úřadu Evropské unie pro duševní vlastnictví (EUIPO), řídí rozpočtové postupy a postupy udělování absolutoria buď správní rada (v případě úřadu CPVO), nebo rozpočtový výbor (v případě úřadu EUIPO), a proto nejsou tyto agentury součástí tohoto usnesení; konstatuje, že také v případě Jednotného výboru pro řešení krizí (SRB) odpovídá za roční rozpočtový proces a postup udělování absolutoria výhradně jeho rada; zdůrazňuje, že je třeba zajistit, aby byly evropské zdroje využívány efektivně; ve shodě s Účetním dvorem (EÚD) vyzývá k důkladnému hodnocení decentralizovaných agentur za účelem posouzení možných reforem, odstranění redundancí, zvýšení efektivity a dosažení úspor nákladů; připomíná, že je důležité posílit jejich správní struktury a zároveň zajistit, aby agentury zůstaly účinné a dokázaly reagovat na vyvíjející se potřeby;</w:t>
      </w:r>
    </w:p>
    <w:p w14:paraId="557C2AFC" w14:textId="77777777" w:rsidR="00872DB8" w:rsidRPr="00E51DFE" w:rsidRDefault="00872DB8" w:rsidP="00872DB8">
      <w:pPr>
        <w:spacing w:after="240"/>
        <w:ind w:left="567" w:hanging="567"/>
      </w:pPr>
      <w:r w:rsidRPr="00E51DFE">
        <w:t>3.</w:t>
      </w:r>
      <w:r w:rsidRPr="00E51DFE">
        <w:tab/>
        <w:t>poukazuje na význam postupu udělování absolutoria, u něhož nejde pouze o splnění povinnosti vyplývající ze Smlouvy, nýbrž také o prosazování a zajišťování transparentnosti, odpovědnosti a otevřeného dialogu o financích Unie; konstatuje, že pro agentury je to také příležitost prezentovat svou práci a ukázat, jaká je jejich přidaná hodnota pro Unii a její občany; dále zdůrazňuje, že agentury odpovídají na dotazníky, které jim zasílá Parlament, a na pozvání orgánu příslušného k udělení absolutoria se účastní veřejných slyšení, což občanům, podnikům, nevládním organizacím a dalším zúčastněným stranám poskytuje možnost sledovat schůze a ujistit se, že příjmy a výdaje jsou v souladu se zásadami řádného finančního řízení;</w:t>
      </w:r>
    </w:p>
    <w:p w14:paraId="1789DA85" w14:textId="77777777" w:rsidR="00872DB8" w:rsidRPr="00E51DFE" w:rsidRDefault="00872DB8" w:rsidP="00872DB8">
      <w:pPr>
        <w:spacing w:after="240"/>
        <w:ind w:left="567" w:hanging="567"/>
      </w:pPr>
      <w:r w:rsidRPr="00E51DFE">
        <w:t>4.</w:t>
      </w:r>
      <w:r w:rsidRPr="00E51DFE">
        <w:tab/>
        <w:t>domnívá se, že postup udělování absolutoria zvláštním interním orgánem, jak je uplatňován v případě EUIPO, CPVO a SRB, by mohl potenciálně vést ke střetu zájmů; domnívá se, že absolutorium udělované Parlamentem eliminuje potenciál střetu zájmů a přispívá k transparentnosti a k dobré pověsti agentur;</w:t>
      </w:r>
    </w:p>
    <w:p w14:paraId="1E90D30C" w14:textId="77777777" w:rsidR="00872DB8" w:rsidRPr="00E51DFE" w:rsidRDefault="00872DB8" w:rsidP="00872DB8">
      <w:pPr>
        <w:spacing w:after="240"/>
        <w:ind w:left="567" w:hanging="567"/>
      </w:pPr>
      <w:r w:rsidRPr="00E51DFE">
        <w:t>5.</w:t>
      </w:r>
      <w:r w:rsidRPr="00E51DFE">
        <w:tab/>
        <w:t>je toho názoru, že bez ohledu na právní rámec by se na všechny orgány, které mají vazbu na EU, měly uplatňovat stejné zásady odpovědnosti a transparentnosti;</w:t>
      </w:r>
    </w:p>
    <w:p w14:paraId="34FD25B6" w14:textId="77777777" w:rsidR="00872DB8" w:rsidRPr="00E51DFE" w:rsidRDefault="00872DB8" w:rsidP="00872DB8">
      <w:pPr>
        <w:spacing w:after="240"/>
        <w:ind w:left="567" w:hanging="567"/>
      </w:pPr>
      <w:r w:rsidRPr="00E51DFE">
        <w:t>6.</w:t>
      </w:r>
      <w:r w:rsidRPr="00E51DFE">
        <w:tab/>
        <w:t>připomíná bod 58 společného přístupu týkající se plně samofinancovaných agentur a zajišťování veřejné kontroly Parlamentem, v němž se uvádí:</w:t>
      </w:r>
      <w:r w:rsidRPr="00E51DFE">
        <w:rPr>
          <w:i/>
        </w:rPr>
        <w:t xml:space="preserve"> „Měly by být zváženy možnosti zajištění demokratické odpovědnosti plně samofinancovaných agentur (tj. agentur financovaných klienty), neboť jde o subjekty Unie pověřené prováděním politik EU, na něž se však nevztahuje absolutorium ve smyslu SFEU. </w:t>
      </w:r>
      <w:r w:rsidRPr="00E51DFE">
        <w:rPr>
          <w:i/>
          <w:iCs/>
        </w:rPr>
        <w:t xml:space="preserve">Jednou z možností by mohlo být, že dotčené agentury </w:t>
      </w:r>
      <w:proofErr w:type="gramStart"/>
      <w:r w:rsidRPr="00E51DFE">
        <w:rPr>
          <w:i/>
          <w:iCs/>
        </w:rPr>
        <w:t>předloží</w:t>
      </w:r>
      <w:proofErr w:type="gramEnd"/>
      <w:r w:rsidRPr="00E51DFE">
        <w:rPr>
          <w:i/>
          <w:iCs/>
        </w:rPr>
        <w:t xml:space="preserve"> Evropskému parlamentu, Radě a Komisi každoroční zprávu o plnění rozpočtu a zváží požadavky a doporučení vydané Parlamentem a Radou.“;</w:t>
      </w:r>
    </w:p>
    <w:p w14:paraId="6E9C935A" w14:textId="77777777" w:rsidR="00872DB8" w:rsidRPr="00E51DFE" w:rsidRDefault="00872DB8" w:rsidP="00872DB8">
      <w:pPr>
        <w:spacing w:after="240"/>
        <w:ind w:left="567" w:hanging="567"/>
      </w:pPr>
      <w:r w:rsidRPr="00E51DFE">
        <w:t>7.</w:t>
      </w:r>
      <w:r w:rsidRPr="00E51DFE">
        <w:tab/>
        <w:t>poukazuje na to, že zřízení nebo rozšíření agentur EU má sice za cíl posílit kapacity Unie, nicméně je velmi důležité zajistit, aby se tento proces opíral o podrobná hodnocení a posouzení dopadů a byla u něj jednoznačně prokázána přidaná hodnota; aby bylo možné se poučit a v případě potřeby zvážit ukončení jejich mandátu; zdůrazňuje, že tento přístup by nejen zajistil lepší regulaci, ale zvýšil by také účinnost, odpovědnost, transparentnost a soudržnost institucionálního prostředí Unie;</w:t>
      </w:r>
    </w:p>
    <w:p w14:paraId="07CDD48B" w14:textId="77777777" w:rsidR="00872DB8" w:rsidRPr="00E51DFE" w:rsidRDefault="00872DB8" w:rsidP="00872DB8">
      <w:pPr>
        <w:spacing w:after="240"/>
        <w:ind w:left="567" w:hanging="567"/>
      </w:pPr>
      <w:r w:rsidRPr="00E51DFE">
        <w:t>8.</w:t>
      </w:r>
      <w:r w:rsidRPr="00E51DFE">
        <w:tab/>
        <w:t>připomíná, že bod 60 společného přístupu stanoví, že každá agentura EU by měla být hodnocena jednou za pět let; žádá Komisi, aby zkoumala možnosti dalších synergií a konsolidace činností agentur a posoudila, zda by bylo možné za účelem zajištění nákladové efektivity a zjednodušení jejich funkcí sloučit agentury plnící vzájemně se doplňující činnosti, přičemž v případě nízké efektivity nebo redundance by mohly být také přezkoumány mandáty některých agentur; vybízí k tomu, aby byla tam, kde je to nezbytné pro zachování efektivity a zajištění optimálního využívání zdrojů, uplatňována ustanovení o skončení platnosti a o přezkumu; je přesvědčen, že pro fungování agentur má klíčový význam rozpočtová efektivita; ztotožňuje se s doporučením Účetního dvora obsaženém ve zvláštní zprávě č. 22/2020 </w:t>
      </w:r>
      <w:r w:rsidRPr="00E51DFE">
        <w:rPr>
          <w:vertAlign w:val="superscript"/>
        </w:rPr>
        <w:footnoteReference w:id="402"/>
      </w:r>
      <w:r w:rsidRPr="00E51DFE">
        <w:t>, podle něhož má Komise v kontextu kontroly účelnosti, které provádí v různých oblastech politiky, více využívat průřezová hodnocení agentur;</w:t>
      </w:r>
    </w:p>
    <w:p w14:paraId="7E5F7AE2" w14:textId="77777777" w:rsidR="00872DB8" w:rsidRPr="00E51DFE" w:rsidRDefault="00872DB8" w:rsidP="00872DB8">
      <w:pPr>
        <w:spacing w:after="240"/>
        <w:ind w:left="567" w:hanging="567"/>
      </w:pPr>
      <w:r w:rsidRPr="00E51DFE">
        <w:t>9.</w:t>
      </w:r>
      <w:r w:rsidRPr="00E51DFE">
        <w:tab/>
        <w:t>potvrzuje význam transparentnosti, odpovědnosti a sestavování rozpočtu podle výkonnosti ve všech agenturách EU, neboť tyto prvky zajišťují účinné finanční řízení; zdůrazňuje, že agentury musí přísně dodržovat své mandáty; uznává, že mandáty některých agentur bude možná třeba rozšířit; vyzývá k posílení mechanismů správy, aby nedocházelo ke zdvojování pravomocí a zlepšila se efektivita jejich fungování;</w:t>
      </w:r>
    </w:p>
    <w:p w14:paraId="2FFA3E9E" w14:textId="77777777" w:rsidR="00872DB8" w:rsidRPr="00E51DFE" w:rsidRDefault="00872DB8" w:rsidP="00872DB8">
      <w:pPr>
        <w:spacing w:after="240"/>
        <w:ind w:left="567" w:hanging="567"/>
      </w:pPr>
      <w:r w:rsidRPr="00E51DFE">
        <w:t>10.</w:t>
      </w:r>
      <w:r w:rsidRPr="00E51DFE">
        <w:tab/>
        <w:t>zdůrazňuje, že agentury potřebují dostatečné zdroje, aby byly schopny plnit nové úkoly, které od nich vyžadují nové právní předpisy;</w:t>
      </w:r>
    </w:p>
    <w:p w14:paraId="2E40F975" w14:textId="77777777" w:rsidR="00872DB8" w:rsidRPr="00E51DFE" w:rsidRDefault="00872DB8" w:rsidP="00872DB8">
      <w:pPr>
        <w:spacing w:after="240"/>
        <w:ind w:left="567" w:hanging="567"/>
      </w:pPr>
      <w:r w:rsidRPr="00E51DFE">
        <w:t>11.</w:t>
      </w:r>
      <w:r w:rsidRPr="00E51DFE">
        <w:tab/>
        <w:t>zdůrazňuje, že je důležité, aby agentury byly více přítomné ve sdělovacích prostředcích, na internetu a na sociálních médiích, a veřejnost tak získala lepší povědomí o jejich činnosti;</w:t>
      </w:r>
    </w:p>
    <w:p w14:paraId="0DAED0FA" w14:textId="77777777" w:rsidR="00872DB8" w:rsidRPr="00E51DFE" w:rsidRDefault="00872DB8" w:rsidP="00872DB8">
      <w:pPr>
        <w:spacing w:after="240"/>
        <w:ind w:left="567" w:hanging="567"/>
      </w:pPr>
      <w:r w:rsidRPr="00E51DFE">
        <w:t>12.</w:t>
      </w:r>
      <w:r w:rsidRPr="00E51DFE">
        <w:tab/>
        <w:t>poukazuje na to, že názvy a zkratky agentur jsou v mnoha případech téměř či zcela shodné, což začíná vyvolávat značné nejasnosti; vyzývá příslušné orgány, aby zkoumaly způsoby, jak tuto situaci zlepšit;</w:t>
      </w:r>
    </w:p>
    <w:p w14:paraId="0693C7A3" w14:textId="77777777" w:rsidR="00872DB8" w:rsidRPr="00E51DFE" w:rsidRDefault="00872DB8" w:rsidP="00872DB8">
      <w:pPr>
        <w:spacing w:after="240"/>
        <w:ind w:left="567" w:hanging="567"/>
        <w:rPr>
          <w:b/>
          <w:i/>
        </w:rPr>
      </w:pPr>
      <w:r w:rsidRPr="00E51DFE">
        <w:rPr>
          <w:b/>
          <w:i/>
        </w:rPr>
        <w:t>Správa a řízení</w:t>
      </w:r>
    </w:p>
    <w:p w14:paraId="6E5E7042" w14:textId="77777777" w:rsidR="00872DB8" w:rsidRPr="00E51DFE" w:rsidRDefault="00872DB8" w:rsidP="00872DB8">
      <w:pPr>
        <w:spacing w:after="240"/>
        <w:ind w:left="567" w:hanging="567"/>
      </w:pPr>
      <w:r w:rsidRPr="00E51DFE">
        <w:t>13.</w:t>
      </w:r>
      <w:r w:rsidRPr="00E51DFE">
        <w:tab/>
        <w:t>připomíná, že společný přístup </w:t>
      </w:r>
      <w:r w:rsidRPr="00E51DFE">
        <w:rPr>
          <w:vertAlign w:val="superscript"/>
        </w:rPr>
        <w:footnoteReference w:id="403"/>
      </w:r>
      <w:r w:rsidRPr="00E51DFE">
        <w:t xml:space="preserve"> poskytuje přehled o struktuře řízení decentralizovaných agentur; oceňuje pokrok, kterého agentury EU dosáhly při zlepšování struktur finančního řízení a správy, přičemž uznává, že je třeba dále zlepšovat efektivitu a odpovědnost; připomíná, že klíčovou úlohu při zajišťování řádné správy a odpovědnosti hrají správní rady jednotlivých decentralizovaných agentur; připomíná, že společný přístup doporučuje, aby se správní rady skládaly z jednoho zástupce z každého členského státu, dvou zástupců Komise, (případně) jednoho člena jmenovaného Parlamentem a (případně) „poměrně omezeného“ počtu zástupců zúčastněných stran, přičemž tito zástupci by měli reprezentovat rozmanité spektrum zájmů a proces jejich výběru by měl být transparentní;</w:t>
      </w:r>
    </w:p>
    <w:p w14:paraId="38058F16" w14:textId="77777777" w:rsidR="00872DB8" w:rsidRPr="00E51DFE" w:rsidRDefault="00872DB8" w:rsidP="00872DB8">
      <w:pPr>
        <w:spacing w:after="240"/>
        <w:ind w:left="567" w:hanging="567"/>
      </w:pPr>
      <w:r w:rsidRPr="00E51DFE">
        <w:t>14.</w:t>
      </w:r>
      <w:r w:rsidRPr="00E51DFE">
        <w:tab/>
        <w:t>všímá si toho, že všechny decentralizované agentury mají vcelku podobnou strukturu řízení; konstatuje, že každá z nich má správní radu a ředitele; konstatuje, že devět agentur má výkonnou radu (</w:t>
      </w:r>
      <w:proofErr w:type="spellStart"/>
      <w:r w:rsidRPr="00E51DFE">
        <w:t>Cedefop</w:t>
      </w:r>
      <w:proofErr w:type="spellEnd"/>
      <w:r w:rsidRPr="00E51DFE">
        <w:t xml:space="preserve">, EUDA, ENISA, ERA, EU-OSHA, </w:t>
      </w:r>
      <w:proofErr w:type="spellStart"/>
      <w:r w:rsidRPr="00E51DFE">
        <w:t>Eurofound</w:t>
      </w:r>
      <w:proofErr w:type="spellEnd"/>
      <w:r w:rsidRPr="00E51DFE">
        <w:t xml:space="preserve">, </w:t>
      </w:r>
      <w:proofErr w:type="spellStart"/>
      <w:r w:rsidRPr="00E51DFE">
        <w:t>Eurojust</w:t>
      </w:r>
      <w:proofErr w:type="spellEnd"/>
      <w:r w:rsidRPr="00E51DFE">
        <w:t>, FRA a EIT) </w:t>
      </w:r>
      <w:r w:rsidRPr="00E51DFE">
        <w:rPr>
          <w:vertAlign w:val="superscript"/>
        </w:rPr>
        <w:footnoteReference w:id="404"/>
      </w:r>
      <w:r w:rsidRPr="00E51DFE">
        <w:t xml:space="preserve"> a že pouze agentury spojené s kosmickým programem Evropské unie mají výbor pro bezpečnostní akreditaci; dále konstatuje, že tři evropské orgány dohledu (Evropský orgán pro bankovnictví (EBA), Evropský orgán pro cenné papíry a trhy (ESMA) a Evropský orgán pro pojišťovnictví a zaměstnanecké penzijní pojištění (EIOPA)) a dvě agentury v klastru jednotného trhu (Agentura Evropské unie pro spolupráci energetických regulačních orgánů (ACER) a Agentura na podporu BEREC (Úřad BEREC)) zřídily radu regulačních orgánů nebo radu orgánů dohledu;</w:t>
      </w:r>
    </w:p>
    <w:p w14:paraId="484F0340" w14:textId="77777777" w:rsidR="00872DB8" w:rsidRPr="00E51DFE" w:rsidRDefault="00872DB8" w:rsidP="00872DB8">
      <w:pPr>
        <w:spacing w:after="240"/>
        <w:ind w:left="567" w:hanging="567"/>
      </w:pPr>
      <w:r w:rsidRPr="00E51DFE">
        <w:t>15.</w:t>
      </w:r>
      <w:r w:rsidRPr="00E51DFE">
        <w:tab/>
        <w:t xml:space="preserve">připomíná, že správní rady nadací </w:t>
      </w:r>
      <w:proofErr w:type="spellStart"/>
      <w:r w:rsidRPr="00E51DFE">
        <w:t>Eurofound</w:t>
      </w:r>
      <w:proofErr w:type="spellEnd"/>
      <w:r w:rsidRPr="00E51DFE">
        <w:t xml:space="preserve"> a </w:t>
      </w:r>
      <w:proofErr w:type="spellStart"/>
      <w:r w:rsidRPr="00E51DFE">
        <w:t>Cedefop</w:t>
      </w:r>
      <w:proofErr w:type="spellEnd"/>
      <w:r w:rsidRPr="00E51DFE">
        <w:t xml:space="preserve"> a agentury EU-OSHA mají tripartitní strukturu; konstatuje, že v každém z těchto orgánů jsou zastoupeny všechny členské státy, a to jedním zástupcem vlády, jedním zástupcem zaměstnavatelů a jedním členem odborů (celkem 81 zástupců); konstatuje, že Komise má tři zástupce a působí tam i nezávislý odborník jmenovaný Parlamentem (bez hlasovacího práva); připomíná, že správní rada ETF je méně početná a zahrnuje 27 zástupců členských států (bez sociálních partnerů), tři zástupce Komise (mají ve správní radě jeden společný hlas), tři odborníky jmenované Parlamentem (oproti jednomu odborníkovi v případě tripartitních agentur) a tři zástupce partnerských zemí jmenované Komisí </w:t>
      </w:r>
      <w:r w:rsidRPr="00E51DFE">
        <w:rPr>
          <w:vertAlign w:val="superscript"/>
        </w:rPr>
        <w:footnoteReference w:id="405"/>
      </w:r>
      <w:r w:rsidRPr="00E51DFE">
        <w:t>;</w:t>
      </w:r>
    </w:p>
    <w:p w14:paraId="1A3C9A4D" w14:textId="77777777" w:rsidR="00872DB8" w:rsidRPr="00E51DFE" w:rsidRDefault="00872DB8" w:rsidP="00872DB8">
      <w:pPr>
        <w:spacing w:after="240"/>
        <w:ind w:left="567" w:hanging="567"/>
      </w:pPr>
      <w:r w:rsidRPr="00E51DFE">
        <w:t>16.</w:t>
      </w:r>
      <w:r w:rsidRPr="00E51DFE">
        <w:tab/>
        <w:t xml:space="preserve">bere na vědomí závěry hodnocení agentur </w:t>
      </w:r>
      <w:proofErr w:type="spellStart"/>
      <w:r w:rsidRPr="00E51DFE">
        <w:t>Eurofound</w:t>
      </w:r>
      <w:proofErr w:type="spellEnd"/>
      <w:r w:rsidRPr="00E51DFE">
        <w:t xml:space="preserve">, </w:t>
      </w:r>
      <w:proofErr w:type="spellStart"/>
      <w:r w:rsidRPr="00E51DFE">
        <w:t>Cedefop</w:t>
      </w:r>
      <w:proofErr w:type="spellEnd"/>
      <w:r w:rsidRPr="00E51DFE">
        <w:t>, ETF a EU-OSHA týkající se tripartitní struktury řízení (</w:t>
      </w:r>
      <w:proofErr w:type="spellStart"/>
      <w:r w:rsidRPr="00E51DFE">
        <w:t>Eurofound</w:t>
      </w:r>
      <w:proofErr w:type="spellEnd"/>
      <w:r w:rsidRPr="00E51DFE">
        <w:t xml:space="preserve">, </w:t>
      </w:r>
      <w:proofErr w:type="spellStart"/>
      <w:r w:rsidRPr="00E51DFE">
        <w:t>Cedefop</w:t>
      </w:r>
      <w:proofErr w:type="spellEnd"/>
      <w:r w:rsidRPr="00E51DFE">
        <w:t xml:space="preserve"> a EU-OSHA); konstatuje, že tripartitní struktura má určité výhody (zastoupení, strategické řízení, sdílení znalostí), nicméně velikost a rozmanitost správních rad vytváří problémy při hledání kompromisů ohledně klíčových provozních a správních rozhodnutí; poukazuje na to, že v hodnocení se uvažovalo o alternativních modelech správy, které by vedly k účinnějšímu zapojení sociálních partnerů; poukazuje na zvýšený potenciál pro úspory a synergie v činnostech těchto agentur; zdůrazňuje, že pokud má být zajištěna nákladová efektivita a zamezeno zneužívání veřejných prostředků, musí agentury EU podléhat přísnému finančnímu dohledu; poukazuje na to, že k financování agentur je třeba přistupovat odpovědně a na základě skutečných potřeb, aby nedocházelo k bujení byrokracie a agentury přitom měly adekvátní zdroje k plnění svých úkolů;</w:t>
      </w:r>
    </w:p>
    <w:p w14:paraId="21F82C9A" w14:textId="6F352C4B" w:rsidR="00872DB8" w:rsidRPr="00E51DFE" w:rsidRDefault="00872DB8" w:rsidP="00872DB8">
      <w:pPr>
        <w:spacing w:before="100" w:beforeAutospacing="1" w:after="100" w:afterAutospacing="1"/>
        <w:ind w:left="567" w:hanging="567"/>
      </w:pPr>
      <w:r w:rsidRPr="00E51DFE">
        <w:t>17.</w:t>
      </w:r>
      <w:r w:rsidRPr="00E51DFE">
        <w:tab/>
        <w:t>bere na vědomí závěry zprávy o hodnocení nařízení Evropského parlamentu a Rady (EU) 2019/1896</w:t>
      </w:r>
      <w:r w:rsidRPr="00E51DFE">
        <w:rPr>
          <w:vertAlign w:val="superscript"/>
        </w:rPr>
        <w:footnoteReference w:id="406"/>
      </w:r>
      <w:r w:rsidR="00F64AFA">
        <w:t xml:space="preserve"> </w:t>
      </w:r>
      <w:r w:rsidRPr="00E51DFE">
        <w:t>o Evropské pohraniční a pobřežní stráži (</w:t>
      </w:r>
      <w:proofErr w:type="spellStart"/>
      <w:r w:rsidRPr="00E51DFE">
        <w:t>Frontex</w:t>
      </w:r>
      <w:proofErr w:type="spellEnd"/>
      <w:r w:rsidRPr="00E51DFE">
        <w:t>)</w:t>
      </w:r>
      <w:r w:rsidR="00F64AFA">
        <w:t xml:space="preserve"> </w:t>
      </w:r>
      <w:r w:rsidRPr="00E51DFE">
        <w:t xml:space="preserve">a v ní uvedená zjištění, která toto nařízení označují za vhodné pro daný účel, včetně přezkumu stálého útvaru zveřejněného v únoru 2024: konstatuje, že ačkoli nařízení poskytuje rámec pro účinnou správu hranic, přetrvávají problémy v oblasti správy, odpovědnosti a efektivity; uvědomuje si, že struktura řízení vyžaduje určité úpravy, které zajistí, aby agentura </w:t>
      </w:r>
      <w:proofErr w:type="spellStart"/>
      <w:r w:rsidRPr="00E51DFE">
        <w:t>Frontex</w:t>
      </w:r>
      <w:proofErr w:type="spellEnd"/>
      <w:r w:rsidRPr="00E51DFE">
        <w:t xml:space="preserve"> mohla plně vykonávat svůj mandát, včetně řešení problematiky vyváženého zastoupení ve správní radě, zefektivnění vnitřních rozhodovacích procesů a zamezení překrývání úkolů; oceňuje, že listopadu 2023 přijala správní rada novou organizační strukturu, která je krokem ke zlepšení správy, strategické koordinace a přidělování zdrojů; bere na vědomí administrativní nedostatky, na něž upozorňuje hodnotící zpráva, zejména pokud jde o postupy proplácení a byrokratické překážky, s nimiž se členské státy potýkají při vysílání pracovníků do agentury </w:t>
      </w:r>
      <w:proofErr w:type="spellStart"/>
      <w:r w:rsidRPr="00E51DFE">
        <w:t>Frontex</w:t>
      </w:r>
      <w:proofErr w:type="spellEnd"/>
      <w:r w:rsidRPr="00E51DFE">
        <w:t xml:space="preserve">; vyzývá Komisi, aby prozkoumala způsoby, jak tyto postupy zjednodušit, a snížit tak zbytečnou zátěž vnitrostátních orgánů; konstatuje, že je důležité provádět doporučení uvedená ve výroční zprávě úředníka pro otázky základních práv; uznává, že bylo dosaženo určitého pokroku, nicméně vyzývá agenturu </w:t>
      </w:r>
      <w:proofErr w:type="spellStart"/>
      <w:r w:rsidRPr="00E51DFE">
        <w:t>Frontex</w:t>
      </w:r>
      <w:proofErr w:type="spellEnd"/>
      <w:r w:rsidRPr="00E51DFE">
        <w:t>, aby i nadále zvyšovala transparentnost, plně spolupracovala při vyšetřováních a uplatňovala opatření k zajištění ochrany základních práv ve všech svých činnostech;</w:t>
      </w:r>
    </w:p>
    <w:p w14:paraId="48D3E55D" w14:textId="77777777" w:rsidR="00872DB8" w:rsidRPr="00E51DFE" w:rsidRDefault="00872DB8" w:rsidP="00872DB8">
      <w:pPr>
        <w:spacing w:after="240"/>
        <w:ind w:left="567" w:hanging="567"/>
      </w:pPr>
      <w:r w:rsidRPr="00E51DFE">
        <w:t>18.</w:t>
      </w:r>
      <w:r w:rsidRPr="00E51DFE">
        <w:tab/>
        <w:t xml:space="preserve">zdůrazňuje, že pro zachování bezpečného schengenského prostoru a důvěryhodného rámce EU pro řízení migrace je velmi důležité zaujmout vyvážený přístup, který by kombinoval účinnou ochranu hranic a rychlé postupy navracení se spolehlivými zárukami v oblasti základních práv; opakuje proto, že je důležité, aby příslušníci stálého útvaru agentury </w:t>
      </w:r>
      <w:proofErr w:type="spellStart"/>
      <w:r w:rsidRPr="00E51DFE">
        <w:t>Frontex</w:t>
      </w:r>
      <w:proofErr w:type="spellEnd"/>
      <w:r w:rsidRPr="00E51DFE">
        <w:t xml:space="preserve"> průběžně absolvovali strukturované kurzy v oblasti základních práv, které zajistí, že budou obeznámeni s příslušnými povinnosti normami v oblasti základních práv, mezinárodních norem v oblasti lidských práv a humanitárního práva </w:t>
      </w:r>
      <w:r w:rsidRPr="00E51DFE">
        <w:rPr>
          <w:vertAlign w:val="superscript"/>
        </w:rPr>
        <w:footnoteReference w:id="407"/>
      </w:r>
      <w:r w:rsidRPr="00E51DFE">
        <w:t>; poukazuje dále na to, že je důležité, aby každý, kdo se stane svědkem porušování základních práv, vždy podal oznámení prostřednictvím hlášení o závažných incidentech;</w:t>
      </w:r>
    </w:p>
    <w:p w14:paraId="0412FD53" w14:textId="77777777" w:rsidR="00872DB8" w:rsidRPr="00E51DFE" w:rsidRDefault="00872DB8" w:rsidP="00872DB8">
      <w:pPr>
        <w:spacing w:after="240"/>
        <w:ind w:left="567" w:hanging="567"/>
        <w:rPr>
          <w:i/>
        </w:rPr>
      </w:pPr>
      <w:r w:rsidRPr="00E51DFE">
        <w:rPr>
          <w:b/>
          <w:i/>
        </w:rPr>
        <w:t>Rozpočtové a finanční řízení</w:t>
      </w:r>
    </w:p>
    <w:p w14:paraId="678D1924" w14:textId="77777777" w:rsidR="00872DB8" w:rsidRPr="00E51DFE" w:rsidRDefault="00872DB8" w:rsidP="00872DB8">
      <w:pPr>
        <w:spacing w:after="240"/>
        <w:ind w:left="567" w:hanging="567"/>
      </w:pPr>
      <w:r w:rsidRPr="00E51DFE">
        <w:t>19.</w:t>
      </w:r>
      <w:r w:rsidRPr="00E51DFE">
        <w:tab/>
        <w:t>bere na vědomí, že celkové konečné příjmy za rok 2023 (po opravných rozpočtech) a srovnatelné údaje za rok 2022 pro 33 agentur EU, které jsou součástí tohoto usnesení, byly rozepsány následovně </w:t>
      </w:r>
      <w:r w:rsidRPr="00E51DFE">
        <w:rPr>
          <w:vertAlign w:val="superscript"/>
        </w:rPr>
        <w:footnoteReference w:id="408"/>
      </w:r>
      <w:r w:rsidRPr="00E51DFE">
        <w:t>:</w:t>
      </w:r>
    </w:p>
    <w:tbl>
      <w:tblPr>
        <w:tblStyle w:val="TableGrid"/>
        <w:tblW w:w="0" w:type="auto"/>
        <w:tblLook w:val="04A0" w:firstRow="1" w:lastRow="0" w:firstColumn="1" w:lastColumn="0" w:noHBand="0" w:noVBand="1"/>
      </w:tblPr>
      <w:tblGrid>
        <w:gridCol w:w="2122"/>
        <w:gridCol w:w="2038"/>
        <w:gridCol w:w="2360"/>
        <w:gridCol w:w="1555"/>
      </w:tblGrid>
      <w:tr w:rsidR="00872DB8" w:rsidRPr="00E51DFE" w14:paraId="015A876F" w14:textId="77777777" w:rsidTr="001D6593">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2B0A5890" w14:textId="77777777" w:rsidR="00872DB8" w:rsidRPr="00E51DFE" w:rsidRDefault="00872DB8" w:rsidP="001D6593">
            <w:pPr>
              <w:rPr>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46F46806" w14:textId="77777777" w:rsidR="00872DB8" w:rsidRPr="00E51DFE" w:rsidRDefault="00872DB8" w:rsidP="001D6593">
            <w:pPr>
              <w:keepLines/>
              <w:spacing w:after="240"/>
              <w:jc w:val="center"/>
              <w:rPr>
                <w:b/>
                <w:bCs/>
                <w:szCs w:val="22"/>
              </w:rPr>
            </w:pPr>
            <w:r w:rsidRPr="00E51DFE">
              <w:rPr>
                <w:b/>
              </w:rPr>
              <w:t>Příjmy v r. 2023 (EUR)</w:t>
            </w:r>
          </w:p>
        </w:tc>
        <w:tc>
          <w:tcPr>
            <w:tcW w:w="2360" w:type="dxa"/>
            <w:tcBorders>
              <w:top w:val="single" w:sz="4" w:space="0" w:color="auto"/>
              <w:left w:val="single" w:sz="4" w:space="0" w:color="auto"/>
              <w:bottom w:val="single" w:sz="4" w:space="0" w:color="auto"/>
              <w:right w:val="single" w:sz="4" w:space="0" w:color="auto"/>
            </w:tcBorders>
            <w:noWrap/>
            <w:hideMark/>
          </w:tcPr>
          <w:p w14:paraId="2947949C" w14:textId="77777777" w:rsidR="00872DB8" w:rsidRPr="00E51DFE" w:rsidRDefault="00872DB8" w:rsidP="001D6593">
            <w:pPr>
              <w:spacing w:after="240"/>
              <w:ind w:hanging="13"/>
              <w:jc w:val="center"/>
              <w:rPr>
                <w:b/>
                <w:bCs/>
                <w:szCs w:val="22"/>
              </w:rPr>
            </w:pPr>
            <w:r w:rsidRPr="00E51DFE">
              <w:rPr>
                <w:b/>
              </w:rPr>
              <w:t>Příjmy v r. 2022 (EUR)</w:t>
            </w:r>
          </w:p>
        </w:tc>
        <w:tc>
          <w:tcPr>
            <w:tcW w:w="1555" w:type="dxa"/>
            <w:tcBorders>
              <w:top w:val="single" w:sz="4" w:space="0" w:color="auto"/>
              <w:left w:val="single" w:sz="4" w:space="0" w:color="auto"/>
              <w:bottom w:val="single" w:sz="4" w:space="0" w:color="auto"/>
              <w:right w:val="single" w:sz="4" w:space="0" w:color="auto"/>
            </w:tcBorders>
            <w:noWrap/>
            <w:hideMark/>
          </w:tcPr>
          <w:p w14:paraId="3A1CE3C3" w14:textId="77777777" w:rsidR="00872DB8" w:rsidRPr="00E51DFE" w:rsidRDefault="00872DB8" w:rsidP="001D6593">
            <w:pPr>
              <w:spacing w:after="240"/>
              <w:ind w:hanging="567"/>
              <w:jc w:val="center"/>
              <w:rPr>
                <w:b/>
                <w:bCs/>
                <w:szCs w:val="22"/>
              </w:rPr>
            </w:pPr>
            <w:r w:rsidRPr="00E51DFE">
              <w:rPr>
                <w:b/>
              </w:rPr>
              <w:t xml:space="preserve">∆ </w:t>
            </w:r>
            <w:r w:rsidRPr="00E51DFE">
              <w:rPr>
                <w:bCs/>
              </w:rPr>
              <w:t>(</w:t>
            </w:r>
            <w:r w:rsidRPr="00E51DFE">
              <w:t>%)</w:t>
            </w:r>
          </w:p>
        </w:tc>
      </w:tr>
      <w:tr w:rsidR="00872DB8" w:rsidRPr="00E51DFE" w14:paraId="00CB4A0E"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0A6DC4" w14:textId="77777777" w:rsidR="00872DB8" w:rsidRPr="00E51DFE" w:rsidRDefault="00872DB8" w:rsidP="001D6593">
            <w:pPr>
              <w:spacing w:after="240"/>
              <w:ind w:left="567" w:hanging="567"/>
              <w:rPr>
                <w:b/>
                <w:bCs/>
                <w:szCs w:val="22"/>
              </w:rPr>
            </w:pPr>
            <w:r w:rsidRPr="00E51DFE">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7021B3C5" w14:textId="77777777" w:rsidR="00872DB8" w:rsidRPr="00E51DFE" w:rsidRDefault="00872DB8" w:rsidP="001D6593">
            <w:pPr>
              <w:spacing w:after="240"/>
              <w:ind w:hanging="567"/>
              <w:jc w:val="center"/>
              <w:rPr>
                <w:b/>
                <w:bCs/>
                <w:szCs w:val="22"/>
              </w:rPr>
            </w:pPr>
            <w:r w:rsidRPr="00E51DFE">
              <w:rPr>
                <w:b/>
              </w:rPr>
              <w:t xml:space="preserve">29 582 967 </w:t>
            </w:r>
          </w:p>
        </w:tc>
        <w:tc>
          <w:tcPr>
            <w:tcW w:w="2360" w:type="dxa"/>
            <w:tcBorders>
              <w:top w:val="single" w:sz="4" w:space="0" w:color="auto"/>
              <w:left w:val="single" w:sz="4" w:space="0" w:color="auto"/>
              <w:bottom w:val="single" w:sz="4" w:space="0" w:color="auto"/>
              <w:right w:val="single" w:sz="4" w:space="0" w:color="auto"/>
            </w:tcBorders>
            <w:noWrap/>
            <w:hideMark/>
          </w:tcPr>
          <w:p w14:paraId="57FA816A" w14:textId="77777777" w:rsidR="00872DB8" w:rsidRPr="00E51DFE" w:rsidRDefault="00872DB8" w:rsidP="001D6593">
            <w:pPr>
              <w:spacing w:after="240"/>
              <w:ind w:hanging="567"/>
              <w:jc w:val="center"/>
              <w:rPr>
                <w:b/>
                <w:bCs/>
                <w:szCs w:val="22"/>
              </w:rPr>
            </w:pPr>
            <w:r w:rsidRPr="00E51DFE">
              <w:rPr>
                <w:b/>
              </w:rPr>
              <w:t xml:space="preserve">24 827 843 </w:t>
            </w:r>
          </w:p>
        </w:tc>
        <w:tc>
          <w:tcPr>
            <w:tcW w:w="1555" w:type="dxa"/>
            <w:tcBorders>
              <w:top w:val="single" w:sz="4" w:space="0" w:color="auto"/>
              <w:left w:val="single" w:sz="4" w:space="0" w:color="auto"/>
              <w:bottom w:val="single" w:sz="4" w:space="0" w:color="auto"/>
              <w:right w:val="single" w:sz="4" w:space="0" w:color="auto"/>
            </w:tcBorders>
            <w:noWrap/>
            <w:hideMark/>
          </w:tcPr>
          <w:p w14:paraId="4043B6DE" w14:textId="77777777" w:rsidR="00872DB8" w:rsidRPr="00E51DFE" w:rsidRDefault="00872DB8" w:rsidP="001D6593">
            <w:pPr>
              <w:spacing w:after="240"/>
              <w:ind w:hanging="567"/>
              <w:jc w:val="center"/>
              <w:rPr>
                <w:szCs w:val="22"/>
              </w:rPr>
            </w:pPr>
            <w:r w:rsidRPr="00E51DFE">
              <w:t>19,15 </w:t>
            </w:r>
          </w:p>
        </w:tc>
      </w:tr>
      <w:tr w:rsidR="00872DB8" w:rsidRPr="00E51DFE" w14:paraId="036A8D04"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1E4A1AD" w14:textId="77777777" w:rsidR="00872DB8" w:rsidRPr="00E51DFE" w:rsidRDefault="00872DB8" w:rsidP="001D6593">
            <w:pPr>
              <w:spacing w:after="240"/>
              <w:ind w:left="567" w:hanging="567"/>
              <w:rPr>
                <w:b/>
                <w:bCs/>
                <w:szCs w:val="22"/>
              </w:rPr>
            </w:pPr>
            <w:r w:rsidRPr="00E51DFE">
              <w:rPr>
                <w:b/>
              </w:rPr>
              <w:t>Úřad BEREC</w:t>
            </w:r>
          </w:p>
        </w:tc>
        <w:tc>
          <w:tcPr>
            <w:tcW w:w="2038" w:type="dxa"/>
            <w:tcBorders>
              <w:top w:val="single" w:sz="4" w:space="0" w:color="auto"/>
              <w:left w:val="single" w:sz="4" w:space="0" w:color="auto"/>
              <w:bottom w:val="single" w:sz="4" w:space="0" w:color="auto"/>
              <w:right w:val="single" w:sz="4" w:space="0" w:color="auto"/>
            </w:tcBorders>
            <w:noWrap/>
            <w:hideMark/>
          </w:tcPr>
          <w:p w14:paraId="0B1B323C" w14:textId="77777777" w:rsidR="00872DB8" w:rsidRPr="00E51DFE" w:rsidRDefault="00872DB8" w:rsidP="001D6593">
            <w:pPr>
              <w:spacing w:after="240"/>
              <w:ind w:hanging="567"/>
              <w:jc w:val="center"/>
              <w:rPr>
                <w:b/>
                <w:bCs/>
                <w:szCs w:val="22"/>
              </w:rPr>
            </w:pPr>
            <w:r w:rsidRPr="00E51DFE">
              <w:rPr>
                <w:b/>
              </w:rPr>
              <w:t xml:space="preserve">7 697 265 </w:t>
            </w:r>
          </w:p>
        </w:tc>
        <w:tc>
          <w:tcPr>
            <w:tcW w:w="2360" w:type="dxa"/>
            <w:tcBorders>
              <w:top w:val="single" w:sz="4" w:space="0" w:color="auto"/>
              <w:left w:val="single" w:sz="4" w:space="0" w:color="auto"/>
              <w:bottom w:val="single" w:sz="4" w:space="0" w:color="auto"/>
              <w:right w:val="single" w:sz="4" w:space="0" w:color="auto"/>
            </w:tcBorders>
            <w:noWrap/>
            <w:hideMark/>
          </w:tcPr>
          <w:p w14:paraId="2D62D23F" w14:textId="77777777" w:rsidR="00872DB8" w:rsidRPr="00E51DFE" w:rsidRDefault="00872DB8" w:rsidP="001D6593">
            <w:pPr>
              <w:spacing w:after="240"/>
              <w:ind w:hanging="567"/>
              <w:jc w:val="center"/>
              <w:rPr>
                <w:b/>
                <w:bCs/>
                <w:szCs w:val="22"/>
              </w:rPr>
            </w:pPr>
            <w:r w:rsidRPr="00E51DFE">
              <w:rPr>
                <w:b/>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43287DAF" w14:textId="77777777" w:rsidR="00872DB8" w:rsidRPr="00E51DFE" w:rsidRDefault="00872DB8" w:rsidP="001D6593">
            <w:pPr>
              <w:spacing w:after="240"/>
              <w:ind w:hanging="567"/>
              <w:jc w:val="center"/>
              <w:rPr>
                <w:szCs w:val="22"/>
              </w:rPr>
            </w:pPr>
            <w:r w:rsidRPr="00E51DFE">
              <w:t>3,62 </w:t>
            </w:r>
          </w:p>
        </w:tc>
      </w:tr>
      <w:tr w:rsidR="00872DB8" w:rsidRPr="00E51DFE" w14:paraId="5C264AAC"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9B07393" w14:textId="77777777" w:rsidR="00872DB8" w:rsidRPr="00E51DFE" w:rsidRDefault="00872DB8" w:rsidP="001D6593">
            <w:pPr>
              <w:spacing w:after="240"/>
              <w:ind w:left="567" w:hanging="567"/>
              <w:rPr>
                <w:b/>
                <w:bCs/>
                <w:szCs w:val="22"/>
              </w:rPr>
            </w:pPr>
            <w:r w:rsidRPr="00E51DFE">
              <w:rPr>
                <w:b/>
              </w:rPr>
              <w:t>CDT </w:t>
            </w:r>
            <w:r w:rsidRPr="00E51DFE">
              <w:rPr>
                <w:szCs w:val="22"/>
                <w:vertAlign w:val="superscript"/>
              </w:rPr>
              <w:t>1</w:t>
            </w:r>
          </w:p>
        </w:tc>
        <w:tc>
          <w:tcPr>
            <w:tcW w:w="2038" w:type="dxa"/>
            <w:tcBorders>
              <w:top w:val="single" w:sz="4" w:space="0" w:color="auto"/>
              <w:left w:val="single" w:sz="4" w:space="0" w:color="auto"/>
              <w:bottom w:val="single" w:sz="4" w:space="0" w:color="auto"/>
              <w:right w:val="single" w:sz="4" w:space="0" w:color="auto"/>
            </w:tcBorders>
            <w:noWrap/>
            <w:hideMark/>
          </w:tcPr>
          <w:p w14:paraId="714E8CD1" w14:textId="77777777" w:rsidR="00872DB8" w:rsidRPr="00E51DFE" w:rsidRDefault="00872DB8" w:rsidP="001D6593">
            <w:pPr>
              <w:spacing w:after="240"/>
              <w:ind w:hanging="567"/>
              <w:jc w:val="center"/>
              <w:rPr>
                <w:b/>
                <w:bCs/>
                <w:szCs w:val="22"/>
              </w:rPr>
            </w:pPr>
            <w:r w:rsidRPr="00E51DFE">
              <w:rPr>
                <w:b/>
              </w:rPr>
              <w:t xml:space="preserve">47 140 900 </w:t>
            </w:r>
          </w:p>
        </w:tc>
        <w:tc>
          <w:tcPr>
            <w:tcW w:w="2360" w:type="dxa"/>
            <w:tcBorders>
              <w:top w:val="single" w:sz="4" w:space="0" w:color="auto"/>
              <w:left w:val="single" w:sz="4" w:space="0" w:color="auto"/>
              <w:bottom w:val="single" w:sz="4" w:space="0" w:color="auto"/>
              <w:right w:val="single" w:sz="4" w:space="0" w:color="auto"/>
            </w:tcBorders>
            <w:noWrap/>
            <w:hideMark/>
          </w:tcPr>
          <w:p w14:paraId="6D7D1387" w14:textId="77777777" w:rsidR="00872DB8" w:rsidRPr="00E51DFE" w:rsidRDefault="00872DB8" w:rsidP="001D6593">
            <w:pPr>
              <w:spacing w:after="240"/>
              <w:ind w:hanging="567"/>
              <w:jc w:val="center"/>
              <w:rPr>
                <w:b/>
                <w:bCs/>
                <w:szCs w:val="22"/>
              </w:rPr>
            </w:pPr>
            <w:r w:rsidRPr="00E51DFE">
              <w:rPr>
                <w:b/>
              </w:rPr>
              <w:t xml:space="preserve">48 721 800 </w:t>
            </w:r>
          </w:p>
        </w:tc>
        <w:tc>
          <w:tcPr>
            <w:tcW w:w="1555" w:type="dxa"/>
            <w:tcBorders>
              <w:top w:val="single" w:sz="4" w:space="0" w:color="auto"/>
              <w:left w:val="single" w:sz="4" w:space="0" w:color="auto"/>
              <w:bottom w:val="single" w:sz="4" w:space="0" w:color="auto"/>
              <w:right w:val="single" w:sz="4" w:space="0" w:color="auto"/>
            </w:tcBorders>
            <w:noWrap/>
            <w:hideMark/>
          </w:tcPr>
          <w:p w14:paraId="72630791" w14:textId="77777777" w:rsidR="00872DB8" w:rsidRPr="00E51DFE" w:rsidRDefault="00872DB8" w:rsidP="001D6593">
            <w:pPr>
              <w:spacing w:after="240"/>
              <w:ind w:hanging="567"/>
              <w:jc w:val="center"/>
              <w:rPr>
                <w:szCs w:val="22"/>
              </w:rPr>
            </w:pPr>
            <w:r w:rsidRPr="00E51DFE">
              <w:t>–3,24 </w:t>
            </w:r>
          </w:p>
        </w:tc>
      </w:tr>
      <w:tr w:rsidR="00872DB8" w:rsidRPr="00E51DFE" w14:paraId="083B73B1"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40B9235" w14:textId="77777777" w:rsidR="00872DB8" w:rsidRPr="00E51DFE" w:rsidRDefault="00872DB8" w:rsidP="001D6593">
            <w:pPr>
              <w:spacing w:after="240"/>
              <w:ind w:left="567" w:hanging="567"/>
              <w:rPr>
                <w:b/>
                <w:bCs/>
                <w:szCs w:val="22"/>
              </w:rPr>
            </w:pPr>
            <w:proofErr w:type="spellStart"/>
            <w:r w:rsidRPr="00E51DFE">
              <w:rPr>
                <w:b/>
              </w:rPr>
              <w:t>Cedefop</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0AF4E069" w14:textId="77777777" w:rsidR="00872DB8" w:rsidRPr="00E51DFE" w:rsidRDefault="00872DB8" w:rsidP="001D6593">
            <w:pPr>
              <w:spacing w:after="240"/>
              <w:ind w:hanging="567"/>
              <w:jc w:val="center"/>
              <w:rPr>
                <w:b/>
                <w:bCs/>
                <w:szCs w:val="22"/>
              </w:rPr>
            </w:pPr>
            <w:r w:rsidRPr="00E51DFE">
              <w:rPr>
                <w:b/>
              </w:rPr>
              <w:t xml:space="preserve">20 140 610 </w:t>
            </w:r>
          </w:p>
        </w:tc>
        <w:tc>
          <w:tcPr>
            <w:tcW w:w="2360" w:type="dxa"/>
            <w:tcBorders>
              <w:top w:val="single" w:sz="4" w:space="0" w:color="auto"/>
              <w:left w:val="single" w:sz="4" w:space="0" w:color="auto"/>
              <w:bottom w:val="single" w:sz="4" w:space="0" w:color="auto"/>
              <w:right w:val="single" w:sz="4" w:space="0" w:color="auto"/>
            </w:tcBorders>
            <w:noWrap/>
            <w:hideMark/>
          </w:tcPr>
          <w:p w14:paraId="6F51D7DC" w14:textId="77777777" w:rsidR="00872DB8" w:rsidRPr="00E51DFE" w:rsidRDefault="00872DB8" w:rsidP="001D6593">
            <w:pPr>
              <w:spacing w:after="240"/>
              <w:ind w:hanging="567"/>
              <w:jc w:val="center"/>
              <w:rPr>
                <w:b/>
                <w:bCs/>
                <w:szCs w:val="22"/>
              </w:rPr>
            </w:pPr>
            <w:r w:rsidRPr="00E51DFE">
              <w:rPr>
                <w:b/>
              </w:rPr>
              <w:t xml:space="preserve">18 434 420 </w:t>
            </w:r>
          </w:p>
        </w:tc>
        <w:tc>
          <w:tcPr>
            <w:tcW w:w="1555" w:type="dxa"/>
            <w:tcBorders>
              <w:top w:val="single" w:sz="4" w:space="0" w:color="auto"/>
              <w:left w:val="single" w:sz="4" w:space="0" w:color="auto"/>
              <w:bottom w:val="single" w:sz="4" w:space="0" w:color="auto"/>
              <w:right w:val="single" w:sz="4" w:space="0" w:color="auto"/>
            </w:tcBorders>
            <w:noWrap/>
            <w:hideMark/>
          </w:tcPr>
          <w:p w14:paraId="31D30A35" w14:textId="77777777" w:rsidR="00872DB8" w:rsidRPr="00E51DFE" w:rsidRDefault="00872DB8" w:rsidP="001D6593">
            <w:pPr>
              <w:spacing w:after="240"/>
              <w:ind w:hanging="567"/>
              <w:jc w:val="center"/>
              <w:rPr>
                <w:szCs w:val="22"/>
              </w:rPr>
            </w:pPr>
            <w:r w:rsidRPr="00E51DFE">
              <w:t>9,26 </w:t>
            </w:r>
          </w:p>
        </w:tc>
      </w:tr>
      <w:tr w:rsidR="00872DB8" w:rsidRPr="00E51DFE" w14:paraId="303DDDC1"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BD1F802" w14:textId="77777777" w:rsidR="00872DB8" w:rsidRPr="00E51DFE" w:rsidRDefault="00872DB8" w:rsidP="001D6593">
            <w:pPr>
              <w:spacing w:after="240"/>
              <w:ind w:left="567" w:hanging="567"/>
              <w:rPr>
                <w:b/>
                <w:bCs/>
                <w:szCs w:val="22"/>
              </w:rPr>
            </w:pPr>
            <w:r w:rsidRPr="00E51DFE">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71245318" w14:textId="77777777" w:rsidR="00872DB8" w:rsidRPr="00E51DFE" w:rsidRDefault="00872DB8" w:rsidP="001D6593">
            <w:pPr>
              <w:spacing w:after="240"/>
              <w:ind w:hanging="567"/>
              <w:jc w:val="center"/>
              <w:rPr>
                <w:b/>
                <w:bCs/>
                <w:szCs w:val="22"/>
              </w:rPr>
            </w:pPr>
            <w:r w:rsidRPr="00E51DFE">
              <w:rPr>
                <w:b/>
              </w:rPr>
              <w:t xml:space="preserve">14 211 723 </w:t>
            </w:r>
          </w:p>
        </w:tc>
        <w:tc>
          <w:tcPr>
            <w:tcW w:w="2360" w:type="dxa"/>
            <w:tcBorders>
              <w:top w:val="single" w:sz="4" w:space="0" w:color="auto"/>
              <w:left w:val="single" w:sz="4" w:space="0" w:color="auto"/>
              <w:bottom w:val="single" w:sz="4" w:space="0" w:color="auto"/>
              <w:right w:val="single" w:sz="4" w:space="0" w:color="auto"/>
            </w:tcBorders>
            <w:noWrap/>
            <w:hideMark/>
          </w:tcPr>
          <w:p w14:paraId="1994AEFD" w14:textId="77777777" w:rsidR="00872DB8" w:rsidRPr="00E51DFE" w:rsidRDefault="00872DB8" w:rsidP="001D6593">
            <w:pPr>
              <w:spacing w:after="240"/>
              <w:ind w:hanging="567"/>
              <w:jc w:val="center"/>
              <w:rPr>
                <w:b/>
                <w:bCs/>
                <w:szCs w:val="22"/>
              </w:rPr>
            </w:pPr>
            <w:r w:rsidRPr="00E51DFE">
              <w:rPr>
                <w:b/>
              </w:rPr>
              <w:t xml:space="preserve">13 805 510 </w:t>
            </w:r>
          </w:p>
        </w:tc>
        <w:tc>
          <w:tcPr>
            <w:tcW w:w="1555" w:type="dxa"/>
            <w:tcBorders>
              <w:top w:val="single" w:sz="4" w:space="0" w:color="auto"/>
              <w:left w:val="single" w:sz="4" w:space="0" w:color="auto"/>
              <w:bottom w:val="single" w:sz="4" w:space="0" w:color="auto"/>
              <w:right w:val="single" w:sz="4" w:space="0" w:color="auto"/>
            </w:tcBorders>
            <w:noWrap/>
            <w:hideMark/>
          </w:tcPr>
          <w:p w14:paraId="7809EFB5" w14:textId="77777777" w:rsidR="00872DB8" w:rsidRPr="00E51DFE" w:rsidRDefault="00872DB8" w:rsidP="001D6593">
            <w:pPr>
              <w:spacing w:after="240"/>
              <w:ind w:hanging="567"/>
              <w:jc w:val="center"/>
              <w:rPr>
                <w:szCs w:val="22"/>
              </w:rPr>
            </w:pPr>
            <w:r w:rsidRPr="00E51DFE">
              <w:t>2,94 </w:t>
            </w:r>
          </w:p>
        </w:tc>
      </w:tr>
      <w:tr w:rsidR="00872DB8" w:rsidRPr="00E51DFE" w14:paraId="539BD74C"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70F746" w14:textId="77777777" w:rsidR="00872DB8" w:rsidRPr="00E51DFE" w:rsidRDefault="00872DB8" w:rsidP="001D6593">
            <w:pPr>
              <w:spacing w:after="240"/>
              <w:ind w:left="567" w:hanging="567"/>
              <w:rPr>
                <w:b/>
                <w:bCs/>
                <w:szCs w:val="22"/>
              </w:rPr>
            </w:pPr>
            <w:r w:rsidRPr="00E51DFE">
              <w:rPr>
                <w:b/>
              </w:rPr>
              <w:t>EASA </w:t>
            </w:r>
            <w:r w:rsidRPr="00E51DFE">
              <w:rPr>
                <w:szCs w:val="22"/>
                <w:vertAlign w:val="superscript"/>
              </w:rPr>
              <w:t>2</w:t>
            </w:r>
          </w:p>
        </w:tc>
        <w:tc>
          <w:tcPr>
            <w:tcW w:w="2038" w:type="dxa"/>
            <w:tcBorders>
              <w:top w:val="single" w:sz="4" w:space="0" w:color="auto"/>
              <w:left w:val="single" w:sz="4" w:space="0" w:color="auto"/>
              <w:bottom w:val="single" w:sz="4" w:space="0" w:color="auto"/>
              <w:right w:val="single" w:sz="4" w:space="0" w:color="auto"/>
            </w:tcBorders>
            <w:noWrap/>
            <w:hideMark/>
          </w:tcPr>
          <w:p w14:paraId="18CB212F" w14:textId="77777777" w:rsidR="00872DB8" w:rsidRPr="00E51DFE" w:rsidRDefault="00872DB8" w:rsidP="001D6593">
            <w:pPr>
              <w:spacing w:after="240"/>
              <w:ind w:hanging="567"/>
              <w:jc w:val="center"/>
              <w:rPr>
                <w:b/>
                <w:bCs/>
                <w:szCs w:val="22"/>
              </w:rPr>
            </w:pPr>
            <w:r w:rsidRPr="00E51DFE">
              <w:rPr>
                <w:b/>
              </w:rPr>
              <w:t xml:space="preserve">169 665 375 </w:t>
            </w:r>
          </w:p>
        </w:tc>
        <w:tc>
          <w:tcPr>
            <w:tcW w:w="2360" w:type="dxa"/>
            <w:tcBorders>
              <w:top w:val="single" w:sz="4" w:space="0" w:color="auto"/>
              <w:left w:val="single" w:sz="4" w:space="0" w:color="auto"/>
              <w:bottom w:val="single" w:sz="4" w:space="0" w:color="auto"/>
              <w:right w:val="single" w:sz="4" w:space="0" w:color="auto"/>
            </w:tcBorders>
            <w:noWrap/>
            <w:hideMark/>
          </w:tcPr>
          <w:p w14:paraId="43C4B901" w14:textId="77777777" w:rsidR="00872DB8" w:rsidRPr="00E51DFE" w:rsidRDefault="00872DB8" w:rsidP="001D6593">
            <w:pPr>
              <w:spacing w:after="240"/>
              <w:ind w:hanging="567"/>
              <w:jc w:val="center"/>
              <w:rPr>
                <w:b/>
                <w:bCs/>
                <w:szCs w:val="22"/>
              </w:rPr>
            </w:pPr>
            <w:r w:rsidRPr="00E51DFE">
              <w:rPr>
                <w:b/>
              </w:rPr>
              <w:t xml:space="preserve">163 367 860 </w:t>
            </w:r>
          </w:p>
        </w:tc>
        <w:tc>
          <w:tcPr>
            <w:tcW w:w="1555" w:type="dxa"/>
            <w:tcBorders>
              <w:top w:val="single" w:sz="4" w:space="0" w:color="auto"/>
              <w:left w:val="single" w:sz="4" w:space="0" w:color="auto"/>
              <w:bottom w:val="single" w:sz="4" w:space="0" w:color="auto"/>
              <w:right w:val="single" w:sz="4" w:space="0" w:color="auto"/>
            </w:tcBorders>
            <w:noWrap/>
            <w:hideMark/>
          </w:tcPr>
          <w:p w14:paraId="6CFA264A" w14:textId="77777777" w:rsidR="00872DB8" w:rsidRPr="00E51DFE" w:rsidRDefault="00872DB8" w:rsidP="001D6593">
            <w:pPr>
              <w:spacing w:after="240"/>
              <w:ind w:hanging="567"/>
              <w:jc w:val="center"/>
              <w:rPr>
                <w:szCs w:val="22"/>
              </w:rPr>
            </w:pPr>
            <w:r w:rsidRPr="00E51DFE">
              <w:t>3,85 </w:t>
            </w:r>
          </w:p>
        </w:tc>
      </w:tr>
      <w:tr w:rsidR="00872DB8" w:rsidRPr="00E51DFE" w14:paraId="08FFF2F6"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C9F668A" w14:textId="77777777" w:rsidR="00872DB8" w:rsidRPr="00E51DFE" w:rsidRDefault="00872DB8" w:rsidP="001D6593">
            <w:pPr>
              <w:spacing w:after="240"/>
              <w:ind w:left="567" w:hanging="567"/>
              <w:rPr>
                <w:b/>
                <w:bCs/>
                <w:szCs w:val="22"/>
              </w:rPr>
            </w:pPr>
            <w:r w:rsidRPr="00E51DFE">
              <w:rPr>
                <w:b/>
              </w:rPr>
              <w:t>EBA</w:t>
            </w:r>
          </w:p>
        </w:tc>
        <w:tc>
          <w:tcPr>
            <w:tcW w:w="2038" w:type="dxa"/>
            <w:tcBorders>
              <w:top w:val="single" w:sz="4" w:space="0" w:color="auto"/>
              <w:left w:val="single" w:sz="4" w:space="0" w:color="auto"/>
              <w:bottom w:val="single" w:sz="4" w:space="0" w:color="auto"/>
              <w:right w:val="single" w:sz="4" w:space="0" w:color="auto"/>
            </w:tcBorders>
            <w:noWrap/>
            <w:hideMark/>
          </w:tcPr>
          <w:p w14:paraId="2A2D6D23" w14:textId="77777777" w:rsidR="00872DB8" w:rsidRPr="00E51DFE" w:rsidRDefault="00872DB8" w:rsidP="001D6593">
            <w:pPr>
              <w:spacing w:after="240"/>
              <w:ind w:hanging="567"/>
              <w:jc w:val="center"/>
              <w:rPr>
                <w:b/>
                <w:bCs/>
                <w:szCs w:val="22"/>
              </w:rPr>
            </w:pPr>
            <w:r w:rsidRPr="00E51DFE">
              <w:rPr>
                <w:b/>
              </w:rPr>
              <w:t xml:space="preserve">52 672 002 </w:t>
            </w:r>
          </w:p>
        </w:tc>
        <w:tc>
          <w:tcPr>
            <w:tcW w:w="2360" w:type="dxa"/>
            <w:tcBorders>
              <w:top w:val="single" w:sz="4" w:space="0" w:color="auto"/>
              <w:left w:val="single" w:sz="4" w:space="0" w:color="auto"/>
              <w:bottom w:val="single" w:sz="4" w:space="0" w:color="auto"/>
              <w:right w:val="single" w:sz="4" w:space="0" w:color="auto"/>
            </w:tcBorders>
            <w:noWrap/>
            <w:hideMark/>
          </w:tcPr>
          <w:p w14:paraId="2BC0A99D" w14:textId="77777777" w:rsidR="00872DB8" w:rsidRPr="00E51DFE" w:rsidRDefault="00872DB8" w:rsidP="001D6593">
            <w:pPr>
              <w:spacing w:after="240"/>
              <w:ind w:hanging="567"/>
              <w:jc w:val="center"/>
              <w:rPr>
                <w:b/>
                <w:bCs/>
                <w:szCs w:val="22"/>
              </w:rPr>
            </w:pPr>
            <w:r w:rsidRPr="00E51DFE">
              <w:rPr>
                <w:b/>
              </w:rPr>
              <w:t xml:space="preserve">50 315 014 </w:t>
            </w:r>
          </w:p>
        </w:tc>
        <w:tc>
          <w:tcPr>
            <w:tcW w:w="1555" w:type="dxa"/>
            <w:tcBorders>
              <w:top w:val="single" w:sz="4" w:space="0" w:color="auto"/>
              <w:left w:val="single" w:sz="4" w:space="0" w:color="auto"/>
              <w:bottom w:val="single" w:sz="4" w:space="0" w:color="auto"/>
              <w:right w:val="single" w:sz="4" w:space="0" w:color="auto"/>
            </w:tcBorders>
            <w:noWrap/>
            <w:hideMark/>
          </w:tcPr>
          <w:p w14:paraId="1937B3F8" w14:textId="77777777" w:rsidR="00872DB8" w:rsidRPr="00E51DFE" w:rsidRDefault="00872DB8" w:rsidP="001D6593">
            <w:pPr>
              <w:spacing w:after="240"/>
              <w:ind w:hanging="567"/>
              <w:jc w:val="center"/>
              <w:rPr>
                <w:szCs w:val="22"/>
              </w:rPr>
            </w:pPr>
            <w:r w:rsidRPr="00E51DFE">
              <w:t>4,68 </w:t>
            </w:r>
          </w:p>
        </w:tc>
      </w:tr>
      <w:tr w:rsidR="00872DB8" w:rsidRPr="00E51DFE" w14:paraId="580BF634"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E186DE1" w14:textId="77777777" w:rsidR="00872DB8" w:rsidRPr="00E51DFE" w:rsidRDefault="00872DB8" w:rsidP="001D6593">
            <w:pPr>
              <w:spacing w:after="240"/>
              <w:ind w:left="567" w:hanging="567"/>
              <w:rPr>
                <w:b/>
                <w:bCs/>
                <w:szCs w:val="22"/>
              </w:rPr>
            </w:pPr>
            <w:r w:rsidRPr="00E51DFE">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6A3C3883" w14:textId="77777777" w:rsidR="00872DB8" w:rsidRPr="00E51DFE" w:rsidRDefault="00872DB8" w:rsidP="001D6593">
            <w:pPr>
              <w:spacing w:after="240"/>
              <w:ind w:hanging="567"/>
              <w:jc w:val="center"/>
              <w:rPr>
                <w:b/>
                <w:bCs/>
                <w:szCs w:val="22"/>
              </w:rPr>
            </w:pPr>
            <w:r w:rsidRPr="00E51DFE">
              <w:rPr>
                <w:b/>
              </w:rPr>
              <w:t xml:space="preserve">102 526 724 </w:t>
            </w:r>
          </w:p>
        </w:tc>
        <w:tc>
          <w:tcPr>
            <w:tcW w:w="2360" w:type="dxa"/>
            <w:tcBorders>
              <w:top w:val="single" w:sz="4" w:space="0" w:color="auto"/>
              <w:left w:val="single" w:sz="4" w:space="0" w:color="auto"/>
              <w:bottom w:val="single" w:sz="4" w:space="0" w:color="auto"/>
              <w:right w:val="single" w:sz="4" w:space="0" w:color="auto"/>
            </w:tcBorders>
            <w:noWrap/>
            <w:hideMark/>
          </w:tcPr>
          <w:p w14:paraId="2350E963" w14:textId="77777777" w:rsidR="00872DB8" w:rsidRPr="00E51DFE" w:rsidRDefault="00872DB8" w:rsidP="001D6593">
            <w:pPr>
              <w:spacing w:after="240"/>
              <w:ind w:hanging="567"/>
              <w:jc w:val="center"/>
              <w:rPr>
                <w:b/>
                <w:bCs/>
                <w:szCs w:val="22"/>
              </w:rPr>
            </w:pPr>
            <w:r w:rsidRPr="00E51DFE">
              <w:rPr>
                <w:b/>
              </w:rPr>
              <w:t xml:space="preserve">112 796 588 </w:t>
            </w:r>
          </w:p>
        </w:tc>
        <w:tc>
          <w:tcPr>
            <w:tcW w:w="1555" w:type="dxa"/>
            <w:tcBorders>
              <w:top w:val="single" w:sz="4" w:space="0" w:color="auto"/>
              <w:left w:val="single" w:sz="4" w:space="0" w:color="auto"/>
              <w:bottom w:val="single" w:sz="4" w:space="0" w:color="auto"/>
              <w:right w:val="single" w:sz="4" w:space="0" w:color="auto"/>
            </w:tcBorders>
            <w:noWrap/>
            <w:hideMark/>
          </w:tcPr>
          <w:p w14:paraId="72162EBD" w14:textId="77777777" w:rsidR="00872DB8" w:rsidRPr="00E51DFE" w:rsidRDefault="00872DB8" w:rsidP="001D6593">
            <w:pPr>
              <w:spacing w:after="240"/>
              <w:ind w:hanging="567"/>
              <w:jc w:val="center"/>
              <w:rPr>
                <w:szCs w:val="22"/>
              </w:rPr>
            </w:pPr>
            <w:r w:rsidRPr="00E51DFE">
              <w:t>–9,10 </w:t>
            </w:r>
          </w:p>
        </w:tc>
      </w:tr>
      <w:tr w:rsidR="00872DB8" w:rsidRPr="00E51DFE" w14:paraId="7C0310A2"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DF1184F" w14:textId="77777777" w:rsidR="00872DB8" w:rsidRPr="00E51DFE" w:rsidRDefault="00872DB8" w:rsidP="001D6593">
            <w:pPr>
              <w:spacing w:after="240"/>
              <w:ind w:left="567" w:hanging="567"/>
              <w:rPr>
                <w:b/>
                <w:bCs/>
                <w:szCs w:val="22"/>
              </w:rPr>
            </w:pPr>
            <w:r w:rsidRPr="00E51DFE">
              <w:rPr>
                <w:b/>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053E6C5D" w14:textId="77777777" w:rsidR="00872DB8" w:rsidRPr="00E51DFE" w:rsidRDefault="00872DB8" w:rsidP="001D6593">
            <w:pPr>
              <w:spacing w:after="240"/>
              <w:ind w:hanging="567"/>
              <w:jc w:val="center"/>
              <w:rPr>
                <w:b/>
                <w:bCs/>
                <w:szCs w:val="22"/>
              </w:rPr>
            </w:pPr>
            <w:r w:rsidRPr="00E51DFE">
              <w:rPr>
                <w:b/>
              </w:rPr>
              <w:t xml:space="preserve">123 280 140 </w:t>
            </w:r>
          </w:p>
        </w:tc>
        <w:tc>
          <w:tcPr>
            <w:tcW w:w="2360" w:type="dxa"/>
            <w:tcBorders>
              <w:top w:val="single" w:sz="4" w:space="0" w:color="auto"/>
              <w:left w:val="single" w:sz="4" w:space="0" w:color="auto"/>
              <w:bottom w:val="single" w:sz="4" w:space="0" w:color="auto"/>
              <w:right w:val="single" w:sz="4" w:space="0" w:color="auto"/>
            </w:tcBorders>
            <w:noWrap/>
            <w:hideMark/>
          </w:tcPr>
          <w:p w14:paraId="46CFE135" w14:textId="77777777" w:rsidR="00872DB8" w:rsidRPr="00E51DFE" w:rsidRDefault="00872DB8" w:rsidP="001D6593">
            <w:pPr>
              <w:spacing w:after="240"/>
              <w:ind w:hanging="567"/>
              <w:jc w:val="center"/>
              <w:rPr>
                <w:b/>
                <w:bCs/>
                <w:szCs w:val="22"/>
              </w:rPr>
            </w:pPr>
            <w:r w:rsidRPr="00E51DFE">
              <w:rPr>
                <w:b/>
              </w:rPr>
              <w:t xml:space="preserve">116 981 740 </w:t>
            </w:r>
          </w:p>
        </w:tc>
        <w:tc>
          <w:tcPr>
            <w:tcW w:w="1555" w:type="dxa"/>
            <w:tcBorders>
              <w:top w:val="single" w:sz="4" w:space="0" w:color="auto"/>
              <w:left w:val="single" w:sz="4" w:space="0" w:color="auto"/>
              <w:bottom w:val="single" w:sz="4" w:space="0" w:color="auto"/>
              <w:right w:val="single" w:sz="4" w:space="0" w:color="auto"/>
            </w:tcBorders>
            <w:noWrap/>
            <w:hideMark/>
          </w:tcPr>
          <w:p w14:paraId="2FFF9BA7" w14:textId="77777777" w:rsidR="00872DB8" w:rsidRPr="00E51DFE" w:rsidRDefault="00872DB8" w:rsidP="001D6593">
            <w:pPr>
              <w:spacing w:after="240"/>
              <w:ind w:hanging="567"/>
              <w:jc w:val="center"/>
              <w:rPr>
                <w:szCs w:val="22"/>
              </w:rPr>
            </w:pPr>
            <w:r w:rsidRPr="00E51DFE">
              <w:t>5,38 </w:t>
            </w:r>
          </w:p>
        </w:tc>
      </w:tr>
      <w:tr w:rsidR="00872DB8" w:rsidRPr="00E51DFE" w14:paraId="51935B4F"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CA2152F" w14:textId="77777777" w:rsidR="00872DB8" w:rsidRPr="00E51DFE" w:rsidRDefault="00872DB8" w:rsidP="001D6593">
            <w:pPr>
              <w:spacing w:after="240"/>
              <w:ind w:left="567" w:hanging="567"/>
              <w:rPr>
                <w:b/>
                <w:bCs/>
                <w:szCs w:val="22"/>
              </w:rPr>
            </w:pPr>
            <w:r w:rsidRPr="00E51DFE">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11136925" w14:textId="77777777" w:rsidR="00872DB8" w:rsidRPr="00E51DFE" w:rsidRDefault="00872DB8" w:rsidP="001D6593">
            <w:pPr>
              <w:spacing w:after="240"/>
              <w:ind w:hanging="567"/>
              <w:jc w:val="center"/>
              <w:rPr>
                <w:b/>
                <w:bCs/>
                <w:szCs w:val="22"/>
              </w:rPr>
            </w:pPr>
            <w:r w:rsidRPr="00E51DFE">
              <w:rPr>
                <w:b/>
              </w:rPr>
              <w:t xml:space="preserve">76 114 130 </w:t>
            </w:r>
          </w:p>
        </w:tc>
        <w:tc>
          <w:tcPr>
            <w:tcW w:w="2360" w:type="dxa"/>
            <w:tcBorders>
              <w:top w:val="single" w:sz="4" w:space="0" w:color="auto"/>
              <w:left w:val="single" w:sz="4" w:space="0" w:color="auto"/>
              <w:bottom w:val="single" w:sz="4" w:space="0" w:color="auto"/>
              <w:right w:val="single" w:sz="4" w:space="0" w:color="auto"/>
            </w:tcBorders>
            <w:noWrap/>
            <w:hideMark/>
          </w:tcPr>
          <w:p w14:paraId="30B56558" w14:textId="77777777" w:rsidR="00872DB8" w:rsidRPr="00E51DFE" w:rsidRDefault="00872DB8" w:rsidP="001D6593">
            <w:pPr>
              <w:spacing w:after="240"/>
              <w:ind w:hanging="567"/>
              <w:jc w:val="center"/>
              <w:rPr>
                <w:b/>
                <w:bCs/>
                <w:szCs w:val="22"/>
              </w:rPr>
            </w:pPr>
            <w:r w:rsidRPr="00E51DFE">
              <w:rPr>
                <w:b/>
              </w:rPr>
              <w:t xml:space="preserve">92 863 021 </w:t>
            </w:r>
          </w:p>
        </w:tc>
        <w:tc>
          <w:tcPr>
            <w:tcW w:w="1555" w:type="dxa"/>
            <w:tcBorders>
              <w:top w:val="single" w:sz="4" w:space="0" w:color="auto"/>
              <w:left w:val="single" w:sz="4" w:space="0" w:color="auto"/>
              <w:bottom w:val="single" w:sz="4" w:space="0" w:color="auto"/>
              <w:right w:val="single" w:sz="4" w:space="0" w:color="auto"/>
            </w:tcBorders>
            <w:noWrap/>
            <w:hideMark/>
          </w:tcPr>
          <w:p w14:paraId="39FD9D96" w14:textId="77777777" w:rsidR="00872DB8" w:rsidRPr="00E51DFE" w:rsidRDefault="00872DB8" w:rsidP="001D6593">
            <w:pPr>
              <w:spacing w:after="240"/>
              <w:ind w:hanging="567"/>
              <w:jc w:val="center"/>
              <w:rPr>
                <w:szCs w:val="22"/>
              </w:rPr>
            </w:pPr>
            <w:r w:rsidRPr="00E51DFE">
              <w:t>–18,04 </w:t>
            </w:r>
          </w:p>
        </w:tc>
      </w:tr>
      <w:tr w:rsidR="00872DB8" w:rsidRPr="00E51DFE" w14:paraId="7D50BA38"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22BB0C" w14:textId="77777777" w:rsidR="00872DB8" w:rsidRPr="00E51DFE" w:rsidRDefault="00872DB8" w:rsidP="001D6593">
            <w:pPr>
              <w:spacing w:after="240"/>
              <w:ind w:left="567" w:hanging="567"/>
              <w:rPr>
                <w:b/>
                <w:bCs/>
                <w:szCs w:val="22"/>
              </w:rPr>
            </w:pPr>
            <w:r w:rsidRPr="00E51DFE">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586E6A90" w14:textId="77777777" w:rsidR="00872DB8" w:rsidRPr="00E51DFE" w:rsidRDefault="00872DB8" w:rsidP="001D6593">
            <w:pPr>
              <w:spacing w:after="240"/>
              <w:ind w:hanging="567"/>
              <w:jc w:val="center"/>
              <w:rPr>
                <w:b/>
                <w:bCs/>
                <w:szCs w:val="22"/>
              </w:rPr>
            </w:pPr>
            <w:r w:rsidRPr="00E51DFE">
              <w:rPr>
                <w:b/>
              </w:rPr>
              <w:t xml:space="preserve">30 862 554 </w:t>
            </w:r>
          </w:p>
        </w:tc>
        <w:tc>
          <w:tcPr>
            <w:tcW w:w="2360" w:type="dxa"/>
            <w:tcBorders>
              <w:top w:val="single" w:sz="4" w:space="0" w:color="auto"/>
              <w:left w:val="single" w:sz="4" w:space="0" w:color="auto"/>
              <w:bottom w:val="single" w:sz="4" w:space="0" w:color="auto"/>
              <w:right w:val="single" w:sz="4" w:space="0" w:color="auto"/>
            </w:tcBorders>
            <w:noWrap/>
            <w:hideMark/>
          </w:tcPr>
          <w:p w14:paraId="1EFB00CA" w14:textId="77777777" w:rsidR="00872DB8" w:rsidRPr="00E51DFE" w:rsidRDefault="00872DB8" w:rsidP="001D6593">
            <w:pPr>
              <w:spacing w:after="240"/>
              <w:ind w:hanging="567"/>
              <w:jc w:val="center"/>
              <w:rPr>
                <w:b/>
                <w:bCs/>
                <w:szCs w:val="22"/>
              </w:rPr>
            </w:pPr>
            <w:r w:rsidRPr="00E51DFE">
              <w:rPr>
                <w:b/>
              </w:rPr>
              <w:t xml:space="preserve">35 734 297 </w:t>
            </w:r>
          </w:p>
        </w:tc>
        <w:tc>
          <w:tcPr>
            <w:tcW w:w="1555" w:type="dxa"/>
            <w:tcBorders>
              <w:top w:val="single" w:sz="4" w:space="0" w:color="auto"/>
              <w:left w:val="single" w:sz="4" w:space="0" w:color="auto"/>
              <w:bottom w:val="single" w:sz="4" w:space="0" w:color="auto"/>
              <w:right w:val="single" w:sz="4" w:space="0" w:color="auto"/>
            </w:tcBorders>
            <w:noWrap/>
            <w:hideMark/>
          </w:tcPr>
          <w:p w14:paraId="1E59FD22" w14:textId="77777777" w:rsidR="00872DB8" w:rsidRPr="00E51DFE" w:rsidRDefault="00872DB8" w:rsidP="001D6593">
            <w:pPr>
              <w:spacing w:after="240"/>
              <w:ind w:hanging="567"/>
              <w:jc w:val="center"/>
              <w:rPr>
                <w:szCs w:val="22"/>
              </w:rPr>
            </w:pPr>
            <w:r w:rsidRPr="00E51DFE">
              <w:t>–13,63 </w:t>
            </w:r>
          </w:p>
        </w:tc>
      </w:tr>
      <w:tr w:rsidR="00872DB8" w:rsidRPr="00E51DFE" w14:paraId="45527EF1"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D04F161" w14:textId="77777777" w:rsidR="00872DB8" w:rsidRPr="00E51DFE" w:rsidRDefault="00872DB8" w:rsidP="001D6593">
            <w:pPr>
              <w:spacing w:after="240"/>
              <w:ind w:left="567" w:hanging="567"/>
              <w:rPr>
                <w:b/>
                <w:bCs/>
                <w:szCs w:val="22"/>
              </w:rPr>
            </w:pPr>
            <w:r w:rsidRPr="00E51DFE">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61ACD39A" w14:textId="77777777" w:rsidR="00872DB8" w:rsidRPr="00E51DFE" w:rsidRDefault="00872DB8" w:rsidP="001D6593">
            <w:pPr>
              <w:spacing w:after="240"/>
              <w:ind w:hanging="567"/>
              <w:jc w:val="center"/>
              <w:rPr>
                <w:b/>
                <w:bCs/>
                <w:szCs w:val="22"/>
              </w:rPr>
            </w:pPr>
            <w:r w:rsidRPr="00E51DFE">
              <w:rPr>
                <w:b/>
              </w:rPr>
              <w:t xml:space="preserve">148 954 729 </w:t>
            </w:r>
          </w:p>
        </w:tc>
        <w:tc>
          <w:tcPr>
            <w:tcW w:w="2360" w:type="dxa"/>
            <w:tcBorders>
              <w:top w:val="single" w:sz="4" w:space="0" w:color="auto"/>
              <w:left w:val="single" w:sz="4" w:space="0" w:color="auto"/>
              <w:bottom w:val="single" w:sz="4" w:space="0" w:color="auto"/>
              <w:right w:val="single" w:sz="4" w:space="0" w:color="auto"/>
            </w:tcBorders>
            <w:noWrap/>
            <w:hideMark/>
          </w:tcPr>
          <w:p w14:paraId="3E3EB215" w14:textId="77777777" w:rsidR="00872DB8" w:rsidRPr="00E51DFE" w:rsidRDefault="00872DB8" w:rsidP="001D6593">
            <w:pPr>
              <w:spacing w:after="240"/>
              <w:ind w:hanging="567"/>
              <w:jc w:val="center"/>
              <w:rPr>
                <w:b/>
                <w:bCs/>
                <w:szCs w:val="22"/>
              </w:rPr>
            </w:pPr>
            <w:r w:rsidRPr="00E51DFE">
              <w:rPr>
                <w:b/>
              </w:rPr>
              <w:t xml:space="preserve">134 773 287 </w:t>
            </w:r>
          </w:p>
        </w:tc>
        <w:tc>
          <w:tcPr>
            <w:tcW w:w="1555" w:type="dxa"/>
            <w:tcBorders>
              <w:top w:val="single" w:sz="4" w:space="0" w:color="auto"/>
              <w:left w:val="single" w:sz="4" w:space="0" w:color="auto"/>
              <w:bottom w:val="single" w:sz="4" w:space="0" w:color="auto"/>
              <w:right w:val="single" w:sz="4" w:space="0" w:color="auto"/>
            </w:tcBorders>
            <w:noWrap/>
            <w:hideMark/>
          </w:tcPr>
          <w:p w14:paraId="0642A221" w14:textId="77777777" w:rsidR="00872DB8" w:rsidRPr="00E51DFE" w:rsidRDefault="00872DB8" w:rsidP="001D6593">
            <w:pPr>
              <w:spacing w:after="240"/>
              <w:ind w:hanging="567"/>
              <w:jc w:val="center"/>
              <w:rPr>
                <w:szCs w:val="22"/>
              </w:rPr>
            </w:pPr>
            <w:r w:rsidRPr="00E51DFE">
              <w:t>10,52 </w:t>
            </w:r>
          </w:p>
        </w:tc>
      </w:tr>
      <w:tr w:rsidR="00872DB8" w:rsidRPr="00E51DFE" w14:paraId="7F6D85D3"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8DCAAD0" w14:textId="77777777" w:rsidR="00872DB8" w:rsidRPr="00E51DFE" w:rsidRDefault="00872DB8" w:rsidP="001D6593">
            <w:pPr>
              <w:spacing w:after="240"/>
              <w:ind w:left="567" w:hanging="567"/>
              <w:rPr>
                <w:b/>
                <w:bCs/>
                <w:szCs w:val="22"/>
              </w:rPr>
            </w:pPr>
            <w:r w:rsidRPr="00E51DFE">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14919713" w14:textId="77777777" w:rsidR="00872DB8" w:rsidRPr="00E51DFE" w:rsidRDefault="00872DB8" w:rsidP="001D6593">
            <w:pPr>
              <w:spacing w:after="240"/>
              <w:ind w:hanging="567"/>
              <w:jc w:val="center"/>
              <w:rPr>
                <w:b/>
                <w:bCs/>
                <w:szCs w:val="22"/>
              </w:rPr>
            </w:pPr>
            <w:r w:rsidRPr="00E51DFE">
              <w:rPr>
                <w:b/>
              </w:rPr>
              <w:t xml:space="preserve">9 358 919 </w:t>
            </w:r>
          </w:p>
        </w:tc>
        <w:tc>
          <w:tcPr>
            <w:tcW w:w="2360" w:type="dxa"/>
            <w:tcBorders>
              <w:top w:val="single" w:sz="4" w:space="0" w:color="auto"/>
              <w:left w:val="single" w:sz="4" w:space="0" w:color="auto"/>
              <w:bottom w:val="single" w:sz="4" w:space="0" w:color="auto"/>
              <w:right w:val="single" w:sz="4" w:space="0" w:color="auto"/>
            </w:tcBorders>
            <w:noWrap/>
            <w:hideMark/>
          </w:tcPr>
          <w:p w14:paraId="305D7F82" w14:textId="77777777" w:rsidR="00872DB8" w:rsidRPr="00E51DFE" w:rsidRDefault="00872DB8" w:rsidP="001D6593">
            <w:pPr>
              <w:spacing w:after="240"/>
              <w:ind w:hanging="567"/>
              <w:jc w:val="center"/>
              <w:rPr>
                <w:b/>
                <w:bCs/>
                <w:szCs w:val="22"/>
              </w:rPr>
            </w:pPr>
            <w:r w:rsidRPr="00E51DFE">
              <w:rPr>
                <w:b/>
              </w:rPr>
              <w:t xml:space="preserve">8 432 920 </w:t>
            </w:r>
          </w:p>
        </w:tc>
        <w:tc>
          <w:tcPr>
            <w:tcW w:w="1555" w:type="dxa"/>
            <w:tcBorders>
              <w:top w:val="single" w:sz="4" w:space="0" w:color="auto"/>
              <w:left w:val="single" w:sz="4" w:space="0" w:color="auto"/>
              <w:bottom w:val="single" w:sz="4" w:space="0" w:color="auto"/>
              <w:right w:val="single" w:sz="4" w:space="0" w:color="auto"/>
            </w:tcBorders>
            <w:noWrap/>
            <w:hideMark/>
          </w:tcPr>
          <w:p w14:paraId="0DF15C45" w14:textId="77777777" w:rsidR="00872DB8" w:rsidRPr="00E51DFE" w:rsidRDefault="00872DB8" w:rsidP="001D6593">
            <w:pPr>
              <w:spacing w:after="240"/>
              <w:ind w:hanging="567"/>
              <w:jc w:val="center"/>
              <w:rPr>
                <w:szCs w:val="22"/>
              </w:rPr>
            </w:pPr>
            <w:r w:rsidRPr="00E51DFE">
              <w:t>10,98 </w:t>
            </w:r>
          </w:p>
        </w:tc>
      </w:tr>
      <w:tr w:rsidR="00872DB8" w:rsidRPr="00E51DFE" w14:paraId="4E50B902"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7B3E9CA" w14:textId="77777777" w:rsidR="00872DB8" w:rsidRPr="00E51DFE" w:rsidRDefault="00872DB8" w:rsidP="001D6593">
            <w:pPr>
              <w:spacing w:after="240"/>
              <w:ind w:left="567" w:hanging="567"/>
              <w:rPr>
                <w:b/>
                <w:bCs/>
                <w:szCs w:val="22"/>
              </w:rPr>
            </w:pPr>
            <w:r w:rsidRPr="00E51DFE">
              <w:rPr>
                <w:b/>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3C1CA0DB" w14:textId="77777777" w:rsidR="00872DB8" w:rsidRPr="00E51DFE" w:rsidRDefault="00872DB8" w:rsidP="001D6593">
            <w:pPr>
              <w:spacing w:after="240"/>
              <w:ind w:hanging="567"/>
              <w:jc w:val="center"/>
              <w:rPr>
                <w:b/>
                <w:bCs/>
                <w:szCs w:val="22"/>
              </w:rPr>
            </w:pPr>
            <w:r w:rsidRPr="00E51DFE">
              <w:rPr>
                <w:b/>
              </w:rPr>
              <w:t xml:space="preserve">36 714 492 </w:t>
            </w:r>
          </w:p>
        </w:tc>
        <w:tc>
          <w:tcPr>
            <w:tcW w:w="2360" w:type="dxa"/>
            <w:tcBorders>
              <w:top w:val="single" w:sz="4" w:space="0" w:color="auto"/>
              <w:left w:val="single" w:sz="4" w:space="0" w:color="auto"/>
              <w:bottom w:val="single" w:sz="4" w:space="0" w:color="auto"/>
              <w:right w:val="single" w:sz="4" w:space="0" w:color="auto"/>
            </w:tcBorders>
            <w:noWrap/>
            <w:hideMark/>
          </w:tcPr>
          <w:p w14:paraId="3153CD6C" w14:textId="77777777" w:rsidR="00872DB8" w:rsidRPr="00E51DFE" w:rsidRDefault="00872DB8" w:rsidP="001D6593">
            <w:pPr>
              <w:spacing w:after="240"/>
              <w:ind w:hanging="567"/>
              <w:jc w:val="center"/>
              <w:rPr>
                <w:b/>
                <w:bCs/>
                <w:szCs w:val="22"/>
              </w:rPr>
            </w:pPr>
            <w:r w:rsidRPr="00E51DFE">
              <w:rPr>
                <w:b/>
              </w:rPr>
              <w:t xml:space="preserve">34 571 120 </w:t>
            </w:r>
          </w:p>
        </w:tc>
        <w:tc>
          <w:tcPr>
            <w:tcW w:w="1555" w:type="dxa"/>
            <w:tcBorders>
              <w:top w:val="single" w:sz="4" w:space="0" w:color="auto"/>
              <w:left w:val="single" w:sz="4" w:space="0" w:color="auto"/>
              <w:bottom w:val="single" w:sz="4" w:space="0" w:color="auto"/>
              <w:right w:val="single" w:sz="4" w:space="0" w:color="auto"/>
            </w:tcBorders>
            <w:noWrap/>
            <w:hideMark/>
          </w:tcPr>
          <w:p w14:paraId="76FC763B" w14:textId="77777777" w:rsidR="00872DB8" w:rsidRPr="00E51DFE" w:rsidRDefault="00872DB8" w:rsidP="001D6593">
            <w:pPr>
              <w:spacing w:after="240"/>
              <w:ind w:hanging="567"/>
              <w:jc w:val="center"/>
              <w:rPr>
                <w:szCs w:val="22"/>
              </w:rPr>
            </w:pPr>
            <w:r w:rsidRPr="00E51DFE">
              <w:t>6,20 </w:t>
            </w:r>
          </w:p>
        </w:tc>
      </w:tr>
      <w:tr w:rsidR="00872DB8" w:rsidRPr="00E51DFE" w14:paraId="353E7392"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D65A12" w14:textId="77777777" w:rsidR="00872DB8" w:rsidRPr="00E51DFE" w:rsidRDefault="00872DB8" w:rsidP="001D6593">
            <w:pPr>
              <w:spacing w:after="240"/>
              <w:ind w:left="567" w:hanging="567"/>
              <w:rPr>
                <w:b/>
                <w:bCs/>
                <w:szCs w:val="22"/>
              </w:rPr>
            </w:pPr>
            <w:r w:rsidRPr="00E51DFE">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7F4A1DEE" w14:textId="77777777" w:rsidR="00872DB8" w:rsidRPr="00E51DFE" w:rsidRDefault="00872DB8" w:rsidP="001D6593">
            <w:pPr>
              <w:spacing w:after="240"/>
              <w:ind w:hanging="567"/>
              <w:jc w:val="center"/>
              <w:rPr>
                <w:b/>
                <w:bCs/>
                <w:szCs w:val="22"/>
              </w:rPr>
            </w:pPr>
            <w:r w:rsidRPr="00E51DFE">
              <w:rPr>
                <w:b/>
              </w:rPr>
              <w:t xml:space="preserve">367 607 241 </w:t>
            </w:r>
          </w:p>
        </w:tc>
        <w:tc>
          <w:tcPr>
            <w:tcW w:w="2360" w:type="dxa"/>
            <w:tcBorders>
              <w:top w:val="single" w:sz="4" w:space="0" w:color="auto"/>
              <w:left w:val="single" w:sz="4" w:space="0" w:color="auto"/>
              <w:bottom w:val="single" w:sz="4" w:space="0" w:color="auto"/>
              <w:right w:val="single" w:sz="4" w:space="0" w:color="auto"/>
            </w:tcBorders>
            <w:noWrap/>
            <w:hideMark/>
          </w:tcPr>
          <w:p w14:paraId="596B38E8" w14:textId="77777777" w:rsidR="00872DB8" w:rsidRPr="00E51DFE" w:rsidRDefault="00872DB8" w:rsidP="001D6593">
            <w:pPr>
              <w:spacing w:after="240"/>
              <w:ind w:hanging="567"/>
              <w:jc w:val="center"/>
              <w:rPr>
                <w:b/>
                <w:bCs/>
                <w:szCs w:val="22"/>
              </w:rPr>
            </w:pPr>
            <w:r w:rsidRPr="00E51DFE">
              <w:rPr>
                <w:b/>
              </w:rPr>
              <w:t xml:space="preserve">448 920 650 </w:t>
            </w:r>
          </w:p>
        </w:tc>
        <w:tc>
          <w:tcPr>
            <w:tcW w:w="1555" w:type="dxa"/>
            <w:tcBorders>
              <w:top w:val="single" w:sz="4" w:space="0" w:color="auto"/>
              <w:left w:val="single" w:sz="4" w:space="0" w:color="auto"/>
              <w:bottom w:val="single" w:sz="4" w:space="0" w:color="auto"/>
              <w:right w:val="single" w:sz="4" w:space="0" w:color="auto"/>
            </w:tcBorders>
            <w:noWrap/>
            <w:hideMark/>
          </w:tcPr>
          <w:p w14:paraId="01730975" w14:textId="77777777" w:rsidR="00872DB8" w:rsidRPr="00E51DFE" w:rsidRDefault="00872DB8" w:rsidP="001D6593">
            <w:pPr>
              <w:spacing w:after="240"/>
              <w:ind w:hanging="567"/>
              <w:jc w:val="center"/>
              <w:rPr>
                <w:szCs w:val="22"/>
              </w:rPr>
            </w:pPr>
            <w:r w:rsidRPr="00E51DFE">
              <w:t>–18,11 </w:t>
            </w:r>
          </w:p>
        </w:tc>
      </w:tr>
      <w:tr w:rsidR="00872DB8" w:rsidRPr="00E51DFE" w14:paraId="5829CB60"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E46602" w14:textId="77777777" w:rsidR="00872DB8" w:rsidRPr="00E51DFE" w:rsidRDefault="00872DB8" w:rsidP="001D6593">
            <w:pPr>
              <w:spacing w:after="240"/>
              <w:ind w:left="567" w:hanging="567"/>
              <w:rPr>
                <w:b/>
                <w:bCs/>
                <w:szCs w:val="22"/>
              </w:rPr>
            </w:pPr>
            <w:r w:rsidRPr="00E51DFE">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502A2205" w14:textId="77777777" w:rsidR="00872DB8" w:rsidRPr="00E51DFE" w:rsidRDefault="00872DB8" w:rsidP="001D6593">
            <w:pPr>
              <w:spacing w:after="240"/>
              <w:ind w:hanging="567"/>
              <w:jc w:val="center"/>
              <w:rPr>
                <w:b/>
                <w:bCs/>
                <w:szCs w:val="22"/>
              </w:rPr>
            </w:pPr>
            <w:r w:rsidRPr="00E51DFE">
              <w:rPr>
                <w:b/>
              </w:rPr>
              <w:t xml:space="preserve">39 973 330 </w:t>
            </w:r>
          </w:p>
        </w:tc>
        <w:tc>
          <w:tcPr>
            <w:tcW w:w="2360" w:type="dxa"/>
            <w:tcBorders>
              <w:top w:val="single" w:sz="4" w:space="0" w:color="auto"/>
              <w:left w:val="single" w:sz="4" w:space="0" w:color="auto"/>
              <w:bottom w:val="single" w:sz="4" w:space="0" w:color="auto"/>
              <w:right w:val="single" w:sz="4" w:space="0" w:color="auto"/>
            </w:tcBorders>
            <w:noWrap/>
            <w:hideMark/>
          </w:tcPr>
          <w:p w14:paraId="7B680051" w14:textId="77777777" w:rsidR="00872DB8" w:rsidRPr="00E51DFE" w:rsidRDefault="00872DB8" w:rsidP="001D6593">
            <w:pPr>
              <w:spacing w:after="240"/>
              <w:ind w:hanging="567"/>
              <w:jc w:val="center"/>
              <w:rPr>
                <w:b/>
                <w:bCs/>
                <w:szCs w:val="22"/>
              </w:rPr>
            </w:pPr>
            <w:r w:rsidRPr="00E51DFE">
              <w:rPr>
                <w:b/>
              </w:rPr>
              <w:t xml:space="preserve">34 689 842 </w:t>
            </w:r>
          </w:p>
        </w:tc>
        <w:tc>
          <w:tcPr>
            <w:tcW w:w="1555" w:type="dxa"/>
            <w:tcBorders>
              <w:top w:val="single" w:sz="4" w:space="0" w:color="auto"/>
              <w:left w:val="single" w:sz="4" w:space="0" w:color="auto"/>
              <w:bottom w:val="single" w:sz="4" w:space="0" w:color="auto"/>
              <w:right w:val="single" w:sz="4" w:space="0" w:color="auto"/>
            </w:tcBorders>
            <w:noWrap/>
            <w:hideMark/>
          </w:tcPr>
          <w:p w14:paraId="5FE10FD8" w14:textId="77777777" w:rsidR="00872DB8" w:rsidRPr="00E51DFE" w:rsidRDefault="00872DB8" w:rsidP="001D6593">
            <w:pPr>
              <w:spacing w:after="240"/>
              <w:ind w:hanging="567"/>
              <w:jc w:val="center"/>
              <w:rPr>
                <w:szCs w:val="22"/>
              </w:rPr>
            </w:pPr>
            <w:r w:rsidRPr="00E51DFE">
              <w:t>15,23 </w:t>
            </w:r>
          </w:p>
        </w:tc>
      </w:tr>
      <w:tr w:rsidR="00872DB8" w:rsidRPr="00E51DFE" w14:paraId="1F676D1A"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66C1005" w14:textId="77777777" w:rsidR="00872DB8" w:rsidRPr="00E51DFE" w:rsidRDefault="00872DB8" w:rsidP="001D6593">
            <w:pPr>
              <w:spacing w:after="240"/>
              <w:ind w:left="567" w:hanging="567"/>
              <w:rPr>
                <w:b/>
                <w:bCs/>
                <w:szCs w:val="22"/>
              </w:rPr>
            </w:pPr>
            <w:r w:rsidRPr="00E51DFE">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0AAF6A1C" w14:textId="77777777" w:rsidR="00872DB8" w:rsidRPr="00E51DFE" w:rsidRDefault="00872DB8" w:rsidP="001D6593">
            <w:pPr>
              <w:spacing w:after="240"/>
              <w:ind w:hanging="567"/>
              <w:jc w:val="center"/>
              <w:rPr>
                <w:b/>
                <w:bCs/>
                <w:szCs w:val="22"/>
              </w:rPr>
            </w:pPr>
            <w:r w:rsidRPr="00E51DFE">
              <w:rPr>
                <w:b/>
              </w:rPr>
              <w:t xml:space="preserve">448 603 000 </w:t>
            </w:r>
          </w:p>
        </w:tc>
        <w:tc>
          <w:tcPr>
            <w:tcW w:w="2360" w:type="dxa"/>
            <w:tcBorders>
              <w:top w:val="single" w:sz="4" w:space="0" w:color="auto"/>
              <w:left w:val="single" w:sz="4" w:space="0" w:color="auto"/>
              <w:bottom w:val="single" w:sz="4" w:space="0" w:color="auto"/>
              <w:right w:val="single" w:sz="4" w:space="0" w:color="auto"/>
            </w:tcBorders>
            <w:noWrap/>
            <w:hideMark/>
          </w:tcPr>
          <w:p w14:paraId="068662EE" w14:textId="77777777" w:rsidR="00872DB8" w:rsidRPr="00E51DFE" w:rsidRDefault="00872DB8" w:rsidP="001D6593">
            <w:pPr>
              <w:spacing w:after="240"/>
              <w:ind w:hanging="567"/>
              <w:jc w:val="center"/>
              <w:rPr>
                <w:b/>
                <w:bCs/>
                <w:szCs w:val="22"/>
              </w:rPr>
            </w:pPr>
            <w:r w:rsidRPr="00E51DFE">
              <w:rPr>
                <w:b/>
              </w:rPr>
              <w:t xml:space="preserve">421 815 000 </w:t>
            </w:r>
          </w:p>
        </w:tc>
        <w:tc>
          <w:tcPr>
            <w:tcW w:w="1555" w:type="dxa"/>
            <w:tcBorders>
              <w:top w:val="single" w:sz="4" w:space="0" w:color="auto"/>
              <w:left w:val="single" w:sz="4" w:space="0" w:color="auto"/>
              <w:bottom w:val="single" w:sz="4" w:space="0" w:color="auto"/>
              <w:right w:val="single" w:sz="4" w:space="0" w:color="auto"/>
            </w:tcBorders>
            <w:noWrap/>
            <w:hideMark/>
          </w:tcPr>
          <w:p w14:paraId="6C8E051F" w14:textId="77777777" w:rsidR="00872DB8" w:rsidRPr="00E51DFE" w:rsidRDefault="00872DB8" w:rsidP="001D6593">
            <w:pPr>
              <w:spacing w:after="240"/>
              <w:ind w:hanging="567"/>
              <w:jc w:val="center"/>
              <w:rPr>
                <w:szCs w:val="22"/>
              </w:rPr>
            </w:pPr>
            <w:r w:rsidRPr="00E51DFE">
              <w:t>6,35 </w:t>
            </w:r>
          </w:p>
        </w:tc>
      </w:tr>
      <w:tr w:rsidR="00872DB8" w:rsidRPr="00E51DFE" w14:paraId="5A59089B"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DD13537" w14:textId="77777777" w:rsidR="00872DB8" w:rsidRPr="00E51DFE" w:rsidRDefault="00872DB8" w:rsidP="001D6593">
            <w:pPr>
              <w:spacing w:after="240"/>
              <w:ind w:left="567" w:hanging="567"/>
              <w:rPr>
                <w:b/>
                <w:bCs/>
                <w:szCs w:val="22"/>
              </w:rPr>
            </w:pPr>
            <w:r w:rsidRPr="00E51DFE">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3DF376B7" w14:textId="77777777" w:rsidR="00872DB8" w:rsidRPr="00E51DFE" w:rsidRDefault="00872DB8" w:rsidP="001D6593">
            <w:pPr>
              <w:spacing w:after="240"/>
              <w:ind w:hanging="567"/>
              <w:jc w:val="center"/>
              <w:rPr>
                <w:b/>
                <w:bCs/>
                <w:szCs w:val="22"/>
              </w:rPr>
            </w:pPr>
            <w:r w:rsidRPr="00E51DFE">
              <w:rPr>
                <w:b/>
              </w:rPr>
              <w:t xml:space="preserve">22 082 074 </w:t>
            </w:r>
          </w:p>
        </w:tc>
        <w:tc>
          <w:tcPr>
            <w:tcW w:w="2360" w:type="dxa"/>
            <w:tcBorders>
              <w:top w:val="single" w:sz="4" w:space="0" w:color="auto"/>
              <w:left w:val="single" w:sz="4" w:space="0" w:color="auto"/>
              <w:bottom w:val="single" w:sz="4" w:space="0" w:color="auto"/>
              <w:right w:val="single" w:sz="4" w:space="0" w:color="auto"/>
            </w:tcBorders>
            <w:noWrap/>
            <w:hideMark/>
          </w:tcPr>
          <w:p w14:paraId="401E2E5C" w14:textId="77777777" w:rsidR="00872DB8" w:rsidRPr="00E51DFE" w:rsidRDefault="00872DB8" w:rsidP="001D6593">
            <w:pPr>
              <w:spacing w:after="240"/>
              <w:ind w:hanging="567"/>
              <w:jc w:val="center"/>
              <w:rPr>
                <w:b/>
                <w:bCs/>
                <w:szCs w:val="22"/>
              </w:rPr>
            </w:pPr>
            <w:r w:rsidRPr="00E51DFE">
              <w:rPr>
                <w:b/>
              </w:rPr>
              <w:t xml:space="preserve">18 839 136 </w:t>
            </w:r>
          </w:p>
        </w:tc>
        <w:tc>
          <w:tcPr>
            <w:tcW w:w="1555" w:type="dxa"/>
            <w:tcBorders>
              <w:top w:val="single" w:sz="4" w:space="0" w:color="auto"/>
              <w:left w:val="single" w:sz="4" w:space="0" w:color="auto"/>
              <w:bottom w:val="single" w:sz="4" w:space="0" w:color="auto"/>
              <w:right w:val="single" w:sz="4" w:space="0" w:color="auto"/>
            </w:tcBorders>
            <w:noWrap/>
            <w:hideMark/>
          </w:tcPr>
          <w:p w14:paraId="60E55E21" w14:textId="77777777" w:rsidR="00872DB8" w:rsidRPr="00E51DFE" w:rsidRDefault="00872DB8" w:rsidP="001D6593">
            <w:pPr>
              <w:spacing w:after="240"/>
              <w:ind w:hanging="567"/>
              <w:jc w:val="center"/>
              <w:rPr>
                <w:szCs w:val="22"/>
              </w:rPr>
            </w:pPr>
            <w:r w:rsidRPr="00E51DFE">
              <w:t>17,21 </w:t>
            </w:r>
          </w:p>
        </w:tc>
      </w:tr>
      <w:tr w:rsidR="00872DB8" w:rsidRPr="00E51DFE" w14:paraId="7ED2F9D3"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4ABFC60" w14:textId="77777777" w:rsidR="00872DB8" w:rsidRPr="00E51DFE" w:rsidRDefault="00872DB8" w:rsidP="001D6593">
            <w:pPr>
              <w:spacing w:after="240"/>
              <w:ind w:left="567" w:hanging="567"/>
              <w:rPr>
                <w:b/>
                <w:bCs/>
                <w:szCs w:val="22"/>
              </w:rPr>
            </w:pPr>
            <w:r w:rsidRPr="00E51DFE">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74FDAF16" w14:textId="77777777" w:rsidR="00872DB8" w:rsidRPr="00E51DFE" w:rsidRDefault="00872DB8" w:rsidP="001D6593">
            <w:pPr>
              <w:spacing w:after="240"/>
              <w:ind w:hanging="567"/>
              <w:jc w:val="center"/>
              <w:rPr>
                <w:b/>
                <w:bCs/>
                <w:szCs w:val="22"/>
              </w:rPr>
            </w:pPr>
            <w:r w:rsidRPr="00E51DFE">
              <w:rPr>
                <w:b/>
              </w:rPr>
              <w:t xml:space="preserve">111 954 231 </w:t>
            </w:r>
          </w:p>
        </w:tc>
        <w:tc>
          <w:tcPr>
            <w:tcW w:w="2360" w:type="dxa"/>
            <w:tcBorders>
              <w:top w:val="single" w:sz="4" w:space="0" w:color="auto"/>
              <w:left w:val="single" w:sz="4" w:space="0" w:color="auto"/>
              <w:bottom w:val="single" w:sz="4" w:space="0" w:color="auto"/>
              <w:right w:val="single" w:sz="4" w:space="0" w:color="auto"/>
            </w:tcBorders>
            <w:noWrap/>
            <w:hideMark/>
          </w:tcPr>
          <w:p w14:paraId="4332D262" w14:textId="77777777" w:rsidR="00872DB8" w:rsidRPr="00E51DFE" w:rsidRDefault="00872DB8" w:rsidP="001D6593">
            <w:pPr>
              <w:spacing w:after="240"/>
              <w:ind w:hanging="567"/>
              <w:jc w:val="center"/>
              <w:rPr>
                <w:b/>
                <w:bCs/>
                <w:szCs w:val="22"/>
              </w:rPr>
            </w:pPr>
            <w:r w:rsidRPr="00E51DFE">
              <w:rPr>
                <w:b/>
              </w:rPr>
              <w:t xml:space="preserve">115 807 270 </w:t>
            </w:r>
          </w:p>
        </w:tc>
        <w:tc>
          <w:tcPr>
            <w:tcW w:w="1555" w:type="dxa"/>
            <w:tcBorders>
              <w:top w:val="single" w:sz="4" w:space="0" w:color="auto"/>
              <w:left w:val="single" w:sz="4" w:space="0" w:color="auto"/>
              <w:bottom w:val="single" w:sz="4" w:space="0" w:color="auto"/>
              <w:right w:val="single" w:sz="4" w:space="0" w:color="auto"/>
            </w:tcBorders>
            <w:noWrap/>
            <w:hideMark/>
          </w:tcPr>
          <w:p w14:paraId="0FBDC8F4" w14:textId="77777777" w:rsidR="00872DB8" w:rsidRPr="00E51DFE" w:rsidRDefault="00872DB8" w:rsidP="001D6593">
            <w:pPr>
              <w:spacing w:after="240"/>
              <w:ind w:hanging="567"/>
              <w:jc w:val="center"/>
              <w:rPr>
                <w:szCs w:val="22"/>
              </w:rPr>
            </w:pPr>
            <w:r w:rsidRPr="00E51DFE">
              <w:t>–3,33 </w:t>
            </w:r>
          </w:p>
        </w:tc>
      </w:tr>
      <w:tr w:rsidR="00872DB8" w:rsidRPr="00E51DFE" w14:paraId="791722BF"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C714E6" w14:textId="77777777" w:rsidR="00872DB8" w:rsidRPr="00E51DFE" w:rsidRDefault="00872DB8" w:rsidP="001D6593">
            <w:pPr>
              <w:spacing w:after="240"/>
              <w:ind w:left="567" w:hanging="567"/>
              <w:rPr>
                <w:b/>
                <w:bCs/>
                <w:szCs w:val="22"/>
              </w:rPr>
            </w:pPr>
            <w:r w:rsidRPr="00E51DFE">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3679C87F" w14:textId="77777777" w:rsidR="00872DB8" w:rsidRPr="00E51DFE" w:rsidRDefault="00872DB8" w:rsidP="001D6593">
            <w:pPr>
              <w:spacing w:after="240"/>
              <w:ind w:hanging="567"/>
              <w:jc w:val="center"/>
              <w:rPr>
                <w:b/>
                <w:bCs/>
                <w:szCs w:val="22"/>
              </w:rPr>
            </w:pPr>
            <w:r w:rsidRPr="00E51DFE">
              <w:rPr>
                <w:b/>
              </w:rPr>
              <w:t xml:space="preserve">25 183 495 </w:t>
            </w:r>
          </w:p>
        </w:tc>
        <w:tc>
          <w:tcPr>
            <w:tcW w:w="2360" w:type="dxa"/>
            <w:tcBorders>
              <w:top w:val="single" w:sz="4" w:space="0" w:color="auto"/>
              <w:left w:val="single" w:sz="4" w:space="0" w:color="auto"/>
              <w:bottom w:val="single" w:sz="4" w:space="0" w:color="auto"/>
              <w:right w:val="single" w:sz="4" w:space="0" w:color="auto"/>
            </w:tcBorders>
            <w:noWrap/>
            <w:hideMark/>
          </w:tcPr>
          <w:p w14:paraId="790D7D3C" w14:textId="77777777" w:rsidR="00872DB8" w:rsidRPr="00E51DFE" w:rsidRDefault="00872DB8" w:rsidP="001D6593">
            <w:pPr>
              <w:spacing w:after="240"/>
              <w:ind w:hanging="567"/>
              <w:jc w:val="center"/>
              <w:rPr>
                <w:b/>
                <w:bCs/>
                <w:szCs w:val="22"/>
              </w:rPr>
            </w:pPr>
            <w:r w:rsidRPr="00E51DFE">
              <w:rPr>
                <w:b/>
              </w:rPr>
              <w:t xml:space="preserve">39 207 625 </w:t>
            </w:r>
          </w:p>
        </w:tc>
        <w:tc>
          <w:tcPr>
            <w:tcW w:w="1555" w:type="dxa"/>
            <w:tcBorders>
              <w:top w:val="single" w:sz="4" w:space="0" w:color="auto"/>
              <w:left w:val="single" w:sz="4" w:space="0" w:color="auto"/>
              <w:bottom w:val="single" w:sz="4" w:space="0" w:color="auto"/>
              <w:right w:val="single" w:sz="4" w:space="0" w:color="auto"/>
            </w:tcBorders>
            <w:noWrap/>
            <w:hideMark/>
          </w:tcPr>
          <w:p w14:paraId="158A637B" w14:textId="77777777" w:rsidR="00872DB8" w:rsidRPr="00E51DFE" w:rsidRDefault="00872DB8" w:rsidP="001D6593">
            <w:pPr>
              <w:spacing w:after="240"/>
              <w:ind w:hanging="567"/>
              <w:jc w:val="center"/>
              <w:rPr>
                <w:szCs w:val="22"/>
              </w:rPr>
            </w:pPr>
            <w:r w:rsidRPr="00E51DFE">
              <w:t>–35,77 </w:t>
            </w:r>
          </w:p>
        </w:tc>
      </w:tr>
      <w:tr w:rsidR="00872DB8" w:rsidRPr="00E51DFE" w14:paraId="2AD07065"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79CFB04" w14:textId="77777777" w:rsidR="00872DB8" w:rsidRPr="00E51DFE" w:rsidRDefault="00872DB8" w:rsidP="001D6593">
            <w:pPr>
              <w:spacing w:after="240"/>
              <w:ind w:left="567" w:hanging="567"/>
              <w:rPr>
                <w:b/>
                <w:bCs/>
                <w:szCs w:val="22"/>
              </w:rPr>
            </w:pPr>
            <w:r w:rsidRPr="00E51DFE">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2C568539" w14:textId="77777777" w:rsidR="00872DB8" w:rsidRPr="00E51DFE" w:rsidRDefault="00872DB8" w:rsidP="001D6593">
            <w:pPr>
              <w:spacing w:after="240"/>
              <w:ind w:hanging="567"/>
              <w:jc w:val="center"/>
              <w:rPr>
                <w:b/>
                <w:bCs/>
                <w:szCs w:val="22"/>
              </w:rPr>
            </w:pPr>
            <w:r w:rsidRPr="00E51DFE">
              <w:rPr>
                <w:b/>
              </w:rPr>
              <w:t xml:space="preserve">38 532 447 </w:t>
            </w:r>
          </w:p>
        </w:tc>
        <w:tc>
          <w:tcPr>
            <w:tcW w:w="2360" w:type="dxa"/>
            <w:tcBorders>
              <w:top w:val="single" w:sz="4" w:space="0" w:color="auto"/>
              <w:left w:val="single" w:sz="4" w:space="0" w:color="auto"/>
              <w:bottom w:val="single" w:sz="4" w:space="0" w:color="auto"/>
              <w:right w:val="single" w:sz="4" w:space="0" w:color="auto"/>
            </w:tcBorders>
            <w:noWrap/>
            <w:hideMark/>
          </w:tcPr>
          <w:p w14:paraId="0E419B1A" w14:textId="77777777" w:rsidR="00872DB8" w:rsidRPr="00E51DFE" w:rsidRDefault="00872DB8" w:rsidP="001D6593">
            <w:pPr>
              <w:spacing w:after="240"/>
              <w:ind w:hanging="567"/>
              <w:jc w:val="center"/>
              <w:rPr>
                <w:b/>
                <w:bCs/>
                <w:szCs w:val="22"/>
              </w:rPr>
            </w:pPr>
            <w:r w:rsidRPr="00E51DFE">
              <w:rPr>
                <w:b/>
              </w:rPr>
              <w:t xml:space="preserve">33 983 956 </w:t>
            </w:r>
          </w:p>
        </w:tc>
        <w:tc>
          <w:tcPr>
            <w:tcW w:w="1555" w:type="dxa"/>
            <w:tcBorders>
              <w:top w:val="single" w:sz="4" w:space="0" w:color="auto"/>
              <w:left w:val="single" w:sz="4" w:space="0" w:color="auto"/>
              <w:bottom w:val="single" w:sz="4" w:space="0" w:color="auto"/>
              <w:right w:val="single" w:sz="4" w:space="0" w:color="auto"/>
            </w:tcBorders>
            <w:noWrap/>
            <w:hideMark/>
          </w:tcPr>
          <w:p w14:paraId="05E7DB30" w14:textId="77777777" w:rsidR="00872DB8" w:rsidRPr="00E51DFE" w:rsidRDefault="00872DB8" w:rsidP="001D6593">
            <w:pPr>
              <w:spacing w:after="240"/>
              <w:ind w:hanging="567"/>
              <w:jc w:val="center"/>
              <w:rPr>
                <w:szCs w:val="22"/>
              </w:rPr>
            </w:pPr>
            <w:r w:rsidRPr="00E51DFE">
              <w:t>13,38 </w:t>
            </w:r>
          </w:p>
        </w:tc>
      </w:tr>
      <w:tr w:rsidR="00872DB8" w:rsidRPr="00E51DFE" w14:paraId="7DBCD408"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748FC3" w14:textId="77777777" w:rsidR="00872DB8" w:rsidRPr="00E51DFE" w:rsidRDefault="00872DB8" w:rsidP="001D6593">
            <w:pPr>
              <w:spacing w:after="240"/>
              <w:ind w:left="567" w:hanging="567"/>
              <w:rPr>
                <w:b/>
                <w:bCs/>
                <w:szCs w:val="22"/>
              </w:rPr>
            </w:pPr>
            <w:r w:rsidRPr="00E51DFE">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27BBE0BE" w14:textId="77777777" w:rsidR="00872DB8" w:rsidRPr="00E51DFE" w:rsidRDefault="00872DB8" w:rsidP="001D6593">
            <w:pPr>
              <w:spacing w:after="240"/>
              <w:ind w:hanging="567"/>
              <w:jc w:val="center"/>
              <w:rPr>
                <w:b/>
                <w:bCs/>
                <w:szCs w:val="22"/>
              </w:rPr>
            </w:pPr>
            <w:r w:rsidRPr="00E51DFE">
              <w:rPr>
                <w:b/>
              </w:rPr>
              <w:t xml:space="preserve">258 160 </w:t>
            </w:r>
          </w:p>
        </w:tc>
        <w:tc>
          <w:tcPr>
            <w:tcW w:w="2360" w:type="dxa"/>
            <w:tcBorders>
              <w:top w:val="single" w:sz="4" w:space="0" w:color="auto"/>
              <w:left w:val="single" w:sz="4" w:space="0" w:color="auto"/>
              <w:bottom w:val="single" w:sz="4" w:space="0" w:color="auto"/>
              <w:right w:val="single" w:sz="4" w:space="0" w:color="auto"/>
            </w:tcBorders>
            <w:noWrap/>
            <w:hideMark/>
          </w:tcPr>
          <w:p w14:paraId="6DA995A3" w14:textId="77777777" w:rsidR="00872DB8" w:rsidRPr="00E51DFE" w:rsidRDefault="00872DB8" w:rsidP="001D6593">
            <w:pPr>
              <w:spacing w:after="240"/>
              <w:ind w:hanging="567"/>
              <w:jc w:val="center"/>
              <w:rPr>
                <w:b/>
                <w:bCs/>
                <w:szCs w:val="22"/>
              </w:rPr>
            </w:pPr>
            <w:r w:rsidRPr="00E51DFE">
              <w:rPr>
                <w:b/>
              </w:rPr>
              <w:t xml:space="preserve">167 000 </w:t>
            </w:r>
          </w:p>
        </w:tc>
        <w:tc>
          <w:tcPr>
            <w:tcW w:w="1555" w:type="dxa"/>
            <w:tcBorders>
              <w:top w:val="single" w:sz="4" w:space="0" w:color="auto"/>
              <w:left w:val="single" w:sz="4" w:space="0" w:color="auto"/>
              <w:bottom w:val="single" w:sz="4" w:space="0" w:color="auto"/>
              <w:right w:val="single" w:sz="4" w:space="0" w:color="auto"/>
            </w:tcBorders>
            <w:noWrap/>
            <w:hideMark/>
          </w:tcPr>
          <w:p w14:paraId="1DDE8C66" w14:textId="77777777" w:rsidR="00872DB8" w:rsidRPr="00E51DFE" w:rsidRDefault="00872DB8" w:rsidP="001D6593">
            <w:pPr>
              <w:spacing w:after="240"/>
              <w:ind w:hanging="567"/>
              <w:jc w:val="center"/>
              <w:rPr>
                <w:szCs w:val="22"/>
              </w:rPr>
            </w:pPr>
            <w:r w:rsidRPr="00E51DFE">
              <w:t>54,59 </w:t>
            </w:r>
          </w:p>
        </w:tc>
      </w:tr>
      <w:tr w:rsidR="00872DB8" w:rsidRPr="00E51DFE" w14:paraId="37453CEE"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1F32D6" w14:textId="77777777" w:rsidR="00872DB8" w:rsidRPr="00E51DFE" w:rsidRDefault="00872DB8" w:rsidP="001D6593">
            <w:pPr>
              <w:spacing w:after="240"/>
              <w:ind w:left="567" w:hanging="567"/>
              <w:rPr>
                <w:b/>
                <w:bCs/>
                <w:szCs w:val="22"/>
              </w:rPr>
            </w:pPr>
            <w:r w:rsidRPr="00E51DFE">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57EE265D" w14:textId="77777777" w:rsidR="00872DB8" w:rsidRPr="00E51DFE" w:rsidRDefault="00872DB8" w:rsidP="001D6593">
            <w:pPr>
              <w:spacing w:after="240"/>
              <w:ind w:hanging="567"/>
              <w:jc w:val="center"/>
              <w:rPr>
                <w:b/>
                <w:bCs/>
                <w:szCs w:val="22"/>
              </w:rPr>
            </w:pPr>
            <w:r w:rsidRPr="00E51DFE">
              <w:rPr>
                <w:b/>
              </w:rPr>
              <w:t xml:space="preserve">72 509 657 </w:t>
            </w:r>
          </w:p>
        </w:tc>
        <w:tc>
          <w:tcPr>
            <w:tcW w:w="2360" w:type="dxa"/>
            <w:tcBorders>
              <w:top w:val="single" w:sz="4" w:space="0" w:color="auto"/>
              <w:left w:val="single" w:sz="4" w:space="0" w:color="auto"/>
              <w:bottom w:val="single" w:sz="4" w:space="0" w:color="auto"/>
              <w:right w:val="single" w:sz="4" w:space="0" w:color="auto"/>
            </w:tcBorders>
            <w:noWrap/>
            <w:hideMark/>
          </w:tcPr>
          <w:p w14:paraId="6642A9D4" w14:textId="77777777" w:rsidR="00872DB8" w:rsidRPr="00E51DFE" w:rsidRDefault="00872DB8" w:rsidP="001D6593">
            <w:pPr>
              <w:spacing w:after="240"/>
              <w:ind w:hanging="567"/>
              <w:jc w:val="center"/>
              <w:rPr>
                <w:b/>
                <w:bCs/>
                <w:szCs w:val="22"/>
              </w:rPr>
            </w:pPr>
            <w:r w:rsidRPr="00E51DFE">
              <w:rPr>
                <w:b/>
              </w:rPr>
              <w:t xml:space="preserve">68 068 551 </w:t>
            </w:r>
          </w:p>
        </w:tc>
        <w:tc>
          <w:tcPr>
            <w:tcW w:w="1555" w:type="dxa"/>
            <w:tcBorders>
              <w:top w:val="single" w:sz="4" w:space="0" w:color="auto"/>
              <w:left w:val="single" w:sz="4" w:space="0" w:color="auto"/>
              <w:bottom w:val="single" w:sz="4" w:space="0" w:color="auto"/>
              <w:right w:val="single" w:sz="4" w:space="0" w:color="auto"/>
            </w:tcBorders>
            <w:noWrap/>
            <w:hideMark/>
          </w:tcPr>
          <w:p w14:paraId="267A275F" w14:textId="77777777" w:rsidR="00872DB8" w:rsidRPr="00E51DFE" w:rsidRDefault="00872DB8" w:rsidP="001D6593">
            <w:pPr>
              <w:spacing w:after="240"/>
              <w:ind w:hanging="567"/>
              <w:jc w:val="center"/>
              <w:rPr>
                <w:szCs w:val="22"/>
              </w:rPr>
            </w:pPr>
            <w:r w:rsidRPr="00E51DFE">
              <w:t>6,52 </w:t>
            </w:r>
          </w:p>
        </w:tc>
      </w:tr>
      <w:tr w:rsidR="00872DB8" w:rsidRPr="00E51DFE" w14:paraId="56A1D57F"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63F52FF" w14:textId="77777777" w:rsidR="00872DB8" w:rsidRPr="00E51DFE" w:rsidRDefault="00872DB8" w:rsidP="001D6593">
            <w:pPr>
              <w:spacing w:after="240"/>
              <w:ind w:left="567" w:hanging="567"/>
              <w:rPr>
                <w:b/>
                <w:bCs/>
                <w:szCs w:val="22"/>
              </w:rPr>
            </w:pPr>
            <w:r w:rsidRPr="00E51DFE">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765FE6FC" w14:textId="77777777" w:rsidR="00872DB8" w:rsidRPr="00E51DFE" w:rsidRDefault="00872DB8" w:rsidP="001D6593">
            <w:pPr>
              <w:spacing w:after="240"/>
              <w:ind w:hanging="567"/>
              <w:jc w:val="center"/>
              <w:rPr>
                <w:b/>
                <w:bCs/>
                <w:szCs w:val="22"/>
              </w:rPr>
            </w:pPr>
            <w:r w:rsidRPr="00E51DFE">
              <w:rPr>
                <w:b/>
              </w:rPr>
              <w:t xml:space="preserve">28 542 956 </w:t>
            </w:r>
          </w:p>
        </w:tc>
        <w:tc>
          <w:tcPr>
            <w:tcW w:w="2360" w:type="dxa"/>
            <w:tcBorders>
              <w:top w:val="single" w:sz="4" w:space="0" w:color="auto"/>
              <w:left w:val="single" w:sz="4" w:space="0" w:color="auto"/>
              <w:bottom w:val="single" w:sz="4" w:space="0" w:color="auto"/>
              <w:right w:val="single" w:sz="4" w:space="0" w:color="auto"/>
            </w:tcBorders>
            <w:noWrap/>
            <w:hideMark/>
          </w:tcPr>
          <w:p w14:paraId="582D568B" w14:textId="77777777" w:rsidR="00872DB8" w:rsidRPr="00E51DFE" w:rsidRDefault="00872DB8" w:rsidP="001D6593">
            <w:pPr>
              <w:spacing w:after="240"/>
              <w:ind w:hanging="567"/>
              <w:jc w:val="center"/>
              <w:rPr>
                <w:b/>
                <w:bCs/>
                <w:szCs w:val="22"/>
              </w:rPr>
            </w:pPr>
            <w:r w:rsidRPr="00E51DFE">
              <w:rPr>
                <w:b/>
              </w:rPr>
              <w:t xml:space="preserve">25 051 848 </w:t>
            </w:r>
          </w:p>
        </w:tc>
        <w:tc>
          <w:tcPr>
            <w:tcW w:w="1555" w:type="dxa"/>
            <w:tcBorders>
              <w:top w:val="single" w:sz="4" w:space="0" w:color="auto"/>
              <w:left w:val="single" w:sz="4" w:space="0" w:color="auto"/>
              <w:bottom w:val="single" w:sz="4" w:space="0" w:color="auto"/>
              <w:right w:val="single" w:sz="4" w:space="0" w:color="auto"/>
            </w:tcBorders>
            <w:noWrap/>
            <w:hideMark/>
          </w:tcPr>
          <w:p w14:paraId="5E5DFC38" w14:textId="77777777" w:rsidR="00872DB8" w:rsidRPr="00E51DFE" w:rsidRDefault="00872DB8" w:rsidP="001D6593">
            <w:pPr>
              <w:spacing w:after="240"/>
              <w:ind w:hanging="567"/>
              <w:jc w:val="center"/>
              <w:rPr>
                <w:szCs w:val="22"/>
              </w:rPr>
            </w:pPr>
            <w:r w:rsidRPr="00E51DFE">
              <w:t>13,94 </w:t>
            </w:r>
          </w:p>
        </w:tc>
      </w:tr>
      <w:tr w:rsidR="00872DB8" w:rsidRPr="00E51DFE" w14:paraId="70E21D63"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9884B38" w14:textId="77777777" w:rsidR="00872DB8" w:rsidRPr="00E51DFE" w:rsidRDefault="00872DB8" w:rsidP="001D6593">
            <w:pPr>
              <w:spacing w:after="240"/>
              <w:ind w:left="567" w:hanging="567"/>
              <w:rPr>
                <w:b/>
                <w:bCs/>
                <w:szCs w:val="22"/>
              </w:rPr>
            </w:pPr>
            <w:r w:rsidRPr="00E51DFE">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1CBA7445" w14:textId="77777777" w:rsidR="00872DB8" w:rsidRPr="00E51DFE" w:rsidRDefault="00872DB8" w:rsidP="001D6593">
            <w:pPr>
              <w:spacing w:after="240"/>
              <w:ind w:hanging="567"/>
              <w:jc w:val="center"/>
              <w:rPr>
                <w:b/>
                <w:bCs/>
                <w:szCs w:val="22"/>
              </w:rPr>
            </w:pPr>
            <w:r w:rsidRPr="00E51DFE">
              <w:rPr>
                <w:b/>
              </w:rPr>
              <w:t xml:space="preserve">170 135 127 </w:t>
            </w:r>
          </w:p>
        </w:tc>
        <w:tc>
          <w:tcPr>
            <w:tcW w:w="2360" w:type="dxa"/>
            <w:tcBorders>
              <w:top w:val="single" w:sz="4" w:space="0" w:color="auto"/>
              <w:left w:val="single" w:sz="4" w:space="0" w:color="auto"/>
              <w:bottom w:val="single" w:sz="4" w:space="0" w:color="auto"/>
              <w:right w:val="single" w:sz="4" w:space="0" w:color="auto"/>
            </w:tcBorders>
            <w:noWrap/>
            <w:hideMark/>
          </w:tcPr>
          <w:p w14:paraId="380B3523" w14:textId="77777777" w:rsidR="00872DB8" w:rsidRPr="00E51DFE" w:rsidRDefault="00872DB8" w:rsidP="001D6593">
            <w:pPr>
              <w:spacing w:after="240"/>
              <w:ind w:hanging="567"/>
              <w:jc w:val="center"/>
              <w:rPr>
                <w:b/>
                <w:bCs/>
                <w:szCs w:val="22"/>
              </w:rPr>
            </w:pPr>
            <w:r w:rsidRPr="00E51DFE">
              <w:rPr>
                <w:b/>
              </w:rPr>
              <w:t xml:space="preserve">168 842 192 </w:t>
            </w:r>
          </w:p>
        </w:tc>
        <w:tc>
          <w:tcPr>
            <w:tcW w:w="1555" w:type="dxa"/>
            <w:tcBorders>
              <w:top w:val="single" w:sz="4" w:space="0" w:color="auto"/>
              <w:left w:val="single" w:sz="4" w:space="0" w:color="auto"/>
              <w:bottom w:val="single" w:sz="4" w:space="0" w:color="auto"/>
              <w:right w:val="single" w:sz="4" w:space="0" w:color="auto"/>
            </w:tcBorders>
            <w:noWrap/>
            <w:hideMark/>
          </w:tcPr>
          <w:p w14:paraId="210250CA" w14:textId="77777777" w:rsidR="00872DB8" w:rsidRPr="00E51DFE" w:rsidRDefault="00872DB8" w:rsidP="001D6593">
            <w:pPr>
              <w:spacing w:after="240"/>
              <w:ind w:hanging="567"/>
              <w:jc w:val="center"/>
              <w:rPr>
                <w:szCs w:val="22"/>
              </w:rPr>
            </w:pPr>
            <w:r w:rsidRPr="00E51DFE">
              <w:t>0,77 </w:t>
            </w:r>
          </w:p>
        </w:tc>
      </w:tr>
      <w:tr w:rsidR="00872DB8" w:rsidRPr="00E51DFE" w14:paraId="3C1B550B"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D8E4E29" w14:textId="77777777" w:rsidR="00872DB8" w:rsidRPr="00E51DFE" w:rsidRDefault="00872DB8" w:rsidP="001D6593">
            <w:pPr>
              <w:spacing w:after="240"/>
              <w:ind w:left="567" w:hanging="567"/>
              <w:rPr>
                <w:b/>
                <w:bCs/>
                <w:szCs w:val="22"/>
              </w:rPr>
            </w:pPr>
            <w:r w:rsidRPr="00E51DFE">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475943A6" w14:textId="77777777" w:rsidR="00872DB8" w:rsidRPr="00E51DFE" w:rsidRDefault="00872DB8" w:rsidP="001D6593">
            <w:pPr>
              <w:spacing w:after="240"/>
              <w:ind w:hanging="567"/>
              <w:jc w:val="center"/>
              <w:rPr>
                <w:b/>
                <w:bCs/>
                <w:szCs w:val="22"/>
              </w:rPr>
            </w:pPr>
            <w:r w:rsidRPr="00E51DFE">
              <w:rPr>
                <w:b/>
              </w:rPr>
              <w:t xml:space="preserve">300 524 142 </w:t>
            </w:r>
          </w:p>
        </w:tc>
        <w:tc>
          <w:tcPr>
            <w:tcW w:w="2360" w:type="dxa"/>
            <w:tcBorders>
              <w:top w:val="single" w:sz="4" w:space="0" w:color="auto"/>
              <w:left w:val="single" w:sz="4" w:space="0" w:color="auto"/>
              <w:bottom w:val="single" w:sz="4" w:space="0" w:color="auto"/>
              <w:right w:val="single" w:sz="4" w:space="0" w:color="auto"/>
            </w:tcBorders>
            <w:noWrap/>
            <w:hideMark/>
          </w:tcPr>
          <w:p w14:paraId="46851F74" w14:textId="77777777" w:rsidR="00872DB8" w:rsidRPr="00E51DFE" w:rsidRDefault="00872DB8" w:rsidP="001D6593">
            <w:pPr>
              <w:spacing w:after="240"/>
              <w:ind w:hanging="567"/>
              <w:jc w:val="center"/>
              <w:rPr>
                <w:b/>
                <w:bCs/>
                <w:szCs w:val="22"/>
              </w:rPr>
            </w:pPr>
            <w:r w:rsidRPr="00E51DFE">
              <w:rPr>
                <w:b/>
              </w:rPr>
              <w:t xml:space="preserve">296 508 265 </w:t>
            </w:r>
          </w:p>
        </w:tc>
        <w:tc>
          <w:tcPr>
            <w:tcW w:w="1555" w:type="dxa"/>
            <w:tcBorders>
              <w:top w:val="single" w:sz="4" w:space="0" w:color="auto"/>
              <w:left w:val="single" w:sz="4" w:space="0" w:color="auto"/>
              <w:bottom w:val="single" w:sz="4" w:space="0" w:color="auto"/>
              <w:right w:val="single" w:sz="4" w:space="0" w:color="auto"/>
            </w:tcBorders>
            <w:noWrap/>
            <w:hideMark/>
          </w:tcPr>
          <w:p w14:paraId="7C149169" w14:textId="77777777" w:rsidR="00872DB8" w:rsidRPr="00E51DFE" w:rsidRDefault="00872DB8" w:rsidP="001D6593">
            <w:pPr>
              <w:spacing w:after="240"/>
              <w:ind w:hanging="567"/>
              <w:jc w:val="center"/>
              <w:rPr>
                <w:szCs w:val="22"/>
              </w:rPr>
            </w:pPr>
            <w:r w:rsidRPr="00E51DFE">
              <w:t>1,35 </w:t>
            </w:r>
          </w:p>
        </w:tc>
      </w:tr>
      <w:tr w:rsidR="00872DB8" w:rsidRPr="00E51DFE" w14:paraId="0FE3D8B0"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F9A500C" w14:textId="77777777" w:rsidR="00872DB8" w:rsidRPr="00E51DFE" w:rsidRDefault="00872DB8" w:rsidP="001D6593">
            <w:pPr>
              <w:spacing w:after="240"/>
              <w:ind w:left="567" w:hanging="567"/>
              <w:rPr>
                <w:b/>
                <w:bCs/>
                <w:szCs w:val="22"/>
              </w:rPr>
            </w:pPr>
            <w:r w:rsidRPr="00E51DFE">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5DFDE062" w14:textId="77777777" w:rsidR="00872DB8" w:rsidRPr="00E51DFE" w:rsidRDefault="00872DB8" w:rsidP="001D6593">
            <w:pPr>
              <w:spacing w:after="240"/>
              <w:ind w:hanging="567"/>
              <w:jc w:val="center"/>
              <w:rPr>
                <w:b/>
                <w:bCs/>
                <w:szCs w:val="22"/>
              </w:rPr>
            </w:pPr>
            <w:r w:rsidRPr="00E51DFE">
              <w:rPr>
                <w:b/>
              </w:rPr>
              <w:t xml:space="preserve">17 038 950 </w:t>
            </w:r>
          </w:p>
        </w:tc>
        <w:tc>
          <w:tcPr>
            <w:tcW w:w="2360" w:type="dxa"/>
            <w:tcBorders>
              <w:top w:val="single" w:sz="4" w:space="0" w:color="auto"/>
              <w:left w:val="single" w:sz="4" w:space="0" w:color="auto"/>
              <w:bottom w:val="single" w:sz="4" w:space="0" w:color="auto"/>
              <w:right w:val="single" w:sz="4" w:space="0" w:color="auto"/>
            </w:tcBorders>
            <w:noWrap/>
            <w:hideMark/>
          </w:tcPr>
          <w:p w14:paraId="6F95EB89" w14:textId="77777777" w:rsidR="00872DB8" w:rsidRPr="00E51DFE" w:rsidRDefault="00872DB8" w:rsidP="001D6593">
            <w:pPr>
              <w:spacing w:after="240"/>
              <w:ind w:hanging="567"/>
              <w:jc w:val="center"/>
              <w:rPr>
                <w:b/>
                <w:bCs/>
                <w:szCs w:val="22"/>
              </w:rPr>
            </w:pPr>
            <w:r w:rsidRPr="00E51DFE">
              <w:rPr>
                <w:b/>
              </w:rPr>
              <w:t xml:space="preserve">16 405 100 </w:t>
            </w:r>
          </w:p>
        </w:tc>
        <w:tc>
          <w:tcPr>
            <w:tcW w:w="1555" w:type="dxa"/>
            <w:tcBorders>
              <w:top w:val="single" w:sz="4" w:space="0" w:color="auto"/>
              <w:left w:val="single" w:sz="4" w:space="0" w:color="auto"/>
              <w:bottom w:val="single" w:sz="4" w:space="0" w:color="auto"/>
              <w:right w:val="single" w:sz="4" w:space="0" w:color="auto"/>
            </w:tcBorders>
            <w:noWrap/>
            <w:hideMark/>
          </w:tcPr>
          <w:p w14:paraId="6579E219" w14:textId="77777777" w:rsidR="00872DB8" w:rsidRPr="00E51DFE" w:rsidRDefault="00872DB8" w:rsidP="001D6593">
            <w:pPr>
              <w:spacing w:after="240"/>
              <w:ind w:hanging="567"/>
              <w:jc w:val="center"/>
              <w:rPr>
                <w:szCs w:val="22"/>
              </w:rPr>
            </w:pPr>
            <w:r w:rsidRPr="00E51DFE">
              <w:t>3,86 </w:t>
            </w:r>
          </w:p>
        </w:tc>
      </w:tr>
      <w:tr w:rsidR="00872DB8" w:rsidRPr="00E51DFE" w14:paraId="5C49A255"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FC983A" w14:textId="77777777" w:rsidR="00872DB8" w:rsidRPr="00E51DFE" w:rsidRDefault="00872DB8" w:rsidP="001D6593">
            <w:pPr>
              <w:spacing w:after="240"/>
              <w:ind w:left="567" w:hanging="567"/>
              <w:rPr>
                <w:b/>
                <w:bCs/>
                <w:szCs w:val="22"/>
              </w:rPr>
            </w:pPr>
            <w:r w:rsidRPr="00E51DFE">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1F68BD11" w14:textId="77777777" w:rsidR="00872DB8" w:rsidRPr="00E51DFE" w:rsidRDefault="00872DB8" w:rsidP="001D6593">
            <w:pPr>
              <w:spacing w:after="240"/>
              <w:ind w:hanging="567"/>
              <w:jc w:val="center"/>
              <w:rPr>
                <w:b/>
                <w:bCs/>
                <w:szCs w:val="22"/>
              </w:rPr>
            </w:pPr>
            <w:r w:rsidRPr="00E51DFE">
              <w:rPr>
                <w:b/>
              </w:rPr>
              <w:t xml:space="preserve">25 369 931 </w:t>
            </w:r>
          </w:p>
        </w:tc>
        <w:tc>
          <w:tcPr>
            <w:tcW w:w="2360" w:type="dxa"/>
            <w:tcBorders>
              <w:top w:val="single" w:sz="4" w:space="0" w:color="auto"/>
              <w:left w:val="single" w:sz="4" w:space="0" w:color="auto"/>
              <w:bottom w:val="single" w:sz="4" w:space="0" w:color="auto"/>
              <w:right w:val="single" w:sz="4" w:space="0" w:color="auto"/>
            </w:tcBorders>
            <w:noWrap/>
            <w:hideMark/>
          </w:tcPr>
          <w:p w14:paraId="102A0068" w14:textId="77777777" w:rsidR="00872DB8" w:rsidRPr="00E51DFE" w:rsidRDefault="00872DB8" w:rsidP="001D6593">
            <w:pPr>
              <w:spacing w:after="240"/>
              <w:ind w:hanging="567"/>
              <w:jc w:val="center"/>
              <w:rPr>
                <w:b/>
                <w:bCs/>
                <w:szCs w:val="22"/>
              </w:rPr>
            </w:pPr>
            <w:r w:rsidRPr="00E51DFE">
              <w:rPr>
                <w:b/>
              </w:rPr>
              <w:t xml:space="preserve">22 438 000 </w:t>
            </w:r>
          </w:p>
        </w:tc>
        <w:tc>
          <w:tcPr>
            <w:tcW w:w="1555" w:type="dxa"/>
            <w:tcBorders>
              <w:top w:val="single" w:sz="4" w:space="0" w:color="auto"/>
              <w:left w:val="single" w:sz="4" w:space="0" w:color="auto"/>
              <w:bottom w:val="single" w:sz="4" w:space="0" w:color="auto"/>
              <w:right w:val="single" w:sz="4" w:space="0" w:color="auto"/>
            </w:tcBorders>
            <w:noWrap/>
            <w:hideMark/>
          </w:tcPr>
          <w:p w14:paraId="365E5758" w14:textId="77777777" w:rsidR="00872DB8" w:rsidRPr="00E51DFE" w:rsidRDefault="00872DB8" w:rsidP="001D6593">
            <w:pPr>
              <w:spacing w:after="240"/>
              <w:ind w:hanging="567"/>
              <w:jc w:val="center"/>
              <w:rPr>
                <w:szCs w:val="22"/>
              </w:rPr>
            </w:pPr>
            <w:r w:rsidRPr="00E51DFE">
              <w:t>13,07 </w:t>
            </w:r>
          </w:p>
        </w:tc>
      </w:tr>
      <w:tr w:rsidR="00872DB8" w:rsidRPr="00E51DFE" w14:paraId="2117CC9A"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E58F24" w14:textId="77777777" w:rsidR="00872DB8" w:rsidRPr="00E51DFE" w:rsidRDefault="00872DB8" w:rsidP="001D6593">
            <w:pPr>
              <w:spacing w:after="240"/>
              <w:ind w:left="567" w:hanging="567"/>
              <w:rPr>
                <w:b/>
                <w:bCs/>
                <w:szCs w:val="22"/>
              </w:rPr>
            </w:pPr>
            <w:r w:rsidRPr="00E51DFE">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74B12002" w14:textId="77777777" w:rsidR="00872DB8" w:rsidRPr="00E51DFE" w:rsidRDefault="00872DB8" w:rsidP="001D6593">
            <w:pPr>
              <w:spacing w:after="240"/>
              <w:ind w:hanging="567"/>
              <w:jc w:val="center"/>
              <w:rPr>
                <w:b/>
                <w:bCs/>
                <w:szCs w:val="22"/>
              </w:rPr>
            </w:pPr>
            <w:r w:rsidRPr="00E51DFE">
              <w:rPr>
                <w:b/>
              </w:rPr>
              <w:t xml:space="preserve">59 324 460 </w:t>
            </w:r>
          </w:p>
        </w:tc>
        <w:tc>
          <w:tcPr>
            <w:tcW w:w="2360" w:type="dxa"/>
            <w:tcBorders>
              <w:top w:val="single" w:sz="4" w:space="0" w:color="auto"/>
              <w:left w:val="single" w:sz="4" w:space="0" w:color="auto"/>
              <w:bottom w:val="single" w:sz="4" w:space="0" w:color="auto"/>
              <w:right w:val="single" w:sz="4" w:space="0" w:color="auto"/>
            </w:tcBorders>
            <w:noWrap/>
            <w:hideMark/>
          </w:tcPr>
          <w:p w14:paraId="4A25D4F4" w14:textId="77777777" w:rsidR="00872DB8" w:rsidRPr="00E51DFE" w:rsidRDefault="00872DB8" w:rsidP="001D6593">
            <w:pPr>
              <w:spacing w:after="240"/>
              <w:ind w:hanging="567"/>
              <w:jc w:val="center"/>
              <w:rPr>
                <w:b/>
                <w:bCs/>
                <w:szCs w:val="22"/>
              </w:rPr>
            </w:pPr>
            <w:r w:rsidRPr="00E51DFE">
              <w:rPr>
                <w:b/>
              </w:rPr>
              <w:t xml:space="preserve">49 086 843 </w:t>
            </w:r>
          </w:p>
        </w:tc>
        <w:tc>
          <w:tcPr>
            <w:tcW w:w="1555" w:type="dxa"/>
            <w:tcBorders>
              <w:top w:val="single" w:sz="4" w:space="0" w:color="auto"/>
              <w:left w:val="single" w:sz="4" w:space="0" w:color="auto"/>
              <w:bottom w:val="single" w:sz="4" w:space="0" w:color="auto"/>
              <w:right w:val="single" w:sz="4" w:space="0" w:color="auto"/>
            </w:tcBorders>
            <w:noWrap/>
            <w:hideMark/>
          </w:tcPr>
          <w:p w14:paraId="28676198" w14:textId="77777777" w:rsidR="00872DB8" w:rsidRPr="00E51DFE" w:rsidRDefault="00872DB8" w:rsidP="001D6593">
            <w:pPr>
              <w:spacing w:after="240"/>
              <w:ind w:hanging="567"/>
              <w:jc w:val="center"/>
              <w:rPr>
                <w:szCs w:val="22"/>
              </w:rPr>
            </w:pPr>
            <w:r w:rsidRPr="00E51DFE">
              <w:t>20,86 </w:t>
            </w:r>
          </w:p>
        </w:tc>
      </w:tr>
      <w:tr w:rsidR="00872DB8" w:rsidRPr="00E51DFE" w14:paraId="5FA6A7B0"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910F541" w14:textId="77777777" w:rsidR="00872DB8" w:rsidRPr="00E51DFE" w:rsidRDefault="00872DB8" w:rsidP="001D6593">
            <w:pPr>
              <w:spacing w:after="240"/>
              <w:ind w:left="567" w:hanging="567"/>
              <w:rPr>
                <w:b/>
                <w:bCs/>
                <w:szCs w:val="22"/>
              </w:rPr>
            </w:pPr>
            <w:r w:rsidRPr="00E51DFE">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0A9D9921" w14:textId="77777777" w:rsidR="00872DB8" w:rsidRPr="00E51DFE" w:rsidRDefault="00872DB8" w:rsidP="001D6593">
            <w:pPr>
              <w:spacing w:after="240"/>
              <w:ind w:hanging="567"/>
              <w:jc w:val="center"/>
              <w:rPr>
                <w:b/>
                <w:bCs/>
                <w:szCs w:val="22"/>
              </w:rPr>
            </w:pPr>
            <w:r w:rsidRPr="00E51DFE">
              <w:rPr>
                <w:b/>
              </w:rPr>
              <w:t xml:space="preserve">212 925 809 </w:t>
            </w:r>
          </w:p>
        </w:tc>
        <w:tc>
          <w:tcPr>
            <w:tcW w:w="2360" w:type="dxa"/>
            <w:tcBorders>
              <w:top w:val="single" w:sz="4" w:space="0" w:color="auto"/>
              <w:left w:val="single" w:sz="4" w:space="0" w:color="auto"/>
              <w:bottom w:val="single" w:sz="4" w:space="0" w:color="auto"/>
              <w:right w:val="single" w:sz="4" w:space="0" w:color="auto"/>
            </w:tcBorders>
            <w:noWrap/>
            <w:hideMark/>
          </w:tcPr>
          <w:p w14:paraId="5B084AA6" w14:textId="77777777" w:rsidR="00872DB8" w:rsidRPr="00E51DFE" w:rsidRDefault="00872DB8" w:rsidP="001D6593">
            <w:pPr>
              <w:spacing w:after="240"/>
              <w:ind w:hanging="567"/>
              <w:jc w:val="center"/>
              <w:rPr>
                <w:b/>
                <w:bCs/>
                <w:szCs w:val="22"/>
              </w:rPr>
            </w:pPr>
            <w:r w:rsidRPr="00E51DFE">
              <w:rPr>
                <w:b/>
              </w:rPr>
              <w:t xml:space="preserve">197 759 722 </w:t>
            </w:r>
          </w:p>
        </w:tc>
        <w:tc>
          <w:tcPr>
            <w:tcW w:w="1555" w:type="dxa"/>
            <w:tcBorders>
              <w:top w:val="single" w:sz="4" w:space="0" w:color="auto"/>
              <w:left w:val="single" w:sz="4" w:space="0" w:color="auto"/>
              <w:bottom w:val="single" w:sz="4" w:space="0" w:color="auto"/>
              <w:right w:val="single" w:sz="4" w:space="0" w:color="auto"/>
            </w:tcBorders>
            <w:noWrap/>
            <w:hideMark/>
          </w:tcPr>
          <w:p w14:paraId="68249CF7" w14:textId="77777777" w:rsidR="00872DB8" w:rsidRPr="00E51DFE" w:rsidRDefault="00872DB8" w:rsidP="001D6593">
            <w:pPr>
              <w:spacing w:after="240"/>
              <w:ind w:hanging="567"/>
              <w:jc w:val="center"/>
              <w:rPr>
                <w:szCs w:val="22"/>
              </w:rPr>
            </w:pPr>
            <w:r w:rsidRPr="00E51DFE">
              <w:t>7,67 </w:t>
            </w:r>
          </w:p>
        </w:tc>
      </w:tr>
      <w:tr w:rsidR="00872DB8" w:rsidRPr="00E51DFE" w14:paraId="7B61998E"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7C03BA" w14:textId="77777777" w:rsidR="00872DB8" w:rsidRPr="00E51DFE" w:rsidRDefault="00872DB8" w:rsidP="001D6593">
            <w:pPr>
              <w:spacing w:after="240"/>
              <w:ind w:left="567" w:hanging="567"/>
              <w:rPr>
                <w:b/>
                <w:bCs/>
                <w:szCs w:val="22"/>
              </w:rPr>
            </w:pPr>
            <w:r w:rsidRPr="00E51DFE">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0BA7A28F" w14:textId="77777777" w:rsidR="00872DB8" w:rsidRPr="00E51DFE" w:rsidRDefault="00872DB8" w:rsidP="001D6593">
            <w:pPr>
              <w:spacing w:after="240"/>
              <w:ind w:hanging="567"/>
              <w:jc w:val="center"/>
              <w:rPr>
                <w:b/>
                <w:bCs/>
                <w:szCs w:val="22"/>
              </w:rPr>
            </w:pPr>
            <w:r w:rsidRPr="00E51DFE">
              <w:rPr>
                <w:b/>
              </w:rPr>
              <w:t xml:space="preserve">76 922 866 </w:t>
            </w:r>
          </w:p>
        </w:tc>
        <w:tc>
          <w:tcPr>
            <w:tcW w:w="2360" w:type="dxa"/>
            <w:tcBorders>
              <w:top w:val="single" w:sz="4" w:space="0" w:color="auto"/>
              <w:left w:val="single" w:sz="4" w:space="0" w:color="auto"/>
              <w:bottom w:val="single" w:sz="4" w:space="0" w:color="auto"/>
              <w:right w:val="single" w:sz="4" w:space="0" w:color="auto"/>
            </w:tcBorders>
            <w:noWrap/>
            <w:hideMark/>
          </w:tcPr>
          <w:p w14:paraId="3913ECF7" w14:textId="77777777" w:rsidR="00872DB8" w:rsidRPr="00E51DFE" w:rsidRDefault="00872DB8" w:rsidP="001D6593">
            <w:pPr>
              <w:spacing w:after="240"/>
              <w:ind w:hanging="567"/>
              <w:jc w:val="center"/>
              <w:rPr>
                <w:b/>
                <w:bCs/>
                <w:szCs w:val="22"/>
              </w:rPr>
            </w:pPr>
            <w:r w:rsidRPr="00E51DFE">
              <w:rPr>
                <w:b/>
              </w:rPr>
              <w:t xml:space="preserve">65 392 492 </w:t>
            </w:r>
          </w:p>
        </w:tc>
        <w:tc>
          <w:tcPr>
            <w:tcW w:w="1555" w:type="dxa"/>
            <w:tcBorders>
              <w:top w:val="single" w:sz="4" w:space="0" w:color="auto"/>
              <w:left w:val="single" w:sz="4" w:space="0" w:color="auto"/>
              <w:bottom w:val="single" w:sz="4" w:space="0" w:color="auto"/>
              <w:right w:val="single" w:sz="4" w:space="0" w:color="auto"/>
            </w:tcBorders>
            <w:noWrap/>
            <w:hideMark/>
          </w:tcPr>
          <w:p w14:paraId="4C768F3B" w14:textId="77777777" w:rsidR="00872DB8" w:rsidRPr="00E51DFE" w:rsidRDefault="00872DB8" w:rsidP="001D6593">
            <w:pPr>
              <w:spacing w:after="240"/>
              <w:ind w:hanging="567"/>
              <w:jc w:val="center"/>
              <w:rPr>
                <w:szCs w:val="22"/>
              </w:rPr>
            </w:pPr>
            <w:r w:rsidRPr="00E51DFE">
              <w:t>17,63 </w:t>
            </w:r>
          </w:p>
        </w:tc>
      </w:tr>
      <w:tr w:rsidR="00872DB8" w:rsidRPr="00E51DFE" w14:paraId="4B256264"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4CD598" w14:textId="77777777" w:rsidR="00872DB8" w:rsidRPr="00E51DFE" w:rsidRDefault="00872DB8" w:rsidP="001D6593">
            <w:pPr>
              <w:spacing w:after="240"/>
              <w:ind w:left="567" w:hanging="567"/>
              <w:rPr>
                <w:b/>
                <w:bCs/>
                <w:szCs w:val="22"/>
              </w:rPr>
            </w:pPr>
            <w:r w:rsidRPr="00E51DFE">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20AB0F8C" w14:textId="77777777" w:rsidR="00872DB8" w:rsidRPr="00E51DFE" w:rsidRDefault="00872DB8" w:rsidP="001D6593">
            <w:pPr>
              <w:spacing w:after="240"/>
              <w:ind w:hanging="567"/>
              <w:jc w:val="center"/>
              <w:rPr>
                <w:b/>
                <w:bCs/>
                <w:szCs w:val="22"/>
              </w:rPr>
            </w:pPr>
            <w:r w:rsidRPr="00E51DFE">
              <w:rPr>
                <w:b/>
              </w:rPr>
              <w:t xml:space="preserve">26 191 031 </w:t>
            </w:r>
          </w:p>
        </w:tc>
        <w:tc>
          <w:tcPr>
            <w:tcW w:w="2360" w:type="dxa"/>
            <w:tcBorders>
              <w:top w:val="single" w:sz="4" w:space="0" w:color="auto"/>
              <w:left w:val="single" w:sz="4" w:space="0" w:color="auto"/>
              <w:bottom w:val="single" w:sz="4" w:space="0" w:color="auto"/>
              <w:right w:val="single" w:sz="4" w:space="0" w:color="auto"/>
            </w:tcBorders>
            <w:noWrap/>
            <w:hideMark/>
          </w:tcPr>
          <w:p w14:paraId="5D8033D7" w14:textId="77777777" w:rsidR="00872DB8" w:rsidRPr="00E51DFE" w:rsidRDefault="00872DB8" w:rsidP="001D6593">
            <w:pPr>
              <w:spacing w:after="240"/>
              <w:ind w:hanging="567"/>
              <w:jc w:val="center"/>
              <w:rPr>
                <w:b/>
                <w:bCs/>
                <w:szCs w:val="22"/>
              </w:rPr>
            </w:pPr>
            <w:r w:rsidRPr="00E51DFE">
              <w:rPr>
                <w:b/>
              </w:rPr>
              <w:t xml:space="preserve">25 857 952 </w:t>
            </w:r>
          </w:p>
        </w:tc>
        <w:tc>
          <w:tcPr>
            <w:tcW w:w="1555" w:type="dxa"/>
            <w:tcBorders>
              <w:top w:val="single" w:sz="4" w:space="0" w:color="auto"/>
              <w:left w:val="single" w:sz="4" w:space="0" w:color="auto"/>
              <w:bottom w:val="single" w:sz="4" w:space="0" w:color="auto"/>
              <w:right w:val="single" w:sz="4" w:space="0" w:color="auto"/>
            </w:tcBorders>
            <w:noWrap/>
            <w:hideMark/>
          </w:tcPr>
          <w:p w14:paraId="1A51B1F9" w14:textId="77777777" w:rsidR="00872DB8" w:rsidRPr="00E51DFE" w:rsidRDefault="00872DB8" w:rsidP="001D6593">
            <w:pPr>
              <w:spacing w:after="240"/>
              <w:ind w:hanging="567"/>
              <w:jc w:val="center"/>
              <w:rPr>
                <w:szCs w:val="22"/>
              </w:rPr>
            </w:pPr>
            <w:r w:rsidRPr="00E51DFE">
              <w:t>1,29 </w:t>
            </w:r>
          </w:p>
        </w:tc>
      </w:tr>
      <w:tr w:rsidR="00872DB8" w:rsidRPr="00E51DFE" w14:paraId="49691F40"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43C745C" w14:textId="77777777" w:rsidR="00872DB8" w:rsidRPr="00E51DFE" w:rsidRDefault="00872DB8" w:rsidP="001D6593">
            <w:pPr>
              <w:spacing w:after="240"/>
              <w:ind w:left="567" w:hanging="567"/>
              <w:rPr>
                <w:b/>
                <w:bCs/>
                <w:szCs w:val="22"/>
              </w:rPr>
            </w:pPr>
            <w:proofErr w:type="spellStart"/>
            <w:r w:rsidRPr="00E51DFE">
              <w:rPr>
                <w:b/>
              </w:rPr>
              <w:t>Frontex</w:t>
            </w:r>
            <w:proofErr w:type="spellEnd"/>
          </w:p>
        </w:tc>
        <w:tc>
          <w:tcPr>
            <w:tcW w:w="2038" w:type="dxa"/>
            <w:tcBorders>
              <w:top w:val="single" w:sz="4" w:space="0" w:color="auto"/>
              <w:left w:val="single" w:sz="4" w:space="0" w:color="auto"/>
              <w:bottom w:val="single" w:sz="4" w:space="0" w:color="auto"/>
              <w:right w:val="single" w:sz="4" w:space="0" w:color="auto"/>
            </w:tcBorders>
            <w:noWrap/>
            <w:hideMark/>
          </w:tcPr>
          <w:p w14:paraId="4E48EC0D" w14:textId="77777777" w:rsidR="00872DB8" w:rsidRPr="00E51DFE" w:rsidRDefault="00872DB8" w:rsidP="001D6593">
            <w:pPr>
              <w:spacing w:after="240"/>
              <w:ind w:hanging="567"/>
              <w:jc w:val="center"/>
              <w:rPr>
                <w:b/>
                <w:bCs/>
                <w:szCs w:val="22"/>
              </w:rPr>
            </w:pPr>
            <w:r w:rsidRPr="00E51DFE">
              <w:rPr>
                <w:b/>
              </w:rPr>
              <w:t xml:space="preserve">829 352 752 </w:t>
            </w:r>
          </w:p>
        </w:tc>
        <w:tc>
          <w:tcPr>
            <w:tcW w:w="2360" w:type="dxa"/>
            <w:tcBorders>
              <w:top w:val="single" w:sz="4" w:space="0" w:color="auto"/>
              <w:left w:val="single" w:sz="4" w:space="0" w:color="auto"/>
              <w:bottom w:val="single" w:sz="4" w:space="0" w:color="auto"/>
              <w:right w:val="single" w:sz="4" w:space="0" w:color="auto"/>
            </w:tcBorders>
            <w:noWrap/>
            <w:hideMark/>
          </w:tcPr>
          <w:p w14:paraId="5E9487A9" w14:textId="77777777" w:rsidR="00872DB8" w:rsidRPr="00E51DFE" w:rsidRDefault="00872DB8" w:rsidP="001D6593">
            <w:pPr>
              <w:spacing w:after="240"/>
              <w:ind w:hanging="567"/>
              <w:jc w:val="center"/>
              <w:rPr>
                <w:b/>
                <w:bCs/>
                <w:szCs w:val="22"/>
              </w:rPr>
            </w:pPr>
            <w:r w:rsidRPr="00E51DFE">
              <w:rPr>
                <w:b/>
              </w:rPr>
              <w:t xml:space="preserve">693 122 858 </w:t>
            </w:r>
          </w:p>
        </w:tc>
        <w:tc>
          <w:tcPr>
            <w:tcW w:w="1555" w:type="dxa"/>
            <w:tcBorders>
              <w:top w:val="single" w:sz="4" w:space="0" w:color="auto"/>
              <w:left w:val="single" w:sz="4" w:space="0" w:color="auto"/>
              <w:bottom w:val="single" w:sz="4" w:space="0" w:color="auto"/>
              <w:right w:val="single" w:sz="4" w:space="0" w:color="auto"/>
            </w:tcBorders>
            <w:noWrap/>
            <w:hideMark/>
          </w:tcPr>
          <w:p w14:paraId="03254F8A" w14:textId="77777777" w:rsidR="00872DB8" w:rsidRPr="00E51DFE" w:rsidRDefault="00872DB8" w:rsidP="001D6593">
            <w:pPr>
              <w:spacing w:after="240"/>
              <w:ind w:hanging="567"/>
              <w:jc w:val="center"/>
              <w:rPr>
                <w:szCs w:val="22"/>
              </w:rPr>
            </w:pPr>
            <w:r w:rsidRPr="00E51DFE">
              <w:t>19,65 </w:t>
            </w:r>
          </w:p>
        </w:tc>
      </w:tr>
      <w:tr w:rsidR="00872DB8" w:rsidRPr="00E51DFE" w14:paraId="3A0BE465" w14:textId="77777777" w:rsidTr="001D6593">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0E0A3FB" w14:textId="77777777" w:rsidR="00872DB8" w:rsidRPr="00E51DFE" w:rsidRDefault="00872DB8" w:rsidP="001D6593">
            <w:pPr>
              <w:spacing w:after="240"/>
              <w:ind w:left="567" w:hanging="567"/>
              <w:rPr>
                <w:b/>
                <w:bCs/>
                <w:szCs w:val="22"/>
              </w:rPr>
            </w:pPr>
            <w:r w:rsidRPr="00E51DFE">
              <w:rPr>
                <w:b/>
              </w:rPr>
              <w:t>CELKEM</w:t>
            </w:r>
          </w:p>
        </w:tc>
        <w:tc>
          <w:tcPr>
            <w:tcW w:w="2038" w:type="dxa"/>
            <w:tcBorders>
              <w:top w:val="single" w:sz="4" w:space="0" w:color="auto"/>
              <w:left w:val="single" w:sz="4" w:space="0" w:color="auto"/>
              <w:bottom w:val="single" w:sz="4" w:space="0" w:color="auto"/>
              <w:right w:val="single" w:sz="4" w:space="0" w:color="auto"/>
            </w:tcBorders>
            <w:noWrap/>
            <w:hideMark/>
          </w:tcPr>
          <w:p w14:paraId="24FFBAD6" w14:textId="77777777" w:rsidR="00872DB8" w:rsidRPr="00E51DFE" w:rsidRDefault="00872DB8" w:rsidP="001D6593">
            <w:pPr>
              <w:spacing w:after="240"/>
              <w:ind w:hanging="567"/>
              <w:jc w:val="center"/>
              <w:rPr>
                <w:b/>
                <w:bCs/>
                <w:szCs w:val="22"/>
              </w:rPr>
            </w:pPr>
            <w:r w:rsidRPr="00E51DFE">
              <w:rPr>
                <w:b/>
              </w:rPr>
              <w:t xml:space="preserve">3 741 954 189 </w:t>
            </w:r>
          </w:p>
        </w:tc>
        <w:tc>
          <w:tcPr>
            <w:tcW w:w="2360" w:type="dxa"/>
            <w:tcBorders>
              <w:top w:val="single" w:sz="4" w:space="0" w:color="auto"/>
              <w:left w:val="single" w:sz="4" w:space="0" w:color="auto"/>
              <w:bottom w:val="single" w:sz="4" w:space="0" w:color="auto"/>
              <w:right w:val="single" w:sz="4" w:space="0" w:color="auto"/>
            </w:tcBorders>
            <w:noWrap/>
            <w:hideMark/>
          </w:tcPr>
          <w:p w14:paraId="01AF77BE" w14:textId="77777777" w:rsidR="00872DB8" w:rsidRPr="00E51DFE" w:rsidRDefault="00872DB8" w:rsidP="001D6593">
            <w:pPr>
              <w:spacing w:after="240"/>
              <w:ind w:hanging="567"/>
              <w:jc w:val="center"/>
              <w:rPr>
                <w:b/>
                <w:bCs/>
                <w:szCs w:val="22"/>
              </w:rPr>
            </w:pPr>
            <w:r w:rsidRPr="00E51DFE">
              <w:rPr>
                <w:b/>
              </w:rPr>
              <w:t xml:space="preserve">3 605 018 178 </w:t>
            </w:r>
          </w:p>
        </w:tc>
        <w:tc>
          <w:tcPr>
            <w:tcW w:w="1555" w:type="dxa"/>
            <w:tcBorders>
              <w:top w:val="single" w:sz="4" w:space="0" w:color="auto"/>
              <w:left w:val="single" w:sz="4" w:space="0" w:color="auto"/>
              <w:bottom w:val="single" w:sz="4" w:space="0" w:color="auto"/>
              <w:right w:val="single" w:sz="4" w:space="0" w:color="auto"/>
            </w:tcBorders>
            <w:noWrap/>
            <w:hideMark/>
          </w:tcPr>
          <w:p w14:paraId="439158E3" w14:textId="77777777" w:rsidR="00872DB8" w:rsidRPr="00E51DFE" w:rsidRDefault="00872DB8" w:rsidP="001D6593">
            <w:pPr>
              <w:spacing w:after="240"/>
              <w:ind w:hanging="567"/>
              <w:jc w:val="center"/>
              <w:rPr>
                <w:szCs w:val="22"/>
              </w:rPr>
            </w:pPr>
            <w:r w:rsidRPr="00E51DFE">
              <w:t>3,80 </w:t>
            </w:r>
          </w:p>
        </w:tc>
      </w:tr>
      <w:tr w:rsidR="00872DB8" w:rsidRPr="00E51DFE" w14:paraId="2C9B3DAE" w14:textId="77777777" w:rsidTr="001D6593">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7545BEB2" w14:textId="77777777" w:rsidR="00872DB8" w:rsidRPr="00E51DFE" w:rsidRDefault="00872DB8" w:rsidP="001D6593">
            <w:pPr>
              <w:pStyle w:val="FootnoteText"/>
              <w:rPr>
                <w:sz w:val="24"/>
                <w:lang w:val="cs-CZ"/>
              </w:rPr>
            </w:pPr>
            <w:r w:rsidRPr="00E51DFE">
              <w:rPr>
                <w:sz w:val="24"/>
                <w:vertAlign w:val="superscript"/>
                <w:lang w:val="cs-CZ"/>
              </w:rPr>
              <w:t xml:space="preserve">1 </w:t>
            </w:r>
            <w:r w:rsidRPr="00E51DFE">
              <w:rPr>
                <w:sz w:val="24"/>
                <w:lang w:val="cs-CZ"/>
              </w:rPr>
              <w:t>Byl odečten přebytek převedený z předchozího rozpočtového roku.</w:t>
            </w:r>
          </w:p>
          <w:p w14:paraId="0FB1A1DC" w14:textId="77777777" w:rsidR="00872DB8" w:rsidRPr="00E51DFE" w:rsidRDefault="00872DB8" w:rsidP="001D6593">
            <w:pPr>
              <w:spacing w:after="240"/>
              <w:ind w:hanging="567"/>
            </w:pPr>
            <w:r w:rsidRPr="00E51DFE">
              <w:rPr>
                <w:rStyle w:val="FootnoteReference"/>
              </w:rPr>
              <w:footnoteRef/>
            </w:r>
            <w:r w:rsidRPr="00E51DFE">
              <w:tab/>
            </w:r>
            <w:r w:rsidRPr="00E51DFE">
              <w:rPr>
                <w:vertAlign w:val="superscript"/>
              </w:rPr>
              <w:t xml:space="preserve">2 </w:t>
            </w:r>
            <w:r w:rsidRPr="00E51DFE">
              <w:t>Byly odečteny rozpočtové opravy odpovídající kumulovanému přebytku.</w:t>
            </w:r>
          </w:p>
        </w:tc>
      </w:tr>
    </w:tbl>
    <w:p w14:paraId="5A99FDFF" w14:textId="77777777" w:rsidR="00872DB8" w:rsidRPr="00E51DFE" w:rsidRDefault="00872DB8" w:rsidP="00872DB8">
      <w:pPr>
        <w:spacing w:before="240" w:after="240"/>
        <w:ind w:left="567" w:hanging="567"/>
      </w:pPr>
      <w:r w:rsidRPr="00E51DFE">
        <w:t>20.</w:t>
      </w:r>
      <w:r w:rsidRPr="00E51DFE">
        <w:tab/>
        <w:t xml:space="preserve">zdůrazňuje, že v případě některých agentur se mezi rokem 2022 a rokem 2023 výrazně zvýšily příjmy, že toto zvýšení činilo 54,59 % v případě agentury ESA, 20,86 % v případě agentury </w:t>
      </w:r>
      <w:proofErr w:type="spellStart"/>
      <w:r w:rsidRPr="00E51DFE">
        <w:t>Eurojust</w:t>
      </w:r>
      <w:proofErr w:type="spellEnd"/>
      <w:r w:rsidRPr="00E51DFE">
        <w:t xml:space="preserve">, 19,65 % v případě agentury </w:t>
      </w:r>
      <w:proofErr w:type="spellStart"/>
      <w:r w:rsidRPr="00E51DFE">
        <w:t>Frontex</w:t>
      </w:r>
      <w:proofErr w:type="spellEnd"/>
      <w:r w:rsidRPr="00E51DFE">
        <w:t xml:space="preserve"> a 19,15 % v případě agentury ACER; vítá navýšení finančních prostředků pro agentury působící v oblasti prosazování práva;</w:t>
      </w:r>
    </w:p>
    <w:p w14:paraId="60B20BE8" w14:textId="77777777" w:rsidR="00872DB8" w:rsidRPr="00E51DFE" w:rsidRDefault="00872DB8" w:rsidP="00872DB8">
      <w:pPr>
        <w:spacing w:after="240"/>
        <w:ind w:left="567" w:hanging="567"/>
      </w:pPr>
      <w:r w:rsidRPr="00E51DFE">
        <w:t>21.</w:t>
      </w:r>
      <w:r w:rsidRPr="00E51DFE">
        <w:tab/>
        <w:t xml:space="preserve">konstatuje, že v agentuře ESA je tento nárůst způsoben zejména pokračujícím rozvojem IT systému jaderné observatoře a správy informací (NOEMI) a zajišťováním účetních služeb pro agenturu; v agentuře </w:t>
      </w:r>
      <w:proofErr w:type="spellStart"/>
      <w:r w:rsidRPr="00E51DFE">
        <w:t>Eurojust</w:t>
      </w:r>
      <w:proofErr w:type="spellEnd"/>
      <w:r w:rsidRPr="00E51DFE">
        <w:t xml:space="preserve"> jsou důvodem nárůstu zejména dodatečné zdroje, které byly zapotřebí k plnění úkolů, jež vyplynuly ze tří nařízení navržených Komisí, a obzvláště závažný dopad inflace </w:t>
      </w:r>
      <w:r w:rsidRPr="00E51DFE">
        <w:rPr>
          <w:vertAlign w:val="superscript"/>
        </w:rPr>
        <w:footnoteReference w:id="409"/>
      </w:r>
      <w:r w:rsidRPr="00E51DFE">
        <w:t xml:space="preserve">; v agentuře </w:t>
      </w:r>
      <w:proofErr w:type="spellStart"/>
      <w:r w:rsidRPr="00E51DFE">
        <w:t>Frontex</w:t>
      </w:r>
      <w:proofErr w:type="spellEnd"/>
      <w:r w:rsidRPr="00E51DFE">
        <w:t xml:space="preserve"> má navýšení rozpočtu zajistit pokračování v budování stálého útvaru pohraniční stráže a jeho vybavení </w:t>
      </w:r>
      <w:r w:rsidRPr="00E51DFE">
        <w:rPr>
          <w:vertAlign w:val="superscript"/>
        </w:rPr>
        <w:footnoteReference w:id="410"/>
      </w:r>
      <w:r w:rsidRPr="00E51DFE">
        <w:t>; v případě agentury ACER je zvýšení způsobeno zejména dodatečnými úkoly, kterými byla pověřena na základě plánovaných revizí nařízení o energetické infrastruktuře a snižování emisí metanu </w:t>
      </w:r>
      <w:r w:rsidRPr="00E51DFE">
        <w:rPr>
          <w:vertAlign w:val="superscript"/>
        </w:rPr>
        <w:footnoteReference w:id="411"/>
      </w:r>
      <w:r w:rsidRPr="00E51DFE">
        <w:t>, související roční indexací mezd, vyššími výdaji na právní služby a vyšším přídělem z rozpočtu odvozeným z poplatků za konkrétní projekty;</w:t>
      </w:r>
    </w:p>
    <w:p w14:paraId="297FAF2E" w14:textId="77777777" w:rsidR="00872DB8" w:rsidRPr="00E51DFE" w:rsidRDefault="00872DB8" w:rsidP="00872DB8">
      <w:pPr>
        <w:spacing w:after="240"/>
        <w:ind w:left="567" w:hanging="567"/>
      </w:pPr>
      <w:r w:rsidRPr="00E51DFE">
        <w:t>22.</w:t>
      </w:r>
      <w:r w:rsidRPr="00E51DFE">
        <w:tab/>
        <w:t xml:space="preserve">bere na vědomí odpověď na otázku k písemnému zodpovězení, z níž vyplývá, že přenosy prostředků agentury </w:t>
      </w:r>
      <w:proofErr w:type="spellStart"/>
      <w:r w:rsidRPr="00E51DFE">
        <w:t>Frontex</w:t>
      </w:r>
      <w:proofErr w:type="spellEnd"/>
      <w:r w:rsidRPr="00E51DFE">
        <w:t xml:space="preserve"> (45 % v roce 2023) souvisejí s jejím provozním cyklem, který neodpovídá kalendářnímu roku a nelze je snadno upravit, neboť se týká všech členských států; je si vědom toho, že politické priority Komise a očekávání občanů Unie v oblasti bezpečnosti jsou vysvětlení pro zvýšení rozpočtu agentury </w:t>
      </w:r>
      <w:proofErr w:type="spellStart"/>
      <w:r w:rsidRPr="00E51DFE">
        <w:t>Frontex</w:t>
      </w:r>
      <w:proofErr w:type="spellEnd"/>
      <w:r w:rsidRPr="00E51DFE">
        <w:t xml:space="preserve">; trvá na tom, že je nezbytné zajistit odpovídající zdroje pro účinné fungování agentury </w:t>
      </w:r>
      <w:proofErr w:type="spellStart"/>
      <w:r w:rsidRPr="00E51DFE">
        <w:t>Frontex</w:t>
      </w:r>
      <w:proofErr w:type="spellEnd"/>
      <w:r w:rsidRPr="00E51DFE">
        <w:t xml:space="preserve"> a zároveň průběžně posuzovat, zda je její rozpočet vhodný pro daný účel a zda přináší výsledky; připomíná, že je třeba sledovat pokrok, pokud jde o absorpční kapacitu agentury, zejména pokud jde o nábor zaměstnanců pohraniční a pobřežní stráže, a zdůrazňuje význam řádného plánování pro zajištění její účinnosti; dále vyzývá síť EUAN, aby spolupracovala s agenturami a Účetním dvorem na vypracování standardizované prezentace přenosů, která bude více v souladu se zásadou ročního rozpočtu podle finančního nařízení;</w:t>
      </w:r>
    </w:p>
    <w:p w14:paraId="227040C5" w14:textId="77777777" w:rsidR="00872DB8" w:rsidRPr="00E51DFE" w:rsidRDefault="00872DB8" w:rsidP="00872DB8">
      <w:pPr>
        <w:spacing w:after="240"/>
        <w:ind w:left="567" w:hanging="567"/>
      </w:pPr>
      <w:r w:rsidRPr="00E51DFE">
        <w:t>23.</w:t>
      </w:r>
      <w:r w:rsidRPr="00E51DFE">
        <w:tab/>
        <w:t>připomíná, že většina agentur EU dostává finanční prostředky výhradně z příspěvků z rozpočtu Unie; konstatuje však, že některé agentury jsou plně nebo částečně financovány z alternativních zdrojů příjmů, mj. z osvědčení, povolení, registrace látek, příspěvků, shromažďování údajů, dozoru nad trhem, dohledu a dalších služeb, jako jsou překlady a terminologie, které poskytuje Překladatelské středisko pro instituce Evropské unie (</w:t>
      </w:r>
      <w:proofErr w:type="spellStart"/>
      <w:r w:rsidRPr="00E51DFE">
        <w:t>CdT</w:t>
      </w:r>
      <w:proofErr w:type="spellEnd"/>
      <w:r w:rsidRPr="00E51DFE">
        <w:t>);</w:t>
      </w:r>
    </w:p>
    <w:p w14:paraId="47717CDD" w14:textId="77777777" w:rsidR="00872DB8" w:rsidRPr="00E51DFE" w:rsidRDefault="00872DB8" w:rsidP="00872DB8">
      <w:pPr>
        <w:spacing w:after="240"/>
        <w:ind w:left="567" w:hanging="567"/>
      </w:pPr>
      <w:r w:rsidRPr="00E51DFE">
        <w:t>24.</w:t>
      </w:r>
      <w:r w:rsidRPr="00E51DFE">
        <w:tab/>
        <w:t>je si zejména vědom toho, že:</w:t>
      </w:r>
    </w:p>
    <w:p w14:paraId="67D00612" w14:textId="1CB46214" w:rsidR="00872DB8" w:rsidRPr="00E51DFE" w:rsidRDefault="00F64AFA" w:rsidP="00872DB8">
      <w:pPr>
        <w:spacing w:after="240"/>
        <w:ind w:left="1134" w:hanging="567"/>
      </w:pPr>
      <w:r>
        <w:t>–</w:t>
      </w:r>
      <w:r w:rsidR="00872DB8" w:rsidRPr="00E51DFE">
        <w:tab/>
        <w:t xml:space="preserve">k částečně samofinancovaným agenturám </w:t>
      </w:r>
      <w:proofErr w:type="gramStart"/>
      <w:r w:rsidR="00872DB8" w:rsidRPr="00E51DFE">
        <w:t>patří</w:t>
      </w:r>
      <w:proofErr w:type="gramEnd"/>
      <w:r w:rsidR="00872DB8" w:rsidRPr="00E51DFE">
        <w:t xml:space="preserve"> Evropská agentura pro bezpečnost letectví (EASA), Agentura Evropské unie pro železnice (ERA), Agentura pro spolupráci energetických regulačních orgánů (ACER), Evropská agentura pro chemické látky (ECHA) a Evropská agentura pro léčivé přípravky (EMA),</w:t>
      </w:r>
    </w:p>
    <w:p w14:paraId="3285CDEF" w14:textId="1985D837" w:rsidR="00872DB8" w:rsidRPr="00E51DFE" w:rsidRDefault="00F64AFA" w:rsidP="00872DB8">
      <w:pPr>
        <w:spacing w:after="240"/>
        <w:ind w:left="1134" w:hanging="567"/>
      </w:pPr>
      <w:r>
        <w:t>–</w:t>
      </w:r>
      <w:r w:rsidR="00872DB8" w:rsidRPr="00E51DFE">
        <w:tab/>
        <w:t xml:space="preserve">k plně samofinancovaným agenturám </w:t>
      </w:r>
      <w:proofErr w:type="gramStart"/>
      <w:r w:rsidR="00872DB8" w:rsidRPr="00E51DFE">
        <w:t>patří</w:t>
      </w:r>
      <w:proofErr w:type="gramEnd"/>
      <w:r w:rsidR="00872DB8" w:rsidRPr="00E51DFE">
        <w:t xml:space="preserve"> </w:t>
      </w:r>
      <w:proofErr w:type="spellStart"/>
      <w:r w:rsidR="00872DB8" w:rsidRPr="00E51DFE">
        <w:t>CdT</w:t>
      </w:r>
      <w:proofErr w:type="spellEnd"/>
      <w:r w:rsidR="00872DB8" w:rsidRPr="00E51DFE">
        <w:t>,</w:t>
      </w:r>
    </w:p>
    <w:p w14:paraId="523A2B28" w14:textId="0FCF4206" w:rsidR="00872DB8" w:rsidRPr="00E51DFE" w:rsidRDefault="00F64AFA" w:rsidP="00872DB8">
      <w:pPr>
        <w:spacing w:after="240"/>
        <w:ind w:left="1134" w:hanging="567"/>
      </w:pPr>
      <w:r>
        <w:t>–</w:t>
      </w:r>
      <w:r w:rsidR="00872DB8" w:rsidRPr="00E51DFE">
        <w:tab/>
        <w:t xml:space="preserve">k agenturám částečně spolufinancovaným vnitrostátními veřejnými orgány </w:t>
      </w:r>
      <w:proofErr w:type="gramStart"/>
      <w:r w:rsidR="00872DB8" w:rsidRPr="00E51DFE">
        <w:t>patří</w:t>
      </w:r>
      <w:proofErr w:type="gramEnd"/>
      <w:r w:rsidR="00872DB8" w:rsidRPr="00E51DFE">
        <w:t xml:space="preserve"> Evropský orgán pro bankovnictví (EBA), Evropský orgán pro pojišťovnictví a zaměstnanecké penzijní pojištění (EIOPA) a Evropský orgán pro cenné papíry a trhy (ESMA);</w:t>
      </w:r>
    </w:p>
    <w:p w14:paraId="1C967580" w14:textId="77777777" w:rsidR="00872DB8" w:rsidRPr="00E51DFE" w:rsidRDefault="00872DB8" w:rsidP="00872DB8">
      <w:pPr>
        <w:spacing w:after="120"/>
        <w:ind w:left="567" w:hanging="567"/>
      </w:pPr>
      <w:r w:rsidRPr="00E51DFE">
        <w:t>25.</w:t>
      </w:r>
      <w:r w:rsidRPr="00E51DFE">
        <w:tab/>
        <w:t>konstatuje, že v roce 2023 byl zdroj financování pro samofinancované agentury, které jsou součástí tohoto usnesení, rozdělen takto:</w:t>
      </w:r>
    </w:p>
    <w:tbl>
      <w:tblPr>
        <w:tblStyle w:val="TableGrid"/>
        <w:tblW w:w="7948" w:type="dxa"/>
        <w:tblLook w:val="04A0" w:firstRow="1" w:lastRow="0" w:firstColumn="1" w:lastColumn="0" w:noHBand="0" w:noVBand="1"/>
      </w:tblPr>
      <w:tblGrid>
        <w:gridCol w:w="1283"/>
        <w:gridCol w:w="1630"/>
        <w:gridCol w:w="1416"/>
        <w:gridCol w:w="756"/>
        <w:gridCol w:w="1461"/>
        <w:gridCol w:w="756"/>
        <w:gridCol w:w="1300"/>
      </w:tblGrid>
      <w:tr w:rsidR="00872DB8" w:rsidRPr="00E51DFE" w14:paraId="03F12EB6" w14:textId="77777777" w:rsidTr="001D6593">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53266C6A" w14:textId="77777777" w:rsidR="00872DB8" w:rsidRPr="00E51DFE" w:rsidRDefault="00872DB8" w:rsidP="001D6593">
            <w:pPr>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041A1233" w14:textId="77777777" w:rsidR="00872DB8" w:rsidRPr="00E51DFE" w:rsidRDefault="00872DB8" w:rsidP="001D6593">
            <w:pPr>
              <w:spacing w:after="120"/>
              <w:jc w:val="center"/>
              <w:rPr>
                <w:b/>
                <w:bCs/>
                <w:noProof/>
              </w:rPr>
            </w:pPr>
            <w:r w:rsidRPr="00E51DFE">
              <w:rPr>
                <w:b/>
              </w:rPr>
              <w:t>Příjmy v r. 2023 (EUR)</w:t>
            </w:r>
          </w:p>
        </w:tc>
        <w:tc>
          <w:tcPr>
            <w:tcW w:w="1280" w:type="dxa"/>
            <w:tcBorders>
              <w:top w:val="single" w:sz="4" w:space="0" w:color="auto"/>
              <w:left w:val="single" w:sz="4" w:space="0" w:color="auto"/>
              <w:bottom w:val="single" w:sz="4" w:space="0" w:color="auto"/>
              <w:right w:val="single" w:sz="4" w:space="0" w:color="auto"/>
            </w:tcBorders>
            <w:noWrap/>
            <w:hideMark/>
          </w:tcPr>
          <w:p w14:paraId="7738F362" w14:textId="77777777" w:rsidR="00872DB8" w:rsidRPr="00E51DFE" w:rsidRDefault="00872DB8" w:rsidP="001D6593">
            <w:pPr>
              <w:spacing w:after="120"/>
              <w:jc w:val="center"/>
              <w:rPr>
                <w:b/>
                <w:bCs/>
                <w:noProof/>
              </w:rPr>
            </w:pPr>
            <w:r w:rsidRPr="00E51DFE">
              <w:rPr>
                <w:b/>
              </w:rPr>
              <w:t>Dotace EU (EUR)</w:t>
            </w:r>
          </w:p>
        </w:tc>
        <w:tc>
          <w:tcPr>
            <w:tcW w:w="696" w:type="dxa"/>
            <w:tcBorders>
              <w:top w:val="single" w:sz="4" w:space="0" w:color="auto"/>
              <w:left w:val="single" w:sz="4" w:space="0" w:color="auto"/>
              <w:bottom w:val="single" w:sz="4" w:space="0" w:color="auto"/>
              <w:right w:val="single" w:sz="4" w:space="0" w:color="auto"/>
            </w:tcBorders>
            <w:noWrap/>
            <w:hideMark/>
          </w:tcPr>
          <w:p w14:paraId="5EDDF408" w14:textId="77777777" w:rsidR="00872DB8" w:rsidRPr="00E51DFE" w:rsidRDefault="00872DB8" w:rsidP="001D6593">
            <w:pPr>
              <w:spacing w:after="120"/>
              <w:jc w:val="center"/>
              <w:rPr>
                <w:b/>
                <w:bCs/>
                <w:noProof/>
              </w:rPr>
            </w:pPr>
            <w:r w:rsidRPr="00E51DFE">
              <w:rPr>
                <w:b/>
              </w:rPr>
              <w:t>%</w:t>
            </w:r>
          </w:p>
        </w:tc>
        <w:tc>
          <w:tcPr>
            <w:tcW w:w="1461" w:type="dxa"/>
            <w:tcBorders>
              <w:top w:val="single" w:sz="4" w:space="0" w:color="auto"/>
              <w:left w:val="single" w:sz="4" w:space="0" w:color="auto"/>
              <w:bottom w:val="single" w:sz="4" w:space="0" w:color="auto"/>
              <w:right w:val="single" w:sz="4" w:space="0" w:color="auto"/>
            </w:tcBorders>
            <w:noWrap/>
            <w:hideMark/>
          </w:tcPr>
          <w:p w14:paraId="03E7B372" w14:textId="77777777" w:rsidR="00872DB8" w:rsidRPr="00E51DFE" w:rsidRDefault="00872DB8" w:rsidP="001D6593">
            <w:pPr>
              <w:spacing w:after="120"/>
              <w:jc w:val="center"/>
              <w:rPr>
                <w:b/>
                <w:bCs/>
                <w:noProof/>
              </w:rPr>
            </w:pPr>
            <w:r w:rsidRPr="00E51DFE">
              <w:rPr>
                <w:b/>
              </w:rPr>
              <w:t>Vlastní příjmy (EUR)</w:t>
            </w:r>
          </w:p>
        </w:tc>
        <w:tc>
          <w:tcPr>
            <w:tcW w:w="664" w:type="dxa"/>
            <w:tcBorders>
              <w:top w:val="single" w:sz="4" w:space="0" w:color="auto"/>
              <w:left w:val="single" w:sz="4" w:space="0" w:color="auto"/>
              <w:bottom w:val="single" w:sz="4" w:space="0" w:color="auto"/>
              <w:right w:val="single" w:sz="4" w:space="0" w:color="auto"/>
            </w:tcBorders>
            <w:noWrap/>
            <w:hideMark/>
          </w:tcPr>
          <w:p w14:paraId="6ADBDC67" w14:textId="77777777" w:rsidR="00872DB8" w:rsidRPr="00E51DFE" w:rsidRDefault="00872DB8" w:rsidP="001D6593">
            <w:pPr>
              <w:spacing w:after="120"/>
              <w:jc w:val="center"/>
              <w:rPr>
                <w:b/>
                <w:bCs/>
                <w:noProof/>
              </w:rPr>
            </w:pPr>
            <w:r w:rsidRPr="00E51DFE">
              <w:rPr>
                <w:b/>
              </w:rPr>
              <w:t>%</w:t>
            </w:r>
          </w:p>
        </w:tc>
        <w:tc>
          <w:tcPr>
            <w:tcW w:w="1300" w:type="dxa"/>
            <w:tcBorders>
              <w:top w:val="single" w:sz="4" w:space="0" w:color="auto"/>
              <w:left w:val="single" w:sz="4" w:space="0" w:color="auto"/>
              <w:bottom w:val="single" w:sz="4" w:space="0" w:color="auto"/>
              <w:right w:val="single" w:sz="4" w:space="0" w:color="auto"/>
            </w:tcBorders>
            <w:noWrap/>
            <w:hideMark/>
          </w:tcPr>
          <w:p w14:paraId="0FA339E8" w14:textId="77777777" w:rsidR="00872DB8" w:rsidRPr="00E51DFE" w:rsidRDefault="00872DB8" w:rsidP="001D6593">
            <w:pPr>
              <w:spacing w:after="120"/>
              <w:jc w:val="center"/>
              <w:rPr>
                <w:b/>
                <w:bCs/>
                <w:noProof/>
              </w:rPr>
            </w:pPr>
            <w:r w:rsidRPr="00E51DFE">
              <w:rPr>
                <w:b/>
              </w:rPr>
              <w:t>Jiné (EUR)</w:t>
            </w:r>
          </w:p>
        </w:tc>
      </w:tr>
      <w:tr w:rsidR="00872DB8" w:rsidRPr="00E51DFE" w14:paraId="6D5CF12C"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6999CC9" w14:textId="77777777" w:rsidR="00872DB8" w:rsidRPr="00E51DFE" w:rsidRDefault="00872DB8" w:rsidP="001D6593">
            <w:pPr>
              <w:spacing w:after="120"/>
              <w:ind w:left="567" w:hanging="567"/>
              <w:rPr>
                <w:b/>
                <w:bCs/>
                <w:noProof/>
              </w:rPr>
            </w:pPr>
            <w:r w:rsidRPr="00E51DFE">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5E20AC5A" w14:textId="77777777" w:rsidR="00872DB8" w:rsidRPr="00E51DFE" w:rsidRDefault="00872DB8" w:rsidP="001D6593">
            <w:pPr>
              <w:spacing w:after="120"/>
              <w:jc w:val="center"/>
              <w:rPr>
                <w:b/>
                <w:bCs/>
                <w:noProof/>
              </w:rPr>
            </w:pPr>
            <w:r w:rsidRPr="00E51DFE">
              <w:rPr>
                <w:b/>
              </w:rPr>
              <w:t xml:space="preserve">29 576 964 </w:t>
            </w:r>
          </w:p>
        </w:tc>
        <w:tc>
          <w:tcPr>
            <w:tcW w:w="1280" w:type="dxa"/>
            <w:tcBorders>
              <w:top w:val="single" w:sz="4" w:space="0" w:color="auto"/>
              <w:left w:val="single" w:sz="4" w:space="0" w:color="auto"/>
              <w:bottom w:val="single" w:sz="4" w:space="0" w:color="auto"/>
              <w:right w:val="single" w:sz="4" w:space="0" w:color="auto"/>
            </w:tcBorders>
            <w:noWrap/>
            <w:hideMark/>
          </w:tcPr>
          <w:p w14:paraId="2680D0AA" w14:textId="77777777" w:rsidR="00872DB8" w:rsidRPr="00E51DFE" w:rsidRDefault="00872DB8" w:rsidP="001D6593">
            <w:pPr>
              <w:spacing w:after="120"/>
              <w:jc w:val="center"/>
              <w:rPr>
                <w:b/>
                <w:bCs/>
                <w:noProof/>
              </w:rPr>
            </w:pPr>
            <w:r w:rsidRPr="00E51DFE">
              <w:rPr>
                <w:b/>
              </w:rPr>
              <w:t xml:space="preserve">19 418 599 </w:t>
            </w:r>
          </w:p>
        </w:tc>
        <w:tc>
          <w:tcPr>
            <w:tcW w:w="696" w:type="dxa"/>
            <w:tcBorders>
              <w:top w:val="single" w:sz="4" w:space="0" w:color="auto"/>
              <w:left w:val="single" w:sz="4" w:space="0" w:color="auto"/>
              <w:bottom w:val="single" w:sz="4" w:space="0" w:color="auto"/>
              <w:right w:val="single" w:sz="4" w:space="0" w:color="auto"/>
            </w:tcBorders>
            <w:noWrap/>
            <w:hideMark/>
          </w:tcPr>
          <w:p w14:paraId="36D1C6AD" w14:textId="77777777" w:rsidR="00872DB8" w:rsidRPr="00E51DFE" w:rsidRDefault="00872DB8" w:rsidP="001D6593">
            <w:pPr>
              <w:spacing w:after="120"/>
              <w:jc w:val="center"/>
              <w:rPr>
                <w:b/>
                <w:bCs/>
                <w:noProof/>
              </w:rPr>
            </w:pPr>
            <w:r w:rsidRPr="00E51DFE">
              <w:rPr>
                <w:b/>
              </w:rPr>
              <w:t>66 %</w:t>
            </w:r>
          </w:p>
        </w:tc>
        <w:tc>
          <w:tcPr>
            <w:tcW w:w="1461" w:type="dxa"/>
            <w:tcBorders>
              <w:top w:val="single" w:sz="4" w:space="0" w:color="auto"/>
              <w:left w:val="single" w:sz="4" w:space="0" w:color="auto"/>
              <w:bottom w:val="single" w:sz="4" w:space="0" w:color="auto"/>
              <w:right w:val="single" w:sz="4" w:space="0" w:color="auto"/>
            </w:tcBorders>
            <w:noWrap/>
            <w:hideMark/>
          </w:tcPr>
          <w:p w14:paraId="28BFA82D" w14:textId="77777777" w:rsidR="00872DB8" w:rsidRPr="00E51DFE" w:rsidRDefault="00872DB8" w:rsidP="001D6593">
            <w:pPr>
              <w:spacing w:after="120"/>
              <w:jc w:val="center"/>
              <w:rPr>
                <w:b/>
                <w:bCs/>
                <w:noProof/>
              </w:rPr>
            </w:pPr>
            <w:r w:rsidRPr="00E51DFE">
              <w:rPr>
                <w:b/>
              </w:rPr>
              <w:t xml:space="preserve">10 158 245 </w:t>
            </w:r>
          </w:p>
        </w:tc>
        <w:tc>
          <w:tcPr>
            <w:tcW w:w="664" w:type="dxa"/>
            <w:tcBorders>
              <w:top w:val="single" w:sz="4" w:space="0" w:color="auto"/>
              <w:left w:val="single" w:sz="4" w:space="0" w:color="auto"/>
              <w:bottom w:val="single" w:sz="4" w:space="0" w:color="auto"/>
              <w:right w:val="single" w:sz="4" w:space="0" w:color="auto"/>
            </w:tcBorders>
            <w:noWrap/>
            <w:hideMark/>
          </w:tcPr>
          <w:p w14:paraId="5BA38B35" w14:textId="77777777" w:rsidR="00872DB8" w:rsidRPr="00E51DFE" w:rsidRDefault="00872DB8" w:rsidP="001D6593">
            <w:pPr>
              <w:spacing w:after="120"/>
              <w:jc w:val="center"/>
              <w:rPr>
                <w:b/>
                <w:bCs/>
                <w:noProof/>
              </w:rPr>
            </w:pPr>
            <w:r w:rsidRPr="00E51DFE">
              <w:rPr>
                <w:b/>
              </w:rPr>
              <w:t>34 %</w:t>
            </w:r>
          </w:p>
        </w:tc>
        <w:tc>
          <w:tcPr>
            <w:tcW w:w="1300" w:type="dxa"/>
            <w:tcBorders>
              <w:top w:val="single" w:sz="4" w:space="0" w:color="auto"/>
              <w:left w:val="single" w:sz="4" w:space="0" w:color="auto"/>
              <w:bottom w:val="single" w:sz="4" w:space="0" w:color="auto"/>
              <w:right w:val="single" w:sz="4" w:space="0" w:color="auto"/>
            </w:tcBorders>
            <w:noWrap/>
            <w:hideMark/>
          </w:tcPr>
          <w:p w14:paraId="2C204752" w14:textId="77777777" w:rsidR="00872DB8" w:rsidRPr="00E51DFE" w:rsidRDefault="00872DB8" w:rsidP="001D6593">
            <w:pPr>
              <w:spacing w:after="120"/>
              <w:jc w:val="center"/>
              <w:rPr>
                <w:b/>
                <w:bCs/>
                <w:noProof/>
              </w:rPr>
            </w:pPr>
            <w:r w:rsidRPr="00E51DFE">
              <w:rPr>
                <w:b/>
              </w:rPr>
              <w:t>120</w:t>
            </w:r>
          </w:p>
        </w:tc>
      </w:tr>
      <w:tr w:rsidR="00872DB8" w:rsidRPr="00E51DFE" w14:paraId="502434F4"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19D23C4" w14:textId="77777777" w:rsidR="00872DB8" w:rsidRPr="00E51DFE" w:rsidRDefault="00872DB8" w:rsidP="001D6593">
            <w:pPr>
              <w:spacing w:after="120"/>
              <w:ind w:left="567" w:hanging="567"/>
              <w:rPr>
                <w:b/>
                <w:bCs/>
                <w:noProof/>
              </w:rPr>
            </w:pPr>
            <w:r w:rsidRPr="00E51DFE">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2471D692" w14:textId="77777777" w:rsidR="00872DB8" w:rsidRPr="00E51DFE" w:rsidRDefault="00872DB8" w:rsidP="001D6593">
            <w:pPr>
              <w:spacing w:after="120"/>
              <w:jc w:val="center"/>
              <w:rPr>
                <w:b/>
                <w:bCs/>
                <w:noProof/>
              </w:rPr>
            </w:pPr>
            <w:r w:rsidRPr="00E51DFE">
              <w:rPr>
                <w:b/>
              </w:rPr>
              <w:t xml:space="preserve">47 140 900 </w:t>
            </w:r>
          </w:p>
        </w:tc>
        <w:tc>
          <w:tcPr>
            <w:tcW w:w="1280" w:type="dxa"/>
            <w:tcBorders>
              <w:top w:val="single" w:sz="4" w:space="0" w:color="auto"/>
              <w:left w:val="single" w:sz="4" w:space="0" w:color="auto"/>
              <w:bottom w:val="single" w:sz="4" w:space="0" w:color="auto"/>
              <w:right w:val="single" w:sz="4" w:space="0" w:color="auto"/>
            </w:tcBorders>
            <w:noWrap/>
            <w:hideMark/>
          </w:tcPr>
          <w:p w14:paraId="3E4153A4" w14:textId="77777777" w:rsidR="00872DB8" w:rsidRPr="00E51DFE" w:rsidRDefault="00872DB8" w:rsidP="001D6593">
            <w:pPr>
              <w:spacing w:after="120"/>
              <w:jc w:val="center"/>
              <w:rPr>
                <w:b/>
                <w:bCs/>
                <w:noProof/>
              </w:rPr>
            </w:pPr>
            <w:r w:rsidRPr="00E51DFE">
              <w:rPr>
                <w:b/>
              </w:rPr>
              <w:t>0</w:t>
            </w:r>
          </w:p>
        </w:tc>
        <w:tc>
          <w:tcPr>
            <w:tcW w:w="696" w:type="dxa"/>
            <w:tcBorders>
              <w:top w:val="single" w:sz="4" w:space="0" w:color="auto"/>
              <w:left w:val="single" w:sz="4" w:space="0" w:color="auto"/>
              <w:bottom w:val="single" w:sz="4" w:space="0" w:color="auto"/>
              <w:right w:val="single" w:sz="4" w:space="0" w:color="auto"/>
            </w:tcBorders>
            <w:noWrap/>
            <w:hideMark/>
          </w:tcPr>
          <w:p w14:paraId="6B3281AF" w14:textId="77777777" w:rsidR="00872DB8" w:rsidRPr="00E51DFE" w:rsidRDefault="00872DB8" w:rsidP="001D6593">
            <w:pPr>
              <w:spacing w:after="120"/>
              <w:jc w:val="center"/>
              <w:rPr>
                <w:b/>
                <w:bCs/>
                <w:noProof/>
              </w:rPr>
            </w:pPr>
            <w:r w:rsidRPr="00E51DFE">
              <w:rPr>
                <w:b/>
              </w:rPr>
              <w:t>0 %</w:t>
            </w:r>
          </w:p>
        </w:tc>
        <w:tc>
          <w:tcPr>
            <w:tcW w:w="1461" w:type="dxa"/>
            <w:tcBorders>
              <w:top w:val="single" w:sz="4" w:space="0" w:color="auto"/>
              <w:left w:val="single" w:sz="4" w:space="0" w:color="auto"/>
              <w:bottom w:val="single" w:sz="4" w:space="0" w:color="auto"/>
              <w:right w:val="single" w:sz="4" w:space="0" w:color="auto"/>
            </w:tcBorders>
            <w:noWrap/>
            <w:hideMark/>
          </w:tcPr>
          <w:p w14:paraId="0BA5FEE1" w14:textId="77777777" w:rsidR="00872DB8" w:rsidRPr="00E51DFE" w:rsidRDefault="00872DB8" w:rsidP="001D6593">
            <w:pPr>
              <w:spacing w:after="120"/>
              <w:jc w:val="center"/>
              <w:rPr>
                <w:b/>
                <w:bCs/>
                <w:noProof/>
              </w:rPr>
            </w:pPr>
            <w:r w:rsidRPr="00E51DFE">
              <w:rPr>
                <w:b/>
              </w:rPr>
              <w:t xml:space="preserve">46 295 800 </w:t>
            </w:r>
          </w:p>
        </w:tc>
        <w:tc>
          <w:tcPr>
            <w:tcW w:w="664" w:type="dxa"/>
            <w:tcBorders>
              <w:top w:val="single" w:sz="4" w:space="0" w:color="auto"/>
              <w:left w:val="single" w:sz="4" w:space="0" w:color="auto"/>
              <w:bottom w:val="single" w:sz="4" w:space="0" w:color="auto"/>
              <w:right w:val="single" w:sz="4" w:space="0" w:color="auto"/>
            </w:tcBorders>
            <w:noWrap/>
            <w:hideMark/>
          </w:tcPr>
          <w:p w14:paraId="7A2FAB37" w14:textId="77777777" w:rsidR="00872DB8" w:rsidRPr="00E51DFE" w:rsidRDefault="00872DB8" w:rsidP="001D6593">
            <w:pPr>
              <w:spacing w:after="120"/>
              <w:jc w:val="center"/>
              <w:rPr>
                <w:b/>
                <w:bCs/>
                <w:noProof/>
              </w:rPr>
            </w:pPr>
            <w:r w:rsidRPr="00E51DFE">
              <w:rPr>
                <w:b/>
              </w:rPr>
              <w:t>98 %</w:t>
            </w:r>
          </w:p>
        </w:tc>
        <w:tc>
          <w:tcPr>
            <w:tcW w:w="1300" w:type="dxa"/>
            <w:tcBorders>
              <w:top w:val="single" w:sz="4" w:space="0" w:color="auto"/>
              <w:left w:val="single" w:sz="4" w:space="0" w:color="auto"/>
              <w:bottom w:val="single" w:sz="4" w:space="0" w:color="auto"/>
              <w:right w:val="single" w:sz="4" w:space="0" w:color="auto"/>
            </w:tcBorders>
            <w:noWrap/>
            <w:hideMark/>
          </w:tcPr>
          <w:p w14:paraId="11C86700" w14:textId="77777777" w:rsidR="00872DB8" w:rsidRPr="00E51DFE" w:rsidRDefault="00872DB8" w:rsidP="001D6593">
            <w:pPr>
              <w:spacing w:after="120"/>
              <w:jc w:val="center"/>
              <w:rPr>
                <w:b/>
                <w:bCs/>
                <w:noProof/>
              </w:rPr>
            </w:pPr>
            <w:r w:rsidRPr="00E51DFE">
              <w:rPr>
                <w:b/>
              </w:rPr>
              <w:t xml:space="preserve">845 100 </w:t>
            </w:r>
          </w:p>
        </w:tc>
      </w:tr>
      <w:tr w:rsidR="00872DB8" w:rsidRPr="00E51DFE" w14:paraId="39C02A80"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8105932" w14:textId="77777777" w:rsidR="00872DB8" w:rsidRPr="00E51DFE" w:rsidRDefault="00872DB8" w:rsidP="001D6593">
            <w:pPr>
              <w:spacing w:after="120"/>
              <w:ind w:left="567" w:hanging="567"/>
              <w:rPr>
                <w:b/>
                <w:bCs/>
                <w:noProof/>
              </w:rPr>
            </w:pPr>
            <w:r w:rsidRPr="00E51DFE">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463AA3DD" w14:textId="77777777" w:rsidR="00872DB8" w:rsidRPr="00E51DFE" w:rsidRDefault="00872DB8" w:rsidP="001D6593">
            <w:pPr>
              <w:spacing w:after="120"/>
              <w:jc w:val="center"/>
              <w:rPr>
                <w:b/>
                <w:bCs/>
                <w:noProof/>
              </w:rPr>
            </w:pPr>
            <w:r w:rsidRPr="00E51DFE">
              <w:rPr>
                <w:b/>
              </w:rPr>
              <w:t xml:space="preserve">169 665 375 </w:t>
            </w:r>
          </w:p>
        </w:tc>
        <w:tc>
          <w:tcPr>
            <w:tcW w:w="1280" w:type="dxa"/>
            <w:tcBorders>
              <w:top w:val="single" w:sz="4" w:space="0" w:color="auto"/>
              <w:left w:val="single" w:sz="4" w:space="0" w:color="auto"/>
              <w:bottom w:val="single" w:sz="4" w:space="0" w:color="auto"/>
              <w:right w:val="single" w:sz="4" w:space="0" w:color="auto"/>
            </w:tcBorders>
            <w:noWrap/>
            <w:hideMark/>
          </w:tcPr>
          <w:p w14:paraId="52AD20D0" w14:textId="77777777" w:rsidR="00872DB8" w:rsidRPr="00E51DFE" w:rsidRDefault="00872DB8" w:rsidP="001D6593">
            <w:pPr>
              <w:spacing w:after="120"/>
              <w:jc w:val="center"/>
              <w:rPr>
                <w:b/>
                <w:bCs/>
                <w:noProof/>
              </w:rPr>
            </w:pPr>
            <w:r w:rsidRPr="00E51DFE">
              <w:rPr>
                <w:b/>
              </w:rPr>
              <w:t xml:space="preserve">44 329 433 </w:t>
            </w:r>
          </w:p>
        </w:tc>
        <w:tc>
          <w:tcPr>
            <w:tcW w:w="696" w:type="dxa"/>
            <w:tcBorders>
              <w:top w:val="single" w:sz="4" w:space="0" w:color="auto"/>
              <w:left w:val="single" w:sz="4" w:space="0" w:color="auto"/>
              <w:bottom w:val="single" w:sz="4" w:space="0" w:color="auto"/>
              <w:right w:val="single" w:sz="4" w:space="0" w:color="auto"/>
            </w:tcBorders>
            <w:noWrap/>
            <w:hideMark/>
          </w:tcPr>
          <w:p w14:paraId="56D0A8FF" w14:textId="77777777" w:rsidR="00872DB8" w:rsidRPr="00E51DFE" w:rsidRDefault="00872DB8" w:rsidP="001D6593">
            <w:pPr>
              <w:spacing w:after="120"/>
              <w:jc w:val="center"/>
              <w:rPr>
                <w:b/>
                <w:bCs/>
                <w:noProof/>
              </w:rPr>
            </w:pPr>
            <w:r w:rsidRPr="00E51DFE">
              <w:rPr>
                <w:b/>
              </w:rPr>
              <w:t>26 %</w:t>
            </w:r>
          </w:p>
        </w:tc>
        <w:tc>
          <w:tcPr>
            <w:tcW w:w="1461" w:type="dxa"/>
            <w:tcBorders>
              <w:top w:val="single" w:sz="4" w:space="0" w:color="auto"/>
              <w:left w:val="single" w:sz="4" w:space="0" w:color="auto"/>
              <w:bottom w:val="single" w:sz="4" w:space="0" w:color="auto"/>
              <w:right w:val="single" w:sz="4" w:space="0" w:color="auto"/>
            </w:tcBorders>
            <w:noWrap/>
            <w:hideMark/>
          </w:tcPr>
          <w:p w14:paraId="1DF02BE2" w14:textId="77777777" w:rsidR="00872DB8" w:rsidRPr="00E51DFE" w:rsidRDefault="00872DB8" w:rsidP="001D6593">
            <w:pPr>
              <w:spacing w:after="120"/>
              <w:jc w:val="center"/>
              <w:rPr>
                <w:b/>
                <w:bCs/>
                <w:noProof/>
              </w:rPr>
            </w:pPr>
            <w:r w:rsidRPr="00E51DFE">
              <w:rPr>
                <w:b/>
              </w:rPr>
              <w:t xml:space="preserve">120 937 434 </w:t>
            </w:r>
          </w:p>
        </w:tc>
        <w:tc>
          <w:tcPr>
            <w:tcW w:w="664" w:type="dxa"/>
            <w:tcBorders>
              <w:top w:val="single" w:sz="4" w:space="0" w:color="auto"/>
              <w:left w:val="single" w:sz="4" w:space="0" w:color="auto"/>
              <w:bottom w:val="single" w:sz="4" w:space="0" w:color="auto"/>
              <w:right w:val="single" w:sz="4" w:space="0" w:color="auto"/>
            </w:tcBorders>
            <w:noWrap/>
            <w:hideMark/>
          </w:tcPr>
          <w:p w14:paraId="21D05080" w14:textId="77777777" w:rsidR="00872DB8" w:rsidRPr="00E51DFE" w:rsidRDefault="00872DB8" w:rsidP="001D6593">
            <w:pPr>
              <w:spacing w:after="120"/>
              <w:jc w:val="center"/>
              <w:rPr>
                <w:b/>
                <w:bCs/>
                <w:noProof/>
              </w:rPr>
            </w:pPr>
            <w:r w:rsidRPr="00E51DFE">
              <w:rPr>
                <w:b/>
              </w:rPr>
              <w:t>71 %</w:t>
            </w:r>
          </w:p>
        </w:tc>
        <w:tc>
          <w:tcPr>
            <w:tcW w:w="1300" w:type="dxa"/>
            <w:tcBorders>
              <w:top w:val="single" w:sz="4" w:space="0" w:color="auto"/>
              <w:left w:val="single" w:sz="4" w:space="0" w:color="auto"/>
              <w:bottom w:val="single" w:sz="4" w:space="0" w:color="auto"/>
              <w:right w:val="single" w:sz="4" w:space="0" w:color="auto"/>
            </w:tcBorders>
            <w:noWrap/>
            <w:hideMark/>
          </w:tcPr>
          <w:p w14:paraId="4FACF858" w14:textId="77777777" w:rsidR="00872DB8" w:rsidRPr="00E51DFE" w:rsidRDefault="00872DB8" w:rsidP="001D6593">
            <w:pPr>
              <w:spacing w:after="120"/>
              <w:jc w:val="center"/>
              <w:rPr>
                <w:b/>
                <w:bCs/>
                <w:noProof/>
              </w:rPr>
            </w:pPr>
            <w:r w:rsidRPr="00E51DFE">
              <w:rPr>
                <w:b/>
              </w:rPr>
              <w:t xml:space="preserve">4 398 508 </w:t>
            </w:r>
          </w:p>
        </w:tc>
      </w:tr>
      <w:tr w:rsidR="00872DB8" w:rsidRPr="00E51DFE" w14:paraId="3875D028"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C2B44DF" w14:textId="77777777" w:rsidR="00872DB8" w:rsidRPr="00E51DFE" w:rsidRDefault="00872DB8" w:rsidP="001D6593">
            <w:pPr>
              <w:spacing w:after="120"/>
              <w:ind w:left="567" w:hanging="567"/>
              <w:rPr>
                <w:b/>
                <w:bCs/>
                <w:noProof/>
              </w:rPr>
            </w:pPr>
            <w:r w:rsidRPr="00E51DFE">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42FDE6B8" w14:textId="77777777" w:rsidR="00872DB8" w:rsidRPr="00E51DFE" w:rsidRDefault="00872DB8" w:rsidP="001D6593">
            <w:pPr>
              <w:spacing w:after="120"/>
              <w:jc w:val="center"/>
              <w:rPr>
                <w:b/>
                <w:bCs/>
                <w:noProof/>
              </w:rPr>
            </w:pPr>
            <w:r w:rsidRPr="00E51DFE">
              <w:rPr>
                <w:b/>
              </w:rPr>
              <w:t xml:space="preserve">52 672 002 </w:t>
            </w:r>
          </w:p>
        </w:tc>
        <w:tc>
          <w:tcPr>
            <w:tcW w:w="1280" w:type="dxa"/>
            <w:tcBorders>
              <w:top w:val="single" w:sz="4" w:space="0" w:color="auto"/>
              <w:left w:val="single" w:sz="4" w:space="0" w:color="auto"/>
              <w:bottom w:val="single" w:sz="4" w:space="0" w:color="auto"/>
              <w:right w:val="single" w:sz="4" w:space="0" w:color="auto"/>
            </w:tcBorders>
            <w:noWrap/>
            <w:hideMark/>
          </w:tcPr>
          <w:p w14:paraId="2188F42B" w14:textId="77777777" w:rsidR="00872DB8" w:rsidRPr="00E51DFE" w:rsidRDefault="00872DB8" w:rsidP="001D6593">
            <w:pPr>
              <w:spacing w:after="120"/>
              <w:jc w:val="center"/>
              <w:rPr>
                <w:b/>
                <w:bCs/>
                <w:noProof/>
              </w:rPr>
            </w:pPr>
            <w:r w:rsidRPr="00E51DFE">
              <w:rPr>
                <w:b/>
              </w:rPr>
              <w:t xml:space="preserve">19 428 306 </w:t>
            </w:r>
          </w:p>
        </w:tc>
        <w:tc>
          <w:tcPr>
            <w:tcW w:w="696" w:type="dxa"/>
            <w:tcBorders>
              <w:top w:val="single" w:sz="4" w:space="0" w:color="auto"/>
              <w:left w:val="single" w:sz="4" w:space="0" w:color="auto"/>
              <w:bottom w:val="single" w:sz="4" w:space="0" w:color="auto"/>
              <w:right w:val="single" w:sz="4" w:space="0" w:color="auto"/>
            </w:tcBorders>
            <w:noWrap/>
            <w:hideMark/>
          </w:tcPr>
          <w:p w14:paraId="1E0BC880" w14:textId="77777777" w:rsidR="00872DB8" w:rsidRPr="00E51DFE" w:rsidRDefault="00872DB8" w:rsidP="001D6593">
            <w:pPr>
              <w:spacing w:after="120"/>
              <w:jc w:val="center"/>
              <w:rPr>
                <w:b/>
                <w:bCs/>
                <w:noProof/>
              </w:rPr>
            </w:pPr>
            <w:r w:rsidRPr="00E51DFE">
              <w:rPr>
                <w:b/>
              </w:rPr>
              <w:t>37 %</w:t>
            </w:r>
          </w:p>
        </w:tc>
        <w:tc>
          <w:tcPr>
            <w:tcW w:w="1461" w:type="dxa"/>
            <w:tcBorders>
              <w:top w:val="single" w:sz="4" w:space="0" w:color="auto"/>
              <w:left w:val="single" w:sz="4" w:space="0" w:color="auto"/>
              <w:bottom w:val="single" w:sz="4" w:space="0" w:color="auto"/>
              <w:right w:val="single" w:sz="4" w:space="0" w:color="auto"/>
            </w:tcBorders>
            <w:noWrap/>
            <w:hideMark/>
          </w:tcPr>
          <w:p w14:paraId="451796CA" w14:textId="77777777" w:rsidR="00872DB8" w:rsidRPr="00E51DFE" w:rsidRDefault="00872DB8" w:rsidP="001D6593">
            <w:pPr>
              <w:spacing w:after="120"/>
              <w:jc w:val="center"/>
              <w:rPr>
                <w:b/>
                <w:bCs/>
                <w:noProof/>
              </w:rPr>
            </w:pPr>
            <w:r w:rsidRPr="00E51DFE">
              <w:rPr>
                <w:b/>
              </w:rPr>
              <w:t xml:space="preserve">31 479 331 </w:t>
            </w:r>
          </w:p>
        </w:tc>
        <w:tc>
          <w:tcPr>
            <w:tcW w:w="664" w:type="dxa"/>
            <w:tcBorders>
              <w:top w:val="single" w:sz="4" w:space="0" w:color="auto"/>
              <w:left w:val="single" w:sz="4" w:space="0" w:color="auto"/>
              <w:bottom w:val="single" w:sz="4" w:space="0" w:color="auto"/>
              <w:right w:val="single" w:sz="4" w:space="0" w:color="auto"/>
            </w:tcBorders>
            <w:noWrap/>
            <w:hideMark/>
          </w:tcPr>
          <w:p w14:paraId="35009761" w14:textId="77777777" w:rsidR="00872DB8" w:rsidRPr="00E51DFE" w:rsidRDefault="00872DB8" w:rsidP="001D6593">
            <w:pPr>
              <w:spacing w:after="120"/>
              <w:jc w:val="center"/>
              <w:rPr>
                <w:b/>
                <w:bCs/>
                <w:noProof/>
              </w:rPr>
            </w:pPr>
            <w:r w:rsidRPr="00E51DFE">
              <w:rPr>
                <w:b/>
              </w:rPr>
              <w:t>60 %</w:t>
            </w:r>
          </w:p>
        </w:tc>
        <w:tc>
          <w:tcPr>
            <w:tcW w:w="1300" w:type="dxa"/>
            <w:tcBorders>
              <w:top w:val="single" w:sz="4" w:space="0" w:color="auto"/>
              <w:left w:val="single" w:sz="4" w:space="0" w:color="auto"/>
              <w:bottom w:val="single" w:sz="4" w:space="0" w:color="auto"/>
              <w:right w:val="single" w:sz="4" w:space="0" w:color="auto"/>
            </w:tcBorders>
            <w:noWrap/>
            <w:hideMark/>
          </w:tcPr>
          <w:p w14:paraId="72BC2F77" w14:textId="77777777" w:rsidR="00872DB8" w:rsidRPr="00E51DFE" w:rsidRDefault="00872DB8" w:rsidP="001D6593">
            <w:pPr>
              <w:spacing w:after="120"/>
              <w:jc w:val="center"/>
              <w:rPr>
                <w:b/>
                <w:bCs/>
                <w:noProof/>
              </w:rPr>
            </w:pPr>
            <w:r w:rsidRPr="00E51DFE">
              <w:rPr>
                <w:b/>
              </w:rPr>
              <w:t xml:space="preserve">1 764 364 </w:t>
            </w:r>
          </w:p>
        </w:tc>
      </w:tr>
      <w:tr w:rsidR="00872DB8" w:rsidRPr="00E51DFE" w14:paraId="0FA9DA8E"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ABF65FA" w14:textId="77777777" w:rsidR="00872DB8" w:rsidRPr="00E51DFE" w:rsidRDefault="00872DB8" w:rsidP="001D6593">
            <w:pPr>
              <w:spacing w:after="120"/>
              <w:ind w:left="567" w:hanging="567"/>
              <w:rPr>
                <w:b/>
                <w:bCs/>
                <w:noProof/>
              </w:rPr>
            </w:pPr>
            <w:r w:rsidRPr="00E51DFE">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3BB7DA53" w14:textId="77777777" w:rsidR="00872DB8" w:rsidRPr="00E51DFE" w:rsidRDefault="00872DB8" w:rsidP="001D6593">
            <w:pPr>
              <w:spacing w:after="120"/>
              <w:jc w:val="center"/>
              <w:rPr>
                <w:b/>
                <w:bCs/>
                <w:noProof/>
              </w:rPr>
            </w:pPr>
            <w:r w:rsidRPr="00E51DFE">
              <w:rPr>
                <w:b/>
              </w:rPr>
              <w:t xml:space="preserve">123 280 140 </w:t>
            </w:r>
          </w:p>
        </w:tc>
        <w:tc>
          <w:tcPr>
            <w:tcW w:w="1280" w:type="dxa"/>
            <w:tcBorders>
              <w:top w:val="single" w:sz="4" w:space="0" w:color="auto"/>
              <w:left w:val="single" w:sz="4" w:space="0" w:color="auto"/>
              <w:bottom w:val="single" w:sz="4" w:space="0" w:color="auto"/>
              <w:right w:val="single" w:sz="4" w:space="0" w:color="auto"/>
            </w:tcBorders>
            <w:noWrap/>
            <w:hideMark/>
          </w:tcPr>
          <w:p w14:paraId="173F65F7" w14:textId="77777777" w:rsidR="00872DB8" w:rsidRPr="00E51DFE" w:rsidRDefault="00872DB8" w:rsidP="001D6593">
            <w:pPr>
              <w:spacing w:after="120"/>
              <w:jc w:val="center"/>
              <w:rPr>
                <w:b/>
                <w:bCs/>
                <w:noProof/>
              </w:rPr>
            </w:pPr>
            <w:r w:rsidRPr="00E51DFE">
              <w:rPr>
                <w:b/>
              </w:rPr>
              <w:t xml:space="preserve">81 274 568 </w:t>
            </w:r>
          </w:p>
        </w:tc>
        <w:tc>
          <w:tcPr>
            <w:tcW w:w="696" w:type="dxa"/>
            <w:tcBorders>
              <w:top w:val="single" w:sz="4" w:space="0" w:color="auto"/>
              <w:left w:val="single" w:sz="4" w:space="0" w:color="auto"/>
              <w:bottom w:val="single" w:sz="4" w:space="0" w:color="auto"/>
              <w:right w:val="single" w:sz="4" w:space="0" w:color="auto"/>
            </w:tcBorders>
            <w:noWrap/>
            <w:hideMark/>
          </w:tcPr>
          <w:p w14:paraId="763776F7" w14:textId="77777777" w:rsidR="00872DB8" w:rsidRPr="00E51DFE" w:rsidRDefault="00872DB8" w:rsidP="001D6593">
            <w:pPr>
              <w:spacing w:after="120"/>
              <w:jc w:val="center"/>
              <w:rPr>
                <w:b/>
                <w:bCs/>
                <w:noProof/>
              </w:rPr>
            </w:pPr>
            <w:r w:rsidRPr="00E51DFE">
              <w:rPr>
                <w:b/>
              </w:rPr>
              <w:t>66 %</w:t>
            </w:r>
          </w:p>
        </w:tc>
        <w:tc>
          <w:tcPr>
            <w:tcW w:w="1461" w:type="dxa"/>
            <w:tcBorders>
              <w:top w:val="single" w:sz="4" w:space="0" w:color="auto"/>
              <w:left w:val="single" w:sz="4" w:space="0" w:color="auto"/>
              <w:bottom w:val="single" w:sz="4" w:space="0" w:color="auto"/>
              <w:right w:val="single" w:sz="4" w:space="0" w:color="auto"/>
            </w:tcBorders>
            <w:noWrap/>
            <w:hideMark/>
          </w:tcPr>
          <w:p w14:paraId="48DBD173" w14:textId="77777777" w:rsidR="00872DB8" w:rsidRPr="00E51DFE" w:rsidRDefault="00872DB8" w:rsidP="001D6593">
            <w:pPr>
              <w:spacing w:after="120"/>
              <w:jc w:val="center"/>
              <w:rPr>
                <w:b/>
                <w:bCs/>
                <w:noProof/>
              </w:rPr>
            </w:pPr>
            <w:r w:rsidRPr="00E51DFE">
              <w:rPr>
                <w:b/>
              </w:rPr>
              <w:t>33 107 484</w:t>
            </w:r>
            <w:r w:rsidRPr="00E51DFE">
              <w:rPr>
                <w:b/>
              </w:rPr>
              <w:br/>
            </w:r>
          </w:p>
        </w:tc>
        <w:tc>
          <w:tcPr>
            <w:tcW w:w="664" w:type="dxa"/>
            <w:tcBorders>
              <w:top w:val="single" w:sz="4" w:space="0" w:color="auto"/>
              <w:left w:val="single" w:sz="4" w:space="0" w:color="auto"/>
              <w:bottom w:val="single" w:sz="4" w:space="0" w:color="auto"/>
              <w:right w:val="single" w:sz="4" w:space="0" w:color="auto"/>
            </w:tcBorders>
            <w:noWrap/>
            <w:hideMark/>
          </w:tcPr>
          <w:p w14:paraId="33FEFC06" w14:textId="77777777" w:rsidR="00872DB8" w:rsidRPr="00E51DFE" w:rsidRDefault="00872DB8" w:rsidP="001D6593">
            <w:pPr>
              <w:spacing w:after="120"/>
              <w:jc w:val="center"/>
              <w:rPr>
                <w:b/>
                <w:bCs/>
                <w:noProof/>
              </w:rPr>
            </w:pPr>
            <w:r w:rsidRPr="00E51DFE">
              <w:rPr>
                <w:b/>
              </w:rPr>
              <w:t>27 %</w:t>
            </w:r>
          </w:p>
        </w:tc>
        <w:tc>
          <w:tcPr>
            <w:tcW w:w="1300" w:type="dxa"/>
            <w:tcBorders>
              <w:top w:val="single" w:sz="4" w:space="0" w:color="auto"/>
              <w:left w:val="single" w:sz="4" w:space="0" w:color="auto"/>
              <w:bottom w:val="single" w:sz="4" w:space="0" w:color="auto"/>
              <w:right w:val="single" w:sz="4" w:space="0" w:color="auto"/>
            </w:tcBorders>
            <w:noWrap/>
            <w:hideMark/>
          </w:tcPr>
          <w:p w14:paraId="58174473" w14:textId="77777777" w:rsidR="00872DB8" w:rsidRPr="00E51DFE" w:rsidRDefault="00872DB8" w:rsidP="001D6593">
            <w:pPr>
              <w:spacing w:after="120"/>
              <w:jc w:val="center"/>
              <w:rPr>
                <w:b/>
                <w:bCs/>
                <w:noProof/>
              </w:rPr>
            </w:pPr>
            <w:r w:rsidRPr="00E51DFE">
              <w:rPr>
                <w:b/>
              </w:rPr>
              <w:t xml:space="preserve">8 898 088 </w:t>
            </w:r>
          </w:p>
        </w:tc>
      </w:tr>
      <w:tr w:rsidR="00872DB8" w:rsidRPr="00E51DFE" w14:paraId="38C30562"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23226D9" w14:textId="77777777" w:rsidR="00872DB8" w:rsidRPr="00E51DFE" w:rsidRDefault="00872DB8" w:rsidP="001D6593">
            <w:pPr>
              <w:spacing w:after="120"/>
              <w:ind w:left="567" w:hanging="567"/>
              <w:rPr>
                <w:b/>
                <w:bCs/>
                <w:noProof/>
              </w:rPr>
            </w:pPr>
            <w:r w:rsidRPr="00E51DFE">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5908FB38" w14:textId="77777777" w:rsidR="00872DB8" w:rsidRPr="00E51DFE" w:rsidRDefault="00872DB8" w:rsidP="001D6593">
            <w:pPr>
              <w:spacing w:after="120"/>
              <w:jc w:val="center"/>
              <w:rPr>
                <w:b/>
                <w:bCs/>
                <w:noProof/>
              </w:rPr>
            </w:pPr>
            <w:r w:rsidRPr="00E51DFE">
              <w:rPr>
                <w:b/>
              </w:rPr>
              <w:t xml:space="preserve">36 714 492 </w:t>
            </w:r>
          </w:p>
        </w:tc>
        <w:tc>
          <w:tcPr>
            <w:tcW w:w="1280" w:type="dxa"/>
            <w:tcBorders>
              <w:top w:val="single" w:sz="4" w:space="0" w:color="auto"/>
              <w:left w:val="single" w:sz="4" w:space="0" w:color="auto"/>
              <w:bottom w:val="single" w:sz="4" w:space="0" w:color="auto"/>
              <w:right w:val="single" w:sz="4" w:space="0" w:color="auto"/>
            </w:tcBorders>
            <w:noWrap/>
            <w:hideMark/>
          </w:tcPr>
          <w:p w14:paraId="489A6983" w14:textId="77777777" w:rsidR="00872DB8" w:rsidRPr="00E51DFE" w:rsidRDefault="00872DB8" w:rsidP="001D6593">
            <w:pPr>
              <w:spacing w:after="120"/>
              <w:jc w:val="center"/>
              <w:rPr>
                <w:b/>
                <w:bCs/>
                <w:noProof/>
              </w:rPr>
            </w:pPr>
            <w:r w:rsidRPr="00E51DFE">
              <w:rPr>
                <w:b/>
              </w:rPr>
              <w:t xml:space="preserve">13 470 715 </w:t>
            </w:r>
          </w:p>
        </w:tc>
        <w:tc>
          <w:tcPr>
            <w:tcW w:w="696" w:type="dxa"/>
            <w:tcBorders>
              <w:top w:val="single" w:sz="4" w:space="0" w:color="auto"/>
              <w:left w:val="single" w:sz="4" w:space="0" w:color="auto"/>
              <w:bottom w:val="single" w:sz="4" w:space="0" w:color="auto"/>
              <w:right w:val="single" w:sz="4" w:space="0" w:color="auto"/>
            </w:tcBorders>
            <w:noWrap/>
            <w:hideMark/>
          </w:tcPr>
          <w:p w14:paraId="66CEB315" w14:textId="77777777" w:rsidR="00872DB8" w:rsidRPr="00E51DFE" w:rsidRDefault="00872DB8" w:rsidP="001D6593">
            <w:pPr>
              <w:spacing w:after="120"/>
              <w:jc w:val="center"/>
              <w:rPr>
                <w:b/>
                <w:bCs/>
                <w:noProof/>
              </w:rPr>
            </w:pPr>
            <w:r w:rsidRPr="00E51DFE">
              <w:rPr>
                <w:b/>
              </w:rPr>
              <w:t>37 %</w:t>
            </w:r>
          </w:p>
        </w:tc>
        <w:tc>
          <w:tcPr>
            <w:tcW w:w="1461" w:type="dxa"/>
            <w:tcBorders>
              <w:top w:val="single" w:sz="4" w:space="0" w:color="auto"/>
              <w:left w:val="single" w:sz="4" w:space="0" w:color="auto"/>
              <w:bottom w:val="single" w:sz="4" w:space="0" w:color="auto"/>
              <w:right w:val="single" w:sz="4" w:space="0" w:color="auto"/>
            </w:tcBorders>
            <w:noWrap/>
            <w:hideMark/>
          </w:tcPr>
          <w:p w14:paraId="22B92D6F" w14:textId="77777777" w:rsidR="00872DB8" w:rsidRPr="00E51DFE" w:rsidRDefault="00872DB8" w:rsidP="001D6593">
            <w:pPr>
              <w:spacing w:after="120"/>
              <w:jc w:val="center"/>
              <w:rPr>
                <w:b/>
                <w:bCs/>
                <w:noProof/>
              </w:rPr>
            </w:pPr>
            <w:r w:rsidRPr="00E51DFE">
              <w:rPr>
                <w:b/>
              </w:rPr>
              <w:t xml:space="preserve">22 086 958 </w:t>
            </w:r>
          </w:p>
        </w:tc>
        <w:tc>
          <w:tcPr>
            <w:tcW w:w="664" w:type="dxa"/>
            <w:tcBorders>
              <w:top w:val="single" w:sz="4" w:space="0" w:color="auto"/>
              <w:left w:val="single" w:sz="4" w:space="0" w:color="auto"/>
              <w:bottom w:val="single" w:sz="4" w:space="0" w:color="auto"/>
              <w:right w:val="single" w:sz="4" w:space="0" w:color="auto"/>
            </w:tcBorders>
            <w:noWrap/>
            <w:hideMark/>
          </w:tcPr>
          <w:p w14:paraId="3510B804" w14:textId="77777777" w:rsidR="00872DB8" w:rsidRPr="00E51DFE" w:rsidRDefault="00872DB8" w:rsidP="001D6593">
            <w:pPr>
              <w:spacing w:after="120"/>
              <w:jc w:val="center"/>
              <w:rPr>
                <w:b/>
                <w:bCs/>
                <w:noProof/>
              </w:rPr>
            </w:pPr>
            <w:r w:rsidRPr="00E51DFE">
              <w:rPr>
                <w:b/>
              </w:rPr>
              <w:t>60 %</w:t>
            </w:r>
          </w:p>
        </w:tc>
        <w:tc>
          <w:tcPr>
            <w:tcW w:w="1300" w:type="dxa"/>
            <w:tcBorders>
              <w:top w:val="single" w:sz="4" w:space="0" w:color="auto"/>
              <w:left w:val="single" w:sz="4" w:space="0" w:color="auto"/>
              <w:bottom w:val="single" w:sz="4" w:space="0" w:color="auto"/>
              <w:right w:val="single" w:sz="4" w:space="0" w:color="auto"/>
            </w:tcBorders>
            <w:noWrap/>
            <w:hideMark/>
          </w:tcPr>
          <w:p w14:paraId="5D70503C" w14:textId="77777777" w:rsidR="00872DB8" w:rsidRPr="00E51DFE" w:rsidRDefault="00872DB8" w:rsidP="001D6593">
            <w:pPr>
              <w:spacing w:after="120"/>
              <w:jc w:val="center"/>
              <w:rPr>
                <w:b/>
                <w:bCs/>
                <w:noProof/>
              </w:rPr>
            </w:pPr>
            <w:r w:rsidRPr="00E51DFE">
              <w:rPr>
                <w:b/>
              </w:rPr>
              <w:t xml:space="preserve">1 156 819 </w:t>
            </w:r>
          </w:p>
        </w:tc>
      </w:tr>
      <w:tr w:rsidR="00872DB8" w:rsidRPr="00E51DFE" w14:paraId="20CB57AD"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CB2568C" w14:textId="77777777" w:rsidR="00872DB8" w:rsidRPr="00E51DFE" w:rsidRDefault="00872DB8" w:rsidP="001D6593">
            <w:pPr>
              <w:spacing w:after="120"/>
              <w:ind w:left="567" w:hanging="567"/>
              <w:rPr>
                <w:b/>
                <w:bCs/>
                <w:noProof/>
              </w:rPr>
            </w:pPr>
            <w:r w:rsidRPr="00E51DFE">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50AEF972" w14:textId="77777777" w:rsidR="00872DB8" w:rsidRPr="00E51DFE" w:rsidRDefault="00872DB8" w:rsidP="001D6593">
            <w:pPr>
              <w:spacing w:after="120"/>
              <w:jc w:val="center"/>
              <w:rPr>
                <w:b/>
                <w:bCs/>
                <w:noProof/>
              </w:rPr>
            </w:pPr>
            <w:r w:rsidRPr="00E51DFE">
              <w:rPr>
                <w:b/>
              </w:rPr>
              <w:t xml:space="preserve">448 603 000 </w:t>
            </w:r>
          </w:p>
        </w:tc>
        <w:tc>
          <w:tcPr>
            <w:tcW w:w="1280" w:type="dxa"/>
            <w:tcBorders>
              <w:top w:val="single" w:sz="4" w:space="0" w:color="auto"/>
              <w:left w:val="single" w:sz="4" w:space="0" w:color="auto"/>
              <w:bottom w:val="single" w:sz="4" w:space="0" w:color="auto"/>
              <w:right w:val="single" w:sz="4" w:space="0" w:color="auto"/>
            </w:tcBorders>
            <w:noWrap/>
            <w:hideMark/>
          </w:tcPr>
          <w:p w14:paraId="63A47A48" w14:textId="77777777" w:rsidR="00872DB8" w:rsidRPr="00E51DFE" w:rsidRDefault="00872DB8" w:rsidP="001D6593">
            <w:pPr>
              <w:spacing w:after="120"/>
              <w:jc w:val="center"/>
              <w:rPr>
                <w:b/>
                <w:bCs/>
                <w:noProof/>
              </w:rPr>
            </w:pPr>
            <w:r w:rsidRPr="00E51DFE">
              <w:rPr>
                <w:b/>
              </w:rPr>
              <w:t xml:space="preserve">50 027 000 </w:t>
            </w:r>
          </w:p>
        </w:tc>
        <w:tc>
          <w:tcPr>
            <w:tcW w:w="696" w:type="dxa"/>
            <w:tcBorders>
              <w:top w:val="single" w:sz="4" w:space="0" w:color="auto"/>
              <w:left w:val="single" w:sz="4" w:space="0" w:color="auto"/>
              <w:bottom w:val="single" w:sz="4" w:space="0" w:color="auto"/>
              <w:right w:val="single" w:sz="4" w:space="0" w:color="auto"/>
            </w:tcBorders>
            <w:noWrap/>
            <w:hideMark/>
          </w:tcPr>
          <w:p w14:paraId="37F3FD44" w14:textId="77777777" w:rsidR="00872DB8" w:rsidRPr="00E51DFE" w:rsidRDefault="00872DB8" w:rsidP="001D6593">
            <w:pPr>
              <w:spacing w:after="120"/>
              <w:jc w:val="center"/>
              <w:rPr>
                <w:b/>
                <w:bCs/>
                <w:noProof/>
              </w:rPr>
            </w:pPr>
            <w:r w:rsidRPr="00E51DFE">
              <w:rPr>
                <w:b/>
              </w:rPr>
              <w:t>11 %</w:t>
            </w:r>
          </w:p>
        </w:tc>
        <w:tc>
          <w:tcPr>
            <w:tcW w:w="1461" w:type="dxa"/>
            <w:tcBorders>
              <w:top w:val="single" w:sz="4" w:space="0" w:color="auto"/>
              <w:left w:val="single" w:sz="4" w:space="0" w:color="auto"/>
              <w:bottom w:val="single" w:sz="4" w:space="0" w:color="auto"/>
              <w:right w:val="single" w:sz="4" w:space="0" w:color="auto"/>
            </w:tcBorders>
            <w:noWrap/>
            <w:hideMark/>
          </w:tcPr>
          <w:p w14:paraId="2647DCC4" w14:textId="77777777" w:rsidR="00872DB8" w:rsidRPr="00E51DFE" w:rsidRDefault="00872DB8" w:rsidP="001D6593">
            <w:pPr>
              <w:spacing w:after="120"/>
              <w:jc w:val="center"/>
              <w:rPr>
                <w:b/>
                <w:bCs/>
                <w:noProof/>
              </w:rPr>
            </w:pPr>
            <w:r w:rsidRPr="00E51DFE">
              <w:rPr>
                <w:b/>
              </w:rPr>
              <w:t xml:space="preserve">398 209 000 </w:t>
            </w:r>
          </w:p>
        </w:tc>
        <w:tc>
          <w:tcPr>
            <w:tcW w:w="664" w:type="dxa"/>
            <w:tcBorders>
              <w:top w:val="single" w:sz="4" w:space="0" w:color="auto"/>
              <w:left w:val="single" w:sz="4" w:space="0" w:color="auto"/>
              <w:bottom w:val="single" w:sz="4" w:space="0" w:color="auto"/>
              <w:right w:val="single" w:sz="4" w:space="0" w:color="auto"/>
            </w:tcBorders>
            <w:noWrap/>
            <w:hideMark/>
          </w:tcPr>
          <w:p w14:paraId="2DED147C" w14:textId="77777777" w:rsidR="00872DB8" w:rsidRPr="00E51DFE" w:rsidRDefault="00872DB8" w:rsidP="001D6593">
            <w:pPr>
              <w:spacing w:after="120"/>
              <w:jc w:val="center"/>
              <w:rPr>
                <w:b/>
                <w:bCs/>
                <w:noProof/>
              </w:rPr>
            </w:pPr>
            <w:r w:rsidRPr="00E51DFE">
              <w:rPr>
                <w:b/>
              </w:rPr>
              <w:t>89 %</w:t>
            </w:r>
          </w:p>
        </w:tc>
        <w:tc>
          <w:tcPr>
            <w:tcW w:w="1300" w:type="dxa"/>
            <w:tcBorders>
              <w:top w:val="single" w:sz="4" w:space="0" w:color="auto"/>
              <w:left w:val="single" w:sz="4" w:space="0" w:color="auto"/>
              <w:bottom w:val="single" w:sz="4" w:space="0" w:color="auto"/>
              <w:right w:val="single" w:sz="4" w:space="0" w:color="auto"/>
            </w:tcBorders>
            <w:noWrap/>
            <w:hideMark/>
          </w:tcPr>
          <w:p w14:paraId="7B37A53F" w14:textId="77777777" w:rsidR="00872DB8" w:rsidRPr="00E51DFE" w:rsidRDefault="00872DB8" w:rsidP="001D6593">
            <w:pPr>
              <w:spacing w:after="120"/>
              <w:jc w:val="center"/>
              <w:rPr>
                <w:b/>
                <w:bCs/>
                <w:noProof/>
              </w:rPr>
            </w:pPr>
            <w:r w:rsidRPr="00E51DFE">
              <w:rPr>
                <w:b/>
              </w:rPr>
              <w:t xml:space="preserve">367 000 </w:t>
            </w:r>
          </w:p>
        </w:tc>
      </w:tr>
      <w:tr w:rsidR="00872DB8" w:rsidRPr="00E51DFE" w14:paraId="771FDC82"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3EF5001" w14:textId="77777777" w:rsidR="00872DB8" w:rsidRPr="00E51DFE" w:rsidRDefault="00872DB8" w:rsidP="001D6593">
            <w:pPr>
              <w:spacing w:after="120"/>
              <w:ind w:left="567" w:hanging="567"/>
              <w:rPr>
                <w:b/>
                <w:bCs/>
                <w:noProof/>
              </w:rPr>
            </w:pPr>
            <w:r w:rsidRPr="00E51DFE">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7EDD0D20" w14:textId="77777777" w:rsidR="00872DB8" w:rsidRPr="00E51DFE" w:rsidRDefault="00872DB8" w:rsidP="001D6593">
            <w:pPr>
              <w:spacing w:after="120"/>
              <w:jc w:val="center"/>
              <w:rPr>
                <w:b/>
                <w:bCs/>
                <w:noProof/>
              </w:rPr>
            </w:pPr>
            <w:r w:rsidRPr="00E51DFE">
              <w:rPr>
                <w:b/>
              </w:rPr>
              <w:t xml:space="preserve">38 532 447 </w:t>
            </w:r>
          </w:p>
        </w:tc>
        <w:tc>
          <w:tcPr>
            <w:tcW w:w="1280" w:type="dxa"/>
            <w:tcBorders>
              <w:top w:val="single" w:sz="4" w:space="0" w:color="auto"/>
              <w:left w:val="single" w:sz="4" w:space="0" w:color="auto"/>
              <w:bottom w:val="single" w:sz="4" w:space="0" w:color="auto"/>
              <w:right w:val="single" w:sz="4" w:space="0" w:color="auto"/>
            </w:tcBorders>
            <w:noWrap/>
            <w:hideMark/>
          </w:tcPr>
          <w:p w14:paraId="014D91DE" w14:textId="77777777" w:rsidR="00872DB8" w:rsidRPr="00E51DFE" w:rsidRDefault="00872DB8" w:rsidP="001D6593">
            <w:pPr>
              <w:spacing w:after="120"/>
              <w:jc w:val="center"/>
              <w:rPr>
                <w:b/>
                <w:bCs/>
                <w:noProof/>
              </w:rPr>
            </w:pPr>
            <w:r w:rsidRPr="00E51DFE">
              <w:rPr>
                <w:b/>
              </w:rPr>
              <w:t xml:space="preserve">27 418 274 </w:t>
            </w:r>
          </w:p>
        </w:tc>
        <w:tc>
          <w:tcPr>
            <w:tcW w:w="696" w:type="dxa"/>
            <w:tcBorders>
              <w:top w:val="single" w:sz="4" w:space="0" w:color="auto"/>
              <w:left w:val="single" w:sz="4" w:space="0" w:color="auto"/>
              <w:bottom w:val="single" w:sz="4" w:space="0" w:color="auto"/>
              <w:right w:val="single" w:sz="4" w:space="0" w:color="auto"/>
            </w:tcBorders>
            <w:noWrap/>
            <w:hideMark/>
          </w:tcPr>
          <w:p w14:paraId="17E1B443" w14:textId="77777777" w:rsidR="00872DB8" w:rsidRPr="00E51DFE" w:rsidRDefault="00872DB8" w:rsidP="001D6593">
            <w:pPr>
              <w:spacing w:after="120"/>
              <w:jc w:val="center"/>
              <w:rPr>
                <w:b/>
                <w:bCs/>
                <w:noProof/>
              </w:rPr>
            </w:pPr>
            <w:r w:rsidRPr="00E51DFE">
              <w:rPr>
                <w:b/>
              </w:rPr>
              <w:t>71 %</w:t>
            </w:r>
          </w:p>
        </w:tc>
        <w:tc>
          <w:tcPr>
            <w:tcW w:w="1461" w:type="dxa"/>
            <w:tcBorders>
              <w:top w:val="single" w:sz="4" w:space="0" w:color="auto"/>
              <w:left w:val="single" w:sz="4" w:space="0" w:color="auto"/>
              <w:bottom w:val="single" w:sz="4" w:space="0" w:color="auto"/>
              <w:right w:val="single" w:sz="4" w:space="0" w:color="auto"/>
            </w:tcBorders>
            <w:noWrap/>
            <w:hideMark/>
          </w:tcPr>
          <w:p w14:paraId="48CD342D" w14:textId="77777777" w:rsidR="00872DB8" w:rsidRPr="00E51DFE" w:rsidRDefault="00872DB8" w:rsidP="001D6593">
            <w:pPr>
              <w:spacing w:after="120"/>
              <w:jc w:val="center"/>
              <w:rPr>
                <w:b/>
                <w:bCs/>
                <w:noProof/>
              </w:rPr>
            </w:pPr>
            <w:r w:rsidRPr="00E51DFE">
              <w:rPr>
                <w:b/>
              </w:rPr>
              <w:t xml:space="preserve">10 312 858 </w:t>
            </w:r>
          </w:p>
        </w:tc>
        <w:tc>
          <w:tcPr>
            <w:tcW w:w="664" w:type="dxa"/>
            <w:tcBorders>
              <w:top w:val="single" w:sz="4" w:space="0" w:color="auto"/>
              <w:left w:val="single" w:sz="4" w:space="0" w:color="auto"/>
              <w:bottom w:val="single" w:sz="4" w:space="0" w:color="auto"/>
              <w:right w:val="single" w:sz="4" w:space="0" w:color="auto"/>
            </w:tcBorders>
            <w:noWrap/>
            <w:hideMark/>
          </w:tcPr>
          <w:p w14:paraId="03576C6B" w14:textId="77777777" w:rsidR="00872DB8" w:rsidRPr="00E51DFE" w:rsidRDefault="00872DB8" w:rsidP="001D6593">
            <w:pPr>
              <w:spacing w:after="120"/>
              <w:jc w:val="center"/>
              <w:rPr>
                <w:b/>
                <w:bCs/>
                <w:noProof/>
              </w:rPr>
            </w:pPr>
            <w:r w:rsidRPr="00E51DFE">
              <w:rPr>
                <w:b/>
              </w:rPr>
              <w:t>27 %</w:t>
            </w:r>
          </w:p>
        </w:tc>
        <w:tc>
          <w:tcPr>
            <w:tcW w:w="1300" w:type="dxa"/>
            <w:tcBorders>
              <w:top w:val="single" w:sz="4" w:space="0" w:color="auto"/>
              <w:left w:val="single" w:sz="4" w:space="0" w:color="auto"/>
              <w:bottom w:val="single" w:sz="4" w:space="0" w:color="auto"/>
              <w:right w:val="single" w:sz="4" w:space="0" w:color="auto"/>
            </w:tcBorders>
            <w:noWrap/>
            <w:hideMark/>
          </w:tcPr>
          <w:p w14:paraId="4BE6FA5F" w14:textId="77777777" w:rsidR="00872DB8" w:rsidRPr="00E51DFE" w:rsidRDefault="00872DB8" w:rsidP="001D6593">
            <w:pPr>
              <w:spacing w:after="120"/>
              <w:jc w:val="center"/>
              <w:rPr>
                <w:b/>
                <w:bCs/>
                <w:noProof/>
              </w:rPr>
            </w:pPr>
            <w:r w:rsidRPr="00E51DFE">
              <w:rPr>
                <w:b/>
              </w:rPr>
              <w:t xml:space="preserve">801 315 </w:t>
            </w:r>
          </w:p>
        </w:tc>
      </w:tr>
      <w:tr w:rsidR="00872DB8" w:rsidRPr="00E51DFE" w14:paraId="765DAFB4"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C5B6ACE" w14:textId="77777777" w:rsidR="00872DB8" w:rsidRPr="00E51DFE" w:rsidRDefault="00872DB8" w:rsidP="001D6593">
            <w:pPr>
              <w:spacing w:after="120"/>
              <w:ind w:left="567" w:hanging="567"/>
              <w:rPr>
                <w:b/>
                <w:bCs/>
                <w:noProof/>
              </w:rPr>
            </w:pPr>
            <w:r w:rsidRPr="00E51DFE">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7A1D12CF" w14:textId="77777777" w:rsidR="00872DB8" w:rsidRPr="00E51DFE" w:rsidRDefault="00872DB8" w:rsidP="001D6593">
            <w:pPr>
              <w:spacing w:after="120"/>
              <w:jc w:val="center"/>
              <w:rPr>
                <w:b/>
                <w:bCs/>
                <w:noProof/>
              </w:rPr>
            </w:pPr>
            <w:r w:rsidRPr="00E51DFE">
              <w:rPr>
                <w:b/>
              </w:rPr>
              <w:t xml:space="preserve">72 509 657 </w:t>
            </w:r>
          </w:p>
        </w:tc>
        <w:tc>
          <w:tcPr>
            <w:tcW w:w="1280" w:type="dxa"/>
            <w:tcBorders>
              <w:top w:val="single" w:sz="4" w:space="0" w:color="auto"/>
              <w:left w:val="single" w:sz="4" w:space="0" w:color="auto"/>
              <w:bottom w:val="single" w:sz="4" w:space="0" w:color="auto"/>
              <w:right w:val="single" w:sz="4" w:space="0" w:color="auto"/>
            </w:tcBorders>
            <w:noWrap/>
            <w:hideMark/>
          </w:tcPr>
          <w:p w14:paraId="48679552" w14:textId="77777777" w:rsidR="00872DB8" w:rsidRPr="00E51DFE" w:rsidRDefault="00872DB8" w:rsidP="001D6593">
            <w:pPr>
              <w:spacing w:after="120"/>
              <w:jc w:val="center"/>
              <w:rPr>
                <w:b/>
                <w:bCs/>
                <w:noProof/>
              </w:rPr>
            </w:pPr>
            <w:r w:rsidRPr="00E51DFE">
              <w:rPr>
                <w:b/>
              </w:rPr>
              <w:t xml:space="preserve">18 588 578 </w:t>
            </w:r>
          </w:p>
        </w:tc>
        <w:tc>
          <w:tcPr>
            <w:tcW w:w="696" w:type="dxa"/>
            <w:tcBorders>
              <w:top w:val="single" w:sz="4" w:space="0" w:color="auto"/>
              <w:left w:val="single" w:sz="4" w:space="0" w:color="auto"/>
              <w:bottom w:val="single" w:sz="4" w:space="0" w:color="auto"/>
              <w:right w:val="single" w:sz="4" w:space="0" w:color="auto"/>
            </w:tcBorders>
            <w:noWrap/>
            <w:hideMark/>
          </w:tcPr>
          <w:p w14:paraId="48D84A06" w14:textId="77777777" w:rsidR="00872DB8" w:rsidRPr="00E51DFE" w:rsidRDefault="00872DB8" w:rsidP="001D6593">
            <w:pPr>
              <w:spacing w:after="120"/>
              <w:jc w:val="center"/>
              <w:rPr>
                <w:b/>
                <w:bCs/>
                <w:noProof/>
              </w:rPr>
            </w:pPr>
            <w:r w:rsidRPr="00E51DFE">
              <w:rPr>
                <w:b/>
              </w:rPr>
              <w:t>26 %</w:t>
            </w:r>
          </w:p>
        </w:tc>
        <w:tc>
          <w:tcPr>
            <w:tcW w:w="1461" w:type="dxa"/>
            <w:tcBorders>
              <w:top w:val="single" w:sz="4" w:space="0" w:color="auto"/>
              <w:left w:val="single" w:sz="4" w:space="0" w:color="auto"/>
              <w:bottom w:val="single" w:sz="4" w:space="0" w:color="auto"/>
              <w:right w:val="single" w:sz="4" w:space="0" w:color="auto"/>
            </w:tcBorders>
            <w:noWrap/>
            <w:hideMark/>
          </w:tcPr>
          <w:p w14:paraId="2C9C9CDA" w14:textId="77777777" w:rsidR="00872DB8" w:rsidRPr="00E51DFE" w:rsidRDefault="00872DB8" w:rsidP="001D6593">
            <w:pPr>
              <w:spacing w:after="120"/>
              <w:jc w:val="center"/>
              <w:rPr>
                <w:b/>
                <w:bCs/>
                <w:noProof/>
              </w:rPr>
            </w:pPr>
            <w:r w:rsidRPr="00E51DFE">
              <w:rPr>
                <w:b/>
              </w:rPr>
              <w:t xml:space="preserve">52 224 114 </w:t>
            </w:r>
          </w:p>
        </w:tc>
        <w:tc>
          <w:tcPr>
            <w:tcW w:w="664" w:type="dxa"/>
            <w:tcBorders>
              <w:top w:val="single" w:sz="4" w:space="0" w:color="auto"/>
              <w:left w:val="single" w:sz="4" w:space="0" w:color="auto"/>
              <w:bottom w:val="single" w:sz="4" w:space="0" w:color="auto"/>
              <w:right w:val="single" w:sz="4" w:space="0" w:color="auto"/>
            </w:tcBorders>
            <w:noWrap/>
            <w:hideMark/>
          </w:tcPr>
          <w:p w14:paraId="0F3A146A" w14:textId="77777777" w:rsidR="00872DB8" w:rsidRPr="00E51DFE" w:rsidRDefault="00872DB8" w:rsidP="001D6593">
            <w:pPr>
              <w:spacing w:after="120"/>
              <w:jc w:val="center"/>
              <w:rPr>
                <w:b/>
                <w:bCs/>
                <w:noProof/>
              </w:rPr>
            </w:pPr>
            <w:r w:rsidRPr="00E51DFE">
              <w:rPr>
                <w:b/>
              </w:rPr>
              <w:t>72 %</w:t>
            </w:r>
          </w:p>
        </w:tc>
        <w:tc>
          <w:tcPr>
            <w:tcW w:w="1300" w:type="dxa"/>
            <w:tcBorders>
              <w:top w:val="single" w:sz="4" w:space="0" w:color="auto"/>
              <w:left w:val="single" w:sz="4" w:space="0" w:color="auto"/>
              <w:bottom w:val="single" w:sz="4" w:space="0" w:color="auto"/>
              <w:right w:val="single" w:sz="4" w:space="0" w:color="auto"/>
            </w:tcBorders>
            <w:noWrap/>
            <w:hideMark/>
          </w:tcPr>
          <w:p w14:paraId="422DE958" w14:textId="77777777" w:rsidR="00872DB8" w:rsidRPr="00E51DFE" w:rsidRDefault="00872DB8" w:rsidP="001D6593">
            <w:pPr>
              <w:spacing w:after="120"/>
              <w:jc w:val="center"/>
              <w:rPr>
                <w:b/>
                <w:bCs/>
                <w:noProof/>
              </w:rPr>
            </w:pPr>
            <w:r w:rsidRPr="00E51DFE">
              <w:rPr>
                <w:b/>
              </w:rPr>
              <w:t xml:space="preserve">1 696 965 </w:t>
            </w:r>
          </w:p>
        </w:tc>
      </w:tr>
      <w:tr w:rsidR="00872DB8" w:rsidRPr="00E51DFE" w14:paraId="4ED1E8C6" w14:textId="77777777" w:rsidTr="001D6593">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32A8B53" w14:textId="77777777" w:rsidR="00872DB8" w:rsidRPr="00E51DFE" w:rsidRDefault="00872DB8" w:rsidP="001D6593">
            <w:pPr>
              <w:spacing w:after="120"/>
              <w:ind w:left="567" w:hanging="567"/>
              <w:rPr>
                <w:b/>
                <w:bCs/>
                <w:noProof/>
              </w:rPr>
            </w:pPr>
            <w:r w:rsidRPr="00E51DFE">
              <w:rPr>
                <w:b/>
              </w:rPr>
              <w:t>CELKEM</w:t>
            </w:r>
          </w:p>
        </w:tc>
        <w:tc>
          <w:tcPr>
            <w:tcW w:w="1630" w:type="dxa"/>
            <w:tcBorders>
              <w:top w:val="single" w:sz="4" w:space="0" w:color="auto"/>
              <w:left w:val="single" w:sz="4" w:space="0" w:color="auto"/>
              <w:bottom w:val="single" w:sz="4" w:space="0" w:color="auto"/>
              <w:right w:val="single" w:sz="4" w:space="0" w:color="auto"/>
            </w:tcBorders>
            <w:noWrap/>
            <w:hideMark/>
          </w:tcPr>
          <w:p w14:paraId="122F973E" w14:textId="77777777" w:rsidR="00872DB8" w:rsidRPr="00E51DFE" w:rsidRDefault="00872DB8" w:rsidP="001D6593">
            <w:pPr>
              <w:spacing w:after="120"/>
              <w:jc w:val="center"/>
              <w:rPr>
                <w:b/>
                <w:bCs/>
                <w:noProof/>
              </w:rPr>
            </w:pPr>
            <w:r w:rsidRPr="00E51DFE">
              <w:rPr>
                <w:b/>
              </w:rPr>
              <w:t xml:space="preserve">1 018 694 977 </w:t>
            </w:r>
          </w:p>
        </w:tc>
        <w:tc>
          <w:tcPr>
            <w:tcW w:w="1280" w:type="dxa"/>
            <w:tcBorders>
              <w:top w:val="single" w:sz="4" w:space="0" w:color="auto"/>
              <w:left w:val="single" w:sz="4" w:space="0" w:color="auto"/>
              <w:bottom w:val="single" w:sz="4" w:space="0" w:color="auto"/>
              <w:right w:val="single" w:sz="4" w:space="0" w:color="auto"/>
            </w:tcBorders>
            <w:noWrap/>
            <w:hideMark/>
          </w:tcPr>
          <w:p w14:paraId="46C9DFD2" w14:textId="77777777" w:rsidR="00872DB8" w:rsidRPr="00E51DFE" w:rsidRDefault="00872DB8" w:rsidP="001D6593">
            <w:pPr>
              <w:spacing w:after="120"/>
              <w:jc w:val="center"/>
              <w:rPr>
                <w:b/>
                <w:bCs/>
                <w:noProof/>
              </w:rPr>
            </w:pPr>
            <w:r w:rsidRPr="00E51DFE">
              <w:rPr>
                <w:b/>
              </w:rPr>
              <w:t xml:space="preserve">273 955 473 </w:t>
            </w:r>
          </w:p>
        </w:tc>
        <w:tc>
          <w:tcPr>
            <w:tcW w:w="696" w:type="dxa"/>
            <w:tcBorders>
              <w:top w:val="single" w:sz="4" w:space="0" w:color="auto"/>
              <w:left w:val="single" w:sz="4" w:space="0" w:color="auto"/>
              <w:bottom w:val="single" w:sz="4" w:space="0" w:color="auto"/>
              <w:right w:val="single" w:sz="4" w:space="0" w:color="auto"/>
            </w:tcBorders>
            <w:noWrap/>
            <w:hideMark/>
          </w:tcPr>
          <w:p w14:paraId="499C51E8" w14:textId="77777777" w:rsidR="00872DB8" w:rsidRPr="00E51DFE" w:rsidRDefault="00872DB8" w:rsidP="001D6593">
            <w:pPr>
              <w:spacing w:after="120"/>
              <w:jc w:val="center"/>
              <w:rPr>
                <w:b/>
                <w:bCs/>
                <w:noProof/>
              </w:rPr>
            </w:pPr>
          </w:p>
        </w:tc>
        <w:tc>
          <w:tcPr>
            <w:tcW w:w="1461" w:type="dxa"/>
            <w:tcBorders>
              <w:top w:val="single" w:sz="4" w:space="0" w:color="auto"/>
              <w:left w:val="single" w:sz="4" w:space="0" w:color="auto"/>
              <w:bottom w:val="single" w:sz="4" w:space="0" w:color="auto"/>
              <w:right w:val="single" w:sz="4" w:space="0" w:color="auto"/>
            </w:tcBorders>
            <w:noWrap/>
            <w:hideMark/>
          </w:tcPr>
          <w:p w14:paraId="0CFF0A39" w14:textId="77777777" w:rsidR="00872DB8" w:rsidRPr="00E51DFE" w:rsidRDefault="00872DB8" w:rsidP="001D6593">
            <w:pPr>
              <w:spacing w:after="120"/>
              <w:jc w:val="center"/>
              <w:rPr>
                <w:b/>
                <w:bCs/>
                <w:noProof/>
              </w:rPr>
            </w:pPr>
            <w:r w:rsidRPr="00E51DFE">
              <w:rPr>
                <w:b/>
              </w:rPr>
              <w:t xml:space="preserve">724 811 224 </w:t>
            </w:r>
          </w:p>
        </w:tc>
        <w:tc>
          <w:tcPr>
            <w:tcW w:w="664" w:type="dxa"/>
            <w:tcBorders>
              <w:top w:val="single" w:sz="4" w:space="0" w:color="auto"/>
              <w:left w:val="single" w:sz="4" w:space="0" w:color="auto"/>
              <w:bottom w:val="single" w:sz="4" w:space="0" w:color="auto"/>
              <w:right w:val="single" w:sz="4" w:space="0" w:color="auto"/>
            </w:tcBorders>
            <w:noWrap/>
            <w:hideMark/>
          </w:tcPr>
          <w:p w14:paraId="2F37F77D" w14:textId="77777777" w:rsidR="00872DB8" w:rsidRPr="00E51DFE" w:rsidRDefault="00872DB8" w:rsidP="001D6593">
            <w:pPr>
              <w:spacing w:after="120"/>
              <w:jc w:val="center"/>
              <w:rPr>
                <w:b/>
                <w:bCs/>
                <w:noProof/>
              </w:rPr>
            </w:pPr>
          </w:p>
        </w:tc>
        <w:tc>
          <w:tcPr>
            <w:tcW w:w="1300" w:type="dxa"/>
            <w:tcBorders>
              <w:top w:val="single" w:sz="4" w:space="0" w:color="auto"/>
              <w:left w:val="single" w:sz="4" w:space="0" w:color="auto"/>
              <w:bottom w:val="single" w:sz="4" w:space="0" w:color="auto"/>
              <w:right w:val="single" w:sz="4" w:space="0" w:color="auto"/>
            </w:tcBorders>
            <w:noWrap/>
            <w:hideMark/>
          </w:tcPr>
          <w:p w14:paraId="111E3487" w14:textId="77777777" w:rsidR="00872DB8" w:rsidRPr="00E51DFE" w:rsidRDefault="00872DB8" w:rsidP="001D6593">
            <w:pPr>
              <w:spacing w:after="120"/>
              <w:jc w:val="center"/>
              <w:rPr>
                <w:b/>
                <w:bCs/>
                <w:noProof/>
              </w:rPr>
            </w:pPr>
            <w:r w:rsidRPr="00E51DFE">
              <w:rPr>
                <w:b/>
              </w:rPr>
              <w:t xml:space="preserve">19 928 279 </w:t>
            </w:r>
          </w:p>
        </w:tc>
      </w:tr>
    </w:tbl>
    <w:p w14:paraId="65DBC394" w14:textId="77777777" w:rsidR="00872DB8" w:rsidRPr="00E51DFE" w:rsidRDefault="00872DB8" w:rsidP="00872DB8">
      <w:pPr>
        <w:spacing w:before="240" w:after="240"/>
        <w:ind w:left="567" w:hanging="567"/>
      </w:pPr>
      <w:r w:rsidRPr="00E51DFE">
        <w:t>26.</w:t>
      </w:r>
      <w:r w:rsidRPr="00E51DFE">
        <w:tab/>
        <w:t>bere na vědomí připomínku Účetního dvora, že Agentura Evropské unie pro spolupráci energetických regulačních orgánů (ACER), Agentura Evropské unie pro bezpečnost letectví (EASA), Evropská agentura pro chemické látky (ECHA), Evropská agentura pro léčivé přípravky (EMA), Agentura Evropské unie pro železnice (ERA) a Evropský orgán pro cenné papíry a trhy (ESMA) jsou ze zákona povinny identifikovat a účtovat odděleně náklady na činnosti financované z vlastních příjmů; konstatuje, že tyto agentury zavedly systémy pro splnění tohoto požadavku, a konstatuje, že některé agentury, jako je EMA, EASA a ERA, jdou nad rámec těchto požadavků;</w:t>
      </w:r>
    </w:p>
    <w:p w14:paraId="3AEAE1D4" w14:textId="77777777" w:rsidR="00872DB8" w:rsidRPr="00E51DFE" w:rsidRDefault="00872DB8" w:rsidP="00872DB8">
      <w:pPr>
        <w:spacing w:after="240"/>
        <w:ind w:left="567" w:hanging="567"/>
      </w:pPr>
      <w:r w:rsidRPr="00E51DFE">
        <w:t>27.</w:t>
      </w:r>
      <w:r w:rsidRPr="00E51DFE">
        <w:tab/>
        <w:t>konstatuje, že zakládající nařízení pro tři evropské orgány dohledu (EBA, EIOPA a ESMA – s výjimkou činností financovaných z poplatků za dohled) stanoví, že příspěvky, které dostávají od příslušných vnitrostátních orgánů, by zpočátku měly představovat 60 % jejich rozpočtu a zbývajících 40 % by mělo pocházet z rozpočtu EU; konstatuje, že toto ujednání odráží kombinaci regulačních úkolů obsažených v mandátech těchto tří orgánů, které jsou vhodné pro financování z prostředků EU, a úkolů v oblasti sbližování dohledu, které jsou vhodné pro příspěvky od příslušných vnitrostátních orgánů; zdůrazňuje, že vzhledem k tomu, že činnosti financované z obou zdrojů nejsou v zakládajících nařízeních jasně vymezeny, nerozlišují tyto orgány mezi náklady, na něž se vztahuje dotace z rozpočtu Unie, a náklady hrazenými z vnitrostátních příspěvků;</w:t>
      </w:r>
    </w:p>
    <w:p w14:paraId="5FE64C6B" w14:textId="77777777" w:rsidR="00872DB8" w:rsidRPr="00E51DFE" w:rsidRDefault="00872DB8" w:rsidP="00872DB8">
      <w:pPr>
        <w:spacing w:after="240"/>
        <w:ind w:left="567" w:hanging="567"/>
      </w:pPr>
      <w:r w:rsidRPr="00E51DFE">
        <w:t>28.</w:t>
      </w:r>
      <w:r w:rsidRPr="00E51DFE">
        <w:tab/>
        <w:t>vyzývá orgány EBA, EIOPA a ESMA, aby rozvíjely schopnost identifikovat a odděleně účtovat náklady na činnosti, které vytvářejí jejich jednotlivé vlastní zdroje příjmů, s cílem zlepšit rozhodování a kvalitu informací, které poskytují zúčastněným stranám, pokud jde o schodky nebo přebytky, které tyto činnosti vytvářejí;</w:t>
      </w:r>
    </w:p>
    <w:p w14:paraId="210E8CE0" w14:textId="77777777" w:rsidR="00872DB8" w:rsidRPr="00E51DFE" w:rsidRDefault="00872DB8" w:rsidP="00872DB8">
      <w:pPr>
        <w:spacing w:after="240"/>
        <w:ind w:left="567" w:hanging="567"/>
      </w:pPr>
      <w:r w:rsidRPr="00E51DFE">
        <w:t>29.</w:t>
      </w:r>
      <w:r w:rsidRPr="00E51DFE">
        <w:tab/>
        <w:t xml:space="preserve">konstatuje, že středisko </w:t>
      </w:r>
      <w:proofErr w:type="spellStart"/>
      <w:r w:rsidRPr="00E51DFE">
        <w:t>CdT</w:t>
      </w:r>
      <w:proofErr w:type="spellEnd"/>
      <w:r w:rsidRPr="00E51DFE">
        <w:t xml:space="preserve"> zavedlo systém pro sledování nákladů na každou činnost a produkt vytvářející vlastní příjmy, který mu umožňuje vypočítat zisky nebo ztráty; zdůrazňuje, že v roce 2023 vykázalo 10 ze 17 hlavních produktů </w:t>
      </w:r>
      <w:proofErr w:type="spellStart"/>
      <w:r w:rsidRPr="00E51DFE">
        <w:t>CdT</w:t>
      </w:r>
      <w:proofErr w:type="spellEnd"/>
      <w:r w:rsidRPr="00E51DFE">
        <w:t xml:space="preserve"> ztráty v celkové výši 3,4 milionu EUR;</w:t>
      </w:r>
    </w:p>
    <w:p w14:paraId="463F2559" w14:textId="77777777" w:rsidR="00872DB8" w:rsidRPr="00E51DFE" w:rsidRDefault="00872DB8" w:rsidP="00872DB8">
      <w:pPr>
        <w:spacing w:after="240"/>
        <w:ind w:left="567" w:hanging="567"/>
      </w:pPr>
      <w:r w:rsidRPr="00E51DFE">
        <w:t>30.</w:t>
      </w:r>
      <w:r w:rsidRPr="00E51DFE">
        <w:tab/>
        <w:t xml:space="preserve">zdůrazňuje, že v posledním desetiletí zaznamenalo </w:t>
      </w:r>
      <w:proofErr w:type="spellStart"/>
      <w:r w:rsidRPr="00E51DFE">
        <w:t>CdT</w:t>
      </w:r>
      <w:proofErr w:type="spellEnd"/>
      <w:r w:rsidRPr="00E51DFE">
        <w:t xml:space="preserve"> v důsledku klesajícího objemu činnosti sedm let, kdy vykázalo schodek v rozpočtu, a šest let, kdy vykázalo účetní ztrátu; bere na vědomí, že k řešení poklesu objemu činností využívá </w:t>
      </w:r>
      <w:proofErr w:type="spellStart"/>
      <w:r w:rsidRPr="00E51DFE">
        <w:t>CdT</w:t>
      </w:r>
      <w:proofErr w:type="spellEnd"/>
      <w:r w:rsidRPr="00E51DFE">
        <w:t xml:space="preserve"> zvláštní rezervu, která byla vytvořena v roce 2011 s cílem zajistit rozpočtovou a cenovou stabilitu; konstatuje, že tato rezerva dosáhla vrcholu v roce 2014, kdy činila 15,6 milionu EUR, následně klesla na 10,3 milionu EUR v roce 2022 a na 8,9 milionu EUR v roce 2023; je si vědom toho, že jakmile bude rezerva zcela vyčerpána, veškeré další schodky budou muset být pokryty dotacemi z rozpočtu Unie, jak je stanoveno v zakládajícím nařízení </w:t>
      </w:r>
      <w:proofErr w:type="spellStart"/>
      <w:r w:rsidRPr="00E51DFE">
        <w:t>CdT</w:t>
      </w:r>
      <w:proofErr w:type="spellEnd"/>
      <w:r w:rsidRPr="00E51DFE">
        <w:t xml:space="preserve">; vyzývá </w:t>
      </w:r>
      <w:proofErr w:type="spellStart"/>
      <w:r w:rsidRPr="00E51DFE">
        <w:t>CdT</w:t>
      </w:r>
      <w:proofErr w:type="spellEnd"/>
      <w:r w:rsidRPr="00E51DFE">
        <w:t>, aby orgánu příslušnému k udělení absolutoria podalo zprávu o tom, jak plánuje zmírnit riziko pro kontinuitu činnosti;</w:t>
      </w:r>
    </w:p>
    <w:p w14:paraId="7F88951B" w14:textId="77777777" w:rsidR="00872DB8" w:rsidRPr="00E51DFE" w:rsidRDefault="00872DB8" w:rsidP="00872DB8">
      <w:pPr>
        <w:spacing w:after="240"/>
        <w:ind w:left="567" w:hanging="567"/>
      </w:pPr>
      <w:r w:rsidRPr="00E51DFE">
        <w:t>31.</w:t>
      </w:r>
      <w:r w:rsidRPr="00E51DFE">
        <w:tab/>
        <w:t xml:space="preserve">konstatuje, že je třeba, aby agentury zlepšily finanční výkaznictví a mechanismy vnitřní kontroly; vyzývá agentury, aby každoročně předkládaly podrobný rozpis výdajů, včetně rozčleněných údajů o externích smlouvách, poradenských službách a subdodavatelích; trvá na tom, že jsou zapotřebí digitální nástroje pro podávání zpráv v reálném čase, které </w:t>
      </w:r>
      <w:proofErr w:type="gramStart"/>
      <w:r w:rsidRPr="00E51DFE">
        <w:t>zlepší</w:t>
      </w:r>
      <w:proofErr w:type="gramEnd"/>
      <w:r w:rsidRPr="00E51DFE">
        <w:t xml:space="preserve"> finanční dohled a odpovědnost vůči Evropskému parlamentu a veřejnosti; vybízí k dalšímu pokroku v souvislosti s doporučeními auditu;</w:t>
      </w:r>
    </w:p>
    <w:p w14:paraId="35CD1B7B" w14:textId="77777777" w:rsidR="00872DB8" w:rsidRPr="00E51DFE" w:rsidRDefault="00872DB8" w:rsidP="00872DB8">
      <w:pPr>
        <w:spacing w:after="240"/>
        <w:ind w:left="567" w:hanging="567"/>
        <w:rPr>
          <w:b/>
          <w:i/>
        </w:rPr>
      </w:pPr>
      <w:r w:rsidRPr="00E51DFE">
        <w:rPr>
          <w:b/>
          <w:i/>
        </w:rPr>
        <w:t>Hlavní rizika zjištěná Účetním dvorem</w:t>
      </w:r>
    </w:p>
    <w:p w14:paraId="18A3FC1A" w14:textId="77777777" w:rsidR="00872DB8" w:rsidRPr="00E51DFE" w:rsidRDefault="00872DB8" w:rsidP="00872DB8">
      <w:pPr>
        <w:spacing w:after="240"/>
        <w:ind w:left="567" w:hanging="567"/>
      </w:pPr>
      <w:r w:rsidRPr="00E51DFE">
        <w:t>32.</w:t>
      </w:r>
      <w:r w:rsidRPr="00E51DFE">
        <w:tab/>
      </w:r>
      <w:r w:rsidRPr="00E51DFE">
        <w:rPr>
          <w:color w:val="000000"/>
        </w:rPr>
        <w:t>bere na vědomí závěr Účetního dvora obsažený v jeho výroční zprávě o agenturách Unie za rozpočtový rok 2023 (dále jen „zpráva Účetního dvora“), že audit Účetního dvora přinesl podobné výsledky jako v předchozím roce (2022), přičemž hlavním zdrojem neoprávněných plateb zůstávají nedostatky v zadávacích řízeních;</w:t>
      </w:r>
    </w:p>
    <w:p w14:paraId="660B30AF" w14:textId="77777777" w:rsidR="00872DB8" w:rsidRPr="00E51DFE" w:rsidRDefault="00872DB8" w:rsidP="00872DB8">
      <w:pPr>
        <w:spacing w:after="240"/>
        <w:ind w:left="567" w:hanging="567"/>
      </w:pPr>
      <w:r w:rsidRPr="00E51DFE">
        <w:t>33.</w:t>
      </w:r>
      <w:r w:rsidRPr="00E51DFE">
        <w:tab/>
      </w:r>
      <w:r w:rsidRPr="00E51DFE">
        <w:rPr>
          <w:color w:val="000000"/>
        </w:rPr>
        <w:t>bere na vědomí, že – jak vyplývá ze zprávy Účetního dvora – celkové riziko pro spolehlivost účetních závěrek agentur, které byly sestaveny na základě účetních pravidel přijatých účetním Komise, jež vycházejí z mezinárodně uznávaných účetních standardů, je obecně nízké, stejně jako tomu bylo v roce 2022;</w:t>
      </w:r>
    </w:p>
    <w:p w14:paraId="56578F1A" w14:textId="77777777" w:rsidR="00872DB8" w:rsidRPr="00E51DFE" w:rsidRDefault="00872DB8" w:rsidP="00872DB8">
      <w:pPr>
        <w:spacing w:after="240"/>
        <w:ind w:left="567" w:hanging="567"/>
      </w:pPr>
      <w:r w:rsidRPr="00E51DFE">
        <w:t>34.</w:t>
      </w:r>
      <w:r w:rsidRPr="00E51DFE">
        <w:tab/>
      </w:r>
      <w:r w:rsidRPr="00E51DFE">
        <w:rPr>
          <w:color w:val="000000"/>
        </w:rPr>
        <w:t>zdůrazňuje, že Účetní dvůr považuje celkové riziko pro legalitu a správnost příjmů, na nichž se zakládají účetní závěrky agentur, za nízké u většiny agentur a za střední u částečně samofinancovaných agentur, na něž se vztahují zvláštní ustanovení týkající se vybírání poplatků a dalších příspěvků, stejně jako tomu bylo v roce 2022;</w:t>
      </w:r>
    </w:p>
    <w:p w14:paraId="7819B700" w14:textId="77777777" w:rsidR="00872DB8" w:rsidRPr="00E51DFE" w:rsidRDefault="00872DB8" w:rsidP="00872DB8">
      <w:pPr>
        <w:spacing w:after="240"/>
        <w:ind w:left="567" w:hanging="567"/>
      </w:pPr>
      <w:r w:rsidRPr="00E51DFE">
        <w:t>35.</w:t>
      </w:r>
      <w:r w:rsidRPr="00E51DFE">
        <w:tab/>
      </w:r>
      <w:r w:rsidRPr="00E51DFE">
        <w:rPr>
          <w:color w:val="000000"/>
        </w:rPr>
        <w:t>poznamenává, že Účetní dvůr považuje celkové riziko pro legalitu a správnost plateb, na nichž se zakládají účetní závěrky agentur, za střední, přičemž u jednotlivých rozpočtových hlav se toto riziko pohybuje v rozmezí od nízkého po vysoké; konstatuje, že Účetní dvůr považuje riziko pro hlavu I (výdaje na zaměstnance) za obecně nízké, pro hlavu II (správní výdaje) za střední a pro hlavu III (operační výdaje) za nízké až vysoké v závislosti na jednotlivých agenturách a na povaze jejich operačních výdajů; upozorňuje, že Účetní dvůr považuje riziko týkající se hlavy III za podobné jako v případě hlavy II, avšak vzhledem k tomu, že v rámci hlavy III se jedná o významně vyšší částky, je dopad považován za vyšší;</w:t>
      </w:r>
    </w:p>
    <w:p w14:paraId="0D8E840C" w14:textId="77777777" w:rsidR="00872DB8" w:rsidRPr="00E51DFE" w:rsidRDefault="00872DB8" w:rsidP="00872DB8">
      <w:pPr>
        <w:spacing w:after="240"/>
        <w:ind w:left="567" w:hanging="567"/>
      </w:pPr>
      <w:r w:rsidRPr="00E51DFE">
        <w:t>36.</w:t>
      </w:r>
      <w:r w:rsidRPr="00E51DFE">
        <w:tab/>
        <w:t>je znepokojen tím, že Účetní dvůr považuje již šestý rok po sobě riziko pro řádné finanční řízení za střední, a to zejména v souvislosti se zadávacími řízeními, která nezajišťovala ekonomicky nejvýhodnější nabídku;</w:t>
      </w:r>
    </w:p>
    <w:p w14:paraId="2F6C7C61" w14:textId="77777777" w:rsidR="00872DB8" w:rsidRPr="00E51DFE" w:rsidRDefault="00872DB8" w:rsidP="00872DB8">
      <w:pPr>
        <w:spacing w:after="240"/>
        <w:ind w:left="567" w:hanging="567"/>
        <w:rPr>
          <w:color w:val="000000"/>
        </w:rPr>
      </w:pPr>
      <w:r w:rsidRPr="00E51DFE">
        <w:t>37.</w:t>
      </w:r>
      <w:r w:rsidRPr="00E51DFE">
        <w:tab/>
      </w:r>
      <w:r w:rsidRPr="00E51DFE">
        <w:rPr>
          <w:color w:val="000000"/>
        </w:rPr>
        <w:t>konstatuje, že Účetní dvůr považuje riziko pro rozpočtové řízení za nízké, neboť audit Účetního dvora ukázal vysoké přenosy prostředků přidělených na závazky;</w:t>
      </w:r>
    </w:p>
    <w:p w14:paraId="6FEC5BAB" w14:textId="77777777" w:rsidR="00872DB8" w:rsidRPr="00E51DFE" w:rsidRDefault="00872DB8" w:rsidP="00872DB8">
      <w:pPr>
        <w:spacing w:after="240"/>
        <w:ind w:left="567" w:hanging="567"/>
        <w:rPr>
          <w:color w:val="000000"/>
        </w:rPr>
      </w:pPr>
      <w:r w:rsidRPr="00E51DFE">
        <w:rPr>
          <w:color w:val="000000"/>
        </w:rPr>
        <w:t>38.</w:t>
      </w:r>
      <w:r w:rsidRPr="00E51DFE">
        <w:rPr>
          <w:color w:val="000000"/>
        </w:rPr>
        <w:tab/>
        <w:t xml:space="preserve">konstatuje, že podle zprávy Účetního dvora se agentury nejčastěji potýkaly s těmito problémy: i) nedostatky v zadávání veřejných zakázek, které byly i nadále nejčastějším zdrojem neoprávněných plateb, </w:t>
      </w:r>
      <w:proofErr w:type="spellStart"/>
      <w:r w:rsidRPr="00E51DFE">
        <w:rPr>
          <w:color w:val="000000"/>
        </w:rPr>
        <w:t>ii</w:t>
      </w:r>
      <w:proofErr w:type="spellEnd"/>
      <w:r w:rsidRPr="00E51DFE">
        <w:rPr>
          <w:color w:val="000000"/>
        </w:rPr>
        <w:t xml:space="preserve">) problémy v oblasti rozpočtového řízení, jako jsou nadměrné přenosy prostředků a opožděné platby, </w:t>
      </w:r>
      <w:proofErr w:type="spellStart"/>
      <w:r w:rsidRPr="00E51DFE">
        <w:rPr>
          <w:color w:val="000000"/>
        </w:rPr>
        <w:t>iii</w:t>
      </w:r>
      <w:proofErr w:type="spellEnd"/>
      <w:r w:rsidRPr="00E51DFE">
        <w:rPr>
          <w:color w:val="000000"/>
        </w:rPr>
        <w:t>) nedostatky vnitřní kontroly, zejména při zajišťování souladu s finančními předpisy a procesními pokyny;</w:t>
      </w:r>
    </w:p>
    <w:p w14:paraId="5985A56E" w14:textId="77777777" w:rsidR="00872DB8" w:rsidRPr="00E51DFE" w:rsidRDefault="00872DB8" w:rsidP="00872DB8">
      <w:pPr>
        <w:spacing w:after="240"/>
        <w:ind w:left="567" w:hanging="567"/>
        <w:rPr>
          <w:b/>
          <w:i/>
        </w:rPr>
      </w:pPr>
      <w:r w:rsidRPr="00E51DFE">
        <w:rPr>
          <w:b/>
          <w:i/>
        </w:rPr>
        <w:t>Přehled výsledků auditu</w:t>
      </w:r>
    </w:p>
    <w:p w14:paraId="772865F8" w14:textId="77777777" w:rsidR="00872DB8" w:rsidRPr="00E51DFE" w:rsidRDefault="00872DB8" w:rsidP="00872DB8">
      <w:pPr>
        <w:spacing w:after="240"/>
        <w:ind w:left="567" w:hanging="567"/>
      </w:pPr>
      <w:r w:rsidRPr="00E51DFE">
        <w:t>39.</w:t>
      </w:r>
      <w:r w:rsidRPr="00E51DFE">
        <w:tab/>
        <w:t>konstatuje, že pokud jde o spolehlivost účetní závěrky, vydal Účetní dvůr u všech agentur výrok bez výhrad; bere na vědomí, že pokud jde o legalitu a správnost příjmů, na nichž se zakládají účetní závěrky, vydal Účetní dvůr u všech agentur výrok bez výhrad; nicméně poznamenává, že zatímco u většiny agentur byl k legalitě a správnosti plateb, na nichž se zakládá účetní závěrka, vydán výrok bez výhrad, u čtyř agentur byly zaznamenány výjimky: u Evropského inovačního a technologického institutu (EIT), Evropského orgánu pro pracovní záležitosti (ELA), Agentury Evropské unie pro kybernetickou bezpečnost (ENISA) a Agentury Evropské unie pro provozní řízení rozsáhlých informačních systémů (</w:t>
      </w:r>
      <w:proofErr w:type="spellStart"/>
      <w:r w:rsidRPr="00E51DFE">
        <w:t>eu</w:t>
      </w:r>
      <w:proofErr w:type="spellEnd"/>
      <w:r w:rsidRPr="00E51DFE">
        <w:t>-Lisa);</w:t>
      </w:r>
    </w:p>
    <w:p w14:paraId="63DCC258" w14:textId="77777777" w:rsidR="00872DB8" w:rsidRPr="00E51DFE" w:rsidRDefault="00872DB8" w:rsidP="00872DB8">
      <w:pPr>
        <w:spacing w:after="240"/>
        <w:ind w:left="567" w:hanging="567"/>
      </w:pPr>
      <w:r w:rsidRPr="00E51DFE">
        <w:t>40.</w:t>
      </w:r>
      <w:r w:rsidRPr="00E51DFE">
        <w:tab/>
        <w:t>konstatuje, že v případě EIT se výhrada týká neoprávněných grantových plateb, kdy EIT provedl následné ověření vzorku 174 nákladových položek; konstatuje, že EIT zamítl náklady související s 27 nákladovými položkami a že Účetní dvůr odhalil tři další nákladové položky, u nichž EIT nemohl poskytnout důkazy o tom, že příjemci splnili základní podmínky grantové dohody, což vedlo k neoprávněným grantovým platbám v odhadované výši celkem 12,2 milionu EUR, což odpovídá odhadované míře chyb ve výši 3,4 %; konstatuje, že EIT nesouhlasí s jednou z chyb zjištěných Účetním dvorem, která ovlivnila tři nákladové položky, jež jsou podle jeho názoru způsobilé; dále konstatuje, že nebýt tohoto případu, byla by podle EIT odhadovaná míra chyb uvedená Účetním dvorem nižší než 2 % práh významnosti, což by vedlo k výroku auditora bez výhrad, pokud jde o legalitu a správnost plateb EIT;</w:t>
      </w:r>
    </w:p>
    <w:p w14:paraId="27188F80" w14:textId="77777777" w:rsidR="00872DB8" w:rsidRPr="00E51DFE" w:rsidRDefault="00872DB8" w:rsidP="00872DB8">
      <w:pPr>
        <w:spacing w:after="240"/>
        <w:ind w:left="567" w:hanging="567"/>
      </w:pPr>
      <w:r w:rsidRPr="00E51DFE">
        <w:t>41.</w:t>
      </w:r>
      <w:r w:rsidRPr="00E51DFE">
        <w:tab/>
        <w:t>vyjadřuje politování nad tím, že pokud jde o orgán ELA, výhrada se týká plateb ve výši 1,6 milionu EUR v roce 2023, což představuje 3,8 % celkových dostupných prostředků na platby; konstatuje, že tato částka zahrnuje 1,3 milionu EUR související se zakázkou, která je ve zprávě o auditu za rok 2022 považována za nestandardní, neboť její hodnota přesahuje stanovený maximální limit pro zakázky, a 0,3 milionu EUR související s nedostatky v kontrolách ex ante při provádění zakázek; bere na vědomí odpověď orgánu ELA, v níž vysvětluje, že nestandardní zakázka skončila v únoru 2024 a byla nahrazena novou rámcovou dohodou uzavřenou v listopadu 2023; je si vědom rozhodnutí orgánu ELA dočasně pokračovat v této nestandardní zakázce s cílem zmírnit rizika, chránit svou pověst a zajistit nepřetržité poskytování služeb, což mu umožní zachovat konzistentní operace a plnit plánované činnosti, dokud nevstoupí v platnost nová dohoda;</w:t>
      </w:r>
    </w:p>
    <w:p w14:paraId="7445D9B1" w14:textId="77777777" w:rsidR="00872DB8" w:rsidRPr="00E51DFE" w:rsidRDefault="00872DB8" w:rsidP="00872DB8">
      <w:pPr>
        <w:spacing w:after="240"/>
        <w:ind w:left="567" w:hanging="567"/>
      </w:pPr>
      <w:r w:rsidRPr="00E51DFE">
        <w:t>42.</w:t>
      </w:r>
      <w:r w:rsidRPr="00E51DFE">
        <w:tab/>
        <w:t>konstatuje, že v případě agentury ENISA se výhrada týká neoprávněných plateb ve výši 1,8 milionu EUR provedených v roce 2023, což představuje 4,1 % celkových prostředků na platby dostupných v roce 2023; připomíná, že v srpnu 2022 přibylo v rozpočtu agentury ENISA dalších 15 milionů EUR na to, aby členským státům poskytovala posílenou podporu v oblasti kybernetické bezpečnosti po ruské invazi na Ukrajinu; dále konstatuje, že v září 2022 zahájila agentura ENISA zadávací řízení na 28 částí zakázek a následně podepsala 28 samostatných rámcových smluv v hodnotě 14,4 milionu EUR; je si vědom toho, že počátkem roku 2023 učinila správní rada výjimku a dočasně se odchýlila od svých finančních předpisů s cílem vyhovět revidovaným žádostem členských států o podporu v oblasti kybernetické bezpečnosti; bere na vědomí, že podle odpovědi agentury ENISA představovalo rozhodnutí správní rady výjimku (omezenou z hlediska času i rozsahu), aby bylo možné reagovat na mimořádně výjimečnou situaci v nesmírně obtížném mezinárodním kontextu; konstatuje, že tato výjimka byla řádně zaevidována v souladu s uplatňováním rámce vnitřní kontroly agentury ENISA a náležitě uvedena v souhrnné výroční zprávě o činnosti za rok 2023;</w:t>
      </w:r>
    </w:p>
    <w:p w14:paraId="36BD6458" w14:textId="77777777" w:rsidR="00872DB8" w:rsidRPr="00E51DFE" w:rsidRDefault="00872DB8" w:rsidP="00872DB8">
      <w:pPr>
        <w:spacing w:after="240"/>
        <w:ind w:left="567" w:hanging="567"/>
      </w:pPr>
      <w:r w:rsidRPr="00E51DFE">
        <w:t>43.</w:t>
      </w:r>
      <w:r w:rsidRPr="00E51DFE">
        <w:tab/>
        <w:t xml:space="preserve">konstatuje, že v případě agentury </w:t>
      </w:r>
      <w:proofErr w:type="spellStart"/>
      <w:r w:rsidRPr="00E51DFE">
        <w:t>eu</w:t>
      </w:r>
      <w:proofErr w:type="spellEnd"/>
      <w:r w:rsidRPr="00E51DFE">
        <w:t>-Lisa se výhrada týká neoprávněných plateb v celkové výši 12,6 milionu EUR provedených v roce 2023, což představuje 3,2 % celkových dostupných prostředků na platby, včetně 2,7 milionu EUR na zakázky auditované v roce 2023 a 9,9 milionu EUR na zakázky, které byly ve zprávě o auditu za rok 2022 vyhodnoceny jako nestandardní;</w:t>
      </w:r>
    </w:p>
    <w:p w14:paraId="1ABF665A" w14:textId="77777777" w:rsidR="00872DB8" w:rsidRPr="00E51DFE" w:rsidRDefault="00872DB8" w:rsidP="00872DB8">
      <w:pPr>
        <w:spacing w:after="240"/>
        <w:ind w:left="567" w:hanging="567"/>
      </w:pPr>
      <w:r w:rsidRPr="00E51DFE">
        <w:t>44.</w:t>
      </w:r>
      <w:r w:rsidRPr="00E51DFE">
        <w:tab/>
        <w:t xml:space="preserve">se znepokojením konstatuje, že k legalitě a správnosti plateb agentury </w:t>
      </w:r>
      <w:proofErr w:type="spellStart"/>
      <w:r w:rsidRPr="00E51DFE">
        <w:t>eu</w:t>
      </w:r>
      <w:proofErr w:type="spellEnd"/>
      <w:r w:rsidRPr="00E51DFE">
        <w:t xml:space="preserve">-Lisa byl výrok s výhradou vydán opakovaně, což </w:t>
      </w:r>
      <w:proofErr w:type="gramStart"/>
      <w:r w:rsidRPr="00E51DFE">
        <w:t>svědčí</w:t>
      </w:r>
      <w:proofErr w:type="gramEnd"/>
      <w:r w:rsidRPr="00E51DFE">
        <w:t xml:space="preserve"> o přetrvávajících problémech, na něž Účetní dvůr upozorňuje ve svých zprávách již od roku 2020; bere na vědomí připomínku Účetního dvora, že většina smluv zatížených chybami buď vypršela, nebo je agentura </w:t>
      </w:r>
      <w:proofErr w:type="spellStart"/>
      <w:r w:rsidRPr="00E51DFE">
        <w:t>eu</w:t>
      </w:r>
      <w:proofErr w:type="spellEnd"/>
      <w:r w:rsidRPr="00E51DFE">
        <w:t>-Lisa ukončila v roce 2023;</w:t>
      </w:r>
    </w:p>
    <w:p w14:paraId="3BC65121" w14:textId="77777777" w:rsidR="00872DB8" w:rsidRPr="00E51DFE" w:rsidRDefault="00872DB8" w:rsidP="00872DB8">
      <w:pPr>
        <w:spacing w:after="240"/>
        <w:ind w:left="567" w:hanging="567"/>
      </w:pPr>
      <w:r w:rsidRPr="00E51DFE">
        <w:t>45.</w:t>
      </w:r>
      <w:r w:rsidRPr="00E51DFE">
        <w:tab/>
        <w:t>konstatuje, že výrok s výhradou (</w:t>
      </w:r>
      <w:proofErr w:type="spellStart"/>
      <w:r w:rsidRPr="00E51DFE">
        <w:t>eu</w:t>
      </w:r>
      <w:proofErr w:type="spellEnd"/>
      <w:r w:rsidRPr="00E51DFE">
        <w:t>-Lisa), který byl vydán v roce 2023, se zakládal na těchto nesrovnalostech:</w:t>
      </w:r>
    </w:p>
    <w:p w14:paraId="42232EF0" w14:textId="2146CE6D" w:rsidR="00872DB8" w:rsidRPr="00E51DFE" w:rsidRDefault="00F64AFA" w:rsidP="00872DB8">
      <w:pPr>
        <w:spacing w:after="240"/>
        <w:ind w:left="1134" w:hanging="567"/>
      </w:pPr>
      <w:r>
        <w:t>–</w:t>
      </w:r>
      <w:r w:rsidR="00872DB8" w:rsidRPr="00E51DFE">
        <w:tab/>
        <w:t xml:space="preserve">nesrovnalosti v rámcových smlouvách: konstatuje, že agentura </w:t>
      </w:r>
      <w:proofErr w:type="spellStart"/>
      <w:r w:rsidR="00872DB8" w:rsidRPr="00E51DFE">
        <w:t>eu</w:t>
      </w:r>
      <w:proofErr w:type="spellEnd"/>
      <w:r w:rsidR="00872DB8" w:rsidRPr="00E51DFE">
        <w:t>-Lisa provedla v některých cenových prvcích finančních nabídek dvou uchazečů významné změny nad rámec oprav povolených podle článku 151 finančního nařízení, které měly přímý dopad na výsledek nabídky, přičemž související platby v roce 2023 činily 2,7 milionu EUR;</w:t>
      </w:r>
    </w:p>
    <w:p w14:paraId="5ACC7FC2" w14:textId="605FC261" w:rsidR="00872DB8" w:rsidRPr="00E51DFE" w:rsidRDefault="00F64AFA" w:rsidP="00872DB8">
      <w:pPr>
        <w:spacing w:after="240"/>
        <w:ind w:left="1134" w:hanging="567"/>
      </w:pPr>
      <w:r>
        <w:t>–</w:t>
      </w:r>
      <w:r w:rsidR="00872DB8" w:rsidRPr="00E51DFE">
        <w:tab/>
        <w:t>neodůvodněné jednací řízení: dále bere na vědomí neoprávněnou platbu ve výši 7,7 milionu EUR, která souvisela s rámcovou smlouvou uzavřenou prostřednictvím jednacího řízení bez řádného odůvodnění, což je v rozporu s normami pro zadávání veřejných zakázek;</w:t>
      </w:r>
    </w:p>
    <w:p w14:paraId="724E15C2" w14:textId="20BF12B3" w:rsidR="00872DB8" w:rsidRPr="00E51DFE" w:rsidRDefault="00F64AFA" w:rsidP="00872DB8">
      <w:pPr>
        <w:spacing w:after="240"/>
        <w:ind w:left="1134" w:hanging="567"/>
      </w:pPr>
      <w:r>
        <w:t>–</w:t>
      </w:r>
      <w:r w:rsidR="00872DB8" w:rsidRPr="00E51DFE">
        <w:tab/>
        <w:t>nepovolená změna smlouvy: konstatuje, že platby ve výši 1,8 milionu EUR byly klasifikovány jako neoprávněné v důsledku nepovolené změny, která zvýšila hodnotu smlouvy s pevnou cenou o 3,6 milionu EUR;</w:t>
      </w:r>
    </w:p>
    <w:p w14:paraId="38A59CFA" w14:textId="0A86B859" w:rsidR="00872DB8" w:rsidRPr="00E51DFE" w:rsidRDefault="00F64AFA" w:rsidP="00872DB8">
      <w:pPr>
        <w:spacing w:after="240"/>
        <w:ind w:left="1134" w:hanging="567"/>
      </w:pPr>
      <w:r>
        <w:t>–</w:t>
      </w:r>
      <w:r w:rsidR="00872DB8" w:rsidRPr="00E51DFE">
        <w:tab/>
        <w:t>nedodržení podmínek rámcové smlouvy: se znepokojením konstatuje, že platby rámcové smlouvy na údržbu sdílené infrastruktury v celkové výši 0,4 milionu EUR byly neoprávněné, neboť zvláštní smlouva se odchýlila od rámcové smlouvy;</w:t>
      </w:r>
    </w:p>
    <w:p w14:paraId="4483F312" w14:textId="77777777" w:rsidR="00872DB8" w:rsidRPr="00E51DFE" w:rsidRDefault="00872DB8" w:rsidP="00872DB8">
      <w:pPr>
        <w:spacing w:after="240"/>
        <w:ind w:left="567" w:hanging="567"/>
      </w:pPr>
      <w:r w:rsidRPr="00E51DFE">
        <w:t>46.</w:t>
      </w:r>
      <w:r w:rsidRPr="00E51DFE">
        <w:tab/>
        <w:t xml:space="preserve">vyjadřuje hluboké znepokojení nad opakovaným výskytem problémů v oblasti zadávání veřejných zakázek, které již čtvrtým rokem po sobě vedly k vydání výroku s výhradou, a naléhavě vyzývá agenturu </w:t>
      </w:r>
      <w:proofErr w:type="spellStart"/>
      <w:r w:rsidRPr="00E51DFE">
        <w:t>eu</w:t>
      </w:r>
      <w:proofErr w:type="spellEnd"/>
      <w:r w:rsidRPr="00E51DFE">
        <w:t>-Lisa, aby okamžitě přijala nápravná opatření k řešení těchto problémů a jejich prevenci v budoucích postupech finančního řízení a zadávání veřejných zakázek, a zajistila tak plný soulad s finančním nařízením; žádá, aby byl Evropský parlament o tomto pokroku informován do 30. června 2025;</w:t>
      </w:r>
    </w:p>
    <w:p w14:paraId="1510C19F" w14:textId="77777777" w:rsidR="00872DB8" w:rsidRPr="00E51DFE" w:rsidRDefault="00872DB8" w:rsidP="00872DB8">
      <w:pPr>
        <w:spacing w:after="240"/>
        <w:ind w:left="567" w:hanging="567"/>
      </w:pPr>
      <w:r w:rsidRPr="00E51DFE">
        <w:t>47.</w:t>
      </w:r>
      <w:r w:rsidRPr="00E51DFE">
        <w:tab/>
        <w:t>vítá skutečnost, že Účetní dvůr během slyšení </w:t>
      </w:r>
      <w:r w:rsidRPr="00E51DFE">
        <w:rPr>
          <w:vertAlign w:val="superscript"/>
        </w:rPr>
        <w:footnoteReference w:id="412"/>
      </w:r>
      <w:r w:rsidRPr="00E51DFE">
        <w:t xml:space="preserve"> uznal, že navzdory stanovisku vydanému pro rok 2023 (</w:t>
      </w:r>
      <w:proofErr w:type="spellStart"/>
      <w:r w:rsidRPr="00E51DFE">
        <w:t>eu</w:t>
      </w:r>
      <w:proofErr w:type="spellEnd"/>
      <w:r w:rsidRPr="00E51DFE">
        <w:t>-Lisa) jsou zjištěné nedostatky řešeny a byla zaznamenána zlepšení;</w:t>
      </w:r>
    </w:p>
    <w:p w14:paraId="3EE0C090" w14:textId="77777777" w:rsidR="00872DB8" w:rsidRPr="00E51DFE" w:rsidRDefault="00872DB8" w:rsidP="00872DB8">
      <w:pPr>
        <w:spacing w:after="240"/>
        <w:ind w:left="567" w:hanging="567"/>
      </w:pPr>
      <w:r w:rsidRPr="00E51DFE">
        <w:t>48.</w:t>
      </w:r>
      <w:r w:rsidRPr="00E51DFE">
        <w:tab/>
        <w:t xml:space="preserve">zdůrazňuje, že ačkoli finanční nařízení nestanoví stropy pro přenesené prostředky, častý výskyt a nadměrný objem přenášených prostředků oslabuje zásadu ročního rozpočtu a svědčí o strukturálních problémech v rozpočtovém procesu a cyklu plnění rozpočtu; konstatuje, že ve 14 agenturách (ENISA, </w:t>
      </w:r>
      <w:proofErr w:type="spellStart"/>
      <w:r w:rsidRPr="00E51DFE">
        <w:t>Eurofound</w:t>
      </w:r>
      <w:proofErr w:type="spellEnd"/>
      <w:r w:rsidRPr="00E51DFE">
        <w:t xml:space="preserve">, EIGE, </w:t>
      </w:r>
      <w:proofErr w:type="spellStart"/>
      <w:r w:rsidRPr="00E51DFE">
        <w:t>eu</w:t>
      </w:r>
      <w:proofErr w:type="spellEnd"/>
      <w:r w:rsidRPr="00E51DFE">
        <w:t xml:space="preserve">-Lisa, EMA, EUSPA, ELA, FRA, EFCA, ECDC, EU-OSHA, ACER, </w:t>
      </w:r>
      <w:proofErr w:type="spellStart"/>
      <w:r w:rsidRPr="00E51DFE">
        <w:t>Frontex</w:t>
      </w:r>
      <w:proofErr w:type="spellEnd"/>
      <w:r w:rsidRPr="00E51DFE">
        <w:t xml:space="preserve"> a ESA) je objem přenášených prostředků týkajících se všech rozpočtových hlav dohromady vyšší než 15 %; konstatuje, že v případě agentury </w:t>
      </w:r>
      <w:proofErr w:type="spellStart"/>
      <w:r w:rsidRPr="00E51DFE">
        <w:t>Frontex</w:t>
      </w:r>
      <w:proofErr w:type="spellEnd"/>
      <w:r w:rsidRPr="00E51DFE">
        <w:t xml:space="preserve"> činí přenosy více než 40 % a v případě agentury ESA 50 %;</w:t>
      </w:r>
    </w:p>
    <w:p w14:paraId="4F4818F2" w14:textId="77777777" w:rsidR="00872DB8" w:rsidRPr="00E51DFE" w:rsidRDefault="00872DB8" w:rsidP="00872DB8">
      <w:pPr>
        <w:spacing w:after="240"/>
        <w:ind w:left="567" w:hanging="567"/>
      </w:pPr>
      <w:r w:rsidRPr="00E51DFE">
        <w:t>49.</w:t>
      </w:r>
      <w:r w:rsidRPr="00E51DFE">
        <w:tab/>
        <w:t xml:space="preserve">připomíná, že regulační rámec ukládá agenturám povinnost provádět platby v konkrétních lhůtách; konstatuje, že nedodržení těchto lhůt může vést k tomu, že věřitelé budou mít nárok na úroky z prodlení; konstatuje, že za rok 2023 Účetní dvůr uvádí, že ačkoli byla celková výše vzniklých úroků z prodlení považována za nepodstatnou, je třeba poznamenat, že devět agentur (ACER, ECDC, EEA, EUDA, ENISA, ERA, EU-OSHA, </w:t>
      </w:r>
      <w:proofErr w:type="spellStart"/>
      <w:r w:rsidRPr="00E51DFE">
        <w:t>Eurojust</w:t>
      </w:r>
      <w:proofErr w:type="spellEnd"/>
      <w:r w:rsidRPr="00E51DFE">
        <w:t xml:space="preserve"> a </w:t>
      </w:r>
      <w:proofErr w:type="spellStart"/>
      <w:r w:rsidRPr="00E51DFE">
        <w:t>Frontex</w:t>
      </w:r>
      <w:proofErr w:type="spellEnd"/>
      <w:r w:rsidRPr="00E51DFE">
        <w:t>) často nedodrželo platební lhůty; žádá dotčené agentury, aby zajistily dodržování zákonných lhůt pro platby; zdůrazňuje, že ačkoli výše vzniklých úroků z prodlení byla nízká, vysoká četnost opožděných plateb může mít negativní dopad na pověst agentur;</w:t>
      </w:r>
    </w:p>
    <w:p w14:paraId="1BF1E471" w14:textId="77777777" w:rsidR="00872DB8" w:rsidRPr="00E51DFE" w:rsidRDefault="00872DB8" w:rsidP="00872DB8">
      <w:pPr>
        <w:spacing w:after="240"/>
        <w:ind w:left="567" w:hanging="567"/>
      </w:pPr>
      <w:r w:rsidRPr="00E51DFE">
        <w:t>50.</w:t>
      </w:r>
      <w:r w:rsidRPr="00E51DFE">
        <w:tab/>
        <w:t xml:space="preserve">zdůrazňuje, že Účetní dvůr vydal body obsahující „zdůraznění skutečnosti“ s cílem poukázat na záležitost uvedenou nebo zveřejněnou v účetní závěrce, která má takovou důležitost, že je pro pochopení účetní závěrky nebo souvisejících příjmů či plateb zásadní; dále konstatuje, že pro rozpočtový rok 2023 použil Účetní dvůr body obsahující „zdůraznění skutečnosti“ u následujících agentur, které jsou součástí tohoto usnesení: </w:t>
      </w:r>
      <w:proofErr w:type="spellStart"/>
      <w:r w:rsidRPr="00E51DFE">
        <w:t>CdT</w:t>
      </w:r>
      <w:proofErr w:type="spellEnd"/>
      <w:r w:rsidRPr="00E51DFE">
        <w:t xml:space="preserve">, EBA, EIT, EMA, ERA, ESMA, </w:t>
      </w:r>
      <w:proofErr w:type="spellStart"/>
      <w:r w:rsidRPr="00E51DFE">
        <w:t>Eurojust</w:t>
      </w:r>
      <w:proofErr w:type="spellEnd"/>
      <w:r w:rsidRPr="00E51DFE">
        <w:t xml:space="preserve">, </w:t>
      </w:r>
      <w:proofErr w:type="spellStart"/>
      <w:r w:rsidRPr="00E51DFE">
        <w:t>eu</w:t>
      </w:r>
      <w:proofErr w:type="spellEnd"/>
      <w:r w:rsidRPr="00E51DFE">
        <w:t>-Lisa a </w:t>
      </w:r>
      <w:proofErr w:type="spellStart"/>
      <w:r w:rsidRPr="00E51DFE">
        <w:t>Frontex</w:t>
      </w:r>
      <w:proofErr w:type="spellEnd"/>
      <w:r w:rsidRPr="00E51DFE">
        <w:t>;</w:t>
      </w:r>
    </w:p>
    <w:p w14:paraId="29D58570" w14:textId="77777777" w:rsidR="00872DB8" w:rsidRPr="00E51DFE" w:rsidRDefault="00872DB8" w:rsidP="00872DB8">
      <w:pPr>
        <w:spacing w:after="240"/>
        <w:ind w:left="567" w:hanging="567"/>
      </w:pPr>
      <w:r w:rsidRPr="00E51DFE">
        <w:t>51.</w:t>
      </w:r>
      <w:r w:rsidRPr="00E51DFE">
        <w:tab/>
        <w:t xml:space="preserve">připomíná, že středisko </w:t>
      </w:r>
      <w:proofErr w:type="spellStart"/>
      <w:r w:rsidRPr="00E51DFE">
        <w:t>CdT</w:t>
      </w:r>
      <w:proofErr w:type="spellEnd"/>
      <w:r w:rsidRPr="00E51DFE">
        <w:t xml:space="preserve"> ve své účetní závěrce zveřejňuje informace o poklesu provozních příjmů, který měl negativní dopad na jeho hospodářský výsledek;</w:t>
      </w:r>
    </w:p>
    <w:p w14:paraId="7F6CF0FA" w14:textId="77777777" w:rsidR="00872DB8" w:rsidRPr="00E51DFE" w:rsidRDefault="00872DB8" w:rsidP="00872DB8">
      <w:pPr>
        <w:spacing w:after="240"/>
        <w:ind w:left="567" w:hanging="567"/>
      </w:pPr>
      <w:r w:rsidRPr="00E51DFE">
        <w:t>52.</w:t>
      </w:r>
      <w:r w:rsidRPr="00E51DFE">
        <w:tab/>
        <w:t>upozorňuje na to, že v roční účetní závěrce agentur ERA a </w:t>
      </w:r>
      <w:proofErr w:type="spellStart"/>
      <w:r w:rsidRPr="00E51DFE">
        <w:t>Eurojust</w:t>
      </w:r>
      <w:proofErr w:type="spellEnd"/>
      <w:r w:rsidRPr="00E51DFE">
        <w:t xml:space="preserve"> byly zveřejněny informace o provádění programu SUMMA </w:t>
      </w:r>
      <w:r w:rsidRPr="00E51DFE">
        <w:rPr>
          <w:vertAlign w:val="superscript"/>
        </w:rPr>
        <w:footnoteReference w:id="413"/>
      </w:r>
      <w:r w:rsidRPr="00E51DFE">
        <w:t xml:space="preserve">; konstatuje, že v průběhu roku 2023 nastaly technické problémy, které dále přispívaly k nárůstu opožděných plateb (50 % v roce 2023) a případů nedodržování předpisů ze strany </w:t>
      </w:r>
      <w:proofErr w:type="spellStart"/>
      <w:r w:rsidRPr="00E51DFE">
        <w:t>Eurojustu</w:t>
      </w:r>
      <w:proofErr w:type="spellEnd"/>
      <w:r w:rsidRPr="00E51DFE">
        <w:t>;</w:t>
      </w:r>
      <w:r w:rsidRPr="00E51DFE">
        <w:rPr>
          <w:color w:val="101010"/>
        </w:rPr>
        <w:t xml:space="preserve"> </w:t>
      </w:r>
      <w:r w:rsidRPr="00E51DFE">
        <w:t>konstatuje, že agentura ERA se během prvního čtvrtletí potýkala s technickými problémy, ačkoli ve srovnání s rokem 2022 došlo k podstatným zlepšením;</w:t>
      </w:r>
    </w:p>
    <w:p w14:paraId="1165981D" w14:textId="77777777" w:rsidR="00872DB8" w:rsidRPr="00E51DFE" w:rsidRDefault="00872DB8" w:rsidP="00872DB8">
      <w:pPr>
        <w:spacing w:after="240"/>
        <w:ind w:left="567" w:hanging="567"/>
      </w:pPr>
      <w:r w:rsidRPr="00E51DFE">
        <w:t>53.</w:t>
      </w:r>
      <w:r w:rsidRPr="00E51DFE">
        <w:tab/>
        <w:t>konstatuje, že účetní závěrka orgánu ESMA a orgánu EBA obsahuje informace o nejistotě ohledně výsledku soudního řízení </w:t>
      </w:r>
      <w:r w:rsidRPr="00E51DFE">
        <w:rPr>
          <w:vertAlign w:val="superscript"/>
        </w:rPr>
        <w:footnoteReference w:id="414"/>
      </w:r>
      <w:r w:rsidRPr="00E51DFE">
        <w:t>; bere na vědomí, že orgán ESMA byl formálně informován o právním případu týkajícím se společného zadávacího řízení, kterého se kromě orgánu ESMA zúčastnily tři další agentury EU (EBA, EIOPA a ERA); je si vědom toho, že výsledkem tohoto postupu byla rámcová smlouva v hodnotě 40,2 milionu EUR a že do konce roku 2023 podepsaly orgány ESMA a EBA zvláštní smlouvy, které v případě orgánu ESMA činily celkem 2 185 226 EUR a v případě orgánu EBA 6 306 786 EUR;</w:t>
      </w:r>
    </w:p>
    <w:p w14:paraId="01895C97" w14:textId="77777777" w:rsidR="00872DB8" w:rsidRPr="00E51DFE" w:rsidRDefault="00872DB8" w:rsidP="00872DB8">
      <w:pPr>
        <w:spacing w:after="240"/>
        <w:ind w:left="567" w:hanging="567"/>
      </w:pPr>
      <w:r w:rsidRPr="00E51DFE">
        <w:t>54.</w:t>
      </w:r>
      <w:r w:rsidRPr="00E51DFE">
        <w:tab/>
        <w:t>je znepokojen tím, že účastník řízení se domáhá zrušení rozhodnutí o nabídkovém řízení a peněžní náhrady v rozmezí od 400 000 EUR do 3,5 milionu EUR; konstatuje, že vzhledem k rané fázi řízení není vedení orgánu ESMA ani orgánu EBA schopno spolehlivě odhadnout potenciální náklady vyplývající z případu </w:t>
      </w:r>
      <w:r w:rsidRPr="00E51DFE">
        <w:rPr>
          <w:vertAlign w:val="superscript"/>
        </w:rPr>
        <w:footnoteReference w:id="415"/>
      </w:r>
      <w:r w:rsidRPr="00E51DFE">
        <w:t>;</w:t>
      </w:r>
    </w:p>
    <w:p w14:paraId="0DB1CE59" w14:textId="77777777" w:rsidR="00872DB8" w:rsidRPr="00E51DFE" w:rsidRDefault="00872DB8" w:rsidP="00872DB8">
      <w:pPr>
        <w:spacing w:after="240"/>
        <w:ind w:left="567" w:hanging="567"/>
      </w:pPr>
      <w:r w:rsidRPr="00E51DFE">
        <w:t>55.</w:t>
      </w:r>
      <w:r w:rsidRPr="00E51DFE">
        <w:tab/>
        <w:t xml:space="preserve">upozorňuje na to, že v účetní závěrce orgánu ESMA bylo vykázáno snížení hodnoty ve výši 368 300 EUR, což odpovídá neuhrazeným poplatkům od dohlížených subjektů ze třetích zemí; konstatuje, že toto snížení hodnoty souvisí se skutečností, že nařízení o infrastruktuře evropských trhů (EMIR) neposkytuje orgánu ESMA účinný mechanismus pro vymáhání neuhrazených poplatků ze zemí mimo Unii; vítá skutečnost, že nedávná dohoda </w:t>
      </w:r>
      <w:proofErr w:type="spellStart"/>
      <w:r w:rsidRPr="00E51DFE">
        <w:t>spolunormotvůrců</w:t>
      </w:r>
      <w:proofErr w:type="spellEnd"/>
      <w:r w:rsidRPr="00E51DFE">
        <w:t xml:space="preserve"> o změně nařízení (EMIR 3) umožňuje orgánu ESMA odejmout uznání dohlíženým subjektům ze třetích zemí, které nehradí poplatky;</w:t>
      </w:r>
    </w:p>
    <w:p w14:paraId="7945D65D" w14:textId="77777777" w:rsidR="00872DB8" w:rsidRPr="00E51DFE" w:rsidRDefault="00872DB8" w:rsidP="00872DB8">
      <w:pPr>
        <w:spacing w:after="240"/>
        <w:ind w:left="567" w:hanging="567"/>
      </w:pPr>
      <w:r w:rsidRPr="00E51DFE">
        <w:t>56.</w:t>
      </w:r>
      <w:r w:rsidRPr="00E51DFE">
        <w:tab/>
        <w:t xml:space="preserve">konstatuje, že účetní závěrka orgánu EBA obsahuje informace o významných dopadech nařízení o digitální provozní odolnosti (DORA) a nařízení o trzích </w:t>
      </w:r>
      <w:proofErr w:type="spellStart"/>
      <w:r w:rsidRPr="00E51DFE">
        <w:t>kryptoaktiv</w:t>
      </w:r>
      <w:proofErr w:type="spellEnd"/>
      <w:r w:rsidRPr="00E51DFE">
        <w:t xml:space="preserve"> (</w:t>
      </w:r>
      <w:proofErr w:type="spellStart"/>
      <w:r w:rsidRPr="00E51DFE">
        <w:t>MiCAR</w:t>
      </w:r>
      <w:proofErr w:type="spellEnd"/>
      <w:r w:rsidRPr="00E51DFE">
        <w:t>), pokud jde o nefinancované zdroje potřebné ke stanovení souvisejících úkolů a provádění vhodné politiky dohledu, které se projevily v roce 2023 předtím, než mohl být zahájen výběr poplatků; bere na vědomí, že orgán EBA musel na tyto přípravné činnosti přerozdělit zdroje;</w:t>
      </w:r>
    </w:p>
    <w:p w14:paraId="073DB5AC" w14:textId="77777777" w:rsidR="00872DB8" w:rsidRPr="00E51DFE" w:rsidRDefault="00872DB8" w:rsidP="00872DB8">
      <w:pPr>
        <w:spacing w:after="240"/>
        <w:ind w:left="567" w:hanging="567"/>
      </w:pPr>
      <w:r w:rsidRPr="00E51DFE">
        <w:t>57.</w:t>
      </w:r>
      <w:r w:rsidRPr="00E51DFE">
        <w:tab/>
        <w:t>bere na vědomí, že účetní závěrka institutu EIT zveřejňuje předpoklady, které byly použity k odhadu provozních nákladů (grantových výdajů), které jsou výdaji příštích období a jsou vykázány v rozvaze jako klesající položka prostředků předběžného financování; připomíná, že grantové výdaje příštích období jsou významným odhadem, který nevyhnutelně zahrnuje nejistotu;</w:t>
      </w:r>
    </w:p>
    <w:p w14:paraId="656F375D" w14:textId="77777777" w:rsidR="00872DB8" w:rsidRPr="00E51DFE" w:rsidRDefault="00872DB8" w:rsidP="00872DB8">
      <w:pPr>
        <w:spacing w:after="240"/>
        <w:ind w:left="567" w:hanging="567"/>
      </w:pPr>
      <w:r w:rsidRPr="00E51DFE">
        <w:t>58.</w:t>
      </w:r>
      <w:r w:rsidRPr="00E51DFE">
        <w:tab/>
        <w:t>konstatuje, že agentura EMA zveřejňuje ve své roční účetní závěrce důležité informace týkající se jejích bývalých prostor v Londýně a nejistoty způsobené skutečností, že mateřská společnost podnájemce podala návrh na vyhlášení úpadku; se znepokojením konstatuje, že by agentura mohla nést odpovědnost za celou zbývající částku splatnou v rámci hlavní nájemní smlouvy; je si vědom toho, že maximální částka, včetně místní daně, kterou má agentura EMA zaplatit, pokud prostory zůstanou po zbytek nájemní smlouvy neobsazené, činí 550 milionů EUR; konstatuje, že agentura EMA v současné době znovu jedná o podmínkách podnájmu s pobočkou skupiny ve Spojeném království a v rámci těchto nových jednání agentura EMA souhlasila s odkladem plateb nájemného za první dvě čtvrtletí roku 2024 a se snížením nájemného podnájemce od 1. ledna 2024; konstatuje, že agentura EMA v této souvislosti přistoupila na nevýhodnou smlouvu ve výši 131,4 milionu EUR; bere na vědomí, že podnájemce agentury splnil své smluvní povinnosti na rok 2023 zaplacením nájemného za období do 31. prosince 2023, a naléhavě vyzývá agenturu EMA a Komisi, aby před příštím postupem udělování absolutoria v roce 2024 nalezly udržitelné řešení pro ukončení smlouvy a všech souvisejících závazků;</w:t>
      </w:r>
    </w:p>
    <w:p w14:paraId="76ABC73E" w14:textId="77777777" w:rsidR="00872DB8" w:rsidRPr="00E51DFE" w:rsidRDefault="00872DB8" w:rsidP="00872DB8">
      <w:pPr>
        <w:spacing w:after="240"/>
        <w:ind w:left="567" w:hanging="567"/>
      </w:pPr>
      <w:r w:rsidRPr="00E51DFE">
        <w:t>59.</w:t>
      </w:r>
      <w:r w:rsidRPr="00E51DFE">
        <w:tab/>
        <w:t xml:space="preserve">konstatuje, že součástí účetní závěrky agentury </w:t>
      </w:r>
      <w:proofErr w:type="spellStart"/>
      <w:r w:rsidRPr="00E51DFE">
        <w:t>eu</w:t>
      </w:r>
      <w:proofErr w:type="spellEnd"/>
      <w:r w:rsidRPr="00E51DFE">
        <w:t xml:space="preserve">-Lisa jsou informace o finanční situaci klíčového dodavatele se dvěma aktivními rámcovými smlouvami; konstatuje, že agentura </w:t>
      </w:r>
      <w:proofErr w:type="spellStart"/>
      <w:r w:rsidRPr="00E51DFE">
        <w:t>eu</w:t>
      </w:r>
      <w:proofErr w:type="spellEnd"/>
      <w:r w:rsidRPr="00E51DFE">
        <w:t xml:space="preserve">-Lisa má dvě aktivní rámcové smlouvy s dodavatelem, který je členem konsorcia, a že tento dodavatel ve smlouvách nahradil svou mateřskou společnost a odpovídá za zavedení a údržbu systému vstupu/výstupu a za poskytování služeb podle oddílu 1 rámce průřezových operací; bere na vědomí, že nesplacené smluvní částky činí 97,5 milionu EUR a 41 milionů EUR; konstatuje, že v zájmu řešení potenciálních rizik souvisejících s finanční životaschopností mateřské společnosti agentura </w:t>
      </w:r>
      <w:proofErr w:type="spellStart"/>
      <w:r w:rsidRPr="00E51DFE">
        <w:t>eu</w:t>
      </w:r>
      <w:proofErr w:type="spellEnd"/>
      <w:r w:rsidRPr="00E51DFE">
        <w:t xml:space="preserve">-Lisa bedlivě sleduje finanční zdraví dodavatele prostřednictvím nezávislých nástrojů pro posuzování rizik a přímých dotazů; dále konstatuje, že agentura </w:t>
      </w:r>
      <w:proofErr w:type="spellStart"/>
      <w:r w:rsidRPr="00E51DFE">
        <w:t>eu</w:t>
      </w:r>
      <w:proofErr w:type="spellEnd"/>
      <w:r w:rsidRPr="00E51DFE">
        <w:t>-Lisa pravidelně posuzuje pokrok nedokončených aktiv, aby zajistila, že nebudou mít nepříznivý dopad na její mandát, a aktivně řídí a zmírňuje rizika spojená s narušením dodavatelského řetězce v mezích finančního pravidla </w:t>
      </w:r>
      <w:r w:rsidRPr="00E51DFE">
        <w:rPr>
          <w:vertAlign w:val="superscript"/>
        </w:rPr>
        <w:footnoteReference w:id="416"/>
      </w:r>
      <w:r w:rsidRPr="00E51DFE">
        <w:t>;</w:t>
      </w:r>
    </w:p>
    <w:p w14:paraId="37079B45" w14:textId="77777777" w:rsidR="00872DB8" w:rsidRPr="00E51DFE" w:rsidRDefault="00872DB8" w:rsidP="00872DB8">
      <w:pPr>
        <w:spacing w:after="240"/>
        <w:ind w:left="567" w:hanging="567"/>
      </w:pPr>
      <w:r w:rsidRPr="00E51DFE">
        <w:t>60.</w:t>
      </w:r>
      <w:r w:rsidRPr="00E51DFE">
        <w:tab/>
        <w:t xml:space="preserve">připomíná, že agentura </w:t>
      </w:r>
      <w:proofErr w:type="spellStart"/>
      <w:r w:rsidRPr="00E51DFE">
        <w:t>Frontex</w:t>
      </w:r>
      <w:proofErr w:type="spellEnd"/>
      <w:r w:rsidRPr="00E51DFE">
        <w:t xml:space="preserve"> a Účetní dvůr opakovaně přistupují rozdílně k výpočtu příspěvků od zemí přidružených k </w:t>
      </w:r>
      <w:proofErr w:type="spellStart"/>
      <w:r w:rsidRPr="00E51DFE">
        <w:t>Schengenu</w:t>
      </w:r>
      <w:proofErr w:type="spellEnd"/>
      <w:r w:rsidRPr="00E51DFE">
        <w:t xml:space="preserve"> do rozpočtu agentury </w:t>
      </w:r>
      <w:proofErr w:type="spellStart"/>
      <w:r w:rsidRPr="00E51DFE">
        <w:t>Frontex</w:t>
      </w:r>
      <w:proofErr w:type="spellEnd"/>
      <w:r w:rsidRPr="00E51DFE">
        <w:t xml:space="preserve">; bere na vědomí, že Účetní dvůr považuje výklad agentury </w:t>
      </w:r>
      <w:proofErr w:type="spellStart"/>
      <w:r w:rsidRPr="00E51DFE">
        <w:t>Frontex</w:t>
      </w:r>
      <w:proofErr w:type="spellEnd"/>
      <w:r w:rsidRPr="00E51DFE">
        <w:t xml:space="preserve"> za chybný, což vede k tomu, že země přidružené k </w:t>
      </w:r>
      <w:proofErr w:type="spellStart"/>
      <w:r w:rsidRPr="00E51DFE">
        <w:t>Schengenu</w:t>
      </w:r>
      <w:proofErr w:type="spellEnd"/>
      <w:r w:rsidRPr="00E51DFE">
        <w:t xml:space="preserve"> přispívají do rozpočtu agentury </w:t>
      </w:r>
      <w:proofErr w:type="spellStart"/>
      <w:r w:rsidRPr="00E51DFE">
        <w:t>Frontex</w:t>
      </w:r>
      <w:proofErr w:type="spellEnd"/>
      <w:r w:rsidRPr="00E51DFE">
        <w:t xml:space="preserve"> přibližně o 3,5 milionu EUR (7 %) méně, než by podle velikosti svých ekonomik ve vztahu k hospodářství Unie měly přispívat; bere na vědomí, že prozatímní účetní tuto situaci přezkoumal a podobně jako správní rada se domnívá, že není třeba, aby agentura </w:t>
      </w:r>
      <w:proofErr w:type="spellStart"/>
      <w:r w:rsidRPr="00E51DFE">
        <w:t>Frontex</w:t>
      </w:r>
      <w:proofErr w:type="spellEnd"/>
      <w:r w:rsidRPr="00E51DFE">
        <w:t xml:space="preserve"> revidovala stávající metodiku výpočtu příspěvku zemí přidružených k </w:t>
      </w:r>
      <w:proofErr w:type="spellStart"/>
      <w:r w:rsidRPr="00E51DFE">
        <w:t>Schengenu</w:t>
      </w:r>
      <w:proofErr w:type="spellEnd"/>
      <w:r w:rsidRPr="00E51DFE">
        <w:t xml:space="preserve"> do rozpočtu agentury </w:t>
      </w:r>
      <w:proofErr w:type="spellStart"/>
      <w:r w:rsidRPr="00E51DFE">
        <w:t>Frontex</w:t>
      </w:r>
      <w:proofErr w:type="spellEnd"/>
      <w:r w:rsidRPr="00E51DFE">
        <w:t> </w:t>
      </w:r>
      <w:r w:rsidRPr="00E51DFE">
        <w:rPr>
          <w:vertAlign w:val="superscript"/>
        </w:rPr>
        <w:footnoteReference w:id="417"/>
      </w:r>
      <w:r w:rsidRPr="00E51DFE">
        <w:t xml:space="preserve">; bere na vědomí zprávu agentury </w:t>
      </w:r>
      <w:proofErr w:type="spellStart"/>
      <w:r w:rsidRPr="00E51DFE">
        <w:t>Frontex</w:t>
      </w:r>
      <w:proofErr w:type="spellEnd"/>
      <w:r w:rsidRPr="00E51DFE">
        <w:t xml:space="preserve"> o opatřeních přijatých v návaznosti na zprávu o udělení absolutoria za rok 2022, v níž se uvádí, že agentura nemá v úmyslu metodiku používanou pro tyto výpočty měnit; žádá agenturu, aby orgánu příslušnému k udělení absolutoria podala zprávu s podrobným vysvětlením metodiky používané při těchto výpočtech;</w:t>
      </w:r>
    </w:p>
    <w:p w14:paraId="39DC88BF" w14:textId="77777777" w:rsidR="00872DB8" w:rsidRPr="00E51DFE" w:rsidRDefault="00872DB8" w:rsidP="00872DB8">
      <w:pPr>
        <w:spacing w:after="240"/>
        <w:ind w:left="567" w:hanging="567"/>
        <w:rPr>
          <w:b/>
          <w:i/>
        </w:rPr>
      </w:pPr>
      <w:r w:rsidRPr="00E51DFE">
        <w:rPr>
          <w:b/>
          <w:i/>
        </w:rPr>
        <w:t>Výkonnost</w:t>
      </w:r>
    </w:p>
    <w:p w14:paraId="5C76E9B1" w14:textId="77777777" w:rsidR="00872DB8" w:rsidRPr="00E51DFE" w:rsidRDefault="00872DB8" w:rsidP="00872DB8">
      <w:pPr>
        <w:spacing w:after="240"/>
        <w:ind w:left="567" w:hanging="567"/>
      </w:pPr>
      <w:r w:rsidRPr="00E51DFE">
        <w:t>61.</w:t>
      </w:r>
      <w:r w:rsidRPr="00E51DFE">
        <w:tab/>
        <w:t>konstatuje, že společný přístup k decentralizovaným agenturám zavádí koncepci klíčových ukazatelů výkonnosti, jejichž cílem je zlepšit sledování výkonnosti agentur;</w:t>
      </w:r>
    </w:p>
    <w:p w14:paraId="58F01121" w14:textId="77777777" w:rsidR="00872DB8" w:rsidRPr="00E51DFE" w:rsidRDefault="00872DB8" w:rsidP="00872DB8">
      <w:pPr>
        <w:spacing w:after="240"/>
        <w:ind w:left="567" w:hanging="567"/>
      </w:pPr>
      <w:r w:rsidRPr="00E51DFE">
        <w:t>62.</w:t>
      </w:r>
      <w:r w:rsidRPr="00E51DFE">
        <w:tab/>
        <w:t>dále konstatuje, že podle plánu vypracovaného Komisí </w:t>
      </w:r>
      <w:r w:rsidRPr="00E51DFE">
        <w:rPr>
          <w:vertAlign w:val="superscript"/>
        </w:rPr>
        <w:footnoteReference w:id="418"/>
      </w:r>
      <w:r w:rsidRPr="00E51DFE">
        <w:t>by měly být vypracovány klíčové ukazatele výkonnosti týkající se činnosti agentury i jejího ředitele; dále konstatuje, že Komise rovněž navrhla, aby byly pro roční pracovní program nebo hodnocení vypracovány vzory;</w:t>
      </w:r>
    </w:p>
    <w:p w14:paraId="0CCDF310" w14:textId="77777777" w:rsidR="00872DB8" w:rsidRPr="00E51DFE" w:rsidRDefault="00872DB8" w:rsidP="00872DB8">
      <w:pPr>
        <w:spacing w:after="240"/>
        <w:ind w:left="567" w:hanging="567"/>
      </w:pPr>
      <w:r w:rsidRPr="00E51DFE">
        <w:t>63.</w:t>
      </w:r>
      <w:r w:rsidRPr="00E51DFE">
        <w:tab/>
        <w:t>poukazuje na to, že podle dotyčného plánu by klíčové ukazatele výkonnosti měly vypracovávat agentury a Komise každý rok, a proto by se měly rok od roku měnit, což by ztížilo sledování výkonnosti agentury v delším období, neboť některé klíčové ukazatele výkonnosti nemusí být sledovány po dobu několika let;</w:t>
      </w:r>
    </w:p>
    <w:p w14:paraId="53F258A5" w14:textId="77777777" w:rsidR="00872DB8" w:rsidRPr="00E51DFE" w:rsidRDefault="00872DB8" w:rsidP="00872DB8">
      <w:pPr>
        <w:spacing w:after="240"/>
        <w:ind w:left="567" w:hanging="567"/>
      </w:pPr>
      <w:r w:rsidRPr="00E51DFE">
        <w:t>64.</w:t>
      </w:r>
      <w:r w:rsidRPr="00E51DFE">
        <w:tab/>
        <w:t>doporučuje, aby agentury přijaly opatření ke splnění zbývajících nebo zpožděných ukazatelů a aby pravidelně upravovaly své klíčové ukazatele výkonnosti s cílem zvýšit výkonnost;</w:t>
      </w:r>
    </w:p>
    <w:p w14:paraId="133F95C0" w14:textId="77777777" w:rsidR="00872DB8" w:rsidRPr="00E51DFE" w:rsidRDefault="00872DB8" w:rsidP="00872DB8">
      <w:pPr>
        <w:spacing w:after="240"/>
        <w:ind w:left="567" w:hanging="567"/>
      </w:pPr>
      <w:r w:rsidRPr="00E51DFE">
        <w:t>65.</w:t>
      </w:r>
      <w:r w:rsidRPr="00E51DFE">
        <w:tab/>
        <w:t>zdůrazňuje, že pokyny Komise </w:t>
      </w:r>
      <w:r w:rsidRPr="00E51DFE">
        <w:rPr>
          <w:vertAlign w:val="superscript"/>
        </w:rPr>
        <w:footnoteReference w:id="419"/>
      </w:r>
      <w:r w:rsidRPr="00E51DFE">
        <w:t xml:space="preserve"> ohledně klíčových ukazatelů výkonnosti pro ředitele decentralizovaných agentur EU se plně zaměřují na výkonnost ředitelů agentur, tj. souvisejí především s řízením rozpočtu a lidských zdrojů, a nepoužívají se k posuzování výsledků nebo účinnosti a účelnosti operací v rámci mandátů agentur </w:t>
      </w:r>
      <w:r w:rsidRPr="00E51DFE">
        <w:rPr>
          <w:vertAlign w:val="superscript"/>
        </w:rPr>
        <w:footnoteReference w:id="420"/>
      </w:r>
      <w:r w:rsidRPr="00E51DFE">
        <w:t>;</w:t>
      </w:r>
    </w:p>
    <w:p w14:paraId="09609822" w14:textId="77777777" w:rsidR="00872DB8" w:rsidRPr="00E51DFE" w:rsidRDefault="00872DB8" w:rsidP="00872DB8">
      <w:pPr>
        <w:spacing w:after="240"/>
        <w:ind w:left="567" w:hanging="567"/>
      </w:pPr>
      <w:r w:rsidRPr="00E51DFE">
        <w:t>66.</w:t>
      </w:r>
      <w:r w:rsidRPr="00E51DFE">
        <w:tab/>
        <w:t>dále zdůrazňuje, že vzhledem k tomu, že neexistuje standardní přístup k prezentaci klíčových ukazatelů výkonnosti ve výročních zprávách o činnosti agentur, je obtížné získat přehled o stavu výkonnosti každé agentury;</w:t>
      </w:r>
    </w:p>
    <w:p w14:paraId="59B8F85D" w14:textId="77777777" w:rsidR="00872DB8" w:rsidRPr="00E51DFE" w:rsidRDefault="00872DB8" w:rsidP="00872DB8">
      <w:pPr>
        <w:spacing w:after="240"/>
        <w:ind w:left="567" w:hanging="567"/>
      </w:pPr>
      <w:r w:rsidRPr="00E51DFE">
        <w:t>67.</w:t>
      </w:r>
      <w:r w:rsidRPr="00E51DFE">
        <w:tab/>
        <w:t>zdůrazňuje, že na základě závěrů Účetního dvora nepřispívají klíčové ukazatele výkonnosti ke sledování výkonnosti agentur, pokud jde o operace a řízení finančních a lidských zdrojů;</w:t>
      </w:r>
    </w:p>
    <w:p w14:paraId="281CE17A" w14:textId="77777777" w:rsidR="00872DB8" w:rsidRPr="00E51DFE" w:rsidRDefault="00872DB8" w:rsidP="00872DB8">
      <w:pPr>
        <w:spacing w:after="240"/>
        <w:ind w:left="567" w:hanging="567"/>
      </w:pPr>
      <w:r w:rsidRPr="00E51DFE">
        <w:t>68.</w:t>
      </w:r>
      <w:r w:rsidRPr="00E51DFE">
        <w:tab/>
        <w:t>vyzývá k nezávislému přezkumu výkonnosti všech agentur s cílem posoudit, zda je jejich činnost skutečně v souladu s politickými prioritami Unie a zda přináší hmatatelné výsledky; trvá na tom, aby bylo zavedeno sestavování rozpočtu podle výkonnosti a referenční hodnoty účinnosti s cílem zajistit optimální přidělování zdrojů a správu založenou na dopadu;</w:t>
      </w:r>
    </w:p>
    <w:p w14:paraId="7702C90D" w14:textId="77777777" w:rsidR="00872DB8" w:rsidRPr="00E51DFE" w:rsidRDefault="00872DB8" w:rsidP="00872DB8">
      <w:pPr>
        <w:spacing w:after="240"/>
        <w:ind w:left="567" w:hanging="567"/>
      </w:pPr>
      <w:r w:rsidRPr="00E51DFE">
        <w:t>69.</w:t>
      </w:r>
      <w:r w:rsidRPr="00E51DFE">
        <w:tab/>
        <w:t>oceňuje, že agentura ECHA, ve spolupráci s Evropským úřadem pro bezpečnost potravin (EFSA), podnikla kroky na podporu principu „jedna látka – jedno hodnocení“ s cílem zajistit větší soudržnost při posuzování nebezpečnosti a rizik účinných látek; vyzývá agentury, aby i nadále podporovaly spolupráci s ostatními agenturami EU a mezinárodními organizacemi a rozvíjely dialog se zúčastněnými stranami a občany;</w:t>
      </w:r>
    </w:p>
    <w:p w14:paraId="40E7FFB8" w14:textId="77777777" w:rsidR="00872DB8" w:rsidRPr="00E51DFE" w:rsidRDefault="00872DB8" w:rsidP="00872DB8">
      <w:pPr>
        <w:spacing w:after="240"/>
        <w:ind w:left="567" w:hanging="567"/>
      </w:pPr>
      <w:r w:rsidRPr="00E51DFE">
        <w:t>70.</w:t>
      </w:r>
      <w:r w:rsidRPr="00E51DFE">
        <w:tab/>
        <w:t>připomíná, že Unie zaujímá přístup „nulové tolerance“ k nezákonnému, nehlášenému a neregulovanému rybolovu, a vyzdvihuje zásadní příspěvek Evropské agentury pro kontrolu rybolovu (EFCA) k provádění společné rybářské politiky (SRP), zejména pokud jde o kontrolu rybolovu a boj proti nezákonnému, nehlášenému a neregulovanému rybolovu;</w:t>
      </w:r>
    </w:p>
    <w:p w14:paraId="1F4A0366" w14:textId="77777777" w:rsidR="00872DB8" w:rsidRPr="00E51DFE" w:rsidRDefault="00872DB8" w:rsidP="00872DB8">
      <w:pPr>
        <w:spacing w:after="240"/>
        <w:ind w:left="567" w:hanging="567"/>
      </w:pPr>
      <w:r w:rsidRPr="00E51DFE">
        <w:t>71.</w:t>
      </w:r>
      <w:r w:rsidRPr="00E51DFE">
        <w:tab/>
        <w:t>zdůrazňuje, že za kontrolu rybolovných činností jsou primárně odpovědné členské státy, zatímco úkoly agentury se omezují na podporu, koordinaci a poskytování součinnosti členským státům v této oblasti; vyzývá agenturu, aby podporovala členské státy při monitorování a odhalování závažných porušení pravidel týkajících se nucené práce a aby poskytovala inspektorům odpovídající odbornou přípravu o těchto závažných porušeních pravidel;</w:t>
      </w:r>
    </w:p>
    <w:p w14:paraId="75711374" w14:textId="77777777" w:rsidR="00872DB8" w:rsidRPr="00E51DFE" w:rsidRDefault="00872DB8" w:rsidP="00872DB8">
      <w:pPr>
        <w:spacing w:after="240"/>
        <w:ind w:left="567" w:hanging="567"/>
      </w:pPr>
      <w:r w:rsidRPr="00E51DFE">
        <w:t>72.</w:t>
      </w:r>
      <w:r w:rsidRPr="00E51DFE">
        <w:tab/>
        <w:t>vyzývá agenturu EUSPA, aby pokračovala ve svém úsilí jako hlavní přispěvatel k provádění Kosmického programu EU a posilovala průmyslovou základnu, konkurenceschopnost a inovace v Unii; vybízí k upřednostňování evropského zadávání veřejných zakázek, zejména v oblastech klíčových pro odolnost, strategickou autonomii a svrchovanost Unie; zdůrazňuje zásadní úlohu systému Galileo a jeho veřejné regulované služby z hlediska bezpečnosti a obrany Unie spolu s krátkodobými přínosy programu GOVSATCOM a dlouhodobou strategickou hodnotou systému IRIS</w:t>
      </w:r>
      <w:r w:rsidRPr="00E51DFE">
        <w:rPr>
          <w:vertAlign w:val="superscript"/>
        </w:rPr>
        <w:t>2</w:t>
      </w:r>
      <w:r w:rsidRPr="00E51DFE">
        <w:t>; zdůrazňuje, že iniciativy Unie v oblasti obranných a bezpečnostních schopností by měly využívat odborných znalostí a infrastruktury kosmického odvětví Unie, aby se zabránilo zbytečnému zdvojování činností;</w:t>
      </w:r>
    </w:p>
    <w:p w14:paraId="0E043A36" w14:textId="77777777" w:rsidR="00872DB8" w:rsidRPr="00E51DFE" w:rsidRDefault="00872DB8" w:rsidP="00872DB8">
      <w:pPr>
        <w:spacing w:after="240"/>
        <w:ind w:left="567" w:hanging="567"/>
      </w:pPr>
      <w:r w:rsidRPr="00E51DFE">
        <w:t>73.</w:t>
      </w:r>
      <w:r w:rsidRPr="00E51DFE">
        <w:tab/>
        <w:t xml:space="preserve">bere na vědomí nový plán interoperability; uznává, že pro postupné zavádění a zajištění interoperability informačních systémů Unie bylo v důsledku zpoždění při vývoji Systému vstupu/výstupu (EES), Evropského systému pro cestovní informace a povolení (ETIAS) a Evropského informačního systému rejstříků trestů státních příslušníků třetích zemí (ECRIS-TCN) nutné stanovit nový harmonogram; zdůrazňuje, že k zachování a posílení unijního prostoru svobody, bezpečnosti a práva v souladu s příslušnými právními předpisy je naprosto nezbytné zajistit rychlou, účinnou a spolehlivou výměnu informací; v tomto ohledu bere na vědomí práci a zlepšení, jichž dosáhla agentura </w:t>
      </w:r>
      <w:proofErr w:type="spellStart"/>
      <w:r w:rsidRPr="00E51DFE">
        <w:t>eu</w:t>
      </w:r>
      <w:proofErr w:type="spellEnd"/>
      <w:r w:rsidRPr="00E51DFE">
        <w:t>-Lisa;</w:t>
      </w:r>
    </w:p>
    <w:p w14:paraId="5339E0D7" w14:textId="77777777" w:rsidR="00872DB8" w:rsidRPr="00E51DFE" w:rsidRDefault="00872DB8" w:rsidP="00872DB8">
      <w:pPr>
        <w:spacing w:after="240"/>
        <w:ind w:left="567" w:hanging="567"/>
      </w:pPr>
      <w:r w:rsidRPr="00E51DFE">
        <w:t>74.</w:t>
      </w:r>
      <w:r w:rsidRPr="00E51DFE">
        <w:tab/>
        <w:t>bere na vědomí úsilí Překladatelského střediska pro instituce Evropské unie (dále jen „středisko“), jehož cílem je umožňovat a podporovat mnohojazyčnost v Unii, například pokud jde o komunikaci agentur EU a rozvoj terminologie ve specializovaných oblastech s cílem zlepšit kvalitu překladů; oceňuje, že v červnu 2023 byla zřízena pracovní skupina pro umělou inteligenci (AI) a že bylo rozhodnuto, že činnost této skupiny bude dále probíhat v rámci nové poradní skupiny pro umělou inteligenci;</w:t>
      </w:r>
    </w:p>
    <w:p w14:paraId="6E736CEC" w14:textId="77777777" w:rsidR="00872DB8" w:rsidRPr="00E51DFE" w:rsidRDefault="00872DB8" w:rsidP="00872DB8">
      <w:pPr>
        <w:spacing w:after="240"/>
        <w:ind w:left="567" w:hanging="567"/>
      </w:pPr>
      <w:r w:rsidRPr="00E51DFE">
        <w:t>75.</w:t>
      </w:r>
      <w:r w:rsidRPr="00E51DFE">
        <w:tab/>
        <w:t xml:space="preserve">vyzývá agenturu EFCA, aby podporovala členské státy při monitorování a odhalování závažných porušení pravidel v souvislosti s uplatňováním čl. 90 odst. 2 písm. p) nařízení Evropského parlamentu a Rady (EU) 2023/2842 </w:t>
      </w:r>
      <w:r w:rsidRPr="00E51DFE">
        <w:rPr>
          <w:rStyle w:val="FootnoteReference"/>
        </w:rPr>
        <w:footnoteReference w:id="421"/>
      </w:r>
      <w:r w:rsidRPr="00E51DFE">
        <w:t xml:space="preserve"> o nucené práci a aby poskytovala inspektorům odpovídající odbornou přípravu o těchto závažných porušeních pravidel;</w:t>
      </w:r>
    </w:p>
    <w:p w14:paraId="5D268B40" w14:textId="77777777" w:rsidR="00872DB8" w:rsidRPr="00E51DFE" w:rsidRDefault="00872DB8" w:rsidP="00872DB8">
      <w:pPr>
        <w:spacing w:after="240"/>
        <w:ind w:left="567" w:hanging="567"/>
      </w:pPr>
      <w:r w:rsidRPr="00E51DFE">
        <w:t>76.</w:t>
      </w:r>
      <w:r w:rsidRPr="00E51DFE">
        <w:tab/>
        <w:t>konstatuje, že v roce 2023 vykázala agentura EFCA 44 993 inspekcí (na moři i na pevnině), přičemž nejméně 4 230 těchto inspekcí vedlo k podezření na porušení pravidel; poznamenává, že tyto údaje společně ukazují mírný pokles celkového počtu inspekcí (o 5 % v porovnání s rokem 2022) a 18 % pokles počtu inspekcí, při nichž bylo konstatováno podezření na porušování pravidel; připomíná, že inspekce a jiná návazná opatření mají velký význam nejen pro řádné řízení rybolovných zdrojů, ale také pro zajištění rovných podmínek pro rybáře v Unii;</w:t>
      </w:r>
    </w:p>
    <w:p w14:paraId="2AB8F749" w14:textId="77777777" w:rsidR="00872DB8" w:rsidRPr="00E51DFE" w:rsidRDefault="00872DB8" w:rsidP="00872DB8">
      <w:pPr>
        <w:spacing w:after="240"/>
        <w:ind w:left="567" w:hanging="567"/>
      </w:pPr>
      <w:r w:rsidRPr="00E51DFE">
        <w:t>77.</w:t>
      </w:r>
      <w:r w:rsidRPr="00E51DFE">
        <w:tab/>
        <w:t xml:space="preserve">oceňuje snahu </w:t>
      </w:r>
      <w:proofErr w:type="spellStart"/>
      <w:r w:rsidRPr="00E51DFE">
        <w:t>Eurojustu</w:t>
      </w:r>
      <w:proofErr w:type="spellEnd"/>
      <w:r w:rsidRPr="00E51DFE">
        <w:t xml:space="preserve"> o digitalizaci justice, zejména o zavedení nového systému pro správu případů v návaznosti na poslední novelizaci nařízení o </w:t>
      </w:r>
      <w:proofErr w:type="spellStart"/>
      <w:r w:rsidRPr="00E51DFE">
        <w:t>Eurojustu</w:t>
      </w:r>
      <w:proofErr w:type="spellEnd"/>
      <w:r w:rsidRPr="00E51DFE">
        <w:t> </w:t>
      </w:r>
      <w:r w:rsidRPr="00E51DFE">
        <w:rPr>
          <w:vertAlign w:val="superscript"/>
        </w:rPr>
        <w:footnoteReference w:id="422"/>
      </w:r>
      <w:r w:rsidRPr="00E51DFE">
        <w:t xml:space="preserve"> a na uplatňování nové platformy pro spolupráci společných vyšetřovacích týmů </w:t>
      </w:r>
      <w:r w:rsidRPr="00E51DFE">
        <w:rPr>
          <w:vertAlign w:val="superscript"/>
        </w:rPr>
        <w:footnoteReference w:id="423"/>
      </w:r>
      <w:r w:rsidRPr="00E51DFE">
        <w:t xml:space="preserve">; poukazuje na úlohu </w:t>
      </w:r>
      <w:proofErr w:type="spellStart"/>
      <w:r w:rsidRPr="00E51DFE">
        <w:t>Eurojustu</w:t>
      </w:r>
      <w:proofErr w:type="spellEnd"/>
      <w:r w:rsidRPr="00E51DFE">
        <w:t xml:space="preserve"> coby kontaktního místa pro třetí země a mezinárodní organizace, pokud jde o žádosti o informace ze systému ECRIS-TCN v souvislosti s trestními řízeními;</w:t>
      </w:r>
    </w:p>
    <w:p w14:paraId="14F3679D" w14:textId="77777777" w:rsidR="00872DB8" w:rsidRPr="00E51DFE" w:rsidRDefault="00872DB8" w:rsidP="00872DB8">
      <w:pPr>
        <w:spacing w:after="240"/>
        <w:ind w:left="567" w:hanging="567"/>
      </w:pPr>
      <w:r w:rsidRPr="00E51DFE">
        <w:t>78.</w:t>
      </w:r>
      <w:r w:rsidRPr="00E51DFE">
        <w:tab/>
        <w:t xml:space="preserve">zdůrazňuje, jak je důležité, že </w:t>
      </w:r>
      <w:proofErr w:type="spellStart"/>
      <w:r w:rsidRPr="00E51DFE">
        <w:t>Eurojust</w:t>
      </w:r>
      <w:proofErr w:type="spellEnd"/>
      <w:r w:rsidRPr="00E51DFE">
        <w:t xml:space="preserve"> poskytuje i nadále podporu Ukrajině tím, že umožňuje společným vyšetřovacím týmům šetřit údajné nejzávažnější mezinárodní zločiny spáchané na Ukrajině, provozuje Databázi důkazů o nejzávažnějších mezinárodních zločinech (CICED), která umožňuje ukládat, uchovávat a analyzovat důkazy o nejzávažnějších mezinárodních zločinech v rámci jediné zabezpečené centrální databáze, a tím, že zajišťuje bezpečný způsob přenosu digitálních dat pro účely předávání důkazů a jejich analýzy; vítá dále vytvoření Mezinárodního střediska pro stíhání zločinu agrese vůči Ukrajině (ICPA) v rámci </w:t>
      </w:r>
      <w:proofErr w:type="spellStart"/>
      <w:r w:rsidRPr="00E51DFE">
        <w:t>Eurojustu</w:t>
      </w:r>
      <w:proofErr w:type="spellEnd"/>
      <w:r w:rsidRPr="00E51DFE">
        <w:t>, jehož cílem je podpořit vnitrostátní vyšetřování a dohodnout se na společné strategii pro vyšetřování a stíhání a aktivně přispět k činnosti pracovní skupiny „</w:t>
      </w:r>
      <w:proofErr w:type="spellStart"/>
      <w:r w:rsidRPr="00E51DFE">
        <w:t>Freeze</w:t>
      </w:r>
      <w:proofErr w:type="spellEnd"/>
      <w:r w:rsidRPr="00E51DFE">
        <w:t xml:space="preserve"> and </w:t>
      </w:r>
      <w:proofErr w:type="spellStart"/>
      <w:r w:rsidRPr="00E51DFE">
        <w:t>Seize</w:t>
      </w:r>
      <w:proofErr w:type="spellEnd"/>
      <w:r w:rsidRPr="00E51DFE">
        <w:t>“, aby bylo možné účinně uplatňovat sankce Unie v celé Evropské unii;</w:t>
      </w:r>
    </w:p>
    <w:p w14:paraId="58DABF6F" w14:textId="77777777" w:rsidR="00872DB8" w:rsidRPr="00E51DFE" w:rsidRDefault="00872DB8" w:rsidP="00872DB8">
      <w:pPr>
        <w:spacing w:after="240"/>
        <w:ind w:left="567" w:hanging="567"/>
      </w:pPr>
      <w:r w:rsidRPr="00E51DFE">
        <w:t>79.</w:t>
      </w:r>
      <w:r w:rsidRPr="00E51DFE">
        <w:tab/>
        <w:t>zdůrazňuje úlohu agentury FRA jako jednoho z hlavních strážců základních práv a právního státu, jak je to zakotveno v Listině základních práv, a oceňuje, že agentura podporuje zajišťování dodržování, ochrany a naplňování základních práv ve stávajících právních předpisech a politikách EU v oblasti rovnosti a boje proti diskriminaci, jako jsou unijní právní předpisy a politiky pro boj proti rasismu, antisemitismu a islamofobii, že podporuje shromažďování údajů o rovnosti a provádění strategií pro rovnost a boj proti rasismu, jako jsou vnitrostátní strategické rámce pro Romy, a poskytuje vstupní informace pro přezkum strategie pro rovnost LGBTIQ osob na období 2020–2025 v polovině období, chrání občanskou společnost a ohrožené obránce lidských práv, podporuje revizi směrnice o právech obětí, akčního plánu proti rasismu a Strategie Unie pro boj proti antisemitismu a podporu židovského života a poskytuje poradenství ohledně dodržování základních práv, pokud jde o vývoj a využívání systémů umělé inteligence a čerpání a využívání finančních prostředků EU;</w:t>
      </w:r>
    </w:p>
    <w:p w14:paraId="5AEEF783" w14:textId="77777777" w:rsidR="00872DB8" w:rsidRPr="00E51DFE" w:rsidRDefault="00872DB8" w:rsidP="00872DB8">
      <w:pPr>
        <w:spacing w:after="240"/>
        <w:ind w:left="567" w:hanging="567"/>
      </w:pPr>
      <w:r w:rsidRPr="00E51DFE">
        <w:t>80.</w:t>
      </w:r>
      <w:r w:rsidRPr="00E51DFE">
        <w:tab/>
        <w:t>poukazuje na pokyny agentury FRA a na její angažovanost v oblasti azylu a migrace, správy hranic a interoperability a její důležité zaměření na základní práva, mezinárodní závazky členských států a právo Unie v oblasti lidských práv v této oblasti, mj. na její spolupráci s Agenturou Evropské unie pro otázky azylu (EUAA) s cílem rozšiřovat povědomí o důležitosti opatrovníků a právních zástupců pomáhajících dětem bez doprovodu, které žádají o mezinárodní ochranu v Unii, a poukazuje také na to, že agentura zajišťuje proškolování zaměstnanců Europolu, které je zaměřeno na rozšiřování povědomí o problematice základních práv v příslušném operativním kontextu a na získávání poznatků v této oblasti; vítá skutečnost, že agentura FRA včas přispěla k provádění směrnice o dočasné ochraně v souvislosti s uprchlíky z Ukrajiny a že pomohla identifikovat problémy, pokud jde o provádění právních předpisů Unie týkajících se dlouhodobého pobytu, a dále také to, že přispěla ke zjištění nedostatků ve vízovém kodexu a vypracovala seznam kroků, které může Unie a její členské státy přijmout k omezení smrtelných nehod na moři;</w:t>
      </w:r>
    </w:p>
    <w:p w14:paraId="1C9A55E7" w14:textId="77777777" w:rsidR="00872DB8" w:rsidRPr="00E51DFE" w:rsidRDefault="00872DB8" w:rsidP="00872DB8">
      <w:pPr>
        <w:spacing w:after="240"/>
        <w:ind w:left="567" w:hanging="567"/>
      </w:pPr>
      <w:r w:rsidRPr="00E51DFE">
        <w:t>81.</w:t>
      </w:r>
      <w:r w:rsidRPr="00E51DFE">
        <w:tab/>
        <w:t>vítá příspěvek agentury k hodnocení nařízení o Evropské pohraniční a pobřežní stráži, její účast na zasedáních řídicí rady Evropské agentury pro pohraniční a pobřežní stráž (</w:t>
      </w:r>
      <w:proofErr w:type="spellStart"/>
      <w:r w:rsidRPr="00E51DFE">
        <w:t>Frontex</w:t>
      </w:r>
      <w:proofErr w:type="spellEnd"/>
      <w:r w:rsidRPr="00E51DFE">
        <w:t xml:space="preserve">) a skutečnost, že </w:t>
      </w:r>
      <w:proofErr w:type="spellStart"/>
      <w:r w:rsidRPr="00E51DFE">
        <w:t>spolupředsedá</w:t>
      </w:r>
      <w:proofErr w:type="spellEnd"/>
      <w:r w:rsidRPr="00E51DFE">
        <w:t xml:space="preserve"> poradnímu fóru agentury </w:t>
      </w:r>
      <w:proofErr w:type="spellStart"/>
      <w:r w:rsidRPr="00E51DFE">
        <w:t>Frontex</w:t>
      </w:r>
      <w:proofErr w:type="spellEnd"/>
      <w:r w:rsidRPr="00E51DFE">
        <w:t xml:space="preserve"> pro základní práva a spolupracuje s oddělením agentury </w:t>
      </w:r>
      <w:proofErr w:type="spellStart"/>
      <w:r w:rsidRPr="00E51DFE">
        <w:t>Frontex</w:t>
      </w:r>
      <w:proofErr w:type="spellEnd"/>
      <w:r w:rsidRPr="00E51DFE">
        <w:t xml:space="preserve"> pro otázky základních práv;</w:t>
      </w:r>
    </w:p>
    <w:p w14:paraId="67DE3550" w14:textId="77777777" w:rsidR="00872DB8" w:rsidRPr="00E51DFE" w:rsidRDefault="00872DB8" w:rsidP="00872DB8">
      <w:pPr>
        <w:spacing w:after="240"/>
        <w:ind w:left="567" w:hanging="567"/>
      </w:pPr>
      <w:r w:rsidRPr="00E51DFE">
        <w:t>82.</w:t>
      </w:r>
      <w:r w:rsidRPr="00E51DFE">
        <w:tab/>
        <w:t xml:space="preserve">s uspokojením konstatuje, že agentura FRA poskytla na podporu činnosti dalších agentur EU působících v oblasti spravedlnosti a vnitřních věcí, mj. Agentury EU pro azyl, agentury </w:t>
      </w:r>
      <w:proofErr w:type="spellStart"/>
      <w:r w:rsidRPr="00E51DFE">
        <w:t>Frontex</w:t>
      </w:r>
      <w:proofErr w:type="spellEnd"/>
      <w:r w:rsidRPr="00E51DFE">
        <w:t>, Europolu, Agentury Evropské unie pro provozní řízení rozsáhlých informačních systémů v prostoru svobody, bezpečnosti a práva (</w:t>
      </w:r>
      <w:proofErr w:type="spellStart"/>
      <w:r w:rsidRPr="00E51DFE">
        <w:t>eu</w:t>
      </w:r>
      <w:proofErr w:type="spellEnd"/>
      <w:r w:rsidRPr="00E51DFE">
        <w:t>-Lisa) a Agentury Evropské unie pro vzdělávání a výcvik v oblasti prosazování práva (CEPOL), analýzu problematiky základních práv a své odborné zkušenosti; vítá skutečnost, že agentura FRA v roce 2023 přispěla k důslednějšímu dodržování základních práv, mimo jiné tím, že poskytovala poradenství ohledně unijních fondů a řešila výzvy, které představují nové technologie; vyzývá agenturu FRA, aby zjistila, jakým způsobem jsou právní stát a základní práva neoddělitelně spjaty a jak by její práce mohla být začleněna nebo rozvíjena v součinnosti s prací Evropské komise v rámci výroční zprávy o právním státu;</w:t>
      </w:r>
    </w:p>
    <w:p w14:paraId="52B03952" w14:textId="77777777" w:rsidR="00872DB8" w:rsidRPr="00E51DFE" w:rsidRDefault="00872DB8" w:rsidP="00872DB8">
      <w:pPr>
        <w:spacing w:after="240"/>
        <w:ind w:left="567" w:hanging="567"/>
      </w:pPr>
      <w:r w:rsidRPr="00E51DFE">
        <w:t>83.</w:t>
      </w:r>
      <w:r w:rsidRPr="00E51DFE">
        <w:tab/>
        <w:t xml:space="preserve">oceňuje skutečnost, že agentura Europol úspěšně spustila platformu PERCI (platforma EU pro nelegální obsah online), zejména s ohledem na splnění veškerých doporučení evropského inspektora ochrany údajů (EIOÚ); oceňuje úzkou spolupráci s evropským inspektorem ochrany údajů a společnou pracovní skupinou vytvořenou spolu s agenturou </w:t>
      </w:r>
      <w:proofErr w:type="spellStart"/>
      <w:r w:rsidRPr="00E51DFE">
        <w:t>Frontex</w:t>
      </w:r>
      <w:proofErr w:type="spellEnd"/>
      <w:r w:rsidRPr="00E51DFE">
        <w:t xml:space="preserve"> za účelem plnění doporučení EIOÚ v souvislosti s programem agentury </w:t>
      </w:r>
      <w:proofErr w:type="spellStart"/>
      <w:r w:rsidRPr="00E51DFE">
        <w:t>Frontex</w:t>
      </w:r>
      <w:proofErr w:type="spellEnd"/>
      <w:r w:rsidRPr="00E51DFE">
        <w:t xml:space="preserve"> pro zpracování osobních údajů pro analýzu rizik (</w:t>
      </w:r>
      <w:proofErr w:type="spellStart"/>
      <w:r w:rsidRPr="00E51DFE">
        <w:t>PeDRA</w:t>
      </w:r>
      <w:proofErr w:type="spellEnd"/>
      <w:r w:rsidRPr="00E51DFE">
        <w:t>), kdy obě tyto agentury mají výrazný zájem na ochraně základních práv a současném zajištění větší bezpečnosti;</w:t>
      </w:r>
    </w:p>
    <w:p w14:paraId="4D93D0E9" w14:textId="77777777" w:rsidR="00872DB8" w:rsidRPr="00E51DFE" w:rsidRDefault="00872DB8" w:rsidP="00872DB8">
      <w:pPr>
        <w:spacing w:after="240"/>
        <w:ind w:left="567" w:hanging="567"/>
      </w:pPr>
      <w:r w:rsidRPr="00E51DFE">
        <w:t>84.</w:t>
      </w:r>
      <w:r w:rsidRPr="00E51DFE">
        <w:tab/>
        <w:t>vítá uplatňování nařízení o Europolu </w:t>
      </w:r>
      <w:r w:rsidRPr="00E51DFE">
        <w:rPr>
          <w:vertAlign w:val="superscript"/>
        </w:rPr>
        <w:footnoteReference w:id="424"/>
      </w:r>
      <w:r w:rsidRPr="00E51DFE">
        <w:t>, ve znění z roku 2022, zejména urychlené jmenování úředníka pro otázky základních práv v lednu 2023, což představuje významný krok k širšímu prosazování základních práv ze strany Europolu v rámci jeho operací;</w:t>
      </w:r>
    </w:p>
    <w:p w14:paraId="3AC2577B" w14:textId="77777777" w:rsidR="00872DB8" w:rsidRPr="00E51DFE" w:rsidRDefault="00872DB8" w:rsidP="00872DB8">
      <w:pPr>
        <w:spacing w:after="240"/>
        <w:ind w:left="567" w:hanging="567"/>
      </w:pPr>
      <w:r w:rsidRPr="00E51DFE">
        <w:t>85.</w:t>
      </w:r>
      <w:r w:rsidRPr="00E51DFE">
        <w:tab/>
        <w:t xml:space="preserve">uznává význam místních iniciativ, které posilují systémy zdravotní péče a environmentální iniciativy a současně posilují spolupráci s členskými státy a agenturami (ECDC, ECHA, </w:t>
      </w:r>
      <w:proofErr w:type="gramStart"/>
      <w:r w:rsidRPr="00E51DFE">
        <w:t>EEA,EFSA</w:t>
      </w:r>
      <w:proofErr w:type="gramEnd"/>
      <w:r w:rsidRPr="00E51DFE">
        <w:t>, EMA); vyzývá ke zlepšení přístupu k rozdělování finančních prostředků, přičemž prioritou by mělo být snížení administrativní zátěže a směrování zdrojů přímo ke konečným příjemcům zjednodušením postupů, aby se zlepšila dostupnost pro hospodářské subjekty v terénu;</w:t>
      </w:r>
    </w:p>
    <w:p w14:paraId="4CA2E58C" w14:textId="77777777" w:rsidR="00872DB8" w:rsidRPr="00E51DFE" w:rsidRDefault="00872DB8" w:rsidP="00872DB8">
      <w:pPr>
        <w:spacing w:after="240"/>
        <w:ind w:left="567" w:hanging="567"/>
      </w:pPr>
      <w:r w:rsidRPr="00E51DFE">
        <w:t>86.</w:t>
      </w:r>
      <w:r w:rsidRPr="00E51DFE">
        <w:tab/>
        <w:t>konstatuje, že z posouzení Generálního ředitelství pro mobilitu a dopravu, které zajišťuje dohled nad těmito třemi agenturami, vyplývá, že výkonnost těchto tří agentur (EASA, EMSA, ERA) v roce 2023 byla plně v souladu s dohodnutými cíli Komise: v rámci pravidelných činností v oblasti monitorování a dohledu nebyly zjištěny žádné konkrétní problémy, které by mohly mít významný dopad na prohlášení o věrohodnosti, a ani zprávy externích a interních auditorů neupozornily na žádné významné problémy, které by mohly u GŘ pro mobilitu a dopravu vyvolat další obavy;</w:t>
      </w:r>
    </w:p>
    <w:p w14:paraId="204CF9DD" w14:textId="77777777" w:rsidR="00872DB8" w:rsidRPr="00E51DFE" w:rsidRDefault="00872DB8" w:rsidP="00872DB8">
      <w:pPr>
        <w:spacing w:after="240"/>
        <w:ind w:left="567" w:hanging="567"/>
      </w:pPr>
      <w:r w:rsidRPr="00E51DFE">
        <w:t>87.</w:t>
      </w:r>
      <w:r w:rsidRPr="00E51DFE">
        <w:tab/>
        <w:t>konstatuje, že v roce 2023 agentura EASA výrazně prohloubila svou spolupráci s vojenskými organizacemi v rámci působnosti akčního plánu EU pro vojenskou mobilitu 2.0 a je nyní zvána na všechny schůze výboru NATO pro letectví; bere na vědomí schválení strategie agentury v oblasti civilní vojenské spolupráce, která je její dlouhodobou prioritou, a podporuje její zapojení do certifikace civilních letadel využívaných k vojenským účelům založené na koncepci „podle možností civilní, avšak v případě potřeby vojenské“;</w:t>
      </w:r>
    </w:p>
    <w:p w14:paraId="441A4A22" w14:textId="77777777" w:rsidR="00872DB8" w:rsidRPr="00E51DFE" w:rsidRDefault="00872DB8" w:rsidP="00872DB8">
      <w:pPr>
        <w:spacing w:after="240"/>
        <w:ind w:left="567" w:hanging="567"/>
      </w:pPr>
      <w:r w:rsidRPr="00E51DFE">
        <w:t>88.</w:t>
      </w:r>
      <w:r w:rsidRPr="00E51DFE">
        <w:tab/>
        <w:t xml:space="preserve">konstatuje, že v roce 2023 agentura EMSA nadále poskytovala velmi účinnou pomoc při snižování dopadu odvětví námořní dopravy na životní prostředí, mimo jiné prostřednictvím svého zapojení do četných iniciativ souvisejících se Zelenou dohodou pro Evropu; bere na vědomí zejména odborné poznatky, které agentura poskytla v souvislosti s přepracováním balíčku předpisů týkajících se námořní bezpečnosti; oceňuje, že agentura podpořila Komisi a členské státy při konečném přijímání návrhů předložených v rámci balíčku „Fit </w:t>
      </w:r>
      <w:proofErr w:type="spellStart"/>
      <w:r w:rsidRPr="00E51DFE">
        <w:t>for</w:t>
      </w:r>
      <w:proofErr w:type="spellEnd"/>
      <w:r w:rsidRPr="00E51DFE">
        <w:t xml:space="preserve"> 55“, zejména pokud jde o rozšíření systému obchodování s emisemi (ETS) na námořní dopravu a nařízení o námořních palivech (</w:t>
      </w:r>
      <w:proofErr w:type="spellStart"/>
      <w:r w:rsidRPr="00E51DFE">
        <w:t>FuelEU</w:t>
      </w:r>
      <w:proofErr w:type="spellEnd"/>
      <w:r w:rsidRPr="00E51DFE">
        <w:t xml:space="preserve"> </w:t>
      </w:r>
      <w:proofErr w:type="spellStart"/>
      <w:r w:rsidRPr="00E51DFE">
        <w:t>Maritime</w:t>
      </w:r>
      <w:proofErr w:type="spellEnd"/>
      <w:r w:rsidRPr="00E51DFE">
        <w:t>); v této souvislosti oceňuje probíhající výzkum, který se týká potenciálu různých alternativních paliv a souvisejících bezpečnostních aspektů vyplývajících z využívání a zavádění udržitelných alternativních zdrojů energie pro lodě; vítá přizpůsobení systému THETIS-MRV požadavkům právních předpisů týkajících se systému obchodování s emisemi;</w:t>
      </w:r>
    </w:p>
    <w:p w14:paraId="3F9AD2B1" w14:textId="77777777" w:rsidR="00872DB8" w:rsidRPr="00E51DFE" w:rsidRDefault="00872DB8" w:rsidP="00872DB8">
      <w:pPr>
        <w:spacing w:after="240"/>
        <w:ind w:left="567" w:hanging="567"/>
      </w:pPr>
      <w:r w:rsidRPr="00E51DFE">
        <w:t>89.</w:t>
      </w:r>
      <w:r w:rsidRPr="00E51DFE">
        <w:tab/>
        <w:t>oceňuje soustavnou a stále intenzívnější spolupráci těchto pěti agentur (</w:t>
      </w:r>
      <w:proofErr w:type="spellStart"/>
      <w:r w:rsidRPr="00E51DFE">
        <w:t>Eurofound</w:t>
      </w:r>
      <w:proofErr w:type="spellEnd"/>
      <w:r w:rsidRPr="00E51DFE">
        <w:t xml:space="preserve">, </w:t>
      </w:r>
      <w:proofErr w:type="spellStart"/>
      <w:r w:rsidRPr="00E51DFE">
        <w:t>Cedefop</w:t>
      </w:r>
      <w:proofErr w:type="spellEnd"/>
      <w:r w:rsidRPr="00E51DFE">
        <w:t>, ETF, EU OSHA, ELA), jakož i to, že spolu vzájemně i s dalšími institucemi, včetně dalších agentur EU, Komise a Parlamentu, sdílejí své zdroje;</w:t>
      </w:r>
    </w:p>
    <w:p w14:paraId="3191B00F" w14:textId="77777777" w:rsidR="00872DB8" w:rsidRPr="00E51DFE" w:rsidRDefault="00872DB8" w:rsidP="00872DB8">
      <w:pPr>
        <w:spacing w:after="240"/>
        <w:ind w:left="567" w:hanging="567"/>
      </w:pPr>
      <w:r w:rsidRPr="00E51DFE">
        <w:t>90.</w:t>
      </w:r>
      <w:r w:rsidRPr="00E51DFE">
        <w:tab/>
        <w:t>vyzývá Komisi, aby zajistila lepší využívání odborných znalostí agentur (</w:t>
      </w:r>
      <w:proofErr w:type="spellStart"/>
      <w:r w:rsidRPr="00E51DFE">
        <w:t>Eurofound</w:t>
      </w:r>
      <w:proofErr w:type="spellEnd"/>
      <w:r w:rsidRPr="00E51DFE">
        <w:t xml:space="preserve">, </w:t>
      </w:r>
      <w:proofErr w:type="spellStart"/>
      <w:r w:rsidRPr="00E51DFE">
        <w:t>Cedefop</w:t>
      </w:r>
      <w:proofErr w:type="spellEnd"/>
      <w:r w:rsidRPr="00E51DFE">
        <w:t>, ETF, EU OSHA, ELA) v příslušných oblastech, například pokud jde o vypracovávání zpráv a studií i provádění výzkumů a průzkumů, což může vést k účinnějšímu využívání stávajících rozpočtových zdrojů Unie ve srovnání s jinými řešeními; oceňuje úsilí těchto pěti agentur o další rozvoj digitální a on-line komunikace s cílem zvýšit svou viditelnost a povědomí o své práci, která má velký dosah; v této souvislosti poukazuje na nevyužitý potenciál při poskytování konkrétních relevantních informací a stejně kvalitních produktů, jako poskytují externí konzultanti, pokud to mandáty agentur umožňují;</w:t>
      </w:r>
    </w:p>
    <w:p w14:paraId="3D1C0E89" w14:textId="77777777" w:rsidR="00872DB8" w:rsidRPr="00E51DFE" w:rsidRDefault="00872DB8" w:rsidP="00872DB8">
      <w:pPr>
        <w:spacing w:after="240"/>
        <w:ind w:left="567" w:hanging="567"/>
      </w:pPr>
      <w:r w:rsidRPr="00E51DFE">
        <w:t>91.</w:t>
      </w:r>
      <w:r w:rsidRPr="00E51DFE">
        <w:tab/>
        <w:t>vítá úsilí agentur (</w:t>
      </w:r>
      <w:proofErr w:type="spellStart"/>
      <w:r w:rsidRPr="00E51DFE">
        <w:t>Eurofound</w:t>
      </w:r>
      <w:proofErr w:type="spellEnd"/>
      <w:r w:rsidRPr="00E51DFE">
        <w:t xml:space="preserve">, </w:t>
      </w:r>
      <w:proofErr w:type="spellStart"/>
      <w:r w:rsidRPr="00E51DFE">
        <w:t>Cedefop</w:t>
      </w:r>
      <w:proofErr w:type="spellEnd"/>
      <w:r w:rsidRPr="00E51DFE">
        <w:t>, ETF, EU OSHA, ELA) o provádění politik rozmanitosti a začleňování, zejména pokud jde o osoby se zdravotním postižením; vybízí agentury, aby zlepšily shromažďování srovnatelných údajů o zaměstnávání osob se zdravotním postižením; uznává pokrok, jejž tyto agentury dosáhly na cestě k vyváženému zastoupení žen a mužů mezi zaměstnanci: vyzývá k dalšímu úsilí o zajištění vyváženého zastoupení žen a mužů i na úrovni vrcholného vedení a o začlenění hlediska rovnosti žen a mužů do všech jejich činností;</w:t>
      </w:r>
    </w:p>
    <w:p w14:paraId="78666480" w14:textId="77777777" w:rsidR="00872DB8" w:rsidRPr="00E51DFE" w:rsidRDefault="00872DB8" w:rsidP="00872DB8">
      <w:pPr>
        <w:spacing w:after="240"/>
        <w:ind w:left="567" w:hanging="567"/>
      </w:pPr>
      <w:r w:rsidRPr="00E51DFE">
        <w:t>92.</w:t>
      </w:r>
      <w:r w:rsidRPr="00E51DFE">
        <w:tab/>
        <w:t xml:space="preserve">konstatuje, že výsledkem úsilí o monitorování rozpočtu během rozpočtového roku 2023 bylo, že míra plnění u prostředků na závazky v běžném roce v průměru přesáhla 97 %, s výjimkou střediska </w:t>
      </w:r>
      <w:proofErr w:type="spellStart"/>
      <w:r w:rsidRPr="00E51DFE">
        <w:t>CdT</w:t>
      </w:r>
      <w:proofErr w:type="spellEnd"/>
      <w:r w:rsidRPr="00E51DFE">
        <w:t xml:space="preserve"> a orgánu ELA, u nichž míra plnění představovala 89,55 % resp. 93,72 %; konstatuje, že agentury, které vykazují nejnižší míru čerpání prostředků na platby v běžném roce, jsou tyto (jsou uvedeny ve vzestupném pořadí spolu s jejich příslušnými procentními podíly): ESA 47,61 %, </w:t>
      </w:r>
      <w:proofErr w:type="spellStart"/>
      <w:r w:rsidRPr="00E51DFE">
        <w:t>Frontex</w:t>
      </w:r>
      <w:proofErr w:type="spellEnd"/>
      <w:r w:rsidRPr="00E51DFE">
        <w:t xml:space="preserve"> 55,37 %, EU-OSHA 68,83 %, ACER 70,69 % a ECDC 71,79 %;</w:t>
      </w:r>
    </w:p>
    <w:p w14:paraId="0B2A6E53" w14:textId="77777777" w:rsidR="00872DB8" w:rsidRPr="00E51DFE" w:rsidRDefault="00872DB8" w:rsidP="00872DB8">
      <w:pPr>
        <w:spacing w:after="240"/>
        <w:ind w:left="567" w:hanging="567"/>
      </w:pPr>
      <w:r w:rsidRPr="00E51DFE">
        <w:t>93.</w:t>
      </w:r>
      <w:r w:rsidRPr="00E51DFE">
        <w:tab/>
        <w:t>bere na vědomí zvýšení rozpočtu agentury EUAA v roce 2023 ze 168 milionů EUR na 170 milionů EUR (+0,77 %) a zvýšení počtu jejích zaměstnanců z 519 na 529 (+2 %); připomíná důležitou úlohu Agentury Evropské unie pro otázky azylu, pokud jde o podporu členských států při provádění společného evropského azylového systému a sledování jeho správného provádění; připomíná, že orgán příslušný k udělení absolutoria ve své zprávě o udělení absolutoria Agentuře Evropské unie pro otázky azylu za rok 2022 upozornil na určité problémy týkající se vnitřního řízení a postupů agentury a konstatoval, že Evropský úřad pro boj proti podvodům (OLAF) zahájil vyšetřování (mezitím ukončené), které se údajně týkalo nepotismu a dalších záležitostí ovlivňujících její finanční řízení; vyjadřuje politování nad tím, že výkonná ředitelka agentury se během přípravného slyšení o udělení absolutoria ve výboru CONT vyhýbala odpovědím; je znepokojen tím, že rada agentury odmítá poskytnout orgánu příslušnému k udělení absolutoria obsah zprávy úřadu OLAF a doporučení v ní uvedené; vyzývá agenturu, aby zjištění této zprávy neprodleně zpřístupnila;</w:t>
      </w:r>
    </w:p>
    <w:p w14:paraId="75D72850" w14:textId="77777777" w:rsidR="00872DB8" w:rsidRPr="00E51DFE" w:rsidRDefault="00872DB8" w:rsidP="00872DB8">
      <w:pPr>
        <w:spacing w:after="240"/>
        <w:ind w:left="567" w:hanging="567"/>
      </w:pPr>
      <w:r w:rsidRPr="00E51DFE">
        <w:t>94.</w:t>
      </w:r>
      <w:r w:rsidRPr="00E51DFE">
        <w:tab/>
        <w:t>domnívá se, že v závěrečné zprávě úřadu OLAF (OC-2022–0717) o agentuře EUAA se dospělo k velmi znepokojivým závěrům o zjištěných skutečnostech, které ohrožují stabilitu, správu a dobré jméno agentury, takže není jiná možnost než udělení absolutoria této agentuře za rozpočtový rok 2023 odložit; dále připomíná, že úřad OLAF stanovil a vyčíslil finanční dopad, který nelze získat zpět, což potvrzuje negativní dopad na řádné finanční řízení zdrojů agentury; požaduje proto, aby správní rada podnikla v reakci na tato zjištění komplexní kroky a poskytla podrobné údaje o všech opatřeních přijatých k nápravě nedostatků;</w:t>
      </w:r>
    </w:p>
    <w:p w14:paraId="5A326DD0" w14:textId="77777777" w:rsidR="00872DB8" w:rsidRPr="00E51DFE" w:rsidRDefault="00872DB8" w:rsidP="00872DB8">
      <w:pPr>
        <w:spacing w:after="240"/>
        <w:ind w:left="567" w:hanging="567"/>
      </w:pPr>
      <w:r w:rsidRPr="00E51DFE">
        <w:t>95.</w:t>
      </w:r>
      <w:r w:rsidRPr="00E51DFE">
        <w:tab/>
        <w:t>naléhavě vyzývá agenturu, aby plně objasnila všechny otevřené otázky, prováděla doporučení úřadu OLAF důvěryhodným a transparentním způsobem a aby zavedla spolehlivé mechanismy vnitřní kontroly, etického dohledu a odpovědnosti; vyzývá agenturu, aby bez zbytečného odkladu informovala orgán příslušný k udělení absolutoria o krocích, které k řešení uvedených záležitostí učinila;</w:t>
      </w:r>
    </w:p>
    <w:p w14:paraId="5BAB9C01" w14:textId="77777777" w:rsidR="00872DB8" w:rsidRPr="00E51DFE" w:rsidRDefault="00872DB8" w:rsidP="00872DB8">
      <w:pPr>
        <w:spacing w:after="240"/>
        <w:ind w:left="567" w:hanging="567"/>
        <w:rPr>
          <w:b/>
          <w:i/>
        </w:rPr>
      </w:pPr>
      <w:r w:rsidRPr="00E51DFE">
        <w:rPr>
          <w:b/>
          <w:i/>
        </w:rPr>
        <w:t>Zadávání veřejných zakázek</w:t>
      </w:r>
    </w:p>
    <w:p w14:paraId="618CAB3A" w14:textId="77777777" w:rsidR="00872DB8" w:rsidRPr="00E51DFE" w:rsidRDefault="00872DB8" w:rsidP="00872DB8">
      <w:pPr>
        <w:spacing w:after="240"/>
        <w:ind w:left="567" w:hanging="567"/>
      </w:pPr>
      <w:r w:rsidRPr="00E51DFE">
        <w:t>96.</w:t>
      </w:r>
      <w:r w:rsidRPr="00E51DFE">
        <w:tab/>
        <w:t>se znepokojením konstatuje, že nejčastějším zdrojem neoprávněných plateb jsou i nadále nedostatky v zadávání veřejných zakázek; zdůrazňuje, že Účetní dvůr v roce 2023 předložil 38 připomínek k nedostatkům v oblasti zadávání veřejných zakázek (oproti 41 v roce 2022 a 28 v roce 2021) </w:t>
      </w:r>
      <w:r w:rsidRPr="00E51DFE">
        <w:rPr>
          <w:vertAlign w:val="superscript"/>
        </w:rPr>
        <w:footnoteReference w:id="425"/>
      </w:r>
      <w:r w:rsidRPr="00E51DFE">
        <w:t>; naléhavě vyzývá agentury, aby zavedly opatření k zajištění přísného dodržování předpisů o zadávání veřejných zakázek a zásad transparentnosti, hospodářské soutěže a nákladové efektivnosti; připomíná, že je zapotřebí, aby zaměstnanci pravidelně absolvovali vzdělávací programy v oblasti finančního řízení, pravidel zadávání veřejných zakázek a předcházení podvodům; požaduje přísnější opatření v oblasti odpovědnosti, která zajistí, aby veškeré opakující se nedostatky vedly k cíleným nápravným opatřením a důsledkům opakovaného nedodržování předpisů;</w:t>
      </w:r>
    </w:p>
    <w:p w14:paraId="6C91BA3E" w14:textId="77777777" w:rsidR="00872DB8" w:rsidRPr="00E51DFE" w:rsidRDefault="00872DB8" w:rsidP="00872DB8">
      <w:pPr>
        <w:spacing w:after="240"/>
        <w:ind w:left="567" w:hanging="567"/>
      </w:pPr>
      <w:r w:rsidRPr="00E51DFE">
        <w:t>97.</w:t>
      </w:r>
      <w:r w:rsidRPr="00E51DFE">
        <w:tab/>
        <w:t>konstatuje, že podle Účetního dvora se 13 </w:t>
      </w:r>
      <w:r w:rsidRPr="00E51DFE">
        <w:rPr>
          <w:vertAlign w:val="superscript"/>
        </w:rPr>
        <w:footnoteReference w:id="426"/>
      </w:r>
      <w:r w:rsidRPr="00E51DFE">
        <w:t xml:space="preserve"> připomínek ohledně nedostatků, které v roce 2023 vedly k neoprávněným platbám, týká nesrovnalostí zjištěných a zmíněných v předchozích auditech; konstatuje, že pokud jde o zbývajících 25 připomínek, dopad na platby mělo v roce 2023 devět z těchto případů, zbývajících 16 k neoprávněným platbám nevedlo; konstatuje, že připomínky daného roku, které neměly dopad na platby, se týkají agentur ACER, EBA, </w:t>
      </w:r>
      <w:proofErr w:type="spellStart"/>
      <w:r w:rsidRPr="00E51DFE">
        <w:t>eu</w:t>
      </w:r>
      <w:proofErr w:type="spellEnd"/>
      <w:r w:rsidRPr="00E51DFE">
        <w:t>-Lisa, ESMA, EMSA, ENISA, ERA, EIGE, ECDC, EEA, EUDA, EUAA a CEPOL; bere na vědomí odpovědi agentur a vyzývá je, aby přijaly opatření k nápravě zjištěných nedostatků a informovaly orgán příslušný k udělení absolutoria o opatřeních přijatých k jejich odstranění;</w:t>
      </w:r>
    </w:p>
    <w:p w14:paraId="2DA2C520" w14:textId="77777777" w:rsidR="00872DB8" w:rsidRPr="00E51DFE" w:rsidRDefault="00872DB8" w:rsidP="00872DB8">
      <w:pPr>
        <w:spacing w:after="240"/>
        <w:ind w:left="567" w:hanging="567"/>
      </w:pPr>
      <w:r w:rsidRPr="00E51DFE">
        <w:t>98.</w:t>
      </w:r>
      <w:r w:rsidRPr="00E51DFE">
        <w:tab/>
        <w:t xml:space="preserve">upozorňuje na to, že Účetní dvůr formuloval ve vztahu k danému roku devět připomínek, které měly dopad na platby; konstatuje, že v případě agentur ENISA, </w:t>
      </w:r>
      <w:proofErr w:type="spellStart"/>
      <w:r w:rsidRPr="00E51DFE">
        <w:t>eu</w:t>
      </w:r>
      <w:proofErr w:type="spellEnd"/>
      <w:r w:rsidRPr="00E51DFE">
        <w:t xml:space="preserve">-Lisa a ELA jsou zjištěné nesrovnalosti spolu s nesrovnalostmi zjištěnými v předchozích auditech, které v roce 2023 vedly k platbám (pouze v případě agentur </w:t>
      </w:r>
      <w:proofErr w:type="spellStart"/>
      <w:r w:rsidRPr="00E51DFE">
        <w:t>eu</w:t>
      </w:r>
      <w:proofErr w:type="spellEnd"/>
      <w:r w:rsidRPr="00E51DFE">
        <w:t>-Lisa a ELA), východiskem pro výrok s výhradou ze strany Účetního dvora a byly popsány v oddíle tohoto usnesení „Přehled výsledků auditu“;</w:t>
      </w:r>
    </w:p>
    <w:p w14:paraId="587125FB" w14:textId="77777777" w:rsidR="00872DB8" w:rsidRPr="00E51DFE" w:rsidRDefault="00872DB8" w:rsidP="00872DB8">
      <w:pPr>
        <w:spacing w:after="240"/>
        <w:ind w:left="567" w:hanging="567"/>
      </w:pPr>
      <w:r w:rsidRPr="00E51DFE">
        <w:t>99.</w:t>
      </w:r>
      <w:r w:rsidRPr="00E51DFE">
        <w:tab/>
        <w:t xml:space="preserve">konstatuje, že zbývající připomínky za uvedený rok, které se týkají plateb, se vztahují na </w:t>
      </w:r>
      <w:proofErr w:type="spellStart"/>
      <w:r w:rsidRPr="00E51DFE">
        <w:t>CdT</w:t>
      </w:r>
      <w:proofErr w:type="spellEnd"/>
      <w:r w:rsidRPr="00E51DFE">
        <w:t>, EIGE, EFCA, ERA a EU-OSHA s jednou připomínkou na každou agenturu, s výjimkou poslední agentury, která má dvě; bere na vědomí, že důvody pro připomínku i odpovědi agentur na připomínku Účetního dvora jsou strukturovány takto:</w:t>
      </w:r>
    </w:p>
    <w:p w14:paraId="07CAE15C" w14:textId="5569F348" w:rsidR="00872DB8" w:rsidRPr="00E51DFE" w:rsidRDefault="00F64AFA" w:rsidP="00872DB8">
      <w:pPr>
        <w:spacing w:after="240"/>
        <w:ind w:left="1134" w:hanging="567"/>
        <w:rPr>
          <w:rFonts w:eastAsia="Calibri"/>
        </w:rPr>
      </w:pPr>
      <w:r>
        <w:rPr>
          <w:rFonts w:eastAsia="Calibri"/>
        </w:rPr>
        <w:t>–</w:t>
      </w:r>
      <w:r w:rsidR="00872DB8" w:rsidRPr="00E51DFE">
        <w:rPr>
          <w:rFonts w:eastAsia="Calibri"/>
        </w:rPr>
        <w:tab/>
        <w:t xml:space="preserve">v případě střediska </w:t>
      </w:r>
      <w:proofErr w:type="spellStart"/>
      <w:r w:rsidR="00872DB8" w:rsidRPr="00E51DFE">
        <w:rPr>
          <w:rFonts w:eastAsia="Calibri"/>
        </w:rPr>
        <w:t>CdT</w:t>
      </w:r>
      <w:proofErr w:type="spellEnd"/>
      <w:r w:rsidR="00872DB8" w:rsidRPr="00E51DFE">
        <w:rPr>
          <w:rFonts w:eastAsia="Calibri"/>
        </w:rPr>
        <w:t xml:space="preserve"> se připomínka týká nesprávného použití přímého zadávacího řízení namísto výběrového řízení na základě odhadu budoucích nákladů, což v rámci těchto zakázek vedlo v roce 2023 k neoprávněným platbám v celkové výši 25 800 EUR; bere na vědomí odpověď </w:t>
      </w:r>
      <w:proofErr w:type="spellStart"/>
      <w:r w:rsidR="00872DB8" w:rsidRPr="00E51DFE">
        <w:rPr>
          <w:rFonts w:eastAsia="Calibri"/>
        </w:rPr>
        <w:t>CdT</w:t>
      </w:r>
      <w:proofErr w:type="spellEnd"/>
      <w:r w:rsidR="00872DB8" w:rsidRPr="00E51DFE">
        <w:rPr>
          <w:rFonts w:eastAsia="Calibri"/>
        </w:rPr>
        <w:t>, že na služby údržby přesahující 1 000 EUR uspořádá zjednodušená výběrová řízení,</w:t>
      </w:r>
    </w:p>
    <w:p w14:paraId="0D342B5D" w14:textId="0A1F0F7C" w:rsidR="00872DB8" w:rsidRPr="00E51DFE" w:rsidRDefault="00F64AFA" w:rsidP="00872DB8">
      <w:pPr>
        <w:spacing w:after="240"/>
        <w:ind w:left="1134" w:hanging="567"/>
        <w:rPr>
          <w:rFonts w:eastAsia="Calibri"/>
        </w:rPr>
      </w:pPr>
      <w:r>
        <w:rPr>
          <w:rFonts w:eastAsia="Calibri"/>
        </w:rPr>
        <w:t>–</w:t>
      </w:r>
      <w:r w:rsidR="00872DB8" w:rsidRPr="00E51DFE">
        <w:rPr>
          <w:rFonts w:eastAsia="Calibri"/>
        </w:rPr>
        <w:tab/>
        <w:t>v případě agentury ERA se připomínka týká podpisu jedné zvláštní smlouvy bez obnovení soutěže, jak vyžaduje rámcová smlouva, což v souvislosti s uvedenou zakázkou vedlo k platbám v celkové výši 254 400 EUR; bere na vědomí odpověď agentury ERA, že v roce 2024 začala u těchto služeb obnovovat soutěže sama;</w:t>
      </w:r>
    </w:p>
    <w:p w14:paraId="25705751" w14:textId="2D478279" w:rsidR="00872DB8" w:rsidRPr="00E51DFE" w:rsidRDefault="00F64AFA" w:rsidP="00872DB8">
      <w:pPr>
        <w:spacing w:after="240"/>
        <w:ind w:left="1134" w:hanging="567"/>
        <w:rPr>
          <w:rFonts w:eastAsia="Calibri"/>
        </w:rPr>
      </w:pPr>
      <w:r>
        <w:rPr>
          <w:rFonts w:eastAsia="Calibri"/>
        </w:rPr>
        <w:t>–</w:t>
      </w:r>
      <w:r w:rsidR="00872DB8" w:rsidRPr="00E51DFE">
        <w:rPr>
          <w:rFonts w:eastAsia="Calibri"/>
        </w:rPr>
        <w:tab/>
        <w:t xml:space="preserve">připomínka k institutu EIGE se týká nesprávného uplatňování kontrol ex ante, překročení stropu rámcové smlouvy a nesprávného uplatňování denních sazeb, což vedlo k neoprávněným platbám ve výši 76 500 EUR; bere na vědomí, že institut EIGE zajistí řádné provádění interinstitucionálních rámcových smluv, přičemž se </w:t>
      </w:r>
      <w:proofErr w:type="gramStart"/>
      <w:r w:rsidR="00872DB8" w:rsidRPr="00E51DFE">
        <w:rPr>
          <w:rFonts w:eastAsia="Calibri"/>
        </w:rPr>
        <w:t>zaměří</w:t>
      </w:r>
      <w:proofErr w:type="gramEnd"/>
      <w:r w:rsidR="00872DB8" w:rsidRPr="00E51DFE">
        <w:rPr>
          <w:rFonts w:eastAsia="Calibri"/>
        </w:rPr>
        <w:t xml:space="preserve"> na smlouvy týkající se lidských zdrojů;</w:t>
      </w:r>
    </w:p>
    <w:p w14:paraId="61D291AB" w14:textId="60CE52D2" w:rsidR="00872DB8" w:rsidRPr="00E51DFE" w:rsidRDefault="00F64AFA" w:rsidP="00872DB8">
      <w:pPr>
        <w:spacing w:after="240"/>
        <w:ind w:left="1134" w:hanging="567"/>
        <w:rPr>
          <w:rFonts w:eastAsia="Calibri"/>
        </w:rPr>
      </w:pPr>
      <w:r>
        <w:rPr>
          <w:rFonts w:eastAsia="Calibri"/>
        </w:rPr>
        <w:t>–</w:t>
      </w:r>
      <w:r w:rsidR="00872DB8" w:rsidRPr="00E51DFE">
        <w:rPr>
          <w:rFonts w:eastAsia="Calibri"/>
        </w:rPr>
        <w:tab/>
        <w:t>agentura EFCA použila v jednom případě interinstitucionální rámcovou smlouvu na poskytování cestovních služeb nad rámec jejího rozsahu, konkrétně na nákup služeb v oblasti pořádání akcí, a související platby ve výši 257 300 EUR v roce 2023 tak byly neoprávněné; bere na vědomí, že podle vyjádření agentury EFCA bylo třeba řešit neočekávané situace, které vedly k procedurálním zpožděním, a jako nápravné opatření vypracuje pohotovostní plán ke zmírnění dopadu neočekávaných událostí;</w:t>
      </w:r>
    </w:p>
    <w:p w14:paraId="662B45C1" w14:textId="12332067" w:rsidR="00872DB8" w:rsidRPr="00E51DFE" w:rsidRDefault="00F64AFA" w:rsidP="00872DB8">
      <w:pPr>
        <w:spacing w:after="240"/>
        <w:ind w:left="1134" w:hanging="567"/>
        <w:rPr>
          <w:rFonts w:eastAsia="Calibri"/>
        </w:rPr>
      </w:pPr>
      <w:r>
        <w:rPr>
          <w:rFonts w:eastAsia="Calibri"/>
        </w:rPr>
        <w:t>–</w:t>
      </w:r>
      <w:r w:rsidR="00872DB8" w:rsidRPr="00E51DFE">
        <w:rPr>
          <w:rFonts w:eastAsia="Calibri"/>
        </w:rPr>
        <w:tab/>
        <w:t>agentura EU-OSHA obdržela dvě připomínky:</w:t>
      </w:r>
    </w:p>
    <w:p w14:paraId="251FE7E3" w14:textId="77777777" w:rsidR="00872DB8" w:rsidRPr="00E51DFE" w:rsidRDefault="00872DB8" w:rsidP="00872DB8">
      <w:pPr>
        <w:spacing w:after="240"/>
        <w:ind w:left="1701" w:hanging="567"/>
        <w:rPr>
          <w:rFonts w:eastAsia="Calibri"/>
        </w:rPr>
      </w:pPr>
      <w:r w:rsidRPr="00E51DFE">
        <w:rPr>
          <w:rFonts w:eastAsia="Calibri"/>
        </w:rPr>
        <w:t>1)</w:t>
      </w:r>
      <w:r w:rsidRPr="00E51DFE">
        <w:rPr>
          <w:rFonts w:eastAsia="Calibri"/>
        </w:rPr>
        <w:tab/>
        <w:t>vyskytly se nesrovnalosti při zadávání tří jednacích řízení s jediným hospodářským subjektem, kdy nebylo uveřejněno oznámení o zahájení zadávacího řízení, ačkoli nebyly splněny podmínky stanovené v bodě 11.1 písm. c) přílohy I finančního nařízení; tato situace vedla v roce 2023 k neoprávněným platbám ve výši 67 100 EUR; bere na vědomí odpověď agentury EU-OSHA, že se nacházela v mimořádně naléhavé situaci a neměla žádné jiné reálné možnosti, jak zajistit kontinuitu činnosti,</w:t>
      </w:r>
    </w:p>
    <w:p w14:paraId="540FC315" w14:textId="77777777" w:rsidR="00872DB8" w:rsidRPr="00E51DFE" w:rsidRDefault="00872DB8" w:rsidP="00872DB8">
      <w:pPr>
        <w:spacing w:after="240"/>
        <w:ind w:left="1701" w:hanging="567"/>
        <w:rPr>
          <w:rFonts w:eastAsia="Calibri"/>
        </w:rPr>
      </w:pPr>
      <w:r w:rsidRPr="00E51DFE">
        <w:rPr>
          <w:rFonts w:eastAsia="Calibri"/>
        </w:rPr>
        <w:t>2)</w:t>
      </w:r>
      <w:r w:rsidRPr="00E51DFE">
        <w:rPr>
          <w:rFonts w:eastAsia="Calibri"/>
        </w:rPr>
        <w:tab/>
        <w:t xml:space="preserve">dvě přímo zadané zakázky vedly k neoprávněným platbám ve výši 29 700 EUR; konstatuje, že tyto zakázky měly být sloučeny do jediného výběrového řízení, neboť se týkaly téměř totožných služeb, čímž došlo k porušení článku 160 finančního nařízení, který zakazuje rozdělování zakázek; bere na vědomí, že agentura EU-OSHA </w:t>
      </w:r>
      <w:proofErr w:type="gramStart"/>
      <w:r w:rsidRPr="00E51DFE">
        <w:rPr>
          <w:rFonts w:eastAsia="Calibri"/>
        </w:rPr>
        <w:t>zlepší</w:t>
      </w:r>
      <w:proofErr w:type="gramEnd"/>
      <w:r w:rsidRPr="00E51DFE">
        <w:rPr>
          <w:rFonts w:eastAsia="Calibri"/>
        </w:rPr>
        <w:t xml:space="preserve"> dokumentování svých průzkumů trhu a zváží alternativní možnosti pro zadávání veřejných zakázek;</w:t>
      </w:r>
    </w:p>
    <w:p w14:paraId="7BBBF1BD" w14:textId="77777777" w:rsidR="00872DB8" w:rsidRPr="00E51DFE" w:rsidRDefault="00872DB8" w:rsidP="00872DB8">
      <w:pPr>
        <w:spacing w:after="240"/>
        <w:ind w:left="567" w:hanging="567"/>
      </w:pPr>
      <w:r w:rsidRPr="00E51DFE">
        <w:t>100.</w:t>
      </w:r>
      <w:r w:rsidRPr="00E51DFE">
        <w:tab/>
        <w:t>připojuje se k doporučení Účetního dvora, aby při provádění rámcových smluv dotyčné agentury pořizovaly zboží nebo služby, na něž se vztahuje příslušná rámcová smlouva, pouze na základě zvláštních smluv na zboží nebo služby; dále se ztotožňuje s doporučením Účetního dvora, aby dotyčné agentury rovněž dbaly na to, aby změny smluv probíhaly v souladu s příslušnými pravidly stanovenými finančním nařízením, aby ve zvláštních smlouvách byly stanoveny ceny, množství a dodací lhůty a aby se plnění smluv odpovídajícím způsobem kontrolovalo s ohledem na tyto klíčové prvky;</w:t>
      </w:r>
    </w:p>
    <w:p w14:paraId="7435DC30" w14:textId="77777777" w:rsidR="00872DB8" w:rsidRPr="00E51DFE" w:rsidRDefault="00872DB8" w:rsidP="00872DB8">
      <w:pPr>
        <w:spacing w:after="240"/>
        <w:ind w:left="567" w:hanging="567"/>
      </w:pPr>
      <w:r w:rsidRPr="00E51DFE">
        <w:t>101.</w:t>
      </w:r>
      <w:r w:rsidRPr="00E51DFE">
        <w:tab/>
        <w:t>připomíná, že ve všech postupech zadávání veřejných zakázek je třeba zajistit kvalitní zboží a služby a spravedlivou soutěž mezi uchazeči a pořídit z ekonomického hlediska nejvýhodnější zboží a služby, přičemž by měly být upřednostňovány evropské společnosti před společnostmi ze třetích zemí a dodržovány zásady transparentnosti, proporcionality, rovného zacházení a zákazu diskriminace;</w:t>
      </w:r>
    </w:p>
    <w:p w14:paraId="514D1971" w14:textId="77777777" w:rsidR="00872DB8" w:rsidRPr="00E51DFE" w:rsidRDefault="00872DB8" w:rsidP="00872DB8">
      <w:pPr>
        <w:spacing w:after="240"/>
        <w:ind w:left="567" w:hanging="567"/>
      </w:pPr>
      <w:r w:rsidRPr="00E51DFE">
        <w:t>102.</w:t>
      </w:r>
      <w:r w:rsidRPr="00E51DFE">
        <w:tab/>
        <w:t>trvá na tom, že je třeba posílit spolupráci v oblasti zadávání veřejných zakázek mezi sítí EUAN a Evropskou komisí;</w:t>
      </w:r>
    </w:p>
    <w:p w14:paraId="15D5F592" w14:textId="77777777" w:rsidR="00872DB8" w:rsidRPr="00E51DFE" w:rsidRDefault="00872DB8" w:rsidP="00872DB8">
      <w:pPr>
        <w:spacing w:after="240"/>
        <w:ind w:left="567" w:hanging="567"/>
      </w:pPr>
      <w:r w:rsidRPr="00E51DFE">
        <w:t>103.</w:t>
      </w:r>
      <w:r w:rsidRPr="00E51DFE">
        <w:tab/>
        <w:t>zdůrazňuje, že je důležité posílit digitalizaci v rámci agentur, a to jak pro vnitřní provoz a řízení, tak pro urychlení digitalizace postupů; zdůrazňuje, že je třeba zůstat proaktivní; podporuje v tomto ohledu další investice do digitálních nástrojů a inovací s cílem zlepšit procedurální úkoly a zabránit vzniku digitální propasti mezi agenturami;</w:t>
      </w:r>
    </w:p>
    <w:p w14:paraId="4C3A9CA2" w14:textId="77777777" w:rsidR="00872DB8" w:rsidRPr="00E51DFE" w:rsidRDefault="00872DB8" w:rsidP="00872DB8">
      <w:pPr>
        <w:spacing w:after="240"/>
        <w:ind w:left="567" w:hanging="567"/>
        <w:rPr>
          <w:b/>
          <w:i/>
        </w:rPr>
      </w:pPr>
      <w:r w:rsidRPr="00E51DFE">
        <w:rPr>
          <w:b/>
          <w:i/>
        </w:rPr>
        <w:t xml:space="preserve">Personální politika, genderová rovnost, </w:t>
      </w:r>
      <w:proofErr w:type="spellStart"/>
      <w:r w:rsidRPr="00E51DFE">
        <w:rPr>
          <w:b/>
          <w:i/>
        </w:rPr>
        <w:t>inkluzivita</w:t>
      </w:r>
      <w:proofErr w:type="spellEnd"/>
      <w:r w:rsidRPr="00E51DFE">
        <w:rPr>
          <w:b/>
          <w:i/>
        </w:rPr>
        <w:t>, střet zájmů a předcházení podvodům</w:t>
      </w:r>
    </w:p>
    <w:p w14:paraId="7F97CE56" w14:textId="77777777" w:rsidR="00872DB8" w:rsidRPr="00E51DFE" w:rsidRDefault="00872DB8" w:rsidP="00872DB8">
      <w:pPr>
        <w:spacing w:after="240"/>
        <w:ind w:left="567" w:hanging="567"/>
      </w:pPr>
      <w:r w:rsidRPr="00E51DFE">
        <w:t>104.</w:t>
      </w:r>
      <w:r w:rsidRPr="00E51DFE">
        <w:tab/>
        <w:t>konstatuje, že 33 decentralizovaných agentur v roce 2023 uvedlo, že zaměstnávají celkem 10 580 osob (oproti 10 146 osobám v roce 2022), což zahrnuje úředníky, dočasné zaměstnance, smluvní zaměstnance a vyslané národní odborníky, a to v porovnání s rokem 2022 představuje nárůst o 4,27 %;</w:t>
      </w:r>
    </w:p>
    <w:p w14:paraId="7DD3B120" w14:textId="77777777" w:rsidR="00872DB8" w:rsidRPr="00E51DFE" w:rsidRDefault="00872DB8" w:rsidP="00872DB8">
      <w:pPr>
        <w:spacing w:after="240"/>
        <w:ind w:left="567" w:hanging="567"/>
      </w:pPr>
      <w:r w:rsidRPr="00E51DFE">
        <w:t>105.</w:t>
      </w:r>
      <w:r w:rsidRPr="00E51DFE">
        <w:tab/>
        <w:t>konstatuje, že v šesti agenturách byly zaznamenány případy vyhoření (celkem 25), konkrétně v agentuře EASA (pět případů), EEA (čtyři případy), EFCA (jeden případ), úřadu EFSA (dva případy), agentuře EMA (deset případů) a v Europolu (tři případy); konstatuje však, že kvůli ochraně údajů ne všechny agentury, což se týká mimo jiné agentur ECDC, ECHA, EMSA, ENISA, ERA, FRA a </w:t>
      </w:r>
      <w:proofErr w:type="spellStart"/>
      <w:r w:rsidRPr="00E51DFE">
        <w:t>Frontex</w:t>
      </w:r>
      <w:proofErr w:type="spellEnd"/>
      <w:r w:rsidRPr="00E51DFE">
        <w:t xml:space="preserve">, údaje týkající se případů vyhoření shromažďují; vyjadřuje znepokojení nad tím, že tyto lékařské údaje nejsou shromažďovány, neboť jsou důležité pro sledování duševní pohody zaměstnanců agentur; naléhavě agentury vyzývá, aby k řešení rostoucího počtu případů vyhoření mezi zaměstnanci přijaly okamžitá opatření; konstatuje, že v roce 2022 v 19 agenturách řada zaměstnanců pracovala přesčas (v roce 2021 to bylo ve 13 agenturách); zejména si všímá toho, že vysoký počet zaměstnanců pracoval přesčas v úřadu EFSA (81 % zaměstnanců) a v nadaci </w:t>
      </w:r>
      <w:proofErr w:type="spellStart"/>
      <w:r w:rsidRPr="00E51DFE">
        <w:t>Eurofound</w:t>
      </w:r>
      <w:proofErr w:type="spellEnd"/>
      <w:r w:rsidRPr="00E51DFE">
        <w:t xml:space="preserve"> (97 % zaměstnanců); připomíná v této souvislosti, že je důležité vypracovat dlouhodobou politiku v oblasti lidských zdrojů, včetně struktur na podporu duševního zdraví, která zajistí komplexní přístup k rovnováze mezi pracovním a soukromým životem, včetně ustanovení o práci na dálku a kariérním rozvoji; dále zdůrazňuje, že duševní zdraví a duševní pohodu zaměstnanců je důležité chránit;</w:t>
      </w:r>
    </w:p>
    <w:p w14:paraId="3D3F0A71" w14:textId="77777777" w:rsidR="00872DB8" w:rsidRPr="00E51DFE" w:rsidRDefault="00872DB8" w:rsidP="00872DB8">
      <w:pPr>
        <w:spacing w:after="240"/>
        <w:ind w:left="567" w:hanging="567"/>
      </w:pPr>
      <w:r w:rsidRPr="00E51DFE">
        <w:t>106.</w:t>
      </w:r>
      <w:r w:rsidRPr="00E51DFE">
        <w:tab/>
        <w:t>bere na vědomí, že dne 4. prosince 2024 se schůze Výboru pro rozpočtovou kontrolu zúčastnil ředitel institutu EIT, který zde vystupoval jménem sítě agentur EU, a při té příležitosti vyjádřil souhlas s tím, že provede průzkum týkající se typů smluv uzavíraných s pracovníky úklidových služeb, kteří působí v decentralizovaných agenturách; vyzývá síť agentur EU, aby informovala orgán příslušný k udělení absolutoria o typech pracovních smluv pracovníků úklidových služeb v decentralizovaných agenturách, včetně podílu dlouhodobých a krátkodobých smluv;</w:t>
      </w:r>
    </w:p>
    <w:p w14:paraId="36806798" w14:textId="77777777" w:rsidR="00872DB8" w:rsidRPr="00E51DFE" w:rsidRDefault="00872DB8" w:rsidP="00872DB8">
      <w:pPr>
        <w:spacing w:after="240"/>
        <w:ind w:left="567" w:hanging="567"/>
      </w:pPr>
      <w:r w:rsidRPr="00E51DFE">
        <w:t>107.</w:t>
      </w:r>
      <w:r w:rsidRPr="00E51DFE">
        <w:tab/>
        <w:t xml:space="preserve">podporuje soustavné úsilí agentury </w:t>
      </w:r>
      <w:proofErr w:type="spellStart"/>
      <w:r w:rsidRPr="00E51DFE">
        <w:t>Frontex</w:t>
      </w:r>
      <w:proofErr w:type="spellEnd"/>
      <w:r w:rsidRPr="00E51DFE">
        <w:t xml:space="preserve"> o posílení činnosti úředníka pro otázky základních práv a bere na vědomí, že v roce 2023 nastoupilo do agentury 46 osob pověřených sledováním základních práv; zdůrazňuje, že je důležité, aby byly všechny tyto osoby nabírány v platové třídě AD, aby bylo možné dále zvyšovat jejich schopnosti a nezávislost; bere na vědomí, že v reakci na stanoviska úředníka pro otázky základních práv podnikla agentura </w:t>
      </w:r>
      <w:proofErr w:type="spellStart"/>
      <w:r w:rsidRPr="00E51DFE">
        <w:t>Frontex</w:t>
      </w:r>
      <w:proofErr w:type="spellEnd"/>
      <w:r w:rsidRPr="00E51DFE">
        <w:t xml:space="preserve"> několik významných kroků, zejména v otázkách, jako je začleňování hlediska rovnosti žen a mužů a obchodování s lidmi;</w:t>
      </w:r>
    </w:p>
    <w:p w14:paraId="77130430" w14:textId="77777777" w:rsidR="00872DB8" w:rsidRPr="00E51DFE" w:rsidRDefault="00872DB8" w:rsidP="00872DB8">
      <w:pPr>
        <w:spacing w:after="240"/>
        <w:ind w:left="567" w:hanging="567"/>
      </w:pPr>
      <w:r w:rsidRPr="00E51DFE">
        <w:t>108.</w:t>
      </w:r>
      <w:r w:rsidRPr="00E51DFE">
        <w:tab/>
        <w:t>konstatuje, že v 18 z 33 agentur (</w:t>
      </w:r>
      <w:proofErr w:type="spellStart"/>
      <w:r w:rsidRPr="00E51DFE">
        <w:t>Cedefop</w:t>
      </w:r>
      <w:proofErr w:type="spellEnd"/>
      <w:r w:rsidRPr="00E51DFE">
        <w:t xml:space="preserve">, CEPOL, EBA, EFCA, EIGE, EIOPA, EIT, ELA, EUDA, ETF, EUAA, </w:t>
      </w:r>
      <w:proofErr w:type="spellStart"/>
      <w:r w:rsidRPr="00E51DFE">
        <w:t>eu</w:t>
      </w:r>
      <w:proofErr w:type="spellEnd"/>
      <w:r w:rsidRPr="00E51DFE">
        <w:t xml:space="preserve">-Lisa, </w:t>
      </w:r>
      <w:proofErr w:type="spellStart"/>
      <w:r w:rsidRPr="00E51DFE">
        <w:t>Eurofound</w:t>
      </w:r>
      <w:proofErr w:type="spellEnd"/>
      <w:r w:rsidRPr="00E51DFE">
        <w:t xml:space="preserve">, </w:t>
      </w:r>
      <w:proofErr w:type="spellStart"/>
      <w:r w:rsidRPr="00E51DFE">
        <w:t>Eurojust</w:t>
      </w:r>
      <w:proofErr w:type="spellEnd"/>
      <w:r w:rsidRPr="00E51DFE">
        <w:t xml:space="preserve">, Europol, EUSPA) činila míra fluktuace zaměstnanců v roce 2023 více než 5 % a že tři z nich překročily 10 % míru (konkrétně Úřad BEREC, </w:t>
      </w:r>
      <w:proofErr w:type="spellStart"/>
      <w:r w:rsidRPr="00E51DFE">
        <w:t>CdT</w:t>
      </w:r>
      <w:proofErr w:type="spellEnd"/>
      <w:r w:rsidRPr="00E51DFE">
        <w:t xml:space="preserve"> a </w:t>
      </w:r>
      <w:proofErr w:type="spellStart"/>
      <w:r w:rsidRPr="00E51DFE">
        <w:t>Eurojust</w:t>
      </w:r>
      <w:proofErr w:type="spellEnd"/>
      <w:r w:rsidRPr="00E51DFE">
        <w:t>); oceňuje agentury, které přijaly cílená opatření k zabránění vysoké míře fluktuace zaměstnanců; zdůrazňuje, že je třeba, aby všechny agentury zavedly opatření ke zlepšení řízení a udržení talentů; očekává, že síť EUAN bude sloužit jako fórum k výměně osvědčených postupů mezi zúčastněnými agenturami a umožní jim pokud možno spojit v tomto ohledu své síly; vyzývá Komisi, aby aktivně podporovala agentury při náboru pracovníků, kteří by měli potřebné odborné znalosti pro plnění jejich mandátů, a aby podporovala užší spolupráci s univerzitami a dalšími příslušnými institucemi;</w:t>
      </w:r>
    </w:p>
    <w:p w14:paraId="2F949AB4" w14:textId="77777777" w:rsidR="00872DB8" w:rsidRPr="00E51DFE" w:rsidRDefault="00872DB8" w:rsidP="00872DB8">
      <w:pPr>
        <w:spacing w:after="240"/>
        <w:ind w:left="567" w:hanging="567"/>
      </w:pPr>
      <w:r w:rsidRPr="00E51DFE">
        <w:t>109.</w:t>
      </w:r>
      <w:r w:rsidRPr="00E51DFE">
        <w:tab/>
        <w:t xml:space="preserve">zdůrazňuje, že pro několik agentur je stále obtížné dosáhnout zeměpisné vyváženosti, neboť značný podíl z celkového počtu jejich zaměstnanců </w:t>
      </w:r>
      <w:proofErr w:type="gramStart"/>
      <w:r w:rsidRPr="00E51DFE">
        <w:t>tvoří</w:t>
      </w:r>
      <w:proofErr w:type="gramEnd"/>
      <w:r w:rsidRPr="00E51DFE">
        <w:t xml:space="preserve"> státní příslušníci členského státu, v němž se nacházejí;</w:t>
      </w:r>
    </w:p>
    <w:p w14:paraId="72FFA934" w14:textId="77777777" w:rsidR="00872DB8" w:rsidRPr="00E51DFE" w:rsidRDefault="00872DB8" w:rsidP="00872DB8">
      <w:pPr>
        <w:spacing w:after="240"/>
        <w:ind w:left="567" w:hanging="567"/>
      </w:pPr>
      <w:r w:rsidRPr="00E51DFE">
        <w:t>110.</w:t>
      </w:r>
      <w:r w:rsidRPr="00E51DFE">
        <w:tab/>
        <w:t>uznává, že přilákání talentů a zajištění zeměpisně rozmanité pracovní síly souvisí s individuálními specifiky agentur (např. poloha, infrastruktura, školství, oblast politiky), jakož i s vnějšími omezujícími faktory (např. konkurence se soukromým sektorem, nejistota pracovních míst v důsledku krátkodobých smluv, nízké opravné koeficienty); s uznáním bere na vědomí – na základě zprávy sítě EUAN o opatřeních přijatých v návaznosti na udělení absolutoria za rok 2021 – opatření přijatá sítí EUAN s cílem zatraktivnit pracovní místa v agenturách a zlepšit vyváženost zastoupení jejich zaměstnanců z hlediska věku, pohlaví a zeměpisného původu;</w:t>
      </w:r>
    </w:p>
    <w:p w14:paraId="550B2A79" w14:textId="77777777" w:rsidR="00872DB8" w:rsidRPr="00E51DFE" w:rsidRDefault="00872DB8" w:rsidP="00872DB8">
      <w:pPr>
        <w:spacing w:after="240"/>
        <w:ind w:left="567" w:hanging="567"/>
      </w:pPr>
      <w:r w:rsidRPr="00E51DFE">
        <w:t>111.</w:t>
      </w:r>
      <w:r w:rsidRPr="00E51DFE">
        <w:tab/>
        <w:t>připomíná, že pro agentury se sídlem v zemích s relativně nízkým opravným koeficientem je setrvale obtížné přilákat kvalifikované zaměstnance zeměpisně rozmanitého původu; vyzývá Komisi, aby společně s příslušným členským státem tuto záležitost analyzovala a zvážila využití ekonomických pobídek, které by pomohly tento problém zmírnit; dále připomíná, že díky opravnému koeficientu se do praxe promítá obecná zásada rovného zacházení;</w:t>
      </w:r>
    </w:p>
    <w:p w14:paraId="28694417" w14:textId="77777777" w:rsidR="00872DB8" w:rsidRPr="00E51DFE" w:rsidRDefault="00872DB8" w:rsidP="00872DB8">
      <w:pPr>
        <w:spacing w:after="240"/>
        <w:ind w:left="567" w:hanging="567"/>
      </w:pPr>
      <w:r w:rsidRPr="00E51DFE">
        <w:t>112.</w:t>
      </w:r>
      <w:r w:rsidRPr="00E51DFE">
        <w:tab/>
        <w:t>podtrhuje skutečnost, že některé agentury využívají ve velké míře externí konzultanty, zejména v oblasti IKT, ale i v oblastech své hlavní činnosti, což představuje významnou část jejich provozního rozpočtu (např. ACER, ETF, ELA atd.); vyzývá všechny agentury, aby před externími konzultanty a smluvními zaměstnanci dávaly přednost stálým zaměstnancům, a zaručily tak kvalitní pracovní podmínky a zabránily ztrátě znalostí a zkušeností; dále vyzývá agentury, aby zabránily nejistým pracovním místům vyplývajícím z krátkodobých smluv a aby upřednostňovaly zaměstnávání na dlouhodobé smlouvy; požaduje v této souvislosti, aby agentury disponovaly flexibilitou, a mohly tak transformovat místa vyslaných národních odborníků na místa dočasných zaměstnanců, čímž se zajistí zachování odborných znalostí, provozní funkčnost a kontinuita činnosti; dále trvá na tom, že pokud je požadované know-how k dispozici interně, je třeba zabránit zadávání úkolů externím poradenským společnostem;</w:t>
      </w:r>
    </w:p>
    <w:p w14:paraId="696601EA" w14:textId="77777777" w:rsidR="00872DB8" w:rsidRPr="00E51DFE" w:rsidRDefault="00872DB8" w:rsidP="00872DB8">
      <w:pPr>
        <w:spacing w:after="240"/>
        <w:ind w:left="567" w:hanging="567"/>
      </w:pPr>
      <w:r w:rsidRPr="00E51DFE">
        <w:t>113.</w:t>
      </w:r>
      <w:r w:rsidRPr="00E51DFE">
        <w:tab/>
        <w:t>uznává pokrok, jehož agentury dosáhly na cestě ke genderové vyváženosti mezi zaměstnanci: vyzývá k intenzivnějšímu úsilí o zajištění této vyváženosti na úrovni vrcholného vedení a o systematické začleňování hlediska rovnosti žen a mužů do všech politik, postupů a činností agentur;</w:t>
      </w:r>
    </w:p>
    <w:p w14:paraId="09646CDD" w14:textId="77777777" w:rsidR="00872DB8" w:rsidRPr="00E51DFE" w:rsidRDefault="00872DB8" w:rsidP="00872DB8">
      <w:pPr>
        <w:spacing w:after="240"/>
        <w:ind w:left="567" w:hanging="567"/>
      </w:pPr>
      <w:r w:rsidRPr="00E51DFE">
        <w:t>114.</w:t>
      </w:r>
      <w:r w:rsidRPr="00E51DFE">
        <w:tab/>
        <w:t>vyzývá agentury, aby stanovily jasné cíle a harmonogramy pro dosažení vyváženého zastoupení žen a mužů a zeměpisné rozmanitosti ve vrcholném vedení a v rozhodovacích orgánech a aby systematicky podávaly zprávy o pokroku v této oblasti;</w:t>
      </w:r>
    </w:p>
    <w:p w14:paraId="6CB1219D" w14:textId="77777777" w:rsidR="00872DB8" w:rsidRPr="00E51DFE" w:rsidRDefault="00872DB8" w:rsidP="00872DB8">
      <w:pPr>
        <w:spacing w:after="240"/>
        <w:ind w:left="567" w:hanging="567"/>
      </w:pPr>
      <w:r w:rsidRPr="00E51DFE">
        <w:t>115.</w:t>
      </w:r>
      <w:r w:rsidRPr="00E51DFE">
        <w:tab/>
        <w:t>bere na vědomí skutečnost, že genderová vyváženost na vyšších a středních úrovních vedení </w:t>
      </w:r>
      <w:r w:rsidRPr="00E51DFE">
        <w:rPr>
          <w:vertAlign w:val="superscript"/>
        </w:rPr>
        <w:footnoteReference w:id="427"/>
      </w:r>
      <w:r w:rsidRPr="00E51DFE">
        <w:t xml:space="preserve"> a ve správních radách </w:t>
      </w:r>
      <w:r w:rsidRPr="00E51DFE">
        <w:rPr>
          <w:vertAlign w:val="superscript"/>
        </w:rPr>
        <w:footnoteReference w:id="428"/>
      </w:r>
      <w:r w:rsidRPr="00E51DFE">
        <w:t xml:space="preserve"> se v roce 2023 ve srovnání s rokem 2022 zlepšila; bere na vědomí, že v celkovém měřítku se genderová vyváženost personálu </w:t>
      </w:r>
      <w:r w:rsidRPr="00E51DFE">
        <w:rPr>
          <w:vertAlign w:val="superscript"/>
        </w:rPr>
        <w:footnoteReference w:id="429"/>
      </w:r>
      <w:r w:rsidRPr="00E51DFE">
        <w:t xml:space="preserve"> nezměnila; vybízí agentury ACER, BEREC, </w:t>
      </w:r>
      <w:proofErr w:type="spellStart"/>
      <w:r w:rsidRPr="00E51DFE">
        <w:t>Cedefop</w:t>
      </w:r>
      <w:proofErr w:type="spellEnd"/>
      <w:r w:rsidRPr="00E51DFE">
        <w:t xml:space="preserve">, ECDC, ECHA, EFSA, EIOPA, EMCDDA, EMSA, ENISA, ERA, </w:t>
      </w:r>
      <w:proofErr w:type="spellStart"/>
      <w:r w:rsidRPr="00E51DFE">
        <w:t>eu</w:t>
      </w:r>
      <w:proofErr w:type="spellEnd"/>
      <w:r w:rsidRPr="00E51DFE">
        <w:t>-Lisa, ELA, Europol, EUAA, EUSPA a </w:t>
      </w:r>
      <w:proofErr w:type="spellStart"/>
      <w:r w:rsidRPr="00E51DFE">
        <w:t>Frontex</w:t>
      </w:r>
      <w:proofErr w:type="spellEnd"/>
      <w:r w:rsidRPr="00E51DFE">
        <w:t>, aby podporovaly ženy v tom, aby se ucházely o vedoucí pozice; znovu vyzývá Komisi a členské státy, aby při jmenování a obsazování funkcí členů vedení nebo správních rad dodržovaly genderovou vyváženost; připomíná snahu agentur splnit cíl Komise, jímž je 50 % genderová vyváženost na všech úrovních vedení na konci roku 2025; vyzývá agentury, aby v budoucnu tyto aspekty zohledňovaly při každém náboru zaměstnanců a dále zlepšovaly genderovou vyváženost na úrovni vrcholného vedení;</w:t>
      </w:r>
    </w:p>
    <w:p w14:paraId="6263813D" w14:textId="77777777" w:rsidR="00872DB8" w:rsidRPr="00E51DFE" w:rsidRDefault="00872DB8" w:rsidP="00872DB8">
      <w:pPr>
        <w:spacing w:after="240"/>
        <w:ind w:left="567" w:hanging="567"/>
      </w:pPr>
      <w:r w:rsidRPr="00E51DFE">
        <w:t>116.</w:t>
      </w:r>
      <w:r w:rsidRPr="00E51DFE">
        <w:tab/>
        <w:t>naléhavě vyzývá decentralizované agentury, aby posílily politiky rovnosti žen a mužů na všech úrovních a zajistily rovné příležitosti při náboru a kariérním postupu a v rámci pracovních podmínek všech zaměstnanců; vybízí všechny agentury, aby přijaly a uplatňovaly důkladné strategie v oblasti rozmanitosti a začleňování, které podporují spravedlnost a vyváženost a zajišťují rovné příležitosti a zastoupení žen a menšin na vedoucích pozicích; vyzývá agentury, aby vypracovaly komplexní strategie pro hodnocení pokroku a pro zjišťování oblastí, v nichž je nutné zlepšení; připomíná, že Parlament posoudí dodržování těchto zásad v rámci každoročního postupu udělování absolutoria;</w:t>
      </w:r>
    </w:p>
    <w:p w14:paraId="1E61EF15" w14:textId="77777777" w:rsidR="00872DB8" w:rsidRPr="00E51DFE" w:rsidRDefault="00872DB8" w:rsidP="00872DB8">
      <w:pPr>
        <w:spacing w:after="240"/>
        <w:ind w:left="567" w:hanging="567"/>
      </w:pPr>
      <w:r w:rsidRPr="00E51DFE">
        <w:t>117.</w:t>
      </w:r>
      <w:r w:rsidRPr="00E51DFE">
        <w:tab/>
        <w:t>bere na vědomí, že všechny agentury zavedly opatření, jejichž cílem je zlepšení pracovních podmínek zaměstnanců a rovnováhy mezi pracovním a soukromým životem; bere na vědomí, že počet a dopad těchto opatření se v jednotlivých agenturách významně liší a patrně neexistuje žádný společný referenční rámec pro všechny agentury; vyzývá síť EUAN, aby v tomto ohledu koordinovala úsilí o vytvoření společného referenčního rámce; s uspokojením konstatuje, že velká většina agentur zavedla opatření pro začleňování osob se zdravotním postižením; vybízí agentury, aby se držely osvědčených postupů v oblasti dobrých pracovních podmínek zaměstnanců a začleňování a integrace osob se zdravotním postižením a aby i nadále řešily otázku rovnováhy mezi pracovním a soukromým životem, jakož i celoživotního učení a profesního rozvoje; zdůrazňuje, že je důležité zintenzivnit úsilí o dosažení genderové a zeměpisné vyváženosti mezi zaměstnanci orgánů a na pozicích ve vrcholném vedení; zdůrazňuje užitečnou úlohu, kterou mohou v otázkách řízení zaměstnanců hrát výměny osvědčených postupů; vyzývá agentury, aby svým zaměstnancům poskytovaly relevantní a pravidelná školení;</w:t>
      </w:r>
    </w:p>
    <w:p w14:paraId="2E1DBE04" w14:textId="77777777" w:rsidR="00872DB8" w:rsidRPr="00E51DFE" w:rsidRDefault="00872DB8" w:rsidP="00872DB8">
      <w:pPr>
        <w:spacing w:after="240"/>
        <w:ind w:left="567" w:hanging="567"/>
      </w:pPr>
      <w:r w:rsidRPr="00E51DFE">
        <w:t>118.</w:t>
      </w:r>
      <w:r w:rsidRPr="00E51DFE">
        <w:tab/>
        <w:t xml:space="preserve">vybízí všechny agentury, aby uplatňovaly politiku ochrany osobní důstojnosti a předcházení psychickému a sexuálnímu obtěžování a aby se zapojily do </w:t>
      </w:r>
      <w:proofErr w:type="spellStart"/>
      <w:r w:rsidRPr="00E51DFE">
        <w:t>meziagenturní</w:t>
      </w:r>
      <w:proofErr w:type="spellEnd"/>
      <w:r w:rsidRPr="00E51DFE">
        <w:t xml:space="preserve"> pracovní skupiny důvěrných poradců; vyzývá v této souvislosti k zavedení preventivního školení proti obtěžování, které by zaměstnanci agentur EU museli povinně absolvovat; se znepokojením konstatuje, že podle odpovědí na standardní dotazník agentura ENISA sdělila orgánu příslušnému k udělení absolutoria, že v roce 2023 byla zahájena dvě správní šetření týkající se údajného obtěžování; dále informovala, že jedno z nich bylo uzavřeno v roce 2024 po obdržení závěrečné zprávy úřadu OLAF; očekává, že agentura bude pečlivě sledovat neuzavřené případy a zavede důrazná opatření, která v budoucnu zabrání jakýmkoli podobným případům; vyzývá agentury, aby prostřednictvím zpráv o následných opatřeních pravidelně informovaly o pokroku v této oblasti;</w:t>
      </w:r>
    </w:p>
    <w:p w14:paraId="460F5A92" w14:textId="77777777" w:rsidR="00872DB8" w:rsidRPr="00E51DFE" w:rsidRDefault="00872DB8" w:rsidP="00872DB8">
      <w:pPr>
        <w:spacing w:after="240"/>
        <w:ind w:left="567" w:hanging="567"/>
      </w:pPr>
      <w:r w:rsidRPr="00E51DFE">
        <w:t>119.</w:t>
      </w:r>
      <w:r w:rsidRPr="00E51DFE">
        <w:tab/>
        <w:t>konstatuje, že pokud vznikne podezření na střet zájmů, může to pro agenturu představovat riziko poškození dobré pověsti, a že takový problém by se měl řešit, i když se ukáže, že šlo o nepodložené tvrzení;</w:t>
      </w:r>
    </w:p>
    <w:p w14:paraId="561278F1" w14:textId="77777777" w:rsidR="00872DB8" w:rsidRPr="00E51DFE" w:rsidRDefault="00872DB8" w:rsidP="00872DB8">
      <w:pPr>
        <w:spacing w:after="240"/>
        <w:ind w:left="567" w:hanging="567"/>
      </w:pPr>
      <w:r w:rsidRPr="00E51DFE">
        <w:t>120.</w:t>
      </w:r>
      <w:r w:rsidRPr="00E51DFE">
        <w:tab/>
        <w:t>naléhavě vyzývá všechny agentury, aby dále posilovaly prevenci střetů zájmů a jejich řešení, což obnáší i systematické podávání prohlášení o zájmech ze strany pracovníků vrcholného vedení, externích odborníků a členů správní rady, která musí být zveřejňována aktivním a přístupným způsobem;</w:t>
      </w:r>
    </w:p>
    <w:p w14:paraId="1DB69097" w14:textId="77777777" w:rsidR="00872DB8" w:rsidRPr="00E51DFE" w:rsidRDefault="00872DB8" w:rsidP="00872DB8">
      <w:pPr>
        <w:spacing w:after="240"/>
        <w:ind w:left="567" w:hanging="567"/>
      </w:pPr>
      <w:r w:rsidRPr="00E51DFE">
        <w:t>121.</w:t>
      </w:r>
      <w:r w:rsidRPr="00E51DFE">
        <w:tab/>
        <w:t>zdůrazňuje, že je důležité chránit nezávislost agentur EU před nepatřičným vlivem průmyslu, aby byla zachována důvěra veřejnosti v jejich rozhodování; vyjadřuje znepokojení nad nedostatky v právních předpisech a možnými střety zájmů v rámci některých agentur; upozorňuje na problémy spojené s úzkými vazbami na průmysl a zprávami o nepatřičném vlivu, zejména prostřednictvím efektu otáčivých dveří mezi veřejnými institucemi a soukromými společnostmi; zdůrazňuje potřebu větší transparentnosti, silnějších mechanismů dohledu a pevného odhodlání upřednostňovat veřejné zdraví a bezpečnost před finančními zájmy;</w:t>
      </w:r>
    </w:p>
    <w:p w14:paraId="7FD5BEED" w14:textId="77777777" w:rsidR="00872DB8" w:rsidRPr="00E51DFE" w:rsidRDefault="00872DB8" w:rsidP="00872DB8">
      <w:pPr>
        <w:spacing w:after="240"/>
        <w:ind w:left="567" w:hanging="567"/>
      </w:pPr>
      <w:r w:rsidRPr="00E51DFE">
        <w:t>122.</w:t>
      </w:r>
      <w:r w:rsidRPr="00E51DFE">
        <w:tab/>
        <w:t xml:space="preserve">konstatuje, že za rok 2023 Účetní dvůr neoznámil žádné závažné případy střetu zájmů s výjimkou agentur </w:t>
      </w:r>
      <w:proofErr w:type="spellStart"/>
      <w:r w:rsidRPr="00E51DFE">
        <w:t>Frontex</w:t>
      </w:r>
      <w:proofErr w:type="spellEnd"/>
      <w:r w:rsidRPr="00E51DFE">
        <w:t xml:space="preserve"> a EMCDDA;</w:t>
      </w:r>
    </w:p>
    <w:p w14:paraId="460A94A4" w14:textId="77777777" w:rsidR="00872DB8" w:rsidRPr="00E51DFE" w:rsidRDefault="00872DB8" w:rsidP="00872DB8">
      <w:pPr>
        <w:spacing w:after="240"/>
        <w:ind w:left="567" w:hanging="567"/>
      </w:pPr>
      <w:r w:rsidRPr="00E51DFE">
        <w:t>123.</w:t>
      </w:r>
      <w:r w:rsidRPr="00E51DFE">
        <w:tab/>
        <w:t>domnívá se, že většina agentur má v současné době zavedeny spolehlivé a komplexní postupy pro zvyšování povědomí a předcházení střetům zájmů, které zúčastněným stranám a veřejnosti poskytují požadovanou záruku nezávislosti jejich zaměstnanců;</w:t>
      </w:r>
    </w:p>
    <w:p w14:paraId="1EF52BE0" w14:textId="77777777" w:rsidR="00872DB8" w:rsidRPr="00E51DFE" w:rsidRDefault="00872DB8" w:rsidP="00872DB8">
      <w:pPr>
        <w:spacing w:after="240"/>
        <w:ind w:left="567" w:hanging="567"/>
      </w:pPr>
      <w:r w:rsidRPr="00E51DFE">
        <w:t>124.</w:t>
      </w:r>
      <w:r w:rsidRPr="00E51DFE">
        <w:tab/>
        <w:t xml:space="preserve">s potěšením bere na vědomí intenzivní spolupráci s agenturami v oblasti spravedlnosti a vnitřních věcí, zejména uzavření nového pracovního ujednání s Evropským úřadem pro boj proti podvodům (OLAF), otevření 15 nových případů, kdy </w:t>
      </w:r>
      <w:proofErr w:type="spellStart"/>
      <w:r w:rsidRPr="00E51DFE">
        <w:t>Eurojust</w:t>
      </w:r>
      <w:proofErr w:type="spellEnd"/>
      <w:r w:rsidRPr="00E51DFE">
        <w:t xml:space="preserve"> poskytl podporu Úřadu evropského veřejného žalobce (EPPO), a spolupráci na 42 případech s Agenturou Evropské unie pro spolupráci v oblasti prosazování práva (Europol); zdůrazňuje, že </w:t>
      </w:r>
      <w:proofErr w:type="spellStart"/>
      <w:r w:rsidRPr="00E51DFE">
        <w:t>Eurojust</w:t>
      </w:r>
      <w:proofErr w:type="spellEnd"/>
      <w:r w:rsidRPr="00E51DFE">
        <w:t xml:space="preserve"> a Europol zahájily pilotní projekt zaměřený na systematickou strukturální výměnu dat pro účely odhalování vazeb, který bude v první polovině roku 2024 přezkoumán; oceňuje akční plán </w:t>
      </w:r>
      <w:proofErr w:type="spellStart"/>
      <w:r w:rsidRPr="00E51DFE">
        <w:t>Eurojustu</w:t>
      </w:r>
      <w:proofErr w:type="spellEnd"/>
      <w:r w:rsidRPr="00E51DFE">
        <w:t xml:space="preserve"> a úřadu OLAF na období 2022–2023 pro boj proti trestným činům poškozujícím finanční zájmy Evropské unie;</w:t>
      </w:r>
    </w:p>
    <w:p w14:paraId="3EA0F11D" w14:textId="77777777" w:rsidR="00872DB8" w:rsidRPr="00E51DFE" w:rsidRDefault="00872DB8" w:rsidP="00872DB8">
      <w:pPr>
        <w:spacing w:after="240"/>
        <w:ind w:left="567" w:hanging="567"/>
        <w:rPr>
          <w:b/>
          <w:i/>
        </w:rPr>
      </w:pPr>
      <w:r w:rsidRPr="00E51DFE">
        <w:rPr>
          <w:b/>
          <w:i/>
        </w:rPr>
        <w:t>Vnitřní kontrola</w:t>
      </w:r>
    </w:p>
    <w:p w14:paraId="3F4EBCFA" w14:textId="77777777" w:rsidR="00872DB8" w:rsidRPr="00E51DFE" w:rsidRDefault="00872DB8" w:rsidP="00872DB8">
      <w:pPr>
        <w:spacing w:after="240"/>
        <w:ind w:left="567" w:hanging="567"/>
      </w:pPr>
      <w:r w:rsidRPr="00E51DFE">
        <w:t>125.</w:t>
      </w:r>
      <w:r w:rsidRPr="00E51DFE">
        <w:tab/>
        <w:t xml:space="preserve">se znepokojením bere na vědomí zjištění Účetního dvora v oblasti systémů řízení a kontroly týkající se devíti agentur, konkrétně agentur EMA, Europol, EUSPA, </w:t>
      </w:r>
      <w:proofErr w:type="spellStart"/>
      <w:r w:rsidRPr="00E51DFE">
        <w:t>Eurofound</w:t>
      </w:r>
      <w:proofErr w:type="spellEnd"/>
      <w:r w:rsidRPr="00E51DFE">
        <w:t xml:space="preserve">, EIT, </w:t>
      </w:r>
      <w:proofErr w:type="spellStart"/>
      <w:r w:rsidRPr="00E51DFE">
        <w:t>Eurojust</w:t>
      </w:r>
      <w:proofErr w:type="spellEnd"/>
      <w:r w:rsidRPr="00E51DFE">
        <w:t>, ACER, ENISA a EEA;</w:t>
      </w:r>
    </w:p>
    <w:p w14:paraId="4AB49BAF" w14:textId="77777777" w:rsidR="00872DB8" w:rsidRPr="00E51DFE" w:rsidRDefault="00872DB8" w:rsidP="00872DB8">
      <w:pPr>
        <w:spacing w:after="240"/>
        <w:ind w:left="567" w:hanging="567"/>
      </w:pPr>
      <w:r w:rsidRPr="00E51DFE">
        <w:t>126.</w:t>
      </w:r>
      <w:r w:rsidRPr="00E51DFE">
        <w:tab/>
        <w:t>zdůrazňuje, že v případě Europolu a EIT se dvě ze tří připomínek týkaly situací, kdy došlo k neoprávněným platbám;</w:t>
      </w:r>
    </w:p>
    <w:p w14:paraId="0DC572C0" w14:textId="77777777" w:rsidR="00872DB8" w:rsidRPr="00E51DFE" w:rsidRDefault="00872DB8" w:rsidP="00872DB8">
      <w:pPr>
        <w:spacing w:after="240"/>
        <w:ind w:left="567" w:hanging="567"/>
      </w:pPr>
      <w:r w:rsidRPr="00E51DFE">
        <w:t>127.</w:t>
      </w:r>
      <w:r w:rsidRPr="00E51DFE">
        <w:tab/>
        <w:t>připomíná, že Účetní dvůr v roce 2022 zjistil, že Europol prostřednictvím grantů veřejným orgánům neoprávněně proplácel DPH, neboť ji považoval za způsobilé náklady, a že v roce 2023 bylo na základě této koncepce proplaceno celkem 279 900 EUR; vítá rozhodnutí Europolu, že pro nové granty na provozní náklady již DPH nebude považována za způsobilý náklad;</w:t>
      </w:r>
    </w:p>
    <w:p w14:paraId="6ACFF1FC" w14:textId="77777777" w:rsidR="00872DB8" w:rsidRPr="00E51DFE" w:rsidRDefault="00872DB8" w:rsidP="00872DB8">
      <w:pPr>
        <w:spacing w:after="240"/>
        <w:ind w:left="567" w:hanging="567"/>
      </w:pPr>
      <w:r w:rsidRPr="00E51DFE">
        <w:t>128.</w:t>
      </w:r>
      <w:r w:rsidRPr="00E51DFE">
        <w:tab/>
        <w:t>konstatuje, že v případě EIT je jedna z připomínek východiskem pro výrok s výhradou o legalitě a správnosti plateb, na nichž se zakládá účetní závěrka, který je popsán v oddíle „Přehled výsledků auditu“ tohoto usnesení;</w:t>
      </w:r>
    </w:p>
    <w:p w14:paraId="46834044" w14:textId="77777777" w:rsidR="00872DB8" w:rsidRPr="00E51DFE" w:rsidRDefault="00872DB8" w:rsidP="00872DB8">
      <w:pPr>
        <w:spacing w:after="240"/>
        <w:ind w:left="567" w:hanging="567"/>
      </w:pPr>
      <w:r w:rsidRPr="00E51DFE">
        <w:t>129.</w:t>
      </w:r>
      <w:r w:rsidRPr="00E51DFE">
        <w:tab/>
        <w:t>je znepokojen tím, že druhá připomínka Účetního dvora týkající se EIT souvisí s přechodem agentury ke struktuře víceletých grantových dohod, avšak postupy a pokyny pro následné kontroly grantových plateb nebyly aktualizovány tak, aby zohlednily důsledky, které z tohoto přechodu vyplývají; vítá skutečnost, že EIT již pracuje na aktualizaci svého mechanismu následných kontrol, která má tyto důsledky řešit;</w:t>
      </w:r>
    </w:p>
    <w:p w14:paraId="344543F3" w14:textId="77777777" w:rsidR="00872DB8" w:rsidRPr="00E51DFE" w:rsidRDefault="00872DB8" w:rsidP="00872DB8">
      <w:pPr>
        <w:spacing w:after="240"/>
        <w:ind w:left="567" w:hanging="567"/>
      </w:pPr>
      <w:r w:rsidRPr="00E51DFE">
        <w:t>130.</w:t>
      </w:r>
      <w:r w:rsidRPr="00E51DFE">
        <w:tab/>
        <w:t>je si vědom toho, že během prvního čtvrtletí roku 2023 agentura EMA provedla migraci dat, ale nedodržela lhůty u 48 veterinárních kontrol, což vedlo ke značným fakturačním zpožděním, která nebyla vykázána v rejstříku výjimek, a k nesprávně zaúčtovaným příjmům; konstatuje, že to je v rozporu s finančními předpisy agentury EMA a poukazuje to na slabé místo v jejích řídicích a kontrolních systémech; bere na vědomí záměr agentury EMA zlepšit uvedený proces v </w:t>
      </w:r>
      <w:proofErr w:type="spellStart"/>
      <w:r w:rsidRPr="00E51DFE">
        <w:t>v</w:t>
      </w:r>
      <w:proofErr w:type="spellEnd"/>
      <w:r w:rsidRPr="00E51DFE">
        <w:t xml:space="preserve"> rámci provádění nového nařízení o poplatcích;</w:t>
      </w:r>
    </w:p>
    <w:p w14:paraId="604C938C" w14:textId="77777777" w:rsidR="00872DB8" w:rsidRPr="00E51DFE" w:rsidRDefault="00872DB8" w:rsidP="00872DB8">
      <w:pPr>
        <w:spacing w:after="240"/>
        <w:ind w:left="567" w:hanging="567"/>
      </w:pPr>
      <w:r w:rsidRPr="00E51DFE">
        <w:t>131.</w:t>
      </w:r>
      <w:r w:rsidRPr="00E51DFE">
        <w:tab/>
        <w:t xml:space="preserve">bere na vědomí, že nadace </w:t>
      </w:r>
      <w:proofErr w:type="spellStart"/>
      <w:r w:rsidRPr="00E51DFE">
        <w:t>Eurofound</w:t>
      </w:r>
      <w:proofErr w:type="spellEnd"/>
      <w:r w:rsidRPr="00E51DFE">
        <w:t xml:space="preserve"> provedla platbu ve výši 38 600 EUR, která souvisela se zakázkou na posouzení kvality údajů z průzkumů, aniž by shromáždila některé klíčové podklady týkající se smluvního plnění;</w:t>
      </w:r>
    </w:p>
    <w:p w14:paraId="74C54CA1" w14:textId="77777777" w:rsidR="00872DB8" w:rsidRPr="00E51DFE" w:rsidRDefault="00872DB8" w:rsidP="00872DB8">
      <w:pPr>
        <w:spacing w:after="240"/>
        <w:ind w:left="567" w:hanging="567"/>
      </w:pPr>
      <w:r w:rsidRPr="00E51DFE">
        <w:t>132.</w:t>
      </w:r>
      <w:r w:rsidRPr="00E51DFE">
        <w:tab/>
        <w:t xml:space="preserve">bere na vědomí, že v roce 2023 zaznamenala agentura </w:t>
      </w:r>
      <w:proofErr w:type="spellStart"/>
      <w:r w:rsidRPr="00E51DFE">
        <w:t>Eurojust</w:t>
      </w:r>
      <w:proofErr w:type="spellEnd"/>
      <w:r w:rsidRPr="00E51DFE">
        <w:t xml:space="preserve"> nárůst nestandardních transakcí klasifikovaných jako výjimky nebo případy nedodržení předpisů, přičemž oproti roku 2022 jejich počet vzrostl ze 43 na 71 a celková dotčená částka se zvýšila z 294 000 EUR na 566 400 EUR; bere na vědomí, že </w:t>
      </w:r>
      <w:proofErr w:type="spellStart"/>
      <w:r w:rsidRPr="00E51DFE">
        <w:t>Eurojust</w:t>
      </w:r>
      <w:proofErr w:type="spellEnd"/>
      <w:r w:rsidRPr="00E51DFE">
        <w:t xml:space="preserve"> v reakci na připomínku uvedl, že většina z celkového počtu případů nedodržení předpisů v roce 2023 byla zapříčiněna jediným případem grantu pro společný vyšetřovací tým (SVT); bere na vědomí, že podle agentury je nárůst způsoben především nedostatečnými lidskými zdroji a neefektivností vnitřních procesů, a vítá skutečnost, že </w:t>
      </w:r>
      <w:proofErr w:type="spellStart"/>
      <w:r w:rsidRPr="00E51DFE">
        <w:t>Eurojust</w:t>
      </w:r>
      <w:proofErr w:type="spellEnd"/>
      <w:r w:rsidRPr="00E51DFE">
        <w:t xml:space="preserve"> v roce 2024 řešil tento problém revizí stávajícího postupu pro registraci a hlášení případů nedodržení předpisů;</w:t>
      </w:r>
    </w:p>
    <w:p w14:paraId="5019B679" w14:textId="77777777" w:rsidR="00872DB8" w:rsidRPr="00E51DFE" w:rsidRDefault="00872DB8" w:rsidP="00872DB8">
      <w:pPr>
        <w:spacing w:after="240"/>
        <w:ind w:left="567" w:hanging="567"/>
      </w:pPr>
      <w:r w:rsidRPr="00E51DFE">
        <w:t>133.</w:t>
      </w:r>
      <w:r w:rsidRPr="00E51DFE">
        <w:tab/>
        <w:t>konstatuje, že výkonný ředitel agentury EUSPA potvrdil, že monitorovací činnost je zahajována v rané fázi ještě před podpisem grantové dohody, což vedlo k činnostem prováděným bez rozpočtového závazku; zdůrazňuje, že tato skutečnost nebyla uvedena v rejstříku výjimek ani ve výroční zprávě o činnosti, což je v rozporu s finančním nařízením; bere na vědomí, že agentura EUSPA tvrdí, že zaevidovat v rejstříku výjimek předčasné zahájení činností bez rozpočtového závazku nebylo nutné, ale uznává, že případ nebyl uveden ve výroční zprávě o činnosti, jak je požadováno;</w:t>
      </w:r>
    </w:p>
    <w:p w14:paraId="057A0EB6" w14:textId="77777777" w:rsidR="00872DB8" w:rsidRPr="00E51DFE" w:rsidRDefault="00872DB8" w:rsidP="00872DB8">
      <w:pPr>
        <w:spacing w:after="240"/>
        <w:ind w:left="567" w:hanging="567"/>
      </w:pPr>
      <w:r w:rsidRPr="00E51DFE">
        <w:t>134.</w:t>
      </w:r>
      <w:r w:rsidRPr="00E51DFE">
        <w:tab/>
        <w:t>bere na vědomí, že agentura ACER jmenovala novou účetní, která byla rovněž vedoucí týmu oddělení pro rozpočet, finance a zadávání veřejných zakázek, což je v rozporu s finančními předpisy agentury ACER, které vyžadují oddělení funkcí schvalujících osob a účetních; je si vědom toho, že k 1. květnu 2024 došlo k reorganizaci a vedoucí týmu pro rozpočet, finance a veřejné zakázky byla zproštěna povinností, které souvisí s pozicí vedoucí týmu;</w:t>
      </w:r>
    </w:p>
    <w:p w14:paraId="36930BEC" w14:textId="77777777" w:rsidR="00872DB8" w:rsidRPr="00E51DFE" w:rsidRDefault="00872DB8" w:rsidP="00872DB8">
      <w:pPr>
        <w:spacing w:after="240"/>
        <w:ind w:left="567" w:hanging="567"/>
      </w:pPr>
      <w:r w:rsidRPr="00E51DFE">
        <w:t>135.</w:t>
      </w:r>
      <w:r w:rsidRPr="00E51DFE">
        <w:tab/>
        <w:t>bere na vědomí, že v září 2023 umožnil výkonný ředitel agentury ENISA bez předchozího schválení 15 dočasným zaměstnancům převzít funkce v rámci postupu schvalování finančních transakcí, což je v rozporu s předpisy; je si vědom toho, že podle odpovědi agentury využívá agentura ENISA dočasné zaměstnance a vyslané národní odborníky z provozních důvodů a kvůli nedostatku zdrojů, a pokud bude nedostatek zdrojů přetrvávat, požádá o výjimku z finančních pravidel;</w:t>
      </w:r>
    </w:p>
    <w:p w14:paraId="423D323A" w14:textId="77777777" w:rsidR="00872DB8" w:rsidRPr="00E51DFE" w:rsidRDefault="00872DB8" w:rsidP="00872DB8">
      <w:pPr>
        <w:spacing w:after="240"/>
        <w:ind w:left="567" w:hanging="567"/>
      </w:pPr>
      <w:r w:rsidRPr="00E51DFE">
        <w:t>136.</w:t>
      </w:r>
      <w:r w:rsidRPr="00E51DFE">
        <w:tab/>
        <w:t>dále konstatuje, že účetní agentury ENISA byl jmenován také koordinátorem vnitřní kontroly, což je v rozporu s předpisy, které stanoví oddělení funkcí; konstatuje, že agentura ENISA tuto připomínku vzala na vědomí, ale že je toho názoru, že funkce koordinátora vnitřní kontroly a účetního se vzájemně nutně nevylučují vzhledem k tomu, že schvalující osoba nepřenesla na koordinátora vnitřní kontroly žádné pravomoci; vítá skutečnost, že agentura ENISA vyjasní funkce a povinnosti koordinátora vnitřní kontroly ve svých interních procesech; žádá, aby byl Evropský parlament pokroku v této věci informován do 30. června 2025;</w:t>
      </w:r>
    </w:p>
    <w:p w14:paraId="40BCBE93" w14:textId="77777777" w:rsidR="00872DB8" w:rsidRPr="00E51DFE" w:rsidRDefault="00872DB8" w:rsidP="00872DB8">
      <w:pPr>
        <w:spacing w:after="240"/>
        <w:ind w:left="567" w:hanging="567"/>
      </w:pPr>
      <w:r w:rsidRPr="00E51DFE">
        <w:t>137.</w:t>
      </w:r>
      <w:r w:rsidRPr="00E51DFE">
        <w:tab/>
        <w:t>konstatuje, že agentura EEA schválila platby grantů ve formě jednorázových částek, aniž by byla schopna prokázat, jak byly částky vypočteny, takže existuje riziko, že nejsou úměrné poskytovaným službám; bere na vědomí, že agentura EEA se domnívá, že písemné rozhodnutí o jednorázové platbě je plně v souladu s příslušnými ustanoveními finančního nařízení; zdůrazňuje, že agentura zajistí, aby byly jednorázové částky řádně stanoveny a zdokumentovány v případech, kdy náklady vykazuje společnost s jediným společníkem / samostatně výdělečně činný partner v evropských tematických střediscích (ETC) </w:t>
      </w:r>
      <w:r w:rsidRPr="00E51DFE">
        <w:rPr>
          <w:vertAlign w:val="superscript"/>
        </w:rPr>
        <w:footnoteReference w:id="430"/>
      </w:r>
      <w:r w:rsidRPr="00E51DFE">
        <w:t>;</w:t>
      </w:r>
    </w:p>
    <w:p w14:paraId="23E7EFA3" w14:textId="77777777" w:rsidR="00872DB8" w:rsidRPr="00E51DFE" w:rsidRDefault="00872DB8" w:rsidP="00872DB8">
      <w:pPr>
        <w:spacing w:after="240"/>
        <w:ind w:left="567" w:hanging="567"/>
      </w:pPr>
      <w:r w:rsidRPr="00E51DFE">
        <w:t>138.</w:t>
      </w:r>
      <w:r w:rsidRPr="00E51DFE">
        <w:tab/>
        <w:t>bere na vědomí, že agentura EEA zadala finanční kontroly ex ante externímu dodavateli a že Účetní dvůr zjistil nedostatky v kontrolních opatřeních; konstatuje, že agentura EEA ve své odpovědi připomínku Účetního dvora uznala a přislíbila, že aktualizuje postupy pro kontroly ex ante, aby uvedenému riziku zamezila;</w:t>
      </w:r>
    </w:p>
    <w:p w14:paraId="13E0F8B7" w14:textId="77777777" w:rsidR="00872DB8" w:rsidRPr="00E51DFE" w:rsidRDefault="00872DB8" w:rsidP="00872DB8">
      <w:pPr>
        <w:spacing w:after="240"/>
        <w:ind w:left="567" w:hanging="567"/>
      </w:pPr>
      <w:r w:rsidRPr="00E51DFE">
        <w:t>139.</w:t>
      </w:r>
      <w:r w:rsidRPr="00E51DFE">
        <w:tab/>
        <w:t>vyzývá agentury, aby urychleně a systematicky uplatnily připomínky Účetního dvora v praxi a přijaly konkrétní nápravná opatření k řešení nedostatků, které byly zjištěny v rámci vnitřní kontroly; naléhavě požaduje zavedení přísnějších opatření v oblasti odpovědnosti, která zajistí, aby veškeré přetrvávající nedostatky vedly k cíleným nápravným opatřením a důsledkům v případě opakovaného nedodržování předpisů;</w:t>
      </w:r>
    </w:p>
    <w:p w14:paraId="38B2364F" w14:textId="77777777" w:rsidR="00872DB8" w:rsidRPr="00E51DFE" w:rsidRDefault="00872DB8" w:rsidP="00872DB8">
      <w:pPr>
        <w:spacing w:after="240"/>
        <w:ind w:left="567" w:hanging="567"/>
        <w:rPr>
          <w:i/>
        </w:rPr>
      </w:pPr>
      <w:r w:rsidRPr="00E51DFE">
        <w:rPr>
          <w:b/>
          <w:i/>
        </w:rPr>
        <w:t>Kybernetická bezpečnost, etika a transparentnost</w:t>
      </w:r>
    </w:p>
    <w:p w14:paraId="27DA4686" w14:textId="77777777" w:rsidR="00872DB8" w:rsidRPr="00E51DFE" w:rsidRDefault="00872DB8" w:rsidP="00872DB8">
      <w:pPr>
        <w:spacing w:after="240"/>
        <w:ind w:left="567" w:hanging="567"/>
      </w:pPr>
      <w:r w:rsidRPr="00E51DFE">
        <w:t>140.</w:t>
      </w:r>
      <w:r w:rsidRPr="00E51DFE">
        <w:tab/>
        <w:t>upozorňuje na to, že je třeba přijmout veškerá nezbytná bezpečnostní opatření k zajištění integrity zpracovávaných informací na internetu, trvá na zvýšení odolnosti agentur vůči kybernetickým útokům nebo pokusům o infiltraci, zejména z Ruska nebo jakýchkoli jiných třetích zemí; zdůrazňuje, že pokud by agentury zadávaly veřejné zakázky v této oblasti společně, mohlo by to vést ke snížení finančních nákladů a ke zlepšení výsledků;</w:t>
      </w:r>
    </w:p>
    <w:p w14:paraId="7BD043A4" w14:textId="77777777" w:rsidR="00872DB8" w:rsidRPr="00E51DFE" w:rsidRDefault="00872DB8" w:rsidP="00872DB8">
      <w:pPr>
        <w:spacing w:after="240"/>
        <w:ind w:left="567" w:hanging="567"/>
      </w:pPr>
      <w:r w:rsidRPr="00E51DFE">
        <w:t>141.</w:t>
      </w:r>
      <w:r w:rsidRPr="00E51DFE">
        <w:tab/>
        <w:t xml:space="preserve">vítá spolupráci agentury FRA s Agenturou Evropské unie pro kybernetickou bezpečnost (ENISA), pokud jde o ochranu soukromí a údajů při vypracovávání a realizaci iniciativ v oblasti kybernetické bezpečnosti, a její spolupráci s agenturou </w:t>
      </w:r>
      <w:proofErr w:type="spellStart"/>
      <w:r w:rsidRPr="00E51DFE">
        <w:t>eu</w:t>
      </w:r>
      <w:proofErr w:type="spellEnd"/>
      <w:r w:rsidRPr="00E51DFE">
        <w:t>-Lisa, pokud jde o zabezpečení toho, aby při navrhování a používání systémů IT byly dodržovány normy týkající se základních práv;</w:t>
      </w:r>
    </w:p>
    <w:p w14:paraId="7FBFD6EC" w14:textId="77777777" w:rsidR="00872DB8" w:rsidRPr="00E51DFE" w:rsidRDefault="00872DB8" w:rsidP="00872DB8">
      <w:pPr>
        <w:spacing w:after="240"/>
        <w:ind w:left="567" w:hanging="567"/>
      </w:pPr>
      <w:r w:rsidRPr="00E51DFE">
        <w:t>142.</w:t>
      </w:r>
      <w:r w:rsidRPr="00E51DFE">
        <w:tab/>
        <w:t>bere na vědomí, že decentralizované agentury Evropské unie zavedly různé mechanismy zaměřené na řešení otázek spojených s transparentností a lobbistickými činnostmi v rámci svých příslušných oblastí politiky; zdůrazňuje však, že pokud jde o dosahování uspokojivé úrovně transparentnosti a efektivnosti nákladů v nabídkových řízeních se složitými pravidly a postupy zadávání veřejných zakázek, nejsou agentury podle Účetního dvora vždy úspěšné </w:t>
      </w:r>
      <w:r w:rsidRPr="00E51DFE">
        <w:rPr>
          <w:vertAlign w:val="superscript"/>
        </w:rPr>
        <w:footnoteReference w:id="431"/>
      </w:r>
      <w:r w:rsidRPr="00E51DFE">
        <w:t>; se znepokojením bere na vědomí přetrvávající problémy s transparentností, které následně ovlivňují soudržnost, účinnost a především odpovědnost;</w:t>
      </w:r>
    </w:p>
    <w:p w14:paraId="7DA50EBF" w14:textId="77777777" w:rsidR="00872DB8" w:rsidRPr="00E51DFE" w:rsidRDefault="00872DB8" w:rsidP="00872DB8">
      <w:pPr>
        <w:spacing w:after="240"/>
        <w:ind w:left="567" w:hanging="567"/>
      </w:pPr>
      <w:r w:rsidRPr="00E51DFE">
        <w:t>143.</w:t>
      </w:r>
      <w:r w:rsidRPr="00E51DFE">
        <w:tab/>
        <w:t xml:space="preserve">poukazuje na pozitivní pokrok dosažený při plnění cílů v oblasti základních práv, mj. na probíhající plnění akčního plánu pro základní práva a na nezávislé posouzení toho, jak agentura dodržuje v souladu s nařízením o Evropské pohraniční a pobřežní stráži rámec základních práv; vítá, že agentura </w:t>
      </w:r>
      <w:proofErr w:type="spellStart"/>
      <w:r w:rsidRPr="00E51DFE">
        <w:t>Frontex</w:t>
      </w:r>
      <w:proofErr w:type="spellEnd"/>
      <w:r w:rsidRPr="00E51DFE">
        <w:t xml:space="preserve"> proaktivně sleduje vyřizování stížností týkajících se základních práv, z nichž byla většina zamítnuta na základě nepřípustnosti; oceňuje, že se agentura </w:t>
      </w:r>
      <w:proofErr w:type="spellStart"/>
      <w:r w:rsidRPr="00E51DFE">
        <w:t>Frontex</w:t>
      </w:r>
      <w:proofErr w:type="spellEnd"/>
      <w:r w:rsidRPr="00E51DFE">
        <w:t xml:space="preserve"> ve stále větší míře zasazuje o transparentnost a odpovědnost;</w:t>
      </w:r>
    </w:p>
    <w:p w14:paraId="4033AEB2" w14:textId="77777777" w:rsidR="00872DB8" w:rsidRPr="00E51DFE" w:rsidRDefault="00872DB8" w:rsidP="00872DB8">
      <w:pPr>
        <w:spacing w:after="240"/>
        <w:ind w:left="567" w:hanging="567"/>
      </w:pPr>
      <w:r w:rsidRPr="00E51DFE">
        <w:t>144.</w:t>
      </w:r>
      <w:r w:rsidRPr="00E51DFE">
        <w:tab/>
        <w:t xml:space="preserve">zdůrazňuje, že v zájmu naprosté přehlednosti a transparentnosti a v souladu s připomínkou Účetního dvora by agentury, které vybírají vlastní příjmy, měly tyto informace zveřejňovat snadno srozumitelným způsobem ve své konečné roční účetní závěrce, konsolidované výroční zprávě o činnosti a jednotném programovém dokumentu, neboť tyto zprávy </w:t>
      </w:r>
      <w:proofErr w:type="gramStart"/>
      <w:r w:rsidRPr="00E51DFE">
        <w:t>slouží</w:t>
      </w:r>
      <w:proofErr w:type="gramEnd"/>
      <w:r w:rsidRPr="00E51DFE">
        <w:t xml:space="preserve"> různým účelům;</w:t>
      </w:r>
    </w:p>
    <w:p w14:paraId="19C1BF81" w14:textId="77777777" w:rsidR="00872DB8" w:rsidRPr="00E51DFE" w:rsidRDefault="00872DB8" w:rsidP="00872DB8">
      <w:pPr>
        <w:spacing w:after="240"/>
        <w:ind w:left="567" w:hanging="567"/>
      </w:pPr>
      <w:r w:rsidRPr="00E51DFE">
        <w:t>145.</w:t>
      </w:r>
      <w:r w:rsidRPr="00E51DFE">
        <w:tab/>
        <w:t xml:space="preserve">dále konstatuje, že v roce 2023 agentura </w:t>
      </w:r>
      <w:proofErr w:type="spellStart"/>
      <w:r w:rsidRPr="00E51DFE">
        <w:t>Frontex</w:t>
      </w:r>
      <w:proofErr w:type="spellEnd"/>
      <w:r w:rsidRPr="00E51DFE">
        <w:t xml:space="preserve"> odmítla poskytnout veřejnosti přístup ke zprávě, kterou vypracoval její úředník pro otázky základních práv a jež se týkala operace agentury </w:t>
      </w:r>
      <w:proofErr w:type="spellStart"/>
      <w:r w:rsidRPr="00E51DFE">
        <w:t>Frontex</w:t>
      </w:r>
      <w:proofErr w:type="spellEnd"/>
      <w:r w:rsidRPr="00E51DFE">
        <w:t xml:space="preserve"> v Albánii (věc 652/2023/VB), což bylo důvodem pro zahájení šetření ze strany veřejné ochránkyně práv; veřejná ochránkyně práv dospěla k názoru, že agentura </w:t>
      </w:r>
      <w:proofErr w:type="spellStart"/>
      <w:r w:rsidRPr="00E51DFE">
        <w:t>Frontex</w:t>
      </w:r>
      <w:proofErr w:type="spellEnd"/>
      <w:r w:rsidRPr="00E51DFE">
        <w:t xml:space="preserve"> měla umožnit přístup k některým částem zprávy, a vítá skutečnost, že agentura </w:t>
      </w:r>
      <w:proofErr w:type="spellStart"/>
      <w:r w:rsidRPr="00E51DFE">
        <w:t>Frontex</w:t>
      </w:r>
      <w:proofErr w:type="spellEnd"/>
      <w:r w:rsidRPr="00E51DFE">
        <w:t xml:space="preserve"> přistoupila na řešení, které v této věci navrhla veřejná ochránkyně práv;</w:t>
      </w:r>
    </w:p>
    <w:p w14:paraId="38DC6D5D" w14:textId="77777777" w:rsidR="00872DB8" w:rsidRPr="00E51DFE" w:rsidRDefault="00872DB8" w:rsidP="00872DB8">
      <w:pPr>
        <w:spacing w:after="240"/>
        <w:ind w:left="567" w:hanging="567"/>
      </w:pPr>
      <w:r w:rsidRPr="00E51DFE">
        <w:t>146.</w:t>
      </w:r>
      <w:r w:rsidRPr="00E51DFE">
        <w:tab/>
        <w:t>vyjadřuje politování nad tím, že pro decentralizované agentury není uplatňování rejstříku transparentnosti povinné v případě externích kontaktů; konstatuje však, že podle interinstitucionální dohody ze dne 20. května 2021 </w:t>
      </w:r>
      <w:r w:rsidRPr="00E51DFE">
        <w:rPr>
          <w:vertAlign w:val="superscript"/>
        </w:rPr>
        <w:footnoteReference w:id="432"/>
      </w:r>
      <w:r w:rsidRPr="00E51DFE">
        <w:t xml:space="preserve"> mezi Evropským parlamentem, Radou Evropské unie a Evropskou komisí o povinném rejstříku transparentnosti mají agentury možnost používat rejstřík transparentnosti dobrovolně;</w:t>
      </w:r>
    </w:p>
    <w:p w14:paraId="7B5C56C8" w14:textId="77777777" w:rsidR="00872DB8" w:rsidRPr="00E51DFE" w:rsidRDefault="00872DB8" w:rsidP="00872DB8">
      <w:pPr>
        <w:spacing w:after="240"/>
        <w:ind w:left="567" w:hanging="567"/>
      </w:pPr>
      <w:r w:rsidRPr="00E51DFE">
        <w:t>147.</w:t>
      </w:r>
      <w:r w:rsidRPr="00E51DFE">
        <w:tab/>
        <w:t xml:space="preserve">vybízí všechny agentury, aby této možnosti využily a následovaly příklad agentury </w:t>
      </w:r>
      <w:proofErr w:type="spellStart"/>
      <w:r w:rsidRPr="00E51DFE">
        <w:t>eu</w:t>
      </w:r>
      <w:proofErr w:type="spellEnd"/>
      <w:r w:rsidRPr="00E51DFE">
        <w:t xml:space="preserve">-Lisa a agentury </w:t>
      </w:r>
      <w:proofErr w:type="spellStart"/>
      <w:r w:rsidRPr="00E51DFE">
        <w:t>Frontex</w:t>
      </w:r>
      <w:proofErr w:type="spellEnd"/>
      <w:r w:rsidRPr="00E51DFE">
        <w:t>, které jsou jedinými dvěma agenturami, jež od třetích stran (externích kontaktů) registraci v rejstříku transparentnosti vyžadují;</w:t>
      </w:r>
    </w:p>
    <w:p w14:paraId="207A3A3C" w14:textId="77777777" w:rsidR="00872DB8" w:rsidRPr="00E51DFE" w:rsidRDefault="00872DB8" w:rsidP="00872DB8">
      <w:pPr>
        <w:spacing w:after="240"/>
        <w:ind w:left="567" w:hanging="567"/>
      </w:pPr>
      <w:r w:rsidRPr="00E51DFE">
        <w:t>148.</w:t>
      </w:r>
      <w:r w:rsidRPr="00E51DFE">
        <w:tab/>
        <w:t>zdůrazňuje, že signatáři interinstitucionální dohody používání rejstříku transparentnosti propagují a podporují; připomíná důraznou výzvu, aby všechny decentralizované agentury tento rejstřík plně využívaly;</w:t>
      </w:r>
    </w:p>
    <w:p w14:paraId="0C18C1C7" w14:textId="77777777" w:rsidR="00872DB8" w:rsidRPr="00E51DFE" w:rsidRDefault="00872DB8" w:rsidP="00872DB8">
      <w:pPr>
        <w:spacing w:after="240"/>
        <w:ind w:left="567" w:hanging="567"/>
      </w:pPr>
      <w:r w:rsidRPr="00E51DFE">
        <w:t>149.</w:t>
      </w:r>
      <w:r w:rsidRPr="00E51DFE">
        <w:tab/>
        <w:t xml:space="preserve">konstatuje, že agentura </w:t>
      </w:r>
      <w:proofErr w:type="spellStart"/>
      <w:r w:rsidRPr="00E51DFE">
        <w:t>eu</w:t>
      </w:r>
      <w:proofErr w:type="spellEnd"/>
      <w:r w:rsidRPr="00E51DFE">
        <w:t xml:space="preserve">-Lisa se zaměřila na kybernetickou bezpečnost a boj proti hrozbám v kybernetickém prostoru, zejména tím, že zajistila nezbytnou přípravu na plnění povinností vyplývajících z nových právních předpisů Unie v oblasti informační a kybernetické bezpečnosti; poukazuje na to, že s cílem zajistit včasnou identifikaci kybernetických hrozeb a reakci na ně provozuje a udržuje agentura </w:t>
      </w:r>
      <w:proofErr w:type="spellStart"/>
      <w:r w:rsidRPr="00E51DFE">
        <w:t>eu</w:t>
      </w:r>
      <w:proofErr w:type="spellEnd"/>
      <w:r w:rsidRPr="00E51DFE">
        <w:t xml:space="preserve">-Lisa platformu ke sledování bezpečnosti, plán opatření pro případ incidentů ohrožujících kybernetickou bezpečnost, manuály pro reakci na tyto incidenty a nepřetržitou pohotovostní službu; oceňuje úlohu agentury </w:t>
      </w:r>
      <w:proofErr w:type="spellStart"/>
      <w:r w:rsidRPr="00E51DFE">
        <w:t>eu</w:t>
      </w:r>
      <w:proofErr w:type="spellEnd"/>
      <w:r w:rsidRPr="00E51DFE">
        <w:t>-Lisa při podpoře cvičení v oblasti kybernetické bezpečnosti, která probíhají mezi agenturami ve spolupráci se sítí agentur působících v oblasti spravedlnosti a vnitřních věcí (JHAAN) </w:t>
      </w:r>
      <w:r w:rsidRPr="00E51DFE">
        <w:rPr>
          <w:vertAlign w:val="superscript"/>
        </w:rPr>
        <w:footnoteReference w:id="433"/>
      </w:r>
      <w:r w:rsidRPr="00E51DFE">
        <w:t xml:space="preserve">; zdůrazňuje, že je důležité, aby decentralizované agentury byly zcela schopné bránit se proti kybernetickým útokům; vybízí k užší spolupráci mezi agenturou </w:t>
      </w:r>
      <w:proofErr w:type="spellStart"/>
      <w:r w:rsidRPr="00E51DFE">
        <w:t>eu</w:t>
      </w:r>
      <w:proofErr w:type="spellEnd"/>
      <w:r w:rsidRPr="00E51DFE">
        <w:t xml:space="preserve">-Lisa a ostatními agenturami, aby se vybudovala jejich schopnost reagovat na </w:t>
      </w:r>
      <w:proofErr w:type="spellStart"/>
      <w:r w:rsidRPr="00E51DFE">
        <w:t>kyberkriminalitu</w:t>
      </w:r>
      <w:proofErr w:type="spellEnd"/>
      <w:r w:rsidRPr="00E51DFE">
        <w:t xml:space="preserve"> odolnějším a kolektivnějším způsobem; zdůrazňuje, že vzhledem k rostoucím rizikům kybernetických hrozeb a narušení bezpečnosti údajů je důležité posílit opatření v oblasti kybernetické bezpečnosti ve všech agenturách; vyzývá k dalším investicím do bezpečné IT infrastruktury a odborné přípravy zaměstnanců agentur zaměřené na kybernetickou bezpečnost; naléhavě vyzývá agentury, aby Parlamentu a Účetnímu dvoru předložily výroční zprávu o posouzení kybernetických bezpečnostních rizik;</w:t>
      </w:r>
    </w:p>
    <w:p w14:paraId="2CCEA8B1" w14:textId="77777777" w:rsidR="00872DB8" w:rsidRPr="00E51DFE" w:rsidRDefault="00872DB8" w:rsidP="00872DB8">
      <w:pPr>
        <w:spacing w:after="240"/>
        <w:ind w:left="567" w:hanging="567"/>
      </w:pPr>
      <w:r w:rsidRPr="00E51DFE">
        <w:t>150.</w:t>
      </w:r>
      <w:r w:rsidRPr="00E51DFE">
        <w:tab/>
        <w:t xml:space="preserve">naléhavé žádá agenturu </w:t>
      </w:r>
      <w:proofErr w:type="spellStart"/>
      <w:r w:rsidRPr="00E51DFE">
        <w:t>Frontex</w:t>
      </w:r>
      <w:proofErr w:type="spellEnd"/>
      <w:r w:rsidRPr="00E51DFE">
        <w:t xml:space="preserve">, aby bezodkladně zajistila provedení veškerých doporučení evropských auditních a kontrolních orgánů, zejména doporučení úřadu OLAF a pracovní skupiny Evropského parlamentu pro kontrolu agentury </w:t>
      </w:r>
      <w:proofErr w:type="spellStart"/>
      <w:r w:rsidRPr="00E51DFE">
        <w:t>Frontex</w:t>
      </w:r>
      <w:proofErr w:type="spellEnd"/>
      <w:r w:rsidRPr="00E51DFE">
        <w:t xml:space="preserve">, evropské veřejné ochránkyně práv, Účetního dvora a pracovní skupiny agentury </w:t>
      </w:r>
      <w:proofErr w:type="spellStart"/>
      <w:r w:rsidRPr="00E51DFE">
        <w:t>Frontex</w:t>
      </w:r>
      <w:proofErr w:type="spellEnd"/>
      <w:r w:rsidRPr="00E51DFE">
        <w:t xml:space="preserve"> pro základní práva a právní a provozní aspekty operací;</w:t>
      </w:r>
    </w:p>
    <w:p w14:paraId="0F2A4706" w14:textId="77777777" w:rsidR="00872DB8" w:rsidRPr="00E51DFE" w:rsidRDefault="00872DB8" w:rsidP="00872DB8">
      <w:pPr>
        <w:spacing w:after="240"/>
        <w:ind w:left="567" w:hanging="567"/>
      </w:pPr>
      <w:r w:rsidRPr="00E51DFE">
        <w:t>151.</w:t>
      </w:r>
      <w:r w:rsidRPr="00E51DFE">
        <w:tab/>
        <w:t xml:space="preserve">bere na vědomí, že všechny agentury zavedly politiku pro </w:t>
      </w:r>
      <w:proofErr w:type="spellStart"/>
      <w:r w:rsidRPr="00E51DFE">
        <w:t>whistleblowing</w:t>
      </w:r>
      <w:proofErr w:type="spellEnd"/>
      <w:r w:rsidRPr="00E51DFE">
        <w:t xml:space="preserve">; vyzývá všechny agentury, aby zajistily zavedení zvláštních, zabezpečených a účinných kanálů pro oznamování v souladu s příslušnými požadavky směrnice Evropského parlamentu a Rady (EU) 2019/1937 </w:t>
      </w:r>
      <w:r w:rsidRPr="00E51DFE">
        <w:rPr>
          <w:rStyle w:val="FootnoteReference"/>
        </w:rPr>
        <w:footnoteReference w:id="434"/>
      </w:r>
      <w:r w:rsidRPr="00E51DFE">
        <w:t xml:space="preserve"> o ochraně oznamovatelů;</w:t>
      </w:r>
    </w:p>
    <w:p w14:paraId="63F377E9" w14:textId="77777777" w:rsidR="00872DB8" w:rsidRPr="00E51DFE" w:rsidRDefault="00872DB8" w:rsidP="00872DB8">
      <w:pPr>
        <w:spacing w:after="240"/>
        <w:ind w:left="567" w:hanging="567"/>
      </w:pPr>
      <w:r w:rsidRPr="00E51DFE">
        <w:t>152.</w:t>
      </w:r>
      <w:r w:rsidRPr="00E51DFE">
        <w:tab/>
        <w:t>zasazuje se o systematické začleňování posouzení rizik souvisejících s umělou inteligencí do interních auditů agentur, aby bylo zajištěno dodržování etických pokynů a norem Unie v oblasti kybernetické bezpečnosti; vyzývá k tomu, aby byl mandát agentury ENISA rozšířen tak, aby zahrnoval zvláštní dohled nad riziky spojenými s využíváním umělé inteligence v agenturách EU;</w:t>
      </w:r>
    </w:p>
    <w:p w14:paraId="0E4C1178" w14:textId="77777777" w:rsidR="00872DB8" w:rsidRPr="00E51DFE" w:rsidRDefault="00872DB8" w:rsidP="00872DB8">
      <w:pPr>
        <w:spacing w:after="240"/>
        <w:ind w:left="567" w:hanging="567"/>
      </w:pPr>
      <w:r w:rsidRPr="00E51DFE">
        <w:rPr>
          <w:b/>
          <w:i/>
          <w:color w:val="000000"/>
        </w:rPr>
        <w:t>Udržitelnost, dopad na životní prostředí a sociální začleňování</w:t>
      </w:r>
    </w:p>
    <w:p w14:paraId="1746EAAF" w14:textId="77777777" w:rsidR="00872DB8" w:rsidRPr="00E51DFE" w:rsidRDefault="00872DB8" w:rsidP="00872DB8">
      <w:pPr>
        <w:spacing w:after="240"/>
        <w:ind w:left="567" w:hanging="567"/>
      </w:pPr>
      <w:r w:rsidRPr="00E51DFE">
        <w:t>153.</w:t>
      </w:r>
      <w:r w:rsidRPr="00E51DFE">
        <w:tab/>
        <w:t>konstatuje, že celkem 11 </w:t>
      </w:r>
      <w:r w:rsidRPr="00E51DFE">
        <w:rPr>
          <w:vertAlign w:val="superscript"/>
        </w:rPr>
        <w:footnoteReference w:id="435"/>
      </w:r>
      <w:r w:rsidRPr="00E51DFE">
        <w:t xml:space="preserve"> z 33 agentur EU (33 %) již zavedlo systém EU pro environmentální řízení podniků a audit (EMAS); s uspokojením bere na vědomí, že několik agentur podniká proaktivní kroky ve snaze získat certifikaci EMAS v blízké budoucnosti </w:t>
      </w:r>
      <w:r w:rsidRPr="00E51DFE">
        <w:rPr>
          <w:vertAlign w:val="superscript"/>
        </w:rPr>
        <w:footnoteReference w:id="436"/>
      </w:r>
      <w:r w:rsidRPr="00E51DFE">
        <w:t>; konstatuje, že některé agentury </w:t>
      </w:r>
      <w:r w:rsidRPr="00E51DFE">
        <w:rPr>
          <w:vertAlign w:val="superscript"/>
        </w:rPr>
        <w:footnoteReference w:id="437"/>
      </w:r>
      <w:r w:rsidRPr="00E51DFE">
        <w:t xml:space="preserve"> s větším rozpočtem neoznámily, že by v krátkodobém horizontu plánovaly systém EMAS zavést; bere na vědomí, že agentura EASA v současné době posuzuje nástroje pro systematické a soustavné zlepšování environmentální výkonnosti, včetně systému EMAS, a v průběhu tohoto roku poskytne orgánu příslušnému k udělení absolutoria aktuální informace;</w:t>
      </w:r>
    </w:p>
    <w:p w14:paraId="16A5F6FF" w14:textId="77777777" w:rsidR="00872DB8" w:rsidRPr="00E51DFE" w:rsidRDefault="00872DB8" w:rsidP="00872DB8">
      <w:pPr>
        <w:spacing w:after="240"/>
        <w:ind w:left="567" w:hanging="567"/>
      </w:pPr>
      <w:r w:rsidRPr="00E51DFE">
        <w:t>154.</w:t>
      </w:r>
      <w:r w:rsidRPr="00E51DFE">
        <w:tab/>
        <w:t>připomíná, že (horizontální) zpráva o udělení absolutoria za rok 2022 poukázala na to, že 14 agentur stále nemá zavedeny podnikové plány udržitelnosti; konstatuje, že zpráva Účetního dvora za rozpočtový rok 2023 neposkytla v této věci aktualizované údaje; opakuje, že je důležité, aby podnikové plány udržitelnosti měly zavedeny všechny agentury; naléhavě vyzývá agentury, aby Komisi informovaly o energetické náročnosti svých budov;</w:t>
      </w:r>
    </w:p>
    <w:p w14:paraId="780149AF" w14:textId="77777777" w:rsidR="00872DB8" w:rsidRPr="00E51DFE" w:rsidRDefault="00872DB8" w:rsidP="00872DB8">
      <w:pPr>
        <w:spacing w:after="240"/>
        <w:ind w:left="567" w:hanging="567"/>
      </w:pPr>
      <w:r w:rsidRPr="00E51DFE">
        <w:t>155.</w:t>
      </w:r>
      <w:r w:rsidRPr="00E51DFE">
        <w:tab/>
        <w:t>vybízí Účetní dvůr, aby pravidelně aktualizoval údaje o tom, v jakém stavu se podnikové plány udržitelnosti v agenturách nacházejí;</w:t>
      </w:r>
    </w:p>
    <w:p w14:paraId="6474AF7D" w14:textId="77777777" w:rsidR="00872DB8" w:rsidRPr="00E51DFE" w:rsidRDefault="00872DB8" w:rsidP="00872DB8">
      <w:pPr>
        <w:spacing w:after="240"/>
        <w:ind w:left="567" w:hanging="567"/>
      </w:pPr>
      <w:r w:rsidRPr="00E51DFE">
        <w:t>156.</w:t>
      </w:r>
      <w:r w:rsidRPr="00E51DFE">
        <w:tab/>
        <w:t>konstatuje, že v rozpočtovém roce 2023 prokazovaly agentury stále větší odhodlání plnit cíle v oblasti životního prostředí a udržitelnosti; konstatuje, že Evropská agentura pro životní prostředí (EEA) hrála klíčovou úlohu při monitorování změny klimatu a environmentální výkonnosti v celé Unii a při podávání zpráv o těchto otázkách; konstatuje, že agentury, jako je CINEA a EEA, byly průkopníky v provádění programů souvisejících s udržitelností a přispěly k celounijním iniciativám zaměřeným na snižování uhlíkové stopy a podporu energie z obnovitelných zdrojů;</w:t>
      </w:r>
    </w:p>
    <w:p w14:paraId="6B7D446B" w14:textId="77777777" w:rsidR="00872DB8" w:rsidRPr="00E51DFE" w:rsidRDefault="00872DB8" w:rsidP="00872DB8">
      <w:pPr>
        <w:spacing w:after="240"/>
        <w:ind w:left="567" w:hanging="567"/>
      </w:pPr>
      <w:r w:rsidRPr="00E51DFE">
        <w:t>157.</w:t>
      </w:r>
      <w:r w:rsidRPr="00E51DFE">
        <w:tab/>
        <w:t>se znepokojením konstatuje, že navzdory všeobecnému pokroku se některé agentury kvůli neefektivnosti postupů a nedostatečnému přidělení zdrojů potýkaly při začleňování udržitelnosti do svých podnikových strategií s obtížemi; zdůrazňuje proto, že je třeba vytvořit soudržnější a proveditelnější rámec, který zajistí dlouhodobou udržitelnost činnosti agentur;</w:t>
      </w:r>
    </w:p>
    <w:p w14:paraId="3FB6C04C" w14:textId="77777777" w:rsidR="00872DB8" w:rsidRPr="00E51DFE" w:rsidRDefault="00872DB8" w:rsidP="00872DB8">
      <w:pPr>
        <w:spacing w:after="240"/>
        <w:rPr>
          <w:i/>
        </w:rPr>
      </w:pPr>
      <w:r w:rsidRPr="00E51DFE">
        <w:rPr>
          <w:b/>
          <w:i/>
        </w:rPr>
        <w:t>Kontrola opatření přijatých v návaznosti na připomínky Účetního dvora z předcházejících let</w:t>
      </w:r>
    </w:p>
    <w:p w14:paraId="60FBEE29" w14:textId="77777777" w:rsidR="00872DB8" w:rsidRPr="00E51DFE" w:rsidRDefault="00872DB8" w:rsidP="00872DB8">
      <w:pPr>
        <w:spacing w:after="240"/>
        <w:ind w:left="567" w:hanging="567"/>
        <w:rPr>
          <w:bCs/>
          <w:iCs/>
        </w:rPr>
      </w:pPr>
      <w:r w:rsidRPr="00E51DFE">
        <w:t>158.</w:t>
      </w:r>
      <w:r w:rsidRPr="00E51DFE">
        <w:tab/>
        <w:t>konstatuje, že „připomínky“ v jednotlivých výročních zprávách o agenturách jsou ve skutečnosti doporučeními Účetního dvora bez časových lhůt; poznamenává, že Účetní dvůr tyto připomínky následně každoročně kontroluje a hodnotí jejich status, tzn. hodnotí, zda jsou „otevřené“ nebo „uzavřené“;</w:t>
      </w:r>
    </w:p>
    <w:p w14:paraId="3BEC90D5" w14:textId="77777777" w:rsidR="00872DB8" w:rsidRPr="00E51DFE" w:rsidRDefault="00872DB8" w:rsidP="00872DB8">
      <w:pPr>
        <w:spacing w:after="240"/>
        <w:ind w:left="567" w:hanging="567"/>
      </w:pPr>
      <w:r w:rsidRPr="00E51DFE">
        <w:t>159.</w:t>
      </w:r>
      <w:r w:rsidRPr="00E51DFE">
        <w:tab/>
        <w:t>konstatuje, že z celkového počtu 116 připomínek Účetního dvora, které souvisejí s předchozími roky fungování agentur, jež jsou součástí tohoto usnesení, bylo v roce 2023 uzavřeno celkem 58 připomínek, celkem 53 jich je stále otevřených a pět bylo uzavřeno částečně; konstatuje, že počet neuzavřených připomínek se mezi agenturami liší, přičemž některé z nich nemají žádné otevřené připomínky, jako např. BEREC, EBA, ECHA, EEA, EMSA, ENISA, EU-OSHA, EUSPA a </w:t>
      </w:r>
      <w:proofErr w:type="spellStart"/>
      <w:r w:rsidRPr="00E51DFE">
        <w:t>Eurofound</w:t>
      </w:r>
      <w:proofErr w:type="spellEnd"/>
      <w:r w:rsidRPr="00E51DFE">
        <w:t xml:space="preserve">, zatímco nejvyšší počty otevřených připomínek vykazují agentury </w:t>
      </w:r>
      <w:proofErr w:type="spellStart"/>
      <w:r w:rsidRPr="00E51DFE">
        <w:t>eu</w:t>
      </w:r>
      <w:proofErr w:type="spellEnd"/>
      <w:r w:rsidRPr="00E51DFE">
        <w:t xml:space="preserve">-Lisa (osm), </w:t>
      </w:r>
      <w:proofErr w:type="spellStart"/>
      <w:r w:rsidRPr="00E51DFE">
        <w:t>Frontex</w:t>
      </w:r>
      <w:proofErr w:type="spellEnd"/>
      <w:r w:rsidRPr="00E51DFE">
        <w:t xml:space="preserve"> (sedm) a ELA (pět); žádá tyto agentury, aby přijaly proaktivní opatření k tomu, aby tyto otevřené záležitosti dořešily;</w:t>
      </w:r>
    </w:p>
    <w:p w14:paraId="7D7D1178" w14:textId="77777777" w:rsidR="00872DB8" w:rsidRPr="00E51DFE" w:rsidRDefault="00872DB8" w:rsidP="00872DB8">
      <w:pPr>
        <w:spacing w:after="240"/>
        <w:ind w:left="567" w:hanging="567"/>
      </w:pPr>
      <w:r w:rsidRPr="00E51DFE">
        <w:t>160.</w:t>
      </w:r>
      <w:r w:rsidRPr="00E51DFE">
        <w:tab/>
        <w:t xml:space="preserve">bere na vědomí, že šest z 53 otevřených připomínek se týká vysoké míry přenosů prostředků (ACER, ELA, EFCA, </w:t>
      </w:r>
      <w:proofErr w:type="spellStart"/>
      <w:r w:rsidRPr="00E51DFE">
        <w:t>eu</w:t>
      </w:r>
      <w:proofErr w:type="spellEnd"/>
      <w:r w:rsidRPr="00E51DFE">
        <w:t xml:space="preserve">-Lisa, FRA, </w:t>
      </w:r>
      <w:proofErr w:type="spellStart"/>
      <w:r w:rsidRPr="00E51DFE">
        <w:t>Frontex</w:t>
      </w:r>
      <w:proofErr w:type="spellEnd"/>
      <w:r w:rsidRPr="00E51DFE">
        <w:t xml:space="preserve">); je obzvláště znepokojen tím, že v případě agentury </w:t>
      </w:r>
      <w:proofErr w:type="spellStart"/>
      <w:r w:rsidRPr="00E51DFE">
        <w:t>Frontex</w:t>
      </w:r>
      <w:proofErr w:type="spellEnd"/>
      <w:r w:rsidRPr="00E51DFE">
        <w:t xml:space="preserve"> zůstává tato připomínka otevřená od roku 2018;</w:t>
      </w:r>
    </w:p>
    <w:p w14:paraId="42141D7B" w14:textId="77777777" w:rsidR="00872DB8" w:rsidRPr="00E51DFE" w:rsidRDefault="00872DB8" w:rsidP="00872DB8">
      <w:pPr>
        <w:spacing w:after="240"/>
        <w:ind w:left="567" w:hanging="567"/>
      </w:pPr>
      <w:r w:rsidRPr="00E51DFE">
        <w:t>161.</w:t>
      </w:r>
      <w:r w:rsidRPr="00E51DFE">
        <w:tab/>
        <w:t>konstatuje, že agentura ERA má od roku 2018 otevřenou připomínku ohledně výběru poplatků a plateb za certifikační úkoly, který byl zahájen v roce 2019; konstatuje, že podle nařízení by měly být vzaty v úvahu zvláštní potřeby malých a středních podniků a očekává se, že agentura ERA zavede účinné kontroly sloužící k ověření toho, zda lze žadatele považovat za malé a střední podniky; vyzývá agenturu, aby orgánu příslušnému k udělení absolutoria podala zprávu o současném stavu této záležitosti a aby uvedla důvody, proč je i nadále otevřená;</w:t>
      </w:r>
    </w:p>
    <w:p w14:paraId="18BBDF50" w14:textId="77777777" w:rsidR="00872DB8" w:rsidRPr="00E51DFE" w:rsidRDefault="00872DB8" w:rsidP="00872DB8">
      <w:pPr>
        <w:spacing w:after="240"/>
        <w:ind w:left="567" w:hanging="567"/>
      </w:pPr>
      <w:r w:rsidRPr="00E51DFE">
        <w:t>162.</w:t>
      </w:r>
      <w:r w:rsidRPr="00E51DFE">
        <w:tab/>
        <w:t>konstatuje, že agentura EASA během let nakumulovala prostřednictvím činností financovaných průmyslovým odvětvím přebytek ve výši přesahující 50 milionů EUR, přičemž její zakládající nařízení nestanoví pro takovou situaci žádný postup; žádá Komisi, aby navrhla legislativní řešení tohoto problému;</w:t>
      </w:r>
    </w:p>
    <w:p w14:paraId="7A72BB8D" w14:textId="77777777" w:rsidR="00872DB8" w:rsidRPr="00E51DFE" w:rsidRDefault="00872DB8" w:rsidP="00872DB8">
      <w:pPr>
        <w:spacing w:after="240"/>
        <w:ind w:left="567" w:hanging="567"/>
      </w:pPr>
      <w:r w:rsidRPr="00E51DFE">
        <w:t>163.</w:t>
      </w:r>
      <w:r w:rsidRPr="00E51DFE">
        <w:tab/>
        <w:t>bere na vědomí, že agentura ACER využívala od roku 2019 na provádění dlouhodobých úkolů dočasné pracovníky, aby kompenzovala nedostatek přímo zaměstnaných pracovníků; vyzývá Komisi, aby zajistila další statutární pracovní místa;</w:t>
      </w:r>
    </w:p>
    <w:p w14:paraId="5513403F" w14:textId="66FFB47E" w:rsidR="00E365E1" w:rsidRPr="00F725B3" w:rsidRDefault="00872DB8" w:rsidP="004105F7">
      <w:pPr>
        <w:spacing w:after="240"/>
        <w:ind w:left="567" w:hanging="567"/>
      </w:pPr>
      <w:r w:rsidRPr="00E51DFE">
        <w:t>164.</w:t>
      </w:r>
      <w:r w:rsidRPr="00E51DFE">
        <w:tab/>
        <w:t>pověřuje svou předsedkyni, aby předala toto usnesení agenturám, které jsou předmětem tohoto postupu udělování absolutoria, Radě, Komisi a Účetnímu dvoru a aby zajistila jeho zveřejnění v </w:t>
      </w:r>
      <w:r w:rsidRPr="00E51DFE">
        <w:rPr>
          <w:i/>
          <w:iCs/>
        </w:rPr>
        <w:t>Úředním věstníku Evropské unie</w:t>
      </w:r>
      <w:r w:rsidRPr="00E51DFE">
        <w:t xml:space="preserve"> (řada L).</w:t>
      </w:r>
    </w:p>
    <w:sectPr w:rsidR="00E365E1" w:rsidRPr="00F725B3" w:rsidSect="00F725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97409" w14:textId="77777777" w:rsidR="00591301" w:rsidRPr="00F725B3" w:rsidRDefault="00591301">
      <w:r w:rsidRPr="00F725B3">
        <w:separator/>
      </w:r>
    </w:p>
  </w:endnote>
  <w:endnote w:type="continuationSeparator" w:id="0">
    <w:p w14:paraId="6484C0FC" w14:textId="77777777" w:rsidR="00591301" w:rsidRPr="00F725B3" w:rsidRDefault="00591301">
      <w:r w:rsidRPr="00F72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5216" w14:textId="77777777" w:rsidR="00591301" w:rsidRPr="00F725B3" w:rsidRDefault="005913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15DB" w14:textId="77777777" w:rsidR="00591301" w:rsidRPr="00F725B3" w:rsidRDefault="005913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50519" w14:textId="77777777" w:rsidR="00591301" w:rsidRPr="00F725B3" w:rsidRDefault="005913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FA412" w14:textId="77777777" w:rsidR="00591301" w:rsidRPr="00F725B3" w:rsidRDefault="00591301">
      <w:r w:rsidRPr="00F725B3">
        <w:separator/>
      </w:r>
    </w:p>
  </w:footnote>
  <w:footnote w:type="continuationSeparator" w:id="0">
    <w:p w14:paraId="7CCA63B4" w14:textId="77777777" w:rsidR="00591301" w:rsidRPr="00F725B3" w:rsidRDefault="00591301">
      <w:r w:rsidRPr="00F725B3">
        <w:continuationSeparator/>
      </w:r>
    </w:p>
  </w:footnote>
  <w:footnote w:id="1">
    <w:p w14:paraId="4222311D"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 w:history="1">
        <w:r w:rsidRPr="00E51DFE">
          <w:rPr>
            <w:rStyle w:val="Hyperlink1"/>
            <w:sz w:val="24"/>
            <w:lang w:val="cs-CZ"/>
          </w:rPr>
          <w:t>http://data.europa.eu/eli/C/2024/6332/oj</w:t>
        </w:r>
      </w:hyperlink>
      <w:r w:rsidRPr="00E51DFE">
        <w:rPr>
          <w:sz w:val="24"/>
          <w:lang w:val="cs-CZ"/>
        </w:rPr>
        <w:t>.</w:t>
      </w:r>
    </w:p>
  </w:footnote>
  <w:footnote w:id="2">
    <w:p w14:paraId="34C2F197"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 w:history="1">
        <w:r w:rsidRPr="00E51DFE">
          <w:rPr>
            <w:rStyle w:val="Hyperlink1"/>
            <w:sz w:val="24"/>
            <w:lang w:val="cs-CZ"/>
          </w:rPr>
          <w:t>http://data.europa.eu/eli/C/2024/6041/oj</w:t>
        </w:r>
      </w:hyperlink>
      <w:r w:rsidRPr="00E51DFE">
        <w:rPr>
          <w:sz w:val="24"/>
          <w:lang w:val="cs-CZ"/>
        </w:rPr>
        <w:t>.</w:t>
      </w:r>
    </w:p>
  </w:footnote>
  <w:footnote w:id="3">
    <w:p w14:paraId="35BAEF58"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 w:history="1">
        <w:r w:rsidRPr="00E51DFE">
          <w:rPr>
            <w:rStyle w:val="Hyperlink1"/>
            <w:sz w:val="24"/>
            <w:lang w:val="cs-CZ"/>
          </w:rPr>
          <w:t>http://data.europa.eu/eli/reg/2018/1046/oj</w:t>
        </w:r>
      </w:hyperlink>
      <w:r w:rsidRPr="00E51DFE">
        <w:rPr>
          <w:sz w:val="24"/>
          <w:lang w:val="cs-CZ"/>
        </w:rPr>
        <w:t>.</w:t>
      </w:r>
    </w:p>
  </w:footnote>
  <w:footnote w:id="4">
    <w:p w14:paraId="5F7CD35D"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4" w:history="1">
        <w:r w:rsidRPr="00E51DFE">
          <w:rPr>
            <w:rStyle w:val="Hyperlink1"/>
            <w:sz w:val="24"/>
            <w:lang w:val="cs-CZ"/>
          </w:rPr>
          <w:t>http://data.europa.eu/eli/reg/2024/2509/oj</w:t>
        </w:r>
      </w:hyperlink>
      <w:r w:rsidRPr="00E51DFE">
        <w:rPr>
          <w:sz w:val="24"/>
          <w:lang w:val="cs-CZ"/>
        </w:rPr>
        <w:t>.</w:t>
      </w:r>
    </w:p>
  </w:footnote>
  <w:footnote w:id="5">
    <w:p w14:paraId="52C5932A"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158, 14.6.2019, s. 22, ELI: </w:t>
      </w:r>
      <w:hyperlink r:id="rId5" w:history="1">
        <w:r w:rsidRPr="00E51DFE">
          <w:rPr>
            <w:rStyle w:val="Hyperlink1"/>
            <w:sz w:val="24"/>
            <w:lang w:val="cs-CZ"/>
          </w:rPr>
          <w:t>https://data.europa.eu/eli/reg/2019/942/oj</w:t>
        </w:r>
      </w:hyperlink>
      <w:r w:rsidRPr="00E51DFE">
        <w:rPr>
          <w:sz w:val="24"/>
          <w:lang w:val="cs-CZ"/>
        </w:rPr>
        <w:t>.</w:t>
      </w:r>
    </w:p>
  </w:footnote>
  <w:footnote w:id="6">
    <w:p w14:paraId="00ABA02F" w14:textId="77777777" w:rsidR="00872DB8" w:rsidRPr="00C4341D" w:rsidRDefault="00872DB8" w:rsidP="00872DB8">
      <w:pPr>
        <w:pStyle w:val="FootnoteText"/>
        <w:ind w:left="567" w:hanging="567"/>
        <w:rPr>
          <w:sz w:val="24"/>
          <w:lang w:val="cs-CZ"/>
        </w:rPr>
      </w:pPr>
      <w:r w:rsidRPr="00C4341D">
        <w:rPr>
          <w:rStyle w:val="FootnoteReference"/>
          <w:sz w:val="24"/>
        </w:rPr>
        <w:footnoteRef/>
      </w:r>
      <w:r w:rsidRPr="00C4341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6" w:history="1">
        <w:r w:rsidRPr="00E51DFE">
          <w:rPr>
            <w:rStyle w:val="Hyperlink1"/>
            <w:sz w:val="24"/>
            <w:lang w:val="cs-CZ"/>
          </w:rPr>
          <w:t>http://data.europa.eu/eli/reg_del/2019/715/oj</w:t>
        </w:r>
      </w:hyperlink>
      <w:r w:rsidRPr="00E51DFE">
        <w:rPr>
          <w:sz w:val="24"/>
          <w:lang w:val="cs-CZ"/>
        </w:rPr>
        <w:t>.</w:t>
      </w:r>
    </w:p>
  </w:footnote>
  <w:footnote w:id="7">
    <w:p w14:paraId="532CCA18"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7" w:history="1">
        <w:r w:rsidRPr="00E51DFE">
          <w:rPr>
            <w:rStyle w:val="Hyperlink1"/>
            <w:sz w:val="24"/>
            <w:lang w:val="cs-CZ"/>
          </w:rPr>
          <w:t>http://data.europa.eu/eli/C/2024/6332/oj</w:t>
        </w:r>
      </w:hyperlink>
      <w:r w:rsidRPr="00E51DFE">
        <w:rPr>
          <w:sz w:val="24"/>
          <w:lang w:val="cs-CZ"/>
        </w:rPr>
        <w:t>.</w:t>
      </w:r>
    </w:p>
  </w:footnote>
  <w:footnote w:id="8">
    <w:p w14:paraId="7851DC33"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8" w:history="1">
        <w:r w:rsidRPr="00E51DFE">
          <w:rPr>
            <w:rStyle w:val="Hyperlink1"/>
            <w:sz w:val="24"/>
            <w:lang w:val="cs-CZ"/>
          </w:rPr>
          <w:t>http://data.europa.eu/eli/C/2024/6041/oj</w:t>
        </w:r>
      </w:hyperlink>
      <w:r w:rsidRPr="00E51DFE">
        <w:rPr>
          <w:sz w:val="24"/>
          <w:lang w:val="cs-CZ"/>
        </w:rPr>
        <w:t>.</w:t>
      </w:r>
    </w:p>
  </w:footnote>
  <w:footnote w:id="9">
    <w:p w14:paraId="777981E4"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9" w:history="1">
        <w:r w:rsidRPr="00E51DFE">
          <w:rPr>
            <w:rStyle w:val="Hyperlink1"/>
            <w:sz w:val="24"/>
            <w:lang w:val="cs-CZ"/>
          </w:rPr>
          <w:t>http://data.europa.eu/eli/reg/2018/1046/oj</w:t>
        </w:r>
      </w:hyperlink>
      <w:r w:rsidRPr="00E51DFE">
        <w:rPr>
          <w:sz w:val="24"/>
          <w:lang w:val="cs-CZ"/>
        </w:rPr>
        <w:t>.</w:t>
      </w:r>
    </w:p>
  </w:footnote>
  <w:footnote w:id="10">
    <w:p w14:paraId="0B79014A"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0" w:history="1">
        <w:r w:rsidRPr="00E51DFE">
          <w:rPr>
            <w:rStyle w:val="Hyperlink1"/>
            <w:sz w:val="24"/>
            <w:lang w:val="cs-CZ"/>
          </w:rPr>
          <w:t>http://data.europa.eu/eli/reg/2024/2509/oj</w:t>
        </w:r>
      </w:hyperlink>
      <w:r w:rsidRPr="00E51DFE">
        <w:rPr>
          <w:sz w:val="24"/>
          <w:lang w:val="cs-CZ"/>
        </w:rPr>
        <w:t>.</w:t>
      </w:r>
    </w:p>
  </w:footnote>
  <w:footnote w:id="11">
    <w:p w14:paraId="3C33384B"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158, 14.6.2019, s. 22, ELI: </w:t>
      </w:r>
      <w:hyperlink r:id="rId11" w:history="1">
        <w:r w:rsidRPr="00E51DFE">
          <w:rPr>
            <w:rStyle w:val="Hyperlink1"/>
            <w:sz w:val="24"/>
            <w:lang w:val="cs-CZ"/>
          </w:rPr>
          <w:t>https://data.europa.eu/eli/reg/2019/942/oj</w:t>
        </w:r>
      </w:hyperlink>
      <w:r w:rsidRPr="00E51DFE">
        <w:rPr>
          <w:sz w:val="24"/>
          <w:lang w:val="cs-CZ"/>
        </w:rPr>
        <w:t>.</w:t>
      </w:r>
    </w:p>
  </w:footnote>
  <w:footnote w:id="12">
    <w:p w14:paraId="140368DE" w14:textId="77777777" w:rsidR="00872DB8" w:rsidRPr="006D3EBF" w:rsidRDefault="00872DB8" w:rsidP="00872DB8">
      <w:pPr>
        <w:pStyle w:val="FootnoteText"/>
        <w:ind w:left="567" w:hanging="567"/>
        <w:rPr>
          <w:sz w:val="24"/>
          <w:lang w:val="cs-CZ"/>
        </w:rPr>
      </w:pPr>
      <w:r w:rsidRPr="006D3EBF">
        <w:rPr>
          <w:rStyle w:val="FootnoteReference"/>
          <w:sz w:val="24"/>
        </w:rPr>
        <w:footnoteRef/>
      </w:r>
      <w:r w:rsidRPr="006D3EB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2" w:history="1">
        <w:r w:rsidRPr="00E51DFE">
          <w:rPr>
            <w:rStyle w:val="Hyperlink1"/>
            <w:sz w:val="24"/>
            <w:lang w:val="cs-CZ"/>
          </w:rPr>
          <w:t>http://data.europa.eu/eli/reg_del/2019/715/oj</w:t>
        </w:r>
      </w:hyperlink>
      <w:r w:rsidRPr="00E51DFE">
        <w:rPr>
          <w:sz w:val="24"/>
          <w:lang w:val="cs-CZ"/>
        </w:rPr>
        <w:t>.</w:t>
      </w:r>
    </w:p>
  </w:footnote>
  <w:footnote w:id="13">
    <w:p w14:paraId="61DADB65"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3" w:history="1">
        <w:r w:rsidRPr="00E51DFE">
          <w:rPr>
            <w:rStyle w:val="Hyperlink1"/>
            <w:sz w:val="24"/>
            <w:lang w:val="cs-CZ"/>
          </w:rPr>
          <w:t>http://data.europa.eu/eli/C/2024/6332/oj</w:t>
        </w:r>
      </w:hyperlink>
      <w:r w:rsidRPr="00E51DFE">
        <w:rPr>
          <w:sz w:val="24"/>
          <w:lang w:val="cs-CZ"/>
        </w:rPr>
        <w:t>.</w:t>
      </w:r>
    </w:p>
  </w:footnote>
  <w:footnote w:id="14">
    <w:p w14:paraId="241FAE39"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4" w:history="1">
        <w:r w:rsidRPr="00E51DFE">
          <w:rPr>
            <w:rStyle w:val="Hyperlink1"/>
            <w:sz w:val="24"/>
            <w:lang w:val="cs-CZ"/>
          </w:rPr>
          <w:t>http://data.europa.eu/eli/C/2024/6041/oj</w:t>
        </w:r>
      </w:hyperlink>
      <w:r w:rsidRPr="00E51DFE">
        <w:rPr>
          <w:sz w:val="24"/>
          <w:lang w:val="cs-CZ"/>
        </w:rPr>
        <w:t>.</w:t>
      </w:r>
    </w:p>
  </w:footnote>
  <w:footnote w:id="15">
    <w:p w14:paraId="6E6B9633"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5" w:history="1">
        <w:r w:rsidRPr="00E51DFE">
          <w:rPr>
            <w:rStyle w:val="Hyperlink1"/>
            <w:sz w:val="24"/>
            <w:lang w:val="cs-CZ"/>
          </w:rPr>
          <w:t>http://data.europa.eu/eli/reg/2018/1046/oj</w:t>
        </w:r>
      </w:hyperlink>
      <w:r w:rsidRPr="00E51DFE">
        <w:rPr>
          <w:sz w:val="24"/>
          <w:lang w:val="cs-CZ"/>
        </w:rPr>
        <w:t>.</w:t>
      </w:r>
    </w:p>
  </w:footnote>
  <w:footnote w:id="16">
    <w:p w14:paraId="306E0609"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6" w:history="1">
        <w:r w:rsidRPr="00E51DFE">
          <w:rPr>
            <w:rStyle w:val="Hyperlink1"/>
            <w:sz w:val="24"/>
            <w:lang w:val="cs-CZ"/>
          </w:rPr>
          <w:t>http://data.europa.eu/eli/reg/2024/2509/oj</w:t>
        </w:r>
      </w:hyperlink>
      <w:r w:rsidRPr="00E51DFE">
        <w:rPr>
          <w:sz w:val="24"/>
          <w:lang w:val="cs-CZ"/>
        </w:rPr>
        <w:t>.</w:t>
      </w:r>
    </w:p>
  </w:footnote>
  <w:footnote w:id="17">
    <w:p w14:paraId="07EA4324"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321, 17.12.2018, s. 1, ELI: </w:t>
      </w:r>
      <w:hyperlink r:id="rId17" w:history="1">
        <w:r w:rsidRPr="00E51DFE">
          <w:rPr>
            <w:rStyle w:val="Hyperlink1"/>
            <w:sz w:val="24"/>
            <w:lang w:val="cs-CZ"/>
          </w:rPr>
          <w:t>https://data.europa.eu/eli/reg/2018/1971/oj</w:t>
        </w:r>
      </w:hyperlink>
      <w:r w:rsidRPr="00E51DFE">
        <w:rPr>
          <w:sz w:val="24"/>
          <w:lang w:val="cs-CZ"/>
        </w:rPr>
        <w:t>.</w:t>
      </w:r>
    </w:p>
  </w:footnote>
  <w:footnote w:id="18">
    <w:p w14:paraId="411E7493" w14:textId="77777777" w:rsidR="00872DB8" w:rsidRPr="008B5E40" w:rsidRDefault="00872DB8" w:rsidP="00872DB8">
      <w:pPr>
        <w:pStyle w:val="FootnoteText"/>
        <w:ind w:left="567" w:hanging="567"/>
        <w:rPr>
          <w:sz w:val="24"/>
          <w:lang w:val="cs-CZ"/>
        </w:rPr>
      </w:pPr>
      <w:r w:rsidRPr="008B5E40">
        <w:rPr>
          <w:rStyle w:val="FootnoteReference"/>
          <w:sz w:val="24"/>
        </w:rPr>
        <w:footnoteRef/>
      </w:r>
      <w:r w:rsidRPr="008B5E4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8" w:history="1">
        <w:r w:rsidRPr="00E51DFE">
          <w:rPr>
            <w:rStyle w:val="Hyperlink1"/>
            <w:sz w:val="24"/>
            <w:lang w:val="cs-CZ"/>
          </w:rPr>
          <w:t>http://data.europa.eu/eli/reg_del/2019/715/oj</w:t>
        </w:r>
      </w:hyperlink>
      <w:r w:rsidRPr="00E51DFE">
        <w:rPr>
          <w:sz w:val="24"/>
          <w:lang w:val="cs-CZ"/>
        </w:rPr>
        <w:t>.</w:t>
      </w:r>
    </w:p>
  </w:footnote>
  <w:footnote w:id="19">
    <w:p w14:paraId="486B0398"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9" w:history="1">
        <w:r w:rsidRPr="00E51DFE">
          <w:rPr>
            <w:rStyle w:val="Hyperlink1"/>
            <w:sz w:val="24"/>
            <w:lang w:val="cs-CZ"/>
          </w:rPr>
          <w:t>http://data.europa.eu/eli/C/2024/6332/oj</w:t>
        </w:r>
      </w:hyperlink>
      <w:r w:rsidRPr="00E51DFE">
        <w:rPr>
          <w:sz w:val="24"/>
          <w:lang w:val="cs-CZ"/>
        </w:rPr>
        <w:t>.</w:t>
      </w:r>
    </w:p>
  </w:footnote>
  <w:footnote w:id="20">
    <w:p w14:paraId="4C75B00A"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0" w:history="1">
        <w:r w:rsidRPr="00E51DFE">
          <w:rPr>
            <w:rStyle w:val="Hyperlink1"/>
            <w:sz w:val="24"/>
            <w:lang w:val="cs-CZ"/>
          </w:rPr>
          <w:t>http://data.europa.eu/eli/C/2024/6041/oj</w:t>
        </w:r>
      </w:hyperlink>
      <w:r w:rsidRPr="00E51DFE">
        <w:rPr>
          <w:sz w:val="24"/>
          <w:lang w:val="cs-CZ"/>
        </w:rPr>
        <w:t>.</w:t>
      </w:r>
    </w:p>
  </w:footnote>
  <w:footnote w:id="21">
    <w:p w14:paraId="59EF56F5"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1" w:history="1">
        <w:r w:rsidRPr="00E51DFE">
          <w:rPr>
            <w:rStyle w:val="Hyperlink1"/>
            <w:sz w:val="24"/>
            <w:lang w:val="cs-CZ"/>
          </w:rPr>
          <w:t>http://data.europa.eu/eli/reg/2018/1046/oj</w:t>
        </w:r>
      </w:hyperlink>
      <w:r w:rsidRPr="00E51DFE">
        <w:rPr>
          <w:sz w:val="24"/>
          <w:lang w:val="cs-CZ"/>
        </w:rPr>
        <w:t>.</w:t>
      </w:r>
    </w:p>
  </w:footnote>
  <w:footnote w:id="22">
    <w:p w14:paraId="4DE7E15A"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2" w:history="1">
        <w:r w:rsidRPr="00E51DFE">
          <w:rPr>
            <w:rStyle w:val="Hyperlink1"/>
            <w:sz w:val="24"/>
            <w:lang w:val="cs-CZ"/>
          </w:rPr>
          <w:t>http://data.europa.eu/eli/reg/2024/2509/oj</w:t>
        </w:r>
      </w:hyperlink>
      <w:r w:rsidRPr="00E51DFE">
        <w:rPr>
          <w:sz w:val="24"/>
          <w:lang w:val="cs-CZ"/>
        </w:rPr>
        <w:t>.</w:t>
      </w:r>
    </w:p>
  </w:footnote>
  <w:footnote w:id="23">
    <w:p w14:paraId="53BD0632"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321, 17.12.2018, s. 1, ELI: </w:t>
      </w:r>
      <w:hyperlink r:id="rId23" w:history="1">
        <w:r w:rsidRPr="00E51DFE">
          <w:rPr>
            <w:rStyle w:val="Hyperlink1"/>
            <w:sz w:val="24"/>
            <w:lang w:val="cs-CZ"/>
          </w:rPr>
          <w:t>https://data.europa.eu/eli/reg/2018/1971/oj</w:t>
        </w:r>
      </w:hyperlink>
      <w:r w:rsidRPr="00E51DFE">
        <w:rPr>
          <w:sz w:val="24"/>
          <w:lang w:val="cs-CZ"/>
        </w:rPr>
        <w:t>.</w:t>
      </w:r>
    </w:p>
  </w:footnote>
  <w:footnote w:id="24">
    <w:p w14:paraId="15A39777" w14:textId="77777777" w:rsidR="00872DB8" w:rsidRPr="00B15626" w:rsidRDefault="00872DB8" w:rsidP="00872DB8">
      <w:pPr>
        <w:pStyle w:val="FootnoteText"/>
        <w:ind w:left="567" w:hanging="567"/>
        <w:rPr>
          <w:sz w:val="24"/>
          <w:lang w:val="cs-CZ"/>
        </w:rPr>
      </w:pPr>
      <w:r w:rsidRPr="00B15626">
        <w:rPr>
          <w:rStyle w:val="FootnoteReference"/>
          <w:sz w:val="24"/>
        </w:rPr>
        <w:footnoteRef/>
      </w:r>
      <w:r w:rsidRPr="00B1562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4" w:history="1">
        <w:r w:rsidRPr="00E51DFE">
          <w:rPr>
            <w:rStyle w:val="Hyperlink1"/>
            <w:sz w:val="24"/>
            <w:lang w:val="cs-CZ"/>
          </w:rPr>
          <w:t>http://data.europa.eu/eli/reg_del/2019/715/oj</w:t>
        </w:r>
      </w:hyperlink>
      <w:r w:rsidRPr="00E51DFE">
        <w:rPr>
          <w:sz w:val="24"/>
          <w:lang w:val="cs-CZ"/>
        </w:rPr>
        <w:t>.</w:t>
      </w:r>
    </w:p>
  </w:footnote>
  <w:footnote w:id="25">
    <w:p w14:paraId="3FF667E7"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5" w:history="1">
        <w:r w:rsidRPr="00E51DFE">
          <w:rPr>
            <w:rStyle w:val="Hyperlink1"/>
            <w:sz w:val="24"/>
            <w:lang w:val="cs-CZ"/>
          </w:rPr>
          <w:t>http://data.europa.eu/eli/C/2024/6332/oj</w:t>
        </w:r>
      </w:hyperlink>
      <w:r w:rsidRPr="00E51DFE">
        <w:rPr>
          <w:sz w:val="24"/>
          <w:lang w:val="cs-CZ"/>
        </w:rPr>
        <w:t>.</w:t>
      </w:r>
    </w:p>
  </w:footnote>
  <w:footnote w:id="26">
    <w:p w14:paraId="6AFCE12E"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6" w:history="1">
        <w:r w:rsidRPr="00E51DFE">
          <w:rPr>
            <w:rStyle w:val="Hyperlink1"/>
            <w:sz w:val="24"/>
            <w:lang w:val="cs-CZ"/>
          </w:rPr>
          <w:t>http://data.europa.eu/eli/C/2024/6041/oj</w:t>
        </w:r>
      </w:hyperlink>
      <w:r w:rsidRPr="00E51DFE">
        <w:rPr>
          <w:sz w:val="24"/>
          <w:lang w:val="cs-CZ"/>
        </w:rPr>
        <w:t>.</w:t>
      </w:r>
    </w:p>
  </w:footnote>
  <w:footnote w:id="27">
    <w:p w14:paraId="0257A0DE"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7" w:history="1">
        <w:r w:rsidRPr="00E51DFE">
          <w:rPr>
            <w:rStyle w:val="Hyperlink1"/>
            <w:sz w:val="24"/>
            <w:lang w:val="cs-CZ"/>
          </w:rPr>
          <w:t>http://data.europa.eu/eli/reg/2018/1046/oj</w:t>
        </w:r>
      </w:hyperlink>
      <w:r w:rsidRPr="00E51DFE">
        <w:rPr>
          <w:sz w:val="24"/>
          <w:lang w:val="cs-CZ"/>
        </w:rPr>
        <w:t>.</w:t>
      </w:r>
    </w:p>
  </w:footnote>
  <w:footnote w:id="28">
    <w:p w14:paraId="76C32190"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8" w:history="1">
        <w:r w:rsidRPr="00E51DFE">
          <w:rPr>
            <w:rStyle w:val="Hyperlink1"/>
            <w:sz w:val="24"/>
            <w:lang w:val="cs-CZ"/>
          </w:rPr>
          <w:t>http://data.europa.eu/eli/reg/2024/2509/oj</w:t>
        </w:r>
      </w:hyperlink>
      <w:r w:rsidRPr="00E51DFE">
        <w:rPr>
          <w:sz w:val="24"/>
          <w:lang w:val="cs-CZ"/>
        </w:rPr>
        <w:t>.</w:t>
      </w:r>
    </w:p>
  </w:footnote>
  <w:footnote w:id="29">
    <w:p w14:paraId="36EB8501"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314, 7.12.1994, s. 1, ELI: </w:t>
      </w:r>
      <w:hyperlink r:id="rId29" w:history="1">
        <w:r w:rsidRPr="00E51DFE">
          <w:rPr>
            <w:rStyle w:val="Hyperlink"/>
            <w:sz w:val="24"/>
            <w:lang w:val="cs-CZ"/>
          </w:rPr>
          <w:t>http://data.europa.eu/eli/reg/1994/2965/oj</w:t>
        </w:r>
      </w:hyperlink>
      <w:r w:rsidRPr="00E51DFE">
        <w:rPr>
          <w:sz w:val="24"/>
          <w:lang w:val="cs-CZ"/>
        </w:rPr>
        <w:t>.</w:t>
      </w:r>
    </w:p>
  </w:footnote>
  <w:footnote w:id="30">
    <w:p w14:paraId="045A534E" w14:textId="77777777" w:rsidR="00872DB8" w:rsidRPr="00E44AF2" w:rsidRDefault="00872DB8" w:rsidP="00872DB8">
      <w:pPr>
        <w:pStyle w:val="FootnoteText"/>
        <w:ind w:left="567" w:hanging="567"/>
        <w:rPr>
          <w:sz w:val="24"/>
          <w:lang w:val="cs-CZ"/>
        </w:rPr>
      </w:pPr>
      <w:r w:rsidRPr="00E44AF2">
        <w:rPr>
          <w:rStyle w:val="FootnoteReference"/>
          <w:sz w:val="24"/>
        </w:rPr>
        <w:footnoteRef/>
      </w:r>
      <w:r w:rsidRPr="00E44AF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0" w:history="1">
        <w:r w:rsidRPr="00E51DFE">
          <w:rPr>
            <w:rStyle w:val="Hyperlink1"/>
            <w:sz w:val="24"/>
            <w:lang w:val="cs-CZ"/>
          </w:rPr>
          <w:t>http://data.europa.eu/eli/reg_del/2019/715/oj</w:t>
        </w:r>
      </w:hyperlink>
      <w:r w:rsidRPr="00E51DFE">
        <w:rPr>
          <w:sz w:val="24"/>
          <w:lang w:val="cs-CZ"/>
        </w:rPr>
        <w:t>.</w:t>
      </w:r>
    </w:p>
  </w:footnote>
  <w:footnote w:id="31">
    <w:p w14:paraId="183A85F2"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1" w:history="1">
        <w:r w:rsidRPr="00E51DFE">
          <w:rPr>
            <w:rStyle w:val="Hyperlink1"/>
            <w:sz w:val="24"/>
            <w:lang w:val="cs-CZ"/>
          </w:rPr>
          <w:t>http://data.europa.eu/eli/C/2024/6332/oj</w:t>
        </w:r>
      </w:hyperlink>
      <w:r w:rsidRPr="00E51DFE">
        <w:rPr>
          <w:sz w:val="24"/>
          <w:lang w:val="cs-CZ"/>
        </w:rPr>
        <w:t>.</w:t>
      </w:r>
    </w:p>
  </w:footnote>
  <w:footnote w:id="32">
    <w:p w14:paraId="183147A5"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2" w:history="1">
        <w:r w:rsidRPr="00E51DFE">
          <w:rPr>
            <w:rStyle w:val="Hyperlink1"/>
            <w:sz w:val="24"/>
            <w:lang w:val="cs-CZ"/>
          </w:rPr>
          <w:t>http://data.europa.eu/eli/C/2024/6041/oj</w:t>
        </w:r>
      </w:hyperlink>
      <w:r w:rsidRPr="00E51DFE">
        <w:rPr>
          <w:sz w:val="24"/>
          <w:lang w:val="cs-CZ"/>
        </w:rPr>
        <w:t>.</w:t>
      </w:r>
    </w:p>
  </w:footnote>
  <w:footnote w:id="33">
    <w:p w14:paraId="3596374B"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3" w:history="1">
        <w:r w:rsidRPr="00E51DFE">
          <w:rPr>
            <w:rStyle w:val="Hyperlink1"/>
            <w:sz w:val="24"/>
            <w:lang w:val="cs-CZ"/>
          </w:rPr>
          <w:t>http://data.europa.eu/eli/reg/2018/1046/oj</w:t>
        </w:r>
      </w:hyperlink>
      <w:r w:rsidRPr="00E51DFE">
        <w:rPr>
          <w:sz w:val="24"/>
          <w:lang w:val="cs-CZ"/>
        </w:rPr>
        <w:t>.</w:t>
      </w:r>
    </w:p>
  </w:footnote>
  <w:footnote w:id="34">
    <w:p w14:paraId="5ED4147B"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4" w:history="1">
        <w:r w:rsidRPr="00E51DFE">
          <w:rPr>
            <w:rStyle w:val="Hyperlink1"/>
            <w:sz w:val="24"/>
            <w:lang w:val="cs-CZ"/>
          </w:rPr>
          <w:t>http://data.europa.eu/eli/reg/2024/2509/oj</w:t>
        </w:r>
      </w:hyperlink>
      <w:r w:rsidRPr="00E51DFE">
        <w:rPr>
          <w:sz w:val="24"/>
          <w:lang w:val="cs-CZ"/>
        </w:rPr>
        <w:t>.</w:t>
      </w:r>
    </w:p>
  </w:footnote>
  <w:footnote w:id="35">
    <w:p w14:paraId="0922A387"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314, 7.12.1994, s. 1, ELI: </w:t>
      </w:r>
      <w:hyperlink r:id="rId35" w:history="1">
        <w:r w:rsidRPr="00E51DFE">
          <w:rPr>
            <w:rStyle w:val="Hyperlink1"/>
            <w:sz w:val="24"/>
            <w:lang w:val="cs-CZ"/>
          </w:rPr>
          <w:t>https://data.europa.eu/eli/reg/1994/2965/oj</w:t>
        </w:r>
      </w:hyperlink>
      <w:r w:rsidRPr="00E51DFE">
        <w:rPr>
          <w:sz w:val="24"/>
          <w:lang w:val="cs-CZ"/>
        </w:rPr>
        <w:t>.</w:t>
      </w:r>
    </w:p>
  </w:footnote>
  <w:footnote w:id="36">
    <w:p w14:paraId="10E83AA7" w14:textId="77777777" w:rsidR="00872DB8" w:rsidRPr="00312265" w:rsidRDefault="00872DB8" w:rsidP="00872DB8">
      <w:pPr>
        <w:pStyle w:val="FootnoteText"/>
        <w:ind w:left="567" w:hanging="567"/>
        <w:rPr>
          <w:sz w:val="24"/>
          <w:lang w:val="cs-CZ"/>
        </w:rPr>
      </w:pPr>
      <w:r w:rsidRPr="00312265">
        <w:rPr>
          <w:rStyle w:val="FootnoteReference"/>
          <w:sz w:val="24"/>
        </w:rPr>
        <w:footnoteRef/>
      </w:r>
      <w:r w:rsidRPr="003122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6" w:history="1">
        <w:r w:rsidRPr="00E51DFE">
          <w:rPr>
            <w:rStyle w:val="Hyperlink1"/>
            <w:sz w:val="24"/>
            <w:lang w:val="cs-CZ"/>
          </w:rPr>
          <w:t>http://data.europa.eu/eli/reg_del/2019/715/oj</w:t>
        </w:r>
      </w:hyperlink>
      <w:r w:rsidRPr="00E51DFE">
        <w:rPr>
          <w:sz w:val="24"/>
          <w:lang w:val="cs-CZ"/>
        </w:rPr>
        <w:t>.</w:t>
      </w:r>
    </w:p>
  </w:footnote>
  <w:footnote w:id="37">
    <w:p w14:paraId="381ECC85"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w:t>
      </w:r>
      <w:hyperlink r:id="rId37" w:history="1">
        <w:r w:rsidRPr="00E51DFE">
          <w:rPr>
            <w:rStyle w:val="Hyperlink1"/>
            <w:sz w:val="24"/>
            <w:lang w:val="cs-CZ"/>
          </w:rPr>
          <w:t>http://data.europa.eu/eli/C/2024/6332/oj</w:t>
        </w:r>
      </w:hyperlink>
      <w:r w:rsidRPr="00E51DFE">
        <w:rPr>
          <w:sz w:val="24"/>
          <w:lang w:val="cs-CZ"/>
        </w:rPr>
        <w:t>.</w:t>
      </w:r>
    </w:p>
  </w:footnote>
  <w:footnote w:id="38">
    <w:p w14:paraId="1098D878"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8" w:history="1">
        <w:r w:rsidRPr="00E51DFE">
          <w:rPr>
            <w:rStyle w:val="Hyperlink1"/>
            <w:sz w:val="24"/>
            <w:lang w:val="cs-CZ"/>
          </w:rPr>
          <w:t>http://data.europa.eu/eli/C/2024/6041/oj</w:t>
        </w:r>
      </w:hyperlink>
      <w:r w:rsidRPr="00E51DFE">
        <w:rPr>
          <w:sz w:val="24"/>
          <w:lang w:val="cs-CZ"/>
        </w:rPr>
        <w:t>.</w:t>
      </w:r>
    </w:p>
  </w:footnote>
  <w:footnote w:id="39">
    <w:p w14:paraId="52B53861"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9" w:history="1">
        <w:r w:rsidRPr="00E51DFE">
          <w:rPr>
            <w:rStyle w:val="Hyperlink1"/>
            <w:sz w:val="24"/>
            <w:lang w:val="cs-CZ"/>
          </w:rPr>
          <w:t>http://data.europa.eu/eli/reg/2018/1046/oj</w:t>
        </w:r>
      </w:hyperlink>
      <w:r w:rsidRPr="00E51DFE">
        <w:rPr>
          <w:sz w:val="24"/>
          <w:lang w:val="cs-CZ"/>
        </w:rPr>
        <w:t>.</w:t>
      </w:r>
    </w:p>
  </w:footnote>
  <w:footnote w:id="40">
    <w:p w14:paraId="0D40B157"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40" w:history="1">
        <w:r w:rsidRPr="00E51DFE">
          <w:rPr>
            <w:rStyle w:val="Hyperlink1"/>
            <w:sz w:val="24"/>
            <w:lang w:val="cs-CZ"/>
          </w:rPr>
          <w:t>http://data.europa.eu/eli/reg/2024/2509/oj</w:t>
        </w:r>
      </w:hyperlink>
      <w:r w:rsidRPr="00E51DFE">
        <w:rPr>
          <w:sz w:val="24"/>
          <w:lang w:val="cs-CZ"/>
        </w:rPr>
        <w:t>.</w:t>
      </w:r>
    </w:p>
  </w:footnote>
  <w:footnote w:id="41">
    <w:p w14:paraId="05E010C1"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90, ELI: </w:t>
      </w:r>
      <w:hyperlink r:id="rId41" w:history="1">
        <w:r w:rsidRPr="00E51DFE">
          <w:rPr>
            <w:rStyle w:val="Hyperlink1"/>
            <w:sz w:val="24"/>
            <w:lang w:val="cs-CZ"/>
          </w:rPr>
          <w:t>https://data.europa.eu/eli/reg/2019/128/oj</w:t>
        </w:r>
      </w:hyperlink>
      <w:r w:rsidRPr="00E51DFE">
        <w:rPr>
          <w:sz w:val="24"/>
          <w:lang w:val="cs-CZ"/>
        </w:rPr>
        <w:t>.</w:t>
      </w:r>
    </w:p>
  </w:footnote>
  <w:footnote w:id="42">
    <w:p w14:paraId="7FEF6DCA" w14:textId="77777777" w:rsidR="00872DB8" w:rsidRPr="00C17665" w:rsidRDefault="00872DB8" w:rsidP="00872DB8">
      <w:pPr>
        <w:pStyle w:val="FootnoteText"/>
        <w:ind w:left="567" w:hanging="567"/>
        <w:rPr>
          <w:sz w:val="24"/>
          <w:lang w:val="cs-CZ"/>
        </w:rPr>
      </w:pPr>
      <w:r w:rsidRPr="00C17665">
        <w:rPr>
          <w:rStyle w:val="FootnoteReference"/>
          <w:sz w:val="24"/>
        </w:rPr>
        <w:footnoteRef/>
      </w:r>
      <w:r w:rsidRPr="00C176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42" w:history="1">
        <w:r w:rsidRPr="00E51DFE">
          <w:rPr>
            <w:rStyle w:val="Hyperlink1"/>
            <w:sz w:val="24"/>
            <w:lang w:val="cs-CZ"/>
          </w:rPr>
          <w:t>http://data.europa.eu/eli/reg_del/2019/715/oj</w:t>
        </w:r>
      </w:hyperlink>
      <w:r w:rsidRPr="00E51DFE">
        <w:rPr>
          <w:sz w:val="24"/>
          <w:lang w:val="cs-CZ"/>
        </w:rPr>
        <w:t>.</w:t>
      </w:r>
    </w:p>
  </w:footnote>
  <w:footnote w:id="43">
    <w:p w14:paraId="1F53C8A2"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w:t>
      </w:r>
      <w:hyperlink r:id="rId43" w:history="1">
        <w:r w:rsidRPr="00E51DFE">
          <w:rPr>
            <w:rStyle w:val="Hyperlink1"/>
            <w:sz w:val="24"/>
            <w:lang w:val="cs-CZ"/>
          </w:rPr>
          <w:t>http://data.europa.eu/eli/C/2024/6332/oj</w:t>
        </w:r>
      </w:hyperlink>
      <w:r w:rsidRPr="00E51DFE">
        <w:rPr>
          <w:sz w:val="24"/>
          <w:lang w:val="cs-CZ"/>
        </w:rPr>
        <w:t>.</w:t>
      </w:r>
    </w:p>
  </w:footnote>
  <w:footnote w:id="44">
    <w:p w14:paraId="6C44B834"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w:t>
      </w:r>
      <w:hyperlink r:id="rId44" w:history="1">
        <w:r w:rsidRPr="00E51DFE">
          <w:rPr>
            <w:rStyle w:val="Hyperlink1"/>
            <w:sz w:val="24"/>
            <w:lang w:val="cs-CZ"/>
          </w:rPr>
          <w:t>http://data.europa.eu/eli/C/2024/6041/oj</w:t>
        </w:r>
      </w:hyperlink>
      <w:r w:rsidRPr="00E51DFE">
        <w:rPr>
          <w:sz w:val="24"/>
          <w:lang w:val="cs-CZ"/>
        </w:rPr>
        <w:t>.</w:t>
      </w:r>
    </w:p>
  </w:footnote>
  <w:footnote w:id="45">
    <w:p w14:paraId="235B9C6D"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45" w:history="1">
        <w:r w:rsidRPr="00E51DFE">
          <w:rPr>
            <w:rStyle w:val="Hyperlink1"/>
            <w:sz w:val="24"/>
            <w:lang w:val="cs-CZ"/>
          </w:rPr>
          <w:t>http://data.europa.eu/eli/reg/2018/1046/oj</w:t>
        </w:r>
      </w:hyperlink>
      <w:r w:rsidRPr="00E51DFE">
        <w:rPr>
          <w:sz w:val="24"/>
          <w:lang w:val="cs-CZ"/>
        </w:rPr>
        <w:t>.</w:t>
      </w:r>
    </w:p>
  </w:footnote>
  <w:footnote w:id="46">
    <w:p w14:paraId="0C8CCD0E"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46" w:history="1">
        <w:r w:rsidRPr="00E51DFE">
          <w:rPr>
            <w:rStyle w:val="Hyperlink1"/>
            <w:sz w:val="24"/>
            <w:lang w:val="cs-CZ"/>
          </w:rPr>
          <w:t>http://data.europa.eu/eli/reg/2024/2509/oj</w:t>
        </w:r>
      </w:hyperlink>
      <w:r w:rsidRPr="00E51DFE">
        <w:rPr>
          <w:sz w:val="24"/>
          <w:lang w:val="cs-CZ"/>
        </w:rPr>
        <w:t>.</w:t>
      </w:r>
    </w:p>
  </w:footnote>
  <w:footnote w:id="47">
    <w:p w14:paraId="10A34231"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90, ELI: </w:t>
      </w:r>
      <w:hyperlink r:id="rId47" w:history="1">
        <w:r w:rsidRPr="00E51DFE">
          <w:rPr>
            <w:rStyle w:val="Hyperlink1"/>
            <w:sz w:val="24"/>
            <w:lang w:val="cs-CZ"/>
          </w:rPr>
          <w:t>https://data.europa.eu/eli/reg/2019/128/oj</w:t>
        </w:r>
      </w:hyperlink>
      <w:r w:rsidRPr="00E51DFE">
        <w:rPr>
          <w:sz w:val="24"/>
          <w:lang w:val="cs-CZ"/>
        </w:rPr>
        <w:t>.</w:t>
      </w:r>
    </w:p>
  </w:footnote>
  <w:footnote w:id="48">
    <w:p w14:paraId="622F1CCD" w14:textId="77777777" w:rsidR="00872DB8" w:rsidRPr="00EA4F8F" w:rsidRDefault="00872DB8" w:rsidP="00872DB8">
      <w:pPr>
        <w:pStyle w:val="FootnoteText"/>
        <w:ind w:left="567" w:hanging="567"/>
        <w:rPr>
          <w:sz w:val="24"/>
          <w:lang w:val="cs-CZ"/>
        </w:rPr>
      </w:pPr>
      <w:r w:rsidRPr="00EA4F8F">
        <w:rPr>
          <w:rStyle w:val="FootnoteReference"/>
          <w:sz w:val="24"/>
        </w:rPr>
        <w:footnoteRef/>
      </w:r>
      <w:r w:rsidRPr="00EA4F8F">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48" w:history="1">
        <w:r w:rsidRPr="00E51DFE">
          <w:rPr>
            <w:rStyle w:val="Hyperlink1"/>
            <w:sz w:val="24"/>
            <w:lang w:val="cs-CZ"/>
          </w:rPr>
          <w:t>http://data.europa.eu/eli/reg_del/2019/715/oj</w:t>
        </w:r>
      </w:hyperlink>
      <w:r w:rsidRPr="00E51DFE">
        <w:rPr>
          <w:sz w:val="24"/>
          <w:lang w:val="cs-CZ"/>
        </w:rPr>
        <w:t>.</w:t>
      </w:r>
    </w:p>
  </w:footnote>
  <w:footnote w:id="49">
    <w:p w14:paraId="4470DDDB"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49" w:history="1">
        <w:r w:rsidRPr="00E51DFE">
          <w:rPr>
            <w:rStyle w:val="Hyperlink1"/>
            <w:sz w:val="24"/>
            <w:lang w:val="cs-CZ"/>
          </w:rPr>
          <w:t>http://data.europa.eu/eli/C/2024/6332/oj</w:t>
        </w:r>
      </w:hyperlink>
      <w:r w:rsidRPr="00E51DFE">
        <w:rPr>
          <w:sz w:val="24"/>
          <w:lang w:val="cs-CZ"/>
        </w:rPr>
        <w:t>.</w:t>
      </w:r>
    </w:p>
  </w:footnote>
  <w:footnote w:id="50">
    <w:p w14:paraId="38FBFE4A"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50" w:history="1">
        <w:r w:rsidRPr="00E51DFE">
          <w:rPr>
            <w:rStyle w:val="Hyperlink1"/>
            <w:sz w:val="24"/>
            <w:lang w:val="cs-CZ"/>
          </w:rPr>
          <w:t>http://data.europa.eu/eli/C/2024/6041/oj</w:t>
        </w:r>
      </w:hyperlink>
      <w:r w:rsidRPr="00E51DFE">
        <w:rPr>
          <w:sz w:val="24"/>
          <w:lang w:val="cs-CZ"/>
        </w:rPr>
        <w:t>.</w:t>
      </w:r>
    </w:p>
  </w:footnote>
  <w:footnote w:id="51">
    <w:p w14:paraId="36572DA8"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51" w:history="1">
        <w:r w:rsidRPr="00E51DFE">
          <w:rPr>
            <w:rStyle w:val="Hyperlink1"/>
            <w:sz w:val="24"/>
            <w:lang w:val="cs-CZ"/>
          </w:rPr>
          <w:t>http://data.europa.eu/eli/reg/2018/1046/oj</w:t>
        </w:r>
      </w:hyperlink>
      <w:r w:rsidRPr="00E51DFE">
        <w:rPr>
          <w:sz w:val="24"/>
          <w:lang w:val="cs-CZ"/>
        </w:rPr>
        <w:t>.</w:t>
      </w:r>
    </w:p>
  </w:footnote>
  <w:footnote w:id="52">
    <w:p w14:paraId="497F5887"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52" w:history="1">
        <w:r w:rsidRPr="00E51DFE">
          <w:rPr>
            <w:rStyle w:val="Hyperlink1"/>
            <w:sz w:val="24"/>
            <w:lang w:val="cs-CZ"/>
          </w:rPr>
          <w:t>http://data.europa.eu/eli/reg/2024/2509/oj</w:t>
        </w:r>
      </w:hyperlink>
      <w:r w:rsidRPr="00E51DFE">
        <w:rPr>
          <w:sz w:val="24"/>
          <w:lang w:val="cs-CZ"/>
        </w:rPr>
        <w:t>.</w:t>
      </w:r>
    </w:p>
  </w:footnote>
  <w:footnote w:id="53">
    <w:p w14:paraId="35740C5C"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319, 4.12.2015, s. 1, ELI: </w:t>
      </w:r>
      <w:hyperlink r:id="rId53" w:history="1">
        <w:r w:rsidRPr="00E51DFE">
          <w:rPr>
            <w:rStyle w:val="Hyperlink1"/>
            <w:sz w:val="24"/>
            <w:lang w:val="cs-CZ"/>
          </w:rPr>
          <w:t>https://data.europa.eu/eli/reg/2015/2219/oj</w:t>
        </w:r>
      </w:hyperlink>
      <w:r w:rsidRPr="00E51DFE">
        <w:rPr>
          <w:sz w:val="24"/>
          <w:lang w:val="cs-CZ"/>
        </w:rPr>
        <w:t>.</w:t>
      </w:r>
    </w:p>
  </w:footnote>
  <w:footnote w:id="54">
    <w:p w14:paraId="400AECAE" w14:textId="77777777" w:rsidR="00872DB8" w:rsidRPr="00FA54E3" w:rsidRDefault="00872DB8" w:rsidP="00872DB8">
      <w:pPr>
        <w:pStyle w:val="FootnoteText"/>
        <w:ind w:left="567" w:hanging="567"/>
        <w:rPr>
          <w:sz w:val="24"/>
          <w:lang w:val="cs-CZ"/>
        </w:rPr>
      </w:pPr>
      <w:r w:rsidRPr="00FA54E3">
        <w:rPr>
          <w:rStyle w:val="FootnoteReference"/>
          <w:sz w:val="24"/>
        </w:rPr>
        <w:footnoteRef/>
      </w:r>
      <w:r w:rsidRPr="00FA54E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54" w:history="1">
        <w:r w:rsidRPr="00E51DFE">
          <w:rPr>
            <w:rStyle w:val="Hyperlink1"/>
            <w:sz w:val="24"/>
            <w:lang w:val="cs-CZ"/>
          </w:rPr>
          <w:t>http://data.europa.eu/eli/reg_del/2019/715/oj</w:t>
        </w:r>
      </w:hyperlink>
      <w:r w:rsidRPr="00E51DFE">
        <w:rPr>
          <w:sz w:val="24"/>
          <w:lang w:val="cs-CZ"/>
        </w:rPr>
        <w:t>.</w:t>
      </w:r>
    </w:p>
  </w:footnote>
  <w:footnote w:id="55">
    <w:p w14:paraId="7E269F15"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55" w:history="1">
        <w:r w:rsidRPr="00E51DFE">
          <w:rPr>
            <w:rStyle w:val="Hyperlink1"/>
            <w:sz w:val="24"/>
            <w:lang w:val="cs-CZ"/>
          </w:rPr>
          <w:t>http://data.europa.eu/eli/C/2024/6332/oj</w:t>
        </w:r>
      </w:hyperlink>
      <w:r w:rsidRPr="00E51DFE">
        <w:rPr>
          <w:sz w:val="24"/>
          <w:lang w:val="cs-CZ"/>
        </w:rPr>
        <w:t>.</w:t>
      </w:r>
    </w:p>
  </w:footnote>
  <w:footnote w:id="56">
    <w:p w14:paraId="2AB1DA99"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56" w:history="1">
        <w:r w:rsidRPr="00E51DFE">
          <w:rPr>
            <w:rStyle w:val="Hyperlink1"/>
            <w:sz w:val="24"/>
            <w:lang w:val="cs-CZ"/>
          </w:rPr>
          <w:t>http://data.europa.eu/eli/C/2024/6041/oj</w:t>
        </w:r>
      </w:hyperlink>
      <w:r w:rsidRPr="00E51DFE">
        <w:rPr>
          <w:sz w:val="24"/>
          <w:lang w:val="cs-CZ"/>
        </w:rPr>
        <w:t>.</w:t>
      </w:r>
    </w:p>
  </w:footnote>
  <w:footnote w:id="57">
    <w:p w14:paraId="041BDDB4"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57" w:history="1">
        <w:r w:rsidRPr="00E51DFE">
          <w:rPr>
            <w:rStyle w:val="Hyperlink1"/>
            <w:sz w:val="24"/>
            <w:lang w:val="cs-CZ"/>
          </w:rPr>
          <w:t>http://data.europa.eu/eli/reg/2018/1046/oj</w:t>
        </w:r>
      </w:hyperlink>
      <w:r w:rsidRPr="00E51DFE">
        <w:rPr>
          <w:sz w:val="24"/>
          <w:lang w:val="cs-CZ"/>
        </w:rPr>
        <w:t>.</w:t>
      </w:r>
    </w:p>
  </w:footnote>
  <w:footnote w:id="58">
    <w:p w14:paraId="3C14E5C2"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58" w:history="1">
        <w:r w:rsidRPr="00E51DFE">
          <w:rPr>
            <w:rStyle w:val="Hyperlink1"/>
            <w:sz w:val="24"/>
            <w:lang w:val="cs-CZ"/>
          </w:rPr>
          <w:t>http://data.europa.eu/eli/reg/2024/2509/oj</w:t>
        </w:r>
      </w:hyperlink>
      <w:r w:rsidRPr="00E51DFE">
        <w:rPr>
          <w:sz w:val="24"/>
          <w:lang w:val="cs-CZ"/>
        </w:rPr>
        <w:t>.</w:t>
      </w:r>
    </w:p>
  </w:footnote>
  <w:footnote w:id="59">
    <w:p w14:paraId="08BF1321"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319, 4.12.2015, s. 1, ELI: </w:t>
      </w:r>
      <w:hyperlink r:id="rId59" w:history="1">
        <w:r w:rsidRPr="00E51DFE">
          <w:rPr>
            <w:rStyle w:val="Hyperlink1"/>
            <w:sz w:val="24"/>
            <w:lang w:val="cs-CZ"/>
          </w:rPr>
          <w:t>https://data.europa.eu/eli/reg/2015/2219/oj</w:t>
        </w:r>
      </w:hyperlink>
      <w:r w:rsidRPr="00E51DFE">
        <w:rPr>
          <w:sz w:val="24"/>
          <w:lang w:val="cs-CZ"/>
        </w:rPr>
        <w:t>.</w:t>
      </w:r>
    </w:p>
  </w:footnote>
  <w:footnote w:id="60">
    <w:p w14:paraId="254D8FB0" w14:textId="77777777" w:rsidR="00872DB8" w:rsidRPr="00584CEA" w:rsidRDefault="00872DB8" w:rsidP="00872DB8">
      <w:pPr>
        <w:pStyle w:val="FootnoteText"/>
        <w:ind w:left="567" w:hanging="567"/>
        <w:rPr>
          <w:sz w:val="24"/>
          <w:lang w:val="cs-CZ"/>
        </w:rPr>
      </w:pPr>
      <w:r w:rsidRPr="00584CEA">
        <w:rPr>
          <w:rStyle w:val="FootnoteReference"/>
          <w:sz w:val="24"/>
        </w:rPr>
        <w:footnoteRef/>
      </w:r>
      <w:r w:rsidRPr="00584C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60" w:history="1">
        <w:r w:rsidRPr="00E51DFE">
          <w:rPr>
            <w:rStyle w:val="Hyperlink1"/>
            <w:sz w:val="24"/>
            <w:lang w:val="cs-CZ"/>
          </w:rPr>
          <w:t>http://data.europa.eu/eli/reg_del/2019/715/oj</w:t>
        </w:r>
      </w:hyperlink>
      <w:r w:rsidRPr="00E51DFE">
        <w:rPr>
          <w:sz w:val="24"/>
          <w:lang w:val="cs-CZ"/>
        </w:rPr>
        <w:t>.</w:t>
      </w:r>
    </w:p>
  </w:footnote>
  <w:footnote w:id="61">
    <w:p w14:paraId="2B8E1D58"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61" w:history="1">
        <w:r w:rsidRPr="00E51DFE">
          <w:rPr>
            <w:rStyle w:val="Hyperlink1"/>
            <w:sz w:val="24"/>
            <w:lang w:val="cs-CZ"/>
          </w:rPr>
          <w:t>http://data.europa.eu/eli/C/2024/6332/oj</w:t>
        </w:r>
      </w:hyperlink>
      <w:r w:rsidRPr="00E51DFE">
        <w:rPr>
          <w:sz w:val="24"/>
          <w:lang w:val="cs-CZ"/>
        </w:rPr>
        <w:t>.</w:t>
      </w:r>
    </w:p>
  </w:footnote>
  <w:footnote w:id="62">
    <w:p w14:paraId="06087A9C"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62" w:history="1">
        <w:r w:rsidRPr="00E51DFE">
          <w:rPr>
            <w:rStyle w:val="Hyperlink1"/>
            <w:sz w:val="24"/>
            <w:lang w:val="cs-CZ"/>
          </w:rPr>
          <w:t>http://data.europa.eu/eli/C/2024/6041/oj</w:t>
        </w:r>
      </w:hyperlink>
      <w:r w:rsidRPr="00E51DFE">
        <w:rPr>
          <w:sz w:val="24"/>
          <w:lang w:val="cs-CZ"/>
        </w:rPr>
        <w:t>.</w:t>
      </w:r>
    </w:p>
  </w:footnote>
  <w:footnote w:id="63">
    <w:p w14:paraId="0E546AA6"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63" w:history="1">
        <w:r w:rsidRPr="00E51DFE">
          <w:rPr>
            <w:rStyle w:val="Hyperlink1"/>
            <w:sz w:val="24"/>
            <w:lang w:val="cs-CZ"/>
          </w:rPr>
          <w:t>http://data.europa.eu/eli/reg/2018/1046/oj</w:t>
        </w:r>
      </w:hyperlink>
      <w:r w:rsidRPr="00E51DFE">
        <w:rPr>
          <w:sz w:val="24"/>
          <w:lang w:val="cs-CZ"/>
        </w:rPr>
        <w:t>.</w:t>
      </w:r>
    </w:p>
  </w:footnote>
  <w:footnote w:id="64">
    <w:p w14:paraId="578C09B7"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64" w:history="1">
        <w:r w:rsidRPr="00E51DFE">
          <w:rPr>
            <w:rStyle w:val="Hyperlink1"/>
            <w:sz w:val="24"/>
            <w:lang w:val="cs-CZ"/>
          </w:rPr>
          <w:t>http://data.europa.eu/eli/reg/2024/2509/oj</w:t>
        </w:r>
      </w:hyperlink>
      <w:r w:rsidRPr="00E51DFE">
        <w:rPr>
          <w:sz w:val="24"/>
          <w:lang w:val="cs-CZ"/>
        </w:rPr>
        <w:t>.</w:t>
      </w:r>
    </w:p>
  </w:footnote>
  <w:footnote w:id="65">
    <w:p w14:paraId="325DA027"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212, 22.8.2018, s. 1, ELI: </w:t>
      </w:r>
      <w:hyperlink r:id="rId65" w:history="1">
        <w:r w:rsidRPr="00E51DFE">
          <w:rPr>
            <w:rStyle w:val="Hyperlink1"/>
            <w:sz w:val="24"/>
            <w:lang w:val="cs-CZ"/>
          </w:rPr>
          <w:t>https://data.europa.eu/eli/reg/2018/1139/oj</w:t>
        </w:r>
      </w:hyperlink>
      <w:r w:rsidRPr="00E51DFE">
        <w:rPr>
          <w:sz w:val="24"/>
          <w:lang w:val="cs-CZ"/>
        </w:rPr>
        <w:t>.</w:t>
      </w:r>
    </w:p>
  </w:footnote>
  <w:footnote w:id="66">
    <w:p w14:paraId="4CD5B682" w14:textId="77777777" w:rsidR="00872DB8" w:rsidRPr="00423E0E" w:rsidRDefault="00872DB8" w:rsidP="00872DB8">
      <w:pPr>
        <w:pStyle w:val="FootnoteText"/>
        <w:ind w:left="567" w:hanging="567"/>
        <w:rPr>
          <w:sz w:val="24"/>
          <w:lang w:val="cs-CZ"/>
        </w:rPr>
      </w:pPr>
      <w:r w:rsidRPr="00423E0E">
        <w:rPr>
          <w:rStyle w:val="FootnoteReference"/>
          <w:sz w:val="24"/>
        </w:rPr>
        <w:footnoteRef/>
      </w:r>
      <w:r w:rsidRPr="00423E0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66" w:history="1">
        <w:r w:rsidRPr="00E51DFE">
          <w:rPr>
            <w:rStyle w:val="Hyperlink1"/>
            <w:sz w:val="24"/>
            <w:lang w:val="cs-CZ"/>
          </w:rPr>
          <w:t>http://data.europa.eu/eli/reg_del/2019/715/oj</w:t>
        </w:r>
      </w:hyperlink>
      <w:r w:rsidRPr="00E51DFE">
        <w:rPr>
          <w:sz w:val="24"/>
          <w:lang w:val="cs-CZ"/>
        </w:rPr>
        <w:t>.</w:t>
      </w:r>
    </w:p>
  </w:footnote>
  <w:footnote w:id="67">
    <w:p w14:paraId="3DC777DD"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67" w:history="1">
        <w:r w:rsidRPr="00E51DFE">
          <w:rPr>
            <w:rStyle w:val="Hyperlink1"/>
            <w:sz w:val="24"/>
            <w:lang w:val="cs-CZ"/>
          </w:rPr>
          <w:t>http://data.europa.eu/eli/C/2024/6332/oj</w:t>
        </w:r>
      </w:hyperlink>
      <w:r w:rsidRPr="00E51DFE">
        <w:rPr>
          <w:sz w:val="24"/>
          <w:lang w:val="cs-CZ"/>
        </w:rPr>
        <w:t>.</w:t>
      </w:r>
    </w:p>
  </w:footnote>
  <w:footnote w:id="68">
    <w:p w14:paraId="284E1C93"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68" w:history="1">
        <w:r w:rsidRPr="00E51DFE">
          <w:rPr>
            <w:rStyle w:val="Hyperlink1"/>
            <w:sz w:val="24"/>
            <w:lang w:val="cs-CZ"/>
          </w:rPr>
          <w:t>http://data.europa.eu/eli/C/2024/6041/oj</w:t>
        </w:r>
      </w:hyperlink>
      <w:r w:rsidRPr="00E51DFE">
        <w:rPr>
          <w:sz w:val="24"/>
          <w:lang w:val="cs-CZ"/>
        </w:rPr>
        <w:t>.</w:t>
      </w:r>
    </w:p>
  </w:footnote>
  <w:footnote w:id="69">
    <w:p w14:paraId="57AAEB39"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69" w:history="1">
        <w:r w:rsidRPr="00E51DFE">
          <w:rPr>
            <w:rStyle w:val="Hyperlink1"/>
            <w:sz w:val="24"/>
            <w:lang w:val="cs-CZ"/>
          </w:rPr>
          <w:t>http://data.europa.eu/eli/reg/2018/1046/oj</w:t>
        </w:r>
      </w:hyperlink>
      <w:r w:rsidRPr="00E51DFE">
        <w:rPr>
          <w:sz w:val="24"/>
          <w:lang w:val="cs-CZ"/>
        </w:rPr>
        <w:t>.</w:t>
      </w:r>
    </w:p>
  </w:footnote>
  <w:footnote w:id="70">
    <w:p w14:paraId="530ECFE9"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70" w:history="1">
        <w:r w:rsidRPr="00E51DFE">
          <w:rPr>
            <w:rStyle w:val="Hyperlink1"/>
            <w:sz w:val="24"/>
            <w:lang w:val="cs-CZ"/>
          </w:rPr>
          <w:t>http://data.europa.eu/eli/reg/2024/2509/oj</w:t>
        </w:r>
      </w:hyperlink>
      <w:r w:rsidRPr="00E51DFE">
        <w:rPr>
          <w:sz w:val="24"/>
          <w:lang w:val="cs-CZ"/>
        </w:rPr>
        <w:t>.</w:t>
      </w:r>
    </w:p>
  </w:footnote>
  <w:footnote w:id="71">
    <w:p w14:paraId="7A4AEE30"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212, 22.8.2018, s. 1, ELI: </w:t>
      </w:r>
      <w:hyperlink r:id="rId71" w:history="1">
        <w:r w:rsidRPr="00E51DFE">
          <w:rPr>
            <w:rStyle w:val="Hyperlink1"/>
            <w:sz w:val="24"/>
            <w:lang w:val="cs-CZ"/>
          </w:rPr>
          <w:t>https://data.europa.eu/eli/reg/2018/1139/oj</w:t>
        </w:r>
      </w:hyperlink>
      <w:r w:rsidRPr="00E51DFE">
        <w:rPr>
          <w:sz w:val="24"/>
          <w:lang w:val="cs-CZ"/>
        </w:rPr>
        <w:t>.</w:t>
      </w:r>
    </w:p>
  </w:footnote>
  <w:footnote w:id="72">
    <w:p w14:paraId="27A0B1C2" w14:textId="77777777" w:rsidR="00872DB8" w:rsidRPr="00FC07DC" w:rsidRDefault="00872DB8" w:rsidP="00872DB8">
      <w:pPr>
        <w:pStyle w:val="FootnoteText"/>
        <w:ind w:left="567" w:hanging="567"/>
        <w:rPr>
          <w:sz w:val="24"/>
          <w:lang w:val="cs-CZ"/>
        </w:rPr>
      </w:pPr>
      <w:r w:rsidRPr="00FC07DC">
        <w:rPr>
          <w:rStyle w:val="FootnoteReference"/>
          <w:sz w:val="24"/>
        </w:rPr>
        <w:footnoteRef/>
      </w:r>
      <w:r w:rsidRPr="00FC07D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72" w:history="1">
        <w:r w:rsidRPr="00E51DFE">
          <w:rPr>
            <w:rStyle w:val="Hyperlink1"/>
            <w:sz w:val="24"/>
            <w:lang w:val="cs-CZ"/>
          </w:rPr>
          <w:t>http://data.europa.eu/eli/reg_del/2019/715/oj</w:t>
        </w:r>
      </w:hyperlink>
      <w:r w:rsidRPr="00E51DFE">
        <w:rPr>
          <w:sz w:val="24"/>
          <w:lang w:val="cs-CZ"/>
        </w:rPr>
        <w:t>.</w:t>
      </w:r>
    </w:p>
  </w:footnote>
  <w:footnote w:id="73">
    <w:p w14:paraId="5AD01EF1"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73" w:history="1">
        <w:r w:rsidRPr="00E51DFE">
          <w:rPr>
            <w:rStyle w:val="Hyperlink1"/>
            <w:sz w:val="24"/>
            <w:lang w:val="cs-CZ"/>
          </w:rPr>
          <w:t>http://data.europa.eu/eli/C/2024/6332/oj</w:t>
        </w:r>
      </w:hyperlink>
      <w:r w:rsidRPr="00E51DFE">
        <w:rPr>
          <w:sz w:val="24"/>
          <w:lang w:val="cs-CZ"/>
        </w:rPr>
        <w:t>.</w:t>
      </w:r>
    </w:p>
  </w:footnote>
  <w:footnote w:id="74">
    <w:p w14:paraId="7D3FD79E"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74" w:history="1">
        <w:r w:rsidRPr="00E51DFE">
          <w:rPr>
            <w:rStyle w:val="Hyperlink1"/>
            <w:sz w:val="24"/>
            <w:lang w:val="cs-CZ"/>
          </w:rPr>
          <w:t>http://data.europa.eu/eli/C/2024/6041/oj</w:t>
        </w:r>
      </w:hyperlink>
      <w:r w:rsidRPr="00E51DFE">
        <w:rPr>
          <w:sz w:val="24"/>
          <w:lang w:val="cs-CZ"/>
        </w:rPr>
        <w:t>.</w:t>
      </w:r>
    </w:p>
  </w:footnote>
  <w:footnote w:id="75">
    <w:p w14:paraId="153FC0F6"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75" w:history="1">
        <w:r w:rsidRPr="00E51DFE">
          <w:rPr>
            <w:rStyle w:val="Hyperlink1"/>
            <w:sz w:val="24"/>
            <w:lang w:val="cs-CZ"/>
          </w:rPr>
          <w:t>http://data.europa.eu/eli/reg/2018/1046/oj</w:t>
        </w:r>
      </w:hyperlink>
      <w:r w:rsidRPr="00E51DFE">
        <w:rPr>
          <w:sz w:val="24"/>
          <w:lang w:val="cs-CZ"/>
        </w:rPr>
        <w:t>.</w:t>
      </w:r>
    </w:p>
  </w:footnote>
  <w:footnote w:id="76">
    <w:p w14:paraId="49DA5AE2"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76" w:history="1">
        <w:r w:rsidRPr="00E51DFE">
          <w:rPr>
            <w:rStyle w:val="Hyperlink1"/>
            <w:sz w:val="24"/>
            <w:lang w:val="cs-CZ"/>
          </w:rPr>
          <w:t>http://data.europa.eu/eli/reg/2024/2509/oj</w:t>
        </w:r>
      </w:hyperlink>
      <w:r w:rsidRPr="00E51DFE">
        <w:rPr>
          <w:sz w:val="24"/>
          <w:lang w:val="cs-CZ"/>
        </w:rPr>
        <w:t>.</w:t>
      </w:r>
    </w:p>
  </w:footnote>
  <w:footnote w:id="77">
    <w:p w14:paraId="58DD6ECF"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12, ELI: </w:t>
      </w:r>
      <w:hyperlink r:id="rId77" w:history="1">
        <w:r w:rsidRPr="00E51DFE">
          <w:rPr>
            <w:rStyle w:val="Hyperlink1"/>
            <w:sz w:val="24"/>
            <w:lang w:val="cs-CZ"/>
          </w:rPr>
          <w:t>https://data.europa.eu/eli/reg/2010/1093/oj</w:t>
        </w:r>
      </w:hyperlink>
      <w:r w:rsidRPr="00E51DFE">
        <w:rPr>
          <w:sz w:val="24"/>
          <w:lang w:val="cs-CZ"/>
        </w:rPr>
        <w:t>.</w:t>
      </w:r>
    </w:p>
  </w:footnote>
  <w:footnote w:id="78">
    <w:p w14:paraId="41F0EBD1" w14:textId="77777777" w:rsidR="00872DB8" w:rsidRPr="00E90674" w:rsidRDefault="00872DB8" w:rsidP="00872DB8">
      <w:pPr>
        <w:pStyle w:val="FootnoteText"/>
        <w:ind w:left="567" w:hanging="567"/>
        <w:rPr>
          <w:sz w:val="24"/>
          <w:lang w:val="cs-CZ"/>
        </w:rPr>
      </w:pPr>
      <w:r w:rsidRPr="00E90674">
        <w:rPr>
          <w:rStyle w:val="FootnoteReference"/>
          <w:sz w:val="24"/>
        </w:rPr>
        <w:footnoteRef/>
      </w:r>
      <w:r w:rsidRPr="00E9067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78" w:history="1">
        <w:r w:rsidRPr="00E51DFE">
          <w:rPr>
            <w:rStyle w:val="Hyperlink1"/>
            <w:sz w:val="24"/>
            <w:lang w:val="cs-CZ"/>
          </w:rPr>
          <w:t>http://data.europa.eu/eli/reg_del/2019/715/oj</w:t>
        </w:r>
      </w:hyperlink>
      <w:r w:rsidRPr="00E51DFE">
        <w:rPr>
          <w:sz w:val="24"/>
          <w:lang w:val="cs-CZ"/>
        </w:rPr>
        <w:t>.</w:t>
      </w:r>
    </w:p>
  </w:footnote>
  <w:footnote w:id="79">
    <w:p w14:paraId="52938AFD"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79" w:history="1">
        <w:r w:rsidRPr="00E51DFE">
          <w:rPr>
            <w:rStyle w:val="Hyperlink1"/>
            <w:sz w:val="24"/>
            <w:lang w:val="cs-CZ"/>
          </w:rPr>
          <w:t>http://data.europa.eu/eli/C/2024/6332/oj</w:t>
        </w:r>
      </w:hyperlink>
      <w:r w:rsidRPr="00E51DFE">
        <w:rPr>
          <w:sz w:val="24"/>
          <w:lang w:val="cs-CZ"/>
        </w:rPr>
        <w:t>.</w:t>
      </w:r>
    </w:p>
  </w:footnote>
  <w:footnote w:id="80">
    <w:p w14:paraId="0147F27E"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80" w:history="1">
        <w:r w:rsidRPr="00E51DFE">
          <w:rPr>
            <w:rStyle w:val="Hyperlink1"/>
            <w:sz w:val="24"/>
            <w:lang w:val="cs-CZ"/>
          </w:rPr>
          <w:t>http://data.europa.eu/eli/C/2024/6041/oj</w:t>
        </w:r>
      </w:hyperlink>
      <w:r w:rsidRPr="00E51DFE">
        <w:rPr>
          <w:sz w:val="24"/>
          <w:lang w:val="cs-CZ"/>
        </w:rPr>
        <w:t>.</w:t>
      </w:r>
    </w:p>
  </w:footnote>
  <w:footnote w:id="81">
    <w:p w14:paraId="402E7270"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81" w:history="1">
        <w:r w:rsidRPr="00E51DFE">
          <w:rPr>
            <w:rStyle w:val="Hyperlink1"/>
            <w:sz w:val="24"/>
            <w:lang w:val="cs-CZ"/>
          </w:rPr>
          <w:t>http://data.europa.eu/eli/reg/2018/1046/oj</w:t>
        </w:r>
      </w:hyperlink>
      <w:r w:rsidRPr="00E51DFE">
        <w:rPr>
          <w:sz w:val="24"/>
          <w:lang w:val="cs-CZ"/>
        </w:rPr>
        <w:t>.</w:t>
      </w:r>
    </w:p>
  </w:footnote>
  <w:footnote w:id="82">
    <w:p w14:paraId="50E90209"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82" w:history="1">
        <w:r w:rsidRPr="00E51DFE">
          <w:rPr>
            <w:rStyle w:val="Hyperlink1"/>
            <w:sz w:val="24"/>
            <w:lang w:val="cs-CZ"/>
          </w:rPr>
          <w:t>http://data.europa.eu/eli/reg/2024/2509/oj</w:t>
        </w:r>
      </w:hyperlink>
      <w:r w:rsidRPr="00E51DFE">
        <w:rPr>
          <w:sz w:val="24"/>
          <w:lang w:val="cs-CZ"/>
        </w:rPr>
        <w:t>.</w:t>
      </w:r>
    </w:p>
  </w:footnote>
  <w:footnote w:id="83">
    <w:p w14:paraId="1600064A"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12, ELI: </w:t>
      </w:r>
      <w:hyperlink r:id="rId83" w:history="1">
        <w:r w:rsidRPr="00E51DFE">
          <w:rPr>
            <w:rStyle w:val="Hyperlink1"/>
            <w:sz w:val="24"/>
            <w:lang w:val="cs-CZ"/>
          </w:rPr>
          <w:t>https://data.europa.eu/eli/reg/2010/1093/oj</w:t>
        </w:r>
      </w:hyperlink>
      <w:r w:rsidRPr="00E51DFE">
        <w:rPr>
          <w:sz w:val="24"/>
          <w:lang w:val="cs-CZ"/>
        </w:rPr>
        <w:t>.</w:t>
      </w:r>
    </w:p>
  </w:footnote>
  <w:footnote w:id="84">
    <w:p w14:paraId="19FDF165" w14:textId="77777777" w:rsidR="00872DB8" w:rsidRPr="001156A2" w:rsidRDefault="00872DB8" w:rsidP="00872DB8">
      <w:pPr>
        <w:pStyle w:val="FootnoteText"/>
        <w:ind w:left="567" w:hanging="567"/>
        <w:rPr>
          <w:sz w:val="24"/>
          <w:lang w:val="cs-CZ"/>
        </w:rPr>
      </w:pPr>
      <w:r w:rsidRPr="001156A2">
        <w:rPr>
          <w:rStyle w:val="FootnoteReference"/>
          <w:sz w:val="24"/>
        </w:rPr>
        <w:footnoteRef/>
      </w:r>
      <w:r w:rsidRPr="001156A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84" w:history="1">
        <w:r w:rsidRPr="00E51DFE">
          <w:rPr>
            <w:rStyle w:val="Hyperlink1"/>
            <w:sz w:val="24"/>
            <w:lang w:val="cs-CZ"/>
          </w:rPr>
          <w:t>http://data.europa.eu/eli/reg_del/2019/715/oj</w:t>
        </w:r>
      </w:hyperlink>
      <w:r w:rsidRPr="00E51DFE">
        <w:rPr>
          <w:sz w:val="24"/>
          <w:lang w:val="cs-CZ"/>
        </w:rPr>
        <w:t>.</w:t>
      </w:r>
    </w:p>
  </w:footnote>
  <w:footnote w:id="85">
    <w:p w14:paraId="3E225F1F"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85" w:history="1">
        <w:r w:rsidRPr="00E51DFE">
          <w:rPr>
            <w:rStyle w:val="Hyperlink1"/>
            <w:sz w:val="24"/>
            <w:lang w:val="cs-CZ"/>
          </w:rPr>
          <w:t>http://data.europa.eu/eli/C/2024/6332/oj</w:t>
        </w:r>
      </w:hyperlink>
      <w:r w:rsidRPr="00E51DFE">
        <w:rPr>
          <w:sz w:val="24"/>
          <w:lang w:val="cs-CZ"/>
        </w:rPr>
        <w:t>.</w:t>
      </w:r>
    </w:p>
  </w:footnote>
  <w:footnote w:id="86">
    <w:p w14:paraId="47A80147"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86" w:history="1">
        <w:r w:rsidRPr="00E51DFE">
          <w:rPr>
            <w:rStyle w:val="Hyperlink1"/>
            <w:sz w:val="24"/>
            <w:lang w:val="cs-CZ"/>
          </w:rPr>
          <w:t>http://data.europa.eu/eli/C/2024/6041/oj</w:t>
        </w:r>
      </w:hyperlink>
      <w:r w:rsidRPr="00E51DFE">
        <w:rPr>
          <w:sz w:val="24"/>
          <w:lang w:val="cs-CZ"/>
        </w:rPr>
        <w:t>.</w:t>
      </w:r>
    </w:p>
  </w:footnote>
  <w:footnote w:id="87">
    <w:p w14:paraId="1345D28B"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87" w:history="1">
        <w:r w:rsidRPr="00E51DFE">
          <w:rPr>
            <w:rStyle w:val="Hyperlink1"/>
            <w:sz w:val="24"/>
            <w:lang w:val="cs-CZ"/>
          </w:rPr>
          <w:t>http://data.europa.eu/eli/reg/2018/1046/oj</w:t>
        </w:r>
      </w:hyperlink>
      <w:r w:rsidRPr="00E51DFE">
        <w:rPr>
          <w:sz w:val="24"/>
          <w:lang w:val="cs-CZ"/>
        </w:rPr>
        <w:t>.</w:t>
      </w:r>
    </w:p>
  </w:footnote>
  <w:footnote w:id="88">
    <w:p w14:paraId="78AAD87D"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88" w:history="1">
        <w:r w:rsidRPr="00E51DFE">
          <w:rPr>
            <w:rStyle w:val="Hyperlink1"/>
            <w:sz w:val="24"/>
            <w:lang w:val="cs-CZ"/>
          </w:rPr>
          <w:t>http://data.europa.eu/eli/reg/2024/2509/oj</w:t>
        </w:r>
      </w:hyperlink>
      <w:r w:rsidRPr="00E51DFE">
        <w:rPr>
          <w:sz w:val="24"/>
          <w:lang w:val="cs-CZ"/>
        </w:rPr>
        <w:t>.</w:t>
      </w:r>
    </w:p>
  </w:footnote>
  <w:footnote w:id="89">
    <w:p w14:paraId="4D4023E1"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142, 30.4.2004, s. 1, ELI: </w:t>
      </w:r>
      <w:hyperlink r:id="rId89" w:history="1">
        <w:r w:rsidRPr="00E51DFE">
          <w:rPr>
            <w:rStyle w:val="Hyperlink1"/>
            <w:sz w:val="24"/>
            <w:lang w:val="cs-CZ"/>
          </w:rPr>
          <w:t>https://data.europa.eu/eli/reg/2004/851/oj</w:t>
        </w:r>
      </w:hyperlink>
      <w:r w:rsidRPr="00E51DFE">
        <w:rPr>
          <w:sz w:val="24"/>
          <w:lang w:val="cs-CZ"/>
        </w:rPr>
        <w:t>.</w:t>
      </w:r>
    </w:p>
  </w:footnote>
  <w:footnote w:id="90">
    <w:p w14:paraId="30AD3AF1" w14:textId="77777777" w:rsidR="00872DB8" w:rsidRPr="00B07C72" w:rsidRDefault="00872DB8" w:rsidP="00872DB8">
      <w:pPr>
        <w:pStyle w:val="FootnoteText"/>
        <w:ind w:left="567" w:hanging="567"/>
        <w:rPr>
          <w:sz w:val="24"/>
          <w:lang w:val="cs-CZ"/>
        </w:rPr>
      </w:pPr>
      <w:r w:rsidRPr="00B07C72">
        <w:rPr>
          <w:rStyle w:val="FootnoteReference"/>
          <w:sz w:val="24"/>
        </w:rPr>
        <w:footnoteRef/>
      </w:r>
      <w:r w:rsidRPr="00B07C7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90" w:history="1">
        <w:r w:rsidRPr="00E51DFE">
          <w:rPr>
            <w:rStyle w:val="Hyperlink1"/>
            <w:sz w:val="24"/>
            <w:lang w:val="cs-CZ"/>
          </w:rPr>
          <w:t>http://data.europa.eu/eli/reg_del/2019/715/oj</w:t>
        </w:r>
      </w:hyperlink>
      <w:r w:rsidRPr="00E51DFE">
        <w:rPr>
          <w:sz w:val="24"/>
          <w:lang w:val="cs-CZ"/>
        </w:rPr>
        <w:t>.</w:t>
      </w:r>
    </w:p>
  </w:footnote>
  <w:footnote w:id="91">
    <w:p w14:paraId="00BAFEFB"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91" w:history="1">
        <w:r w:rsidRPr="00E51DFE">
          <w:rPr>
            <w:rStyle w:val="Hyperlink1"/>
            <w:sz w:val="24"/>
            <w:lang w:val="cs-CZ"/>
          </w:rPr>
          <w:t>http://data.europa.eu/eli/C/2024/6332/oj</w:t>
        </w:r>
      </w:hyperlink>
      <w:r w:rsidRPr="00E51DFE">
        <w:rPr>
          <w:sz w:val="24"/>
          <w:lang w:val="cs-CZ"/>
        </w:rPr>
        <w:t>.</w:t>
      </w:r>
    </w:p>
  </w:footnote>
  <w:footnote w:id="92">
    <w:p w14:paraId="20D484FA"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92" w:history="1">
        <w:r w:rsidRPr="00E51DFE">
          <w:rPr>
            <w:rStyle w:val="Hyperlink1"/>
            <w:sz w:val="24"/>
            <w:lang w:val="cs-CZ"/>
          </w:rPr>
          <w:t>http://data.europa.eu/eli/C/2024/6041/oj</w:t>
        </w:r>
      </w:hyperlink>
      <w:r w:rsidRPr="00E51DFE">
        <w:rPr>
          <w:sz w:val="24"/>
          <w:lang w:val="cs-CZ"/>
        </w:rPr>
        <w:t>.</w:t>
      </w:r>
    </w:p>
  </w:footnote>
  <w:footnote w:id="93">
    <w:p w14:paraId="13FE4197"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93" w:history="1">
        <w:r w:rsidRPr="00E51DFE">
          <w:rPr>
            <w:rStyle w:val="Hyperlink1"/>
            <w:sz w:val="24"/>
            <w:lang w:val="cs-CZ"/>
          </w:rPr>
          <w:t>http://data.europa.eu/eli/reg/2018/1046/oj</w:t>
        </w:r>
      </w:hyperlink>
      <w:r w:rsidRPr="00E51DFE">
        <w:rPr>
          <w:sz w:val="24"/>
          <w:lang w:val="cs-CZ"/>
        </w:rPr>
        <w:t>.</w:t>
      </w:r>
    </w:p>
  </w:footnote>
  <w:footnote w:id="94">
    <w:p w14:paraId="1C2709DF"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94" w:history="1">
        <w:r w:rsidRPr="00E51DFE">
          <w:rPr>
            <w:rStyle w:val="Hyperlink1"/>
            <w:sz w:val="24"/>
            <w:lang w:val="cs-CZ"/>
          </w:rPr>
          <w:t>http://data.europa.eu/eli/reg/2024/2509/oj</w:t>
        </w:r>
      </w:hyperlink>
      <w:r w:rsidRPr="00E51DFE">
        <w:rPr>
          <w:sz w:val="24"/>
          <w:lang w:val="cs-CZ"/>
        </w:rPr>
        <w:t>.</w:t>
      </w:r>
    </w:p>
  </w:footnote>
  <w:footnote w:id="95">
    <w:p w14:paraId="20B28133"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142, 30.4.2004, s. 1, ELI: </w:t>
      </w:r>
      <w:hyperlink r:id="rId95" w:history="1">
        <w:r w:rsidRPr="00E51DFE">
          <w:rPr>
            <w:rStyle w:val="Hyperlink1"/>
            <w:sz w:val="24"/>
            <w:lang w:val="cs-CZ"/>
          </w:rPr>
          <w:t>https://data.europa.eu/eli/reg/2004/851/oj</w:t>
        </w:r>
      </w:hyperlink>
      <w:r w:rsidRPr="00E51DFE">
        <w:rPr>
          <w:sz w:val="24"/>
          <w:lang w:val="cs-CZ"/>
        </w:rPr>
        <w:t>.</w:t>
      </w:r>
    </w:p>
  </w:footnote>
  <w:footnote w:id="96">
    <w:p w14:paraId="7B1340CD" w14:textId="77777777" w:rsidR="00872DB8" w:rsidRPr="006E7936" w:rsidRDefault="00872DB8" w:rsidP="00872DB8">
      <w:pPr>
        <w:pStyle w:val="FootnoteText"/>
        <w:ind w:left="567" w:hanging="567"/>
        <w:rPr>
          <w:sz w:val="24"/>
          <w:lang w:val="cs-CZ"/>
        </w:rPr>
      </w:pPr>
      <w:r w:rsidRPr="006E7936">
        <w:rPr>
          <w:rStyle w:val="FootnoteReference"/>
          <w:sz w:val="24"/>
        </w:rPr>
        <w:footnoteRef/>
      </w:r>
      <w:r w:rsidRPr="006E793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96" w:history="1">
        <w:r w:rsidRPr="00E51DFE">
          <w:rPr>
            <w:rStyle w:val="Hyperlink1"/>
            <w:sz w:val="24"/>
            <w:lang w:val="cs-CZ"/>
          </w:rPr>
          <w:t>http://data.europa.eu/eli/reg_del/2019/715/oj</w:t>
        </w:r>
      </w:hyperlink>
      <w:r w:rsidRPr="00E51DFE">
        <w:rPr>
          <w:sz w:val="24"/>
          <w:lang w:val="cs-CZ"/>
        </w:rPr>
        <w:t>.</w:t>
      </w:r>
    </w:p>
  </w:footnote>
  <w:footnote w:id="97">
    <w:p w14:paraId="2CA9F4AB"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97" w:history="1">
        <w:r w:rsidRPr="00E51DFE">
          <w:rPr>
            <w:rStyle w:val="Hyperlink1"/>
            <w:sz w:val="24"/>
            <w:lang w:val="cs-CZ"/>
          </w:rPr>
          <w:t>http://data.europa.eu/eli/C/2024/6332/oj</w:t>
        </w:r>
      </w:hyperlink>
      <w:r w:rsidRPr="00E51DFE">
        <w:rPr>
          <w:sz w:val="24"/>
          <w:lang w:val="cs-CZ"/>
        </w:rPr>
        <w:t>.</w:t>
      </w:r>
    </w:p>
  </w:footnote>
  <w:footnote w:id="98">
    <w:p w14:paraId="0F1C0D7B"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98" w:history="1">
        <w:r w:rsidRPr="00E51DFE">
          <w:rPr>
            <w:rStyle w:val="Hyperlink1"/>
            <w:sz w:val="24"/>
            <w:lang w:val="cs-CZ"/>
          </w:rPr>
          <w:t>http://data.europa.eu/eli/C/2024/6041/oj</w:t>
        </w:r>
      </w:hyperlink>
      <w:r w:rsidRPr="00E51DFE">
        <w:rPr>
          <w:sz w:val="24"/>
          <w:lang w:val="cs-CZ"/>
        </w:rPr>
        <w:t>.</w:t>
      </w:r>
    </w:p>
  </w:footnote>
  <w:footnote w:id="99">
    <w:p w14:paraId="423DD47E"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99" w:history="1">
        <w:r w:rsidRPr="00E51DFE">
          <w:rPr>
            <w:rStyle w:val="Hyperlink1"/>
            <w:sz w:val="24"/>
            <w:lang w:val="cs-CZ"/>
          </w:rPr>
          <w:t>http://data.europa.eu/eli/reg/2018/1046/oj</w:t>
        </w:r>
      </w:hyperlink>
      <w:r w:rsidRPr="00E51DFE">
        <w:rPr>
          <w:sz w:val="24"/>
          <w:lang w:val="cs-CZ"/>
        </w:rPr>
        <w:t>.</w:t>
      </w:r>
    </w:p>
  </w:footnote>
  <w:footnote w:id="100">
    <w:p w14:paraId="590DB113"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00" w:history="1">
        <w:r w:rsidRPr="00E51DFE">
          <w:rPr>
            <w:rStyle w:val="Hyperlink1"/>
            <w:sz w:val="24"/>
            <w:lang w:val="cs-CZ"/>
          </w:rPr>
          <w:t>http://data.europa.eu/eli/reg/2024/2509/oj</w:t>
        </w:r>
      </w:hyperlink>
      <w:r w:rsidRPr="00E51DFE">
        <w:rPr>
          <w:sz w:val="24"/>
          <w:lang w:val="cs-CZ"/>
        </w:rPr>
        <w:t>.</w:t>
      </w:r>
    </w:p>
  </w:footnote>
  <w:footnote w:id="101">
    <w:p w14:paraId="7D4F14CB"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396, 30.12.2006, s. 1, ELI: </w:t>
      </w:r>
      <w:hyperlink r:id="rId101" w:history="1">
        <w:r w:rsidRPr="00E51DFE">
          <w:rPr>
            <w:rStyle w:val="Hyperlink1"/>
            <w:sz w:val="24"/>
            <w:lang w:val="cs-CZ"/>
          </w:rPr>
          <w:t>https://data.europa.eu/eli/reg/2006/1907/oj</w:t>
        </w:r>
      </w:hyperlink>
      <w:r w:rsidRPr="00E51DFE">
        <w:rPr>
          <w:sz w:val="24"/>
          <w:lang w:val="cs-CZ"/>
        </w:rPr>
        <w:t>.</w:t>
      </w:r>
    </w:p>
  </w:footnote>
  <w:footnote w:id="102">
    <w:p w14:paraId="5DDDA95A" w14:textId="77777777" w:rsidR="00872DB8" w:rsidRPr="003E451B" w:rsidRDefault="00872DB8" w:rsidP="00872DB8">
      <w:pPr>
        <w:pStyle w:val="FootnoteText"/>
        <w:ind w:left="567" w:hanging="567"/>
        <w:rPr>
          <w:sz w:val="24"/>
          <w:lang w:val="cs-CZ"/>
        </w:rPr>
      </w:pPr>
      <w:r w:rsidRPr="003E451B">
        <w:rPr>
          <w:rStyle w:val="FootnoteReference"/>
          <w:sz w:val="24"/>
        </w:rPr>
        <w:footnoteRef/>
      </w:r>
      <w:r w:rsidRPr="003E451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02" w:history="1">
        <w:r w:rsidRPr="00E51DFE">
          <w:rPr>
            <w:rStyle w:val="Hyperlink1"/>
            <w:sz w:val="24"/>
            <w:lang w:val="cs-CZ"/>
          </w:rPr>
          <w:t>http://data.europa.eu/eli/reg_del/2019/715/oj</w:t>
        </w:r>
      </w:hyperlink>
      <w:r w:rsidRPr="00E51DFE">
        <w:rPr>
          <w:sz w:val="24"/>
          <w:lang w:val="cs-CZ"/>
        </w:rPr>
        <w:t>.</w:t>
      </w:r>
    </w:p>
  </w:footnote>
  <w:footnote w:id="103">
    <w:p w14:paraId="1BB6DA68"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03" w:history="1">
        <w:r w:rsidRPr="00E51DFE">
          <w:rPr>
            <w:rStyle w:val="Hyperlink1"/>
            <w:sz w:val="24"/>
            <w:lang w:val="cs-CZ"/>
          </w:rPr>
          <w:t>http://data.europa.eu/eli/C/2024/6332/oj</w:t>
        </w:r>
      </w:hyperlink>
      <w:r w:rsidRPr="00E51DFE">
        <w:rPr>
          <w:sz w:val="24"/>
          <w:lang w:val="cs-CZ"/>
        </w:rPr>
        <w:t>.</w:t>
      </w:r>
    </w:p>
  </w:footnote>
  <w:footnote w:id="104">
    <w:p w14:paraId="50E59329"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04" w:history="1">
        <w:r w:rsidRPr="00E51DFE">
          <w:rPr>
            <w:rStyle w:val="Hyperlink1"/>
            <w:sz w:val="24"/>
            <w:lang w:val="cs-CZ"/>
          </w:rPr>
          <w:t>http://data.europa.eu/eli/C/2024/6041/oj</w:t>
        </w:r>
      </w:hyperlink>
      <w:r w:rsidRPr="00E51DFE">
        <w:rPr>
          <w:sz w:val="24"/>
          <w:lang w:val="cs-CZ"/>
        </w:rPr>
        <w:t>.</w:t>
      </w:r>
    </w:p>
  </w:footnote>
  <w:footnote w:id="105">
    <w:p w14:paraId="124B5B66"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05" w:history="1">
        <w:r w:rsidRPr="00E51DFE">
          <w:rPr>
            <w:rStyle w:val="Hyperlink1"/>
            <w:sz w:val="24"/>
            <w:lang w:val="cs-CZ"/>
          </w:rPr>
          <w:t>http://data.europa.eu/eli/reg/2018/1046/oj</w:t>
        </w:r>
      </w:hyperlink>
      <w:r w:rsidRPr="00E51DFE">
        <w:rPr>
          <w:sz w:val="24"/>
          <w:lang w:val="cs-CZ"/>
        </w:rPr>
        <w:t>.</w:t>
      </w:r>
    </w:p>
  </w:footnote>
  <w:footnote w:id="106">
    <w:p w14:paraId="6FFE00D0"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06" w:history="1">
        <w:r w:rsidRPr="00E51DFE">
          <w:rPr>
            <w:rStyle w:val="Hyperlink1"/>
            <w:sz w:val="24"/>
            <w:lang w:val="cs-CZ"/>
          </w:rPr>
          <w:t>http://data.europa.eu/eli/reg/2024/2509/oj</w:t>
        </w:r>
      </w:hyperlink>
      <w:r w:rsidRPr="00E51DFE">
        <w:rPr>
          <w:sz w:val="24"/>
          <w:lang w:val="cs-CZ"/>
        </w:rPr>
        <w:t>.</w:t>
      </w:r>
    </w:p>
  </w:footnote>
  <w:footnote w:id="107">
    <w:p w14:paraId="7E722491"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396, 30.12.2006, s. 1, ELI: </w:t>
      </w:r>
      <w:hyperlink r:id="rId107" w:history="1">
        <w:r w:rsidRPr="00E51DFE">
          <w:rPr>
            <w:rStyle w:val="Hyperlink1"/>
            <w:sz w:val="24"/>
            <w:lang w:val="cs-CZ"/>
          </w:rPr>
          <w:t>https://data.europa.eu/eli/reg/2006/1907/oj</w:t>
        </w:r>
      </w:hyperlink>
      <w:r w:rsidRPr="00E51DFE">
        <w:rPr>
          <w:sz w:val="24"/>
          <w:lang w:val="cs-CZ"/>
        </w:rPr>
        <w:t>.</w:t>
      </w:r>
    </w:p>
  </w:footnote>
  <w:footnote w:id="108">
    <w:p w14:paraId="7BF1DC5D" w14:textId="77777777" w:rsidR="00872DB8" w:rsidRPr="00BF55AD" w:rsidRDefault="00872DB8" w:rsidP="00872DB8">
      <w:pPr>
        <w:pStyle w:val="FootnoteText"/>
        <w:ind w:left="567" w:hanging="567"/>
        <w:rPr>
          <w:sz w:val="24"/>
          <w:lang w:val="cs-CZ"/>
        </w:rPr>
      </w:pPr>
      <w:r w:rsidRPr="00BF55AD">
        <w:rPr>
          <w:rStyle w:val="FootnoteReference"/>
          <w:sz w:val="24"/>
        </w:rPr>
        <w:footnoteRef/>
      </w:r>
      <w:r w:rsidRPr="00BF55A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08" w:history="1">
        <w:r w:rsidRPr="00E51DFE">
          <w:rPr>
            <w:rStyle w:val="Hyperlink1"/>
            <w:sz w:val="24"/>
            <w:lang w:val="cs-CZ"/>
          </w:rPr>
          <w:t>http://data.europa.eu/eli/reg_del/2019/715/oj</w:t>
        </w:r>
      </w:hyperlink>
      <w:r w:rsidRPr="00E51DFE">
        <w:rPr>
          <w:sz w:val="24"/>
          <w:lang w:val="cs-CZ"/>
        </w:rPr>
        <w:t>.</w:t>
      </w:r>
    </w:p>
  </w:footnote>
  <w:footnote w:id="109">
    <w:p w14:paraId="089FC836"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09" w:history="1">
        <w:r w:rsidRPr="00E51DFE">
          <w:rPr>
            <w:rStyle w:val="Hyperlink1"/>
            <w:sz w:val="24"/>
            <w:lang w:val="cs-CZ"/>
          </w:rPr>
          <w:t>http://data.europa.eu/eli/C/2024/6332/oj</w:t>
        </w:r>
      </w:hyperlink>
      <w:r w:rsidRPr="00E51DFE">
        <w:rPr>
          <w:sz w:val="24"/>
          <w:lang w:val="cs-CZ"/>
        </w:rPr>
        <w:t>.</w:t>
      </w:r>
    </w:p>
  </w:footnote>
  <w:footnote w:id="110">
    <w:p w14:paraId="74D06CCC"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10" w:history="1">
        <w:r w:rsidRPr="00E51DFE">
          <w:rPr>
            <w:rStyle w:val="Hyperlink1"/>
            <w:sz w:val="24"/>
            <w:lang w:val="cs-CZ"/>
          </w:rPr>
          <w:t>http://data.europa.eu/eli/C/2024/6041/oj</w:t>
        </w:r>
      </w:hyperlink>
      <w:r w:rsidRPr="00E51DFE">
        <w:rPr>
          <w:sz w:val="24"/>
          <w:lang w:val="cs-CZ"/>
        </w:rPr>
        <w:t>.</w:t>
      </w:r>
    </w:p>
  </w:footnote>
  <w:footnote w:id="111">
    <w:p w14:paraId="7AEABC40"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11" w:history="1">
        <w:r w:rsidRPr="00E51DFE">
          <w:rPr>
            <w:rStyle w:val="Hyperlink1"/>
            <w:sz w:val="24"/>
            <w:lang w:val="cs-CZ"/>
          </w:rPr>
          <w:t>http://data.europa.eu/eli/reg/2018/1046/oj</w:t>
        </w:r>
      </w:hyperlink>
      <w:r w:rsidRPr="00E51DFE">
        <w:rPr>
          <w:sz w:val="24"/>
          <w:lang w:val="cs-CZ"/>
        </w:rPr>
        <w:t>.</w:t>
      </w:r>
    </w:p>
  </w:footnote>
  <w:footnote w:id="112">
    <w:p w14:paraId="1A44E40E"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12" w:history="1">
        <w:r w:rsidRPr="00E51DFE">
          <w:rPr>
            <w:rStyle w:val="Hyperlink1"/>
            <w:sz w:val="24"/>
            <w:lang w:val="cs-CZ"/>
          </w:rPr>
          <w:t>http://data.europa.eu/eli/reg/2024/2509/oj</w:t>
        </w:r>
      </w:hyperlink>
      <w:r w:rsidRPr="00E51DFE">
        <w:rPr>
          <w:sz w:val="24"/>
          <w:lang w:val="cs-CZ"/>
        </w:rPr>
        <w:t>.</w:t>
      </w:r>
    </w:p>
  </w:footnote>
  <w:footnote w:id="113">
    <w:p w14:paraId="5FEDA9DA"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126, 21.5.2009, s. 13, ELI: </w:t>
      </w:r>
      <w:hyperlink r:id="rId113" w:history="1">
        <w:r w:rsidRPr="00E51DFE">
          <w:rPr>
            <w:rStyle w:val="Hyperlink1"/>
            <w:sz w:val="24"/>
            <w:lang w:val="cs-CZ"/>
          </w:rPr>
          <w:t>https://data.europa.eu/eli/reg/2009/401/oj</w:t>
        </w:r>
      </w:hyperlink>
      <w:r w:rsidRPr="00E51DFE">
        <w:rPr>
          <w:sz w:val="24"/>
          <w:lang w:val="cs-CZ"/>
        </w:rPr>
        <w:t>.</w:t>
      </w:r>
    </w:p>
  </w:footnote>
  <w:footnote w:id="114">
    <w:p w14:paraId="3B99F5F3" w14:textId="77777777" w:rsidR="00872DB8" w:rsidRPr="00D803C1" w:rsidRDefault="00872DB8" w:rsidP="00872DB8">
      <w:pPr>
        <w:pStyle w:val="FootnoteText"/>
        <w:ind w:left="567" w:hanging="567"/>
        <w:rPr>
          <w:sz w:val="24"/>
          <w:lang w:val="cs-CZ"/>
        </w:rPr>
      </w:pPr>
      <w:r w:rsidRPr="00D803C1">
        <w:rPr>
          <w:rStyle w:val="FootnoteReference"/>
          <w:sz w:val="24"/>
        </w:rPr>
        <w:footnoteRef/>
      </w:r>
      <w:r w:rsidRPr="00D803C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14" w:history="1">
        <w:r w:rsidRPr="00E51DFE">
          <w:rPr>
            <w:rStyle w:val="Hyperlink1"/>
            <w:sz w:val="24"/>
            <w:lang w:val="cs-CZ"/>
          </w:rPr>
          <w:t>http://data.europa.eu/eli/reg_del/2019/715/oj</w:t>
        </w:r>
      </w:hyperlink>
      <w:r w:rsidRPr="00E51DFE">
        <w:rPr>
          <w:sz w:val="24"/>
          <w:lang w:val="cs-CZ"/>
        </w:rPr>
        <w:t>.</w:t>
      </w:r>
    </w:p>
  </w:footnote>
  <w:footnote w:id="115">
    <w:p w14:paraId="1C7D3862"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15" w:history="1">
        <w:r w:rsidRPr="00E51DFE">
          <w:rPr>
            <w:rStyle w:val="Hyperlink1"/>
            <w:sz w:val="24"/>
            <w:lang w:val="cs-CZ"/>
          </w:rPr>
          <w:t>http://data.europa.eu/eli/C/2024/6332/oj</w:t>
        </w:r>
      </w:hyperlink>
      <w:r w:rsidRPr="00E51DFE">
        <w:rPr>
          <w:sz w:val="24"/>
          <w:lang w:val="cs-CZ"/>
        </w:rPr>
        <w:t>.</w:t>
      </w:r>
    </w:p>
  </w:footnote>
  <w:footnote w:id="116">
    <w:p w14:paraId="0AE8B78F"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16" w:history="1">
        <w:r w:rsidRPr="00E51DFE">
          <w:rPr>
            <w:rStyle w:val="Hyperlink1"/>
            <w:sz w:val="24"/>
            <w:lang w:val="cs-CZ"/>
          </w:rPr>
          <w:t>http://data.europa.eu/eli/C/2024/6041/oj</w:t>
        </w:r>
      </w:hyperlink>
      <w:r w:rsidRPr="00E51DFE">
        <w:rPr>
          <w:sz w:val="24"/>
          <w:lang w:val="cs-CZ"/>
        </w:rPr>
        <w:t>.</w:t>
      </w:r>
    </w:p>
  </w:footnote>
  <w:footnote w:id="117">
    <w:p w14:paraId="1CD6A605"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17" w:history="1">
        <w:r w:rsidRPr="00E51DFE">
          <w:rPr>
            <w:rStyle w:val="Hyperlink1"/>
            <w:sz w:val="24"/>
            <w:lang w:val="cs-CZ"/>
          </w:rPr>
          <w:t>http://data.europa.eu/eli/reg/2018/1046/oj</w:t>
        </w:r>
      </w:hyperlink>
      <w:r w:rsidRPr="00E51DFE">
        <w:rPr>
          <w:sz w:val="24"/>
          <w:lang w:val="cs-CZ"/>
        </w:rPr>
        <w:t>.</w:t>
      </w:r>
    </w:p>
  </w:footnote>
  <w:footnote w:id="118">
    <w:p w14:paraId="71ABC2B7"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18" w:history="1">
        <w:r w:rsidRPr="00E51DFE">
          <w:rPr>
            <w:rStyle w:val="Hyperlink1"/>
            <w:sz w:val="24"/>
            <w:lang w:val="cs-CZ"/>
          </w:rPr>
          <w:t>http://data.europa.eu/eli/reg/2024/2509/oj</w:t>
        </w:r>
      </w:hyperlink>
      <w:r w:rsidRPr="00E51DFE">
        <w:rPr>
          <w:sz w:val="24"/>
          <w:lang w:val="cs-CZ"/>
        </w:rPr>
        <w:t>.</w:t>
      </w:r>
    </w:p>
  </w:footnote>
  <w:footnote w:id="119">
    <w:p w14:paraId="6559C975"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126, 21.5.2009, s. 13, ELI: </w:t>
      </w:r>
      <w:hyperlink r:id="rId119" w:history="1">
        <w:r w:rsidRPr="00E51DFE">
          <w:rPr>
            <w:rStyle w:val="Hyperlink1"/>
            <w:sz w:val="24"/>
            <w:lang w:val="cs-CZ"/>
          </w:rPr>
          <w:t>https://data.europa.eu/eli/reg/2009/401/oj</w:t>
        </w:r>
      </w:hyperlink>
      <w:r w:rsidRPr="00E51DFE">
        <w:rPr>
          <w:sz w:val="24"/>
          <w:lang w:val="cs-CZ"/>
        </w:rPr>
        <w:t>.</w:t>
      </w:r>
    </w:p>
  </w:footnote>
  <w:footnote w:id="120">
    <w:p w14:paraId="40928BC2" w14:textId="77777777" w:rsidR="00872DB8" w:rsidRPr="003E5F6A" w:rsidRDefault="00872DB8" w:rsidP="00872DB8">
      <w:pPr>
        <w:pStyle w:val="FootnoteText"/>
        <w:ind w:left="567" w:hanging="567"/>
        <w:rPr>
          <w:sz w:val="24"/>
          <w:lang w:val="cs-CZ"/>
        </w:rPr>
      </w:pPr>
      <w:r w:rsidRPr="003E5F6A">
        <w:rPr>
          <w:rStyle w:val="FootnoteReference"/>
          <w:sz w:val="24"/>
        </w:rPr>
        <w:footnoteRef/>
      </w:r>
      <w:r w:rsidRPr="003E5F6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20" w:history="1">
        <w:r w:rsidRPr="00E51DFE">
          <w:rPr>
            <w:rStyle w:val="Hyperlink1"/>
            <w:sz w:val="24"/>
            <w:lang w:val="cs-CZ"/>
          </w:rPr>
          <w:t>http://data.europa.eu/eli/reg_del/2019/715/oj</w:t>
        </w:r>
      </w:hyperlink>
      <w:r w:rsidRPr="00E51DFE">
        <w:rPr>
          <w:sz w:val="24"/>
          <w:lang w:val="cs-CZ"/>
        </w:rPr>
        <w:t>.</w:t>
      </w:r>
    </w:p>
  </w:footnote>
  <w:footnote w:id="121">
    <w:p w14:paraId="51086DCA"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21" w:history="1">
        <w:r w:rsidRPr="00E51DFE">
          <w:rPr>
            <w:rStyle w:val="Hyperlink1"/>
            <w:sz w:val="24"/>
            <w:lang w:val="cs-CZ"/>
          </w:rPr>
          <w:t>http://data.europa.eu/eli/C/2024/6332/oj</w:t>
        </w:r>
      </w:hyperlink>
      <w:r w:rsidRPr="00E51DFE">
        <w:rPr>
          <w:sz w:val="24"/>
          <w:lang w:val="cs-CZ"/>
        </w:rPr>
        <w:t>.</w:t>
      </w:r>
    </w:p>
  </w:footnote>
  <w:footnote w:id="122">
    <w:p w14:paraId="4B68AFD4"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22" w:history="1">
        <w:r w:rsidRPr="00E51DFE">
          <w:rPr>
            <w:rStyle w:val="Hyperlink1"/>
            <w:sz w:val="24"/>
            <w:lang w:val="cs-CZ"/>
          </w:rPr>
          <w:t>http://data.europa.eu/eli/C/2024/6041/oj</w:t>
        </w:r>
      </w:hyperlink>
      <w:r w:rsidRPr="00E51DFE">
        <w:rPr>
          <w:sz w:val="24"/>
          <w:lang w:val="cs-CZ"/>
        </w:rPr>
        <w:t>.</w:t>
      </w:r>
    </w:p>
  </w:footnote>
  <w:footnote w:id="123">
    <w:p w14:paraId="0A2E42DE"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23" w:history="1">
        <w:r w:rsidRPr="00E51DFE">
          <w:rPr>
            <w:rStyle w:val="Hyperlink1"/>
            <w:sz w:val="24"/>
            <w:lang w:val="cs-CZ"/>
          </w:rPr>
          <w:t>http://data.europa.eu/eli/reg/2018/1046/oj</w:t>
        </w:r>
      </w:hyperlink>
      <w:r w:rsidRPr="00E51DFE">
        <w:rPr>
          <w:sz w:val="24"/>
          <w:lang w:val="cs-CZ"/>
        </w:rPr>
        <w:t>.</w:t>
      </w:r>
    </w:p>
  </w:footnote>
  <w:footnote w:id="124">
    <w:p w14:paraId="2BC7F2E0"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24" w:history="1">
        <w:r w:rsidRPr="00E51DFE">
          <w:rPr>
            <w:rStyle w:val="Hyperlink1"/>
            <w:sz w:val="24"/>
            <w:lang w:val="cs-CZ"/>
          </w:rPr>
          <w:t>http://data.europa.eu/eli/reg/2024/2509/oj</w:t>
        </w:r>
      </w:hyperlink>
      <w:r w:rsidRPr="00E51DFE">
        <w:rPr>
          <w:sz w:val="24"/>
          <w:lang w:val="cs-CZ"/>
        </w:rPr>
        <w:t>.</w:t>
      </w:r>
    </w:p>
  </w:footnote>
  <w:footnote w:id="125">
    <w:p w14:paraId="30BD4601"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83, 25.3.2019, s. 18, ELI: </w:t>
      </w:r>
      <w:hyperlink r:id="rId125" w:history="1">
        <w:r w:rsidRPr="00E51DFE">
          <w:rPr>
            <w:rStyle w:val="Hyperlink1"/>
            <w:sz w:val="24"/>
            <w:lang w:val="cs-CZ"/>
          </w:rPr>
          <w:t>https://data.europa.eu/eli/reg/2019/473/oj</w:t>
        </w:r>
      </w:hyperlink>
      <w:r w:rsidRPr="00E51DFE">
        <w:rPr>
          <w:sz w:val="24"/>
          <w:lang w:val="cs-CZ"/>
        </w:rPr>
        <w:t>.</w:t>
      </w:r>
    </w:p>
  </w:footnote>
  <w:footnote w:id="126">
    <w:p w14:paraId="68336AE7" w14:textId="77777777" w:rsidR="00872DB8" w:rsidRPr="00D0021C" w:rsidRDefault="00872DB8" w:rsidP="00872DB8">
      <w:pPr>
        <w:pStyle w:val="FootnoteText"/>
        <w:ind w:left="567" w:hanging="567"/>
        <w:rPr>
          <w:sz w:val="24"/>
          <w:lang w:val="cs-CZ"/>
        </w:rPr>
      </w:pPr>
      <w:r w:rsidRPr="00D0021C">
        <w:rPr>
          <w:rStyle w:val="FootnoteReference"/>
          <w:sz w:val="24"/>
        </w:rPr>
        <w:footnoteRef/>
      </w:r>
      <w:r w:rsidRPr="00D0021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26" w:history="1">
        <w:r w:rsidRPr="00E51DFE">
          <w:rPr>
            <w:rStyle w:val="Hyperlink1"/>
            <w:sz w:val="24"/>
            <w:lang w:val="cs-CZ"/>
          </w:rPr>
          <w:t>http://data.europa.eu/eli/reg_del/2019/715/oj</w:t>
        </w:r>
      </w:hyperlink>
      <w:r w:rsidRPr="00E51DFE">
        <w:rPr>
          <w:sz w:val="24"/>
          <w:lang w:val="cs-CZ"/>
        </w:rPr>
        <w:t>.</w:t>
      </w:r>
    </w:p>
  </w:footnote>
  <w:footnote w:id="127">
    <w:p w14:paraId="17991841"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27" w:history="1">
        <w:r w:rsidRPr="00E51DFE">
          <w:rPr>
            <w:rStyle w:val="Hyperlink1"/>
            <w:sz w:val="24"/>
            <w:lang w:val="cs-CZ"/>
          </w:rPr>
          <w:t>http://data.europa.eu/eli/C/2024/6332/oj</w:t>
        </w:r>
      </w:hyperlink>
      <w:r w:rsidRPr="00E51DFE">
        <w:rPr>
          <w:sz w:val="24"/>
          <w:lang w:val="cs-CZ"/>
        </w:rPr>
        <w:t>.</w:t>
      </w:r>
    </w:p>
  </w:footnote>
  <w:footnote w:id="128">
    <w:p w14:paraId="67444483"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28" w:history="1">
        <w:r w:rsidRPr="00E51DFE">
          <w:rPr>
            <w:rStyle w:val="Hyperlink1"/>
            <w:sz w:val="24"/>
            <w:lang w:val="cs-CZ"/>
          </w:rPr>
          <w:t>http://data.europa.eu/eli/C/2024/6041/oj</w:t>
        </w:r>
      </w:hyperlink>
      <w:r w:rsidRPr="00E51DFE">
        <w:rPr>
          <w:sz w:val="24"/>
          <w:lang w:val="cs-CZ"/>
        </w:rPr>
        <w:t>.</w:t>
      </w:r>
    </w:p>
  </w:footnote>
  <w:footnote w:id="129">
    <w:p w14:paraId="410539B2"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29" w:history="1">
        <w:r w:rsidRPr="00E51DFE">
          <w:rPr>
            <w:rStyle w:val="Hyperlink1"/>
            <w:sz w:val="24"/>
            <w:lang w:val="cs-CZ"/>
          </w:rPr>
          <w:t>http://data.europa.eu/eli/reg/2018/1046/oj</w:t>
        </w:r>
      </w:hyperlink>
      <w:r w:rsidRPr="00E51DFE">
        <w:rPr>
          <w:sz w:val="24"/>
          <w:lang w:val="cs-CZ"/>
        </w:rPr>
        <w:t>.</w:t>
      </w:r>
    </w:p>
  </w:footnote>
  <w:footnote w:id="130">
    <w:p w14:paraId="00832EEB"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30" w:history="1">
        <w:r w:rsidRPr="00E51DFE">
          <w:rPr>
            <w:rStyle w:val="Hyperlink1"/>
            <w:sz w:val="24"/>
            <w:lang w:val="cs-CZ"/>
          </w:rPr>
          <w:t>http://data.europa.eu/eli/reg/2024/2509/oj</w:t>
        </w:r>
      </w:hyperlink>
      <w:r w:rsidRPr="00E51DFE">
        <w:rPr>
          <w:sz w:val="24"/>
          <w:lang w:val="cs-CZ"/>
        </w:rPr>
        <w:t>.</w:t>
      </w:r>
    </w:p>
  </w:footnote>
  <w:footnote w:id="131">
    <w:p w14:paraId="43ABAB43"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83, 25.3.2019, s. 18, ELI: </w:t>
      </w:r>
      <w:hyperlink r:id="rId131" w:history="1">
        <w:r w:rsidRPr="00E51DFE">
          <w:rPr>
            <w:rStyle w:val="Hyperlink1"/>
            <w:sz w:val="24"/>
            <w:lang w:val="cs-CZ"/>
          </w:rPr>
          <w:t>https://data.europa.eu/eli/reg/2019/473/oj</w:t>
        </w:r>
      </w:hyperlink>
      <w:r w:rsidRPr="00E51DFE">
        <w:rPr>
          <w:sz w:val="24"/>
          <w:lang w:val="cs-CZ"/>
        </w:rPr>
        <w:t>.</w:t>
      </w:r>
    </w:p>
  </w:footnote>
  <w:footnote w:id="132">
    <w:p w14:paraId="2BD60488" w14:textId="77777777" w:rsidR="00872DB8" w:rsidRPr="00D741BD" w:rsidRDefault="00872DB8" w:rsidP="00872DB8">
      <w:pPr>
        <w:pStyle w:val="FootnoteText"/>
        <w:ind w:left="567" w:hanging="567"/>
        <w:rPr>
          <w:sz w:val="24"/>
          <w:lang w:val="cs-CZ"/>
        </w:rPr>
      </w:pPr>
      <w:r w:rsidRPr="00D741BD">
        <w:rPr>
          <w:rStyle w:val="FootnoteReference"/>
          <w:sz w:val="24"/>
        </w:rPr>
        <w:footnoteRef/>
      </w:r>
      <w:r w:rsidRPr="00D741B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32" w:history="1">
        <w:r w:rsidRPr="00E51DFE">
          <w:rPr>
            <w:rStyle w:val="Hyperlink1"/>
            <w:sz w:val="24"/>
            <w:lang w:val="cs-CZ"/>
          </w:rPr>
          <w:t>http://data.europa.eu/eli/reg_del/2019/715/oj</w:t>
        </w:r>
      </w:hyperlink>
      <w:r w:rsidRPr="00E51DFE">
        <w:rPr>
          <w:sz w:val="24"/>
          <w:lang w:val="cs-CZ"/>
        </w:rPr>
        <w:t>.</w:t>
      </w:r>
    </w:p>
  </w:footnote>
  <w:footnote w:id="133">
    <w:p w14:paraId="4C789685"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33" w:history="1">
        <w:r w:rsidRPr="00E51DFE">
          <w:rPr>
            <w:rStyle w:val="Hyperlink1"/>
            <w:sz w:val="24"/>
            <w:lang w:val="cs-CZ"/>
          </w:rPr>
          <w:t>http://data.europa.eu/eli/C/2024/6332/oj</w:t>
        </w:r>
      </w:hyperlink>
      <w:r w:rsidRPr="00E51DFE">
        <w:rPr>
          <w:sz w:val="24"/>
          <w:lang w:val="cs-CZ"/>
        </w:rPr>
        <w:t>.</w:t>
      </w:r>
    </w:p>
  </w:footnote>
  <w:footnote w:id="134">
    <w:p w14:paraId="4933403C"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34" w:history="1">
        <w:r w:rsidRPr="00E51DFE">
          <w:rPr>
            <w:rStyle w:val="Hyperlink1"/>
            <w:sz w:val="24"/>
            <w:lang w:val="cs-CZ"/>
          </w:rPr>
          <w:t>http://data.europa.eu/eli/C/2024/6041/oj</w:t>
        </w:r>
      </w:hyperlink>
      <w:r w:rsidRPr="00E51DFE">
        <w:rPr>
          <w:sz w:val="24"/>
          <w:lang w:val="cs-CZ"/>
        </w:rPr>
        <w:t>.</w:t>
      </w:r>
    </w:p>
  </w:footnote>
  <w:footnote w:id="135">
    <w:p w14:paraId="4E34286B"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35" w:history="1">
        <w:r w:rsidRPr="00E51DFE">
          <w:rPr>
            <w:rStyle w:val="Hyperlink1"/>
            <w:sz w:val="24"/>
            <w:lang w:val="cs-CZ"/>
          </w:rPr>
          <w:t>http://data.europa.eu/eli/reg/2018/1046/oj</w:t>
        </w:r>
      </w:hyperlink>
      <w:r w:rsidRPr="00E51DFE">
        <w:rPr>
          <w:sz w:val="24"/>
          <w:lang w:val="cs-CZ"/>
        </w:rPr>
        <w:t>.</w:t>
      </w:r>
    </w:p>
  </w:footnote>
  <w:footnote w:id="136">
    <w:p w14:paraId="41FF7CEB"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36" w:history="1">
        <w:r w:rsidRPr="00E51DFE">
          <w:rPr>
            <w:rStyle w:val="Hyperlink1"/>
            <w:sz w:val="24"/>
            <w:lang w:val="cs-CZ"/>
          </w:rPr>
          <w:t>http://data.europa.eu/eli/reg/2024/2509/oj</w:t>
        </w:r>
      </w:hyperlink>
      <w:r w:rsidRPr="00E51DFE">
        <w:rPr>
          <w:sz w:val="24"/>
          <w:lang w:val="cs-CZ"/>
        </w:rPr>
        <w:t>.</w:t>
      </w:r>
    </w:p>
  </w:footnote>
  <w:footnote w:id="137">
    <w:p w14:paraId="01681A5E"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 1.2.2002, s. 1, ELI: </w:t>
      </w:r>
      <w:hyperlink r:id="rId137" w:history="1">
        <w:r w:rsidRPr="00E51DFE">
          <w:rPr>
            <w:rStyle w:val="Hyperlink1"/>
            <w:sz w:val="24"/>
            <w:lang w:val="cs-CZ"/>
          </w:rPr>
          <w:t>https://data.europa.eu/eli/reg/2002/178/oj</w:t>
        </w:r>
      </w:hyperlink>
      <w:r w:rsidRPr="00E51DFE">
        <w:rPr>
          <w:sz w:val="24"/>
          <w:lang w:val="cs-CZ"/>
        </w:rPr>
        <w:t>.</w:t>
      </w:r>
    </w:p>
  </w:footnote>
  <w:footnote w:id="138">
    <w:p w14:paraId="11C83735" w14:textId="77777777" w:rsidR="00872DB8" w:rsidRPr="00E3117E" w:rsidRDefault="00872DB8" w:rsidP="00872DB8">
      <w:pPr>
        <w:pStyle w:val="FootnoteText"/>
        <w:ind w:left="567" w:hanging="567"/>
        <w:rPr>
          <w:sz w:val="24"/>
          <w:lang w:val="cs-CZ"/>
        </w:rPr>
      </w:pPr>
      <w:r w:rsidRPr="00E3117E">
        <w:rPr>
          <w:rStyle w:val="FootnoteReference"/>
          <w:sz w:val="24"/>
        </w:rPr>
        <w:footnoteRef/>
      </w:r>
      <w:r w:rsidRPr="00E3117E">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38" w:history="1">
        <w:r w:rsidRPr="00E51DFE">
          <w:rPr>
            <w:rStyle w:val="Hyperlink1"/>
            <w:sz w:val="24"/>
            <w:lang w:val="cs-CZ"/>
          </w:rPr>
          <w:t>http://data.europa.eu/eli/reg_del/2019/715/oj</w:t>
        </w:r>
      </w:hyperlink>
      <w:r w:rsidRPr="00E51DFE">
        <w:rPr>
          <w:sz w:val="24"/>
          <w:lang w:val="cs-CZ"/>
        </w:rPr>
        <w:t>.</w:t>
      </w:r>
    </w:p>
  </w:footnote>
  <w:footnote w:id="139">
    <w:p w14:paraId="48FAA26E"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39" w:history="1">
        <w:r w:rsidRPr="00E51DFE">
          <w:rPr>
            <w:rStyle w:val="Hyperlink1"/>
            <w:sz w:val="24"/>
            <w:lang w:val="cs-CZ"/>
          </w:rPr>
          <w:t>http://data.europa.eu/eli/C/2024/6332/oj</w:t>
        </w:r>
      </w:hyperlink>
      <w:r w:rsidRPr="00E51DFE">
        <w:rPr>
          <w:sz w:val="24"/>
          <w:lang w:val="cs-CZ"/>
        </w:rPr>
        <w:t>.</w:t>
      </w:r>
    </w:p>
  </w:footnote>
  <w:footnote w:id="140">
    <w:p w14:paraId="52362173"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40" w:history="1">
        <w:r w:rsidRPr="00E51DFE">
          <w:rPr>
            <w:rStyle w:val="Hyperlink1"/>
            <w:sz w:val="24"/>
            <w:lang w:val="cs-CZ"/>
          </w:rPr>
          <w:t>http://data.europa.eu/eli/C/2024/6041/oj</w:t>
        </w:r>
      </w:hyperlink>
      <w:r w:rsidRPr="00E51DFE">
        <w:rPr>
          <w:sz w:val="24"/>
          <w:lang w:val="cs-CZ"/>
        </w:rPr>
        <w:t>.</w:t>
      </w:r>
    </w:p>
  </w:footnote>
  <w:footnote w:id="141">
    <w:p w14:paraId="01AE25E1"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41" w:history="1">
        <w:r w:rsidRPr="00E51DFE">
          <w:rPr>
            <w:rStyle w:val="Hyperlink1"/>
            <w:sz w:val="24"/>
            <w:lang w:val="cs-CZ"/>
          </w:rPr>
          <w:t>http://data.europa.eu/eli/reg/2018/1046/oj</w:t>
        </w:r>
      </w:hyperlink>
      <w:r w:rsidRPr="00E51DFE">
        <w:rPr>
          <w:sz w:val="24"/>
          <w:lang w:val="cs-CZ"/>
        </w:rPr>
        <w:t>.</w:t>
      </w:r>
    </w:p>
  </w:footnote>
  <w:footnote w:id="142">
    <w:p w14:paraId="10EFC7D6"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42" w:history="1">
        <w:r w:rsidRPr="00E51DFE">
          <w:rPr>
            <w:rStyle w:val="Hyperlink1"/>
            <w:sz w:val="24"/>
            <w:lang w:val="cs-CZ"/>
          </w:rPr>
          <w:t>http://data.europa.eu/eli/reg/2024/2509/oj</w:t>
        </w:r>
      </w:hyperlink>
      <w:r w:rsidRPr="00E51DFE">
        <w:rPr>
          <w:sz w:val="24"/>
          <w:lang w:val="cs-CZ"/>
        </w:rPr>
        <w:t>.</w:t>
      </w:r>
    </w:p>
  </w:footnote>
  <w:footnote w:id="143">
    <w:p w14:paraId="59D21ED4"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31, 1.2.2002, s. 1, ELI: </w:t>
      </w:r>
      <w:hyperlink r:id="rId143" w:history="1">
        <w:r w:rsidRPr="00E51DFE">
          <w:rPr>
            <w:rStyle w:val="Hyperlink1"/>
            <w:sz w:val="24"/>
            <w:lang w:val="cs-CZ"/>
          </w:rPr>
          <w:t>https://data.europa.eu/eli/reg/2002/178/oj</w:t>
        </w:r>
      </w:hyperlink>
      <w:r w:rsidRPr="00E51DFE">
        <w:rPr>
          <w:sz w:val="24"/>
          <w:lang w:val="cs-CZ"/>
        </w:rPr>
        <w:t>.</w:t>
      </w:r>
    </w:p>
  </w:footnote>
  <w:footnote w:id="144">
    <w:p w14:paraId="6CF5A3CC" w14:textId="77777777" w:rsidR="00872DB8" w:rsidRPr="00C14E59" w:rsidRDefault="00872DB8" w:rsidP="00872DB8">
      <w:pPr>
        <w:pStyle w:val="FootnoteText"/>
        <w:ind w:left="567" w:hanging="567"/>
        <w:rPr>
          <w:sz w:val="24"/>
          <w:lang w:val="cs-CZ"/>
        </w:rPr>
      </w:pPr>
      <w:r w:rsidRPr="00C14E59">
        <w:rPr>
          <w:rStyle w:val="FootnoteReference"/>
          <w:sz w:val="24"/>
        </w:rPr>
        <w:footnoteRef/>
      </w:r>
      <w:r w:rsidRPr="00C14E5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44" w:history="1">
        <w:r w:rsidRPr="00E51DFE">
          <w:rPr>
            <w:rStyle w:val="Hyperlink1"/>
            <w:sz w:val="24"/>
            <w:lang w:val="cs-CZ"/>
          </w:rPr>
          <w:t>http://data.europa.eu/eli/reg_del/2019/715/oj</w:t>
        </w:r>
      </w:hyperlink>
      <w:r w:rsidRPr="00E51DFE">
        <w:rPr>
          <w:sz w:val="24"/>
          <w:lang w:val="cs-CZ"/>
        </w:rPr>
        <w:t>.</w:t>
      </w:r>
    </w:p>
  </w:footnote>
  <w:footnote w:id="145">
    <w:p w14:paraId="2699C1D2"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45" w:history="1">
        <w:r w:rsidRPr="00E51DFE">
          <w:rPr>
            <w:rStyle w:val="Hyperlink1"/>
            <w:sz w:val="24"/>
            <w:lang w:val="cs-CZ"/>
          </w:rPr>
          <w:t>http://data.europa.eu/eli/C/2024/6332/oj</w:t>
        </w:r>
      </w:hyperlink>
      <w:r w:rsidRPr="00E51DFE">
        <w:rPr>
          <w:sz w:val="24"/>
          <w:lang w:val="cs-CZ"/>
        </w:rPr>
        <w:t>.</w:t>
      </w:r>
    </w:p>
  </w:footnote>
  <w:footnote w:id="146">
    <w:p w14:paraId="73AD60BD"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46" w:history="1">
        <w:r w:rsidRPr="00E51DFE">
          <w:rPr>
            <w:rStyle w:val="Hyperlink1"/>
            <w:sz w:val="24"/>
            <w:lang w:val="cs-CZ"/>
          </w:rPr>
          <w:t>http://data.europa.eu/eli/C/2024/6041/oj</w:t>
        </w:r>
      </w:hyperlink>
      <w:r w:rsidRPr="00E51DFE">
        <w:rPr>
          <w:sz w:val="24"/>
          <w:lang w:val="cs-CZ"/>
        </w:rPr>
        <w:t>.</w:t>
      </w:r>
    </w:p>
  </w:footnote>
  <w:footnote w:id="147">
    <w:p w14:paraId="5D652F7D"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47" w:history="1">
        <w:r w:rsidRPr="00E51DFE">
          <w:rPr>
            <w:rStyle w:val="Hyperlink1"/>
            <w:sz w:val="24"/>
            <w:lang w:val="cs-CZ"/>
          </w:rPr>
          <w:t>http://data.europa.eu/eli/reg/2018/1046/oj</w:t>
        </w:r>
      </w:hyperlink>
      <w:r w:rsidRPr="00E51DFE">
        <w:rPr>
          <w:sz w:val="24"/>
          <w:lang w:val="cs-CZ"/>
        </w:rPr>
        <w:t>.</w:t>
      </w:r>
    </w:p>
  </w:footnote>
  <w:footnote w:id="148">
    <w:p w14:paraId="0DDBBFEE"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48" w:history="1">
        <w:r w:rsidRPr="00E51DFE">
          <w:rPr>
            <w:rStyle w:val="Hyperlink1"/>
            <w:sz w:val="24"/>
            <w:lang w:val="cs-CZ"/>
          </w:rPr>
          <w:t>http://data.europa.eu/eli/reg/2024/2509/oj</w:t>
        </w:r>
      </w:hyperlink>
      <w:r w:rsidRPr="00E51DFE">
        <w:rPr>
          <w:sz w:val="24"/>
          <w:lang w:val="cs-CZ"/>
        </w:rPr>
        <w:t>.</w:t>
      </w:r>
    </w:p>
  </w:footnote>
  <w:footnote w:id="149">
    <w:p w14:paraId="425EC80E"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403, 30.12.2006, s. 9, ELI: </w:t>
      </w:r>
      <w:hyperlink r:id="rId149" w:history="1">
        <w:r w:rsidRPr="00E51DFE">
          <w:rPr>
            <w:rStyle w:val="Hyperlink"/>
            <w:sz w:val="24"/>
            <w:lang w:val="cs-CZ"/>
          </w:rPr>
          <w:t>http://data.europa.eu/eli/reg/2006/1922/oj</w:t>
        </w:r>
      </w:hyperlink>
      <w:r w:rsidRPr="00E51DFE">
        <w:rPr>
          <w:sz w:val="24"/>
          <w:lang w:val="cs-CZ"/>
        </w:rPr>
        <w:t>.</w:t>
      </w:r>
    </w:p>
  </w:footnote>
  <w:footnote w:id="150">
    <w:p w14:paraId="492D9C93" w14:textId="77777777" w:rsidR="00872DB8" w:rsidRPr="00DA4F3D" w:rsidRDefault="00872DB8" w:rsidP="00872DB8">
      <w:pPr>
        <w:pStyle w:val="FootnoteText"/>
        <w:ind w:left="567" w:hanging="567"/>
        <w:rPr>
          <w:sz w:val="24"/>
          <w:lang w:val="cs-CZ"/>
        </w:rPr>
      </w:pPr>
      <w:r w:rsidRPr="00DA4F3D">
        <w:rPr>
          <w:rStyle w:val="FootnoteReference"/>
          <w:sz w:val="24"/>
        </w:rPr>
        <w:footnoteRef/>
      </w:r>
      <w:r w:rsidRPr="00DA4F3D">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150" w:history="1">
        <w:r w:rsidRPr="00E51DFE">
          <w:rPr>
            <w:rStyle w:val="Hyperlink"/>
            <w:sz w:val="24"/>
            <w:lang w:val="cs-CZ"/>
          </w:rPr>
          <w:t>http://data.europa.eu/eli/reg_del/2019/715/oj</w:t>
        </w:r>
      </w:hyperlink>
      <w:r w:rsidRPr="00E51DFE">
        <w:rPr>
          <w:sz w:val="24"/>
          <w:lang w:val="cs-CZ"/>
        </w:rPr>
        <w:t>.</w:t>
      </w:r>
    </w:p>
  </w:footnote>
  <w:footnote w:id="151">
    <w:p w14:paraId="75DC84EC"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51" w:history="1">
        <w:r w:rsidRPr="00E51DFE">
          <w:rPr>
            <w:rStyle w:val="Hyperlink1"/>
            <w:sz w:val="24"/>
            <w:lang w:val="cs-CZ"/>
          </w:rPr>
          <w:t>http://data.europa.eu/eli/C/2024/6332/oj</w:t>
        </w:r>
      </w:hyperlink>
      <w:r w:rsidRPr="00E51DFE">
        <w:rPr>
          <w:sz w:val="24"/>
          <w:lang w:val="cs-CZ"/>
        </w:rPr>
        <w:t>.</w:t>
      </w:r>
    </w:p>
  </w:footnote>
  <w:footnote w:id="152">
    <w:p w14:paraId="27E4438D"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52" w:history="1">
        <w:r w:rsidRPr="00E51DFE">
          <w:rPr>
            <w:rStyle w:val="Hyperlink1"/>
            <w:sz w:val="24"/>
            <w:lang w:val="cs-CZ"/>
          </w:rPr>
          <w:t>http://data.europa.eu/eli/C/2024/6041/oj</w:t>
        </w:r>
      </w:hyperlink>
      <w:r w:rsidRPr="00E51DFE">
        <w:rPr>
          <w:sz w:val="24"/>
          <w:lang w:val="cs-CZ"/>
        </w:rPr>
        <w:t>.</w:t>
      </w:r>
    </w:p>
  </w:footnote>
  <w:footnote w:id="153">
    <w:p w14:paraId="7B004EC3"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53" w:history="1">
        <w:r w:rsidRPr="00E51DFE">
          <w:rPr>
            <w:rStyle w:val="Hyperlink1"/>
            <w:sz w:val="24"/>
            <w:lang w:val="cs-CZ"/>
          </w:rPr>
          <w:t>http://data.europa.eu/eli/reg/2018/1046/oj</w:t>
        </w:r>
      </w:hyperlink>
      <w:r w:rsidRPr="00E51DFE">
        <w:rPr>
          <w:sz w:val="24"/>
          <w:lang w:val="cs-CZ"/>
        </w:rPr>
        <w:t>.</w:t>
      </w:r>
    </w:p>
  </w:footnote>
  <w:footnote w:id="154">
    <w:p w14:paraId="55DA872C"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54" w:history="1">
        <w:r w:rsidRPr="00E51DFE">
          <w:rPr>
            <w:rStyle w:val="Hyperlink1"/>
            <w:sz w:val="24"/>
            <w:lang w:val="cs-CZ"/>
          </w:rPr>
          <w:t>http://data.europa.eu/eli/reg/2024/2509/oj</w:t>
        </w:r>
      </w:hyperlink>
      <w:r w:rsidRPr="00E51DFE">
        <w:rPr>
          <w:sz w:val="24"/>
          <w:lang w:val="cs-CZ"/>
        </w:rPr>
        <w:t>.</w:t>
      </w:r>
    </w:p>
  </w:footnote>
  <w:footnote w:id="155">
    <w:p w14:paraId="3B809866"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403, 30.12.2006, s. 9, ELI: </w:t>
      </w:r>
      <w:hyperlink r:id="rId155" w:history="1">
        <w:r w:rsidRPr="00E51DFE">
          <w:rPr>
            <w:rStyle w:val="Hyperlink1"/>
            <w:sz w:val="24"/>
            <w:lang w:val="cs-CZ"/>
          </w:rPr>
          <w:t>http://data.europa.eu/eli/reg/2006/1922/oj</w:t>
        </w:r>
      </w:hyperlink>
      <w:r w:rsidRPr="00E51DFE">
        <w:rPr>
          <w:sz w:val="24"/>
          <w:lang w:val="cs-CZ"/>
        </w:rPr>
        <w:t>.</w:t>
      </w:r>
    </w:p>
  </w:footnote>
  <w:footnote w:id="156">
    <w:p w14:paraId="4F634CBB" w14:textId="77777777" w:rsidR="00872DB8" w:rsidRPr="00CA538C" w:rsidRDefault="00872DB8" w:rsidP="00872DB8">
      <w:pPr>
        <w:pStyle w:val="FootnoteText"/>
        <w:ind w:left="567" w:hanging="567"/>
        <w:rPr>
          <w:sz w:val="24"/>
          <w:lang w:val="cs-CZ"/>
        </w:rPr>
      </w:pPr>
      <w:r w:rsidRPr="00CA538C">
        <w:rPr>
          <w:rStyle w:val="FootnoteReference"/>
          <w:sz w:val="24"/>
        </w:rPr>
        <w:footnoteRef/>
      </w:r>
      <w:r w:rsidRPr="00CA5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156" w:history="1">
        <w:r w:rsidRPr="00E51DFE">
          <w:rPr>
            <w:rStyle w:val="Hyperlink1"/>
            <w:sz w:val="24"/>
            <w:lang w:val="cs-CZ"/>
          </w:rPr>
          <w:t>http://data.europa.eu/eli/reg_del/2019/715/oj</w:t>
        </w:r>
      </w:hyperlink>
      <w:r w:rsidRPr="00E51DFE">
        <w:rPr>
          <w:sz w:val="24"/>
          <w:lang w:val="cs-CZ"/>
        </w:rPr>
        <w:t>.</w:t>
      </w:r>
    </w:p>
  </w:footnote>
  <w:footnote w:id="157">
    <w:p w14:paraId="2F838D4F"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57" w:history="1">
        <w:r w:rsidRPr="00E51DFE">
          <w:rPr>
            <w:rStyle w:val="Hyperlink1"/>
            <w:sz w:val="24"/>
            <w:lang w:val="cs-CZ"/>
          </w:rPr>
          <w:t>http://data.europa.eu/eli/C/2024/6332/oj</w:t>
        </w:r>
      </w:hyperlink>
      <w:r w:rsidRPr="00E51DFE">
        <w:rPr>
          <w:sz w:val="24"/>
          <w:lang w:val="cs-CZ"/>
        </w:rPr>
        <w:t>.</w:t>
      </w:r>
    </w:p>
  </w:footnote>
  <w:footnote w:id="158">
    <w:p w14:paraId="64D0CE56"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58" w:history="1">
        <w:r w:rsidRPr="00E51DFE">
          <w:rPr>
            <w:rStyle w:val="Hyperlink1"/>
            <w:sz w:val="24"/>
            <w:lang w:val="cs-CZ"/>
          </w:rPr>
          <w:t>http://data.europa.eu/eli/C/2024/6041/oj</w:t>
        </w:r>
      </w:hyperlink>
      <w:r w:rsidRPr="00E51DFE">
        <w:rPr>
          <w:sz w:val="24"/>
          <w:lang w:val="cs-CZ"/>
        </w:rPr>
        <w:t>.</w:t>
      </w:r>
    </w:p>
  </w:footnote>
  <w:footnote w:id="159">
    <w:p w14:paraId="3988B3C0"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59" w:history="1">
        <w:r w:rsidRPr="00E51DFE">
          <w:rPr>
            <w:rStyle w:val="Hyperlink1"/>
            <w:sz w:val="24"/>
            <w:lang w:val="cs-CZ"/>
          </w:rPr>
          <w:t>http://data.europa.eu/eli/reg/2018/1046/oj</w:t>
        </w:r>
      </w:hyperlink>
      <w:r w:rsidRPr="00E51DFE">
        <w:rPr>
          <w:sz w:val="24"/>
          <w:lang w:val="cs-CZ"/>
        </w:rPr>
        <w:t>.</w:t>
      </w:r>
    </w:p>
  </w:footnote>
  <w:footnote w:id="160">
    <w:p w14:paraId="4C64A5EA"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60" w:history="1">
        <w:r w:rsidRPr="00E51DFE">
          <w:rPr>
            <w:rStyle w:val="Hyperlink1"/>
            <w:sz w:val="24"/>
            <w:lang w:val="cs-CZ"/>
          </w:rPr>
          <w:t>http://data.europa.eu/eli/reg/2024/2509/oj</w:t>
        </w:r>
      </w:hyperlink>
      <w:r w:rsidRPr="00E51DFE">
        <w:rPr>
          <w:sz w:val="24"/>
          <w:lang w:val="cs-CZ"/>
        </w:rPr>
        <w:t>.</w:t>
      </w:r>
    </w:p>
  </w:footnote>
  <w:footnote w:id="161">
    <w:p w14:paraId="4C3DE1B1"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48, ELI: </w:t>
      </w:r>
      <w:hyperlink r:id="rId161" w:history="1">
        <w:r w:rsidRPr="00E51DFE">
          <w:rPr>
            <w:rStyle w:val="Hyperlink1"/>
            <w:sz w:val="24"/>
            <w:lang w:val="cs-CZ"/>
          </w:rPr>
          <w:t>http://data.europa.eu/eli/reg/2010/1094/oj</w:t>
        </w:r>
      </w:hyperlink>
      <w:r w:rsidRPr="00E51DFE">
        <w:rPr>
          <w:sz w:val="24"/>
          <w:lang w:val="cs-CZ"/>
        </w:rPr>
        <w:t>.</w:t>
      </w:r>
    </w:p>
  </w:footnote>
  <w:footnote w:id="162">
    <w:p w14:paraId="7D081B6A" w14:textId="77777777" w:rsidR="00872DB8" w:rsidRPr="00B306C2" w:rsidRDefault="00872DB8" w:rsidP="00872DB8">
      <w:pPr>
        <w:pStyle w:val="FootnoteText"/>
        <w:ind w:left="567" w:hanging="567"/>
        <w:rPr>
          <w:sz w:val="24"/>
          <w:lang w:val="cs-CZ"/>
        </w:rPr>
      </w:pPr>
      <w:r w:rsidRPr="00B306C2">
        <w:rPr>
          <w:rStyle w:val="FootnoteReference"/>
          <w:sz w:val="24"/>
        </w:rPr>
        <w:footnoteRef/>
      </w:r>
      <w:r w:rsidRPr="00B306C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62" w:history="1">
        <w:r w:rsidRPr="00E51DFE">
          <w:rPr>
            <w:rStyle w:val="Hyperlink1"/>
            <w:sz w:val="24"/>
            <w:lang w:val="cs-CZ"/>
          </w:rPr>
          <w:t>http://data.europa.eu/eli/reg_del/2019/715/oj</w:t>
        </w:r>
      </w:hyperlink>
      <w:r w:rsidRPr="00E51DFE">
        <w:rPr>
          <w:sz w:val="24"/>
          <w:lang w:val="cs-CZ"/>
        </w:rPr>
        <w:t>.</w:t>
      </w:r>
    </w:p>
  </w:footnote>
  <w:footnote w:id="163">
    <w:p w14:paraId="3B10A2BA"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63" w:history="1">
        <w:r w:rsidRPr="00E51DFE">
          <w:rPr>
            <w:rStyle w:val="Hyperlink1"/>
            <w:sz w:val="24"/>
            <w:lang w:val="cs-CZ"/>
          </w:rPr>
          <w:t>http://data.europa.eu/eli/C/2024/6332/oj</w:t>
        </w:r>
      </w:hyperlink>
      <w:r w:rsidRPr="00E51DFE">
        <w:rPr>
          <w:sz w:val="24"/>
          <w:lang w:val="cs-CZ"/>
        </w:rPr>
        <w:t>.</w:t>
      </w:r>
    </w:p>
  </w:footnote>
  <w:footnote w:id="164">
    <w:p w14:paraId="083F7EBC"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64" w:history="1">
        <w:r w:rsidRPr="00E51DFE">
          <w:rPr>
            <w:rStyle w:val="Hyperlink1"/>
            <w:sz w:val="24"/>
            <w:lang w:val="cs-CZ"/>
          </w:rPr>
          <w:t>http://data.europa.eu/eli/C/2024/6041/oj</w:t>
        </w:r>
      </w:hyperlink>
      <w:r w:rsidRPr="00E51DFE">
        <w:rPr>
          <w:sz w:val="24"/>
          <w:lang w:val="cs-CZ"/>
        </w:rPr>
        <w:t>.</w:t>
      </w:r>
    </w:p>
  </w:footnote>
  <w:footnote w:id="165">
    <w:p w14:paraId="06ED9884"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65" w:history="1">
        <w:r w:rsidRPr="00E51DFE">
          <w:rPr>
            <w:rStyle w:val="Hyperlink1"/>
            <w:sz w:val="24"/>
            <w:lang w:val="cs-CZ"/>
          </w:rPr>
          <w:t>http://data.europa.eu/eli/reg/2018/1046/oj</w:t>
        </w:r>
      </w:hyperlink>
      <w:r w:rsidRPr="00E51DFE">
        <w:rPr>
          <w:sz w:val="24"/>
          <w:lang w:val="cs-CZ"/>
        </w:rPr>
        <w:t>.</w:t>
      </w:r>
    </w:p>
  </w:footnote>
  <w:footnote w:id="166">
    <w:p w14:paraId="6400A57E"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66" w:history="1">
        <w:r w:rsidRPr="00E51DFE">
          <w:rPr>
            <w:rStyle w:val="Hyperlink1"/>
            <w:sz w:val="24"/>
            <w:lang w:val="cs-CZ"/>
          </w:rPr>
          <w:t>http://data.europa.eu/eli/reg/2024/2509/oj</w:t>
        </w:r>
      </w:hyperlink>
      <w:r w:rsidRPr="00E51DFE">
        <w:rPr>
          <w:sz w:val="24"/>
          <w:lang w:val="cs-CZ"/>
        </w:rPr>
        <w:t>.</w:t>
      </w:r>
    </w:p>
  </w:footnote>
  <w:footnote w:id="167">
    <w:p w14:paraId="07D9ACB1"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48, ELI: </w:t>
      </w:r>
      <w:hyperlink r:id="rId167" w:history="1">
        <w:r w:rsidRPr="00E51DFE">
          <w:rPr>
            <w:rStyle w:val="Hyperlink1"/>
            <w:sz w:val="24"/>
            <w:lang w:val="cs-CZ"/>
          </w:rPr>
          <w:t>https://data.europa.eu/eli/reg/2010/1094/oj</w:t>
        </w:r>
      </w:hyperlink>
      <w:r w:rsidRPr="00E51DFE">
        <w:rPr>
          <w:sz w:val="24"/>
          <w:lang w:val="cs-CZ"/>
        </w:rPr>
        <w:t>.</w:t>
      </w:r>
    </w:p>
  </w:footnote>
  <w:footnote w:id="168">
    <w:p w14:paraId="44C2B494" w14:textId="77777777" w:rsidR="00872DB8" w:rsidRPr="004F4314" w:rsidRDefault="00872DB8" w:rsidP="00872DB8">
      <w:pPr>
        <w:pStyle w:val="FootnoteText"/>
        <w:ind w:left="567" w:hanging="567"/>
        <w:rPr>
          <w:sz w:val="24"/>
          <w:lang w:val="cs-CZ"/>
        </w:rPr>
      </w:pPr>
      <w:r w:rsidRPr="004F4314">
        <w:rPr>
          <w:rStyle w:val="FootnoteReference"/>
          <w:sz w:val="24"/>
        </w:rPr>
        <w:footnoteRef/>
      </w:r>
      <w:r w:rsidRPr="004F431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68" w:history="1">
        <w:r w:rsidRPr="00E51DFE">
          <w:rPr>
            <w:rStyle w:val="Hyperlink1"/>
            <w:sz w:val="24"/>
            <w:lang w:val="cs-CZ"/>
          </w:rPr>
          <w:t>http://data.europa.eu/eli/reg_del/2019/715/oj</w:t>
        </w:r>
      </w:hyperlink>
      <w:r w:rsidRPr="00E51DFE">
        <w:rPr>
          <w:sz w:val="24"/>
          <w:lang w:val="cs-CZ"/>
        </w:rPr>
        <w:t>.</w:t>
      </w:r>
    </w:p>
  </w:footnote>
  <w:footnote w:id="169">
    <w:p w14:paraId="7C966708"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69" w:history="1">
        <w:r w:rsidRPr="00E51DFE">
          <w:rPr>
            <w:rStyle w:val="Hyperlink1"/>
            <w:sz w:val="24"/>
            <w:lang w:val="cs-CZ"/>
          </w:rPr>
          <w:t>http://data.europa.eu/eli/C/2024/6332/oj</w:t>
        </w:r>
      </w:hyperlink>
      <w:r w:rsidRPr="00E51DFE">
        <w:rPr>
          <w:sz w:val="24"/>
          <w:lang w:val="cs-CZ"/>
        </w:rPr>
        <w:t>.</w:t>
      </w:r>
    </w:p>
  </w:footnote>
  <w:footnote w:id="170">
    <w:p w14:paraId="30FB92DF"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70" w:history="1">
        <w:r w:rsidRPr="00E51DFE">
          <w:rPr>
            <w:rStyle w:val="Hyperlink1"/>
            <w:sz w:val="24"/>
            <w:lang w:val="cs-CZ"/>
          </w:rPr>
          <w:t>http://data.europa.eu/eli/C/2024/6041/oj</w:t>
        </w:r>
      </w:hyperlink>
      <w:r w:rsidRPr="00E51DFE">
        <w:rPr>
          <w:sz w:val="24"/>
          <w:lang w:val="cs-CZ"/>
        </w:rPr>
        <w:t>.</w:t>
      </w:r>
    </w:p>
  </w:footnote>
  <w:footnote w:id="171">
    <w:p w14:paraId="3E3E3D51"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71" w:history="1">
        <w:r w:rsidRPr="00E51DFE">
          <w:rPr>
            <w:rStyle w:val="Hyperlink1"/>
            <w:sz w:val="24"/>
            <w:lang w:val="cs-CZ"/>
          </w:rPr>
          <w:t>http://data.europa.eu/eli/reg/2018/1046/oj</w:t>
        </w:r>
      </w:hyperlink>
      <w:r w:rsidRPr="00E51DFE">
        <w:rPr>
          <w:sz w:val="24"/>
          <w:lang w:val="cs-CZ"/>
        </w:rPr>
        <w:t>.</w:t>
      </w:r>
    </w:p>
  </w:footnote>
  <w:footnote w:id="172">
    <w:p w14:paraId="74C33120"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72" w:history="1">
        <w:r w:rsidRPr="00E51DFE">
          <w:rPr>
            <w:rStyle w:val="Hyperlink1"/>
            <w:sz w:val="24"/>
            <w:lang w:val="cs-CZ"/>
          </w:rPr>
          <w:t>http://data.europa.eu/eli/reg/2024/2509/oj</w:t>
        </w:r>
      </w:hyperlink>
      <w:r w:rsidRPr="00E51DFE">
        <w:rPr>
          <w:sz w:val="24"/>
          <w:lang w:val="cs-CZ"/>
        </w:rPr>
        <w:t>.</w:t>
      </w:r>
    </w:p>
  </w:footnote>
  <w:footnote w:id="173">
    <w:p w14:paraId="7F409D9F"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189, 28.5.2021, s. 61, ELI: </w:t>
      </w:r>
      <w:hyperlink r:id="rId173" w:history="1">
        <w:r w:rsidRPr="00E51DFE">
          <w:rPr>
            <w:rStyle w:val="Hyperlink1"/>
            <w:sz w:val="24"/>
            <w:lang w:val="cs-CZ"/>
          </w:rPr>
          <w:t>https://data.europa.eu/eli/reg/2021/819/oj</w:t>
        </w:r>
      </w:hyperlink>
      <w:r w:rsidRPr="00E51DFE">
        <w:rPr>
          <w:sz w:val="24"/>
          <w:lang w:val="cs-CZ"/>
        </w:rPr>
        <w:t>.</w:t>
      </w:r>
    </w:p>
  </w:footnote>
  <w:footnote w:id="174">
    <w:p w14:paraId="6CEBC67C" w14:textId="77777777" w:rsidR="00872DB8" w:rsidRPr="00622949" w:rsidRDefault="00872DB8" w:rsidP="00872DB8">
      <w:pPr>
        <w:pStyle w:val="FootnoteText"/>
        <w:ind w:left="567" w:hanging="567"/>
        <w:rPr>
          <w:sz w:val="24"/>
          <w:lang w:val="cs-CZ"/>
        </w:rPr>
      </w:pPr>
      <w:r w:rsidRPr="00622949">
        <w:rPr>
          <w:rStyle w:val="FootnoteReference"/>
          <w:sz w:val="24"/>
        </w:rPr>
        <w:footnoteRef/>
      </w:r>
      <w:r w:rsidRPr="00622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74" w:history="1">
        <w:r w:rsidRPr="00E51DFE">
          <w:rPr>
            <w:rStyle w:val="Hyperlink1"/>
            <w:sz w:val="24"/>
            <w:lang w:val="cs-CZ"/>
          </w:rPr>
          <w:t>http://data.europa.eu/eli/reg_del/2019/715/oj</w:t>
        </w:r>
      </w:hyperlink>
      <w:r w:rsidRPr="00E51DFE">
        <w:rPr>
          <w:sz w:val="24"/>
          <w:lang w:val="cs-CZ"/>
        </w:rPr>
        <w:t>.</w:t>
      </w:r>
    </w:p>
  </w:footnote>
  <w:footnote w:id="175">
    <w:p w14:paraId="2C2A6847"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75" w:history="1">
        <w:r w:rsidRPr="00E51DFE">
          <w:rPr>
            <w:rStyle w:val="Hyperlink1"/>
            <w:sz w:val="24"/>
            <w:lang w:val="cs-CZ"/>
          </w:rPr>
          <w:t>http://data.europa.eu/eli/C/2024/6332/oj</w:t>
        </w:r>
      </w:hyperlink>
      <w:r w:rsidRPr="00E51DFE">
        <w:rPr>
          <w:sz w:val="24"/>
          <w:lang w:val="cs-CZ"/>
        </w:rPr>
        <w:t>.</w:t>
      </w:r>
    </w:p>
  </w:footnote>
  <w:footnote w:id="176">
    <w:p w14:paraId="71EF2E8D"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76" w:history="1">
        <w:r w:rsidRPr="00E51DFE">
          <w:rPr>
            <w:rStyle w:val="Hyperlink1"/>
            <w:sz w:val="24"/>
            <w:lang w:val="cs-CZ"/>
          </w:rPr>
          <w:t>http://data.europa.eu/eli/C/2024/6041/oj</w:t>
        </w:r>
      </w:hyperlink>
      <w:r w:rsidRPr="00E51DFE">
        <w:rPr>
          <w:sz w:val="24"/>
          <w:lang w:val="cs-CZ"/>
        </w:rPr>
        <w:t>.</w:t>
      </w:r>
    </w:p>
  </w:footnote>
  <w:footnote w:id="177">
    <w:p w14:paraId="7FD9D15A"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77" w:history="1">
        <w:r w:rsidRPr="00E51DFE">
          <w:rPr>
            <w:rStyle w:val="Hyperlink1"/>
            <w:sz w:val="24"/>
            <w:lang w:val="cs-CZ"/>
          </w:rPr>
          <w:t>http://data.europa.eu/eli/reg/2018/1046/oj</w:t>
        </w:r>
      </w:hyperlink>
      <w:r w:rsidRPr="00E51DFE">
        <w:rPr>
          <w:sz w:val="24"/>
          <w:lang w:val="cs-CZ"/>
        </w:rPr>
        <w:t>.</w:t>
      </w:r>
    </w:p>
  </w:footnote>
  <w:footnote w:id="178">
    <w:p w14:paraId="62416CE5"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78" w:history="1">
        <w:r w:rsidRPr="00E51DFE">
          <w:rPr>
            <w:rStyle w:val="Hyperlink1"/>
            <w:sz w:val="24"/>
            <w:lang w:val="cs-CZ"/>
          </w:rPr>
          <w:t>http://data.europa.eu/eli/reg/2024/2509/oj</w:t>
        </w:r>
      </w:hyperlink>
      <w:r w:rsidRPr="00E51DFE">
        <w:rPr>
          <w:sz w:val="24"/>
          <w:lang w:val="cs-CZ"/>
        </w:rPr>
        <w:t>.</w:t>
      </w:r>
    </w:p>
  </w:footnote>
  <w:footnote w:id="179">
    <w:p w14:paraId="02FB6922"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189, 28.5.2021, s. 61, ELI: </w:t>
      </w:r>
      <w:hyperlink r:id="rId179" w:history="1">
        <w:r w:rsidRPr="00E51DFE">
          <w:rPr>
            <w:rStyle w:val="Hyperlink"/>
            <w:sz w:val="24"/>
            <w:lang w:val="cs-CZ"/>
          </w:rPr>
          <w:t>http://data.europa.eu/eli/reg/2021/819/oj</w:t>
        </w:r>
      </w:hyperlink>
      <w:r w:rsidRPr="00E51DFE">
        <w:rPr>
          <w:sz w:val="24"/>
          <w:lang w:val="cs-CZ"/>
        </w:rPr>
        <w:t>.</w:t>
      </w:r>
    </w:p>
  </w:footnote>
  <w:footnote w:id="180">
    <w:p w14:paraId="01FCEBF6" w14:textId="77777777" w:rsidR="00872DB8" w:rsidRPr="00431B66" w:rsidRDefault="00872DB8" w:rsidP="00872DB8">
      <w:pPr>
        <w:pStyle w:val="FootnoteText"/>
        <w:ind w:left="567" w:hanging="567"/>
        <w:rPr>
          <w:sz w:val="24"/>
          <w:lang w:val="cs-CZ"/>
        </w:rPr>
      </w:pPr>
      <w:r w:rsidRPr="00431B66">
        <w:rPr>
          <w:rStyle w:val="FootnoteReference"/>
          <w:sz w:val="24"/>
        </w:rPr>
        <w:footnoteRef/>
      </w:r>
      <w:r w:rsidRPr="00431B6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80" w:history="1">
        <w:r w:rsidRPr="00E51DFE">
          <w:rPr>
            <w:rStyle w:val="Hyperlink1"/>
            <w:sz w:val="24"/>
            <w:lang w:val="cs-CZ"/>
          </w:rPr>
          <w:t>http://data.europa.eu/eli/reg_del/2019/715/oj</w:t>
        </w:r>
      </w:hyperlink>
      <w:r w:rsidRPr="00E51DFE">
        <w:rPr>
          <w:sz w:val="24"/>
          <w:lang w:val="cs-CZ"/>
        </w:rPr>
        <w:t>.</w:t>
      </w:r>
    </w:p>
  </w:footnote>
  <w:footnote w:id="181">
    <w:p w14:paraId="5EF4EF18"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81" w:history="1">
        <w:r w:rsidRPr="00E51DFE">
          <w:rPr>
            <w:rStyle w:val="Hyperlink1"/>
            <w:sz w:val="24"/>
            <w:lang w:val="cs-CZ"/>
          </w:rPr>
          <w:t>http://data.europa.eu/eli/C/2024/6332/oj</w:t>
        </w:r>
      </w:hyperlink>
      <w:r w:rsidRPr="00E51DFE">
        <w:rPr>
          <w:sz w:val="24"/>
          <w:lang w:val="cs-CZ"/>
        </w:rPr>
        <w:t>.</w:t>
      </w:r>
    </w:p>
  </w:footnote>
  <w:footnote w:id="182">
    <w:p w14:paraId="75855B6E"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82" w:history="1">
        <w:r w:rsidRPr="00E51DFE">
          <w:rPr>
            <w:rStyle w:val="Hyperlink1"/>
            <w:sz w:val="24"/>
            <w:lang w:val="cs-CZ"/>
          </w:rPr>
          <w:t>http://data.europa.eu/eli/C/2024/6041/oj</w:t>
        </w:r>
      </w:hyperlink>
      <w:r w:rsidRPr="00E51DFE">
        <w:rPr>
          <w:sz w:val="24"/>
          <w:lang w:val="cs-CZ"/>
        </w:rPr>
        <w:t>.</w:t>
      </w:r>
    </w:p>
  </w:footnote>
  <w:footnote w:id="183">
    <w:p w14:paraId="18117CDB"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83" w:history="1">
        <w:r w:rsidRPr="00E51DFE">
          <w:rPr>
            <w:rStyle w:val="Hyperlink1"/>
            <w:sz w:val="24"/>
            <w:lang w:val="cs-CZ"/>
          </w:rPr>
          <w:t>http://data.europa.eu/eli/reg/2018/1046/oj</w:t>
        </w:r>
      </w:hyperlink>
      <w:r w:rsidRPr="00E51DFE">
        <w:rPr>
          <w:sz w:val="24"/>
          <w:lang w:val="cs-CZ"/>
        </w:rPr>
        <w:t>.</w:t>
      </w:r>
    </w:p>
  </w:footnote>
  <w:footnote w:id="184">
    <w:p w14:paraId="71EF94A1"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84" w:history="1">
        <w:r w:rsidRPr="00E51DFE">
          <w:rPr>
            <w:rStyle w:val="Hyperlink1"/>
            <w:sz w:val="24"/>
            <w:lang w:val="cs-CZ"/>
          </w:rPr>
          <w:t>http://data.europa.eu/eli/reg/2024/2509/oj</w:t>
        </w:r>
      </w:hyperlink>
      <w:r w:rsidRPr="00E51DFE">
        <w:rPr>
          <w:sz w:val="24"/>
          <w:lang w:val="cs-CZ"/>
        </w:rPr>
        <w:t>.</w:t>
      </w:r>
    </w:p>
  </w:footnote>
  <w:footnote w:id="185">
    <w:p w14:paraId="0F25D1BD"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186, 11.7.2019, s. 21, ELI: </w:t>
      </w:r>
      <w:hyperlink r:id="rId185" w:history="1">
        <w:r w:rsidRPr="00E51DFE">
          <w:rPr>
            <w:rStyle w:val="Hyperlink1"/>
            <w:sz w:val="24"/>
            <w:lang w:val="cs-CZ"/>
          </w:rPr>
          <w:t>https://data.europa.eu/eli/reg/2019/1149/oj</w:t>
        </w:r>
      </w:hyperlink>
      <w:r w:rsidRPr="00E51DFE">
        <w:rPr>
          <w:sz w:val="24"/>
          <w:lang w:val="cs-CZ"/>
        </w:rPr>
        <w:t>.</w:t>
      </w:r>
    </w:p>
  </w:footnote>
  <w:footnote w:id="186">
    <w:p w14:paraId="38EBECD8" w14:textId="77777777" w:rsidR="00872DB8" w:rsidRPr="00FD5D77" w:rsidRDefault="00872DB8" w:rsidP="00872DB8">
      <w:pPr>
        <w:pStyle w:val="FootnoteText"/>
        <w:ind w:left="567" w:hanging="567"/>
        <w:rPr>
          <w:sz w:val="24"/>
          <w:lang w:val="cs-CZ"/>
        </w:rPr>
      </w:pPr>
      <w:r w:rsidRPr="00FD5D77">
        <w:rPr>
          <w:rStyle w:val="FootnoteReference"/>
          <w:sz w:val="24"/>
        </w:rPr>
        <w:footnoteRef/>
      </w:r>
      <w:r w:rsidRPr="00FD5D7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86" w:history="1">
        <w:r w:rsidRPr="00E51DFE">
          <w:rPr>
            <w:rStyle w:val="Hyperlink1"/>
            <w:sz w:val="24"/>
            <w:lang w:val="cs-CZ"/>
          </w:rPr>
          <w:t>http://data.europa.eu/eli/reg_del/2019/715/oj</w:t>
        </w:r>
      </w:hyperlink>
      <w:r w:rsidRPr="00E51DFE">
        <w:rPr>
          <w:sz w:val="24"/>
          <w:lang w:val="cs-CZ"/>
        </w:rPr>
        <w:t>.</w:t>
      </w:r>
    </w:p>
  </w:footnote>
  <w:footnote w:id="187">
    <w:p w14:paraId="4DE9E240"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87" w:history="1">
        <w:r w:rsidRPr="00E51DFE">
          <w:rPr>
            <w:rStyle w:val="Hyperlink1"/>
            <w:sz w:val="24"/>
            <w:lang w:val="cs-CZ"/>
          </w:rPr>
          <w:t>http://data.europa.eu/eli/C/2024/6332/oj</w:t>
        </w:r>
      </w:hyperlink>
      <w:r w:rsidRPr="00E51DFE">
        <w:rPr>
          <w:sz w:val="24"/>
          <w:lang w:val="cs-CZ"/>
        </w:rPr>
        <w:t>.</w:t>
      </w:r>
    </w:p>
  </w:footnote>
  <w:footnote w:id="188">
    <w:p w14:paraId="20998B8A"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88" w:history="1">
        <w:r w:rsidRPr="00E51DFE">
          <w:rPr>
            <w:rStyle w:val="Hyperlink1"/>
            <w:sz w:val="24"/>
            <w:lang w:val="cs-CZ"/>
          </w:rPr>
          <w:t>http://data.europa.eu/eli/C/2024/6041/oj</w:t>
        </w:r>
      </w:hyperlink>
      <w:r w:rsidRPr="00E51DFE">
        <w:rPr>
          <w:sz w:val="24"/>
          <w:lang w:val="cs-CZ"/>
        </w:rPr>
        <w:t>.</w:t>
      </w:r>
    </w:p>
  </w:footnote>
  <w:footnote w:id="189">
    <w:p w14:paraId="3D8B0240"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89" w:history="1">
        <w:r w:rsidRPr="00E51DFE">
          <w:rPr>
            <w:rStyle w:val="Hyperlink1"/>
            <w:sz w:val="24"/>
            <w:lang w:val="cs-CZ"/>
          </w:rPr>
          <w:t>http://data.europa.eu/eli/reg/2018/1046/oj</w:t>
        </w:r>
      </w:hyperlink>
      <w:r w:rsidRPr="00E51DFE">
        <w:rPr>
          <w:sz w:val="24"/>
          <w:lang w:val="cs-CZ"/>
        </w:rPr>
        <w:t>.</w:t>
      </w:r>
    </w:p>
  </w:footnote>
  <w:footnote w:id="190">
    <w:p w14:paraId="18E23847"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90" w:history="1">
        <w:r w:rsidRPr="00E51DFE">
          <w:rPr>
            <w:rStyle w:val="Hyperlink1"/>
            <w:sz w:val="24"/>
            <w:lang w:val="cs-CZ"/>
          </w:rPr>
          <w:t>http://data.europa.eu/eli/reg/2024/2509/oj</w:t>
        </w:r>
      </w:hyperlink>
      <w:r w:rsidRPr="00E51DFE">
        <w:rPr>
          <w:sz w:val="24"/>
          <w:lang w:val="cs-CZ"/>
        </w:rPr>
        <w:t>.</w:t>
      </w:r>
    </w:p>
  </w:footnote>
  <w:footnote w:id="191">
    <w:p w14:paraId="3995CC44"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186, 11.7.2019, s. 21, ELI: </w:t>
      </w:r>
      <w:hyperlink r:id="rId191" w:history="1">
        <w:r w:rsidRPr="00E51DFE">
          <w:rPr>
            <w:rStyle w:val="Hyperlink1"/>
            <w:sz w:val="24"/>
            <w:lang w:val="cs-CZ"/>
          </w:rPr>
          <w:t>https://data.europa.eu/eli/reg/2019/1149/oj</w:t>
        </w:r>
      </w:hyperlink>
      <w:r w:rsidRPr="00E51DFE">
        <w:rPr>
          <w:sz w:val="24"/>
          <w:lang w:val="cs-CZ"/>
        </w:rPr>
        <w:t>.</w:t>
      </w:r>
    </w:p>
  </w:footnote>
  <w:footnote w:id="192">
    <w:p w14:paraId="42CA29B0" w14:textId="77777777" w:rsidR="00872DB8" w:rsidRPr="00C502CA" w:rsidRDefault="00872DB8" w:rsidP="00872DB8">
      <w:pPr>
        <w:pStyle w:val="FootnoteText"/>
        <w:ind w:left="567" w:hanging="567"/>
        <w:rPr>
          <w:sz w:val="24"/>
          <w:lang w:val="cs-CZ"/>
        </w:rPr>
      </w:pPr>
      <w:r w:rsidRPr="00C502CA">
        <w:rPr>
          <w:rStyle w:val="FootnoteReference"/>
          <w:sz w:val="24"/>
        </w:rPr>
        <w:footnoteRef/>
      </w:r>
      <w:r w:rsidRPr="00C502C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92" w:history="1">
        <w:r w:rsidRPr="00E51DFE">
          <w:rPr>
            <w:rStyle w:val="Hyperlink1"/>
            <w:sz w:val="24"/>
            <w:lang w:val="cs-CZ"/>
          </w:rPr>
          <w:t>http://data.europa.eu/eli/reg_del/2019/715/oj</w:t>
        </w:r>
      </w:hyperlink>
      <w:r w:rsidRPr="00E51DFE">
        <w:rPr>
          <w:sz w:val="24"/>
          <w:lang w:val="cs-CZ"/>
        </w:rPr>
        <w:t>.</w:t>
      </w:r>
    </w:p>
  </w:footnote>
  <w:footnote w:id="193">
    <w:p w14:paraId="60AE2EBC"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93" w:history="1">
        <w:r w:rsidRPr="00E51DFE">
          <w:rPr>
            <w:rStyle w:val="Hyperlink1"/>
            <w:sz w:val="24"/>
            <w:lang w:val="cs-CZ"/>
          </w:rPr>
          <w:t>http://data.europa.eu/eli/C/2024/6332/oj</w:t>
        </w:r>
      </w:hyperlink>
      <w:r w:rsidRPr="00E51DFE">
        <w:rPr>
          <w:sz w:val="24"/>
          <w:lang w:val="cs-CZ"/>
        </w:rPr>
        <w:t>.</w:t>
      </w:r>
    </w:p>
  </w:footnote>
  <w:footnote w:id="194">
    <w:p w14:paraId="1543CE6C"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194" w:history="1">
        <w:r w:rsidRPr="00E51DFE">
          <w:rPr>
            <w:rStyle w:val="Hyperlink1"/>
            <w:sz w:val="24"/>
            <w:lang w:val="cs-CZ"/>
          </w:rPr>
          <w:t>http://data.europa.eu/eli/C/2024/6041/oj</w:t>
        </w:r>
      </w:hyperlink>
      <w:r w:rsidRPr="00E51DFE">
        <w:rPr>
          <w:sz w:val="24"/>
          <w:lang w:val="cs-CZ"/>
        </w:rPr>
        <w:t>.</w:t>
      </w:r>
    </w:p>
  </w:footnote>
  <w:footnote w:id="195">
    <w:p w14:paraId="6552BCD4"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195" w:history="1">
        <w:r w:rsidRPr="00E51DFE">
          <w:rPr>
            <w:rStyle w:val="Hyperlink1"/>
            <w:sz w:val="24"/>
            <w:lang w:val="cs-CZ"/>
          </w:rPr>
          <w:t>http://data.europa.eu/eli/reg/2018/1046/oj</w:t>
        </w:r>
      </w:hyperlink>
      <w:r w:rsidRPr="00E51DFE">
        <w:rPr>
          <w:sz w:val="24"/>
          <w:lang w:val="cs-CZ"/>
        </w:rPr>
        <w:t>.</w:t>
      </w:r>
    </w:p>
  </w:footnote>
  <w:footnote w:id="196">
    <w:p w14:paraId="322308AD"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196" w:history="1">
        <w:r w:rsidRPr="00E51DFE">
          <w:rPr>
            <w:rStyle w:val="Hyperlink1"/>
            <w:sz w:val="24"/>
            <w:lang w:val="cs-CZ"/>
          </w:rPr>
          <w:t>http://data.europa.eu/eli/reg/2024/2509/oj</w:t>
        </w:r>
      </w:hyperlink>
      <w:r w:rsidRPr="00E51DFE">
        <w:rPr>
          <w:sz w:val="24"/>
          <w:lang w:val="cs-CZ"/>
        </w:rPr>
        <w:t>.</w:t>
      </w:r>
    </w:p>
  </w:footnote>
  <w:footnote w:id="197">
    <w:p w14:paraId="0510B1C3"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136, 30.4.2004, s. 1, ELI: </w:t>
      </w:r>
      <w:hyperlink r:id="rId197" w:history="1">
        <w:r w:rsidRPr="00E51DFE">
          <w:rPr>
            <w:rStyle w:val="Hyperlink1"/>
            <w:sz w:val="24"/>
            <w:lang w:val="cs-CZ"/>
          </w:rPr>
          <w:t>http://data.europa.eu/eli/reg/2004/726/oj</w:t>
        </w:r>
      </w:hyperlink>
      <w:r w:rsidRPr="00E51DFE">
        <w:rPr>
          <w:sz w:val="24"/>
          <w:lang w:val="cs-CZ"/>
        </w:rPr>
        <w:t>.</w:t>
      </w:r>
    </w:p>
  </w:footnote>
  <w:footnote w:id="198">
    <w:p w14:paraId="6C80424E" w14:textId="77777777" w:rsidR="00872DB8" w:rsidRPr="00DE2AD1" w:rsidRDefault="00872DB8" w:rsidP="00872DB8">
      <w:pPr>
        <w:pStyle w:val="FootnoteText"/>
        <w:ind w:left="567" w:hanging="567"/>
        <w:rPr>
          <w:sz w:val="24"/>
          <w:lang w:val="cs-CZ"/>
        </w:rPr>
      </w:pPr>
      <w:r w:rsidRPr="00DE2AD1">
        <w:rPr>
          <w:rStyle w:val="FootnoteReference"/>
          <w:sz w:val="24"/>
        </w:rPr>
        <w:footnoteRef/>
      </w:r>
      <w:r w:rsidRPr="00DE2AD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198" w:history="1">
        <w:r w:rsidRPr="00E51DFE">
          <w:rPr>
            <w:rStyle w:val="Hyperlink1"/>
            <w:sz w:val="24"/>
            <w:lang w:val="cs-CZ"/>
          </w:rPr>
          <w:t>http://data.europa.eu/eli/reg_del/2019/715/oj</w:t>
        </w:r>
      </w:hyperlink>
      <w:r w:rsidRPr="00E51DFE">
        <w:rPr>
          <w:sz w:val="24"/>
          <w:lang w:val="cs-CZ"/>
        </w:rPr>
        <w:t>.</w:t>
      </w:r>
    </w:p>
  </w:footnote>
  <w:footnote w:id="199">
    <w:p w14:paraId="0F7C9A95"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199" w:history="1">
        <w:r w:rsidRPr="00E51DFE">
          <w:rPr>
            <w:rStyle w:val="Hyperlink1"/>
            <w:sz w:val="24"/>
            <w:lang w:val="cs-CZ"/>
          </w:rPr>
          <w:t>http://data.europa.eu/eli/C/2024/6332/oj</w:t>
        </w:r>
      </w:hyperlink>
      <w:r w:rsidRPr="00E51DFE">
        <w:rPr>
          <w:sz w:val="24"/>
          <w:lang w:val="cs-CZ"/>
        </w:rPr>
        <w:t>.</w:t>
      </w:r>
    </w:p>
  </w:footnote>
  <w:footnote w:id="200">
    <w:p w14:paraId="3A42FD80"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00" w:history="1">
        <w:r w:rsidRPr="00E51DFE">
          <w:rPr>
            <w:rStyle w:val="Hyperlink1"/>
            <w:sz w:val="24"/>
            <w:lang w:val="cs-CZ"/>
          </w:rPr>
          <w:t>http://data.europa.eu/eli/C/2024/6041/oj</w:t>
        </w:r>
      </w:hyperlink>
      <w:r w:rsidRPr="00E51DFE">
        <w:rPr>
          <w:sz w:val="24"/>
          <w:lang w:val="cs-CZ"/>
        </w:rPr>
        <w:t>.</w:t>
      </w:r>
    </w:p>
  </w:footnote>
  <w:footnote w:id="201">
    <w:p w14:paraId="3703FA42"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01" w:history="1">
        <w:r w:rsidRPr="00E51DFE">
          <w:rPr>
            <w:rStyle w:val="Hyperlink1"/>
            <w:sz w:val="24"/>
            <w:lang w:val="cs-CZ"/>
          </w:rPr>
          <w:t>http://data.europa.eu/eli/reg/2018/1046/oj</w:t>
        </w:r>
      </w:hyperlink>
      <w:r w:rsidRPr="00E51DFE">
        <w:rPr>
          <w:sz w:val="24"/>
          <w:lang w:val="cs-CZ"/>
        </w:rPr>
        <w:t>.</w:t>
      </w:r>
    </w:p>
  </w:footnote>
  <w:footnote w:id="202">
    <w:p w14:paraId="2EA478E4"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02" w:history="1">
        <w:r w:rsidRPr="00E51DFE">
          <w:rPr>
            <w:rStyle w:val="Hyperlink1"/>
            <w:sz w:val="24"/>
            <w:lang w:val="cs-CZ"/>
          </w:rPr>
          <w:t>http://data.europa.eu/eli/reg/2024/2509/oj</w:t>
        </w:r>
      </w:hyperlink>
      <w:r w:rsidRPr="00E51DFE">
        <w:rPr>
          <w:sz w:val="24"/>
          <w:lang w:val="cs-CZ"/>
        </w:rPr>
        <w:t>.</w:t>
      </w:r>
    </w:p>
  </w:footnote>
  <w:footnote w:id="203">
    <w:p w14:paraId="76BE7E2B"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136, 30.4.2004, s. 1, ELI: </w:t>
      </w:r>
      <w:hyperlink r:id="rId203" w:history="1">
        <w:r w:rsidRPr="00E51DFE">
          <w:rPr>
            <w:rStyle w:val="Hyperlink1"/>
            <w:sz w:val="24"/>
            <w:lang w:val="cs-CZ"/>
          </w:rPr>
          <w:t>http://data.europa.eu/eli/reg/2004/726/oj</w:t>
        </w:r>
      </w:hyperlink>
      <w:r w:rsidRPr="00E51DFE">
        <w:rPr>
          <w:sz w:val="24"/>
          <w:lang w:val="cs-CZ"/>
        </w:rPr>
        <w:t>.</w:t>
      </w:r>
    </w:p>
  </w:footnote>
  <w:footnote w:id="204">
    <w:p w14:paraId="04FB326F" w14:textId="77777777" w:rsidR="00872DB8" w:rsidRPr="00D00065" w:rsidRDefault="00872DB8" w:rsidP="00872DB8">
      <w:pPr>
        <w:pStyle w:val="FootnoteText"/>
        <w:ind w:left="567" w:hanging="567"/>
        <w:rPr>
          <w:sz w:val="24"/>
          <w:lang w:val="cs-CZ"/>
        </w:rPr>
      </w:pPr>
      <w:r w:rsidRPr="00D00065">
        <w:rPr>
          <w:rStyle w:val="FootnoteReference"/>
          <w:sz w:val="24"/>
        </w:rPr>
        <w:footnoteRef/>
      </w:r>
      <w:r w:rsidRPr="00D0006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04" w:history="1">
        <w:r w:rsidRPr="00E51DFE">
          <w:rPr>
            <w:rStyle w:val="Hyperlink1"/>
            <w:sz w:val="24"/>
            <w:lang w:val="cs-CZ"/>
          </w:rPr>
          <w:t>http://data.europa.eu/eli/reg_del/2019/715/oj</w:t>
        </w:r>
      </w:hyperlink>
      <w:r w:rsidRPr="00E51DFE">
        <w:rPr>
          <w:sz w:val="24"/>
          <w:lang w:val="cs-CZ"/>
        </w:rPr>
        <w:t>.</w:t>
      </w:r>
    </w:p>
  </w:footnote>
  <w:footnote w:id="205">
    <w:p w14:paraId="33CA74B6"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05" w:history="1">
        <w:r w:rsidRPr="00E51DFE">
          <w:rPr>
            <w:rStyle w:val="Hyperlink1"/>
            <w:sz w:val="24"/>
            <w:lang w:val="cs-CZ"/>
          </w:rPr>
          <w:t>http://data.europa.eu/eli/C/2024/6332/oj</w:t>
        </w:r>
      </w:hyperlink>
      <w:r w:rsidRPr="00E51DFE">
        <w:rPr>
          <w:sz w:val="24"/>
          <w:lang w:val="cs-CZ"/>
        </w:rPr>
        <w:t>.</w:t>
      </w:r>
    </w:p>
  </w:footnote>
  <w:footnote w:id="206">
    <w:p w14:paraId="78EC4048"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06" w:history="1">
        <w:r w:rsidRPr="00E51DFE">
          <w:rPr>
            <w:rStyle w:val="Hyperlink1"/>
            <w:sz w:val="24"/>
            <w:lang w:val="cs-CZ"/>
          </w:rPr>
          <w:t>http://data.europa.eu/eli/C/2024/6041/oj</w:t>
        </w:r>
      </w:hyperlink>
      <w:r w:rsidRPr="00E51DFE">
        <w:rPr>
          <w:sz w:val="24"/>
          <w:lang w:val="cs-CZ"/>
        </w:rPr>
        <w:t>.</w:t>
      </w:r>
    </w:p>
  </w:footnote>
  <w:footnote w:id="207">
    <w:p w14:paraId="1A6B0604"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07" w:history="1">
        <w:r w:rsidRPr="00E51DFE">
          <w:rPr>
            <w:rStyle w:val="Hyperlink1"/>
            <w:sz w:val="24"/>
            <w:lang w:val="cs-CZ"/>
          </w:rPr>
          <w:t>http://data.europa.eu/eli/reg/2018/1046/oj</w:t>
        </w:r>
      </w:hyperlink>
      <w:r w:rsidRPr="00E51DFE">
        <w:rPr>
          <w:sz w:val="24"/>
          <w:lang w:val="cs-CZ"/>
        </w:rPr>
        <w:t>.</w:t>
      </w:r>
    </w:p>
  </w:footnote>
  <w:footnote w:id="208">
    <w:p w14:paraId="16D284AC"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08" w:history="1">
        <w:r w:rsidRPr="00E51DFE">
          <w:rPr>
            <w:rStyle w:val="Hyperlink1"/>
            <w:sz w:val="24"/>
            <w:lang w:val="cs-CZ"/>
          </w:rPr>
          <w:t>http://data.europa.eu/eli/reg/2024/2509/oj</w:t>
        </w:r>
      </w:hyperlink>
      <w:r w:rsidRPr="00E51DFE">
        <w:rPr>
          <w:sz w:val="24"/>
          <w:lang w:val="cs-CZ"/>
        </w:rPr>
        <w:t>.</w:t>
      </w:r>
    </w:p>
  </w:footnote>
  <w:footnote w:id="209">
    <w:p w14:paraId="25387D53"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376, 27.12.2006, s. 1, ELI: </w:t>
      </w:r>
      <w:hyperlink r:id="rId209" w:history="1">
        <w:r w:rsidRPr="00E51DFE">
          <w:rPr>
            <w:rStyle w:val="Hyperlink1"/>
            <w:sz w:val="24"/>
            <w:lang w:val="cs-CZ"/>
          </w:rPr>
          <w:t>http://data.europa.eu/eli/reg/2006/1920/oj</w:t>
        </w:r>
      </w:hyperlink>
      <w:r w:rsidRPr="00E51DFE">
        <w:rPr>
          <w:sz w:val="24"/>
          <w:lang w:val="cs-CZ"/>
        </w:rPr>
        <w:t>.</w:t>
      </w:r>
    </w:p>
  </w:footnote>
  <w:footnote w:id="210">
    <w:p w14:paraId="032C8D88"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166, 30.6.2023, s. 6, ELI: </w:t>
      </w:r>
      <w:hyperlink r:id="rId210" w:history="1">
        <w:r w:rsidRPr="00E51DFE">
          <w:rPr>
            <w:rStyle w:val="Hyperlink1"/>
            <w:sz w:val="24"/>
            <w:lang w:val="cs-CZ"/>
          </w:rPr>
          <w:t>http://data.europa.eu/eli/reg/2023/1322/oj</w:t>
        </w:r>
      </w:hyperlink>
      <w:r w:rsidRPr="00E51DFE">
        <w:rPr>
          <w:sz w:val="24"/>
          <w:lang w:val="cs-CZ"/>
        </w:rPr>
        <w:t>.</w:t>
      </w:r>
    </w:p>
  </w:footnote>
  <w:footnote w:id="211">
    <w:p w14:paraId="5F3E4C9B" w14:textId="77777777" w:rsidR="00872DB8" w:rsidRPr="00DC09CC" w:rsidRDefault="00872DB8" w:rsidP="00872DB8">
      <w:pPr>
        <w:pStyle w:val="FootnoteText"/>
        <w:ind w:left="567" w:hanging="567"/>
        <w:rPr>
          <w:sz w:val="24"/>
          <w:lang w:val="cs-CZ"/>
        </w:rPr>
      </w:pPr>
      <w:r w:rsidRPr="00DC09CC">
        <w:rPr>
          <w:rStyle w:val="FootnoteReference"/>
          <w:sz w:val="24"/>
        </w:rPr>
        <w:footnoteRef/>
      </w:r>
      <w:r w:rsidRPr="00DC09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211" w:history="1">
        <w:r w:rsidRPr="00E51DFE">
          <w:rPr>
            <w:rStyle w:val="Hyperlink1"/>
            <w:sz w:val="24"/>
            <w:lang w:val="cs-CZ"/>
          </w:rPr>
          <w:t>http://data.europa.eu/eli/reg_del/2019/715/oj</w:t>
        </w:r>
      </w:hyperlink>
      <w:r w:rsidRPr="00E51DFE">
        <w:rPr>
          <w:sz w:val="24"/>
          <w:lang w:val="cs-CZ"/>
        </w:rPr>
        <w:t>.</w:t>
      </w:r>
    </w:p>
  </w:footnote>
  <w:footnote w:id="212">
    <w:p w14:paraId="740DCAF9"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12" w:history="1">
        <w:r w:rsidRPr="00E51DFE">
          <w:rPr>
            <w:rStyle w:val="Hyperlink1"/>
            <w:sz w:val="24"/>
            <w:lang w:val="cs-CZ"/>
          </w:rPr>
          <w:t>http://data.europa.eu/eli/C/2024/6332/oj</w:t>
        </w:r>
      </w:hyperlink>
      <w:r w:rsidRPr="00E51DFE">
        <w:rPr>
          <w:sz w:val="24"/>
          <w:lang w:val="cs-CZ"/>
        </w:rPr>
        <w:t>.</w:t>
      </w:r>
    </w:p>
  </w:footnote>
  <w:footnote w:id="213">
    <w:p w14:paraId="50309C2E"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13" w:history="1">
        <w:r w:rsidRPr="00E51DFE">
          <w:rPr>
            <w:rStyle w:val="Hyperlink1"/>
            <w:sz w:val="24"/>
            <w:lang w:val="cs-CZ"/>
          </w:rPr>
          <w:t>http://data.europa.eu/eli/C/2024/6041/oj</w:t>
        </w:r>
      </w:hyperlink>
      <w:r w:rsidRPr="00E51DFE">
        <w:rPr>
          <w:sz w:val="24"/>
          <w:lang w:val="cs-CZ"/>
        </w:rPr>
        <w:t>.</w:t>
      </w:r>
    </w:p>
  </w:footnote>
  <w:footnote w:id="214">
    <w:p w14:paraId="73E475F0"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14" w:history="1">
        <w:r w:rsidRPr="00E51DFE">
          <w:rPr>
            <w:rStyle w:val="Hyperlink1"/>
            <w:sz w:val="24"/>
            <w:lang w:val="cs-CZ"/>
          </w:rPr>
          <w:t>http://data.europa.eu/eli/reg/2018/1046/oj</w:t>
        </w:r>
      </w:hyperlink>
      <w:r w:rsidRPr="00E51DFE">
        <w:rPr>
          <w:sz w:val="24"/>
          <w:lang w:val="cs-CZ"/>
        </w:rPr>
        <w:t>.</w:t>
      </w:r>
    </w:p>
  </w:footnote>
  <w:footnote w:id="215">
    <w:p w14:paraId="1E8D613D"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15" w:history="1">
        <w:r w:rsidRPr="00E51DFE">
          <w:rPr>
            <w:rStyle w:val="Hyperlink1"/>
            <w:sz w:val="24"/>
            <w:lang w:val="cs-CZ"/>
          </w:rPr>
          <w:t>http://data.europa.eu/eli/reg/2024/2509/oj</w:t>
        </w:r>
      </w:hyperlink>
      <w:r w:rsidRPr="00E51DFE">
        <w:rPr>
          <w:sz w:val="24"/>
          <w:lang w:val="cs-CZ"/>
        </w:rPr>
        <w:t>.</w:t>
      </w:r>
    </w:p>
  </w:footnote>
  <w:footnote w:id="216">
    <w:p w14:paraId="30D82E1D"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376, 27.12.2006, s. 1, ELI: </w:t>
      </w:r>
      <w:hyperlink r:id="rId216" w:history="1">
        <w:r w:rsidRPr="00E51DFE">
          <w:rPr>
            <w:rStyle w:val="Hyperlink1"/>
            <w:sz w:val="24"/>
            <w:lang w:val="cs-CZ"/>
          </w:rPr>
          <w:t>https://data.europa.eu/eli/reg/2006/1920/oj</w:t>
        </w:r>
      </w:hyperlink>
      <w:r w:rsidRPr="00E51DFE">
        <w:rPr>
          <w:sz w:val="24"/>
          <w:lang w:val="cs-CZ"/>
        </w:rPr>
        <w:t>.</w:t>
      </w:r>
    </w:p>
  </w:footnote>
  <w:footnote w:id="217">
    <w:p w14:paraId="706DD6EA"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166, 30.6.2023, s. 6, ELI: </w:t>
      </w:r>
      <w:hyperlink r:id="rId217" w:history="1">
        <w:r w:rsidRPr="00E51DFE">
          <w:rPr>
            <w:rStyle w:val="Hyperlink1"/>
            <w:sz w:val="24"/>
            <w:lang w:val="cs-CZ"/>
          </w:rPr>
          <w:t>https://data.europa.eu/eli/reg/2023/1322/oj</w:t>
        </w:r>
      </w:hyperlink>
      <w:r w:rsidRPr="00E51DFE">
        <w:rPr>
          <w:sz w:val="24"/>
          <w:lang w:val="cs-CZ"/>
        </w:rPr>
        <w:t>.</w:t>
      </w:r>
    </w:p>
  </w:footnote>
  <w:footnote w:id="218">
    <w:p w14:paraId="40DABAAE" w14:textId="77777777" w:rsidR="00872DB8" w:rsidRPr="0027379C" w:rsidRDefault="00872DB8" w:rsidP="00872DB8">
      <w:pPr>
        <w:pStyle w:val="FootnoteText"/>
        <w:ind w:left="567" w:hanging="567"/>
        <w:rPr>
          <w:sz w:val="24"/>
          <w:lang w:val="cs-CZ"/>
        </w:rPr>
      </w:pPr>
      <w:r w:rsidRPr="0027379C">
        <w:rPr>
          <w:rStyle w:val="FootnoteReference"/>
          <w:sz w:val="24"/>
        </w:rPr>
        <w:footnoteRef/>
      </w:r>
      <w:r w:rsidRPr="0027379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18" w:history="1">
        <w:r w:rsidRPr="00E51DFE">
          <w:rPr>
            <w:rStyle w:val="Hyperlink1"/>
            <w:sz w:val="24"/>
            <w:lang w:val="cs-CZ"/>
          </w:rPr>
          <w:t>http://data.europa.eu/eli/reg_del/2019/715/oj</w:t>
        </w:r>
      </w:hyperlink>
      <w:r w:rsidRPr="00E51DFE">
        <w:rPr>
          <w:sz w:val="24"/>
          <w:lang w:val="cs-CZ"/>
        </w:rPr>
        <w:t>.</w:t>
      </w:r>
    </w:p>
  </w:footnote>
  <w:footnote w:id="219">
    <w:p w14:paraId="22387FCD"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19" w:history="1">
        <w:r w:rsidRPr="00E51DFE">
          <w:rPr>
            <w:rStyle w:val="Hyperlink1"/>
            <w:sz w:val="24"/>
            <w:lang w:val="cs-CZ"/>
          </w:rPr>
          <w:t>http://data.europa.eu/eli/C/2024/6332/oj</w:t>
        </w:r>
      </w:hyperlink>
      <w:r w:rsidRPr="00E51DFE">
        <w:rPr>
          <w:sz w:val="24"/>
          <w:lang w:val="cs-CZ"/>
        </w:rPr>
        <w:t>.</w:t>
      </w:r>
    </w:p>
  </w:footnote>
  <w:footnote w:id="220">
    <w:p w14:paraId="6C8BA619"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20" w:history="1">
        <w:r w:rsidRPr="00E51DFE">
          <w:rPr>
            <w:rStyle w:val="Hyperlink1"/>
            <w:sz w:val="24"/>
            <w:lang w:val="cs-CZ"/>
          </w:rPr>
          <w:t>http://data.europa.eu/eli/C/2024/6041/oj</w:t>
        </w:r>
      </w:hyperlink>
      <w:r w:rsidRPr="00E51DFE">
        <w:rPr>
          <w:sz w:val="24"/>
          <w:lang w:val="cs-CZ"/>
        </w:rPr>
        <w:t>.</w:t>
      </w:r>
    </w:p>
  </w:footnote>
  <w:footnote w:id="221">
    <w:p w14:paraId="447009FD"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21" w:history="1">
        <w:r w:rsidRPr="00E51DFE">
          <w:rPr>
            <w:rStyle w:val="Hyperlink1"/>
            <w:sz w:val="24"/>
            <w:lang w:val="cs-CZ"/>
          </w:rPr>
          <w:t>http://data.europa.eu/eli/reg/2018/1046/oj</w:t>
        </w:r>
      </w:hyperlink>
      <w:r w:rsidRPr="00E51DFE">
        <w:rPr>
          <w:sz w:val="24"/>
          <w:lang w:val="cs-CZ"/>
        </w:rPr>
        <w:t>.</w:t>
      </w:r>
    </w:p>
  </w:footnote>
  <w:footnote w:id="222">
    <w:p w14:paraId="193C00F6"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22" w:history="1">
        <w:r w:rsidRPr="00E51DFE">
          <w:rPr>
            <w:rStyle w:val="Hyperlink1"/>
            <w:sz w:val="24"/>
            <w:lang w:val="cs-CZ"/>
          </w:rPr>
          <w:t>http://data.europa.eu/eli/reg/2024/2509/oj</w:t>
        </w:r>
      </w:hyperlink>
      <w:r w:rsidRPr="00E51DFE">
        <w:rPr>
          <w:sz w:val="24"/>
          <w:lang w:val="cs-CZ"/>
        </w:rPr>
        <w:t>.</w:t>
      </w:r>
    </w:p>
  </w:footnote>
  <w:footnote w:id="223">
    <w:p w14:paraId="2DFD8CE0"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208, 5.8.2002, s. 1, ELI: </w:t>
      </w:r>
      <w:hyperlink r:id="rId223" w:history="1">
        <w:r w:rsidRPr="00E51DFE">
          <w:rPr>
            <w:rStyle w:val="Hyperlink1"/>
            <w:sz w:val="24"/>
            <w:lang w:val="cs-CZ"/>
          </w:rPr>
          <w:t>https://data.europa.eu/eli/reg/2002/1406/oj</w:t>
        </w:r>
      </w:hyperlink>
      <w:r w:rsidRPr="00E51DFE">
        <w:rPr>
          <w:sz w:val="24"/>
          <w:lang w:val="cs-CZ"/>
        </w:rPr>
        <w:t>.</w:t>
      </w:r>
    </w:p>
  </w:footnote>
  <w:footnote w:id="224">
    <w:p w14:paraId="731226FE" w14:textId="77777777" w:rsidR="00872DB8" w:rsidRPr="00CD1B29" w:rsidRDefault="00872DB8" w:rsidP="00872DB8">
      <w:pPr>
        <w:pStyle w:val="FootnoteText"/>
        <w:ind w:left="567" w:hanging="567"/>
        <w:rPr>
          <w:sz w:val="24"/>
          <w:lang w:val="cs-CZ"/>
        </w:rPr>
      </w:pPr>
      <w:r w:rsidRPr="00CD1B29">
        <w:rPr>
          <w:rStyle w:val="FootnoteReference"/>
          <w:sz w:val="24"/>
        </w:rPr>
        <w:footnoteRef/>
      </w:r>
      <w:r w:rsidRPr="00CD1B2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24" w:history="1">
        <w:r w:rsidRPr="00E51DFE">
          <w:rPr>
            <w:rStyle w:val="Hyperlink1"/>
            <w:sz w:val="24"/>
            <w:lang w:val="cs-CZ"/>
          </w:rPr>
          <w:t>http://data.europa.eu/eli/reg_del/2019/715/oj</w:t>
        </w:r>
      </w:hyperlink>
      <w:r w:rsidRPr="00E51DFE">
        <w:rPr>
          <w:sz w:val="24"/>
          <w:lang w:val="cs-CZ"/>
        </w:rPr>
        <w:t>.</w:t>
      </w:r>
    </w:p>
  </w:footnote>
  <w:footnote w:id="225">
    <w:p w14:paraId="1A6ED244"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25" w:history="1">
        <w:r w:rsidRPr="00E51DFE">
          <w:rPr>
            <w:rStyle w:val="Hyperlink1"/>
            <w:sz w:val="24"/>
            <w:lang w:val="cs-CZ"/>
          </w:rPr>
          <w:t>http://data.europa.eu/eli/C/2024/6332/oj</w:t>
        </w:r>
      </w:hyperlink>
      <w:r w:rsidRPr="00E51DFE">
        <w:rPr>
          <w:sz w:val="24"/>
          <w:lang w:val="cs-CZ"/>
        </w:rPr>
        <w:t>.</w:t>
      </w:r>
    </w:p>
  </w:footnote>
  <w:footnote w:id="226">
    <w:p w14:paraId="28853513"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26" w:history="1">
        <w:r w:rsidRPr="00E51DFE">
          <w:rPr>
            <w:rStyle w:val="Hyperlink1"/>
            <w:sz w:val="24"/>
            <w:lang w:val="cs-CZ"/>
          </w:rPr>
          <w:t>http://data.europa.eu/eli/C/2024/6041/oj</w:t>
        </w:r>
      </w:hyperlink>
      <w:r w:rsidRPr="00E51DFE">
        <w:rPr>
          <w:sz w:val="24"/>
          <w:lang w:val="cs-CZ"/>
        </w:rPr>
        <w:t>.</w:t>
      </w:r>
    </w:p>
  </w:footnote>
  <w:footnote w:id="227">
    <w:p w14:paraId="1951E07D"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27" w:history="1">
        <w:r w:rsidRPr="00E51DFE">
          <w:rPr>
            <w:rStyle w:val="Hyperlink1"/>
            <w:sz w:val="24"/>
            <w:lang w:val="cs-CZ"/>
          </w:rPr>
          <w:t>http://data.europa.eu/eli/reg/2018/1046/oj</w:t>
        </w:r>
      </w:hyperlink>
      <w:r w:rsidRPr="00E51DFE">
        <w:rPr>
          <w:sz w:val="24"/>
          <w:lang w:val="cs-CZ"/>
        </w:rPr>
        <w:t>.</w:t>
      </w:r>
    </w:p>
  </w:footnote>
  <w:footnote w:id="228">
    <w:p w14:paraId="751DD2EE"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28" w:history="1">
        <w:r w:rsidRPr="00E51DFE">
          <w:rPr>
            <w:rStyle w:val="Hyperlink1"/>
            <w:sz w:val="24"/>
            <w:lang w:val="cs-CZ"/>
          </w:rPr>
          <w:t>http://data.europa.eu/eli/reg/2024/2509/oj</w:t>
        </w:r>
      </w:hyperlink>
      <w:r w:rsidRPr="00E51DFE">
        <w:rPr>
          <w:sz w:val="24"/>
          <w:lang w:val="cs-CZ"/>
        </w:rPr>
        <w:t>.</w:t>
      </w:r>
    </w:p>
  </w:footnote>
  <w:footnote w:id="229">
    <w:p w14:paraId="1431E528"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208, 5.8.2002, s. 1, ELI: </w:t>
      </w:r>
      <w:hyperlink r:id="rId229" w:history="1">
        <w:r w:rsidRPr="00E51DFE">
          <w:rPr>
            <w:rStyle w:val="Hyperlink1"/>
            <w:sz w:val="24"/>
            <w:lang w:val="cs-CZ"/>
          </w:rPr>
          <w:t>https://data.europa.eu/eli/reg/2002/1406/oj</w:t>
        </w:r>
      </w:hyperlink>
      <w:r w:rsidRPr="00E51DFE">
        <w:rPr>
          <w:sz w:val="24"/>
          <w:lang w:val="cs-CZ"/>
        </w:rPr>
        <w:t>.</w:t>
      </w:r>
    </w:p>
  </w:footnote>
  <w:footnote w:id="230">
    <w:p w14:paraId="5930EA33" w14:textId="77777777" w:rsidR="00872DB8" w:rsidRPr="008C2D50" w:rsidRDefault="00872DB8" w:rsidP="00872DB8">
      <w:pPr>
        <w:pStyle w:val="FootnoteText"/>
        <w:ind w:left="567" w:hanging="567"/>
        <w:rPr>
          <w:sz w:val="24"/>
          <w:lang w:val="cs-CZ"/>
        </w:rPr>
      </w:pPr>
      <w:r w:rsidRPr="008C2D50">
        <w:rPr>
          <w:rStyle w:val="FootnoteReference"/>
          <w:sz w:val="24"/>
        </w:rPr>
        <w:footnoteRef/>
      </w:r>
      <w:r w:rsidRPr="008C2D5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30" w:history="1">
        <w:r w:rsidRPr="00E51DFE">
          <w:rPr>
            <w:rStyle w:val="Hyperlink1"/>
            <w:sz w:val="24"/>
            <w:lang w:val="cs-CZ"/>
          </w:rPr>
          <w:t>http://data.europa.eu/eli/reg_del/2019/715/oj</w:t>
        </w:r>
      </w:hyperlink>
      <w:r w:rsidRPr="00E51DFE">
        <w:rPr>
          <w:sz w:val="24"/>
          <w:lang w:val="cs-CZ"/>
        </w:rPr>
        <w:t>.</w:t>
      </w:r>
    </w:p>
  </w:footnote>
  <w:footnote w:id="231">
    <w:p w14:paraId="449588FC"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31" w:history="1">
        <w:r w:rsidRPr="00E51DFE">
          <w:rPr>
            <w:rStyle w:val="Hyperlink1"/>
            <w:sz w:val="24"/>
            <w:lang w:val="cs-CZ"/>
          </w:rPr>
          <w:t>http://data.europa.eu/eli/C/2024/6332/oj</w:t>
        </w:r>
      </w:hyperlink>
      <w:r w:rsidRPr="00E51DFE">
        <w:rPr>
          <w:sz w:val="24"/>
          <w:lang w:val="cs-CZ"/>
        </w:rPr>
        <w:t>.</w:t>
      </w:r>
    </w:p>
  </w:footnote>
  <w:footnote w:id="232">
    <w:p w14:paraId="37B4F8F3"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32" w:history="1">
        <w:r w:rsidRPr="00E51DFE">
          <w:rPr>
            <w:rStyle w:val="Hyperlink1"/>
            <w:sz w:val="24"/>
            <w:lang w:val="cs-CZ"/>
          </w:rPr>
          <w:t>http://data.europa.eu/eli/C/2024/6041/oj</w:t>
        </w:r>
      </w:hyperlink>
      <w:r w:rsidRPr="00E51DFE">
        <w:rPr>
          <w:sz w:val="24"/>
          <w:lang w:val="cs-CZ"/>
        </w:rPr>
        <w:t>.</w:t>
      </w:r>
    </w:p>
  </w:footnote>
  <w:footnote w:id="233">
    <w:p w14:paraId="34BF4E1B"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33" w:history="1">
        <w:r w:rsidRPr="00E51DFE">
          <w:rPr>
            <w:rStyle w:val="Hyperlink1"/>
            <w:sz w:val="24"/>
            <w:lang w:val="cs-CZ"/>
          </w:rPr>
          <w:t>http://data.europa.eu/eli/reg/2018/1046/oj</w:t>
        </w:r>
      </w:hyperlink>
      <w:r w:rsidRPr="00E51DFE">
        <w:rPr>
          <w:sz w:val="24"/>
          <w:lang w:val="cs-CZ"/>
        </w:rPr>
        <w:t>.</w:t>
      </w:r>
    </w:p>
  </w:footnote>
  <w:footnote w:id="234">
    <w:p w14:paraId="2A2434C2"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34" w:history="1">
        <w:r w:rsidRPr="00E51DFE">
          <w:rPr>
            <w:rStyle w:val="Hyperlink1"/>
            <w:sz w:val="24"/>
            <w:lang w:val="cs-CZ"/>
          </w:rPr>
          <w:t>http://data.europa.eu/eli/reg/2024/2509/oj</w:t>
        </w:r>
      </w:hyperlink>
      <w:r w:rsidRPr="00E51DFE">
        <w:rPr>
          <w:sz w:val="24"/>
          <w:lang w:val="cs-CZ"/>
        </w:rPr>
        <w:t>.</w:t>
      </w:r>
    </w:p>
  </w:footnote>
  <w:footnote w:id="235">
    <w:p w14:paraId="4A08ACE0"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151, 7.6.2019, s. 15, ELI: </w:t>
      </w:r>
      <w:hyperlink r:id="rId235" w:history="1">
        <w:r w:rsidRPr="00E51DFE">
          <w:rPr>
            <w:rStyle w:val="Hyperlink"/>
            <w:sz w:val="24"/>
            <w:lang w:val="cs-CZ"/>
          </w:rPr>
          <w:t>http://data.europa.eu/eli/reg/2019/881/oj</w:t>
        </w:r>
      </w:hyperlink>
      <w:r w:rsidRPr="00E51DFE">
        <w:rPr>
          <w:sz w:val="24"/>
          <w:lang w:val="cs-CZ"/>
        </w:rPr>
        <w:t>.</w:t>
      </w:r>
    </w:p>
  </w:footnote>
  <w:footnote w:id="236">
    <w:p w14:paraId="49DCE245" w14:textId="77777777" w:rsidR="00872DB8" w:rsidRPr="0032638C" w:rsidRDefault="00872DB8" w:rsidP="00872DB8">
      <w:pPr>
        <w:pStyle w:val="FootnoteText"/>
        <w:ind w:left="567" w:hanging="567"/>
        <w:rPr>
          <w:sz w:val="24"/>
          <w:lang w:val="cs-CZ"/>
        </w:rPr>
      </w:pPr>
      <w:r w:rsidRPr="0032638C">
        <w:rPr>
          <w:rStyle w:val="FootnoteReference"/>
          <w:sz w:val="24"/>
        </w:rPr>
        <w:footnoteRef/>
      </w:r>
      <w:r w:rsidRPr="0032638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36" w:history="1">
        <w:r w:rsidRPr="00E51DFE">
          <w:rPr>
            <w:rStyle w:val="Hyperlink1"/>
            <w:sz w:val="24"/>
            <w:lang w:val="cs-CZ"/>
          </w:rPr>
          <w:t>http://data.europa.eu/eli/reg_del/2019/715/oj</w:t>
        </w:r>
      </w:hyperlink>
      <w:r w:rsidRPr="00E51DFE">
        <w:rPr>
          <w:sz w:val="24"/>
          <w:lang w:val="cs-CZ"/>
        </w:rPr>
        <w:t>.</w:t>
      </w:r>
    </w:p>
  </w:footnote>
  <w:footnote w:id="237">
    <w:p w14:paraId="39E14330"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37" w:history="1">
        <w:r w:rsidRPr="00E51DFE">
          <w:rPr>
            <w:rStyle w:val="Hyperlink1"/>
            <w:sz w:val="24"/>
            <w:lang w:val="cs-CZ"/>
          </w:rPr>
          <w:t>http://data.europa.eu/eli/C/2024/6332/oj</w:t>
        </w:r>
      </w:hyperlink>
      <w:r w:rsidRPr="00E51DFE">
        <w:rPr>
          <w:sz w:val="24"/>
          <w:lang w:val="cs-CZ"/>
        </w:rPr>
        <w:t>.</w:t>
      </w:r>
    </w:p>
  </w:footnote>
  <w:footnote w:id="238">
    <w:p w14:paraId="11DB6547"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38" w:history="1">
        <w:r w:rsidRPr="00E51DFE">
          <w:rPr>
            <w:rStyle w:val="Hyperlink1"/>
            <w:sz w:val="24"/>
            <w:lang w:val="cs-CZ"/>
          </w:rPr>
          <w:t>http://data.europa.eu/eli/C/2024/6041/oj</w:t>
        </w:r>
      </w:hyperlink>
      <w:r w:rsidRPr="00E51DFE">
        <w:rPr>
          <w:sz w:val="24"/>
          <w:lang w:val="cs-CZ"/>
        </w:rPr>
        <w:t>.</w:t>
      </w:r>
    </w:p>
  </w:footnote>
  <w:footnote w:id="239">
    <w:p w14:paraId="28C90A4B"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39" w:history="1">
        <w:r w:rsidRPr="00E51DFE">
          <w:rPr>
            <w:rStyle w:val="Hyperlink1"/>
            <w:sz w:val="24"/>
            <w:lang w:val="cs-CZ"/>
          </w:rPr>
          <w:t>http://data.europa.eu/eli/reg/2018/1046/oj</w:t>
        </w:r>
      </w:hyperlink>
      <w:r w:rsidRPr="00E51DFE">
        <w:rPr>
          <w:sz w:val="24"/>
          <w:lang w:val="cs-CZ"/>
        </w:rPr>
        <w:t>.</w:t>
      </w:r>
    </w:p>
  </w:footnote>
  <w:footnote w:id="240">
    <w:p w14:paraId="439CAD3F"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40" w:history="1">
        <w:r w:rsidRPr="00E51DFE">
          <w:rPr>
            <w:rStyle w:val="Hyperlink1"/>
            <w:sz w:val="24"/>
            <w:lang w:val="cs-CZ"/>
          </w:rPr>
          <w:t>http://data.europa.eu/eli/reg/2024/2509/oj</w:t>
        </w:r>
      </w:hyperlink>
      <w:r w:rsidRPr="00E51DFE">
        <w:rPr>
          <w:sz w:val="24"/>
          <w:lang w:val="cs-CZ"/>
        </w:rPr>
        <w:t>.</w:t>
      </w:r>
    </w:p>
  </w:footnote>
  <w:footnote w:id="241">
    <w:p w14:paraId="6CAF2718"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151, 7.6.2019, s. 15, ELI: </w:t>
      </w:r>
      <w:hyperlink r:id="rId241" w:history="1">
        <w:r w:rsidRPr="00E51DFE">
          <w:rPr>
            <w:rStyle w:val="Hyperlink"/>
            <w:sz w:val="24"/>
            <w:lang w:val="cs-CZ"/>
          </w:rPr>
          <w:t>http://data.europa.eu/eli/reg/2019/881/oj</w:t>
        </w:r>
      </w:hyperlink>
      <w:r w:rsidRPr="00E51DFE">
        <w:rPr>
          <w:sz w:val="24"/>
          <w:lang w:val="cs-CZ"/>
        </w:rPr>
        <w:t>.</w:t>
      </w:r>
    </w:p>
  </w:footnote>
  <w:footnote w:id="242">
    <w:p w14:paraId="167BC26D" w14:textId="77777777" w:rsidR="00872DB8" w:rsidRPr="0075504C" w:rsidRDefault="00872DB8" w:rsidP="00872DB8">
      <w:pPr>
        <w:pStyle w:val="FootnoteText"/>
        <w:ind w:left="567" w:hanging="567"/>
        <w:rPr>
          <w:sz w:val="24"/>
          <w:lang w:val="cs-CZ"/>
        </w:rPr>
      </w:pPr>
      <w:r w:rsidRPr="0075504C">
        <w:rPr>
          <w:rStyle w:val="FootnoteReference"/>
          <w:sz w:val="24"/>
        </w:rPr>
        <w:footnoteRef/>
      </w:r>
      <w:r w:rsidRPr="0075504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42" w:history="1">
        <w:r w:rsidRPr="00E51DFE">
          <w:rPr>
            <w:rStyle w:val="Hyperlink1"/>
            <w:sz w:val="24"/>
            <w:lang w:val="cs-CZ"/>
          </w:rPr>
          <w:t>http://data.europa.eu/eli/reg_del/2019/715/oj</w:t>
        </w:r>
      </w:hyperlink>
      <w:r w:rsidRPr="00E51DFE">
        <w:rPr>
          <w:sz w:val="24"/>
          <w:lang w:val="cs-CZ"/>
        </w:rPr>
        <w:t>.</w:t>
      </w:r>
    </w:p>
  </w:footnote>
  <w:footnote w:id="243">
    <w:p w14:paraId="24DE8912"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43" w:history="1">
        <w:r w:rsidRPr="00E51DFE">
          <w:rPr>
            <w:rStyle w:val="Hyperlink1"/>
            <w:sz w:val="24"/>
            <w:lang w:val="cs-CZ"/>
          </w:rPr>
          <w:t>http://data.europa.eu/eli/C/2024/6332/oj</w:t>
        </w:r>
      </w:hyperlink>
      <w:r w:rsidRPr="00E51DFE">
        <w:rPr>
          <w:sz w:val="24"/>
          <w:lang w:val="cs-CZ"/>
        </w:rPr>
        <w:t>.</w:t>
      </w:r>
    </w:p>
  </w:footnote>
  <w:footnote w:id="244">
    <w:p w14:paraId="083D373B"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44" w:history="1">
        <w:r w:rsidRPr="00E51DFE">
          <w:rPr>
            <w:rStyle w:val="Hyperlink1"/>
            <w:sz w:val="24"/>
            <w:lang w:val="cs-CZ"/>
          </w:rPr>
          <w:t>http://data.europa.eu/eli/C/2024/6041/oj</w:t>
        </w:r>
      </w:hyperlink>
      <w:r w:rsidRPr="00E51DFE">
        <w:rPr>
          <w:sz w:val="24"/>
          <w:lang w:val="cs-CZ"/>
        </w:rPr>
        <w:t>.</w:t>
      </w:r>
    </w:p>
  </w:footnote>
  <w:footnote w:id="245">
    <w:p w14:paraId="2F7C950C"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45" w:history="1">
        <w:r w:rsidRPr="00E51DFE">
          <w:rPr>
            <w:rStyle w:val="Hyperlink1"/>
            <w:sz w:val="24"/>
            <w:lang w:val="cs-CZ"/>
          </w:rPr>
          <w:t>http://data.europa.eu/eli/reg/2018/1046/oj</w:t>
        </w:r>
      </w:hyperlink>
      <w:r w:rsidRPr="00E51DFE">
        <w:rPr>
          <w:sz w:val="24"/>
          <w:lang w:val="cs-CZ"/>
        </w:rPr>
        <w:t>.</w:t>
      </w:r>
    </w:p>
  </w:footnote>
  <w:footnote w:id="246">
    <w:p w14:paraId="596EB331"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46" w:history="1">
        <w:r w:rsidRPr="00E51DFE">
          <w:rPr>
            <w:rStyle w:val="Hyperlink1"/>
            <w:sz w:val="24"/>
            <w:lang w:val="cs-CZ"/>
          </w:rPr>
          <w:t>http://data.europa.eu/eli/reg/2024/2509/oj</w:t>
        </w:r>
      </w:hyperlink>
      <w:r w:rsidRPr="00E51DFE">
        <w:rPr>
          <w:sz w:val="24"/>
          <w:lang w:val="cs-CZ"/>
        </w:rPr>
        <w:t>.</w:t>
      </w:r>
    </w:p>
  </w:footnote>
  <w:footnote w:id="247">
    <w:p w14:paraId="06DD43BC"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138, 26.5.2016, s. 1, ELI: </w:t>
      </w:r>
      <w:hyperlink r:id="rId247" w:history="1">
        <w:r w:rsidRPr="00E51DFE">
          <w:rPr>
            <w:rStyle w:val="Hyperlink1"/>
            <w:sz w:val="24"/>
            <w:lang w:val="cs-CZ"/>
          </w:rPr>
          <w:t>https://data.europa.eu/eli/reg/2016/796/oj</w:t>
        </w:r>
      </w:hyperlink>
      <w:r w:rsidRPr="00E51DFE">
        <w:rPr>
          <w:sz w:val="24"/>
          <w:lang w:val="cs-CZ"/>
        </w:rPr>
        <w:t>.</w:t>
      </w:r>
    </w:p>
  </w:footnote>
  <w:footnote w:id="248">
    <w:p w14:paraId="717C2A1B" w14:textId="77777777" w:rsidR="00872DB8" w:rsidRPr="001141EA" w:rsidRDefault="00872DB8" w:rsidP="00872DB8">
      <w:pPr>
        <w:pStyle w:val="FootnoteText"/>
        <w:ind w:left="567" w:hanging="567"/>
        <w:rPr>
          <w:sz w:val="24"/>
          <w:lang w:val="cs-CZ"/>
        </w:rPr>
      </w:pPr>
      <w:r w:rsidRPr="001141EA">
        <w:rPr>
          <w:rStyle w:val="FootnoteReference"/>
          <w:sz w:val="24"/>
        </w:rPr>
        <w:footnoteRef/>
      </w:r>
      <w:r w:rsidRPr="001141EA">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48" w:history="1">
        <w:r w:rsidRPr="00E51DFE">
          <w:rPr>
            <w:rStyle w:val="Hyperlink1"/>
            <w:sz w:val="24"/>
            <w:lang w:val="cs-CZ"/>
          </w:rPr>
          <w:t>http://data.europa.eu/eli/reg_del/2019/715/oj</w:t>
        </w:r>
      </w:hyperlink>
      <w:r w:rsidRPr="00E51DFE">
        <w:rPr>
          <w:sz w:val="24"/>
          <w:lang w:val="cs-CZ"/>
        </w:rPr>
        <w:t>.</w:t>
      </w:r>
    </w:p>
  </w:footnote>
  <w:footnote w:id="249">
    <w:p w14:paraId="43685175"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49" w:history="1">
        <w:r w:rsidRPr="00E51DFE">
          <w:rPr>
            <w:rStyle w:val="Hyperlink1"/>
            <w:sz w:val="24"/>
            <w:lang w:val="cs-CZ"/>
          </w:rPr>
          <w:t>http://data.europa.eu/eli/C/2024/6332/oj</w:t>
        </w:r>
      </w:hyperlink>
      <w:r w:rsidRPr="00E51DFE">
        <w:rPr>
          <w:sz w:val="24"/>
          <w:lang w:val="cs-CZ"/>
        </w:rPr>
        <w:t>.</w:t>
      </w:r>
    </w:p>
  </w:footnote>
  <w:footnote w:id="250">
    <w:p w14:paraId="1409D4E4"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50" w:history="1">
        <w:r w:rsidRPr="00E51DFE">
          <w:rPr>
            <w:rStyle w:val="Hyperlink1"/>
            <w:sz w:val="24"/>
            <w:lang w:val="cs-CZ"/>
          </w:rPr>
          <w:t>http://data.europa.eu/eli/C/2024/6041/oj</w:t>
        </w:r>
      </w:hyperlink>
      <w:r w:rsidRPr="00E51DFE">
        <w:rPr>
          <w:sz w:val="24"/>
          <w:lang w:val="cs-CZ"/>
        </w:rPr>
        <w:t>.</w:t>
      </w:r>
    </w:p>
  </w:footnote>
  <w:footnote w:id="251">
    <w:p w14:paraId="5838EB12"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51" w:history="1">
        <w:r w:rsidRPr="00E51DFE">
          <w:rPr>
            <w:rStyle w:val="Hyperlink1"/>
            <w:sz w:val="24"/>
            <w:lang w:val="cs-CZ"/>
          </w:rPr>
          <w:t>http://data.europa.eu/eli/reg/2018/1046/oj</w:t>
        </w:r>
      </w:hyperlink>
      <w:r w:rsidRPr="00E51DFE">
        <w:rPr>
          <w:sz w:val="24"/>
          <w:lang w:val="cs-CZ"/>
        </w:rPr>
        <w:t>.</w:t>
      </w:r>
    </w:p>
  </w:footnote>
  <w:footnote w:id="252">
    <w:p w14:paraId="1A9EECE1"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52" w:history="1">
        <w:r w:rsidRPr="00E51DFE">
          <w:rPr>
            <w:rStyle w:val="Hyperlink1"/>
            <w:sz w:val="24"/>
            <w:lang w:val="cs-CZ"/>
          </w:rPr>
          <w:t>http://data.europa.eu/eli/reg/2024/2509/oj</w:t>
        </w:r>
      </w:hyperlink>
      <w:r w:rsidRPr="00E51DFE">
        <w:rPr>
          <w:sz w:val="24"/>
          <w:lang w:val="cs-CZ"/>
        </w:rPr>
        <w:t>.</w:t>
      </w:r>
    </w:p>
  </w:footnote>
  <w:footnote w:id="253">
    <w:p w14:paraId="5DF23752"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138, 26.5.2016, s. 1, ELI: </w:t>
      </w:r>
      <w:hyperlink r:id="rId253" w:history="1">
        <w:r w:rsidRPr="00E51DFE">
          <w:rPr>
            <w:rStyle w:val="Hyperlink"/>
            <w:sz w:val="24"/>
            <w:lang w:val="cs-CZ"/>
          </w:rPr>
          <w:t>http://data.europa.eu/eli/reg/2016/796/oj</w:t>
        </w:r>
      </w:hyperlink>
      <w:r w:rsidRPr="00E51DFE">
        <w:rPr>
          <w:sz w:val="24"/>
          <w:lang w:val="cs-CZ"/>
        </w:rPr>
        <w:t>.</w:t>
      </w:r>
    </w:p>
  </w:footnote>
  <w:footnote w:id="254">
    <w:p w14:paraId="30413ED9" w14:textId="77777777" w:rsidR="00872DB8" w:rsidRPr="00824DE0" w:rsidRDefault="00872DB8" w:rsidP="00872DB8">
      <w:pPr>
        <w:pStyle w:val="FootnoteText"/>
        <w:ind w:left="567" w:hanging="567"/>
        <w:rPr>
          <w:sz w:val="24"/>
          <w:lang w:val="cs-CZ"/>
        </w:rPr>
      </w:pPr>
      <w:r w:rsidRPr="00824DE0">
        <w:rPr>
          <w:rStyle w:val="FootnoteReference"/>
          <w:sz w:val="24"/>
        </w:rPr>
        <w:footnoteRef/>
      </w:r>
      <w:r w:rsidRPr="00824DE0">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254" w:history="1">
        <w:r w:rsidRPr="00E51DFE">
          <w:rPr>
            <w:rStyle w:val="Hyperlink"/>
            <w:sz w:val="24"/>
            <w:lang w:val="cs-CZ"/>
          </w:rPr>
          <w:t>http://data.europa.eu/eli/reg_del/2019/715/oj</w:t>
        </w:r>
      </w:hyperlink>
      <w:r w:rsidRPr="00E51DFE">
        <w:rPr>
          <w:sz w:val="24"/>
          <w:lang w:val="cs-CZ"/>
        </w:rPr>
        <w:t>.</w:t>
      </w:r>
    </w:p>
  </w:footnote>
  <w:footnote w:id="255">
    <w:p w14:paraId="5214E08D" w14:textId="77777777" w:rsidR="00872DB8" w:rsidRPr="001C6CB6" w:rsidRDefault="00872DB8" w:rsidP="00872DB8">
      <w:pPr>
        <w:pStyle w:val="FootnoteText"/>
        <w:ind w:left="567" w:hanging="567"/>
        <w:rPr>
          <w:sz w:val="24"/>
          <w:lang w:val="cs-CZ"/>
        </w:rPr>
      </w:pPr>
      <w:r w:rsidRPr="001C6CB6">
        <w:rPr>
          <w:rStyle w:val="FootnoteReference"/>
          <w:sz w:val="24"/>
        </w:rPr>
        <w:footnoteRef/>
      </w:r>
      <w:r w:rsidRPr="001C6CB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55" w:history="1">
        <w:r w:rsidRPr="00E51DFE">
          <w:rPr>
            <w:rStyle w:val="Hyperlink1"/>
            <w:sz w:val="24"/>
            <w:lang w:val="cs-CZ"/>
          </w:rPr>
          <w:t>http://data.europa.eu/eli/C/2024/6332/oj</w:t>
        </w:r>
      </w:hyperlink>
      <w:r w:rsidRPr="00E51DFE">
        <w:rPr>
          <w:sz w:val="24"/>
          <w:lang w:val="cs-CZ"/>
        </w:rPr>
        <w:t>.</w:t>
      </w:r>
    </w:p>
  </w:footnote>
  <w:footnote w:id="256">
    <w:p w14:paraId="05F75346" w14:textId="77777777" w:rsidR="00872DB8" w:rsidRPr="001C6CB6" w:rsidRDefault="00872DB8" w:rsidP="00872DB8">
      <w:pPr>
        <w:pStyle w:val="FootnoteText"/>
        <w:ind w:left="567" w:hanging="567"/>
        <w:rPr>
          <w:sz w:val="24"/>
          <w:lang w:val="cs-CZ"/>
        </w:rPr>
      </w:pPr>
      <w:r w:rsidRPr="001C6CB6">
        <w:rPr>
          <w:rStyle w:val="FootnoteReference"/>
          <w:sz w:val="24"/>
        </w:rPr>
        <w:footnoteRef/>
      </w:r>
      <w:r w:rsidRPr="001C6CB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56" w:history="1">
        <w:r w:rsidRPr="00E51DFE">
          <w:rPr>
            <w:rStyle w:val="Hyperlink1"/>
            <w:sz w:val="24"/>
            <w:lang w:val="cs-CZ"/>
          </w:rPr>
          <w:t>http://data.europa.eu/eli/C/2024/6041/oj</w:t>
        </w:r>
      </w:hyperlink>
      <w:r w:rsidRPr="00E51DFE">
        <w:rPr>
          <w:sz w:val="24"/>
          <w:lang w:val="cs-CZ"/>
        </w:rPr>
        <w:t>.</w:t>
      </w:r>
    </w:p>
  </w:footnote>
  <w:footnote w:id="257">
    <w:p w14:paraId="7C4253EE" w14:textId="77777777" w:rsidR="00872DB8" w:rsidRPr="001C6CB6" w:rsidRDefault="00872DB8" w:rsidP="00872DB8">
      <w:pPr>
        <w:pStyle w:val="FootnoteText"/>
        <w:ind w:left="567" w:hanging="567"/>
        <w:rPr>
          <w:sz w:val="24"/>
          <w:lang w:val="cs-CZ"/>
        </w:rPr>
      </w:pPr>
      <w:r w:rsidRPr="001C6CB6">
        <w:rPr>
          <w:rStyle w:val="FootnoteReference"/>
          <w:sz w:val="24"/>
        </w:rPr>
        <w:footnoteRef/>
      </w:r>
      <w:r w:rsidRPr="001C6CB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57" w:history="1">
        <w:r w:rsidRPr="00E51DFE">
          <w:rPr>
            <w:rStyle w:val="Hyperlink1"/>
            <w:sz w:val="24"/>
            <w:lang w:val="cs-CZ"/>
          </w:rPr>
          <w:t>http://data.europa.eu/eli/reg/2018/1046/oj</w:t>
        </w:r>
      </w:hyperlink>
      <w:r w:rsidRPr="00E51DFE">
        <w:rPr>
          <w:sz w:val="24"/>
          <w:lang w:val="cs-CZ"/>
        </w:rPr>
        <w:t>.</w:t>
      </w:r>
    </w:p>
  </w:footnote>
  <w:footnote w:id="258">
    <w:p w14:paraId="179AD7CF" w14:textId="77777777" w:rsidR="00872DB8" w:rsidRPr="001C6CB6" w:rsidRDefault="00872DB8" w:rsidP="00872DB8">
      <w:pPr>
        <w:pStyle w:val="FootnoteText"/>
        <w:ind w:left="567" w:hanging="567"/>
        <w:rPr>
          <w:sz w:val="24"/>
          <w:lang w:val="cs-CZ"/>
        </w:rPr>
      </w:pPr>
      <w:r w:rsidRPr="001C6CB6">
        <w:rPr>
          <w:rStyle w:val="FootnoteReference"/>
          <w:sz w:val="24"/>
        </w:rPr>
        <w:footnoteRef/>
      </w:r>
      <w:r w:rsidRPr="001C6CB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58" w:history="1">
        <w:r w:rsidRPr="00E51DFE">
          <w:rPr>
            <w:rStyle w:val="Hyperlink1"/>
            <w:sz w:val="24"/>
            <w:lang w:val="cs-CZ"/>
          </w:rPr>
          <w:t>http://data.europa.eu/eli/reg/2024/2509/oj</w:t>
        </w:r>
      </w:hyperlink>
      <w:r w:rsidRPr="00E51DFE">
        <w:rPr>
          <w:sz w:val="24"/>
          <w:lang w:val="cs-CZ"/>
        </w:rPr>
        <w:t>.</w:t>
      </w:r>
    </w:p>
  </w:footnote>
  <w:footnote w:id="259">
    <w:p w14:paraId="2A55EDE7" w14:textId="77777777" w:rsidR="00872DB8" w:rsidRPr="001C6CB6" w:rsidRDefault="00872DB8" w:rsidP="00872DB8">
      <w:pPr>
        <w:pStyle w:val="FootnoteText"/>
        <w:ind w:left="567" w:hanging="567"/>
        <w:rPr>
          <w:sz w:val="24"/>
          <w:lang w:val="cs-CZ"/>
        </w:rPr>
      </w:pPr>
      <w:r w:rsidRPr="001C6CB6">
        <w:rPr>
          <w:rStyle w:val="FootnoteReference"/>
          <w:sz w:val="24"/>
        </w:rPr>
        <w:footnoteRef/>
      </w:r>
      <w:r w:rsidRPr="001C6CB6">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41, 15.2.2008, s. 15, ELI: </w:t>
      </w:r>
      <w:hyperlink r:id="rId259" w:history="1">
        <w:r w:rsidRPr="00E51DFE">
          <w:rPr>
            <w:rStyle w:val="Hyperlink"/>
            <w:sz w:val="24"/>
            <w:lang w:val="cs-CZ"/>
          </w:rPr>
          <w:t>http://data.europa.eu/eli/dec/2008/114(1)/oj</w:t>
        </w:r>
      </w:hyperlink>
      <w:r w:rsidRPr="00E51DFE">
        <w:rPr>
          <w:sz w:val="24"/>
          <w:lang w:val="cs-CZ"/>
        </w:rPr>
        <w:t>.</w:t>
      </w:r>
    </w:p>
  </w:footnote>
  <w:footnote w:id="260">
    <w:p w14:paraId="3D947842" w14:textId="77777777" w:rsidR="00872DB8" w:rsidRPr="00480F35" w:rsidRDefault="00872DB8" w:rsidP="00872DB8">
      <w:pPr>
        <w:pStyle w:val="FootnoteText"/>
        <w:ind w:left="567" w:hanging="567"/>
        <w:rPr>
          <w:sz w:val="24"/>
          <w:lang w:val="cs-CZ"/>
        </w:rPr>
      </w:pPr>
      <w:r w:rsidRPr="00480F35">
        <w:rPr>
          <w:rStyle w:val="FootnoteReference"/>
          <w:sz w:val="24"/>
        </w:rPr>
        <w:footnoteRef/>
      </w:r>
      <w:r w:rsidRPr="00480F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60" w:history="1">
        <w:r w:rsidRPr="00E51DFE">
          <w:rPr>
            <w:rStyle w:val="Hyperlink1"/>
            <w:sz w:val="24"/>
            <w:lang w:val="cs-CZ"/>
          </w:rPr>
          <w:t>http://data.europa.eu/eli/C/2024/6332/oj</w:t>
        </w:r>
      </w:hyperlink>
      <w:r w:rsidRPr="00E51DFE">
        <w:rPr>
          <w:sz w:val="24"/>
          <w:lang w:val="cs-CZ"/>
        </w:rPr>
        <w:t>.</w:t>
      </w:r>
    </w:p>
  </w:footnote>
  <w:footnote w:id="261">
    <w:p w14:paraId="03D63E71" w14:textId="77777777" w:rsidR="00872DB8" w:rsidRPr="00480F35" w:rsidRDefault="00872DB8" w:rsidP="00872DB8">
      <w:pPr>
        <w:pStyle w:val="FootnoteText"/>
        <w:ind w:left="567" w:hanging="567"/>
        <w:rPr>
          <w:sz w:val="24"/>
          <w:lang w:val="cs-CZ"/>
        </w:rPr>
      </w:pPr>
      <w:r w:rsidRPr="00480F35">
        <w:rPr>
          <w:rStyle w:val="FootnoteReference"/>
          <w:sz w:val="24"/>
        </w:rPr>
        <w:footnoteRef/>
      </w:r>
      <w:r w:rsidRPr="00480F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61" w:history="1">
        <w:r w:rsidRPr="00E51DFE">
          <w:rPr>
            <w:rStyle w:val="Hyperlink1"/>
            <w:sz w:val="24"/>
            <w:lang w:val="cs-CZ"/>
          </w:rPr>
          <w:t>http://data.europa.eu/eli/C/2024/6041/oj</w:t>
        </w:r>
      </w:hyperlink>
      <w:r w:rsidRPr="00E51DFE">
        <w:rPr>
          <w:sz w:val="24"/>
          <w:lang w:val="cs-CZ"/>
        </w:rPr>
        <w:t>.</w:t>
      </w:r>
    </w:p>
  </w:footnote>
  <w:footnote w:id="262">
    <w:p w14:paraId="4D262CF2" w14:textId="77777777" w:rsidR="00872DB8" w:rsidRPr="00480F35" w:rsidRDefault="00872DB8" w:rsidP="00872DB8">
      <w:pPr>
        <w:pStyle w:val="FootnoteText"/>
        <w:ind w:left="567" w:hanging="567"/>
        <w:rPr>
          <w:sz w:val="24"/>
          <w:lang w:val="cs-CZ"/>
        </w:rPr>
      </w:pPr>
      <w:r w:rsidRPr="00480F35">
        <w:rPr>
          <w:rStyle w:val="FootnoteReference"/>
          <w:sz w:val="24"/>
        </w:rPr>
        <w:footnoteRef/>
      </w:r>
      <w:r w:rsidRPr="00480F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62" w:history="1">
        <w:r w:rsidRPr="00E51DFE">
          <w:rPr>
            <w:rStyle w:val="Hyperlink1"/>
            <w:sz w:val="24"/>
            <w:lang w:val="cs-CZ"/>
          </w:rPr>
          <w:t>http://data.europa.eu/eli/reg/2018/1046/oj</w:t>
        </w:r>
      </w:hyperlink>
      <w:r w:rsidRPr="00E51DFE">
        <w:rPr>
          <w:sz w:val="24"/>
          <w:lang w:val="cs-CZ"/>
        </w:rPr>
        <w:t>.</w:t>
      </w:r>
    </w:p>
  </w:footnote>
  <w:footnote w:id="263">
    <w:p w14:paraId="4C972D16" w14:textId="77777777" w:rsidR="00872DB8" w:rsidRPr="00480F35" w:rsidRDefault="00872DB8" w:rsidP="00872DB8">
      <w:pPr>
        <w:pStyle w:val="FootnoteText"/>
        <w:ind w:left="567" w:hanging="567"/>
        <w:rPr>
          <w:sz w:val="24"/>
          <w:lang w:val="cs-CZ"/>
        </w:rPr>
      </w:pPr>
      <w:r w:rsidRPr="00480F35">
        <w:rPr>
          <w:rStyle w:val="FootnoteReference"/>
          <w:sz w:val="24"/>
        </w:rPr>
        <w:footnoteRef/>
      </w:r>
      <w:r w:rsidRPr="00480F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63" w:history="1">
        <w:r w:rsidRPr="00E51DFE">
          <w:rPr>
            <w:rStyle w:val="Hyperlink1"/>
            <w:sz w:val="24"/>
            <w:lang w:val="cs-CZ"/>
          </w:rPr>
          <w:t>http://data.europa.eu/eli/reg/2024/2509/oj</w:t>
        </w:r>
      </w:hyperlink>
      <w:r w:rsidRPr="00E51DFE">
        <w:rPr>
          <w:sz w:val="24"/>
          <w:lang w:val="cs-CZ"/>
        </w:rPr>
        <w:t>.</w:t>
      </w:r>
    </w:p>
  </w:footnote>
  <w:footnote w:id="264">
    <w:p w14:paraId="5EA9716B" w14:textId="77777777" w:rsidR="00872DB8" w:rsidRPr="00480F35" w:rsidRDefault="00872DB8" w:rsidP="00872DB8">
      <w:pPr>
        <w:pStyle w:val="FootnoteText"/>
        <w:ind w:left="567" w:hanging="567"/>
        <w:rPr>
          <w:sz w:val="24"/>
          <w:lang w:val="cs-CZ"/>
        </w:rPr>
      </w:pPr>
      <w:r w:rsidRPr="00480F35">
        <w:rPr>
          <w:rStyle w:val="FootnoteReference"/>
          <w:sz w:val="24"/>
        </w:rPr>
        <w:footnoteRef/>
      </w:r>
      <w:r w:rsidRPr="00480F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41, 15.2.2008, s. 15, ELI: </w:t>
      </w:r>
      <w:hyperlink r:id="rId264" w:history="1">
        <w:r w:rsidRPr="00E51DFE">
          <w:rPr>
            <w:rStyle w:val="Hyperlink1"/>
            <w:sz w:val="24"/>
            <w:lang w:val="cs-CZ"/>
          </w:rPr>
          <w:t>http://data.europa.eu/eli/dec/2008/114(1)/oj</w:t>
        </w:r>
      </w:hyperlink>
      <w:r w:rsidRPr="00E51DFE">
        <w:rPr>
          <w:sz w:val="24"/>
          <w:lang w:val="cs-CZ"/>
        </w:rPr>
        <w:t>.</w:t>
      </w:r>
    </w:p>
  </w:footnote>
  <w:footnote w:id="265">
    <w:p w14:paraId="2570FA34"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65" w:history="1">
        <w:r w:rsidRPr="00E51DFE">
          <w:rPr>
            <w:rStyle w:val="Hyperlink1"/>
            <w:sz w:val="24"/>
            <w:lang w:val="cs-CZ"/>
          </w:rPr>
          <w:t>http://data.europa.eu/eli/C/2024/6332/oj</w:t>
        </w:r>
      </w:hyperlink>
      <w:r w:rsidRPr="00E51DFE">
        <w:rPr>
          <w:sz w:val="24"/>
          <w:lang w:val="cs-CZ"/>
        </w:rPr>
        <w:t>.</w:t>
      </w:r>
    </w:p>
  </w:footnote>
  <w:footnote w:id="266">
    <w:p w14:paraId="7A3B58AE"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66" w:history="1">
        <w:r w:rsidRPr="00E51DFE">
          <w:rPr>
            <w:rStyle w:val="Hyperlink1"/>
            <w:sz w:val="24"/>
            <w:lang w:val="cs-CZ"/>
          </w:rPr>
          <w:t>http://data.europa.eu/eli/C/2024/6041/oj</w:t>
        </w:r>
      </w:hyperlink>
      <w:r w:rsidRPr="00E51DFE">
        <w:rPr>
          <w:sz w:val="24"/>
          <w:lang w:val="cs-CZ"/>
        </w:rPr>
        <w:t>.</w:t>
      </w:r>
    </w:p>
  </w:footnote>
  <w:footnote w:id="267">
    <w:p w14:paraId="51C60977"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67" w:history="1">
        <w:r w:rsidRPr="00E51DFE">
          <w:rPr>
            <w:rStyle w:val="Hyperlink1"/>
            <w:sz w:val="24"/>
            <w:lang w:val="cs-CZ"/>
          </w:rPr>
          <w:t>http://data.europa.eu/eli/reg/2018/1046/oj</w:t>
        </w:r>
      </w:hyperlink>
      <w:r w:rsidRPr="00E51DFE">
        <w:rPr>
          <w:sz w:val="24"/>
          <w:lang w:val="cs-CZ"/>
        </w:rPr>
        <w:t>.</w:t>
      </w:r>
    </w:p>
  </w:footnote>
  <w:footnote w:id="268">
    <w:p w14:paraId="3565F69E"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68" w:history="1">
        <w:r w:rsidRPr="00E51DFE">
          <w:rPr>
            <w:rStyle w:val="Hyperlink1"/>
            <w:sz w:val="24"/>
            <w:lang w:val="cs-CZ"/>
          </w:rPr>
          <w:t>http://data.europa.eu/eli/reg/2024/2509/oj</w:t>
        </w:r>
      </w:hyperlink>
      <w:r w:rsidRPr="00E51DFE">
        <w:rPr>
          <w:sz w:val="24"/>
          <w:lang w:val="cs-CZ"/>
        </w:rPr>
        <w:t>.</w:t>
      </w:r>
    </w:p>
  </w:footnote>
  <w:footnote w:id="269">
    <w:p w14:paraId="23B2E3D1"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84, ELI: </w:t>
      </w:r>
      <w:hyperlink r:id="rId269" w:history="1">
        <w:r w:rsidRPr="00E51DFE">
          <w:rPr>
            <w:rStyle w:val="Hyperlink"/>
            <w:sz w:val="24"/>
            <w:lang w:val="cs-CZ"/>
          </w:rPr>
          <w:t>http://data.europa.eu/eli/reg/2010/1095/oj</w:t>
        </w:r>
      </w:hyperlink>
      <w:r w:rsidRPr="00E51DFE">
        <w:rPr>
          <w:sz w:val="24"/>
          <w:lang w:val="cs-CZ"/>
        </w:rPr>
        <w:t>.</w:t>
      </w:r>
    </w:p>
  </w:footnote>
  <w:footnote w:id="270">
    <w:p w14:paraId="20DA894B" w14:textId="77777777" w:rsidR="00872DB8" w:rsidRPr="00E72B39" w:rsidRDefault="00872DB8" w:rsidP="00872DB8">
      <w:pPr>
        <w:pStyle w:val="FootnoteText"/>
        <w:ind w:left="567" w:hanging="567"/>
        <w:rPr>
          <w:sz w:val="24"/>
          <w:lang w:val="cs-CZ"/>
        </w:rPr>
      </w:pPr>
      <w:r w:rsidRPr="00E72B39">
        <w:rPr>
          <w:rStyle w:val="FootnoteReference"/>
          <w:sz w:val="24"/>
        </w:rPr>
        <w:footnoteRef/>
      </w:r>
      <w:r w:rsidRPr="00E72B3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70" w:history="1">
        <w:r w:rsidRPr="00E51DFE">
          <w:rPr>
            <w:rStyle w:val="Hyperlink1"/>
            <w:sz w:val="24"/>
            <w:lang w:val="cs-CZ"/>
          </w:rPr>
          <w:t>http://data.europa.eu/eli/reg_del/2019/715/oj</w:t>
        </w:r>
      </w:hyperlink>
      <w:r w:rsidRPr="00E51DFE">
        <w:rPr>
          <w:sz w:val="24"/>
          <w:lang w:val="cs-CZ"/>
        </w:rPr>
        <w:t>.</w:t>
      </w:r>
    </w:p>
  </w:footnote>
  <w:footnote w:id="271">
    <w:p w14:paraId="7AD1B6D8"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71" w:history="1">
        <w:r w:rsidRPr="00E51DFE">
          <w:rPr>
            <w:rStyle w:val="Hyperlink1"/>
            <w:sz w:val="24"/>
            <w:lang w:val="cs-CZ"/>
          </w:rPr>
          <w:t>http://data.europa.eu/eli/C/2024/6332/oj</w:t>
        </w:r>
      </w:hyperlink>
      <w:r w:rsidRPr="00E51DFE">
        <w:rPr>
          <w:sz w:val="24"/>
          <w:lang w:val="cs-CZ"/>
        </w:rPr>
        <w:t>.</w:t>
      </w:r>
    </w:p>
  </w:footnote>
  <w:footnote w:id="272">
    <w:p w14:paraId="5A6069F0"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72" w:history="1">
        <w:r w:rsidRPr="00E51DFE">
          <w:rPr>
            <w:rStyle w:val="Hyperlink1"/>
            <w:sz w:val="24"/>
            <w:lang w:val="cs-CZ"/>
          </w:rPr>
          <w:t>http://data.europa.eu/eli/C/2024/6041/oj</w:t>
        </w:r>
      </w:hyperlink>
      <w:r w:rsidRPr="00E51DFE">
        <w:rPr>
          <w:sz w:val="24"/>
          <w:lang w:val="cs-CZ"/>
        </w:rPr>
        <w:t>.</w:t>
      </w:r>
    </w:p>
  </w:footnote>
  <w:footnote w:id="273">
    <w:p w14:paraId="3FCD0490"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73" w:history="1">
        <w:r w:rsidRPr="00E51DFE">
          <w:rPr>
            <w:rStyle w:val="Hyperlink1"/>
            <w:sz w:val="24"/>
            <w:lang w:val="cs-CZ"/>
          </w:rPr>
          <w:t>http://data.europa.eu/eli/reg/2018/1046/oj</w:t>
        </w:r>
      </w:hyperlink>
      <w:r w:rsidRPr="00E51DFE">
        <w:rPr>
          <w:sz w:val="24"/>
          <w:lang w:val="cs-CZ"/>
        </w:rPr>
        <w:t>.</w:t>
      </w:r>
    </w:p>
  </w:footnote>
  <w:footnote w:id="274">
    <w:p w14:paraId="3734E320"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74" w:history="1">
        <w:r w:rsidRPr="00E51DFE">
          <w:rPr>
            <w:rStyle w:val="Hyperlink1"/>
            <w:sz w:val="24"/>
            <w:lang w:val="cs-CZ"/>
          </w:rPr>
          <w:t>http://data.europa.eu/eli/reg/2024/2509/oj</w:t>
        </w:r>
      </w:hyperlink>
      <w:r w:rsidRPr="00E51DFE">
        <w:rPr>
          <w:sz w:val="24"/>
          <w:lang w:val="cs-CZ"/>
        </w:rPr>
        <w:t>.</w:t>
      </w:r>
    </w:p>
  </w:footnote>
  <w:footnote w:id="275">
    <w:p w14:paraId="02FA222A"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331, 15.12.2010, s. 84, ELI: </w:t>
      </w:r>
      <w:hyperlink r:id="rId275" w:history="1">
        <w:r w:rsidRPr="00E51DFE">
          <w:rPr>
            <w:rStyle w:val="Hyperlink"/>
            <w:sz w:val="24"/>
            <w:lang w:val="cs-CZ"/>
          </w:rPr>
          <w:t>http://data.europa.eu/eli/reg/2010/1095/oj</w:t>
        </w:r>
      </w:hyperlink>
      <w:r w:rsidRPr="00E51DFE">
        <w:rPr>
          <w:sz w:val="24"/>
          <w:lang w:val="cs-CZ"/>
        </w:rPr>
        <w:t>.</w:t>
      </w:r>
    </w:p>
  </w:footnote>
  <w:footnote w:id="276">
    <w:p w14:paraId="50FD4913" w14:textId="77777777" w:rsidR="00872DB8" w:rsidRPr="00AB4F3B" w:rsidRDefault="00872DB8" w:rsidP="00872DB8">
      <w:pPr>
        <w:pStyle w:val="FootnoteText"/>
        <w:ind w:left="567" w:hanging="567"/>
        <w:rPr>
          <w:sz w:val="24"/>
          <w:lang w:val="cs-CZ"/>
        </w:rPr>
      </w:pPr>
      <w:r w:rsidRPr="00AB4F3B">
        <w:rPr>
          <w:rStyle w:val="FootnoteReference"/>
          <w:sz w:val="24"/>
        </w:rPr>
        <w:footnoteRef/>
      </w:r>
      <w:r w:rsidRPr="00AB4F3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76" w:history="1">
        <w:r w:rsidRPr="00E51DFE">
          <w:rPr>
            <w:rStyle w:val="Hyperlink1"/>
            <w:sz w:val="24"/>
            <w:lang w:val="cs-CZ"/>
          </w:rPr>
          <w:t>http://data.europa.eu/eli/reg_del/2019/715/oj</w:t>
        </w:r>
      </w:hyperlink>
      <w:r w:rsidRPr="00E51DFE">
        <w:rPr>
          <w:sz w:val="24"/>
          <w:lang w:val="cs-CZ"/>
        </w:rPr>
        <w:t>.</w:t>
      </w:r>
    </w:p>
  </w:footnote>
  <w:footnote w:id="277">
    <w:p w14:paraId="1FE93101"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77" w:history="1">
        <w:r w:rsidRPr="00E51DFE">
          <w:rPr>
            <w:rStyle w:val="Hyperlink1"/>
            <w:sz w:val="24"/>
            <w:lang w:val="cs-CZ"/>
          </w:rPr>
          <w:t>http://data.europa.eu/eli/C/2024/6332/oj</w:t>
        </w:r>
      </w:hyperlink>
      <w:r w:rsidRPr="00E51DFE">
        <w:rPr>
          <w:sz w:val="24"/>
          <w:lang w:val="cs-CZ"/>
        </w:rPr>
        <w:t>.</w:t>
      </w:r>
    </w:p>
  </w:footnote>
  <w:footnote w:id="278">
    <w:p w14:paraId="5009A856"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78" w:history="1">
        <w:r w:rsidRPr="00E51DFE">
          <w:rPr>
            <w:rStyle w:val="Hyperlink1"/>
            <w:sz w:val="24"/>
            <w:lang w:val="cs-CZ"/>
          </w:rPr>
          <w:t>http://data.europa.eu/eli/C/2024/6041/oj</w:t>
        </w:r>
      </w:hyperlink>
      <w:r w:rsidRPr="00E51DFE">
        <w:rPr>
          <w:sz w:val="24"/>
          <w:lang w:val="cs-CZ"/>
        </w:rPr>
        <w:t>.</w:t>
      </w:r>
    </w:p>
  </w:footnote>
  <w:footnote w:id="279">
    <w:p w14:paraId="1D8BD531"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79" w:history="1">
        <w:r w:rsidRPr="00E51DFE">
          <w:rPr>
            <w:rStyle w:val="Hyperlink1"/>
            <w:sz w:val="24"/>
            <w:lang w:val="cs-CZ"/>
          </w:rPr>
          <w:t>http://data.europa.eu/eli/reg/2018/1046/oj</w:t>
        </w:r>
      </w:hyperlink>
      <w:r w:rsidRPr="00E51DFE">
        <w:rPr>
          <w:sz w:val="24"/>
          <w:lang w:val="cs-CZ"/>
        </w:rPr>
        <w:t>.</w:t>
      </w:r>
    </w:p>
  </w:footnote>
  <w:footnote w:id="280">
    <w:p w14:paraId="187E8C80"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80" w:history="1">
        <w:r w:rsidRPr="00E51DFE">
          <w:rPr>
            <w:rStyle w:val="Hyperlink1"/>
            <w:sz w:val="24"/>
            <w:lang w:val="cs-CZ"/>
          </w:rPr>
          <w:t>http://data.europa.eu/eli/reg/2024/2509/oj</w:t>
        </w:r>
      </w:hyperlink>
      <w:r w:rsidRPr="00E51DFE">
        <w:rPr>
          <w:sz w:val="24"/>
          <w:lang w:val="cs-CZ"/>
        </w:rPr>
        <w:t>.</w:t>
      </w:r>
    </w:p>
  </w:footnote>
  <w:footnote w:id="281">
    <w:p w14:paraId="49E0B9DB"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354, 31.12.2008, s. 82, ELI: </w:t>
      </w:r>
      <w:hyperlink r:id="rId281" w:history="1">
        <w:r w:rsidRPr="00E51DFE">
          <w:rPr>
            <w:rStyle w:val="Hyperlink"/>
            <w:sz w:val="24"/>
            <w:lang w:val="cs-CZ"/>
          </w:rPr>
          <w:t>http://data.europa.eu/eli/reg/2008/1339/oj</w:t>
        </w:r>
      </w:hyperlink>
      <w:r w:rsidRPr="00E51DFE">
        <w:rPr>
          <w:sz w:val="24"/>
          <w:lang w:val="cs-CZ"/>
        </w:rPr>
        <w:t>.</w:t>
      </w:r>
    </w:p>
  </w:footnote>
  <w:footnote w:id="282">
    <w:p w14:paraId="4D46D89B" w14:textId="77777777" w:rsidR="00872DB8" w:rsidRPr="0091097B" w:rsidRDefault="00872DB8" w:rsidP="00872DB8">
      <w:pPr>
        <w:pStyle w:val="FootnoteText"/>
        <w:ind w:left="567" w:hanging="567"/>
        <w:rPr>
          <w:sz w:val="24"/>
          <w:lang w:val="cs-CZ"/>
        </w:rPr>
      </w:pPr>
      <w:r w:rsidRPr="0091097B">
        <w:rPr>
          <w:rStyle w:val="FootnoteReference"/>
          <w:sz w:val="24"/>
        </w:rPr>
        <w:footnoteRef/>
      </w:r>
      <w:r w:rsidRPr="0091097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82" w:history="1">
        <w:r w:rsidRPr="00E51DFE">
          <w:rPr>
            <w:rStyle w:val="Hyperlink1"/>
            <w:sz w:val="24"/>
            <w:lang w:val="cs-CZ"/>
          </w:rPr>
          <w:t>http://data.europa.eu/eli/reg_del/2019/715/oj</w:t>
        </w:r>
      </w:hyperlink>
      <w:r w:rsidRPr="00E51DFE">
        <w:rPr>
          <w:sz w:val="24"/>
          <w:lang w:val="cs-CZ"/>
        </w:rPr>
        <w:t>.</w:t>
      </w:r>
    </w:p>
  </w:footnote>
  <w:footnote w:id="283">
    <w:p w14:paraId="31F0882D"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83" w:history="1">
        <w:r w:rsidRPr="00E51DFE">
          <w:rPr>
            <w:rStyle w:val="Hyperlink1"/>
            <w:sz w:val="24"/>
            <w:lang w:val="cs-CZ"/>
          </w:rPr>
          <w:t>http://data.europa.eu/eli/C/2024/6332/oj</w:t>
        </w:r>
      </w:hyperlink>
      <w:r w:rsidRPr="00E51DFE">
        <w:rPr>
          <w:sz w:val="24"/>
          <w:lang w:val="cs-CZ"/>
        </w:rPr>
        <w:t>.</w:t>
      </w:r>
    </w:p>
  </w:footnote>
  <w:footnote w:id="284">
    <w:p w14:paraId="73A50654"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84" w:history="1">
        <w:r w:rsidRPr="00E51DFE">
          <w:rPr>
            <w:rStyle w:val="Hyperlink1"/>
            <w:sz w:val="24"/>
            <w:lang w:val="cs-CZ"/>
          </w:rPr>
          <w:t>http://data.europa.eu/eli/C/2024/6041/oj</w:t>
        </w:r>
      </w:hyperlink>
      <w:r w:rsidRPr="00E51DFE">
        <w:rPr>
          <w:sz w:val="24"/>
          <w:lang w:val="cs-CZ"/>
        </w:rPr>
        <w:t>.</w:t>
      </w:r>
    </w:p>
  </w:footnote>
  <w:footnote w:id="285">
    <w:p w14:paraId="1CF0B882"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85" w:history="1">
        <w:r w:rsidRPr="00E51DFE">
          <w:rPr>
            <w:rStyle w:val="Hyperlink1"/>
            <w:sz w:val="24"/>
            <w:lang w:val="cs-CZ"/>
          </w:rPr>
          <w:t>http://data.europa.eu/eli/reg/2018/1046/oj</w:t>
        </w:r>
      </w:hyperlink>
      <w:r w:rsidRPr="00E51DFE">
        <w:rPr>
          <w:sz w:val="24"/>
          <w:lang w:val="cs-CZ"/>
        </w:rPr>
        <w:t>.</w:t>
      </w:r>
    </w:p>
  </w:footnote>
  <w:footnote w:id="286">
    <w:p w14:paraId="59E30D98"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86" w:history="1">
        <w:r w:rsidRPr="00E51DFE">
          <w:rPr>
            <w:rStyle w:val="Hyperlink1"/>
            <w:sz w:val="24"/>
            <w:lang w:val="cs-CZ"/>
          </w:rPr>
          <w:t>http://data.europa.eu/eli/reg/2024/2509/oj</w:t>
        </w:r>
      </w:hyperlink>
      <w:r w:rsidRPr="00E51DFE">
        <w:rPr>
          <w:sz w:val="24"/>
          <w:lang w:val="cs-CZ"/>
        </w:rPr>
        <w:t>.</w:t>
      </w:r>
    </w:p>
  </w:footnote>
  <w:footnote w:id="287">
    <w:p w14:paraId="768D6D29"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354, 31.12.2008, s. 82, ELI: </w:t>
      </w:r>
      <w:hyperlink r:id="rId287" w:history="1">
        <w:r w:rsidRPr="00E51DFE">
          <w:rPr>
            <w:rStyle w:val="Hyperlink1"/>
            <w:sz w:val="24"/>
            <w:lang w:val="cs-CZ"/>
          </w:rPr>
          <w:t>http://data.europa.eu/eli/reg/2008/1339/oj</w:t>
        </w:r>
      </w:hyperlink>
      <w:r w:rsidRPr="00E51DFE">
        <w:rPr>
          <w:sz w:val="24"/>
          <w:lang w:val="cs-CZ"/>
        </w:rPr>
        <w:t>.</w:t>
      </w:r>
    </w:p>
  </w:footnote>
  <w:footnote w:id="288">
    <w:p w14:paraId="2AA1C225" w14:textId="77777777" w:rsidR="00872DB8" w:rsidRPr="00AA6287" w:rsidRDefault="00872DB8" w:rsidP="00872DB8">
      <w:pPr>
        <w:pStyle w:val="FootnoteText"/>
        <w:ind w:left="567" w:hanging="567"/>
        <w:rPr>
          <w:sz w:val="24"/>
          <w:lang w:val="cs-CZ"/>
        </w:rPr>
      </w:pPr>
      <w:r w:rsidRPr="00AA6287">
        <w:rPr>
          <w:rStyle w:val="FootnoteReference"/>
          <w:sz w:val="24"/>
        </w:rPr>
        <w:footnoteRef/>
      </w:r>
      <w:r w:rsidRPr="00AA628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288" w:history="1">
        <w:r w:rsidRPr="00E51DFE">
          <w:rPr>
            <w:rStyle w:val="Hyperlink1"/>
            <w:sz w:val="24"/>
            <w:lang w:val="cs-CZ"/>
          </w:rPr>
          <w:t>http://data.europa.eu/eli/reg_del/2019/715/oj</w:t>
        </w:r>
      </w:hyperlink>
      <w:r w:rsidRPr="00E51DFE">
        <w:rPr>
          <w:sz w:val="24"/>
          <w:lang w:val="cs-CZ"/>
        </w:rPr>
        <w:t>.</w:t>
      </w:r>
    </w:p>
  </w:footnote>
  <w:footnote w:id="289">
    <w:p w14:paraId="1AA1CFD9"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89" w:history="1">
        <w:r w:rsidRPr="00E51DFE">
          <w:rPr>
            <w:rStyle w:val="Hyperlink1"/>
            <w:sz w:val="24"/>
            <w:lang w:val="cs-CZ"/>
          </w:rPr>
          <w:t>http://data.europa.eu/eli/C/2024/6332/oj</w:t>
        </w:r>
      </w:hyperlink>
      <w:r w:rsidRPr="00E51DFE">
        <w:rPr>
          <w:sz w:val="24"/>
          <w:lang w:val="cs-CZ"/>
        </w:rPr>
        <w:t>.</w:t>
      </w:r>
    </w:p>
  </w:footnote>
  <w:footnote w:id="290">
    <w:p w14:paraId="4CAF7978"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90" w:history="1">
        <w:r w:rsidRPr="00E51DFE">
          <w:rPr>
            <w:rStyle w:val="Hyperlink1"/>
            <w:sz w:val="24"/>
            <w:lang w:val="cs-CZ"/>
          </w:rPr>
          <w:t>http://data.europa.eu/eli/C/2024/6041/oj</w:t>
        </w:r>
      </w:hyperlink>
      <w:r w:rsidRPr="00E51DFE">
        <w:rPr>
          <w:sz w:val="24"/>
          <w:lang w:val="cs-CZ"/>
        </w:rPr>
        <w:t>.</w:t>
      </w:r>
    </w:p>
  </w:footnote>
  <w:footnote w:id="291">
    <w:p w14:paraId="02D3CEEF"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91" w:history="1">
        <w:r w:rsidRPr="00E51DFE">
          <w:rPr>
            <w:rStyle w:val="Hyperlink1"/>
            <w:sz w:val="24"/>
            <w:lang w:val="cs-CZ"/>
          </w:rPr>
          <w:t>http://data.europa.eu/eli/reg/2018/1046/oj</w:t>
        </w:r>
      </w:hyperlink>
      <w:r w:rsidRPr="00E51DFE">
        <w:rPr>
          <w:sz w:val="24"/>
          <w:lang w:val="cs-CZ"/>
        </w:rPr>
        <w:t>.</w:t>
      </w:r>
    </w:p>
  </w:footnote>
  <w:footnote w:id="292">
    <w:p w14:paraId="12B64E3D"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92" w:history="1">
        <w:r w:rsidRPr="00E51DFE">
          <w:rPr>
            <w:rStyle w:val="Hyperlink1"/>
            <w:sz w:val="24"/>
            <w:lang w:val="cs-CZ"/>
          </w:rPr>
          <w:t>http://data.europa.eu/eli/reg/2024/2509/oj</w:t>
        </w:r>
      </w:hyperlink>
      <w:r w:rsidRPr="00E51DFE">
        <w:rPr>
          <w:sz w:val="24"/>
          <w:lang w:val="cs-CZ"/>
        </w:rPr>
        <w:t>.</w:t>
      </w:r>
    </w:p>
  </w:footnote>
  <w:footnote w:id="293">
    <w:p w14:paraId="76E44277"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872DB8">
        <w:rPr>
          <w:sz w:val="24"/>
          <w:lang w:val="fi-FI"/>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132, 29.5.2010, s. 11, ELI: </w:t>
      </w:r>
      <w:hyperlink r:id="rId293" w:history="1">
        <w:r w:rsidRPr="00E51DFE">
          <w:rPr>
            <w:sz w:val="24"/>
            <w:lang w:val="cs-CZ"/>
          </w:rPr>
          <w:t>http://data.europa.eu/eli/reg/2010/439/oj</w:t>
        </w:r>
      </w:hyperlink>
    </w:p>
  </w:footnote>
  <w:footnote w:id="294">
    <w:p w14:paraId="2DD6CAF0"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468, 30.12.2021, s. 1, ELI: </w:t>
      </w:r>
      <w:hyperlink r:id="rId294" w:history="1">
        <w:r w:rsidRPr="00E51DFE">
          <w:rPr>
            <w:rStyle w:val="Hyperlink1"/>
            <w:sz w:val="24"/>
            <w:lang w:val="cs-CZ"/>
          </w:rPr>
          <w:t>http://data.europa.eu/eli/reg/2021/2303/oj</w:t>
        </w:r>
      </w:hyperlink>
      <w:r w:rsidRPr="00E51DFE">
        <w:rPr>
          <w:sz w:val="24"/>
          <w:lang w:val="cs-CZ"/>
        </w:rPr>
        <w:t>.</w:t>
      </w:r>
    </w:p>
  </w:footnote>
  <w:footnote w:id="295">
    <w:p w14:paraId="24342ED5" w14:textId="77777777" w:rsidR="00872DB8" w:rsidRPr="00F83873" w:rsidRDefault="00872DB8" w:rsidP="00872DB8">
      <w:pPr>
        <w:pStyle w:val="FootnoteText"/>
        <w:ind w:left="567" w:hanging="567"/>
        <w:rPr>
          <w:sz w:val="24"/>
          <w:lang w:val="cs-CZ"/>
        </w:rPr>
      </w:pPr>
      <w:r w:rsidRPr="00F83873">
        <w:rPr>
          <w:rStyle w:val="FootnoteReference"/>
          <w:sz w:val="24"/>
        </w:rPr>
        <w:footnoteRef/>
      </w:r>
      <w:r w:rsidRPr="00F838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295" w:history="1">
        <w:r w:rsidRPr="00E51DFE">
          <w:rPr>
            <w:rStyle w:val="Hyperlink1"/>
            <w:sz w:val="24"/>
            <w:lang w:val="cs-CZ"/>
          </w:rPr>
          <w:t>http://data.europa.eu/eli/reg_del/2019/715/oj</w:t>
        </w:r>
      </w:hyperlink>
      <w:r w:rsidRPr="00E51DFE">
        <w:rPr>
          <w:sz w:val="24"/>
          <w:lang w:val="cs-CZ"/>
        </w:rPr>
        <w:t>.</w:t>
      </w:r>
    </w:p>
  </w:footnote>
  <w:footnote w:id="296">
    <w:p w14:paraId="00F56C76"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296" w:history="1">
        <w:r w:rsidRPr="00E51DFE">
          <w:rPr>
            <w:rStyle w:val="Hyperlink1"/>
            <w:sz w:val="24"/>
            <w:lang w:val="cs-CZ"/>
          </w:rPr>
          <w:t>http://data.europa.eu/eli/C/2024/6332/oj</w:t>
        </w:r>
      </w:hyperlink>
      <w:r w:rsidRPr="00E51DFE">
        <w:rPr>
          <w:sz w:val="24"/>
          <w:lang w:val="cs-CZ"/>
        </w:rPr>
        <w:t>.</w:t>
      </w:r>
    </w:p>
  </w:footnote>
  <w:footnote w:id="297">
    <w:p w14:paraId="624E9E7E"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297" w:history="1">
        <w:r w:rsidRPr="00E51DFE">
          <w:rPr>
            <w:rStyle w:val="Hyperlink1"/>
            <w:sz w:val="24"/>
            <w:lang w:val="cs-CZ"/>
          </w:rPr>
          <w:t>http://data.europa.eu/eli/C/2024/6041/oj</w:t>
        </w:r>
      </w:hyperlink>
      <w:r w:rsidRPr="00E51DFE">
        <w:rPr>
          <w:sz w:val="24"/>
          <w:lang w:val="cs-CZ"/>
        </w:rPr>
        <w:t>.</w:t>
      </w:r>
    </w:p>
  </w:footnote>
  <w:footnote w:id="298">
    <w:p w14:paraId="7D232761"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298" w:history="1">
        <w:r w:rsidRPr="00E51DFE">
          <w:rPr>
            <w:rStyle w:val="Hyperlink1"/>
            <w:sz w:val="24"/>
            <w:lang w:val="cs-CZ"/>
          </w:rPr>
          <w:t>http://data.europa.eu/eli/reg/2018/1046/oj</w:t>
        </w:r>
      </w:hyperlink>
      <w:r w:rsidRPr="00E51DFE">
        <w:rPr>
          <w:sz w:val="24"/>
          <w:lang w:val="cs-CZ"/>
        </w:rPr>
        <w:t>.</w:t>
      </w:r>
    </w:p>
  </w:footnote>
  <w:footnote w:id="299">
    <w:p w14:paraId="48AAB736"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299" w:history="1">
        <w:r w:rsidRPr="00E51DFE">
          <w:rPr>
            <w:rStyle w:val="Hyperlink1"/>
            <w:sz w:val="24"/>
            <w:lang w:val="cs-CZ"/>
          </w:rPr>
          <w:t>http://data.europa.eu/eli/reg/2024/2509/oj</w:t>
        </w:r>
      </w:hyperlink>
      <w:r w:rsidRPr="00E51DFE">
        <w:rPr>
          <w:sz w:val="24"/>
          <w:lang w:val="cs-CZ"/>
        </w:rPr>
        <w:t>.</w:t>
      </w:r>
    </w:p>
  </w:footnote>
  <w:footnote w:id="300">
    <w:p w14:paraId="58437FF0"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132, 29.5.2010, s. 11, ELI: </w:t>
      </w:r>
      <w:hyperlink r:id="rId300" w:history="1">
        <w:r w:rsidRPr="00E51DFE">
          <w:rPr>
            <w:rStyle w:val="Hyperlink"/>
            <w:sz w:val="24"/>
            <w:lang w:val="cs-CZ"/>
          </w:rPr>
          <w:t>http://data.europa.eu/eli/reg/2010/439/oj</w:t>
        </w:r>
      </w:hyperlink>
      <w:r w:rsidRPr="00E51DFE">
        <w:rPr>
          <w:sz w:val="24"/>
          <w:lang w:val="cs-CZ"/>
        </w:rPr>
        <w:t>.</w:t>
      </w:r>
    </w:p>
  </w:footnote>
  <w:footnote w:id="301">
    <w:p w14:paraId="308FF48D"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872DB8">
        <w:rPr>
          <w:sz w:val="24"/>
          <w:lang w:val="fi-FI"/>
        </w:rPr>
        <w:t xml:space="preserve"> </w:t>
      </w:r>
      <w:r w:rsidRPr="00872DB8">
        <w:rPr>
          <w:sz w:val="24"/>
          <w:lang w:val="fi-FI"/>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468, 30.12.2021, s. 1, ELI: </w:t>
      </w:r>
      <w:hyperlink r:id="rId301" w:history="1">
        <w:r w:rsidRPr="00E51DFE">
          <w:rPr>
            <w:rStyle w:val="Hyperlink"/>
            <w:sz w:val="24"/>
            <w:lang w:val="cs-CZ"/>
          </w:rPr>
          <w:t>http://data.europa.eu/eli/reg/2021/2303/oj</w:t>
        </w:r>
      </w:hyperlink>
      <w:r w:rsidRPr="00E51DFE">
        <w:rPr>
          <w:sz w:val="24"/>
          <w:lang w:val="cs-CZ"/>
        </w:rPr>
        <w:t>.</w:t>
      </w:r>
    </w:p>
  </w:footnote>
  <w:footnote w:id="302">
    <w:p w14:paraId="1DA5A150" w14:textId="77777777" w:rsidR="00872DB8" w:rsidRPr="00B818AC" w:rsidRDefault="00872DB8" w:rsidP="00872DB8">
      <w:pPr>
        <w:pStyle w:val="FootnoteText"/>
        <w:ind w:left="567" w:hanging="567"/>
        <w:rPr>
          <w:sz w:val="24"/>
          <w:lang w:val="cs-CZ"/>
        </w:rPr>
      </w:pPr>
      <w:r w:rsidRPr="00B818AC">
        <w:rPr>
          <w:rStyle w:val="FootnoteReference"/>
          <w:sz w:val="24"/>
        </w:rPr>
        <w:footnoteRef/>
      </w:r>
      <w:r w:rsidRPr="00B818A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02" w:history="1">
        <w:r w:rsidRPr="00E51DFE">
          <w:rPr>
            <w:rStyle w:val="Hyperlink1"/>
            <w:sz w:val="24"/>
            <w:lang w:val="cs-CZ"/>
          </w:rPr>
          <w:t>http://data.europa.eu/eli/reg_del/2019/715/oj</w:t>
        </w:r>
      </w:hyperlink>
      <w:r w:rsidRPr="00E51DFE">
        <w:rPr>
          <w:sz w:val="24"/>
          <w:lang w:val="cs-CZ"/>
        </w:rPr>
        <w:t>.</w:t>
      </w:r>
    </w:p>
  </w:footnote>
  <w:footnote w:id="303">
    <w:p w14:paraId="762A369A"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03" w:history="1">
        <w:r w:rsidRPr="00E51DFE">
          <w:rPr>
            <w:rStyle w:val="Hyperlink1"/>
            <w:sz w:val="24"/>
            <w:lang w:val="cs-CZ"/>
          </w:rPr>
          <w:t>http://data.europa.eu/eli/C/2024/6332/oj</w:t>
        </w:r>
      </w:hyperlink>
      <w:r w:rsidRPr="00E51DFE">
        <w:rPr>
          <w:sz w:val="24"/>
          <w:lang w:val="cs-CZ"/>
        </w:rPr>
        <w:t>.</w:t>
      </w:r>
    </w:p>
  </w:footnote>
  <w:footnote w:id="304">
    <w:p w14:paraId="4C7DA928"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04" w:history="1">
        <w:r w:rsidRPr="00E51DFE">
          <w:rPr>
            <w:rStyle w:val="Hyperlink1"/>
            <w:sz w:val="24"/>
            <w:lang w:val="cs-CZ"/>
          </w:rPr>
          <w:t>http://data.europa.eu/eli/C/2024/6041/oj</w:t>
        </w:r>
      </w:hyperlink>
      <w:r w:rsidRPr="00E51DFE">
        <w:rPr>
          <w:sz w:val="24"/>
          <w:lang w:val="cs-CZ"/>
        </w:rPr>
        <w:t>.</w:t>
      </w:r>
    </w:p>
  </w:footnote>
  <w:footnote w:id="305">
    <w:p w14:paraId="0BCF3D13"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05" w:history="1">
        <w:r w:rsidRPr="00E51DFE">
          <w:rPr>
            <w:rStyle w:val="Hyperlink1"/>
            <w:sz w:val="24"/>
            <w:lang w:val="cs-CZ"/>
          </w:rPr>
          <w:t>http://data.europa.eu/eli/reg/2018/1046/oj</w:t>
        </w:r>
      </w:hyperlink>
      <w:r w:rsidRPr="00E51DFE">
        <w:rPr>
          <w:sz w:val="24"/>
          <w:lang w:val="cs-CZ"/>
        </w:rPr>
        <w:t>.</w:t>
      </w:r>
    </w:p>
  </w:footnote>
  <w:footnote w:id="306">
    <w:p w14:paraId="2866B7B4"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06" w:history="1">
        <w:r w:rsidRPr="00E51DFE">
          <w:rPr>
            <w:rStyle w:val="Hyperlink1"/>
            <w:sz w:val="24"/>
            <w:lang w:val="cs-CZ"/>
          </w:rPr>
          <w:t>http://data.europa.eu/eli/reg/2024/2509/oj</w:t>
        </w:r>
      </w:hyperlink>
      <w:r w:rsidRPr="00E51DFE">
        <w:rPr>
          <w:sz w:val="24"/>
          <w:lang w:val="cs-CZ"/>
        </w:rPr>
        <w:t>.</w:t>
      </w:r>
    </w:p>
  </w:footnote>
  <w:footnote w:id="307">
    <w:p w14:paraId="07A237E8"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21.11.2018, s. 99, ELI: </w:t>
      </w:r>
      <w:hyperlink r:id="rId307" w:history="1">
        <w:r w:rsidRPr="00E51DFE">
          <w:rPr>
            <w:rStyle w:val="Hyperlink1"/>
            <w:sz w:val="24"/>
            <w:lang w:val="cs-CZ"/>
          </w:rPr>
          <w:t>http://data.europa.eu/eli/reg/2018/1726/oj</w:t>
        </w:r>
      </w:hyperlink>
      <w:r w:rsidRPr="00E51DFE">
        <w:rPr>
          <w:sz w:val="24"/>
          <w:lang w:val="cs-CZ"/>
        </w:rPr>
        <w:t>.</w:t>
      </w:r>
    </w:p>
  </w:footnote>
  <w:footnote w:id="308">
    <w:p w14:paraId="754765A4" w14:textId="77777777" w:rsidR="00872DB8" w:rsidRPr="00987E6C" w:rsidRDefault="00872DB8" w:rsidP="00872DB8">
      <w:pPr>
        <w:pStyle w:val="FootnoteText"/>
        <w:ind w:left="567" w:hanging="567"/>
        <w:rPr>
          <w:sz w:val="24"/>
          <w:lang w:val="cs-CZ"/>
        </w:rPr>
      </w:pPr>
      <w:r w:rsidRPr="00987E6C">
        <w:rPr>
          <w:rStyle w:val="FootnoteReference"/>
          <w:sz w:val="24"/>
        </w:rPr>
        <w:footnoteRef/>
      </w:r>
      <w:r w:rsidRPr="00987E6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08" w:history="1">
        <w:r w:rsidRPr="00E51DFE">
          <w:rPr>
            <w:rStyle w:val="Hyperlink1"/>
            <w:sz w:val="24"/>
            <w:lang w:val="cs-CZ"/>
          </w:rPr>
          <w:t>http://data.europa.eu/eli/reg_del/2019/715/oj</w:t>
        </w:r>
      </w:hyperlink>
      <w:r w:rsidRPr="00E51DFE">
        <w:rPr>
          <w:sz w:val="24"/>
          <w:lang w:val="cs-CZ"/>
        </w:rPr>
        <w:t>.</w:t>
      </w:r>
    </w:p>
  </w:footnote>
  <w:footnote w:id="309">
    <w:p w14:paraId="4F1344C8"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09" w:history="1">
        <w:r w:rsidRPr="00E51DFE">
          <w:rPr>
            <w:rStyle w:val="Hyperlink1"/>
            <w:sz w:val="24"/>
            <w:lang w:val="cs-CZ"/>
          </w:rPr>
          <w:t>http://data.europa.eu/eli/C/2024/6332/oj</w:t>
        </w:r>
      </w:hyperlink>
      <w:r w:rsidRPr="00E51DFE">
        <w:rPr>
          <w:sz w:val="24"/>
          <w:lang w:val="cs-CZ"/>
        </w:rPr>
        <w:t>.</w:t>
      </w:r>
    </w:p>
  </w:footnote>
  <w:footnote w:id="310">
    <w:p w14:paraId="31427E67"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10" w:history="1">
        <w:r w:rsidRPr="00E51DFE">
          <w:rPr>
            <w:rStyle w:val="Hyperlink1"/>
            <w:sz w:val="24"/>
            <w:lang w:val="cs-CZ"/>
          </w:rPr>
          <w:t>http://data.europa.eu/eli/C/2024/6041/oj</w:t>
        </w:r>
      </w:hyperlink>
      <w:r w:rsidRPr="00E51DFE">
        <w:rPr>
          <w:sz w:val="24"/>
          <w:lang w:val="cs-CZ"/>
        </w:rPr>
        <w:t>.</w:t>
      </w:r>
    </w:p>
  </w:footnote>
  <w:footnote w:id="311">
    <w:p w14:paraId="5EF815C6"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11" w:history="1">
        <w:r w:rsidRPr="00E51DFE">
          <w:rPr>
            <w:rStyle w:val="Hyperlink1"/>
            <w:sz w:val="24"/>
            <w:lang w:val="cs-CZ"/>
          </w:rPr>
          <w:t>http://data.europa.eu/eli/reg/2018/1046/oj</w:t>
        </w:r>
      </w:hyperlink>
      <w:r w:rsidRPr="00E51DFE">
        <w:rPr>
          <w:sz w:val="24"/>
          <w:lang w:val="cs-CZ"/>
        </w:rPr>
        <w:t>.</w:t>
      </w:r>
    </w:p>
  </w:footnote>
  <w:footnote w:id="312">
    <w:p w14:paraId="6E683D65"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12" w:history="1">
        <w:r w:rsidRPr="00E51DFE">
          <w:rPr>
            <w:rStyle w:val="Hyperlink1"/>
            <w:sz w:val="24"/>
            <w:lang w:val="cs-CZ"/>
          </w:rPr>
          <w:t>http://data.europa.eu/eli/reg/2024/2509/oj</w:t>
        </w:r>
      </w:hyperlink>
      <w:r w:rsidRPr="00E51DFE">
        <w:rPr>
          <w:sz w:val="24"/>
          <w:lang w:val="cs-CZ"/>
        </w:rPr>
        <w:t>.</w:t>
      </w:r>
    </w:p>
  </w:footnote>
  <w:footnote w:id="313">
    <w:p w14:paraId="30083E2F"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21.11.2018, s. 99, ELI: </w:t>
      </w:r>
      <w:hyperlink r:id="rId313" w:history="1">
        <w:r w:rsidRPr="00E51DFE">
          <w:rPr>
            <w:rStyle w:val="Hyperlink1"/>
            <w:sz w:val="24"/>
            <w:lang w:val="cs-CZ"/>
          </w:rPr>
          <w:t>http://data.europa.eu/eli/reg/2018/1726/oj</w:t>
        </w:r>
      </w:hyperlink>
      <w:r w:rsidRPr="00E51DFE">
        <w:rPr>
          <w:sz w:val="24"/>
          <w:lang w:val="cs-CZ"/>
        </w:rPr>
        <w:t>.</w:t>
      </w:r>
    </w:p>
  </w:footnote>
  <w:footnote w:id="314">
    <w:p w14:paraId="47465988" w14:textId="77777777" w:rsidR="00872DB8" w:rsidRPr="00716644" w:rsidRDefault="00872DB8" w:rsidP="00872DB8">
      <w:pPr>
        <w:pStyle w:val="FootnoteText"/>
        <w:ind w:left="567" w:hanging="567"/>
        <w:rPr>
          <w:sz w:val="24"/>
          <w:lang w:val="cs-CZ"/>
        </w:rPr>
      </w:pPr>
      <w:r w:rsidRPr="00716644">
        <w:rPr>
          <w:rStyle w:val="FootnoteReference"/>
          <w:sz w:val="24"/>
        </w:rPr>
        <w:footnoteRef/>
      </w:r>
      <w:r w:rsidRPr="0071664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314" w:history="1">
        <w:r w:rsidRPr="00E51DFE">
          <w:rPr>
            <w:rStyle w:val="Hyperlink1"/>
            <w:sz w:val="24"/>
            <w:lang w:val="cs-CZ"/>
          </w:rPr>
          <w:t>http://data.europa.eu/eli/reg_del/2019/715/oj</w:t>
        </w:r>
      </w:hyperlink>
      <w:r w:rsidRPr="00E51DFE">
        <w:rPr>
          <w:sz w:val="24"/>
          <w:lang w:val="cs-CZ"/>
        </w:rPr>
        <w:t>.</w:t>
      </w:r>
    </w:p>
  </w:footnote>
  <w:footnote w:id="315">
    <w:p w14:paraId="70E582AE"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15" w:history="1">
        <w:r w:rsidRPr="00E51DFE">
          <w:rPr>
            <w:rStyle w:val="Hyperlink1"/>
            <w:sz w:val="24"/>
            <w:lang w:val="cs-CZ"/>
          </w:rPr>
          <w:t>http://data.europa.eu/eli/C/2024/6332/oj</w:t>
        </w:r>
      </w:hyperlink>
      <w:r w:rsidRPr="00E51DFE">
        <w:rPr>
          <w:sz w:val="24"/>
          <w:lang w:val="cs-CZ"/>
        </w:rPr>
        <w:t>.</w:t>
      </w:r>
    </w:p>
  </w:footnote>
  <w:footnote w:id="316">
    <w:p w14:paraId="2FD349F8"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16" w:history="1">
        <w:r w:rsidRPr="00E51DFE">
          <w:rPr>
            <w:rStyle w:val="Hyperlink1"/>
            <w:sz w:val="24"/>
            <w:lang w:val="cs-CZ"/>
          </w:rPr>
          <w:t>http://data.europa.eu/eli/C/2024/6041/oj</w:t>
        </w:r>
      </w:hyperlink>
      <w:r w:rsidRPr="00E51DFE">
        <w:rPr>
          <w:sz w:val="24"/>
          <w:lang w:val="cs-CZ"/>
        </w:rPr>
        <w:t>.</w:t>
      </w:r>
    </w:p>
  </w:footnote>
  <w:footnote w:id="317">
    <w:p w14:paraId="57C97334"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17" w:history="1">
        <w:r w:rsidRPr="00E51DFE">
          <w:rPr>
            <w:rStyle w:val="Hyperlink1"/>
            <w:sz w:val="24"/>
            <w:lang w:val="cs-CZ"/>
          </w:rPr>
          <w:t>http://data.europa.eu/eli/reg/2018/1046/oj</w:t>
        </w:r>
      </w:hyperlink>
      <w:r w:rsidRPr="00E51DFE">
        <w:rPr>
          <w:sz w:val="24"/>
          <w:lang w:val="cs-CZ"/>
        </w:rPr>
        <w:t>.</w:t>
      </w:r>
    </w:p>
  </w:footnote>
  <w:footnote w:id="318">
    <w:p w14:paraId="66557000"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18" w:history="1">
        <w:r w:rsidRPr="00E51DFE">
          <w:rPr>
            <w:rStyle w:val="Hyperlink1"/>
            <w:sz w:val="24"/>
            <w:lang w:val="cs-CZ"/>
          </w:rPr>
          <w:t>http://data.europa.eu/eli/reg/2024/2509/oj</w:t>
        </w:r>
      </w:hyperlink>
      <w:r w:rsidRPr="00E51DFE">
        <w:rPr>
          <w:sz w:val="24"/>
          <w:lang w:val="cs-CZ"/>
        </w:rPr>
        <w:t>.</w:t>
      </w:r>
    </w:p>
  </w:footnote>
  <w:footnote w:id="319">
    <w:p w14:paraId="76B68F3B"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58, ELI: </w:t>
      </w:r>
      <w:hyperlink r:id="rId319" w:history="1">
        <w:r w:rsidRPr="00E51DFE">
          <w:rPr>
            <w:rStyle w:val="Hyperlink1"/>
            <w:sz w:val="24"/>
            <w:lang w:val="cs-CZ"/>
          </w:rPr>
          <w:t>http://data.europa.eu/eli/reg/2019/126/oj</w:t>
        </w:r>
      </w:hyperlink>
      <w:r w:rsidRPr="00E51DFE">
        <w:rPr>
          <w:sz w:val="24"/>
          <w:lang w:val="cs-CZ"/>
        </w:rPr>
        <w:t>.</w:t>
      </w:r>
    </w:p>
  </w:footnote>
  <w:footnote w:id="320">
    <w:p w14:paraId="54A1C577" w14:textId="77777777" w:rsidR="00872DB8" w:rsidRPr="00040C7C" w:rsidRDefault="00872DB8" w:rsidP="00872DB8">
      <w:pPr>
        <w:pStyle w:val="FootnoteText"/>
        <w:ind w:left="567" w:hanging="567"/>
        <w:rPr>
          <w:sz w:val="24"/>
          <w:lang w:val="cs-CZ"/>
        </w:rPr>
      </w:pPr>
      <w:r w:rsidRPr="00040C7C">
        <w:rPr>
          <w:rStyle w:val="FootnoteReference"/>
          <w:sz w:val="24"/>
        </w:rPr>
        <w:footnoteRef/>
      </w:r>
      <w:r w:rsidRPr="00040C7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20" w:history="1">
        <w:r w:rsidRPr="00E51DFE">
          <w:rPr>
            <w:rStyle w:val="Hyperlink1"/>
            <w:sz w:val="24"/>
            <w:lang w:val="cs-CZ"/>
          </w:rPr>
          <w:t>http://data.europa.eu/eli/reg_del/2019/715/oj</w:t>
        </w:r>
      </w:hyperlink>
      <w:r w:rsidRPr="00E51DFE">
        <w:rPr>
          <w:sz w:val="24"/>
          <w:lang w:val="cs-CZ"/>
        </w:rPr>
        <w:t>.</w:t>
      </w:r>
    </w:p>
  </w:footnote>
  <w:footnote w:id="321">
    <w:p w14:paraId="5D2149F5"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21" w:history="1">
        <w:r w:rsidRPr="00E51DFE">
          <w:rPr>
            <w:rStyle w:val="Hyperlink1"/>
            <w:sz w:val="24"/>
            <w:lang w:val="cs-CZ"/>
          </w:rPr>
          <w:t>http://data.europa.eu/eli/C/2024/6332/oj</w:t>
        </w:r>
      </w:hyperlink>
      <w:r w:rsidRPr="00E51DFE">
        <w:rPr>
          <w:sz w:val="24"/>
          <w:lang w:val="cs-CZ"/>
        </w:rPr>
        <w:t>.</w:t>
      </w:r>
    </w:p>
  </w:footnote>
  <w:footnote w:id="322">
    <w:p w14:paraId="611F3323"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22" w:history="1">
        <w:r w:rsidRPr="00E51DFE">
          <w:rPr>
            <w:rStyle w:val="Hyperlink1"/>
            <w:sz w:val="24"/>
            <w:lang w:val="cs-CZ"/>
          </w:rPr>
          <w:t>http://data.europa.eu/eli/C/2024/6041/oj</w:t>
        </w:r>
      </w:hyperlink>
      <w:r w:rsidRPr="00E51DFE">
        <w:rPr>
          <w:sz w:val="24"/>
          <w:lang w:val="cs-CZ"/>
        </w:rPr>
        <w:t>.</w:t>
      </w:r>
    </w:p>
  </w:footnote>
  <w:footnote w:id="323">
    <w:p w14:paraId="04F9BE94"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23" w:history="1">
        <w:r w:rsidRPr="00E51DFE">
          <w:rPr>
            <w:rStyle w:val="Hyperlink1"/>
            <w:sz w:val="24"/>
            <w:lang w:val="cs-CZ"/>
          </w:rPr>
          <w:t>http://data.europa.eu/eli/reg/2018/1046/oj</w:t>
        </w:r>
      </w:hyperlink>
      <w:r w:rsidRPr="00E51DFE">
        <w:rPr>
          <w:sz w:val="24"/>
          <w:lang w:val="cs-CZ"/>
        </w:rPr>
        <w:t>.</w:t>
      </w:r>
    </w:p>
  </w:footnote>
  <w:footnote w:id="324">
    <w:p w14:paraId="7C10E6B7"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24" w:history="1">
        <w:r w:rsidRPr="00E51DFE">
          <w:rPr>
            <w:rStyle w:val="Hyperlink1"/>
            <w:sz w:val="24"/>
            <w:lang w:val="cs-CZ"/>
          </w:rPr>
          <w:t>http://data.europa.eu/eli/reg/2024/2509/oj</w:t>
        </w:r>
      </w:hyperlink>
      <w:r w:rsidRPr="00E51DFE">
        <w:rPr>
          <w:sz w:val="24"/>
          <w:lang w:val="cs-CZ"/>
        </w:rPr>
        <w:t>.</w:t>
      </w:r>
    </w:p>
  </w:footnote>
  <w:footnote w:id="325">
    <w:p w14:paraId="2F6FE81A"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58, ELI: </w:t>
      </w:r>
      <w:hyperlink r:id="rId325" w:history="1">
        <w:r w:rsidRPr="00E51DFE">
          <w:rPr>
            <w:rStyle w:val="Hyperlink1"/>
            <w:sz w:val="24"/>
            <w:lang w:val="cs-CZ"/>
          </w:rPr>
          <w:t>http://data.europa.eu/eli/reg/2019/126/oj</w:t>
        </w:r>
      </w:hyperlink>
      <w:r w:rsidRPr="00E51DFE">
        <w:rPr>
          <w:sz w:val="24"/>
          <w:lang w:val="cs-CZ"/>
        </w:rPr>
        <w:t>.</w:t>
      </w:r>
    </w:p>
  </w:footnote>
  <w:footnote w:id="326">
    <w:p w14:paraId="7327FD64" w14:textId="77777777" w:rsidR="00872DB8" w:rsidRPr="00A57035" w:rsidRDefault="00872DB8" w:rsidP="00872DB8">
      <w:pPr>
        <w:pStyle w:val="FootnoteText"/>
        <w:ind w:left="567" w:hanging="567"/>
        <w:rPr>
          <w:sz w:val="24"/>
          <w:lang w:val="cs-CZ"/>
        </w:rPr>
      </w:pPr>
      <w:r w:rsidRPr="00A57035">
        <w:rPr>
          <w:rStyle w:val="FootnoteReference"/>
          <w:sz w:val="24"/>
        </w:rPr>
        <w:footnoteRef/>
      </w:r>
      <w:r w:rsidRPr="00A57035">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26" w:history="1">
        <w:r w:rsidRPr="00E51DFE">
          <w:rPr>
            <w:rStyle w:val="Hyperlink1"/>
            <w:sz w:val="24"/>
            <w:lang w:val="cs-CZ"/>
          </w:rPr>
          <w:t>http://data.europa.eu/eli/reg_del/2019/715/oj</w:t>
        </w:r>
      </w:hyperlink>
      <w:r w:rsidRPr="00E51DFE">
        <w:rPr>
          <w:sz w:val="24"/>
          <w:lang w:val="cs-CZ"/>
        </w:rPr>
        <w:t>.</w:t>
      </w:r>
    </w:p>
  </w:footnote>
  <w:footnote w:id="327">
    <w:p w14:paraId="6030DE43"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27" w:history="1">
        <w:r w:rsidRPr="00E51DFE">
          <w:rPr>
            <w:rStyle w:val="Hyperlink1"/>
            <w:sz w:val="24"/>
            <w:lang w:val="cs-CZ"/>
          </w:rPr>
          <w:t>http://data.europa.eu/eli/C/2024/6332/oj</w:t>
        </w:r>
      </w:hyperlink>
      <w:r w:rsidRPr="00E51DFE">
        <w:rPr>
          <w:sz w:val="24"/>
          <w:lang w:val="cs-CZ"/>
        </w:rPr>
        <w:t>.</w:t>
      </w:r>
    </w:p>
  </w:footnote>
  <w:footnote w:id="328">
    <w:p w14:paraId="4DCB90C6"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28" w:history="1">
        <w:r w:rsidRPr="00E51DFE">
          <w:rPr>
            <w:rStyle w:val="Hyperlink1"/>
            <w:sz w:val="24"/>
            <w:lang w:val="cs-CZ"/>
          </w:rPr>
          <w:t>http://data.europa.eu/eli/C/2024/6041/oj</w:t>
        </w:r>
      </w:hyperlink>
      <w:r w:rsidRPr="00E51DFE">
        <w:rPr>
          <w:sz w:val="24"/>
          <w:lang w:val="cs-CZ"/>
        </w:rPr>
        <w:t>.</w:t>
      </w:r>
    </w:p>
  </w:footnote>
  <w:footnote w:id="329">
    <w:p w14:paraId="157DCD01"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29" w:history="1">
        <w:r w:rsidRPr="00E51DFE">
          <w:rPr>
            <w:rStyle w:val="Hyperlink1"/>
            <w:sz w:val="24"/>
            <w:lang w:val="cs-CZ"/>
          </w:rPr>
          <w:t>http://data.europa.eu/eli/reg/2018/1046/oj</w:t>
        </w:r>
      </w:hyperlink>
      <w:r w:rsidRPr="00E51DFE">
        <w:rPr>
          <w:sz w:val="24"/>
          <w:lang w:val="cs-CZ"/>
        </w:rPr>
        <w:t>.</w:t>
      </w:r>
    </w:p>
  </w:footnote>
  <w:footnote w:id="330">
    <w:p w14:paraId="162E675F"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30" w:history="1">
        <w:r w:rsidRPr="00E51DFE">
          <w:rPr>
            <w:rStyle w:val="Hyperlink1"/>
            <w:sz w:val="24"/>
            <w:lang w:val="cs-CZ"/>
          </w:rPr>
          <w:t>http://data.europa.eu/eli/reg/2024/2509/oj</w:t>
        </w:r>
      </w:hyperlink>
      <w:r w:rsidRPr="00E51DFE">
        <w:rPr>
          <w:sz w:val="24"/>
          <w:lang w:val="cs-CZ"/>
        </w:rPr>
        <w:t>.</w:t>
      </w:r>
    </w:p>
  </w:footnote>
  <w:footnote w:id="331">
    <w:p w14:paraId="0D407058"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74, ELI: </w:t>
      </w:r>
      <w:hyperlink r:id="rId331" w:history="1">
        <w:r w:rsidRPr="00E51DFE">
          <w:rPr>
            <w:rStyle w:val="Hyperlink1"/>
            <w:sz w:val="24"/>
            <w:lang w:val="cs-CZ"/>
          </w:rPr>
          <w:t>http://data.europa.eu/eli/reg/2019/127/oj</w:t>
        </w:r>
      </w:hyperlink>
      <w:r w:rsidRPr="00E51DFE">
        <w:rPr>
          <w:sz w:val="24"/>
          <w:lang w:val="cs-CZ"/>
        </w:rPr>
        <w:t>.</w:t>
      </w:r>
    </w:p>
  </w:footnote>
  <w:footnote w:id="332">
    <w:p w14:paraId="7C22A8B9" w14:textId="77777777" w:rsidR="00872DB8" w:rsidRPr="004222CC" w:rsidRDefault="00872DB8" w:rsidP="00872DB8">
      <w:pPr>
        <w:pStyle w:val="FootnoteText"/>
        <w:ind w:left="567" w:hanging="567"/>
        <w:rPr>
          <w:sz w:val="24"/>
          <w:lang w:val="cs-CZ"/>
        </w:rPr>
      </w:pPr>
      <w:r w:rsidRPr="004222CC">
        <w:rPr>
          <w:rStyle w:val="FootnoteReference"/>
          <w:sz w:val="24"/>
        </w:rPr>
        <w:footnoteRef/>
      </w:r>
      <w:r w:rsidRPr="004222CC">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32" w:history="1">
        <w:r w:rsidRPr="00E51DFE">
          <w:rPr>
            <w:rStyle w:val="Hyperlink1"/>
            <w:sz w:val="24"/>
            <w:lang w:val="cs-CZ"/>
          </w:rPr>
          <w:t>http://data.europa.eu/eli/reg_del/2019/715/oj</w:t>
        </w:r>
      </w:hyperlink>
      <w:r w:rsidRPr="00E51DFE">
        <w:rPr>
          <w:sz w:val="24"/>
          <w:lang w:val="cs-CZ"/>
        </w:rPr>
        <w:t>.</w:t>
      </w:r>
    </w:p>
  </w:footnote>
  <w:footnote w:id="333">
    <w:p w14:paraId="58AFA95B"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33" w:history="1">
        <w:r w:rsidRPr="00E51DFE">
          <w:rPr>
            <w:rStyle w:val="Hyperlink1"/>
            <w:sz w:val="24"/>
            <w:lang w:val="cs-CZ"/>
          </w:rPr>
          <w:t>http://data.europa.eu/eli/C/2024/6332/oj</w:t>
        </w:r>
      </w:hyperlink>
      <w:r w:rsidRPr="00E51DFE">
        <w:rPr>
          <w:sz w:val="24"/>
          <w:lang w:val="cs-CZ"/>
        </w:rPr>
        <w:t>.</w:t>
      </w:r>
    </w:p>
  </w:footnote>
  <w:footnote w:id="334">
    <w:p w14:paraId="6600F47A"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34" w:history="1">
        <w:r w:rsidRPr="00E51DFE">
          <w:rPr>
            <w:rStyle w:val="Hyperlink1"/>
            <w:sz w:val="24"/>
            <w:lang w:val="cs-CZ"/>
          </w:rPr>
          <w:t>http://data.europa.eu/eli/C/2024/6041/oj</w:t>
        </w:r>
      </w:hyperlink>
      <w:r w:rsidRPr="00E51DFE">
        <w:rPr>
          <w:sz w:val="24"/>
          <w:lang w:val="cs-CZ"/>
        </w:rPr>
        <w:t>.</w:t>
      </w:r>
    </w:p>
  </w:footnote>
  <w:footnote w:id="335">
    <w:p w14:paraId="4DAFE627"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35" w:history="1">
        <w:r w:rsidRPr="00E51DFE">
          <w:rPr>
            <w:rStyle w:val="Hyperlink1"/>
            <w:sz w:val="24"/>
            <w:lang w:val="cs-CZ"/>
          </w:rPr>
          <w:t>http://data.europa.eu/eli/reg/2018/1046/oj</w:t>
        </w:r>
      </w:hyperlink>
      <w:r w:rsidRPr="00E51DFE">
        <w:rPr>
          <w:sz w:val="24"/>
          <w:lang w:val="cs-CZ"/>
        </w:rPr>
        <w:t>.</w:t>
      </w:r>
    </w:p>
  </w:footnote>
  <w:footnote w:id="336">
    <w:p w14:paraId="701D4D57"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36" w:history="1">
        <w:r w:rsidRPr="00E51DFE">
          <w:rPr>
            <w:rStyle w:val="Hyperlink1"/>
            <w:sz w:val="24"/>
            <w:lang w:val="cs-CZ"/>
          </w:rPr>
          <w:t>http://data.europa.eu/eli/reg/2024/2509/oj</w:t>
        </w:r>
      </w:hyperlink>
      <w:r w:rsidRPr="00E51DFE">
        <w:rPr>
          <w:sz w:val="24"/>
          <w:lang w:val="cs-CZ"/>
        </w:rPr>
        <w:t>.</w:t>
      </w:r>
    </w:p>
  </w:footnote>
  <w:footnote w:id="337">
    <w:p w14:paraId="2F2D0761"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 31.1.2019, s. 74, ELI: </w:t>
      </w:r>
      <w:hyperlink r:id="rId337" w:history="1">
        <w:r w:rsidRPr="00E51DFE">
          <w:rPr>
            <w:rStyle w:val="Hyperlink1"/>
            <w:sz w:val="24"/>
            <w:lang w:val="cs-CZ"/>
          </w:rPr>
          <w:t>http://data.europa.eu/eli/reg/2019/127/oj</w:t>
        </w:r>
      </w:hyperlink>
      <w:r w:rsidRPr="00E51DFE">
        <w:rPr>
          <w:sz w:val="24"/>
          <w:lang w:val="cs-CZ"/>
        </w:rPr>
        <w:t>.</w:t>
      </w:r>
    </w:p>
  </w:footnote>
  <w:footnote w:id="338">
    <w:p w14:paraId="6D80E8FB" w14:textId="77777777" w:rsidR="00872DB8" w:rsidRPr="00845661" w:rsidRDefault="00872DB8" w:rsidP="00872DB8">
      <w:pPr>
        <w:pStyle w:val="FootnoteText"/>
        <w:ind w:left="567" w:hanging="567"/>
        <w:rPr>
          <w:sz w:val="24"/>
          <w:lang w:val="cs-CZ"/>
        </w:rPr>
      </w:pPr>
      <w:r w:rsidRPr="00845661">
        <w:rPr>
          <w:rStyle w:val="FootnoteReference"/>
          <w:sz w:val="24"/>
        </w:rPr>
        <w:footnoteRef/>
      </w:r>
      <w:r w:rsidRPr="00845661">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38" w:history="1">
        <w:r w:rsidRPr="00E51DFE">
          <w:rPr>
            <w:rStyle w:val="Hyperlink1"/>
            <w:sz w:val="24"/>
            <w:lang w:val="cs-CZ"/>
          </w:rPr>
          <w:t>http://data.europa.eu/eli/reg_del/2019/715/oj</w:t>
        </w:r>
      </w:hyperlink>
      <w:r w:rsidRPr="00E51DFE">
        <w:rPr>
          <w:sz w:val="24"/>
          <w:lang w:val="cs-CZ"/>
        </w:rPr>
        <w:t>.</w:t>
      </w:r>
    </w:p>
  </w:footnote>
  <w:footnote w:id="339">
    <w:p w14:paraId="0576CFBC"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39" w:history="1">
        <w:r w:rsidRPr="00E51DFE">
          <w:rPr>
            <w:rStyle w:val="Hyperlink1"/>
            <w:sz w:val="24"/>
            <w:lang w:val="cs-CZ"/>
          </w:rPr>
          <w:t>http://data.europa.eu/eli/C/2024/6332/oj</w:t>
        </w:r>
      </w:hyperlink>
      <w:r w:rsidRPr="00E51DFE">
        <w:rPr>
          <w:sz w:val="24"/>
          <w:lang w:val="cs-CZ"/>
        </w:rPr>
        <w:t>.</w:t>
      </w:r>
    </w:p>
  </w:footnote>
  <w:footnote w:id="340">
    <w:p w14:paraId="3A0C1E2A"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40" w:history="1">
        <w:r w:rsidRPr="00E51DFE">
          <w:rPr>
            <w:rStyle w:val="Hyperlink1"/>
            <w:sz w:val="24"/>
            <w:lang w:val="cs-CZ"/>
          </w:rPr>
          <w:t>http://data.europa.eu/eli/C/2024/6041/oj</w:t>
        </w:r>
      </w:hyperlink>
      <w:r w:rsidRPr="00E51DFE">
        <w:rPr>
          <w:sz w:val="24"/>
          <w:lang w:val="cs-CZ"/>
        </w:rPr>
        <w:t>.</w:t>
      </w:r>
    </w:p>
  </w:footnote>
  <w:footnote w:id="341">
    <w:p w14:paraId="7DEDF3F1"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41" w:history="1">
        <w:r w:rsidRPr="00E51DFE">
          <w:rPr>
            <w:rStyle w:val="Hyperlink1"/>
            <w:sz w:val="24"/>
            <w:lang w:val="cs-CZ"/>
          </w:rPr>
          <w:t>http://data.europa.eu/eli/reg/2018/1046/oj</w:t>
        </w:r>
      </w:hyperlink>
      <w:r w:rsidRPr="00E51DFE">
        <w:rPr>
          <w:sz w:val="24"/>
          <w:lang w:val="cs-CZ"/>
        </w:rPr>
        <w:t>.</w:t>
      </w:r>
    </w:p>
  </w:footnote>
  <w:footnote w:id="342">
    <w:p w14:paraId="2CB457B8"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42" w:history="1">
        <w:r w:rsidRPr="00E51DFE">
          <w:rPr>
            <w:rStyle w:val="Hyperlink1"/>
            <w:sz w:val="24"/>
            <w:lang w:val="cs-CZ"/>
          </w:rPr>
          <w:t>http://data.europa.eu/eli/reg/2024/2509/oj</w:t>
        </w:r>
      </w:hyperlink>
      <w:r w:rsidRPr="00E51DFE">
        <w:rPr>
          <w:sz w:val="24"/>
          <w:lang w:val="cs-CZ"/>
        </w:rPr>
        <w:t>.</w:t>
      </w:r>
    </w:p>
  </w:footnote>
  <w:footnote w:id="343">
    <w:p w14:paraId="1D95E85D"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21.11.2018, s. 138, ELI: </w:t>
      </w:r>
      <w:hyperlink r:id="rId343" w:history="1">
        <w:r w:rsidRPr="00E51DFE">
          <w:rPr>
            <w:rStyle w:val="Hyperlink1"/>
            <w:sz w:val="24"/>
            <w:lang w:val="cs-CZ"/>
          </w:rPr>
          <w:t>http://data.europa.eu/eli/reg/2018/1727/oj</w:t>
        </w:r>
      </w:hyperlink>
      <w:r w:rsidRPr="00E51DFE">
        <w:rPr>
          <w:sz w:val="24"/>
          <w:lang w:val="cs-CZ"/>
        </w:rPr>
        <w:t>.</w:t>
      </w:r>
    </w:p>
  </w:footnote>
  <w:footnote w:id="344">
    <w:p w14:paraId="1B000C4F" w14:textId="77777777" w:rsidR="00872DB8" w:rsidRPr="007A1CF4" w:rsidRDefault="00872DB8" w:rsidP="00872DB8">
      <w:pPr>
        <w:pStyle w:val="FootnoteText"/>
        <w:ind w:left="567" w:hanging="567"/>
        <w:rPr>
          <w:sz w:val="24"/>
          <w:lang w:val="cs-CZ"/>
        </w:rPr>
      </w:pPr>
      <w:r w:rsidRPr="007A1CF4">
        <w:rPr>
          <w:rStyle w:val="FootnoteReference"/>
          <w:sz w:val="24"/>
        </w:rPr>
        <w:footnoteRef/>
      </w:r>
      <w:r w:rsidRPr="007A1C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44" w:history="1">
        <w:r w:rsidRPr="00E51DFE">
          <w:rPr>
            <w:rStyle w:val="Hyperlink1"/>
            <w:sz w:val="24"/>
            <w:lang w:val="cs-CZ"/>
          </w:rPr>
          <w:t>http://data.europa.eu/eli/reg_del/2019/715/oj</w:t>
        </w:r>
      </w:hyperlink>
      <w:r w:rsidRPr="00E51DFE">
        <w:rPr>
          <w:sz w:val="24"/>
          <w:lang w:val="cs-CZ"/>
        </w:rPr>
        <w:t>.</w:t>
      </w:r>
    </w:p>
  </w:footnote>
  <w:footnote w:id="345">
    <w:p w14:paraId="6BE4E1FA"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45" w:history="1">
        <w:r w:rsidRPr="00E51DFE">
          <w:rPr>
            <w:rStyle w:val="Hyperlink1"/>
            <w:sz w:val="24"/>
            <w:lang w:val="cs-CZ"/>
          </w:rPr>
          <w:t>http://data.europa.eu/eli/C/2024/6332/oj</w:t>
        </w:r>
      </w:hyperlink>
      <w:r w:rsidRPr="00E51DFE">
        <w:rPr>
          <w:sz w:val="24"/>
          <w:lang w:val="cs-CZ"/>
        </w:rPr>
        <w:t>.</w:t>
      </w:r>
    </w:p>
  </w:footnote>
  <w:footnote w:id="346">
    <w:p w14:paraId="46BE2543"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46" w:history="1">
        <w:r w:rsidRPr="00E51DFE">
          <w:rPr>
            <w:rStyle w:val="Hyperlink1"/>
            <w:sz w:val="24"/>
            <w:lang w:val="cs-CZ"/>
          </w:rPr>
          <w:t>http://data.europa.eu/eli/C/2024/6041/oj</w:t>
        </w:r>
      </w:hyperlink>
      <w:r w:rsidRPr="00E51DFE">
        <w:rPr>
          <w:sz w:val="24"/>
          <w:lang w:val="cs-CZ"/>
        </w:rPr>
        <w:t>.</w:t>
      </w:r>
    </w:p>
  </w:footnote>
  <w:footnote w:id="347">
    <w:p w14:paraId="07A8557B"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47" w:history="1">
        <w:r w:rsidRPr="00E51DFE">
          <w:rPr>
            <w:rStyle w:val="Hyperlink1"/>
            <w:sz w:val="24"/>
            <w:lang w:val="cs-CZ"/>
          </w:rPr>
          <w:t>http://data.europa.eu/eli/reg/2018/1046/oj</w:t>
        </w:r>
      </w:hyperlink>
      <w:r w:rsidRPr="00E51DFE">
        <w:rPr>
          <w:sz w:val="24"/>
          <w:lang w:val="cs-CZ"/>
        </w:rPr>
        <w:t>.</w:t>
      </w:r>
    </w:p>
  </w:footnote>
  <w:footnote w:id="348">
    <w:p w14:paraId="5FE416DD"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48" w:history="1">
        <w:r w:rsidRPr="00E51DFE">
          <w:rPr>
            <w:rStyle w:val="Hyperlink1"/>
            <w:sz w:val="24"/>
            <w:lang w:val="cs-CZ"/>
          </w:rPr>
          <w:t>http://data.europa.eu/eli/reg/2024/2509/oj</w:t>
        </w:r>
      </w:hyperlink>
      <w:r w:rsidRPr="00E51DFE">
        <w:rPr>
          <w:sz w:val="24"/>
          <w:lang w:val="cs-CZ"/>
        </w:rPr>
        <w:t>.</w:t>
      </w:r>
    </w:p>
  </w:footnote>
  <w:footnote w:id="349">
    <w:p w14:paraId="4C4E0B8E"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21.11.2018, s. 138, ELI: </w:t>
      </w:r>
      <w:hyperlink r:id="rId349" w:history="1">
        <w:r w:rsidRPr="00E51DFE">
          <w:rPr>
            <w:rStyle w:val="Hyperlink1"/>
            <w:sz w:val="24"/>
            <w:lang w:val="cs-CZ"/>
          </w:rPr>
          <w:t>http://data.europa.eu/eli/reg/2018/1727/oj</w:t>
        </w:r>
      </w:hyperlink>
      <w:r w:rsidRPr="00E51DFE">
        <w:rPr>
          <w:sz w:val="24"/>
          <w:lang w:val="cs-CZ"/>
        </w:rPr>
        <w:t>.</w:t>
      </w:r>
    </w:p>
  </w:footnote>
  <w:footnote w:id="350">
    <w:p w14:paraId="691E164F" w14:textId="77777777" w:rsidR="00872DB8" w:rsidRPr="00ED5949" w:rsidRDefault="00872DB8" w:rsidP="00872DB8">
      <w:pPr>
        <w:pStyle w:val="FootnoteText"/>
        <w:ind w:left="567" w:hanging="567"/>
        <w:rPr>
          <w:sz w:val="24"/>
          <w:lang w:val="cs-CZ"/>
        </w:rPr>
      </w:pPr>
      <w:r w:rsidRPr="00ED5949">
        <w:rPr>
          <w:rStyle w:val="FootnoteReference"/>
          <w:sz w:val="24"/>
        </w:rPr>
        <w:footnoteRef/>
      </w:r>
      <w:r w:rsidRPr="00ED594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50" w:history="1">
        <w:r w:rsidRPr="00E51DFE">
          <w:rPr>
            <w:rStyle w:val="Hyperlink1"/>
            <w:sz w:val="24"/>
            <w:lang w:val="cs-CZ"/>
          </w:rPr>
          <w:t>http://data.europa.eu/eli/reg_del/2019/715/oj</w:t>
        </w:r>
      </w:hyperlink>
      <w:r w:rsidRPr="00E51DFE">
        <w:rPr>
          <w:sz w:val="24"/>
          <w:lang w:val="cs-CZ"/>
        </w:rPr>
        <w:t>.</w:t>
      </w:r>
    </w:p>
  </w:footnote>
  <w:footnote w:id="351">
    <w:p w14:paraId="424AB8BB"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51" w:history="1">
        <w:r w:rsidRPr="00E51DFE">
          <w:rPr>
            <w:rStyle w:val="Hyperlink1"/>
            <w:sz w:val="24"/>
            <w:lang w:val="cs-CZ"/>
          </w:rPr>
          <w:t>http://data.europa.eu/eli/C/2024/6332/oj</w:t>
        </w:r>
      </w:hyperlink>
      <w:r w:rsidRPr="00E51DFE">
        <w:rPr>
          <w:sz w:val="24"/>
          <w:lang w:val="cs-CZ"/>
        </w:rPr>
        <w:t>.</w:t>
      </w:r>
    </w:p>
  </w:footnote>
  <w:footnote w:id="352">
    <w:p w14:paraId="479DA437"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52" w:history="1">
        <w:r w:rsidRPr="00E51DFE">
          <w:rPr>
            <w:rStyle w:val="Hyperlink1"/>
            <w:sz w:val="24"/>
            <w:lang w:val="cs-CZ"/>
          </w:rPr>
          <w:t>http://data.europa.eu/eli/C/2024/6041/oj</w:t>
        </w:r>
      </w:hyperlink>
      <w:r w:rsidRPr="00E51DFE">
        <w:rPr>
          <w:sz w:val="24"/>
          <w:lang w:val="cs-CZ"/>
        </w:rPr>
        <w:t>.</w:t>
      </w:r>
    </w:p>
  </w:footnote>
  <w:footnote w:id="353">
    <w:p w14:paraId="05B1BA5C"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53" w:history="1">
        <w:r w:rsidRPr="00E51DFE">
          <w:rPr>
            <w:rStyle w:val="Hyperlink1"/>
            <w:sz w:val="24"/>
            <w:lang w:val="cs-CZ"/>
          </w:rPr>
          <w:t>http://data.europa.eu/eli/reg/2018/1046/oj</w:t>
        </w:r>
      </w:hyperlink>
      <w:r w:rsidRPr="00E51DFE">
        <w:rPr>
          <w:sz w:val="24"/>
          <w:lang w:val="cs-CZ"/>
        </w:rPr>
        <w:t>.</w:t>
      </w:r>
    </w:p>
  </w:footnote>
  <w:footnote w:id="354">
    <w:p w14:paraId="0E470FE0"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54" w:history="1">
        <w:r w:rsidRPr="00E51DFE">
          <w:rPr>
            <w:rStyle w:val="Hyperlink1"/>
            <w:sz w:val="24"/>
            <w:lang w:val="cs-CZ"/>
          </w:rPr>
          <w:t>http://data.europa.eu/eli/reg/2024/2509/oj</w:t>
        </w:r>
      </w:hyperlink>
      <w:r w:rsidRPr="00E51DFE">
        <w:rPr>
          <w:sz w:val="24"/>
          <w:lang w:val="cs-CZ"/>
        </w:rPr>
        <w:t>.</w:t>
      </w:r>
    </w:p>
  </w:footnote>
  <w:footnote w:id="355">
    <w:p w14:paraId="5738BD8B"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135, 24.5.2016, s. 53, ELI: </w:t>
      </w:r>
      <w:hyperlink r:id="rId355" w:history="1">
        <w:r w:rsidRPr="00E51DFE">
          <w:rPr>
            <w:rStyle w:val="Hyperlink1"/>
            <w:sz w:val="24"/>
            <w:lang w:val="cs-CZ"/>
          </w:rPr>
          <w:t>http://data.europa.eu/eli/reg/2016/794/oj</w:t>
        </w:r>
      </w:hyperlink>
      <w:r w:rsidRPr="00E51DFE">
        <w:rPr>
          <w:sz w:val="24"/>
          <w:lang w:val="cs-CZ"/>
        </w:rPr>
        <w:t>.</w:t>
      </w:r>
    </w:p>
  </w:footnote>
  <w:footnote w:id="356">
    <w:p w14:paraId="36CC6E0A" w14:textId="77777777" w:rsidR="00872DB8" w:rsidRPr="00235D09" w:rsidRDefault="00872DB8" w:rsidP="00872DB8">
      <w:pPr>
        <w:pStyle w:val="FootnoteText"/>
        <w:ind w:left="567" w:hanging="567"/>
        <w:rPr>
          <w:sz w:val="24"/>
          <w:lang w:val="cs-CZ"/>
        </w:rPr>
      </w:pPr>
      <w:r w:rsidRPr="00235D09">
        <w:rPr>
          <w:rStyle w:val="FootnoteReference"/>
          <w:sz w:val="24"/>
        </w:rPr>
        <w:footnoteRef/>
      </w:r>
      <w:r w:rsidRPr="00235D09">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56" w:history="1">
        <w:r w:rsidRPr="00E51DFE">
          <w:rPr>
            <w:rStyle w:val="Hyperlink1"/>
            <w:sz w:val="24"/>
            <w:lang w:val="cs-CZ"/>
          </w:rPr>
          <w:t>http://data.europa.eu/eli/reg_del/2019/715/oj</w:t>
        </w:r>
      </w:hyperlink>
      <w:r w:rsidRPr="00E51DFE">
        <w:rPr>
          <w:sz w:val="24"/>
          <w:lang w:val="cs-CZ"/>
        </w:rPr>
        <w:t>.</w:t>
      </w:r>
    </w:p>
  </w:footnote>
  <w:footnote w:id="357">
    <w:p w14:paraId="5BA648BA"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57" w:history="1">
        <w:r w:rsidRPr="00E51DFE">
          <w:rPr>
            <w:rStyle w:val="Hyperlink1"/>
            <w:sz w:val="24"/>
            <w:lang w:val="cs-CZ"/>
          </w:rPr>
          <w:t>http://data.europa.eu/eli/C/2024/6332/oj</w:t>
        </w:r>
      </w:hyperlink>
      <w:r w:rsidRPr="00E51DFE">
        <w:rPr>
          <w:sz w:val="24"/>
          <w:lang w:val="cs-CZ"/>
        </w:rPr>
        <w:t>.</w:t>
      </w:r>
    </w:p>
  </w:footnote>
  <w:footnote w:id="358">
    <w:p w14:paraId="1540F245"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58" w:history="1">
        <w:r w:rsidRPr="00E51DFE">
          <w:rPr>
            <w:rStyle w:val="Hyperlink1"/>
            <w:sz w:val="24"/>
            <w:lang w:val="cs-CZ"/>
          </w:rPr>
          <w:t>http://data.europa.eu/eli/C/2024/6041/oj</w:t>
        </w:r>
      </w:hyperlink>
      <w:r w:rsidRPr="00E51DFE">
        <w:rPr>
          <w:sz w:val="24"/>
          <w:lang w:val="cs-CZ"/>
        </w:rPr>
        <w:t>.</w:t>
      </w:r>
    </w:p>
  </w:footnote>
  <w:footnote w:id="359">
    <w:p w14:paraId="779B0DB7"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59" w:history="1">
        <w:r w:rsidRPr="00E51DFE">
          <w:rPr>
            <w:rStyle w:val="Hyperlink1"/>
            <w:sz w:val="24"/>
            <w:lang w:val="cs-CZ"/>
          </w:rPr>
          <w:t>http://data.europa.eu/eli/reg/2018/1046/oj</w:t>
        </w:r>
      </w:hyperlink>
      <w:r w:rsidRPr="00E51DFE">
        <w:rPr>
          <w:sz w:val="24"/>
          <w:lang w:val="cs-CZ"/>
        </w:rPr>
        <w:t>.</w:t>
      </w:r>
    </w:p>
  </w:footnote>
  <w:footnote w:id="360">
    <w:p w14:paraId="126A1EB8"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60" w:history="1">
        <w:r w:rsidRPr="00E51DFE">
          <w:rPr>
            <w:rStyle w:val="Hyperlink1"/>
            <w:sz w:val="24"/>
            <w:lang w:val="cs-CZ"/>
          </w:rPr>
          <w:t>http://data.europa.eu/eli/reg/2024/2509/oj</w:t>
        </w:r>
      </w:hyperlink>
      <w:r w:rsidRPr="00E51DFE">
        <w:rPr>
          <w:sz w:val="24"/>
          <w:lang w:val="cs-CZ"/>
        </w:rPr>
        <w:t>.</w:t>
      </w:r>
    </w:p>
  </w:footnote>
  <w:footnote w:id="361">
    <w:p w14:paraId="0C29286D"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135, 24.5.2016, s. 53, ELI: </w:t>
      </w:r>
      <w:hyperlink r:id="rId361" w:history="1">
        <w:r w:rsidRPr="00E51DFE">
          <w:rPr>
            <w:rStyle w:val="Hyperlink1"/>
            <w:sz w:val="24"/>
            <w:lang w:val="cs-CZ"/>
          </w:rPr>
          <w:t>http://data.europa.eu/eli/reg/2016/794/oj</w:t>
        </w:r>
      </w:hyperlink>
      <w:r w:rsidRPr="00E51DFE">
        <w:rPr>
          <w:sz w:val="24"/>
          <w:lang w:val="cs-CZ"/>
        </w:rPr>
        <w:t>.</w:t>
      </w:r>
    </w:p>
  </w:footnote>
  <w:footnote w:id="362">
    <w:p w14:paraId="22009E30" w14:textId="77777777" w:rsidR="00872DB8" w:rsidRPr="00224973" w:rsidRDefault="00872DB8" w:rsidP="00872DB8">
      <w:pPr>
        <w:pStyle w:val="FootnoteText"/>
        <w:ind w:left="567" w:hanging="567"/>
        <w:rPr>
          <w:sz w:val="24"/>
          <w:lang w:val="cs-CZ"/>
        </w:rPr>
      </w:pPr>
      <w:r w:rsidRPr="00224973">
        <w:rPr>
          <w:rStyle w:val="FootnoteReference"/>
          <w:sz w:val="24"/>
        </w:rPr>
        <w:footnoteRef/>
      </w:r>
      <w:r w:rsidRPr="0022497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62" w:history="1">
        <w:r w:rsidRPr="00E51DFE">
          <w:rPr>
            <w:rStyle w:val="Hyperlink1"/>
            <w:sz w:val="24"/>
            <w:lang w:val="cs-CZ"/>
          </w:rPr>
          <w:t>http://data.europa.eu/eli/reg_del/2019/715/oj</w:t>
        </w:r>
      </w:hyperlink>
      <w:r w:rsidRPr="00E51DFE">
        <w:rPr>
          <w:sz w:val="24"/>
          <w:lang w:val="cs-CZ"/>
        </w:rPr>
        <w:t>.</w:t>
      </w:r>
    </w:p>
  </w:footnote>
  <w:footnote w:id="363">
    <w:p w14:paraId="0CC160F2"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63" w:history="1">
        <w:r w:rsidRPr="00E51DFE">
          <w:rPr>
            <w:rStyle w:val="Hyperlink1"/>
            <w:sz w:val="24"/>
            <w:lang w:val="cs-CZ"/>
          </w:rPr>
          <w:t>http://data.europa.eu/eli/C/2024/6332/oj</w:t>
        </w:r>
      </w:hyperlink>
      <w:r w:rsidRPr="00E51DFE">
        <w:rPr>
          <w:sz w:val="24"/>
          <w:lang w:val="cs-CZ"/>
        </w:rPr>
        <w:t>.</w:t>
      </w:r>
    </w:p>
  </w:footnote>
  <w:footnote w:id="364">
    <w:p w14:paraId="71B0DEA8"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64" w:history="1">
        <w:r w:rsidRPr="00E51DFE">
          <w:rPr>
            <w:rStyle w:val="Hyperlink1"/>
            <w:sz w:val="24"/>
            <w:lang w:val="cs-CZ"/>
          </w:rPr>
          <w:t>http://data.europa.eu/eli/C/2024/6041/oj</w:t>
        </w:r>
      </w:hyperlink>
      <w:r w:rsidRPr="00E51DFE">
        <w:rPr>
          <w:sz w:val="24"/>
          <w:lang w:val="cs-CZ"/>
        </w:rPr>
        <w:t>.</w:t>
      </w:r>
    </w:p>
  </w:footnote>
  <w:footnote w:id="365">
    <w:p w14:paraId="295ABC75"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65" w:history="1">
        <w:r w:rsidRPr="00E51DFE">
          <w:rPr>
            <w:rStyle w:val="Hyperlink1"/>
            <w:sz w:val="24"/>
            <w:lang w:val="cs-CZ"/>
          </w:rPr>
          <w:t>http://data.europa.eu/eli/reg/2018/1046/oj</w:t>
        </w:r>
      </w:hyperlink>
      <w:r w:rsidRPr="00E51DFE">
        <w:rPr>
          <w:sz w:val="24"/>
          <w:lang w:val="cs-CZ"/>
        </w:rPr>
        <w:t>.</w:t>
      </w:r>
    </w:p>
  </w:footnote>
  <w:footnote w:id="366">
    <w:p w14:paraId="18FC9DDD"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66" w:history="1">
        <w:r w:rsidRPr="00E51DFE">
          <w:rPr>
            <w:rStyle w:val="Hyperlink1"/>
            <w:sz w:val="24"/>
            <w:lang w:val="cs-CZ"/>
          </w:rPr>
          <w:t>http://data.europa.eu/eli/reg/2024/2509/oj</w:t>
        </w:r>
      </w:hyperlink>
      <w:r w:rsidRPr="00E51DFE">
        <w:rPr>
          <w:sz w:val="24"/>
          <w:lang w:val="cs-CZ"/>
        </w:rPr>
        <w:t>.</w:t>
      </w:r>
    </w:p>
  </w:footnote>
  <w:footnote w:id="367">
    <w:p w14:paraId="2E40D418"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170, 12.5.2021, s. 69, ELI: </w:t>
      </w:r>
      <w:hyperlink r:id="rId367" w:history="1">
        <w:r w:rsidRPr="00E51DFE">
          <w:rPr>
            <w:rStyle w:val="Hyperlink1"/>
            <w:sz w:val="24"/>
            <w:lang w:val="cs-CZ"/>
          </w:rPr>
          <w:t>http://data.europa.eu/eli/reg/2021/696/oj</w:t>
        </w:r>
      </w:hyperlink>
      <w:r w:rsidRPr="00E51DFE">
        <w:rPr>
          <w:sz w:val="24"/>
          <w:lang w:val="cs-CZ"/>
        </w:rPr>
        <w:t>.</w:t>
      </w:r>
    </w:p>
  </w:footnote>
  <w:footnote w:id="368">
    <w:p w14:paraId="08156807" w14:textId="77777777" w:rsidR="00872DB8" w:rsidRPr="001B04D3" w:rsidRDefault="00872DB8" w:rsidP="00872DB8">
      <w:pPr>
        <w:pStyle w:val="FootnoteText"/>
        <w:ind w:left="567" w:hanging="567"/>
        <w:rPr>
          <w:sz w:val="24"/>
          <w:lang w:val="cs-CZ"/>
        </w:rPr>
      </w:pPr>
      <w:r w:rsidRPr="001B04D3">
        <w:rPr>
          <w:rStyle w:val="FootnoteReference"/>
          <w:sz w:val="24"/>
        </w:rPr>
        <w:footnoteRef/>
      </w:r>
      <w:r w:rsidRPr="001B04D3">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68" w:history="1">
        <w:r w:rsidRPr="00E51DFE">
          <w:rPr>
            <w:rStyle w:val="Hyperlink1"/>
            <w:sz w:val="24"/>
            <w:lang w:val="cs-CZ"/>
          </w:rPr>
          <w:t>http://data.europa.eu/eli/reg_del/2019/715/oj</w:t>
        </w:r>
      </w:hyperlink>
      <w:r w:rsidRPr="00E51DFE">
        <w:rPr>
          <w:sz w:val="24"/>
          <w:lang w:val="cs-CZ"/>
        </w:rPr>
        <w:t>.</w:t>
      </w:r>
    </w:p>
  </w:footnote>
  <w:footnote w:id="369">
    <w:p w14:paraId="384476B6"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69" w:history="1">
        <w:r w:rsidRPr="00E51DFE">
          <w:rPr>
            <w:rStyle w:val="Hyperlink1"/>
            <w:sz w:val="24"/>
            <w:lang w:val="cs-CZ"/>
          </w:rPr>
          <w:t>http://data.europa.eu/eli/C/2024/6332/oj</w:t>
        </w:r>
      </w:hyperlink>
      <w:r w:rsidRPr="00E51DFE">
        <w:rPr>
          <w:sz w:val="24"/>
          <w:lang w:val="cs-CZ"/>
        </w:rPr>
        <w:t>.</w:t>
      </w:r>
    </w:p>
  </w:footnote>
  <w:footnote w:id="370">
    <w:p w14:paraId="358AF75D"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70" w:history="1">
        <w:r w:rsidRPr="00E51DFE">
          <w:rPr>
            <w:rStyle w:val="Hyperlink1"/>
            <w:sz w:val="24"/>
            <w:lang w:val="cs-CZ"/>
          </w:rPr>
          <w:t>http://data.europa.eu/eli/C/2024/6041/oj</w:t>
        </w:r>
      </w:hyperlink>
      <w:r w:rsidRPr="00E51DFE">
        <w:rPr>
          <w:sz w:val="24"/>
          <w:lang w:val="cs-CZ"/>
        </w:rPr>
        <w:t>.</w:t>
      </w:r>
    </w:p>
  </w:footnote>
  <w:footnote w:id="371">
    <w:p w14:paraId="2F407D0F"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71" w:history="1">
        <w:r w:rsidRPr="00E51DFE">
          <w:rPr>
            <w:rStyle w:val="Hyperlink1"/>
            <w:sz w:val="24"/>
            <w:lang w:val="cs-CZ"/>
          </w:rPr>
          <w:t>http://data.europa.eu/eli/reg/2018/1046/oj</w:t>
        </w:r>
      </w:hyperlink>
      <w:r w:rsidRPr="00E51DFE">
        <w:rPr>
          <w:sz w:val="24"/>
          <w:lang w:val="cs-CZ"/>
        </w:rPr>
        <w:t>.</w:t>
      </w:r>
    </w:p>
  </w:footnote>
  <w:footnote w:id="372">
    <w:p w14:paraId="580A6CDC"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72" w:history="1">
        <w:r w:rsidRPr="00E51DFE">
          <w:rPr>
            <w:rStyle w:val="Hyperlink1"/>
            <w:sz w:val="24"/>
            <w:lang w:val="cs-CZ"/>
          </w:rPr>
          <w:t>http://data.europa.eu/eli/reg/2024/2509/oj</w:t>
        </w:r>
      </w:hyperlink>
      <w:r w:rsidRPr="00E51DFE">
        <w:rPr>
          <w:sz w:val="24"/>
          <w:lang w:val="cs-CZ"/>
        </w:rPr>
        <w:t>.</w:t>
      </w:r>
    </w:p>
  </w:footnote>
  <w:footnote w:id="373">
    <w:p w14:paraId="22FF078B"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170, 12.5.2021, s. 69, ELI: </w:t>
      </w:r>
      <w:hyperlink r:id="rId373" w:history="1">
        <w:r w:rsidRPr="00E51DFE">
          <w:rPr>
            <w:rStyle w:val="Hyperlink1"/>
            <w:sz w:val="24"/>
            <w:lang w:val="cs-CZ"/>
          </w:rPr>
          <w:t>http://data.europa.eu/eli/reg/2021/696/oj</w:t>
        </w:r>
      </w:hyperlink>
      <w:r w:rsidRPr="00E51DFE">
        <w:rPr>
          <w:sz w:val="24"/>
          <w:lang w:val="cs-CZ"/>
        </w:rPr>
        <w:t>.</w:t>
      </w:r>
    </w:p>
  </w:footnote>
  <w:footnote w:id="374">
    <w:p w14:paraId="2CD12E3F" w14:textId="77777777" w:rsidR="00872DB8" w:rsidRPr="00B06802" w:rsidRDefault="00872DB8" w:rsidP="00872DB8">
      <w:pPr>
        <w:pStyle w:val="FootnoteText"/>
        <w:ind w:left="567" w:hanging="567"/>
        <w:rPr>
          <w:sz w:val="24"/>
          <w:lang w:val="cs-CZ"/>
        </w:rPr>
      </w:pPr>
      <w:r w:rsidRPr="00B06802">
        <w:rPr>
          <w:rStyle w:val="FootnoteReference"/>
          <w:sz w:val="24"/>
        </w:rPr>
        <w:footnoteRef/>
      </w:r>
      <w:r w:rsidRPr="00B06802">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74" w:history="1">
        <w:r w:rsidRPr="00E51DFE">
          <w:rPr>
            <w:rStyle w:val="Hyperlink1"/>
            <w:sz w:val="24"/>
            <w:lang w:val="cs-CZ"/>
          </w:rPr>
          <w:t>http://data.europa.eu/eli/reg_del/2019/715/oj</w:t>
        </w:r>
      </w:hyperlink>
      <w:r w:rsidRPr="00E51DFE">
        <w:rPr>
          <w:sz w:val="24"/>
          <w:lang w:val="cs-CZ"/>
        </w:rPr>
        <w:t>.</w:t>
      </w:r>
    </w:p>
  </w:footnote>
  <w:footnote w:id="375">
    <w:p w14:paraId="6FE7FD0D"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75" w:history="1">
        <w:r w:rsidRPr="00E51DFE">
          <w:rPr>
            <w:rStyle w:val="Hyperlink1"/>
            <w:sz w:val="24"/>
            <w:lang w:val="cs-CZ"/>
          </w:rPr>
          <w:t>http://data.europa.eu/eli/C/2024/6332/oj</w:t>
        </w:r>
      </w:hyperlink>
      <w:r w:rsidRPr="00E51DFE">
        <w:rPr>
          <w:sz w:val="24"/>
          <w:lang w:val="cs-CZ"/>
        </w:rPr>
        <w:t>.</w:t>
      </w:r>
    </w:p>
  </w:footnote>
  <w:footnote w:id="376">
    <w:p w14:paraId="31E3D795"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76" w:history="1">
        <w:r w:rsidRPr="00E51DFE">
          <w:rPr>
            <w:rStyle w:val="Hyperlink1"/>
            <w:sz w:val="24"/>
            <w:lang w:val="cs-CZ"/>
          </w:rPr>
          <w:t>http://data.europa.eu/eli/C/2024/6041/oj</w:t>
        </w:r>
      </w:hyperlink>
      <w:r w:rsidRPr="00E51DFE">
        <w:rPr>
          <w:sz w:val="24"/>
          <w:lang w:val="cs-CZ"/>
        </w:rPr>
        <w:t>.</w:t>
      </w:r>
    </w:p>
  </w:footnote>
  <w:footnote w:id="377">
    <w:p w14:paraId="0CD22C59"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77" w:history="1">
        <w:r w:rsidRPr="00E51DFE">
          <w:rPr>
            <w:rStyle w:val="Hyperlink1"/>
            <w:sz w:val="24"/>
            <w:lang w:val="cs-CZ"/>
          </w:rPr>
          <w:t>http://data.europa.eu/eli/reg/2018/1046/oj</w:t>
        </w:r>
      </w:hyperlink>
      <w:r w:rsidRPr="00E51DFE">
        <w:rPr>
          <w:sz w:val="24"/>
          <w:lang w:val="cs-CZ"/>
        </w:rPr>
        <w:t>.</w:t>
      </w:r>
    </w:p>
  </w:footnote>
  <w:footnote w:id="378">
    <w:p w14:paraId="75FC152A"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78" w:history="1">
        <w:r w:rsidRPr="00E51DFE">
          <w:rPr>
            <w:rStyle w:val="Hyperlink1"/>
            <w:sz w:val="24"/>
            <w:lang w:val="cs-CZ"/>
          </w:rPr>
          <w:t>http://data.europa.eu/eli/reg/2024/2509/oj</w:t>
        </w:r>
      </w:hyperlink>
      <w:r w:rsidRPr="00E51DFE">
        <w:rPr>
          <w:sz w:val="24"/>
          <w:lang w:val="cs-CZ"/>
        </w:rPr>
        <w:t>.</w:t>
      </w:r>
    </w:p>
  </w:footnote>
  <w:footnote w:id="379">
    <w:p w14:paraId="62C4ED5C"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53, 22.2.2007, s. 1, ELI: </w:t>
      </w:r>
      <w:hyperlink r:id="rId379" w:history="1">
        <w:r w:rsidRPr="00E51DFE">
          <w:rPr>
            <w:rStyle w:val="Hyperlink1"/>
            <w:sz w:val="24"/>
            <w:lang w:val="cs-CZ"/>
          </w:rPr>
          <w:t>http://data.europa.eu/eli/reg/2007/168/oj</w:t>
        </w:r>
      </w:hyperlink>
      <w:r w:rsidRPr="00E51DFE">
        <w:rPr>
          <w:sz w:val="24"/>
          <w:lang w:val="cs-CZ"/>
        </w:rPr>
        <w:t>.</w:t>
      </w:r>
    </w:p>
  </w:footnote>
  <w:footnote w:id="380">
    <w:p w14:paraId="37D2BB10" w14:textId="77777777" w:rsidR="00872DB8" w:rsidRPr="00385EF4" w:rsidRDefault="00872DB8" w:rsidP="00872DB8">
      <w:pPr>
        <w:pStyle w:val="FootnoteText"/>
        <w:ind w:left="567" w:hanging="567"/>
        <w:rPr>
          <w:sz w:val="24"/>
          <w:lang w:val="cs-CZ"/>
        </w:rPr>
      </w:pPr>
      <w:r w:rsidRPr="00385EF4">
        <w:rPr>
          <w:rStyle w:val="FootnoteReference"/>
          <w:sz w:val="24"/>
        </w:rPr>
        <w:footnoteRef/>
      </w:r>
      <w:r w:rsidRPr="00385EF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380" w:history="1">
        <w:r w:rsidRPr="00E51DFE">
          <w:rPr>
            <w:rStyle w:val="Hyperlink1"/>
            <w:sz w:val="24"/>
            <w:lang w:val="cs-CZ"/>
          </w:rPr>
          <w:t>http://data.europa.eu/eli/reg_del/2019/715/oj</w:t>
        </w:r>
      </w:hyperlink>
      <w:r w:rsidRPr="00E51DFE">
        <w:rPr>
          <w:sz w:val="24"/>
          <w:lang w:val="cs-CZ"/>
        </w:rPr>
        <w:t>.</w:t>
      </w:r>
    </w:p>
  </w:footnote>
  <w:footnote w:id="381">
    <w:p w14:paraId="2A5F2A15"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81" w:history="1">
        <w:r w:rsidRPr="00E51DFE">
          <w:rPr>
            <w:rStyle w:val="Hyperlink1"/>
            <w:sz w:val="24"/>
            <w:lang w:val="cs-CZ"/>
          </w:rPr>
          <w:t>http://data.europa.eu/eli/C/2024/6332/oj</w:t>
        </w:r>
      </w:hyperlink>
      <w:r w:rsidRPr="00E51DFE">
        <w:rPr>
          <w:sz w:val="24"/>
          <w:lang w:val="cs-CZ"/>
        </w:rPr>
        <w:t>.</w:t>
      </w:r>
    </w:p>
  </w:footnote>
  <w:footnote w:id="382">
    <w:p w14:paraId="1FDE363B"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82" w:history="1">
        <w:r w:rsidRPr="00E51DFE">
          <w:rPr>
            <w:rStyle w:val="Hyperlink1"/>
            <w:sz w:val="24"/>
            <w:lang w:val="cs-CZ"/>
          </w:rPr>
          <w:t>http://data.europa.eu/eli/C/2024/6041/oj</w:t>
        </w:r>
      </w:hyperlink>
      <w:r w:rsidRPr="00E51DFE">
        <w:rPr>
          <w:sz w:val="24"/>
          <w:lang w:val="cs-CZ"/>
        </w:rPr>
        <w:t>.</w:t>
      </w:r>
    </w:p>
  </w:footnote>
  <w:footnote w:id="383">
    <w:p w14:paraId="2AD33DAB"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83" w:history="1">
        <w:r w:rsidRPr="00E51DFE">
          <w:rPr>
            <w:rStyle w:val="Hyperlink1"/>
            <w:sz w:val="24"/>
            <w:lang w:val="cs-CZ"/>
          </w:rPr>
          <w:t>http://data.europa.eu/eli/reg/2018/1046/oj</w:t>
        </w:r>
      </w:hyperlink>
      <w:r w:rsidRPr="00E51DFE">
        <w:rPr>
          <w:sz w:val="24"/>
          <w:lang w:val="cs-CZ"/>
        </w:rPr>
        <w:t>.</w:t>
      </w:r>
    </w:p>
  </w:footnote>
  <w:footnote w:id="384">
    <w:p w14:paraId="04F1807F"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84" w:history="1">
        <w:r w:rsidRPr="00E51DFE">
          <w:rPr>
            <w:rStyle w:val="Hyperlink1"/>
            <w:sz w:val="24"/>
            <w:lang w:val="cs-CZ"/>
          </w:rPr>
          <w:t>http://data.europa.eu/eli/reg/2024/2509/oj</w:t>
        </w:r>
      </w:hyperlink>
      <w:r w:rsidRPr="00E51DFE">
        <w:rPr>
          <w:sz w:val="24"/>
          <w:lang w:val="cs-CZ"/>
        </w:rPr>
        <w:t>.</w:t>
      </w:r>
    </w:p>
  </w:footnote>
  <w:footnote w:id="385">
    <w:p w14:paraId="3FDB4487"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53, 22.2.2007, s. 1, ELI: </w:t>
      </w:r>
      <w:hyperlink r:id="rId385" w:history="1">
        <w:r w:rsidRPr="00E51DFE">
          <w:rPr>
            <w:rStyle w:val="Hyperlink1"/>
            <w:sz w:val="24"/>
            <w:lang w:val="cs-CZ"/>
          </w:rPr>
          <w:t>http://data.europa.eu/eli/reg/2007/168/oj</w:t>
        </w:r>
      </w:hyperlink>
      <w:r w:rsidRPr="00E51DFE">
        <w:rPr>
          <w:sz w:val="24"/>
          <w:lang w:val="cs-CZ"/>
        </w:rPr>
        <w:t>.</w:t>
      </w:r>
    </w:p>
  </w:footnote>
  <w:footnote w:id="386">
    <w:p w14:paraId="59E0D851" w14:textId="77777777" w:rsidR="00872DB8" w:rsidRPr="00340D4B" w:rsidRDefault="00872DB8" w:rsidP="00872DB8">
      <w:pPr>
        <w:pStyle w:val="FootnoteText"/>
        <w:ind w:left="567" w:hanging="567"/>
        <w:rPr>
          <w:sz w:val="24"/>
          <w:lang w:val="cs-CZ"/>
        </w:rPr>
      </w:pPr>
      <w:r w:rsidRPr="00340D4B">
        <w:rPr>
          <w:rStyle w:val="FootnoteReference"/>
          <w:sz w:val="24"/>
        </w:rPr>
        <w:footnoteRef/>
      </w:r>
      <w:r w:rsidRPr="00340D4B">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ELI: </w:t>
      </w:r>
      <w:hyperlink r:id="rId386" w:history="1">
        <w:r w:rsidRPr="00E51DFE">
          <w:rPr>
            <w:rStyle w:val="Hyperlink1"/>
            <w:sz w:val="24"/>
            <w:lang w:val="cs-CZ"/>
          </w:rPr>
          <w:t>http://data.europa.eu/eli/reg_del/2019/715/oj</w:t>
        </w:r>
      </w:hyperlink>
      <w:r w:rsidRPr="00E51DFE">
        <w:rPr>
          <w:sz w:val="24"/>
          <w:lang w:val="cs-CZ"/>
        </w:rPr>
        <w:t>.</w:t>
      </w:r>
    </w:p>
  </w:footnote>
  <w:footnote w:id="387">
    <w:p w14:paraId="21D77D22"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87" w:history="1">
        <w:r w:rsidRPr="00E51DFE">
          <w:rPr>
            <w:rStyle w:val="Hyperlink1"/>
            <w:sz w:val="24"/>
            <w:lang w:val="cs-CZ"/>
          </w:rPr>
          <w:t>http://data.europa.eu/eli/C/2024/6332/oj</w:t>
        </w:r>
      </w:hyperlink>
      <w:r w:rsidRPr="00E51DFE">
        <w:rPr>
          <w:sz w:val="24"/>
          <w:lang w:val="cs-CZ"/>
        </w:rPr>
        <w:t>.</w:t>
      </w:r>
    </w:p>
  </w:footnote>
  <w:footnote w:id="388">
    <w:p w14:paraId="62E855CB"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88" w:history="1">
        <w:r w:rsidRPr="00E51DFE">
          <w:rPr>
            <w:rStyle w:val="Hyperlink1"/>
            <w:sz w:val="24"/>
            <w:lang w:val="cs-CZ"/>
          </w:rPr>
          <w:t>http://data.europa.eu/eli/C/2024/6041/oj</w:t>
        </w:r>
      </w:hyperlink>
      <w:r w:rsidRPr="00E51DFE">
        <w:rPr>
          <w:sz w:val="24"/>
          <w:lang w:val="cs-CZ"/>
        </w:rPr>
        <w:t>.</w:t>
      </w:r>
    </w:p>
  </w:footnote>
  <w:footnote w:id="389">
    <w:p w14:paraId="063041CA"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89" w:history="1">
        <w:r w:rsidRPr="00E51DFE">
          <w:rPr>
            <w:rStyle w:val="Hyperlink1"/>
            <w:sz w:val="24"/>
            <w:lang w:val="cs-CZ"/>
          </w:rPr>
          <w:t>http://data.europa.eu/eli/reg/2018/1046/oj</w:t>
        </w:r>
      </w:hyperlink>
      <w:r w:rsidRPr="00E51DFE">
        <w:rPr>
          <w:sz w:val="24"/>
          <w:lang w:val="cs-CZ"/>
        </w:rPr>
        <w:t>.</w:t>
      </w:r>
    </w:p>
  </w:footnote>
  <w:footnote w:id="390">
    <w:p w14:paraId="04588B39"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90" w:history="1">
        <w:r w:rsidRPr="00E51DFE">
          <w:rPr>
            <w:rStyle w:val="Hyperlink1"/>
            <w:sz w:val="24"/>
            <w:lang w:val="cs-CZ"/>
          </w:rPr>
          <w:t>http://data.europa.eu/eli/reg/2024/2509/oj</w:t>
        </w:r>
      </w:hyperlink>
      <w:r w:rsidRPr="00E51DFE">
        <w:rPr>
          <w:sz w:val="24"/>
          <w:lang w:val="cs-CZ"/>
        </w:rPr>
        <w:t>.</w:t>
      </w:r>
    </w:p>
  </w:footnote>
  <w:footnote w:id="391">
    <w:p w14:paraId="53E1BCF5"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14.11.2019, s. 1, ELI: </w:t>
      </w:r>
      <w:hyperlink r:id="rId391" w:history="1">
        <w:r w:rsidRPr="00E51DFE">
          <w:rPr>
            <w:rStyle w:val="Hyperlink1"/>
            <w:sz w:val="24"/>
            <w:lang w:val="cs-CZ"/>
          </w:rPr>
          <w:t>http://data.europa.eu/eli/reg/2019/1896/oj</w:t>
        </w:r>
      </w:hyperlink>
      <w:r w:rsidRPr="00E51DFE">
        <w:rPr>
          <w:sz w:val="24"/>
          <w:lang w:val="cs-CZ"/>
        </w:rPr>
        <w:t>.</w:t>
      </w:r>
    </w:p>
  </w:footnote>
  <w:footnote w:id="392">
    <w:p w14:paraId="161AE623" w14:textId="77777777" w:rsidR="00872DB8" w:rsidRPr="00920617" w:rsidRDefault="00872DB8" w:rsidP="00872DB8">
      <w:pPr>
        <w:pStyle w:val="FootnoteText"/>
        <w:ind w:left="567" w:hanging="567"/>
        <w:rPr>
          <w:sz w:val="24"/>
          <w:lang w:val="cs-CZ"/>
        </w:rPr>
      </w:pPr>
      <w:r w:rsidRPr="00920617">
        <w:rPr>
          <w:rStyle w:val="FootnoteReference"/>
          <w:sz w:val="24"/>
        </w:rPr>
        <w:footnoteRef/>
      </w:r>
      <w:r w:rsidRPr="00920617">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92" w:history="1">
        <w:r w:rsidRPr="00E51DFE">
          <w:rPr>
            <w:rStyle w:val="Hyperlink1"/>
            <w:sz w:val="24"/>
            <w:lang w:val="cs-CZ"/>
          </w:rPr>
          <w:t>http://data.europa.eu/eli/reg_del/2019/715/oj</w:t>
        </w:r>
      </w:hyperlink>
      <w:r w:rsidRPr="00E51DFE">
        <w:rPr>
          <w:sz w:val="24"/>
          <w:lang w:val="cs-CZ"/>
        </w:rPr>
        <w:t>.</w:t>
      </w:r>
    </w:p>
  </w:footnote>
  <w:footnote w:id="393">
    <w:p w14:paraId="20FB8C1B"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C/2024/6332, 24.10.2024, ELI: </w:t>
      </w:r>
      <w:hyperlink r:id="rId393" w:history="1">
        <w:r w:rsidRPr="00E51DFE">
          <w:rPr>
            <w:rStyle w:val="Hyperlink1"/>
            <w:sz w:val="24"/>
            <w:lang w:val="cs-CZ"/>
          </w:rPr>
          <w:t>http://data.europa.eu/eli/C/2024/6332/oj</w:t>
        </w:r>
      </w:hyperlink>
      <w:r w:rsidRPr="00E51DFE">
        <w:rPr>
          <w:sz w:val="24"/>
          <w:lang w:val="cs-CZ"/>
        </w:rPr>
        <w:t>.</w:t>
      </w:r>
    </w:p>
  </w:footnote>
  <w:footnote w:id="394">
    <w:p w14:paraId="6D3AB4E8"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C, C/2024/6041, 10.10.2024, ELI: </w:t>
      </w:r>
      <w:hyperlink r:id="rId394" w:history="1">
        <w:r w:rsidRPr="00E51DFE">
          <w:rPr>
            <w:rStyle w:val="Hyperlink1"/>
            <w:sz w:val="24"/>
            <w:lang w:val="cs-CZ"/>
          </w:rPr>
          <w:t>http://data.europa.eu/eli/C/2024/6041/oj</w:t>
        </w:r>
      </w:hyperlink>
      <w:r w:rsidRPr="00E51DFE">
        <w:rPr>
          <w:sz w:val="24"/>
          <w:lang w:val="cs-CZ"/>
        </w:rPr>
        <w:t>.</w:t>
      </w:r>
    </w:p>
  </w:footnote>
  <w:footnote w:id="395">
    <w:p w14:paraId="003B24F7"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193, 30.7.2018, s. 1, ELI: </w:t>
      </w:r>
      <w:hyperlink r:id="rId395" w:history="1">
        <w:r w:rsidRPr="00E51DFE">
          <w:rPr>
            <w:rStyle w:val="Hyperlink1"/>
            <w:sz w:val="24"/>
            <w:lang w:val="cs-CZ"/>
          </w:rPr>
          <w:t>http://data.europa.eu/eli/reg/2018/1046/oj</w:t>
        </w:r>
      </w:hyperlink>
      <w:r w:rsidRPr="00E51DFE">
        <w:rPr>
          <w:sz w:val="24"/>
          <w:lang w:val="cs-CZ"/>
        </w:rPr>
        <w:t>.</w:t>
      </w:r>
    </w:p>
  </w:footnote>
  <w:footnote w:id="396">
    <w:p w14:paraId="7805D4CB"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96" w:history="1">
        <w:r w:rsidRPr="00E51DFE">
          <w:rPr>
            <w:rStyle w:val="Hyperlink1"/>
            <w:sz w:val="24"/>
            <w:lang w:val="cs-CZ"/>
          </w:rPr>
          <w:t>http://data.europa.eu/eli/reg/2024/2509/oj</w:t>
        </w:r>
      </w:hyperlink>
      <w:r w:rsidRPr="00E51DFE">
        <w:rPr>
          <w:sz w:val="24"/>
          <w:lang w:val="cs-CZ"/>
        </w:rPr>
        <w:t>.</w:t>
      </w:r>
    </w:p>
  </w:footnote>
  <w:footnote w:id="397">
    <w:p w14:paraId="12C17160"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14.11.2019, s. 1, ELI: </w:t>
      </w:r>
      <w:hyperlink r:id="rId397" w:history="1">
        <w:r w:rsidRPr="00E51DFE">
          <w:rPr>
            <w:rStyle w:val="Hyperlink1"/>
            <w:sz w:val="24"/>
            <w:lang w:val="cs-CZ"/>
          </w:rPr>
          <w:t>http://data.europa.eu/eli/reg/2019/1896/oj</w:t>
        </w:r>
      </w:hyperlink>
      <w:r w:rsidRPr="00E51DFE">
        <w:rPr>
          <w:sz w:val="24"/>
          <w:lang w:val="cs-CZ"/>
        </w:rPr>
        <w:t>.</w:t>
      </w:r>
    </w:p>
  </w:footnote>
  <w:footnote w:id="398">
    <w:p w14:paraId="22273AE1" w14:textId="77777777" w:rsidR="00872DB8" w:rsidRPr="00BD2FE4" w:rsidRDefault="00872DB8" w:rsidP="00872DB8">
      <w:pPr>
        <w:pStyle w:val="FootnoteText"/>
        <w:ind w:left="567" w:hanging="567"/>
        <w:rPr>
          <w:sz w:val="24"/>
          <w:lang w:val="cs-CZ"/>
        </w:rPr>
      </w:pPr>
      <w:r w:rsidRPr="00BD2FE4">
        <w:rPr>
          <w:rStyle w:val="FootnoteReference"/>
          <w:sz w:val="24"/>
        </w:rPr>
        <w:footnoteRef/>
      </w:r>
      <w:r w:rsidRPr="00BD2FE4">
        <w:rPr>
          <w:sz w:val="24"/>
          <w:lang w:val="cs-CZ"/>
        </w:rPr>
        <w:t xml:space="preserve"> </w:t>
      </w:r>
      <w:r w:rsidRPr="00E51DFE">
        <w:rPr>
          <w:sz w:val="24"/>
          <w:lang w:val="cs-CZ"/>
        </w:rPr>
        <w:tab/>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122, 10.5.2019, s. 1, </w:t>
      </w:r>
      <w:hyperlink r:id="rId398" w:history="1">
        <w:r w:rsidRPr="00E51DFE">
          <w:rPr>
            <w:rStyle w:val="Hyperlink1"/>
            <w:sz w:val="24"/>
            <w:lang w:val="cs-CZ"/>
          </w:rPr>
          <w:t>http://data.europa.eu/eli/reg_del/2019/715/oj</w:t>
        </w:r>
      </w:hyperlink>
      <w:r w:rsidRPr="00E51DFE">
        <w:rPr>
          <w:sz w:val="24"/>
          <w:lang w:val="cs-CZ"/>
        </w:rPr>
        <w:t>.</w:t>
      </w:r>
    </w:p>
  </w:footnote>
  <w:footnote w:id="399">
    <w:p w14:paraId="560A9CC2"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Existují tři typy agentur EU: decentralizované agentury, výkonné agentury a další subjekty.</w:t>
      </w:r>
    </w:p>
  </w:footnote>
  <w:footnote w:id="400">
    <w:p w14:paraId="702CA234"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A2726">
        <w:rPr>
          <w:sz w:val="24"/>
          <w:lang w:val="cs-CZ"/>
        </w:rPr>
        <w:t xml:space="preserve"> </w:t>
      </w:r>
      <w:r w:rsidRPr="00E51DFE">
        <w:rPr>
          <w:sz w:val="24"/>
          <w:lang w:val="cs-CZ"/>
        </w:rPr>
        <w:tab/>
        <w:t>Nařízení Evropského parlamentu a Rady (EU, Euratom) 2024/2509 ze dne 23. září 2024, kterým se stanoví finanční pravidla pro souhrnný rozpočet Unie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2024/2509, 26.9.2024, ELI: </w:t>
      </w:r>
      <w:hyperlink r:id="rId399" w:history="1">
        <w:r w:rsidRPr="00E51DFE">
          <w:rPr>
            <w:rStyle w:val="Hyperlink"/>
            <w:sz w:val="24"/>
            <w:lang w:val="cs-CZ"/>
          </w:rPr>
          <w:t>http://data.europa.eu/eli/reg/2024/2509/oj</w:t>
        </w:r>
      </w:hyperlink>
      <w:r w:rsidRPr="00E51DFE">
        <w:rPr>
          <w:sz w:val="24"/>
          <w:lang w:val="cs-CZ"/>
        </w:rPr>
        <w:t>).</w:t>
      </w:r>
    </w:p>
  </w:footnote>
  <w:footnote w:id="401">
    <w:p w14:paraId="7B579C06"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00" w:history="1">
        <w:r w:rsidRPr="00E51DFE">
          <w:rPr>
            <w:rStyle w:val="Hyperlink1"/>
            <w:sz w:val="24"/>
            <w:lang w:val="cs-CZ"/>
          </w:rPr>
          <w:t>Společné prohlášení</w:t>
        </w:r>
      </w:hyperlink>
      <w:r w:rsidRPr="00E51DFE">
        <w:rPr>
          <w:sz w:val="24"/>
          <w:lang w:val="cs-CZ"/>
        </w:rPr>
        <w:t xml:space="preserve"> Evropského parlamentu, Rady EU a Evropské komise k decentralizovaným agenturám z července 2012: </w:t>
      </w:r>
      <w:hyperlink r:id="rId401" w:history="1">
        <w:r w:rsidRPr="00E51DFE">
          <w:rPr>
            <w:rStyle w:val="Hyperlink"/>
            <w:sz w:val="24"/>
            <w:lang w:val="cs-CZ"/>
          </w:rPr>
          <w:t>https://european-union.europa.eu/document/download/d4199ff4-1e3d-45e6-af7e-90cf1a7b10bc_en?filename=joint_statement_on_decentralised_agencies_en.pdf</w:t>
        </w:r>
      </w:hyperlink>
      <w:r w:rsidRPr="00E51DFE">
        <w:rPr>
          <w:sz w:val="24"/>
          <w:lang w:val="cs-CZ"/>
        </w:rPr>
        <w:t>.</w:t>
      </w:r>
    </w:p>
  </w:footnote>
  <w:footnote w:id="402">
    <w:p w14:paraId="6B098B30"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„Budoucnost agentur EU – je zde potenciál pro větší flexibilitu a spolupráci“, </w:t>
      </w:r>
      <w:hyperlink r:id="rId402" w:history="1">
        <w:r w:rsidRPr="00E51DFE">
          <w:rPr>
            <w:rStyle w:val="Hyperlink1"/>
            <w:sz w:val="24"/>
            <w:lang w:val="cs-CZ"/>
          </w:rPr>
          <w:t>https://op.europa.eu/webpub/eca/special-reports/agencies-performance-audit-22-2020/cs/index.html</w:t>
        </w:r>
      </w:hyperlink>
      <w:r w:rsidRPr="00E51DFE">
        <w:rPr>
          <w:sz w:val="24"/>
          <w:lang w:val="cs-CZ"/>
        </w:rPr>
        <w:t>.</w:t>
      </w:r>
    </w:p>
  </w:footnote>
  <w:footnote w:id="403">
    <w:p w14:paraId="682D97C3" w14:textId="77777777" w:rsidR="00872DB8" w:rsidRPr="00EA2726" w:rsidRDefault="00872DB8" w:rsidP="00872DB8">
      <w:pPr>
        <w:ind w:left="567" w:hanging="567"/>
      </w:pPr>
      <w:r w:rsidRPr="00EA2726">
        <w:rPr>
          <w:rStyle w:val="FootnoteReference"/>
        </w:rPr>
        <w:footnoteRef/>
      </w:r>
      <w:r w:rsidRPr="00E51DFE">
        <w:tab/>
        <w:t>Ačkoli společný přístup není právně závazný, orgány jej na základě vzájemné dohody zohledňují při rozhodování o decentralizovaných agenturách.</w:t>
      </w:r>
    </w:p>
  </w:footnote>
  <w:footnote w:id="404">
    <w:p w14:paraId="38240043"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Evropské středisko pro rozvoj odborného vzdělávání, Agentura Evropské unie pro drogy, Agentura Evropské unie pro kybernetickou bezpečnost, Agentura Evropské unie pro železnice, Evropská agentura pro bezpečnost a ochranu zdraví při práci, Evropská nadace pro zlepšení životních a pracovních podmínek, Agentura Evropské unie pro justiční spolupráci v trestních věcech, Agentura Evropské unie pro základní práva, Evropský inovační a technologický institut.</w:t>
      </w:r>
    </w:p>
  </w:footnote>
  <w:footnote w:id="405">
    <w:p w14:paraId="582ADDC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Hodnocení agentur EU: </w:t>
      </w:r>
      <w:proofErr w:type="spellStart"/>
      <w:r w:rsidRPr="00E51DFE">
        <w:rPr>
          <w:sz w:val="24"/>
          <w:lang w:val="cs-CZ"/>
        </w:rPr>
        <w:t>Eurofound</w:t>
      </w:r>
      <w:proofErr w:type="spellEnd"/>
      <w:r w:rsidRPr="00E51DFE">
        <w:rPr>
          <w:sz w:val="24"/>
          <w:lang w:val="cs-CZ"/>
        </w:rPr>
        <w:t xml:space="preserve">, </w:t>
      </w:r>
      <w:proofErr w:type="spellStart"/>
      <w:r w:rsidRPr="00E51DFE">
        <w:rPr>
          <w:sz w:val="24"/>
          <w:lang w:val="cs-CZ"/>
        </w:rPr>
        <w:t>Cedefop</w:t>
      </w:r>
      <w:proofErr w:type="spellEnd"/>
      <w:r w:rsidRPr="00E51DFE">
        <w:rPr>
          <w:sz w:val="24"/>
          <w:lang w:val="cs-CZ"/>
        </w:rPr>
        <w:t xml:space="preserve">, ETF a EU-OSHA, </w:t>
      </w:r>
      <w:proofErr w:type="gramStart"/>
      <w:r w:rsidRPr="00E51DFE">
        <w:rPr>
          <w:sz w:val="24"/>
          <w:lang w:val="cs-CZ"/>
        </w:rPr>
        <w:t>SWD(</w:t>
      </w:r>
      <w:proofErr w:type="gramEnd"/>
      <w:r w:rsidRPr="00E51DFE">
        <w:rPr>
          <w:sz w:val="24"/>
          <w:lang w:val="cs-CZ"/>
        </w:rPr>
        <w:t xml:space="preserve">2024) 222 </w:t>
      </w:r>
      <w:proofErr w:type="spellStart"/>
      <w:r w:rsidRPr="00E51DFE">
        <w:rPr>
          <w:sz w:val="24"/>
          <w:lang w:val="cs-CZ"/>
        </w:rPr>
        <w:t>final</w:t>
      </w:r>
      <w:proofErr w:type="spellEnd"/>
      <w:r w:rsidRPr="00E51DFE">
        <w:rPr>
          <w:sz w:val="24"/>
          <w:lang w:val="cs-CZ"/>
        </w:rPr>
        <w:t xml:space="preserve">, s. 42, </w:t>
      </w:r>
      <w:hyperlink r:id="rId403" w:history="1">
        <w:r w:rsidRPr="00E51DFE">
          <w:rPr>
            <w:rStyle w:val="Hyperlink1"/>
            <w:sz w:val="24"/>
            <w:lang w:val="cs-CZ"/>
          </w:rPr>
          <w:t>https://www.parlament.gv.at/dokument/XXVII/EU/198502/imfname_11414247.pdf</w:t>
        </w:r>
      </w:hyperlink>
      <w:r w:rsidRPr="00E51DFE">
        <w:rPr>
          <w:sz w:val="24"/>
          <w:lang w:val="cs-CZ"/>
        </w:rPr>
        <w:t>.</w:t>
      </w:r>
    </w:p>
  </w:footnote>
  <w:footnote w:id="406">
    <w:p w14:paraId="7F8C355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Nařízení Evropského parlamentu a Rady (EU) 2019/1896 ze dne 13. listopadu 2019 o Evropské pohraniční a pobřežní stráži a o zrušení nařízení (EU) č. 1052/2013 a (EU) 2016/1624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295, 14.11.2019, s. 1, </w:t>
      </w:r>
      <w:r w:rsidRPr="00E51DFE">
        <w:rPr>
          <w:color w:val="333333"/>
          <w:sz w:val="24"/>
          <w:shd w:val="clear" w:color="auto" w:fill="FFFFFF"/>
          <w:lang w:val="cs-CZ"/>
        </w:rPr>
        <w:t>ELI</w:t>
      </w:r>
      <w:r w:rsidRPr="00E51DFE">
        <w:rPr>
          <w:sz w:val="24"/>
          <w:lang w:val="cs-CZ"/>
        </w:rPr>
        <w:t>:</w:t>
      </w:r>
      <w:r w:rsidRPr="00E51DFE">
        <w:rPr>
          <w:color w:val="333333"/>
          <w:sz w:val="24"/>
          <w:shd w:val="clear" w:color="auto" w:fill="FFFFFF"/>
          <w:lang w:val="cs-CZ"/>
        </w:rPr>
        <w:t xml:space="preserve"> </w:t>
      </w:r>
      <w:hyperlink r:id="rId404" w:tooltip="Umožňuje přístup k tomuto dokumentu prostřednictvím identifikátoru ELI URI." w:history="1">
        <w:r w:rsidRPr="00E51DFE">
          <w:rPr>
            <w:rStyle w:val="Hyperlink1"/>
            <w:color w:val="337AB7"/>
            <w:sz w:val="24"/>
            <w:shd w:val="clear" w:color="auto" w:fill="FFFFFF"/>
            <w:lang w:val="cs-CZ"/>
          </w:rPr>
          <w:t>http://data.europa.eu/eli/reg/2019/1896/oj</w:t>
        </w:r>
      </w:hyperlink>
      <w:r w:rsidRPr="00E51DFE">
        <w:rPr>
          <w:sz w:val="24"/>
          <w:lang w:val="cs-CZ"/>
        </w:rPr>
        <w:t>).</w:t>
      </w:r>
    </w:p>
  </w:footnote>
  <w:footnote w:id="407">
    <w:p w14:paraId="40E88249"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05" w:history="1">
        <w:r w:rsidRPr="00E51DFE">
          <w:rPr>
            <w:rStyle w:val="Hyperlink1"/>
            <w:sz w:val="24"/>
            <w:lang w:val="cs-CZ"/>
          </w:rPr>
          <w:t>https://eur-lex.europa.eu/legal-content/CS/TXT/HTML/?uri=CELEX:52024DC0075 – část 3</w:t>
        </w:r>
      </w:hyperlink>
      <w:r w:rsidRPr="00E51DFE">
        <w:rPr>
          <w:sz w:val="24"/>
          <w:lang w:val="cs-CZ"/>
        </w:rPr>
        <w:t>.</w:t>
      </w:r>
    </w:p>
  </w:footnote>
  <w:footnote w:id="408">
    <w:p w14:paraId="32DAFF44"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Údaje podle výkazů příjmů a výdajů za rozpočtový rok 2023, jak byly zveřejněny v Úředním věstníku pro každou jednotlivou agenturu.</w:t>
      </w:r>
    </w:p>
  </w:footnote>
  <w:footnote w:id="409">
    <w:p w14:paraId="167F97E4"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Pracovní dokument III, návrh rozpočtu na rok 2023, s. 24.</w:t>
      </w:r>
    </w:p>
  </w:footnote>
  <w:footnote w:id="410">
    <w:p w14:paraId="37F2C48B"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Pracovní dokument III, návrh rozpočtu na rok 2023, s. 26.</w:t>
      </w:r>
    </w:p>
  </w:footnote>
  <w:footnote w:id="411">
    <w:p w14:paraId="776AE39B"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Pracovní dokument III, návrh rozpočtu na rok 2023, s. 21.</w:t>
      </w:r>
    </w:p>
  </w:footnote>
  <w:footnote w:id="412">
    <w:p w14:paraId="5AAAACB7"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Schůze výboru CONT, 4. prosince 2023.</w:t>
      </w:r>
    </w:p>
  </w:footnote>
  <w:footnote w:id="413">
    <w:p w14:paraId="60B0C89D"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Nový rozpočtový, účetní a finanční systém byl zahájen jako pilotní projekt v roce 2022.</w:t>
      </w:r>
    </w:p>
  </w:footnote>
  <w:footnote w:id="414">
    <w:p w14:paraId="790D0A98"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proofErr w:type="spellStart"/>
      <w:r w:rsidRPr="004105F7">
        <w:rPr>
          <w:sz w:val="24"/>
          <w:lang w:val="cs-CZ"/>
        </w:rPr>
        <w:t>UniSystems</w:t>
      </w:r>
      <w:proofErr w:type="spellEnd"/>
      <w:r w:rsidRPr="004105F7">
        <w:rPr>
          <w:sz w:val="24"/>
          <w:lang w:val="cs-CZ"/>
        </w:rPr>
        <w:t xml:space="preserve"> </w:t>
      </w:r>
      <w:proofErr w:type="spellStart"/>
      <w:r w:rsidRPr="004105F7">
        <w:rPr>
          <w:sz w:val="24"/>
          <w:lang w:val="cs-CZ"/>
        </w:rPr>
        <w:t>Luxembourg</w:t>
      </w:r>
      <w:proofErr w:type="spellEnd"/>
      <w:r w:rsidRPr="004105F7">
        <w:rPr>
          <w:sz w:val="24"/>
          <w:lang w:val="cs-CZ"/>
        </w:rPr>
        <w:t xml:space="preserve"> a </w:t>
      </w:r>
      <w:proofErr w:type="spellStart"/>
      <w:r w:rsidRPr="004105F7">
        <w:rPr>
          <w:sz w:val="24"/>
          <w:lang w:val="cs-CZ"/>
        </w:rPr>
        <w:t>Unisystems</w:t>
      </w:r>
      <w:proofErr w:type="spellEnd"/>
      <w:r w:rsidRPr="004105F7">
        <w:rPr>
          <w:sz w:val="24"/>
          <w:lang w:val="cs-CZ"/>
        </w:rPr>
        <w:t xml:space="preserve"> </w:t>
      </w:r>
      <w:proofErr w:type="spellStart"/>
      <w:r w:rsidRPr="004105F7">
        <w:rPr>
          <w:sz w:val="24"/>
          <w:lang w:val="cs-CZ"/>
        </w:rPr>
        <w:t>systimata</w:t>
      </w:r>
      <w:proofErr w:type="spellEnd"/>
      <w:r w:rsidRPr="004105F7">
        <w:rPr>
          <w:sz w:val="24"/>
          <w:lang w:val="cs-CZ"/>
        </w:rPr>
        <w:t xml:space="preserve"> </w:t>
      </w:r>
      <w:proofErr w:type="spellStart"/>
      <w:r w:rsidRPr="004105F7">
        <w:rPr>
          <w:sz w:val="24"/>
          <w:lang w:val="cs-CZ"/>
        </w:rPr>
        <w:t>pliroforikis</w:t>
      </w:r>
      <w:proofErr w:type="spellEnd"/>
      <w:r w:rsidRPr="004105F7">
        <w:rPr>
          <w:sz w:val="24"/>
          <w:lang w:val="cs-CZ"/>
        </w:rPr>
        <w:t xml:space="preserve"> v. ESMA – věc T-750/22</w:t>
      </w:r>
      <w:r w:rsidRPr="00E51DFE">
        <w:rPr>
          <w:sz w:val="24"/>
          <w:lang w:val="cs-CZ"/>
        </w:rPr>
        <w:t>.</w:t>
      </w:r>
    </w:p>
  </w:footnote>
  <w:footnote w:id="415">
    <w:p w14:paraId="045C6814"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Roční účetní závěrka EBA, s. 26 a EÚD k orgánu ESMA, s. 139.</w:t>
      </w:r>
    </w:p>
  </w:footnote>
  <w:footnote w:id="416">
    <w:p w14:paraId="6811684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Roční účetní závěrka </w:t>
      </w:r>
      <w:proofErr w:type="spellStart"/>
      <w:r w:rsidRPr="00E51DFE">
        <w:rPr>
          <w:sz w:val="24"/>
          <w:lang w:val="cs-CZ"/>
        </w:rPr>
        <w:t>eu</w:t>
      </w:r>
      <w:proofErr w:type="spellEnd"/>
      <w:r w:rsidRPr="00E51DFE">
        <w:rPr>
          <w:sz w:val="24"/>
          <w:lang w:val="cs-CZ"/>
        </w:rPr>
        <w:t>-Lisa, s. 25.</w:t>
      </w:r>
    </w:p>
  </w:footnote>
  <w:footnote w:id="417">
    <w:p w14:paraId="7EDB7C82"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Roční účetní závěrka agentury </w:t>
      </w:r>
      <w:proofErr w:type="spellStart"/>
      <w:r w:rsidRPr="00E51DFE">
        <w:rPr>
          <w:sz w:val="24"/>
          <w:lang w:val="cs-CZ"/>
        </w:rPr>
        <w:t>Frontex</w:t>
      </w:r>
      <w:proofErr w:type="spellEnd"/>
      <w:r w:rsidRPr="00E51DFE">
        <w:rPr>
          <w:sz w:val="24"/>
          <w:lang w:val="cs-CZ"/>
        </w:rPr>
        <w:t>, s. 37.</w:t>
      </w:r>
    </w:p>
  </w:footnote>
  <w:footnote w:id="418">
    <w:p w14:paraId="454470F3"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06" w:history="1">
        <w:r w:rsidRPr="00E51DFE">
          <w:rPr>
            <w:rStyle w:val="Hyperlink"/>
            <w:sz w:val="24"/>
            <w:lang w:val="cs-CZ"/>
          </w:rPr>
          <w:t>Plán opatření</w:t>
        </w:r>
      </w:hyperlink>
      <w:r w:rsidRPr="00E51DFE">
        <w:rPr>
          <w:sz w:val="24"/>
          <w:lang w:val="cs-CZ"/>
        </w:rPr>
        <w:t xml:space="preserve"> navazujících na společný přístup k decentralizovaným agenturám EU:</w:t>
      </w:r>
      <w:r w:rsidRPr="00872DB8">
        <w:rPr>
          <w:sz w:val="24"/>
          <w:lang w:val="cs-CZ"/>
        </w:rPr>
        <w:t xml:space="preserve"> </w:t>
      </w:r>
      <w:hyperlink r:id="rId407" w:history="1">
        <w:r w:rsidRPr="00872DB8">
          <w:rPr>
            <w:rStyle w:val="Hyperlink"/>
            <w:sz w:val="24"/>
            <w:lang w:val="cs-CZ"/>
          </w:rPr>
          <w:t xml:space="preserve">5- AB-12-13_Roadmap on </w:t>
        </w:r>
        <w:proofErr w:type="spellStart"/>
        <w:r w:rsidRPr="00872DB8">
          <w:rPr>
            <w:rStyle w:val="Hyperlink"/>
            <w:sz w:val="24"/>
            <w:lang w:val="cs-CZ"/>
          </w:rPr>
          <w:t>the</w:t>
        </w:r>
        <w:proofErr w:type="spellEnd"/>
        <w:r w:rsidRPr="00872DB8">
          <w:rPr>
            <w:rStyle w:val="Hyperlink"/>
            <w:sz w:val="24"/>
            <w:lang w:val="cs-CZ"/>
          </w:rPr>
          <w:t xml:space="preserve"> </w:t>
        </w:r>
        <w:proofErr w:type="spellStart"/>
        <w:r w:rsidRPr="00872DB8">
          <w:rPr>
            <w:rStyle w:val="Hyperlink"/>
            <w:sz w:val="24"/>
            <w:lang w:val="cs-CZ"/>
          </w:rPr>
          <w:t>follow</w:t>
        </w:r>
        <w:proofErr w:type="spellEnd"/>
        <w:r w:rsidRPr="00872DB8">
          <w:rPr>
            <w:rStyle w:val="Hyperlink"/>
            <w:sz w:val="24"/>
            <w:lang w:val="cs-CZ"/>
          </w:rPr>
          <w:t xml:space="preserve"> up to </w:t>
        </w:r>
        <w:proofErr w:type="spellStart"/>
        <w:r w:rsidRPr="00872DB8">
          <w:rPr>
            <w:rStyle w:val="Hyperlink"/>
            <w:sz w:val="24"/>
            <w:lang w:val="cs-CZ"/>
          </w:rPr>
          <w:t>the</w:t>
        </w:r>
        <w:proofErr w:type="spellEnd"/>
        <w:r w:rsidRPr="00872DB8">
          <w:rPr>
            <w:rStyle w:val="Hyperlink"/>
            <w:sz w:val="24"/>
            <w:lang w:val="cs-CZ"/>
          </w:rPr>
          <w:t xml:space="preserve"> </w:t>
        </w:r>
        <w:proofErr w:type="spellStart"/>
        <w:r w:rsidRPr="00872DB8">
          <w:rPr>
            <w:rStyle w:val="Hyperlink"/>
            <w:sz w:val="24"/>
            <w:lang w:val="cs-CZ"/>
          </w:rPr>
          <w:t>Common</w:t>
        </w:r>
        <w:proofErr w:type="spellEnd"/>
        <w:r w:rsidRPr="00872DB8">
          <w:rPr>
            <w:rStyle w:val="Hyperlink"/>
            <w:sz w:val="24"/>
            <w:lang w:val="cs-CZ"/>
          </w:rPr>
          <w:t xml:space="preserve"> </w:t>
        </w:r>
        <w:proofErr w:type="spellStart"/>
        <w:r w:rsidRPr="00872DB8">
          <w:rPr>
            <w:rStyle w:val="Hyperlink"/>
            <w:sz w:val="24"/>
            <w:lang w:val="cs-CZ"/>
          </w:rPr>
          <w:t>Approach</w:t>
        </w:r>
        <w:proofErr w:type="spellEnd"/>
        <w:r w:rsidRPr="00872DB8">
          <w:rPr>
            <w:rStyle w:val="Hyperlink"/>
            <w:sz w:val="24"/>
            <w:lang w:val="cs-CZ"/>
          </w:rPr>
          <w:t xml:space="preserve"> on EU </w:t>
        </w:r>
        <w:proofErr w:type="spellStart"/>
        <w:r w:rsidRPr="00872DB8">
          <w:rPr>
            <w:rStyle w:val="Hyperlink"/>
            <w:sz w:val="24"/>
            <w:lang w:val="cs-CZ"/>
          </w:rPr>
          <w:t>Decentralised</w:t>
        </w:r>
        <w:proofErr w:type="spellEnd"/>
        <w:r w:rsidRPr="00872DB8">
          <w:rPr>
            <w:rStyle w:val="Hyperlink"/>
            <w:sz w:val="24"/>
            <w:lang w:val="cs-CZ"/>
          </w:rPr>
          <w:t xml:space="preserve"> Agencies.pdf</w:t>
        </w:r>
      </w:hyperlink>
      <w:r w:rsidRPr="00872DB8">
        <w:rPr>
          <w:sz w:val="24"/>
          <w:lang w:val="cs-CZ"/>
        </w:rPr>
        <w:t>.</w:t>
      </w:r>
    </w:p>
  </w:footnote>
  <w:footnote w:id="419">
    <w:p w14:paraId="6DADFF81"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Evropská komise, dokument útvarů Komise, </w:t>
      </w:r>
      <w:hyperlink r:id="rId408" w:history="1">
        <w:r w:rsidRPr="00E51DFE">
          <w:rPr>
            <w:rStyle w:val="Hyperlink1"/>
            <w:sz w:val="24"/>
            <w:lang w:val="cs-CZ"/>
          </w:rPr>
          <w:t>Pokyny ohledně klíčových ukazatelů</w:t>
        </w:r>
      </w:hyperlink>
      <w:r w:rsidRPr="00E51DFE">
        <w:rPr>
          <w:sz w:val="24"/>
          <w:lang w:val="cs-CZ"/>
        </w:rPr>
        <w:t xml:space="preserve"> výkonnosti pro ředitele decentralizovaných agentur EU, 13.3.2015, s. 3: 3.-2015, p. 3: </w:t>
      </w:r>
      <w:hyperlink r:id="rId409" w:history="1">
        <w:r w:rsidRPr="00E51DFE">
          <w:rPr>
            <w:rStyle w:val="Hyperlink"/>
            <w:sz w:val="24"/>
            <w:lang w:val="cs-CZ"/>
          </w:rPr>
          <w:t>https://www.eumonitor.eu/9353000/1/j9vvik7m1c3gyxp/vjx64xley4zd</w:t>
        </w:r>
      </w:hyperlink>
      <w:r w:rsidRPr="00E51DFE">
        <w:rPr>
          <w:sz w:val="24"/>
          <w:lang w:val="cs-CZ"/>
        </w:rPr>
        <w:t>.</w:t>
      </w:r>
    </w:p>
  </w:footnote>
  <w:footnote w:id="420">
    <w:p w14:paraId="472FE0EA"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10" w:history="1">
        <w:r w:rsidRPr="00E51DFE">
          <w:rPr>
            <w:rStyle w:val="Hyperlink1"/>
            <w:sz w:val="24"/>
            <w:lang w:val="cs-CZ"/>
          </w:rPr>
          <w:t>Zvláštní zpráva Účetního dvora 22/2020: Budoucnost agentur EU – je zde potenciál pro větší flexibilitu a spolupráci</w:t>
        </w:r>
      </w:hyperlink>
      <w:r w:rsidRPr="00E51DFE">
        <w:rPr>
          <w:sz w:val="24"/>
          <w:lang w:val="cs-CZ"/>
        </w:rPr>
        <w:t xml:space="preserve">: </w:t>
      </w:r>
      <w:hyperlink r:id="rId411" w:history="1">
        <w:r w:rsidRPr="00E51DFE">
          <w:rPr>
            <w:rStyle w:val="Hyperlink"/>
            <w:sz w:val="24"/>
            <w:lang w:val="cs-CZ"/>
          </w:rPr>
          <w:t>eca.europa.eu/Lists/ECADocuments/SR20_22/SR_Future_of_EU_Agencies_EN.pdf</w:t>
        </w:r>
      </w:hyperlink>
      <w:r w:rsidRPr="00E51DFE">
        <w:rPr>
          <w:sz w:val="24"/>
          <w:lang w:val="cs-CZ"/>
        </w:rPr>
        <w:t>.</w:t>
      </w:r>
    </w:p>
  </w:footnote>
  <w:footnote w:id="421">
    <w:p w14:paraId="12D43DF6"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A2726">
        <w:rPr>
          <w:sz w:val="24"/>
          <w:lang w:val="cs-CZ"/>
        </w:rPr>
        <w:t xml:space="preserve"> </w:t>
      </w:r>
      <w:r w:rsidRPr="00E51DFE">
        <w:rPr>
          <w:sz w:val="24"/>
          <w:lang w:val="cs-CZ"/>
        </w:rPr>
        <w:tab/>
        <w:t>Nařízení Evropského parlamentu a Rady (EU) 2023/2842 ze dne 22. listopadu 2023, kterým se mění nařízení Rady (ES) č. 1224/2009, nařízení Rady (ES) č. 1967/2006 a (ES) č. 1005/2008 a nařízení Evropského parlamentu a Rady (EU) 2016/1139, (EU) 2017/2403 a (EU) 2019/473, pokud jde o kontrolu rybolovu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2023/2842, 20.12.2023, ELI: </w:t>
      </w:r>
      <w:hyperlink r:id="rId412" w:history="1">
        <w:r w:rsidRPr="00E51DFE">
          <w:rPr>
            <w:rStyle w:val="Hyperlink"/>
            <w:sz w:val="24"/>
            <w:lang w:val="cs-CZ"/>
          </w:rPr>
          <w:t>http://data.europa.eu/eli/reg/2023/2842/oj</w:t>
        </w:r>
      </w:hyperlink>
      <w:r w:rsidRPr="00E51DFE">
        <w:rPr>
          <w:sz w:val="24"/>
          <w:lang w:val="cs-CZ"/>
        </w:rPr>
        <w:t>).</w:t>
      </w:r>
    </w:p>
  </w:footnote>
  <w:footnote w:id="422">
    <w:p w14:paraId="7359CEB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Nařízení Evropského parlamentu a Rady (EU) 2023/2131 ze dne 4. října 2023, kterým se mění nařízení Evropského parlamentu a Rady (EU) 2018/1727 a rozhodnutí Rady 2005/671/SVV, pokud jde o elektronickou výměnu informací v případech terorismu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2023/2131, 11.10.2023, ELI: </w:t>
      </w:r>
      <w:hyperlink r:id="rId413" w:history="1">
        <w:r w:rsidRPr="00E51DFE">
          <w:rPr>
            <w:rStyle w:val="Hyperlink"/>
            <w:sz w:val="24"/>
            <w:szCs w:val="24"/>
            <w:lang w:val="cs-CZ"/>
          </w:rPr>
          <w:t>http://data.europa.eu/eli/reg/2023/2131/oj</w:t>
        </w:r>
      </w:hyperlink>
      <w:r w:rsidRPr="00E51DFE">
        <w:rPr>
          <w:sz w:val="24"/>
          <w:lang w:val="cs-CZ"/>
        </w:rPr>
        <w:t>).</w:t>
      </w:r>
    </w:p>
  </w:footnote>
  <w:footnote w:id="423">
    <w:p w14:paraId="575D610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Nařízení Evropského parlamentu a Rady (EU) 2023/969 ze dne 10. května 2023, kterým se zřizuje platforma pro spolupráci na podporu fungování společných vyšetřovacích týmů a mění nařízení (EU) 2018/1726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132, 17.5.2023, </w:t>
      </w:r>
      <w:r w:rsidRPr="00E51DFE">
        <w:rPr>
          <w:color w:val="333333"/>
          <w:sz w:val="24"/>
          <w:shd w:val="clear" w:color="auto" w:fill="FFFFFF"/>
          <w:lang w:val="cs-CZ"/>
        </w:rPr>
        <w:t xml:space="preserve">ELI: </w:t>
      </w:r>
      <w:hyperlink r:id="rId414" w:history="1">
        <w:r w:rsidRPr="00E51DFE">
          <w:rPr>
            <w:rStyle w:val="Hyperlink"/>
            <w:sz w:val="24"/>
            <w:szCs w:val="24"/>
            <w:lang w:val="cs-CZ"/>
          </w:rPr>
          <w:t>http://data.europa.eu/eli/reg/2023/969/oj</w:t>
        </w:r>
      </w:hyperlink>
      <w:r w:rsidRPr="00E51DFE">
        <w:rPr>
          <w:sz w:val="24"/>
          <w:lang w:val="cs-CZ"/>
        </w:rPr>
        <w:t>).</w:t>
      </w:r>
    </w:p>
  </w:footnote>
  <w:footnote w:id="424">
    <w:p w14:paraId="3461570A"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Nařízení Evropského parlamentu a Rady (EU) 2016/794 ze dne 11. května 2016 o Agentuře Evropské unie pro spolupráci v oblasti prosazování práva (Europol) a o zrušení a nahrazení rozhodnutí 2009/371/SVV, 2009/934/SVV, 2009/935/SVV, 2009/936/SVV a 2009/968/SVV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135, 24.5.2016, s. 53, </w:t>
      </w:r>
      <w:r w:rsidRPr="00E51DFE">
        <w:rPr>
          <w:color w:val="333333"/>
          <w:sz w:val="24"/>
          <w:shd w:val="clear" w:color="auto" w:fill="FFFFFF"/>
          <w:lang w:val="cs-CZ"/>
        </w:rPr>
        <w:t xml:space="preserve">ELI: </w:t>
      </w:r>
      <w:hyperlink r:id="rId415" w:tooltip="Umožňuje přístup k tomuto dokumentu prostřednictvím identifikátoru ELI URI." w:history="1">
        <w:r w:rsidRPr="00E51DFE">
          <w:rPr>
            <w:rStyle w:val="Hyperlink1"/>
            <w:color w:val="337AB7"/>
            <w:sz w:val="24"/>
            <w:shd w:val="clear" w:color="auto" w:fill="FFFFFF"/>
            <w:lang w:val="cs-CZ"/>
          </w:rPr>
          <w:t>http://data.europa.eu/eli/reg/2016/794/oj</w:t>
        </w:r>
      </w:hyperlink>
      <w:r w:rsidRPr="00E51DFE">
        <w:rPr>
          <w:sz w:val="24"/>
          <w:lang w:val="cs-CZ"/>
        </w:rPr>
        <w:t>).</w:t>
      </w:r>
    </w:p>
  </w:footnote>
  <w:footnote w:id="425">
    <w:p w14:paraId="1554E544" w14:textId="77777777" w:rsidR="00872DB8" w:rsidRPr="00872DB8" w:rsidRDefault="00872DB8" w:rsidP="00872DB8">
      <w:pPr>
        <w:pStyle w:val="FootnoteText"/>
        <w:ind w:left="567" w:hanging="567"/>
        <w:rPr>
          <w:rStyle w:val="FootnoteReference"/>
          <w:sz w:val="24"/>
          <w:lang w:val="cs-CZ"/>
        </w:rPr>
      </w:pPr>
      <w:r w:rsidRPr="00EA2726">
        <w:rPr>
          <w:rStyle w:val="FootnoteReference"/>
          <w:sz w:val="24"/>
        </w:rPr>
        <w:footnoteRef/>
      </w:r>
      <w:r w:rsidRPr="00E51DFE">
        <w:rPr>
          <w:sz w:val="24"/>
          <w:lang w:val="cs-CZ"/>
        </w:rPr>
        <w:tab/>
        <w:t>Zpráva EÚD, s. 37. Pouze připomínky, které se týkají agentur, jež jsou zahrnuty v tomto usnesení.</w:t>
      </w:r>
    </w:p>
  </w:footnote>
  <w:footnote w:id="426">
    <w:p w14:paraId="74EC11E1"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Připomínky z předchozích let s dopadem na platby v roce 2023: EASA 1,6 milionu EUR; EIGE 59 600 EUR; ELA 1,32 milionu EUR a východisko pro výrok s výhradou; ETF dvě připomínky ve výši 175 500 EUR a 300 600 EUR; </w:t>
      </w:r>
      <w:proofErr w:type="spellStart"/>
      <w:r w:rsidRPr="00E51DFE">
        <w:rPr>
          <w:sz w:val="24"/>
          <w:lang w:val="cs-CZ"/>
        </w:rPr>
        <w:t>Eurojust</w:t>
      </w:r>
      <w:proofErr w:type="spellEnd"/>
      <w:r w:rsidRPr="00E51DFE">
        <w:rPr>
          <w:sz w:val="24"/>
          <w:lang w:val="cs-CZ"/>
        </w:rPr>
        <w:t xml:space="preserve"> 59 300 EUR; EUAA 123 800 EUR; agentura </w:t>
      </w:r>
      <w:proofErr w:type="spellStart"/>
      <w:r w:rsidRPr="00E51DFE">
        <w:rPr>
          <w:sz w:val="24"/>
          <w:lang w:val="cs-CZ"/>
        </w:rPr>
        <w:t>eu</w:t>
      </w:r>
      <w:proofErr w:type="spellEnd"/>
      <w:r w:rsidRPr="00E51DFE">
        <w:rPr>
          <w:sz w:val="24"/>
          <w:lang w:val="cs-CZ"/>
        </w:rPr>
        <w:t>-</w:t>
      </w:r>
      <w:r w:rsidRPr="00E51DFE">
        <w:rPr>
          <w:sz w:val="24"/>
          <w:szCs w:val="24"/>
          <w:lang w:val="cs-CZ" w:eastAsia="en-GB"/>
        </w:rPr>
        <w:t>Lisa</w:t>
      </w:r>
      <w:r w:rsidRPr="00E51DFE">
        <w:rPr>
          <w:sz w:val="24"/>
          <w:lang w:val="cs-CZ"/>
        </w:rPr>
        <w:t xml:space="preserve"> 3 připomínky ve výši 7,7 milionu EUR, 1,8 milionu EUR, 0,4 milionu EUR a východisko pro výrok s výhradou; CEPOL 85 000 EUR; </w:t>
      </w:r>
      <w:proofErr w:type="spellStart"/>
      <w:r w:rsidRPr="00E51DFE">
        <w:rPr>
          <w:sz w:val="24"/>
          <w:lang w:val="cs-CZ"/>
        </w:rPr>
        <w:t>CdT</w:t>
      </w:r>
      <w:proofErr w:type="spellEnd"/>
      <w:r w:rsidRPr="00E51DFE">
        <w:rPr>
          <w:sz w:val="24"/>
          <w:lang w:val="cs-CZ"/>
        </w:rPr>
        <w:t xml:space="preserve"> dvě připomínky ve výši 17 300 EUR a 257 200 EUR.</w:t>
      </w:r>
    </w:p>
  </w:footnote>
  <w:footnote w:id="427">
    <w:p w14:paraId="1F76DD13"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64 % mužů a 36 % žen (67 % mužů a 33 % žen v roce 2022); 54 % mužů a 46 % žen (54 % mužů a 46 % žen v roce 2022).</w:t>
      </w:r>
    </w:p>
  </w:footnote>
  <w:footnote w:id="428">
    <w:p w14:paraId="2E0BF0F4"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58 % mužů a 42 % žen (60 % mužů a 40 % žen v roce 2022).</w:t>
      </w:r>
    </w:p>
  </w:footnote>
  <w:footnote w:id="429">
    <w:p w14:paraId="1B278C52"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54 % mužů a 46 % žen (54 % mužů a 46 % žen v roce 2022).</w:t>
      </w:r>
    </w:p>
  </w:footnote>
  <w:footnote w:id="430">
    <w:p w14:paraId="573EEACC"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16" w:history="1">
        <w:r w:rsidRPr="00E51DFE">
          <w:rPr>
            <w:rStyle w:val="Hyperlink1"/>
            <w:sz w:val="24"/>
            <w:lang w:val="cs-CZ"/>
          </w:rPr>
          <w:t>Evropská tematická střediska</w:t>
        </w:r>
      </w:hyperlink>
      <w:r w:rsidRPr="00E51DFE">
        <w:rPr>
          <w:sz w:val="24"/>
          <w:lang w:val="cs-CZ"/>
        </w:rPr>
        <w:t xml:space="preserve"> (ETC) jsou konsorcia organizací v členských zemích EEA s odbornými znalostmi v konkrétních oblastech životního prostředí, s nimiž EEA uzavřela smlouvu na podporu provádění pracovních programů EEA: </w:t>
      </w:r>
      <w:hyperlink r:id="rId417" w:history="1">
        <w:r w:rsidRPr="00E51DFE">
          <w:rPr>
            <w:rStyle w:val="Hyperlink"/>
            <w:sz w:val="24"/>
            <w:lang w:val="cs-CZ"/>
          </w:rPr>
          <w:t>https://www.eionet.europa.eu/etcs</w:t>
        </w:r>
      </w:hyperlink>
      <w:r w:rsidRPr="00E51DFE">
        <w:rPr>
          <w:sz w:val="24"/>
          <w:lang w:val="cs-CZ"/>
        </w:rPr>
        <w:t>.</w:t>
      </w:r>
    </w:p>
  </w:footnote>
  <w:footnote w:id="431">
    <w:p w14:paraId="23C2791D"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Příklad: Evropský orgán pro bankovnictví (EBA) – EÚD, s. 97. Evropská agentura pro námořní bezpečnost (EMSA) – EÚD, s. 122. Evropské monitorovací centrum pro drogy a drogovou závislost (EMCDDA) – EÚD, s. 287.</w:t>
      </w:r>
    </w:p>
  </w:footnote>
  <w:footnote w:id="432">
    <w:p w14:paraId="76AD21AD"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r>
      <w:hyperlink r:id="rId418" w:history="1">
        <w:r w:rsidRPr="00E51DFE">
          <w:rPr>
            <w:rStyle w:val="Hyperlink1"/>
            <w:sz w:val="24"/>
            <w:lang w:val="cs-CZ"/>
          </w:rPr>
          <w:t>Interinstitucionální dohoda ze dne 20. května 2021</w:t>
        </w:r>
      </w:hyperlink>
      <w:r w:rsidRPr="00E51DFE">
        <w:rPr>
          <w:sz w:val="24"/>
          <w:lang w:val="cs-CZ"/>
        </w:rPr>
        <w:t xml:space="preserve"> mezi Evropským parlamentem, Radou Evropské unie a Evropskou komisí o povinném rejstříku transparentnosti: </w:t>
      </w:r>
      <w:hyperlink r:id="rId419" w:history="1">
        <w:r w:rsidRPr="00E51DFE">
          <w:rPr>
            <w:rStyle w:val="Hyperlink"/>
            <w:sz w:val="24"/>
            <w:lang w:val="cs-CZ"/>
          </w:rPr>
          <w:t>http://data.europa.eu/eli/agree_interinstit/2021/611/oj</w:t>
        </w:r>
      </w:hyperlink>
      <w:r w:rsidRPr="00E51DFE">
        <w:rPr>
          <w:sz w:val="24"/>
          <w:lang w:val="cs-CZ"/>
        </w:rPr>
        <w:t>.</w:t>
      </w:r>
    </w:p>
  </w:footnote>
  <w:footnote w:id="433">
    <w:p w14:paraId="6AF1E960" w14:textId="77777777" w:rsidR="00872DB8" w:rsidRPr="00EA2726" w:rsidRDefault="00872DB8" w:rsidP="00872DB8">
      <w:pPr>
        <w:ind w:left="567" w:hanging="567"/>
      </w:pPr>
      <w:r w:rsidRPr="00EA2726">
        <w:rPr>
          <w:rStyle w:val="FootnoteReference"/>
        </w:rPr>
        <w:footnoteRef/>
      </w:r>
      <w:r w:rsidRPr="00E51DFE">
        <w:tab/>
        <w:t xml:space="preserve">Síť agentur působících v oblasti spravedlnosti a vnitřních věcí (SVV) – síť zahrnuje devět agentur: CEPOL, EASO, EIGE, EMCDDA, </w:t>
      </w:r>
      <w:proofErr w:type="spellStart"/>
      <w:r w:rsidRPr="00E51DFE">
        <w:t>eu</w:t>
      </w:r>
      <w:proofErr w:type="spellEnd"/>
      <w:r w:rsidRPr="00E51DFE">
        <w:t xml:space="preserve">-Lisa, </w:t>
      </w:r>
      <w:proofErr w:type="spellStart"/>
      <w:r w:rsidRPr="00E51DFE">
        <w:t>Eurojust</w:t>
      </w:r>
      <w:proofErr w:type="spellEnd"/>
      <w:r w:rsidRPr="00E51DFE">
        <w:t>, Europol, FRA a </w:t>
      </w:r>
      <w:proofErr w:type="spellStart"/>
      <w:r w:rsidRPr="00E51DFE">
        <w:t>Frontex</w:t>
      </w:r>
      <w:proofErr w:type="spellEnd"/>
      <w:r w:rsidRPr="00E51DFE">
        <w:t>.</w:t>
      </w:r>
    </w:p>
  </w:footnote>
  <w:footnote w:id="434">
    <w:p w14:paraId="5D92E7B5" w14:textId="77777777" w:rsidR="00872DB8" w:rsidRPr="00872DB8" w:rsidRDefault="00872DB8" w:rsidP="00872DB8">
      <w:pPr>
        <w:pStyle w:val="FootnoteText"/>
        <w:ind w:left="567" w:hanging="567"/>
        <w:rPr>
          <w:sz w:val="24"/>
          <w:lang w:val="fi-FI"/>
        </w:rPr>
      </w:pPr>
      <w:r w:rsidRPr="00EA2726">
        <w:rPr>
          <w:rStyle w:val="FootnoteReference"/>
          <w:sz w:val="24"/>
        </w:rPr>
        <w:footnoteRef/>
      </w:r>
      <w:r w:rsidRPr="00EA2726">
        <w:rPr>
          <w:sz w:val="24"/>
          <w:lang w:val="cs-CZ"/>
        </w:rPr>
        <w:t xml:space="preserve"> </w:t>
      </w:r>
      <w:r w:rsidRPr="00E51DFE">
        <w:rPr>
          <w:sz w:val="24"/>
          <w:lang w:val="cs-CZ"/>
        </w:rPr>
        <w:tab/>
        <w:t>Směrnice Evropského parlamentu a Rady (EU) 2019/1937 ze dne 23. října 2019 o ochraně osob, které oznamují porušení práva Unie (</w:t>
      </w:r>
      <w:proofErr w:type="spellStart"/>
      <w:r w:rsidRPr="00E51DFE">
        <w:rPr>
          <w:sz w:val="24"/>
          <w:lang w:val="cs-CZ"/>
        </w:rPr>
        <w:t>Úř</w:t>
      </w:r>
      <w:proofErr w:type="spellEnd"/>
      <w:r w:rsidRPr="00E51DFE">
        <w:rPr>
          <w:sz w:val="24"/>
          <w:lang w:val="cs-CZ"/>
        </w:rPr>
        <w:t xml:space="preserve">. </w:t>
      </w:r>
      <w:proofErr w:type="spellStart"/>
      <w:r w:rsidRPr="00E51DFE">
        <w:rPr>
          <w:sz w:val="24"/>
          <w:lang w:val="cs-CZ"/>
        </w:rPr>
        <w:t>věst</w:t>
      </w:r>
      <w:proofErr w:type="spellEnd"/>
      <w:r w:rsidRPr="00E51DFE">
        <w:rPr>
          <w:sz w:val="24"/>
          <w:lang w:val="cs-CZ"/>
        </w:rPr>
        <w:t xml:space="preserve">. L 305, 26.11.2019, s. 17, </w:t>
      </w:r>
      <w:r w:rsidRPr="00872DB8">
        <w:rPr>
          <w:sz w:val="24"/>
          <w:lang w:val="fi-FI"/>
        </w:rPr>
        <w:t xml:space="preserve">ELI: </w:t>
      </w:r>
      <w:hyperlink r:id="rId420" w:history="1">
        <w:r w:rsidRPr="00872DB8">
          <w:rPr>
            <w:rStyle w:val="Hyperlink"/>
            <w:sz w:val="24"/>
            <w:lang w:val="fi-FI"/>
          </w:rPr>
          <w:t>http://data.europa.eu/eli/dir/2019/1937/oj</w:t>
        </w:r>
      </w:hyperlink>
      <w:r w:rsidRPr="00872DB8">
        <w:rPr>
          <w:sz w:val="24"/>
          <w:lang w:val="fi-FI"/>
        </w:rPr>
        <w:t>).</w:t>
      </w:r>
    </w:p>
  </w:footnote>
  <w:footnote w:id="435">
    <w:p w14:paraId="67CFF0E1"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EBA, ECDC, ECHA, EEA, EFSA, EOIPA, EMSA, Europol, </w:t>
      </w:r>
      <w:proofErr w:type="spellStart"/>
      <w:r w:rsidRPr="00E51DFE">
        <w:rPr>
          <w:sz w:val="24"/>
          <w:lang w:val="cs-CZ"/>
        </w:rPr>
        <w:t>Eurofound</w:t>
      </w:r>
      <w:proofErr w:type="spellEnd"/>
      <w:r w:rsidRPr="00E51DFE">
        <w:rPr>
          <w:sz w:val="24"/>
          <w:lang w:val="cs-CZ"/>
        </w:rPr>
        <w:t>, ETF a ESMA.</w:t>
      </w:r>
    </w:p>
  </w:footnote>
  <w:footnote w:id="436">
    <w:p w14:paraId="2F58D7AF"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BEREC, </w:t>
      </w:r>
      <w:proofErr w:type="spellStart"/>
      <w:r w:rsidRPr="00E51DFE">
        <w:rPr>
          <w:sz w:val="24"/>
          <w:lang w:val="cs-CZ"/>
        </w:rPr>
        <w:t>Cedefop</w:t>
      </w:r>
      <w:proofErr w:type="spellEnd"/>
      <w:r w:rsidRPr="00E51DFE">
        <w:rPr>
          <w:sz w:val="24"/>
          <w:lang w:val="cs-CZ"/>
        </w:rPr>
        <w:t xml:space="preserve">, </w:t>
      </w:r>
      <w:proofErr w:type="spellStart"/>
      <w:r w:rsidRPr="00E51DFE">
        <w:rPr>
          <w:sz w:val="24"/>
          <w:lang w:val="cs-CZ"/>
        </w:rPr>
        <w:t>eu</w:t>
      </w:r>
      <w:proofErr w:type="spellEnd"/>
      <w:r w:rsidRPr="00E51DFE">
        <w:rPr>
          <w:sz w:val="24"/>
          <w:lang w:val="cs-CZ"/>
        </w:rPr>
        <w:t>-Lisa, EUSPA a EMA.</w:t>
      </w:r>
    </w:p>
  </w:footnote>
  <w:footnote w:id="437">
    <w:p w14:paraId="7E571648" w14:textId="77777777" w:rsidR="00872DB8" w:rsidRPr="00EA2726" w:rsidRDefault="00872DB8" w:rsidP="00872DB8">
      <w:pPr>
        <w:pStyle w:val="FootnoteText"/>
        <w:ind w:left="567" w:hanging="567"/>
        <w:rPr>
          <w:sz w:val="24"/>
          <w:lang w:val="cs-CZ"/>
        </w:rPr>
      </w:pPr>
      <w:r w:rsidRPr="00EA2726">
        <w:rPr>
          <w:rStyle w:val="FootnoteReference"/>
          <w:sz w:val="24"/>
        </w:rPr>
        <w:footnoteRef/>
      </w:r>
      <w:r w:rsidRPr="00E51DFE">
        <w:rPr>
          <w:sz w:val="24"/>
          <w:lang w:val="cs-CZ"/>
        </w:rPr>
        <w:tab/>
        <w:t xml:space="preserve">EIT, </w:t>
      </w:r>
      <w:proofErr w:type="spellStart"/>
      <w:r w:rsidRPr="00E51DFE">
        <w:rPr>
          <w:sz w:val="24"/>
          <w:lang w:val="cs-CZ"/>
        </w:rPr>
        <w:t>Frontex</w:t>
      </w:r>
      <w:proofErr w:type="spellEnd"/>
      <w:r w:rsidRPr="00E51DFE">
        <w:rPr>
          <w:sz w:val="24"/>
          <w:lang w:val="cs-CZ"/>
        </w:rPr>
        <w:t>, EUAA a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79625" w14:textId="77777777" w:rsidR="00591301" w:rsidRPr="00F725B3" w:rsidRDefault="005913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D4EF3" w14:textId="77777777" w:rsidR="00591301" w:rsidRPr="00F725B3" w:rsidRDefault="005913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F4E02" w14:textId="77777777" w:rsidR="00591301" w:rsidRPr="00F725B3" w:rsidRDefault="005913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386367530">
    <w:abstractNumId w:val="9"/>
  </w:num>
  <w:num w:numId="2" w16cid:durableId="1582563430">
    <w:abstractNumId w:val="9"/>
  </w:num>
  <w:num w:numId="3" w16cid:durableId="1827357668">
    <w:abstractNumId w:val="7"/>
  </w:num>
  <w:num w:numId="4" w16cid:durableId="1811704049">
    <w:abstractNumId w:val="7"/>
  </w:num>
  <w:num w:numId="5" w16cid:durableId="838498299">
    <w:abstractNumId w:val="6"/>
  </w:num>
  <w:num w:numId="6" w16cid:durableId="102385653">
    <w:abstractNumId w:val="6"/>
  </w:num>
  <w:num w:numId="7" w16cid:durableId="403530489">
    <w:abstractNumId w:val="5"/>
  </w:num>
  <w:num w:numId="8" w16cid:durableId="1996839026">
    <w:abstractNumId w:val="5"/>
  </w:num>
  <w:num w:numId="9" w16cid:durableId="1594246779">
    <w:abstractNumId w:val="4"/>
  </w:num>
  <w:num w:numId="10" w16cid:durableId="1873490176">
    <w:abstractNumId w:val="4"/>
  </w:num>
  <w:num w:numId="11" w16cid:durableId="922419427">
    <w:abstractNumId w:val="8"/>
  </w:num>
  <w:num w:numId="12" w16cid:durableId="514005208">
    <w:abstractNumId w:val="8"/>
  </w:num>
  <w:num w:numId="13" w16cid:durableId="622270163">
    <w:abstractNumId w:val="3"/>
  </w:num>
  <w:num w:numId="14" w16cid:durableId="1582526121">
    <w:abstractNumId w:val="3"/>
  </w:num>
  <w:num w:numId="15" w16cid:durableId="734354258">
    <w:abstractNumId w:val="2"/>
  </w:num>
  <w:num w:numId="16" w16cid:durableId="409087740">
    <w:abstractNumId w:val="2"/>
  </w:num>
  <w:num w:numId="17" w16cid:durableId="2138572246">
    <w:abstractNumId w:val="1"/>
  </w:num>
  <w:num w:numId="18" w16cid:durableId="800877448">
    <w:abstractNumId w:val="1"/>
  </w:num>
  <w:num w:numId="19" w16cid:durableId="2017490627">
    <w:abstractNumId w:val="0"/>
  </w:num>
  <w:num w:numId="20" w16cid:durableId="1499732819">
    <w:abstractNumId w:val="0"/>
  </w:num>
  <w:num w:numId="21" w16cid:durableId="1547642292">
    <w:abstractNumId w:val="9"/>
  </w:num>
  <w:num w:numId="22" w16cid:durableId="1978098">
    <w:abstractNumId w:val="7"/>
  </w:num>
  <w:num w:numId="23" w16cid:durableId="1357659475">
    <w:abstractNumId w:val="6"/>
  </w:num>
  <w:num w:numId="24" w16cid:durableId="1721856880">
    <w:abstractNumId w:val="5"/>
  </w:num>
  <w:num w:numId="25" w16cid:durableId="1303920697">
    <w:abstractNumId w:val="4"/>
  </w:num>
  <w:num w:numId="26" w16cid:durableId="464859149">
    <w:abstractNumId w:val="8"/>
  </w:num>
  <w:num w:numId="27" w16cid:durableId="312179013">
    <w:abstractNumId w:val="3"/>
  </w:num>
  <w:num w:numId="28" w16cid:durableId="969475047">
    <w:abstractNumId w:val="2"/>
  </w:num>
  <w:num w:numId="29" w16cid:durableId="1677808273">
    <w:abstractNumId w:val="1"/>
  </w:num>
  <w:num w:numId="30" w16cid:durableId="1589607786">
    <w:abstractNumId w:val="0"/>
  </w:num>
  <w:num w:numId="31" w16cid:durableId="2064593109">
    <w:abstractNumId w:val="9"/>
  </w:num>
  <w:num w:numId="32" w16cid:durableId="181866892">
    <w:abstractNumId w:val="7"/>
  </w:num>
  <w:num w:numId="33" w16cid:durableId="672877219">
    <w:abstractNumId w:val="6"/>
  </w:num>
  <w:num w:numId="34" w16cid:durableId="1589775799">
    <w:abstractNumId w:val="5"/>
  </w:num>
  <w:num w:numId="35" w16cid:durableId="2130125607">
    <w:abstractNumId w:val="4"/>
  </w:num>
  <w:num w:numId="36" w16cid:durableId="818114988">
    <w:abstractNumId w:val="8"/>
  </w:num>
  <w:num w:numId="37" w16cid:durableId="261570941">
    <w:abstractNumId w:val="3"/>
  </w:num>
  <w:num w:numId="38" w16cid:durableId="170992646">
    <w:abstractNumId w:val="2"/>
  </w:num>
  <w:num w:numId="39" w16cid:durableId="359160112">
    <w:abstractNumId w:val="1"/>
  </w:num>
  <w:num w:numId="40" w16cid:durableId="2139295163">
    <w:abstractNumId w:val="0"/>
  </w:num>
  <w:num w:numId="41" w16cid:durableId="1793357556">
    <w:abstractNumId w:val="10"/>
  </w:num>
  <w:num w:numId="42" w16cid:durableId="426509744">
    <w:abstractNumId w:val="10"/>
  </w:num>
  <w:num w:numId="43" w16cid:durableId="639502623">
    <w:abstractNumId w:val="10"/>
  </w:num>
  <w:num w:numId="44" w16cid:durableId="1001588744">
    <w:abstractNumId w:val="12"/>
  </w:num>
  <w:num w:numId="45" w16cid:durableId="1976836803">
    <w:abstractNumId w:val="13"/>
  </w:num>
  <w:num w:numId="46" w16cid:durableId="19308440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CS"/>
    <w:docVar w:name="dvnumam" w:val="0"/>
    <w:docVar w:name="dvpe" w:val="765.000"/>
    <w:docVar w:name="dvrapporteur" w:val="Zpravodaj: "/>
    <w:docVar w:name="dvtitre" w:val="1. Rozhodnutí Evropského parlamentu ze dne.... 2025 o udělení absolutoria za plnění rozpočtu agentur Evropské unie na rozpočtový rok 2023(2024/2030(DEC))"/>
  </w:docVars>
  <w:rsids>
    <w:rsidRoot w:val="00D7733D"/>
    <w:rsid w:val="00002272"/>
    <w:rsid w:val="000262AD"/>
    <w:rsid w:val="00064002"/>
    <w:rsid w:val="000677B9"/>
    <w:rsid w:val="000831BA"/>
    <w:rsid w:val="000A42CC"/>
    <w:rsid w:val="000E7DD9"/>
    <w:rsid w:val="0010095E"/>
    <w:rsid w:val="00125B37"/>
    <w:rsid w:val="00162329"/>
    <w:rsid w:val="00187494"/>
    <w:rsid w:val="001F32AE"/>
    <w:rsid w:val="002767FF"/>
    <w:rsid w:val="002B18FE"/>
    <w:rsid w:val="002B5493"/>
    <w:rsid w:val="002D2D79"/>
    <w:rsid w:val="00343214"/>
    <w:rsid w:val="00361C00"/>
    <w:rsid w:val="003715E3"/>
    <w:rsid w:val="003812F6"/>
    <w:rsid w:val="003917C0"/>
    <w:rsid w:val="00395FA1"/>
    <w:rsid w:val="00397855"/>
    <w:rsid w:val="003E15D4"/>
    <w:rsid w:val="004105F7"/>
    <w:rsid w:val="00411CCE"/>
    <w:rsid w:val="0041666E"/>
    <w:rsid w:val="00421060"/>
    <w:rsid w:val="00442164"/>
    <w:rsid w:val="00471C19"/>
    <w:rsid w:val="004867E3"/>
    <w:rsid w:val="00494A28"/>
    <w:rsid w:val="004C0004"/>
    <w:rsid w:val="004C5D52"/>
    <w:rsid w:val="0050519A"/>
    <w:rsid w:val="005072A1"/>
    <w:rsid w:val="00514517"/>
    <w:rsid w:val="00545827"/>
    <w:rsid w:val="00560270"/>
    <w:rsid w:val="00591301"/>
    <w:rsid w:val="005C2568"/>
    <w:rsid w:val="005F1B17"/>
    <w:rsid w:val="006037C0"/>
    <w:rsid w:val="006631B6"/>
    <w:rsid w:val="00680577"/>
    <w:rsid w:val="006F74FA"/>
    <w:rsid w:val="00731ADD"/>
    <w:rsid w:val="00734777"/>
    <w:rsid w:val="00747932"/>
    <w:rsid w:val="00751A4A"/>
    <w:rsid w:val="00756632"/>
    <w:rsid w:val="00762C74"/>
    <w:rsid w:val="00771E45"/>
    <w:rsid w:val="00786EC0"/>
    <w:rsid w:val="007D1690"/>
    <w:rsid w:val="007E22AD"/>
    <w:rsid w:val="00817416"/>
    <w:rsid w:val="00842779"/>
    <w:rsid w:val="00865F67"/>
    <w:rsid w:val="00872DB8"/>
    <w:rsid w:val="00881A7B"/>
    <w:rsid w:val="008840E5"/>
    <w:rsid w:val="00887B3E"/>
    <w:rsid w:val="008C2AC6"/>
    <w:rsid w:val="00930C23"/>
    <w:rsid w:val="0093193B"/>
    <w:rsid w:val="009509D8"/>
    <w:rsid w:val="00950B64"/>
    <w:rsid w:val="0097166C"/>
    <w:rsid w:val="00981893"/>
    <w:rsid w:val="00A1687D"/>
    <w:rsid w:val="00A43E52"/>
    <w:rsid w:val="00A4678D"/>
    <w:rsid w:val="00A778C7"/>
    <w:rsid w:val="00AA394B"/>
    <w:rsid w:val="00AB441E"/>
    <w:rsid w:val="00AB4689"/>
    <w:rsid w:val="00AB49C4"/>
    <w:rsid w:val="00AB6293"/>
    <w:rsid w:val="00AD3A94"/>
    <w:rsid w:val="00AE0928"/>
    <w:rsid w:val="00AF3B82"/>
    <w:rsid w:val="00B12E95"/>
    <w:rsid w:val="00B22876"/>
    <w:rsid w:val="00B558F0"/>
    <w:rsid w:val="00B97EF0"/>
    <w:rsid w:val="00BC7F85"/>
    <w:rsid w:val="00BD48FE"/>
    <w:rsid w:val="00BD7BD8"/>
    <w:rsid w:val="00BE6ADC"/>
    <w:rsid w:val="00C04381"/>
    <w:rsid w:val="00C05BFE"/>
    <w:rsid w:val="00C23CD4"/>
    <w:rsid w:val="00C61C0C"/>
    <w:rsid w:val="00C941CB"/>
    <w:rsid w:val="00CC2357"/>
    <w:rsid w:val="00CF071A"/>
    <w:rsid w:val="00D058B8"/>
    <w:rsid w:val="00D56C11"/>
    <w:rsid w:val="00D7733D"/>
    <w:rsid w:val="00D834A0"/>
    <w:rsid w:val="00D872DF"/>
    <w:rsid w:val="00D91E21"/>
    <w:rsid w:val="00DA7FCD"/>
    <w:rsid w:val="00DC2F42"/>
    <w:rsid w:val="00E365E1"/>
    <w:rsid w:val="00E820A4"/>
    <w:rsid w:val="00E923AA"/>
    <w:rsid w:val="00EB006A"/>
    <w:rsid w:val="00EB4772"/>
    <w:rsid w:val="00ED169E"/>
    <w:rsid w:val="00ED4235"/>
    <w:rsid w:val="00F04346"/>
    <w:rsid w:val="00F075DC"/>
    <w:rsid w:val="00F149E9"/>
    <w:rsid w:val="00F5134D"/>
    <w:rsid w:val="00F64AFA"/>
    <w:rsid w:val="00F725B3"/>
    <w:rsid w:val="00F74202"/>
    <w:rsid w:val="00F87713"/>
    <w:rsid w:val="00FB3D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0EDFB"/>
  <w15:chartTrackingRefBased/>
  <w15:docId w15:val="{95CEE9AC-7115-4BDD-B3C5-2975167C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7166C"/>
    <w:rPr>
      <w:b/>
      <w:kern w:val="28"/>
      <w:sz w:val="28"/>
      <w:lang w:val="fr-FR" w:eastAsia="fr-FR"/>
    </w:rPr>
  </w:style>
  <w:style w:type="character" w:customStyle="1" w:styleId="Heading2Char">
    <w:name w:val="Heading 2 Char"/>
    <w:basedOn w:val="DefaultParagraphFont"/>
    <w:link w:val="Heading2"/>
    <w:uiPriority w:val="9"/>
    <w:semiHidden/>
    <w:rsid w:val="0097166C"/>
    <w:rPr>
      <w:sz w:val="24"/>
      <w:lang w:val="fr-FR" w:eastAsia="fr-FR"/>
    </w:rPr>
  </w:style>
  <w:style w:type="character" w:customStyle="1" w:styleId="Heading3Char">
    <w:name w:val="Heading 3 Char"/>
    <w:basedOn w:val="DefaultParagraphFont"/>
    <w:link w:val="Heading3"/>
    <w:uiPriority w:val="9"/>
    <w:semiHidden/>
    <w:rsid w:val="0097166C"/>
    <w:rPr>
      <w:rFonts w:ascii="Arial" w:hAnsi="Arial"/>
      <w:sz w:val="24"/>
      <w:lang w:val="fr-FR" w:eastAsia="fr-FR"/>
    </w:rPr>
  </w:style>
  <w:style w:type="character" w:customStyle="1" w:styleId="Heading4Char">
    <w:name w:val="Heading 4 Char"/>
    <w:basedOn w:val="DefaultParagraphFont"/>
    <w:link w:val="Heading4"/>
    <w:uiPriority w:val="9"/>
    <w:semiHidden/>
    <w:rsid w:val="0097166C"/>
    <w:rPr>
      <w:sz w:val="24"/>
      <w:lang w:val="en-US" w:eastAsia="fr-FR"/>
    </w:rPr>
  </w:style>
  <w:style w:type="character" w:customStyle="1" w:styleId="Heading5Char">
    <w:name w:val="Heading 5 Char"/>
    <w:basedOn w:val="DefaultParagraphFont"/>
    <w:link w:val="Heading5"/>
    <w:uiPriority w:val="9"/>
    <w:semiHidden/>
    <w:rsid w:val="0097166C"/>
    <w:rPr>
      <w:sz w:val="24"/>
      <w:lang w:val="en-US" w:eastAsia="fr-FR"/>
    </w:rPr>
  </w:style>
  <w:style w:type="character" w:customStyle="1" w:styleId="Heading6Char">
    <w:name w:val="Heading 6 Char"/>
    <w:basedOn w:val="DefaultParagraphFont"/>
    <w:link w:val="Heading6"/>
    <w:uiPriority w:val="9"/>
    <w:semiHidden/>
    <w:rsid w:val="0097166C"/>
    <w:rPr>
      <w:i/>
      <w:sz w:val="22"/>
      <w:lang w:val="cs-CZ"/>
    </w:rPr>
  </w:style>
  <w:style w:type="character" w:customStyle="1" w:styleId="Heading7Char">
    <w:name w:val="Heading 7 Char"/>
    <w:basedOn w:val="DefaultParagraphFont"/>
    <w:link w:val="Heading7"/>
    <w:uiPriority w:val="9"/>
    <w:semiHidden/>
    <w:rsid w:val="0097166C"/>
    <w:rPr>
      <w:rFonts w:ascii="Arial" w:hAnsi="Arial"/>
      <w:sz w:val="24"/>
      <w:lang w:val="cs-CZ"/>
    </w:rPr>
  </w:style>
  <w:style w:type="character" w:customStyle="1" w:styleId="Heading8Char">
    <w:name w:val="Heading 8 Char"/>
    <w:basedOn w:val="DefaultParagraphFont"/>
    <w:link w:val="Heading8"/>
    <w:uiPriority w:val="9"/>
    <w:semiHidden/>
    <w:rsid w:val="0097166C"/>
    <w:rPr>
      <w:rFonts w:ascii="Arial" w:hAnsi="Arial"/>
      <w:i/>
      <w:sz w:val="24"/>
      <w:lang w:val="cs-CZ"/>
    </w:rPr>
  </w:style>
  <w:style w:type="character" w:customStyle="1" w:styleId="Heading9Char">
    <w:name w:val="Heading 9 Char"/>
    <w:basedOn w:val="DefaultParagraphFont"/>
    <w:link w:val="Heading9"/>
    <w:uiPriority w:val="9"/>
    <w:semiHidden/>
    <w:rsid w:val="0097166C"/>
    <w:rPr>
      <w:rFonts w:ascii="Arial" w:hAnsi="Arial"/>
      <w:b/>
      <w:i/>
      <w:sz w:val="18"/>
      <w:lang w:val="cs-CZ"/>
    </w:rPr>
  </w:style>
  <w:style w:type="paragraph" w:styleId="TOCHeading">
    <w:name w:val="TOC Heading"/>
    <w:basedOn w:val="Normal"/>
    <w:next w:val="Normal"/>
    <w:uiPriority w:val="39"/>
    <w:unhideWhenUsed/>
    <w:qFormat/>
    <w:rsid w:val="0097166C"/>
    <w:pPr>
      <w:widowControl/>
      <w:spacing w:after="240"/>
    </w:pPr>
    <w:rPr>
      <w:lang w:val="en-GB"/>
    </w:rPr>
  </w:style>
  <w:style w:type="paragraph" w:customStyle="1" w:styleId="EPFooter2">
    <w:name w:val="EPFooter2"/>
    <w:basedOn w:val="Normal"/>
    <w:next w:val="Normal"/>
    <w:rsid w:val="009716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166C"/>
    <w:pPr>
      <w:spacing w:before="480" w:after="240"/>
    </w:pPr>
  </w:style>
  <w:style w:type="paragraph" w:customStyle="1" w:styleId="TOCPage">
    <w:name w:val="TOC Page"/>
    <w:basedOn w:val="Normal"/>
    <w:next w:val="TOC1"/>
    <w:rsid w:val="0097166C"/>
    <w:pPr>
      <w:keepNext/>
      <w:spacing w:after="240"/>
      <w:jc w:val="right"/>
    </w:pPr>
    <w:rPr>
      <w:rFonts w:ascii="Arial" w:hAnsi="Arial"/>
      <w:b/>
    </w:rPr>
  </w:style>
  <w:style w:type="paragraph" w:customStyle="1" w:styleId="PageHeading">
    <w:name w:val="PageHeading"/>
    <w:basedOn w:val="Normal"/>
    <w:link w:val="PageHeadingChar"/>
    <w:rsid w:val="0097166C"/>
    <w:pPr>
      <w:keepNext/>
      <w:spacing w:after="480"/>
      <w:jc w:val="center"/>
    </w:pPr>
    <w:rPr>
      <w:rFonts w:ascii="Arial" w:hAnsi="Arial" w:cs="Arial"/>
      <w:b/>
    </w:rPr>
  </w:style>
  <w:style w:type="paragraph" w:customStyle="1" w:styleId="NormalBold">
    <w:name w:val="NormalBold"/>
    <w:basedOn w:val="Normal"/>
    <w:rsid w:val="0097166C"/>
    <w:rPr>
      <w:b/>
    </w:rPr>
  </w:style>
  <w:style w:type="paragraph" w:customStyle="1" w:styleId="NormalHanging12a">
    <w:name w:val="NormalHanging12a"/>
    <w:basedOn w:val="Normal"/>
    <w:link w:val="NormalHanging12aChar"/>
    <w:rsid w:val="0097166C"/>
    <w:pPr>
      <w:spacing w:after="240"/>
      <w:ind w:left="567" w:hanging="567"/>
    </w:pPr>
  </w:style>
  <w:style w:type="paragraph" w:customStyle="1" w:styleId="CoverNormal24a">
    <w:name w:val="CoverNormal24a"/>
    <w:basedOn w:val="Normal"/>
    <w:rsid w:val="0097166C"/>
    <w:pPr>
      <w:spacing w:after="480"/>
      <w:ind w:left="1417"/>
    </w:pPr>
  </w:style>
  <w:style w:type="paragraph" w:customStyle="1" w:styleId="CoverNormal">
    <w:name w:val="CoverNormal"/>
    <w:basedOn w:val="Normal"/>
    <w:rsid w:val="0097166C"/>
    <w:pPr>
      <w:ind w:left="1418"/>
    </w:pPr>
  </w:style>
  <w:style w:type="paragraph" w:customStyle="1" w:styleId="NormalCenter12a">
    <w:name w:val="NormalCenter12a"/>
    <w:basedOn w:val="Normal"/>
    <w:rsid w:val="0097166C"/>
    <w:pPr>
      <w:spacing w:after="240"/>
      <w:jc w:val="center"/>
    </w:pPr>
  </w:style>
  <w:style w:type="paragraph" w:customStyle="1" w:styleId="CoverReference">
    <w:name w:val="CoverReference"/>
    <w:basedOn w:val="Normal"/>
    <w:rsid w:val="0097166C"/>
    <w:pPr>
      <w:spacing w:before="1080"/>
      <w:jc w:val="right"/>
    </w:pPr>
    <w:rPr>
      <w:rFonts w:ascii="Arial" w:hAnsi="Arial" w:cs="Arial"/>
      <w:b/>
    </w:rPr>
  </w:style>
  <w:style w:type="paragraph" w:customStyle="1" w:styleId="CoverDocType24a">
    <w:name w:val="CoverDocType24a"/>
    <w:basedOn w:val="Normal"/>
    <w:rsid w:val="0097166C"/>
    <w:pPr>
      <w:spacing w:after="480"/>
      <w:ind w:left="1418"/>
    </w:pPr>
    <w:rPr>
      <w:rFonts w:ascii="Arial" w:hAnsi="Arial"/>
      <w:b/>
      <w:sz w:val="48"/>
    </w:rPr>
  </w:style>
  <w:style w:type="paragraph" w:customStyle="1" w:styleId="CoverDate">
    <w:name w:val="CoverDate"/>
    <w:basedOn w:val="Normal"/>
    <w:rsid w:val="0097166C"/>
    <w:pPr>
      <w:spacing w:before="240" w:after="1200"/>
    </w:pPr>
  </w:style>
  <w:style w:type="paragraph" w:styleId="Header">
    <w:name w:val="header"/>
    <w:basedOn w:val="Normal"/>
    <w:link w:val="HeaderChar"/>
    <w:rsid w:val="0097166C"/>
    <w:pPr>
      <w:tabs>
        <w:tab w:val="center" w:pos="4513"/>
        <w:tab w:val="right" w:pos="9026"/>
      </w:tabs>
    </w:pPr>
  </w:style>
  <w:style w:type="character" w:customStyle="1" w:styleId="HeaderChar">
    <w:name w:val="Header Char"/>
    <w:basedOn w:val="DefaultParagraphFont"/>
    <w:link w:val="Header"/>
    <w:rsid w:val="0097166C"/>
    <w:rPr>
      <w:sz w:val="24"/>
      <w:lang w:val="cs-CZ"/>
    </w:rPr>
  </w:style>
  <w:style w:type="paragraph" w:customStyle="1" w:styleId="EPBody">
    <w:name w:val="EPBody"/>
    <w:basedOn w:val="Normal"/>
    <w:rsid w:val="0097166C"/>
    <w:pPr>
      <w:jc w:val="center"/>
    </w:pPr>
    <w:rPr>
      <w:rFonts w:ascii="Arial" w:hAnsi="Arial" w:cs="Arial"/>
      <w:i/>
      <w:sz w:val="22"/>
      <w:szCs w:val="22"/>
    </w:rPr>
  </w:style>
  <w:style w:type="paragraph" w:customStyle="1" w:styleId="EPFooter">
    <w:name w:val="EPFooter"/>
    <w:basedOn w:val="Normal"/>
    <w:rsid w:val="0097166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7166C"/>
    <w:rPr>
      <w:sz w:val="24"/>
      <w:lang w:val="cs-CZ"/>
    </w:rPr>
  </w:style>
  <w:style w:type="paragraph" w:customStyle="1" w:styleId="PageHeadingDec">
    <w:name w:val="PageHeadingDec"/>
    <w:basedOn w:val="PageHeading"/>
    <w:link w:val="PageHeadingDecChar"/>
    <w:qFormat/>
    <w:rsid w:val="0097166C"/>
  </w:style>
  <w:style w:type="character" w:customStyle="1" w:styleId="PageHeadingChar">
    <w:name w:val="PageHeading Char"/>
    <w:basedOn w:val="DefaultParagraphFont"/>
    <w:link w:val="PageHeading"/>
    <w:rsid w:val="0097166C"/>
    <w:rPr>
      <w:rFonts w:ascii="Arial" w:hAnsi="Arial" w:cs="Arial"/>
      <w:b/>
      <w:sz w:val="24"/>
      <w:lang w:val="cs-CZ"/>
    </w:rPr>
  </w:style>
  <w:style w:type="character" w:customStyle="1" w:styleId="PageHeadingDecChar">
    <w:name w:val="PageHeadingDec Char"/>
    <w:basedOn w:val="PageHeadingChar"/>
    <w:link w:val="PageHeadingDec"/>
    <w:rsid w:val="0097166C"/>
    <w:rPr>
      <w:rFonts w:ascii="Arial" w:hAnsi="Arial" w:cs="Arial"/>
      <w:b/>
      <w:sz w:val="24"/>
      <w:lang w:val="cs-CZ"/>
    </w:rPr>
  </w:style>
  <w:style w:type="paragraph" w:styleId="TOC9">
    <w:name w:val="toc 9"/>
    <w:basedOn w:val="Normal"/>
    <w:next w:val="Normal"/>
    <w:autoRedefine/>
    <w:uiPriority w:val="39"/>
    <w:rsid w:val="0097166C"/>
    <w:pPr>
      <w:spacing w:after="100"/>
      <w:jc w:val="center"/>
    </w:pPr>
  </w:style>
  <w:style w:type="paragraph" w:styleId="TOC8">
    <w:name w:val="toc 8"/>
    <w:basedOn w:val="Normal"/>
    <w:next w:val="Normal"/>
    <w:autoRedefine/>
    <w:uiPriority w:val="39"/>
    <w:rsid w:val="0097166C"/>
    <w:pPr>
      <w:tabs>
        <w:tab w:val="right" w:leader="dot" w:pos="9060"/>
      </w:tabs>
      <w:spacing w:after="240"/>
      <w:ind w:right="-144"/>
    </w:pPr>
    <w:rPr>
      <w:b/>
    </w:rPr>
  </w:style>
  <w:style w:type="paragraph" w:customStyle="1" w:styleId="PageHeadingNotTOC">
    <w:name w:val="PageHeadingNotTOC"/>
    <w:basedOn w:val="Normal"/>
    <w:link w:val="PageHeadingNotTOCChar"/>
    <w:rsid w:val="0097166C"/>
    <w:pPr>
      <w:keepNext/>
      <w:spacing w:after="480"/>
      <w:jc w:val="center"/>
    </w:pPr>
    <w:rPr>
      <w:rFonts w:ascii="Arial" w:hAnsi="Arial" w:cs="Arial"/>
      <w:b/>
    </w:rPr>
  </w:style>
  <w:style w:type="paragraph" w:styleId="TOC7">
    <w:name w:val="toc 7"/>
    <w:basedOn w:val="Normal"/>
    <w:next w:val="Normal"/>
    <w:autoRedefine/>
    <w:uiPriority w:val="39"/>
    <w:rsid w:val="0097166C"/>
    <w:pPr>
      <w:tabs>
        <w:tab w:val="right" w:leader="dot" w:pos="9060"/>
      </w:tabs>
      <w:spacing w:after="240"/>
      <w:ind w:left="709" w:hanging="720"/>
    </w:pPr>
  </w:style>
  <w:style w:type="paragraph" w:styleId="BalloonText">
    <w:name w:val="Balloon Text"/>
    <w:basedOn w:val="Normal"/>
    <w:link w:val="BalloonTextChar"/>
    <w:unhideWhenUsed/>
    <w:rsid w:val="0097166C"/>
    <w:rPr>
      <w:rFonts w:ascii="Segoe UI" w:hAnsi="Segoe UI" w:cs="Segoe UI"/>
      <w:sz w:val="18"/>
      <w:szCs w:val="18"/>
    </w:rPr>
  </w:style>
  <w:style w:type="character" w:customStyle="1" w:styleId="BalloonTextChar">
    <w:name w:val="Balloon Text Char"/>
    <w:basedOn w:val="DefaultParagraphFont"/>
    <w:link w:val="BalloonText"/>
    <w:rsid w:val="0097166C"/>
    <w:rPr>
      <w:rFonts w:ascii="Segoe UI" w:hAnsi="Segoe UI" w:cs="Segoe UI"/>
      <w:sz w:val="18"/>
      <w:szCs w:val="18"/>
      <w:lang w:val="cs-CZ"/>
    </w:rPr>
  </w:style>
  <w:style w:type="paragraph" w:styleId="Footer">
    <w:name w:val="footer"/>
    <w:basedOn w:val="Normal"/>
    <w:link w:val="FooterChar"/>
    <w:rsid w:val="0097166C"/>
    <w:pPr>
      <w:tabs>
        <w:tab w:val="center" w:pos="4513"/>
        <w:tab w:val="right" w:pos="9026"/>
      </w:tabs>
    </w:pPr>
    <w:rPr>
      <w:lang w:val="en-GB"/>
    </w:rPr>
  </w:style>
  <w:style w:type="character" w:customStyle="1" w:styleId="FooterChar">
    <w:name w:val="Footer Char"/>
    <w:basedOn w:val="DefaultParagraphFont"/>
    <w:link w:val="Footer"/>
    <w:rsid w:val="0097166C"/>
    <w:rPr>
      <w:sz w:val="24"/>
    </w:rPr>
  </w:style>
  <w:style w:type="character" w:styleId="Hyperlink">
    <w:name w:val="Hyperlink"/>
    <w:basedOn w:val="DefaultParagraphFont"/>
    <w:uiPriority w:val="99"/>
    <w:rsid w:val="0097166C"/>
    <w:rPr>
      <w:color w:val="0563C1" w:themeColor="hyperlink"/>
      <w:u w:val="single"/>
    </w:rPr>
  </w:style>
  <w:style w:type="paragraph" w:styleId="ListParagraph">
    <w:name w:val="List Paragraph"/>
    <w:basedOn w:val="Normal"/>
    <w:uiPriority w:val="34"/>
    <w:qFormat/>
    <w:rsid w:val="0097166C"/>
    <w:pPr>
      <w:widowControl/>
      <w:ind w:left="720"/>
      <w:contextualSpacing/>
      <w:jc w:val="both"/>
    </w:pPr>
    <w:rPr>
      <w:rFonts w:eastAsiaTheme="minorHAnsi"/>
      <w:szCs w:val="24"/>
      <w:lang w:val="en-GB" w:eastAsia="en-US"/>
    </w:rPr>
  </w:style>
  <w:style w:type="paragraph" w:customStyle="1" w:styleId="Normal12Hanging">
    <w:name w:val="Normal12Hanging"/>
    <w:basedOn w:val="Normal"/>
    <w:rsid w:val="0097166C"/>
    <w:pPr>
      <w:spacing w:after="240"/>
      <w:ind w:left="567" w:hanging="567"/>
    </w:pPr>
    <w:rPr>
      <w:lang w:val="en-GB"/>
    </w:rPr>
  </w:style>
  <w:style w:type="paragraph" w:customStyle="1" w:styleId="Normal24a">
    <w:name w:val="Normal24a"/>
    <w:basedOn w:val="Normal"/>
    <w:rsid w:val="0097166C"/>
    <w:pPr>
      <w:spacing w:after="480"/>
    </w:pPr>
    <w:rPr>
      <w:lang w:val="en-GB"/>
    </w:rPr>
  </w:style>
  <w:style w:type="paragraph" w:customStyle="1" w:styleId="NormalBoldCenter">
    <w:name w:val="NormalBoldCenter"/>
    <w:basedOn w:val="Normal"/>
    <w:rsid w:val="0097166C"/>
    <w:pPr>
      <w:jc w:val="center"/>
    </w:pPr>
    <w:rPr>
      <w:b/>
      <w:lang w:val="en-GB"/>
    </w:rPr>
  </w:style>
  <w:style w:type="paragraph" w:customStyle="1" w:styleId="Footprint12b">
    <w:name w:val="Footprint12b"/>
    <w:basedOn w:val="Normal"/>
    <w:rsid w:val="0097166C"/>
    <w:pPr>
      <w:spacing w:before="240"/>
    </w:pPr>
    <w:rPr>
      <w:szCs w:val="24"/>
      <w:lang w:val="en-GB"/>
    </w:rPr>
  </w:style>
  <w:style w:type="paragraph" w:customStyle="1" w:styleId="NormalSingle">
    <w:name w:val="NormalSingle"/>
    <w:basedOn w:val="Normal"/>
    <w:qFormat/>
    <w:rsid w:val="0097166C"/>
    <w:rPr>
      <w:szCs w:val="24"/>
      <w:lang w:val="en-GB"/>
    </w:rPr>
  </w:style>
  <w:style w:type="character" w:styleId="CommentReference">
    <w:name w:val="annotation reference"/>
    <w:basedOn w:val="DefaultParagraphFont"/>
    <w:uiPriority w:val="99"/>
    <w:rsid w:val="0097166C"/>
    <w:rPr>
      <w:sz w:val="16"/>
      <w:szCs w:val="16"/>
    </w:rPr>
  </w:style>
  <w:style w:type="paragraph" w:styleId="CommentText">
    <w:name w:val="annotation text"/>
    <w:basedOn w:val="Normal"/>
    <w:link w:val="CommentTextChar"/>
    <w:uiPriority w:val="99"/>
    <w:rsid w:val="0097166C"/>
    <w:rPr>
      <w:sz w:val="20"/>
    </w:rPr>
  </w:style>
  <w:style w:type="character" w:customStyle="1" w:styleId="CommentTextChar">
    <w:name w:val="Comment Text Char"/>
    <w:basedOn w:val="DefaultParagraphFont"/>
    <w:link w:val="CommentText"/>
    <w:uiPriority w:val="99"/>
    <w:rsid w:val="0097166C"/>
    <w:rPr>
      <w:lang w:val="cs-CZ"/>
    </w:rPr>
  </w:style>
  <w:style w:type="paragraph" w:styleId="CommentSubject">
    <w:name w:val="annotation subject"/>
    <w:basedOn w:val="CommentText"/>
    <w:next w:val="CommentText"/>
    <w:link w:val="CommentSubjectChar"/>
    <w:uiPriority w:val="99"/>
    <w:unhideWhenUsed/>
    <w:rsid w:val="0097166C"/>
    <w:rPr>
      <w:b/>
      <w:bCs/>
    </w:rPr>
  </w:style>
  <w:style w:type="character" w:customStyle="1" w:styleId="CommentSubjectChar">
    <w:name w:val="Comment Subject Char"/>
    <w:basedOn w:val="CommentTextChar"/>
    <w:link w:val="CommentSubject"/>
    <w:uiPriority w:val="99"/>
    <w:rsid w:val="0097166C"/>
    <w:rPr>
      <w:b/>
      <w:bCs/>
      <w:lang w:val="cs-CZ"/>
    </w:rPr>
  </w:style>
  <w:style w:type="paragraph" w:styleId="Revision">
    <w:name w:val="Revision"/>
    <w:hidden/>
    <w:uiPriority w:val="99"/>
    <w:semiHidden/>
    <w:rsid w:val="0097166C"/>
    <w:rPr>
      <w:sz w:val="24"/>
      <w:lang w:val="cs-CZ"/>
    </w:rPr>
  </w:style>
  <w:style w:type="character" w:styleId="FollowedHyperlink">
    <w:name w:val="FollowedHyperlink"/>
    <w:basedOn w:val="DefaultParagraphFont"/>
    <w:rsid w:val="0097166C"/>
    <w:rPr>
      <w:color w:val="954F72" w:themeColor="followedHyperlink"/>
      <w:u w:val="single"/>
    </w:rPr>
  </w:style>
  <w:style w:type="paragraph" w:customStyle="1" w:styleId="Normal12a">
    <w:name w:val="Normal12a"/>
    <w:basedOn w:val="Normal"/>
    <w:rsid w:val="0097166C"/>
    <w:pPr>
      <w:spacing w:after="240"/>
    </w:pPr>
    <w:rPr>
      <w:lang w:val="en-GB"/>
    </w:rPr>
  </w:style>
  <w:style w:type="paragraph" w:customStyle="1" w:styleId="RollCallSymbols14pt">
    <w:name w:val="RollCallSymbols14pt"/>
    <w:basedOn w:val="Normal"/>
    <w:rsid w:val="0097166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7166C"/>
    <w:pPr>
      <w:tabs>
        <w:tab w:val="center" w:pos="284"/>
        <w:tab w:val="left" w:pos="426"/>
      </w:tabs>
    </w:pPr>
    <w:rPr>
      <w:snapToGrid w:val="0"/>
      <w:lang w:val="en-GB" w:eastAsia="en-US"/>
    </w:rPr>
  </w:style>
  <w:style w:type="paragraph" w:customStyle="1" w:styleId="RollCallVotes">
    <w:name w:val="RollCallVotes"/>
    <w:basedOn w:val="Normal"/>
    <w:rsid w:val="0097166C"/>
    <w:pPr>
      <w:spacing w:before="120" w:after="120"/>
      <w:jc w:val="center"/>
    </w:pPr>
    <w:rPr>
      <w:b/>
      <w:bCs/>
      <w:snapToGrid w:val="0"/>
      <w:sz w:val="16"/>
      <w:lang w:val="en-GB" w:eastAsia="en-US"/>
    </w:rPr>
  </w:style>
  <w:style w:type="paragraph" w:customStyle="1" w:styleId="RollCallTable">
    <w:name w:val="RollCallTable"/>
    <w:basedOn w:val="Normal"/>
    <w:rsid w:val="0097166C"/>
    <w:pPr>
      <w:spacing w:before="120" w:after="120"/>
    </w:pPr>
    <w:rPr>
      <w:snapToGrid w:val="0"/>
      <w:sz w:val="16"/>
      <w:lang w:val="en-GB" w:eastAsia="en-US"/>
    </w:rPr>
  </w:style>
  <w:style w:type="paragraph" w:customStyle="1" w:styleId="Visa">
    <w:name w:val="Visa"/>
    <w:basedOn w:val="Normal"/>
    <w:rsid w:val="0097166C"/>
    <w:pPr>
      <w:tabs>
        <w:tab w:val="left" w:pos="357"/>
      </w:tabs>
      <w:snapToGrid w:val="0"/>
      <w:spacing w:after="240"/>
      <w:ind w:left="357" w:hanging="357"/>
    </w:pPr>
    <w:rPr>
      <w:lang w:val="en-GB" w:eastAsia="en-US"/>
    </w:rPr>
  </w:style>
  <w:style w:type="paragraph" w:customStyle="1" w:styleId="Normal6a">
    <w:name w:val="Normal6a"/>
    <w:basedOn w:val="Normal"/>
    <w:rsid w:val="0097166C"/>
    <w:pPr>
      <w:spacing w:after="120"/>
    </w:pPr>
    <w:rPr>
      <w:lang w:val="en-GB"/>
    </w:rPr>
  </w:style>
  <w:style w:type="paragraph" w:styleId="NormalWeb">
    <w:name w:val="Normal (Web)"/>
    <w:basedOn w:val="Normal"/>
    <w:uiPriority w:val="99"/>
    <w:unhideWhenUsed/>
    <w:rsid w:val="0097166C"/>
    <w:pPr>
      <w:widowControl/>
      <w:spacing w:before="100" w:beforeAutospacing="1" w:after="100" w:afterAutospacing="1"/>
    </w:pPr>
    <w:rPr>
      <w:szCs w:val="24"/>
      <w:lang w:val="en-GB"/>
    </w:rPr>
  </w:style>
  <w:style w:type="paragraph" w:customStyle="1" w:styleId="RollCallSubtitle">
    <w:name w:val="RollCallSubtitle"/>
    <w:basedOn w:val="Normal"/>
    <w:qFormat/>
    <w:rsid w:val="0097166C"/>
    <w:pPr>
      <w:snapToGrid w:val="0"/>
      <w:spacing w:after="240"/>
    </w:pPr>
    <w:rPr>
      <w:lang w:val="en-GB" w:eastAsia="en-US"/>
    </w:rPr>
  </w:style>
  <w:style w:type="paragraph" w:customStyle="1" w:styleId="msonormal0">
    <w:name w:val="msonormal"/>
    <w:basedOn w:val="Normal"/>
    <w:rsid w:val="0097166C"/>
    <w:pPr>
      <w:widowControl/>
      <w:spacing w:before="100" w:beforeAutospacing="1" w:after="100" w:afterAutospacing="1"/>
    </w:pPr>
    <w:rPr>
      <w:szCs w:val="24"/>
      <w:lang w:val="en-GB"/>
    </w:rPr>
  </w:style>
  <w:style w:type="character" w:customStyle="1" w:styleId="PageHeadingNotTOCChar">
    <w:name w:val="PageHeadingNotTOC Char"/>
    <w:basedOn w:val="DefaultParagraphFont"/>
    <w:link w:val="PageHeadingNotTOC"/>
    <w:locked/>
    <w:rsid w:val="0097166C"/>
    <w:rPr>
      <w:rFonts w:ascii="Arial" w:hAnsi="Arial" w:cs="Arial"/>
      <w:b/>
      <w:sz w:val="24"/>
      <w:lang w:val="cs-CZ"/>
    </w:rPr>
  </w:style>
  <w:style w:type="paragraph" w:styleId="Title">
    <w:name w:val="Title"/>
    <w:basedOn w:val="Normal"/>
    <w:next w:val="Normal"/>
    <w:link w:val="TitleChar"/>
    <w:uiPriority w:val="10"/>
    <w:qFormat/>
    <w:rsid w:val="00872DB8"/>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872DB8"/>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872DB8"/>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872DB8"/>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872DB8"/>
    <w:rPr>
      <w:b/>
      <w:bCs/>
    </w:rPr>
  </w:style>
  <w:style w:type="character" w:styleId="Emphasis">
    <w:name w:val="Emphasis"/>
    <w:basedOn w:val="DefaultParagraphFont"/>
    <w:uiPriority w:val="20"/>
    <w:qFormat/>
    <w:rsid w:val="00872DB8"/>
    <w:rPr>
      <w:rFonts w:asciiTheme="minorHAnsi" w:hAnsiTheme="minorHAnsi"/>
      <w:b/>
      <w:i/>
      <w:iCs/>
    </w:rPr>
  </w:style>
  <w:style w:type="paragraph" w:styleId="NoSpacing">
    <w:name w:val="No Spacing"/>
    <w:basedOn w:val="Normal"/>
    <w:uiPriority w:val="1"/>
    <w:qFormat/>
    <w:rsid w:val="00872DB8"/>
    <w:pPr>
      <w:widowControl/>
      <w:jc w:val="both"/>
    </w:pPr>
    <w:rPr>
      <w:rFonts w:eastAsiaTheme="minorHAnsi"/>
      <w:kern w:val="2"/>
      <w:szCs w:val="32"/>
      <w:lang w:val="en-GB" w:eastAsia="en-US"/>
      <w14:ligatures w14:val="standardContextual"/>
    </w:rPr>
  </w:style>
  <w:style w:type="paragraph" w:styleId="Quote">
    <w:name w:val="Quote"/>
    <w:basedOn w:val="Normal"/>
    <w:next w:val="Normal"/>
    <w:link w:val="QuoteChar"/>
    <w:uiPriority w:val="29"/>
    <w:qFormat/>
    <w:rsid w:val="00872DB8"/>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872DB8"/>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872DB8"/>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872DB8"/>
    <w:rPr>
      <w:rFonts w:eastAsiaTheme="minorHAnsi"/>
      <w:b/>
      <w:i/>
      <w:kern w:val="2"/>
      <w:sz w:val="24"/>
      <w:szCs w:val="22"/>
      <w:lang w:eastAsia="en-US"/>
      <w14:ligatures w14:val="standardContextual"/>
    </w:rPr>
  </w:style>
  <w:style w:type="character" w:styleId="SubtleEmphasis">
    <w:name w:val="Subtle Emphasis"/>
    <w:uiPriority w:val="19"/>
    <w:qFormat/>
    <w:rsid w:val="00872DB8"/>
    <w:rPr>
      <w:i/>
      <w:color w:val="5A5A5A" w:themeColor="text1" w:themeTint="A5"/>
    </w:rPr>
  </w:style>
  <w:style w:type="character" w:styleId="IntenseEmphasis">
    <w:name w:val="Intense Emphasis"/>
    <w:basedOn w:val="DefaultParagraphFont"/>
    <w:uiPriority w:val="21"/>
    <w:qFormat/>
    <w:rsid w:val="00872DB8"/>
    <w:rPr>
      <w:b/>
      <w:i/>
      <w:sz w:val="24"/>
      <w:szCs w:val="24"/>
      <w:u w:val="single"/>
    </w:rPr>
  </w:style>
  <w:style w:type="character" w:styleId="SubtleReference">
    <w:name w:val="Subtle Reference"/>
    <w:basedOn w:val="DefaultParagraphFont"/>
    <w:uiPriority w:val="31"/>
    <w:qFormat/>
    <w:rsid w:val="00872DB8"/>
    <w:rPr>
      <w:sz w:val="24"/>
      <w:szCs w:val="24"/>
      <w:u w:val="single"/>
    </w:rPr>
  </w:style>
  <w:style w:type="character" w:styleId="IntenseReference">
    <w:name w:val="Intense Reference"/>
    <w:basedOn w:val="DefaultParagraphFont"/>
    <w:uiPriority w:val="32"/>
    <w:qFormat/>
    <w:rsid w:val="00872DB8"/>
    <w:rPr>
      <w:b/>
      <w:sz w:val="24"/>
      <w:u w:val="single"/>
    </w:rPr>
  </w:style>
  <w:style w:type="character" w:styleId="BookTitle">
    <w:name w:val="Book Title"/>
    <w:basedOn w:val="DefaultParagraphFont"/>
    <w:uiPriority w:val="33"/>
    <w:qFormat/>
    <w:rsid w:val="00872DB8"/>
    <w:rPr>
      <w:rFonts w:asciiTheme="majorHAnsi" w:eastAsiaTheme="majorEastAsia" w:hAnsiTheme="majorHAnsi"/>
      <w:b/>
      <w:i/>
      <w:sz w:val="24"/>
      <w:szCs w:val="24"/>
    </w:rPr>
  </w:style>
  <w:style w:type="character" w:customStyle="1" w:styleId="Hyperlink1">
    <w:name w:val="Hyperlink1"/>
    <w:basedOn w:val="DefaultParagraphFont"/>
    <w:uiPriority w:val="99"/>
    <w:rsid w:val="00872DB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cs/index.htm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CS.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s://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CS/TXT/HTML/?uri=CELEX:52024DC0075%20&#8211;%20&#269;&#225;st%203"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s://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8D92C-7849-498F-820A-464DC4CB3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167</Pages>
  <Words>44494</Words>
  <Characters>251488</Characters>
  <Application>Microsoft Office Word</Application>
  <DocSecurity>0</DocSecurity>
  <Lines>2095</Lines>
  <Paragraphs>590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2025-11-25T13:51:00Z</dcterms:created>
  <dcterms:modified xsi:type="dcterms:W3CDTF">2025-11-25T13:51:00Z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P10_TA(2025)0088_</vt:lpwstr>
  </property>
  <property fmtid="{D5CDD505-2E9C-101B-9397-08002B2CF9AE}" pid="4" name="&lt;Type&gt;">
    <vt:lpwstr>RR</vt:lpwstr>
  </property>
</Properties>
</file>