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313D" w:rsidTr="0010095E">
        <w:trPr>
          <w:trHeight w:hRule="exact" w:val="1418"/>
        </w:trPr>
        <w:tc>
          <w:tcPr>
            <w:tcW w:w="6804" w:type="dxa"/>
            <w:shd w:val="clear" w:color="auto" w:fill="auto"/>
            <w:vAlign w:val="center"/>
          </w:tcPr>
          <w:p w:rsidR="00751A4A" w:rsidRPr="0089313D" w:rsidRDefault="0077060D" w:rsidP="0010095E">
            <w:pPr>
              <w:pStyle w:val="EPName"/>
            </w:pPr>
            <w:bookmarkStart w:id="0" w:name="_GoBack"/>
            <w:bookmarkEnd w:id="0"/>
            <w:r w:rsidRPr="0089313D">
              <w:t>Ευρωπαϊκό Κοινοβούλιο</w:t>
            </w:r>
          </w:p>
          <w:p w:rsidR="00751A4A" w:rsidRPr="0089313D" w:rsidRDefault="005F1B17" w:rsidP="005F1B17">
            <w:pPr>
              <w:pStyle w:val="EPTerm"/>
              <w:rPr>
                <w:rStyle w:val="HideTWBExt"/>
                <w:noProof w:val="0"/>
                <w:vanish w:val="0"/>
                <w:color w:val="auto"/>
              </w:rPr>
            </w:pPr>
            <w:r w:rsidRPr="0089313D">
              <w:t>2024</w:t>
            </w:r>
            <w:r w:rsidR="00817416" w:rsidRPr="0089313D">
              <w:t>-202</w:t>
            </w:r>
            <w:r w:rsidRPr="0089313D">
              <w:t>9</w:t>
            </w:r>
          </w:p>
        </w:tc>
        <w:tc>
          <w:tcPr>
            <w:tcW w:w="2268" w:type="dxa"/>
            <w:shd w:val="clear" w:color="auto" w:fill="auto"/>
          </w:tcPr>
          <w:p w:rsidR="00751A4A" w:rsidRPr="0089313D" w:rsidRDefault="00187494" w:rsidP="0010095E">
            <w:pPr>
              <w:pStyle w:val="EPLogo"/>
            </w:pPr>
            <w:r w:rsidRPr="008931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313D" w:rsidRDefault="00D058B8" w:rsidP="004C5D52">
      <w:pPr>
        <w:pStyle w:val="LineTop"/>
      </w:pPr>
    </w:p>
    <w:p w:rsidR="00680577" w:rsidRPr="0089313D" w:rsidRDefault="0077060D" w:rsidP="00680577">
      <w:pPr>
        <w:pStyle w:val="EPBodyTA1"/>
      </w:pPr>
      <w:r w:rsidRPr="0089313D">
        <w:t>ΚΕΙΜΕΝΑ ΠΟΥ ΕΓΚΡΙΘΗΚΑΝ</w:t>
      </w:r>
    </w:p>
    <w:p w:rsidR="00D058B8" w:rsidRPr="0089313D" w:rsidRDefault="00D058B8" w:rsidP="00D058B8">
      <w:pPr>
        <w:pStyle w:val="LineBottom"/>
      </w:pPr>
    </w:p>
    <w:p w:rsidR="0077060D" w:rsidRPr="0089313D" w:rsidRDefault="0077060D" w:rsidP="0077060D">
      <w:pPr>
        <w:pStyle w:val="ATHeading1"/>
      </w:pPr>
      <w:bookmarkStart w:id="1" w:name="TANumber"/>
      <w:r w:rsidRPr="0089313D">
        <w:t>P10_TA(2025)00</w:t>
      </w:r>
      <w:r w:rsidR="00E930E6" w:rsidRPr="0089313D">
        <w:t>88</w:t>
      </w:r>
      <w:bookmarkEnd w:id="1"/>
    </w:p>
    <w:p w:rsidR="0077060D" w:rsidRPr="0089313D" w:rsidRDefault="0077060D" w:rsidP="0077060D">
      <w:pPr>
        <w:pStyle w:val="ATHeading2"/>
      </w:pPr>
      <w:bookmarkStart w:id="2" w:name="title"/>
      <w:r w:rsidRPr="0089313D">
        <w:t>Απαλλαγή 2023: Οργανισμοί</w:t>
      </w:r>
      <w:bookmarkEnd w:id="2"/>
    </w:p>
    <w:p w:rsidR="0077060D" w:rsidRPr="0089313D" w:rsidRDefault="0077060D" w:rsidP="0077060D">
      <w:pPr>
        <w:rPr>
          <w:i/>
          <w:vanish/>
        </w:rPr>
      </w:pPr>
      <w:r w:rsidRPr="0089313D">
        <w:rPr>
          <w:i/>
        </w:rPr>
        <w:fldChar w:fldCharType="begin"/>
      </w:r>
      <w:r w:rsidRPr="0089313D">
        <w:rPr>
          <w:i/>
        </w:rPr>
        <w:instrText xml:space="preserve"> TC"(</w:instrText>
      </w:r>
      <w:bookmarkStart w:id="3" w:name="DocNumber"/>
      <w:r w:rsidRPr="0089313D">
        <w:rPr>
          <w:i/>
        </w:rPr>
        <w:instrText>A10-0065/2025</w:instrText>
      </w:r>
      <w:bookmarkEnd w:id="3"/>
      <w:r w:rsidRPr="0089313D">
        <w:rPr>
          <w:i/>
        </w:rPr>
        <w:instrText xml:space="preserve"> - Εισηγητής: Erik Marquardt)"\l3 \n&gt; \* MERGEFORMAT </w:instrText>
      </w:r>
      <w:r w:rsidRPr="0089313D">
        <w:rPr>
          <w:i/>
        </w:rPr>
        <w:fldChar w:fldCharType="end"/>
      </w:r>
    </w:p>
    <w:p w:rsidR="0077060D" w:rsidRPr="0089313D" w:rsidRDefault="0077060D" w:rsidP="0077060D">
      <w:pPr>
        <w:rPr>
          <w:vanish/>
        </w:rPr>
      </w:pPr>
      <w:bookmarkStart w:id="4" w:name="Commission"/>
      <w:r w:rsidRPr="0089313D">
        <w:rPr>
          <w:vanish/>
        </w:rPr>
        <w:t>Επιτροπή Ελέγχου του Προϋπολογισμού</w:t>
      </w:r>
      <w:bookmarkEnd w:id="4"/>
    </w:p>
    <w:p w:rsidR="0077060D" w:rsidRPr="0089313D" w:rsidRDefault="0077060D" w:rsidP="0077060D">
      <w:pPr>
        <w:rPr>
          <w:vanish/>
        </w:rPr>
      </w:pPr>
      <w:bookmarkStart w:id="5" w:name="PE"/>
      <w:r w:rsidRPr="0089313D">
        <w:rPr>
          <w:vanish/>
        </w:rPr>
        <w:t>PE765.000</w:t>
      </w:r>
      <w:bookmarkEnd w:id="5"/>
    </w:p>
    <w:p w:rsidR="0077060D" w:rsidRPr="0089313D" w:rsidRDefault="00624912" w:rsidP="0077060D">
      <w:pPr>
        <w:pStyle w:val="ATHeading3"/>
      </w:pPr>
      <w:bookmarkStart w:id="6" w:name="Sujet"/>
      <w:r w:rsidRPr="0089313D">
        <w:t xml:space="preserve">1. </w:t>
      </w:r>
      <w:r w:rsidR="0077060D" w:rsidRPr="0089313D">
        <w:t xml:space="preserve">Απόφαση του Ευρωπαϊκού Κοινοβουλίου </w:t>
      </w:r>
      <w:r w:rsidR="00590362" w:rsidRPr="0089313D">
        <w:t xml:space="preserve">της 7ης Μαΐου 2025 </w:t>
      </w:r>
      <w:r w:rsidR="0077060D" w:rsidRPr="0089313D">
        <w:t xml:space="preserve">σχετικά με την απαλλαγή όσον αφορά την εκτέλεση του προϋπολογισμού </w:t>
      </w:r>
      <w:r w:rsidR="00B275DA" w:rsidRPr="0089313D">
        <w:t xml:space="preserve">του Οργανισμού </w:t>
      </w:r>
      <w:r w:rsidR="0077060D" w:rsidRPr="0089313D">
        <w:t xml:space="preserve">της Ευρωπαϊκής Ένωσης </w:t>
      </w:r>
      <w:r w:rsidR="00B275DA" w:rsidRPr="0089313D">
        <w:t xml:space="preserve">για τη Συνεργασία των Ρυθμιστικών Αρχών Ενέργειας </w:t>
      </w:r>
      <w:r w:rsidR="0077060D" w:rsidRPr="0089313D">
        <w:t>για το οικονομικό έτος 2023</w:t>
      </w:r>
      <w:bookmarkEnd w:id="6"/>
      <w:r w:rsidR="0077060D" w:rsidRPr="0089313D">
        <w:t xml:space="preserve"> </w:t>
      </w:r>
      <w:bookmarkStart w:id="7" w:name="References"/>
      <w:r w:rsidR="0077060D" w:rsidRPr="0089313D">
        <w:t>(2024/2030(DEC))</w:t>
      </w:r>
      <w:bookmarkEnd w:id="7"/>
    </w:p>
    <w:p w:rsidR="00D66ACE" w:rsidRPr="0089313D" w:rsidRDefault="00D66ACE" w:rsidP="00D66ACE">
      <w:pPr>
        <w:pStyle w:val="EPComma"/>
      </w:pPr>
      <w:bookmarkStart w:id="8" w:name="TextBodyBegin"/>
      <w:bookmarkEnd w:id="8"/>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 Συνεργασία των Ρυθμιστικών Αρχών Ενέργειας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w:t>
      </w:r>
      <w:r w:rsidR="00835CF8" w:rsidRPr="0089313D">
        <w:t>012</w:t>
      </w:r>
      <w:r w:rsidRPr="0089313D">
        <w:rPr>
          <w:rStyle w:val="FootnoteReference"/>
        </w:rPr>
        <w:footnoteReference w:id="3"/>
      </w:r>
      <w:r w:rsidRPr="0089313D">
        <w:t>, και ιδίως το άρθρο 70,</w:t>
      </w:r>
    </w:p>
    <w:p w:rsidR="00D66ACE" w:rsidRPr="0089313D" w:rsidRDefault="00D66ACE" w:rsidP="00D66ACE">
      <w:pPr>
        <w:pStyle w:val="NormalHanging12a"/>
      </w:pPr>
      <w:r w:rsidRPr="0089313D">
        <w:t>–</w:t>
      </w:r>
      <w:r w:rsidRPr="0089313D">
        <w:tab/>
        <w:t xml:space="preserve">έχοντας υπόψη τον κανονισμό (ΕΕ, Ευρατόμ) 2024/2509 του Ευρωπαϊκού </w:t>
      </w:r>
      <w:r w:rsidRPr="0089313D">
        <w:lastRenderedPageBreak/>
        <w:t>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2019/942 του Ευρωπαϊκού Κοινοβουλίου και του Συμβουλίου, της 5ης Ιουνίου 2019, για την ίδρυση Οργανισμού της Ευρωπαϊκής Ένωσης για τη Συνεργασία των Ρυθμιστικών Αρχών Ενέργειας</w:t>
      </w:r>
      <w:r w:rsidRPr="0089313D">
        <w:rPr>
          <w:rStyle w:val="FootnoteReference"/>
        </w:rPr>
        <w:footnoteReference w:id="5"/>
      </w:r>
      <w:r w:rsidRPr="0089313D">
        <w:t>, και ιδίως το άρθρο 35,</w:t>
      </w:r>
    </w:p>
    <w:p w:rsidR="00D66ACE" w:rsidRPr="0089313D" w:rsidRDefault="00D66ACE" w:rsidP="00D66ACE">
      <w:pPr>
        <w:pStyle w:val="NormalHanging12a"/>
      </w:pPr>
      <w:r w:rsidRPr="0089313D">
        <w:t>–</w:t>
      </w:r>
      <w:r w:rsidRPr="0089313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διευθυντή του Οργανισμού της Ευρωπαϊκής Ένωσης για τη Συνεργασία των Ρυθμιστικών Αρχών Ενέργειας (ACER)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καθώς και το ψήφισμα που αποτελεί αναπόσπαστο μέρος της, στον διευθυντή του Οργανισμού της Ευρωπαϊκής Ένωσης για τη Συνεργασία των Ρυθμιστικών Αρχών Ενέργειας,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9"/>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2. Απόφαση του Ευρωπαϊκού Κοινοβουλίου </w:t>
      </w:r>
      <w:r w:rsidR="00590362" w:rsidRPr="0089313D">
        <w:t xml:space="preserve">της 7ης Μαΐου 2025 </w:t>
      </w:r>
      <w:r w:rsidR="00D66ACE" w:rsidRPr="0089313D">
        <w:t>σχετικά με το κλείσιμο των λογαριασμών του Οργανισμού της Ευρωπαϊκής Ένωσης για τη Συνεργασία των Ρυθμιστικών Αρχών Ενέργειας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 Συνεργασία των Ρυθμιστικών Αρχών Ενέργειας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0"/>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2019/942 του Ευρωπαϊκού Κοινοβουλίου και του Συμβουλίου, της 5ης Ιουνίου 2019, για την ίδρυση Οργανισμού της Ευρωπαϊκής Ένωσης για τη Συνεργασία των Ρυθμιστικών Αρχών Ενέργειας</w:t>
      </w:r>
      <w:r w:rsidRPr="0089313D">
        <w:rPr>
          <w:rStyle w:val="FootnoteReference"/>
        </w:rPr>
        <w:footnoteReference w:id="11"/>
      </w:r>
      <w:r w:rsidRPr="0089313D">
        <w:t>, και ιδίως το άρθρο 35,</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1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Οργανισμού της Ευρωπαϊκής Ένωσης για τη Συνεργασία των Ρυθμιστικών Αρχών Ενέργειας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διευθυντή του Οργανισμού της Ευρωπαϊκής Ένωσης για τη Συνεργασία των Ρυθμιστικών Αρχών Ενέργειας,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w:t>
      </w:r>
      <w:r w:rsidRPr="0089313D">
        <w:t>ς (σειρά L).</w:t>
      </w:r>
    </w:p>
    <w:p w:rsidR="00D66ACE" w:rsidRPr="0089313D" w:rsidRDefault="00D66ACE" w:rsidP="00D66ACE"/>
    <w:p w:rsidR="00D66ACE" w:rsidRPr="0089313D" w:rsidRDefault="00D66ACE" w:rsidP="00D66ACE"/>
    <w:p w:rsidR="00D66ACE" w:rsidRPr="0089313D" w:rsidRDefault="00D66ACE" w:rsidP="00D66ACE">
      <w:pPr>
        <w:pStyle w:val="PageHeadingDec"/>
        <w:sectPr w:rsidR="00D66ACE" w:rsidRPr="0089313D" w:rsidSect="00FA711E">
          <w:footerReference w:type="first" r:id="rId10"/>
          <w:footnotePr>
            <w:numRestart w:val="eachPage"/>
          </w:footnotePr>
          <w:pgSz w:w="11906" w:h="16838" w:code="9"/>
          <w:pgMar w:top="1134" w:right="1418" w:bottom="1418" w:left="1418" w:header="567" w:footer="567" w:gutter="0"/>
          <w:cols w:space="720"/>
          <w:noEndnote/>
          <w:docGrid w:linePitch="326"/>
        </w:sectPr>
      </w:pPr>
    </w:p>
    <w:p w:rsidR="00D66ACE" w:rsidRPr="0089313D" w:rsidRDefault="006D34B9" w:rsidP="00590362">
      <w:pPr>
        <w:pStyle w:val="ATHeading3"/>
      </w:pPr>
      <w:r w:rsidRPr="0089313D">
        <w:lastRenderedPageBreak/>
        <w:t xml:space="preserve">3. Απόφαση του Ευρωπαϊκού Κοινοβουλίου </w:t>
      </w:r>
      <w:r w:rsidR="00590362" w:rsidRPr="0089313D">
        <w:t xml:space="preserve">της 7ης Μαΐου 2025 </w:t>
      </w:r>
      <w:r w:rsidR="00D66ACE" w:rsidRPr="0089313D">
        <w:t>σχετικά με την απαλλαγή όσον αφορά την εκτέλεση του προϋπολογισμού του Οργανισμού για την υποστήριξη του BEREC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για την υποστήριξη του BEREC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2018/1971 του Ευρωπαϊκού Κοινοβουλίου και του Συμβουλίου, της 11ης Δεκεμβρίου 2018, για την ίδρυση του Φορέα Ευρωπαϊκών Ρυθμιστικών Αρχών για τις Ηλεκτρονικές Επικοινωνίες (BEREC) και του Οργανισμού για την υποστήριξη του BEREC (Υπηρεσία του BEREC), την τροποποίηση του κανονισμού (ΕΕ) 2015/2120 και την κατάργηση του κανονισμού (ΕΚ) αριθ. 1211/2009</w:t>
      </w:r>
      <w:r w:rsidRPr="0089313D">
        <w:rPr>
          <w:rStyle w:val="FootnoteReference"/>
        </w:rPr>
        <w:footnoteReference w:id="17"/>
      </w:r>
      <w:r w:rsidRPr="0089313D">
        <w:t>, και ιδίως το άρθρο 28,</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89313D">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1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 διευθύντρια του Οργανισμού για την υποστήριξη του BEREC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αναθέτει στην Πρόεδρό του να διαβιβάσει την παρούσα απόφαση, καθώς και το ψήφισμα που αποτελεί αναπόσπαστο μέρος της, στ</w:t>
      </w:r>
      <w:r w:rsidR="005E7790" w:rsidRPr="0089313D">
        <w:t>η</w:t>
      </w:r>
      <w:r w:rsidRPr="0089313D">
        <w:t xml:space="preserve"> </w:t>
      </w:r>
      <w:r w:rsidR="005E7790" w:rsidRPr="0089313D">
        <w:t xml:space="preserve">διευθύντρια </w:t>
      </w:r>
      <w:r w:rsidRPr="0089313D">
        <w:t xml:space="preserve">του Οργανισμού για την υποστήριξη του BEREC,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11"/>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4. Απόφαση του Ευρωπαϊκού Κοινοβουλίου </w:t>
      </w:r>
      <w:r w:rsidR="00590362" w:rsidRPr="0089313D">
        <w:t xml:space="preserve">της 7ης Μαΐου 2025 </w:t>
      </w:r>
      <w:r w:rsidR="00D66ACE" w:rsidRPr="0089313D">
        <w:t>σχετικά με το κλείσιμο των λογαριασμών του Οργανισμού για την υποστήριξη του BEREC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για την υποστήριξη του BEREC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2018/1971 του Ευρωπαϊκού Κοινοβουλίου και του Συμβουλίου, της 11ης Δεκεμβρίου 2018, για την ίδρυση του Φορέα Ευρωπαϊκών Ρυθμιστικών Αρχών για τις Ηλεκτρονικές Επικοινωνίες (BEREC) και του Οργανισμού για την υποστήριξη του BEREC (Υπηρεσία του BEREC), την τροποποίηση του κανονισμού (ΕΕ) 2015/2120 και την κατάργηση του κανονισμού (ΕΚ) αριθ. 1211/2009</w:t>
      </w:r>
      <w:r w:rsidRPr="0089313D">
        <w:rPr>
          <w:rStyle w:val="FootnoteReference"/>
        </w:rPr>
        <w:footnoteReference w:id="23"/>
      </w:r>
      <w:r w:rsidRPr="0089313D">
        <w:t>, και ιδίως το άρθρο 28,</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89313D">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2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Οργανισμού για την υποστήριξη του BEREC για το οικονομικό έτος 2023·</w:t>
      </w:r>
    </w:p>
    <w:p w:rsidR="00D66ACE" w:rsidRPr="0089313D" w:rsidRDefault="00D66ACE" w:rsidP="00D66ACE">
      <w:pPr>
        <w:pStyle w:val="NormalHanging12a"/>
      </w:pPr>
      <w:r w:rsidRPr="0089313D">
        <w:t>2.</w:t>
      </w:r>
      <w:r w:rsidRPr="0089313D">
        <w:tab/>
        <w:t>αναθέτει στην Πρόεδρό του να διαβιβάσει την παρούσα απόφαση στ</w:t>
      </w:r>
      <w:r w:rsidR="005E7790" w:rsidRPr="0089313D">
        <w:t>η</w:t>
      </w:r>
      <w:r w:rsidRPr="0089313D">
        <w:t xml:space="preserve"> </w:t>
      </w:r>
      <w:r w:rsidR="005E7790" w:rsidRPr="0089313D">
        <w:t xml:space="preserve">διευθύντρια </w:t>
      </w:r>
      <w:r w:rsidRPr="0089313D">
        <w:t xml:space="preserve">του Οργανισμού για την υποστήριξη του BEREC,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D66ACE">
      <w:pPr>
        <w:pStyle w:val="PageHeadingDec"/>
      </w:pPr>
    </w:p>
    <w:p w:rsidR="00D66ACE" w:rsidRPr="0089313D" w:rsidRDefault="00D66ACE" w:rsidP="00D66ACE">
      <w:pPr>
        <w:pStyle w:val="PageHeadingDec"/>
        <w:sectPr w:rsidR="00D66ACE" w:rsidRPr="0089313D" w:rsidSect="00FA711E">
          <w:footerReference w:type="first" r:id="rId12"/>
          <w:footnotePr>
            <w:numRestart w:val="eachPage"/>
          </w:footnotePr>
          <w:pgSz w:w="11906" w:h="16838" w:code="9"/>
          <w:pgMar w:top="1134" w:right="1418" w:bottom="1418" w:left="1418" w:header="567" w:footer="567" w:gutter="0"/>
          <w:cols w:space="720"/>
          <w:noEndnote/>
          <w:docGrid w:linePitch="326"/>
        </w:sectPr>
      </w:pPr>
    </w:p>
    <w:p w:rsidR="00D66ACE" w:rsidRPr="0089313D" w:rsidRDefault="006D34B9" w:rsidP="00590362">
      <w:pPr>
        <w:pStyle w:val="ATHeading3"/>
      </w:pPr>
      <w:r w:rsidRPr="0089313D">
        <w:lastRenderedPageBreak/>
        <w:t xml:space="preserve">5. Απόφαση του Ευρωπαϊκού Κοινοβουλίου </w:t>
      </w:r>
      <w:r w:rsidR="00590362" w:rsidRPr="0089313D">
        <w:t xml:space="preserve">της 7ης Μαΐου 2025 </w:t>
      </w:r>
      <w:r w:rsidR="00D66ACE" w:rsidRPr="0089313D">
        <w:t>σχετικά με την απαλλαγή όσον αφορά την εκτέλεση του προϋπολογισμού του Μεταφραστικού Κέντρου των Οργάνων της Ευρωπαϊκής Ένωσης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Μεταφραστικού Κέντρου των Οργάνων της Ευρωπαϊκής Ένωσης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Κέντρου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2965/94 του Συμβουλίου, της 28ης Νοεμβρίου 1994, για τη δημιουργία Μεταφραστικού Κέντρου των οργάνων της Ευρωπαϊκής Ένωσης</w:t>
      </w:r>
      <w:r w:rsidRPr="0089313D">
        <w:rPr>
          <w:rStyle w:val="FootnoteReference"/>
        </w:rPr>
        <w:footnoteReference w:id="29"/>
      </w:r>
      <w:r w:rsidRPr="0089313D">
        <w:t>, και ιδίως το άρθρο 14,</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30"/>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 διευθύντρια του Μεταφραστικού Κέντρου των Οργάνων της Ευρωπαϊκής Ένωσης όσον αφορά την εκτέλεση του προϋπολογισμού του Κέντρου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στη διευθύντρια του Μεταφραστικού Κέντρου των Οργάνων της Ευρωπαϊκής Ένωσης,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13"/>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6. Απόφαση του Ευρωπαϊκού Κοινοβουλίου </w:t>
      </w:r>
      <w:r w:rsidR="00590362" w:rsidRPr="0089313D">
        <w:t xml:space="preserve">της 7ης Μαΐου 2025 </w:t>
      </w:r>
      <w:r w:rsidR="00D66ACE" w:rsidRPr="0089313D">
        <w:t>σχετικά με το κλείσιμο των λογαριασμών του Μεταφραστικού Κέντρου των Οργάνων της Ευρωπαϊκής Ένωσης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Μεταφραστικού Κέντρου των Οργάνων της Ευρωπαϊκής Ένωσης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Κέντρου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3"/>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2965/94 του Συμβουλίου, της 28ης Νοεμβρίου 1994, για τη δημιουργία Μεταφραστικού Κέντρου των οργάνων της Ευρωπαϊκής Ένωσης</w:t>
      </w:r>
      <w:r w:rsidRPr="0089313D">
        <w:rPr>
          <w:rStyle w:val="FootnoteReference"/>
        </w:rPr>
        <w:footnoteReference w:id="35"/>
      </w:r>
      <w:r w:rsidRPr="0089313D">
        <w:t>, και ιδίως το άρθρο 14,</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3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Μεταφραστικού Κέντρου των Οργάνων της Ευρωπαϊκής Ένωσης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στη διευθύντρια του Μεταφραστικού Κέντρου των Οργάνων της Ευρωπαϊκής Ένωσης,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D66ACE">
      <w:pPr>
        <w:pStyle w:val="PageHeadingDec"/>
        <w:sectPr w:rsidR="00D66ACE" w:rsidRPr="0089313D" w:rsidSect="00FA711E">
          <w:footerReference w:type="first" r:id="rId14"/>
          <w:footnotePr>
            <w:numRestart w:val="eachPage"/>
          </w:footnotePr>
          <w:pgSz w:w="11906" w:h="16838" w:code="9"/>
          <w:pgMar w:top="1134" w:right="1418" w:bottom="1418" w:left="1418" w:header="567" w:footer="567" w:gutter="0"/>
          <w:cols w:space="720"/>
          <w:noEndnote/>
          <w:docGrid w:linePitch="326"/>
        </w:sectPr>
      </w:pPr>
    </w:p>
    <w:p w:rsidR="00D66ACE" w:rsidRPr="0089313D" w:rsidRDefault="006D34B9" w:rsidP="00590362">
      <w:pPr>
        <w:pStyle w:val="ATHeading3"/>
      </w:pPr>
      <w:r w:rsidRPr="0089313D">
        <w:lastRenderedPageBreak/>
        <w:t xml:space="preserve">7. Απόφαση του Ευρωπαϊκού Κοινοβουλίου </w:t>
      </w:r>
      <w:r w:rsidR="00590362" w:rsidRPr="0089313D">
        <w:t xml:space="preserve">της 7ης Μαΐου 2025 </w:t>
      </w:r>
      <w:r w:rsidR="00D66ACE" w:rsidRPr="0089313D">
        <w:t>σχετικά με την απαλλαγή όσον αφορά την εκτέλεση του προϋπολογισμού του Ευρωπαϊκού Κέντρου για την Ανάπτυξη της Επαγγελματικής Κατάρτισης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Κέντρου για την Ανάπτυξη της Επαγγελματικής Κατάρτισης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Κέντρου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40"/>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2019/128 του Ευρωπαϊκού Κοινοβουλίου και του Συμβουλίου, της 16ης Ιανουαρίου 2019, σχετικά με την ίδρυση Ευρωπαϊκού Κέντρου για την Ανάπτυξη της Επαγγελματικής Κατάρτισης (Cedefop) και την κατάργηση του κανονισμού (ΕΟΚ) αριθ. 337/75 του Συμβουλίου</w:t>
      </w:r>
      <w:r w:rsidRPr="0089313D">
        <w:rPr>
          <w:rStyle w:val="FootnoteReference"/>
        </w:rPr>
        <w:footnoteReference w:id="41"/>
      </w:r>
      <w:r w:rsidRPr="0089313D">
        <w:t>, και ιδίως το άρθρο 15,</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4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εκτελεστικό διευθυντή του Ευρωπαϊκού Κέντρου για την Ανάπτυξη της Επαγγελματικής Κατάρτισης (Cedefop) όσον αφορά την εκτέλεση του προϋπολογισμού του Κέντρου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καθώς και το ψήφισμα που αποτελεί αναπόσπαστο μέρος της, στον εκτελεστικό διευθυντή του Ευρωπαϊκού Κέντρου για την Ανάπτυξη της Επαγγελματικής Κατάρτισης,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15"/>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8. Απόφαση του Ευρωπαϊκού Κοινοβουλίου </w:t>
      </w:r>
      <w:r w:rsidR="00590362" w:rsidRPr="0089313D">
        <w:t xml:space="preserve">της 7ης Μαΐου 2025 </w:t>
      </w:r>
      <w:r w:rsidR="00D66ACE" w:rsidRPr="0089313D">
        <w:t>σχετικά με το κλείσιμο των λογαριασμών του Ευρωπαϊκού Κέντρου για την Ανάπτυξη της Επαγγελματικής Κατάρτισης για το οικονομικό έτος 2023</w:t>
      </w:r>
      <w:r w:rsidRPr="0089313D">
        <w:t xml:space="preserve"> </w:t>
      </w:r>
      <w:r w:rsidR="00D66ACE" w:rsidRPr="0089313D">
        <w:t>(2024/2030(DEC))</w:t>
      </w:r>
      <w:r w:rsidR="00D66ACE" w:rsidRPr="0089313D">
        <w:rPr>
          <w:b w:val="0"/>
        </w:rPr>
        <w:t xml:space="preserve"> </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Κέντρου για την Ανάπτυξη της Επαγγελματικής Κατάρτισης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4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4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Κέντρου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4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4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2019/128 του Ευρωπαϊκού Κοινοβουλίου και του Συμβουλίου, της 16ης Ιανουαρίου 2019, σχετικά με την ίδρυση Ευρωπαϊκού Κέντρου για την Ανάπτυξη της Επαγγελματικής Κατάρτισης (Cedefop) και την κατάργηση του κανονισμού (ΕΟΚ) αριθ. 337/75 του Συμβουλίου</w:t>
      </w:r>
      <w:r w:rsidRPr="0089313D">
        <w:rPr>
          <w:rStyle w:val="FootnoteReference"/>
        </w:rPr>
        <w:footnoteReference w:id="47"/>
      </w:r>
      <w:r w:rsidRPr="0089313D">
        <w:t>, και ιδίως το άρθρο 15,</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4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Κέντρου για την Ανάπτυξη της Επαγγελματικής Κατάρτισης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εκτελεστικό διευθυντή του Ευρωπαϊκού Κέντρου για την Ανάπτυξη της Επαγγελματικής Κατάρτισης, στο Συμβούλιο, στην Επιτροπή και στο Ελεγκτικό Συνέδριο, και να μεριμνήσει για τη δημοσίευσή της στην </w:t>
      </w:r>
      <w:r w:rsidRPr="0089313D">
        <w:rPr>
          <w:i/>
        </w:rPr>
        <w:t xml:space="preserve">Επίσημη Εφημερίδα της Ευρωπαϊκής Ένωσης </w:t>
      </w:r>
      <w:r w:rsidRPr="0089313D">
        <w:t>(σειρά L).</w:t>
      </w:r>
    </w:p>
    <w:p w:rsidR="00D66ACE" w:rsidRPr="0089313D" w:rsidRDefault="00D66ACE" w:rsidP="00D66ACE">
      <w:pPr>
        <w:pStyle w:val="PageHeadingDec"/>
      </w:pPr>
    </w:p>
    <w:p w:rsidR="00D66ACE" w:rsidRPr="0089313D" w:rsidRDefault="00D66ACE" w:rsidP="00D66ACE">
      <w:pPr>
        <w:pStyle w:val="PageHeadingDec"/>
        <w:sectPr w:rsidR="00D66ACE" w:rsidRPr="0089313D" w:rsidSect="00FA711E">
          <w:footerReference w:type="first" r:id="rId16"/>
          <w:footnotePr>
            <w:numRestart w:val="eachPage"/>
          </w:footnotePr>
          <w:pgSz w:w="11906" w:h="16838" w:code="9"/>
          <w:pgMar w:top="1134" w:right="1418" w:bottom="1418" w:left="1418" w:header="567" w:footer="567" w:gutter="0"/>
          <w:cols w:space="720"/>
          <w:noEndnote/>
          <w:docGrid w:linePitch="326"/>
        </w:sectPr>
      </w:pPr>
    </w:p>
    <w:p w:rsidR="00D66ACE" w:rsidRPr="0089313D" w:rsidRDefault="006D34B9" w:rsidP="00590362">
      <w:pPr>
        <w:pStyle w:val="ATHeading3"/>
      </w:pPr>
      <w:r w:rsidRPr="0089313D">
        <w:lastRenderedPageBreak/>
        <w:t xml:space="preserve">9. Απόφαση του Ευρωπαϊκού Κοινοβουλίου </w:t>
      </w:r>
      <w:r w:rsidR="00590362" w:rsidRPr="0089313D">
        <w:t xml:space="preserve">της 7ης Μαΐου 2025 </w:t>
      </w:r>
      <w:r w:rsidR="00D66ACE" w:rsidRPr="0089313D">
        <w:t>σχετικά με την απαλλαγή όσον αφορά την εκτέλεση του προϋπολογισμού του Οργανισμού της Ευρωπαϊκής Ένωσης για την Κατάρτιση στον Τομέα της Επιβολής του Νόμου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την Κατάρτιση στον Τομέα της Επιβολής του Νόμου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4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5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5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5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2015/2219 του Ευρωπαϊκού Κοινοβουλίου και του Συμβουλίου, της 25ης Νοεμβρίου 2015, σχετικά με τον Οργανισμό της Ευρωπαϊκής Ένωσης για την Κατάρτιση στον Τομέα της Επιβολής του Νόμου (CEPOL) και για την αντικατάσταση και κατάργηση της απόφασης 2005/681/ΔΕΥ του Συμβουλίου</w:t>
      </w:r>
      <w:r w:rsidRPr="0089313D">
        <w:rPr>
          <w:rStyle w:val="FootnoteReference"/>
        </w:rPr>
        <w:footnoteReference w:id="53"/>
      </w:r>
      <w:r w:rsidRPr="0089313D">
        <w:t>, και ιδίως το άρθρο 20,</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w:t>
      </w:r>
      <w:r w:rsidRPr="0089313D">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5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στην εκτελεστική διευθύντρια του Οργανισμού της Ευρωπαϊκής Ένωσης για την Κατάρτιση στον Τομέα της Επιβολής του Νόμου (CEPOL)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αναθέτει στην Πρόεδρό του να διαβιβάσει την παρούσα απόφαση, και το ψήφισμα που αποτελεί αναπόσπαστο μέρος της, στ</w:t>
      </w:r>
      <w:r w:rsidR="005E7790" w:rsidRPr="0089313D">
        <w:t>η</w:t>
      </w:r>
      <w:r w:rsidRPr="0089313D">
        <w:t>ν εκτελεστικ</w:t>
      </w:r>
      <w:r w:rsidR="005E7790" w:rsidRPr="0089313D">
        <w:t>ή</w:t>
      </w:r>
      <w:r w:rsidRPr="0089313D">
        <w:t xml:space="preserve"> </w:t>
      </w:r>
      <w:r w:rsidR="005E7790" w:rsidRPr="0089313D">
        <w:t xml:space="preserve">διευθύντρια </w:t>
      </w:r>
      <w:r w:rsidRPr="0089313D">
        <w:t xml:space="preserve">του Οργανισμού της Ευρωπαϊκής Ένωσης για την Κατάρτιση στον Τομέα της Επιβολής του Νόμου,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17"/>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10. Απόφαση του Ευρωπαϊκού Κοινοβουλίου </w:t>
      </w:r>
      <w:r w:rsidR="00590362" w:rsidRPr="0089313D">
        <w:t xml:space="preserve">της 7ης Μαΐου 2025 </w:t>
      </w:r>
      <w:r w:rsidR="00D66ACE" w:rsidRPr="0089313D">
        <w:t>σχετικά με το κλείσιμο των λογαριασμών του Οργανισμού της Ευρωπαϊκής Ένωσης για την Κατάρτιση στον Τομέα της Επιβολής του Νόμου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την Κατάρτιση στον Τομέα της Επιβολής του Νόμου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5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5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5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5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2015/2219 του Ευρωπαϊκού Κοινοβουλίου και του Συμβουλίου, της 25ης Νοεμβρίου 2015, σχετικά με τον Οργανισμό της Ευρωπαϊκής Ένωσης για την Κατάρτιση στον Τομέα της Επιβολής του Νόμου (CEPOL) και για την αντικατάσταση και κατάργηση της απόφασης 2005/681/ΔΕΥ του Συμβουλίου</w:t>
      </w:r>
      <w:r w:rsidRPr="0089313D">
        <w:rPr>
          <w:rStyle w:val="FootnoteReference"/>
        </w:rPr>
        <w:footnoteReference w:id="59"/>
      </w:r>
      <w:r w:rsidRPr="0089313D">
        <w:t>, και ιδίως το άρθρο 20,</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w:t>
      </w:r>
      <w:r w:rsidRPr="0089313D">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60"/>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Οργανισμού της Ευρωπαϊκής Ένωσης για την Κατάρτιση στον Τομέα της Επιβολής του Νόμου για το οικονομικό έτος 2023·</w:t>
      </w:r>
    </w:p>
    <w:p w:rsidR="00D66ACE" w:rsidRPr="0089313D" w:rsidRDefault="00D66ACE" w:rsidP="00D66ACE">
      <w:pPr>
        <w:pStyle w:val="NormalHanging12a"/>
      </w:pPr>
      <w:r w:rsidRPr="0089313D">
        <w:t>2.</w:t>
      </w:r>
      <w:r w:rsidRPr="0089313D">
        <w:tab/>
        <w:t>αναθέτει στην Πρόεδρό του να διαβιβάσει την παρούσα απόφαση στ</w:t>
      </w:r>
      <w:r w:rsidR="005E7790" w:rsidRPr="0089313D">
        <w:t>ην</w:t>
      </w:r>
      <w:r w:rsidRPr="0089313D">
        <w:t xml:space="preserve"> εκτελεστικ</w:t>
      </w:r>
      <w:r w:rsidR="005E7790" w:rsidRPr="0089313D">
        <w:t>ή</w:t>
      </w:r>
      <w:r w:rsidRPr="0089313D">
        <w:t xml:space="preserve"> </w:t>
      </w:r>
      <w:r w:rsidR="005E7790" w:rsidRPr="0089313D">
        <w:t xml:space="preserve">διευθύντρια </w:t>
      </w:r>
      <w:r w:rsidRPr="0089313D">
        <w:t xml:space="preserve">του Οργανισμού της Ευρωπαϊκής Ένωσης για την Κατάρτιση στον Τομέα της Επιβολής του Νόμου,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6D34B9">
      <w:pPr>
        <w:pStyle w:val="PageHeadingDec"/>
        <w:jc w:val="left"/>
      </w:pPr>
    </w:p>
    <w:p w:rsidR="00D66ACE" w:rsidRPr="0089313D" w:rsidRDefault="00D66ACE" w:rsidP="00D66ACE">
      <w:pPr>
        <w:pStyle w:val="PageHeadingDec"/>
        <w:sectPr w:rsidR="00D66ACE" w:rsidRPr="0089313D" w:rsidSect="00FA711E">
          <w:footerReference w:type="first" r:id="rId18"/>
          <w:footnotePr>
            <w:numRestart w:val="eachPage"/>
          </w:footnotePr>
          <w:pgSz w:w="11906" w:h="16838" w:code="9"/>
          <w:pgMar w:top="1134" w:right="1418" w:bottom="1418" w:left="1418" w:header="567" w:footer="567" w:gutter="0"/>
          <w:cols w:space="720"/>
          <w:noEndnote/>
          <w:docGrid w:linePitch="326"/>
        </w:sectPr>
      </w:pPr>
    </w:p>
    <w:p w:rsidR="00D66ACE" w:rsidRPr="0089313D" w:rsidRDefault="006D34B9" w:rsidP="00590362">
      <w:pPr>
        <w:pStyle w:val="ATHeading3"/>
      </w:pPr>
      <w:r w:rsidRPr="0089313D">
        <w:lastRenderedPageBreak/>
        <w:t xml:space="preserve">11. Απόφαση του Ευρωπαϊκού Κοινοβουλίου </w:t>
      </w:r>
      <w:r w:rsidR="00590362" w:rsidRPr="0089313D">
        <w:t xml:space="preserve">της 7ης Μαΐου 2025 </w:t>
      </w:r>
      <w:r w:rsidR="00D66ACE" w:rsidRPr="0089313D">
        <w:t>σχετικά με την απαλλαγή όσον αφορά την εκτέλεση του προϋπολογισμού του Οργανισμού της Ευρωπαϊκής Ένωσης για την Ασφάλεια της Αεροπορίας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την Ασφάλεια της Αεροπορίας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6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6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63"/>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64"/>
      </w:r>
      <w:r w:rsidRPr="0089313D">
        <w:t>, και ιδίως το άρθρο 70,</w:t>
      </w:r>
    </w:p>
    <w:p w:rsidR="00D66ACE" w:rsidRPr="0089313D" w:rsidRDefault="00D66ACE" w:rsidP="00D66ACE">
      <w:pPr>
        <w:pStyle w:val="NormalHanging12a"/>
      </w:pPr>
      <w:r w:rsidRPr="0089313D">
        <w:t>–</w:t>
      </w:r>
      <w:r w:rsidRPr="0089313D">
        <w:tab/>
        <w:t xml:space="preserve">έχοντας υπόψη τον κανονισμό (ΕΕ) 2018/1139 του Ευρωπαϊκού Κοινοβουλίου και του Συμβουλίου, της 4ης Ιουλίου 2018, για τη θέσπιση κοινών κανόνων στον τομέα της πολιτικής αεροπορίας και την ίδρυση Οργανισμού της Ευρωπαϊκής Ένωσης για την Ασφάλεια της Αεροπορίας, και για την τροποποίηση των κανονισμών (ΕΚ) αριθ. 2111/2005, (ΕΚ) αριθ. 1008/2008, (ΕΕ) αριθ. 996/2010, (ΕΕ) αριθ. 376/2014 και των οδηγιών 2014/30/ΕΕ και 2014/53/ΕΕ του Ευρωπαϊκού Κοινοβουλίου και του Συμβουλίου, καθώς και για την κατάργηση των κανονισμών (ΕΚ) αριθ. 552/2004 και (ΕΚ) αριθ. 216/2008 του Ευρωπαϊκού Κοινοβουλίου και του Συμβουλίου και του </w:t>
      </w:r>
      <w:r w:rsidRPr="0089313D">
        <w:lastRenderedPageBreak/>
        <w:t>κανονισμού (ΕΟΚ) αριθ. 3922/91 του Συμβουλίου</w:t>
      </w:r>
      <w:r w:rsidRPr="0089313D">
        <w:rPr>
          <w:rStyle w:val="FootnoteReference"/>
        </w:rPr>
        <w:footnoteReference w:id="65"/>
      </w:r>
      <w:r w:rsidRPr="0089313D">
        <w:t>, και ιδίως το άρθρο 121,</w:t>
      </w:r>
    </w:p>
    <w:p w:rsidR="00D66ACE" w:rsidRPr="0089313D" w:rsidRDefault="00D66ACE" w:rsidP="00D66ACE">
      <w:pPr>
        <w:pStyle w:val="NormalHanging12a"/>
      </w:pPr>
      <w:r w:rsidRPr="0089313D">
        <w:t>–</w:t>
      </w:r>
      <w:r w:rsidRPr="0089313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6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εκτελεστικό διευθυντή του Οργανισμού της Ευρωπαϊκής Ένωσης για την Ασφάλεια της Αεροπορίας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αναθέτει στην Πρόεδρό του να διαβιβάσει την παρούσα απόφαση και το ψήφισμα που αποτελεί αναπόσπαστο μέρος της στον εκτελεστικ</w:t>
      </w:r>
      <w:r w:rsidR="00607F93" w:rsidRPr="0089313D">
        <w:t>ό</w:t>
      </w:r>
      <w:r w:rsidRPr="0089313D">
        <w:t xml:space="preserve"> διευθυντή του Οργανισμού της Ευρωπαϊκής Ένωσης για την Ασφάλεια της Αεροπορίας,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19"/>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12. Απόφαση του Ευρωπαϊκού Κοινοβουλίου </w:t>
      </w:r>
      <w:r w:rsidR="00590362" w:rsidRPr="0089313D">
        <w:t xml:space="preserve">της 7ης Μαΐου 2025 </w:t>
      </w:r>
      <w:r w:rsidR="00D66ACE" w:rsidRPr="0089313D">
        <w:t>σχετικά με το κλείσιμο των λογαριασμών του Οργανισμού της Ευρωπαϊκής Ένωσης για την Ασφάλεια της Αεροπορίας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την Ασφάλεια της Αεροπορίας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6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6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6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70"/>
      </w:r>
      <w:r w:rsidRPr="0089313D">
        <w:t>, και ιδίως το άρθρο 70,</w:t>
      </w:r>
    </w:p>
    <w:p w:rsidR="00D66ACE" w:rsidRPr="0089313D" w:rsidRDefault="00D66ACE" w:rsidP="00D66ACE">
      <w:pPr>
        <w:pStyle w:val="NormalHanging12a"/>
      </w:pPr>
      <w:r w:rsidRPr="0089313D">
        <w:t>–</w:t>
      </w:r>
      <w:r w:rsidRPr="0089313D">
        <w:tab/>
        <w:t xml:space="preserve">έχοντας υπόψη τον κανονισμό (ΕΕ) 2018/1139 του Ευρωπαϊκού Κοινοβουλίου και του Συμβουλίου, της 4ης Ιουλίου 2018, για τη θέσπιση κοινών κανόνων στον τομέα της πολιτικής αεροπορίας και την ίδρυση Οργανισμού της Ευρωπαϊκής Ένωσης για την Ασφάλεια της Αεροπορίας, και για την τροποποίηση των κανονισμών (ΕΚ) αριθ. 2111/2005, (ΕΚ) αριθ. 1008/2008, (ΕΕ) αριθ. 996/2010, (ΕΕ) αριθ. 376/2014 και των οδηγιών 2014/30/ΕΕ και 2014/53/ΕΕ του Ευρωπαϊκού Κοινοβουλίου και του Συμβουλίου, καθώς και για την κατάργηση των κανονισμών (ΕΚ) αριθ. 552/2004 και (ΕΚ) αριθ. 216/2008 του Ευρωπαϊκού Κοινοβουλίου και του Συμβουλίου και του </w:t>
      </w:r>
      <w:r w:rsidRPr="0089313D">
        <w:lastRenderedPageBreak/>
        <w:t>κανονισμού (ΕΟΚ) αριθ. 3922/91 του Συμβουλίου</w:t>
      </w:r>
      <w:r w:rsidRPr="0089313D">
        <w:rPr>
          <w:rStyle w:val="FootnoteReference"/>
        </w:rPr>
        <w:footnoteReference w:id="71"/>
      </w:r>
      <w:r w:rsidRPr="0089313D">
        <w:t>, και ιδίως το άρθρο 121,</w:t>
      </w:r>
    </w:p>
    <w:p w:rsidR="00D66ACE" w:rsidRPr="0089313D" w:rsidRDefault="00D66ACE" w:rsidP="00D66ACE">
      <w:pPr>
        <w:pStyle w:val="NormalHanging12a"/>
      </w:pPr>
      <w:r w:rsidRPr="0089313D">
        <w:t>–</w:t>
      </w:r>
      <w:r w:rsidRPr="0089313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7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Οργανισμού της Ευρωπαϊκής Ένωσης για την Ασφάλεια της Αεροπορίας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εκτελεστικό διευθυντή του Οργανισμού της Ευρωπαϊκής Ένωσης για την Ασφάλεια της Αεροπορίας, στο Συμβούλιο, στην Επιτροπή και στο Ελεγκτικό Συνέδριο, και να μεριμνήσει για τη δημοσίευσή της στην </w:t>
      </w:r>
      <w:r w:rsidRPr="0089313D">
        <w:rPr>
          <w:i/>
        </w:rPr>
        <w:t xml:space="preserve">Επίσημη Εφημερίδα της Ευρωπαϊκής Ένωσης </w:t>
      </w:r>
      <w:r w:rsidRPr="0089313D">
        <w:t>(σειρά L).</w:t>
      </w:r>
    </w:p>
    <w:p w:rsidR="00D66ACE" w:rsidRPr="0089313D" w:rsidRDefault="00D66ACE" w:rsidP="006D34B9">
      <w:pPr>
        <w:pStyle w:val="PageHeadingDec"/>
        <w:jc w:val="left"/>
      </w:pPr>
    </w:p>
    <w:p w:rsidR="00D66ACE" w:rsidRPr="0089313D" w:rsidRDefault="00D66ACE" w:rsidP="00D66ACE">
      <w:pPr>
        <w:pStyle w:val="PageHeadingDec"/>
        <w:sectPr w:rsidR="00D66ACE" w:rsidRPr="0089313D" w:rsidSect="00FA711E">
          <w:footerReference w:type="first" r:id="rId20"/>
          <w:footnotePr>
            <w:numRestart w:val="eachPage"/>
          </w:footnotePr>
          <w:pgSz w:w="11906" w:h="16838" w:code="9"/>
          <w:pgMar w:top="1134" w:right="1418" w:bottom="1418" w:left="1418" w:header="567" w:footer="567" w:gutter="0"/>
          <w:cols w:space="720"/>
          <w:noEndnote/>
          <w:docGrid w:linePitch="326"/>
        </w:sectPr>
      </w:pPr>
    </w:p>
    <w:p w:rsidR="00D66ACE" w:rsidRPr="0089313D" w:rsidRDefault="006D34B9" w:rsidP="00590362">
      <w:pPr>
        <w:pStyle w:val="ATHeading3"/>
      </w:pPr>
      <w:r w:rsidRPr="0089313D">
        <w:lastRenderedPageBreak/>
        <w:t xml:space="preserve">13. Απόφαση του Ευρωπαϊκού Κοινοβουλίου </w:t>
      </w:r>
      <w:r w:rsidR="00590362" w:rsidRPr="0089313D">
        <w:t xml:space="preserve">της 7ης Μαΐου 2025 </w:t>
      </w:r>
      <w:r w:rsidR="00D66ACE" w:rsidRPr="0089313D">
        <w:t>σχετικά με την απαλλαγή όσον αφορά την εκτέλεση του προϋπολογισμού της Ευρωπαϊκής Αρχής Τραπεζών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της Ευρωπαϊκής Αρχής Τραπεζών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7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7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της Αρχής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7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7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w:t>
      </w:r>
      <w:r w:rsidRPr="0089313D">
        <w:rPr>
          <w:rStyle w:val="FootnoteReference"/>
        </w:rPr>
        <w:footnoteReference w:id="77"/>
      </w:r>
      <w:r w:rsidRPr="0089313D">
        <w:t>, και ιδίως το άρθρο 64,</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7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εκτελεστικό διευθυντή της Ευρωπαϊκής Αρχής Τραπεζών όσον αφορά την εκτέλεση του προϋπολογισμού της Αρχής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Ευρωπαϊκής Αρχής Τραπεζών, στο Συμβούλιο, στην Επιτροπή και στο Ελεγκτικό Συνέδριο, και να μεριμνήσει για τη δημοσίευσή τους στην </w:t>
      </w:r>
      <w:r w:rsidRPr="0089313D">
        <w:rPr>
          <w:i/>
        </w:rPr>
        <w:t xml:space="preserve">Επίσημη Εφημερίδα της Ευρωπαϊκής Ένωσης </w:t>
      </w:r>
      <w:r w:rsidRPr="0089313D">
        <w:t>(σειρά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21"/>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14. Απόφαση του Ευρωπαϊκού Κοινοβουλίου </w:t>
      </w:r>
      <w:r w:rsidR="00590362" w:rsidRPr="0089313D">
        <w:t xml:space="preserve">της 7ης Μαΐου 2025 </w:t>
      </w:r>
      <w:r w:rsidR="00D66ACE" w:rsidRPr="0089313D">
        <w:t>σχετικά με το κλείσιμο των λογαριασμών της Ευρωπαϊκής Αρχής Τραπεζών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της Ευρωπαϊκής Αρχής Τραπεζών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7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8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της Αρχής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8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8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w:t>
      </w:r>
      <w:r w:rsidRPr="0089313D">
        <w:rPr>
          <w:rStyle w:val="FootnoteReference"/>
        </w:rPr>
        <w:footnoteReference w:id="83"/>
      </w:r>
      <w:r w:rsidRPr="0089313D">
        <w:t>, και ιδίως το άρθρο 64,</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8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της Ευρωπαϊκής Αρχής Τραπεζών για το οικονομικό έτος 2023·</w:t>
      </w:r>
    </w:p>
    <w:p w:rsidR="00D66ACE" w:rsidRPr="0089313D" w:rsidRDefault="00D66ACE" w:rsidP="00D66ACE">
      <w:pPr>
        <w:pStyle w:val="NormalHanging12a"/>
      </w:pPr>
      <w:r w:rsidRPr="0089313D">
        <w:t>2.</w:t>
      </w:r>
      <w:r w:rsidRPr="0089313D">
        <w:tab/>
        <w:t>αναθέτει στην Πρόεδρό του να διαβιβάσει την παρούσα απόφαση στον εκτελεστικό διευθυντή της Ευρωπαϊκής Αρχής Τραπεζών, στο Συμβούλιο, στην Επιτροπή και στο Ελεγκτικό Συνέδριο, και να μεριμνήσει για τη δημοσίευσή της στην</w:t>
      </w:r>
      <w:r w:rsidRPr="0089313D">
        <w:rPr>
          <w:i/>
        </w:rPr>
        <w:t xml:space="preserve"> Επίσημη Εφημερίδα της Ευρωπαϊκής Ένωσης</w:t>
      </w:r>
      <w:r w:rsidRPr="0089313D">
        <w:t xml:space="preserve"> (σειρά L).</w:t>
      </w:r>
    </w:p>
    <w:p w:rsidR="00D66ACE" w:rsidRPr="0089313D" w:rsidRDefault="00D66ACE" w:rsidP="006D34B9">
      <w:pPr>
        <w:pStyle w:val="PageHeadingDec"/>
        <w:jc w:val="left"/>
      </w:pPr>
    </w:p>
    <w:p w:rsidR="00D66ACE" w:rsidRPr="0089313D" w:rsidRDefault="00D66ACE" w:rsidP="00D66ACE">
      <w:pPr>
        <w:pStyle w:val="PageHeadingDec"/>
        <w:sectPr w:rsidR="00D66ACE" w:rsidRPr="0089313D" w:rsidSect="00FA711E">
          <w:footerReference w:type="first" r:id="rId22"/>
          <w:footnotePr>
            <w:numRestart w:val="eachPage"/>
          </w:footnotePr>
          <w:pgSz w:w="11906" w:h="16838" w:code="9"/>
          <w:pgMar w:top="1134" w:right="1418" w:bottom="1418" w:left="1418" w:header="567" w:footer="567" w:gutter="0"/>
          <w:cols w:space="720"/>
          <w:noEndnote/>
          <w:docGrid w:linePitch="326"/>
        </w:sectPr>
      </w:pPr>
    </w:p>
    <w:p w:rsidR="00D66ACE" w:rsidRPr="0089313D" w:rsidRDefault="006D34B9" w:rsidP="00590362">
      <w:pPr>
        <w:pStyle w:val="ATHeading3"/>
      </w:pPr>
      <w:r w:rsidRPr="0089313D">
        <w:lastRenderedPageBreak/>
        <w:t xml:space="preserve">15. Απόφαση του Ευρωπαϊκού Κοινοβουλίου </w:t>
      </w:r>
      <w:r w:rsidR="00590362" w:rsidRPr="0089313D">
        <w:t xml:space="preserve">της 7ης Μαΐου 2025 </w:t>
      </w:r>
      <w:r w:rsidR="00D66ACE" w:rsidRPr="0089313D">
        <w:t>σχετικά με την απαλλαγή όσον αφορά την εκτέλεση του προϋπολογισμού του Ευρωπαϊκού Κέντρου Πρόληψης και Ελέγχου Νόσων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Κέντρου Πρόληψης και Ελέγχου Νόσων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8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8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Κέντρου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8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8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851/2004 του Ευρωπαϊκού Κοινοβουλίου και του Συμβουλίου, της 21ης Απριλίου 2004, για την ίδρυση του Ευρωπαϊκού Κέντρου Πρόληψης και Ελέγχου Νόσων</w:t>
      </w:r>
      <w:r w:rsidRPr="0089313D">
        <w:rPr>
          <w:rStyle w:val="FootnoteReference"/>
        </w:rPr>
        <w:footnoteReference w:id="89"/>
      </w:r>
      <w:r w:rsidRPr="0089313D">
        <w:t>, και ιδίως το άρθρο 23,</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90"/>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 διευθύντρια του Ευρωπαϊκού Κέντρου Πρόληψης και Ελέγχου Νόσων όσον αφορά την εκτέλεση του προϋπολογισμού του Κέντρου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στη διευθύντρια του Ευρωπαϊκού Κέντρου Πρόληψης και Ελέγχου Νόσων,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23"/>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16. Απόφαση του Ευρωπαϊκού Κοινοβουλίου </w:t>
      </w:r>
      <w:r w:rsidR="00590362" w:rsidRPr="0089313D">
        <w:t xml:space="preserve">της 7ης Μαΐου 2025 </w:t>
      </w:r>
      <w:r w:rsidR="00D66ACE" w:rsidRPr="0089313D">
        <w:t>σχετικά με το κλείσιμο των λογαριασμών του Ευρωπαϊκού Κέντρου Πρόληψης και Ελέγχου Νόσων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Κέντρου Πρόληψης και Ελέγχου Νόσων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9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9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Κέντρου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93"/>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9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851/2004 του Ευρωπαϊκού Κοινοβουλίου και του Συμβουλίου, της 21ης Απριλίου 2004, για την ίδρυση του Ευρωπαϊκού Κέντρου Πρόληψης και Ελέγχου Νόσων</w:t>
      </w:r>
      <w:r w:rsidRPr="0089313D">
        <w:rPr>
          <w:rStyle w:val="FootnoteReference"/>
        </w:rPr>
        <w:footnoteReference w:id="95"/>
      </w:r>
      <w:r w:rsidRPr="0089313D">
        <w:t>, και ιδίως το άρθρο 23,</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9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Κέντρου Πρόληψης και Ελέγχου Νόσων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στη </w:t>
      </w:r>
      <w:r w:rsidR="009960D7" w:rsidRPr="0089313D">
        <w:t>δ</w:t>
      </w:r>
      <w:r w:rsidRPr="0089313D">
        <w:t xml:space="preserve">ιευθύντρια του Ευρωπαϊκού Κέντρου Πρόληψης και Ελέγχου Νόσων,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6D34B9">
      <w:pPr>
        <w:pStyle w:val="PageHeadingDec"/>
        <w:jc w:val="left"/>
      </w:pPr>
    </w:p>
    <w:p w:rsidR="00D66ACE" w:rsidRPr="0089313D" w:rsidRDefault="00D66ACE" w:rsidP="00D66ACE">
      <w:pPr>
        <w:pStyle w:val="PageHeadingDec"/>
        <w:sectPr w:rsidR="00D66ACE" w:rsidRPr="0089313D" w:rsidSect="00FA711E">
          <w:footerReference w:type="first" r:id="rId24"/>
          <w:footnotePr>
            <w:numRestart w:val="eachPage"/>
          </w:footnotePr>
          <w:pgSz w:w="11906" w:h="16838" w:code="9"/>
          <w:pgMar w:top="1134" w:right="1418" w:bottom="1418" w:left="1418" w:header="567" w:footer="567" w:gutter="0"/>
          <w:cols w:space="720"/>
          <w:noEndnote/>
          <w:docGrid w:linePitch="326"/>
        </w:sectPr>
      </w:pPr>
    </w:p>
    <w:p w:rsidR="00D66ACE" w:rsidRPr="0089313D" w:rsidRDefault="006D34B9" w:rsidP="00590362">
      <w:pPr>
        <w:pStyle w:val="ATHeading3"/>
      </w:pPr>
      <w:r w:rsidRPr="0089313D">
        <w:lastRenderedPageBreak/>
        <w:t xml:space="preserve">17. Απόφαση του Ευρωπαϊκού Κοινοβουλίου </w:t>
      </w:r>
      <w:r w:rsidR="00590362" w:rsidRPr="0089313D">
        <w:t xml:space="preserve">της 7ης Μαΐου 2025 </w:t>
      </w:r>
      <w:r w:rsidR="00D66ACE" w:rsidRPr="0089313D">
        <w:t>σχετικά με την απαλλαγή όσον αφορά την εκτέλεση του προϋπολογισμού του Ευρωπαϊκού Οργανισμού Χημικών Προϊόντων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Χημικών Προϊόντων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9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9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9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00"/>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w:t>
      </w:r>
      <w:r w:rsidRPr="0089313D">
        <w:rPr>
          <w:rStyle w:val="FootnoteReference"/>
        </w:rPr>
        <w:footnoteReference w:id="101"/>
      </w:r>
      <w:r w:rsidRPr="0089313D">
        <w:t>, και ιδίως το άρθρο 97,</w:t>
      </w:r>
    </w:p>
    <w:p w:rsidR="00D66ACE" w:rsidRPr="0089313D" w:rsidRDefault="00D66ACE" w:rsidP="00D66ACE">
      <w:pPr>
        <w:pStyle w:val="NormalHanging12a"/>
      </w:pPr>
      <w:r w:rsidRPr="0089313D">
        <w:lastRenderedPageBreak/>
        <w:t>–</w:t>
      </w:r>
      <w:r w:rsidRPr="0089313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10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στην εκτελεστική διευθύντρια του Ευρωπαϊκού Οργανισμού Χημικών Προϊόντων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Χημικών Προϊόντων,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25"/>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18. Απόφαση του Ευρωπαϊκού Κοινοβουλίου </w:t>
      </w:r>
      <w:r w:rsidR="00590362" w:rsidRPr="0089313D">
        <w:t xml:space="preserve">της 7ης Μαΐου 2025 </w:t>
      </w:r>
      <w:r w:rsidR="00D66ACE" w:rsidRPr="0089313D">
        <w:t>σχετικά με το κλείσιμο των λογαριασμών του Ευρωπαϊκού Οργανισμού Χημικών Προϊόντων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Χημικών Προϊόντων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0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0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0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0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w:t>
      </w:r>
      <w:r w:rsidRPr="0089313D">
        <w:rPr>
          <w:rStyle w:val="FootnoteReference"/>
        </w:rPr>
        <w:footnoteReference w:id="107"/>
      </w:r>
      <w:r w:rsidRPr="0089313D">
        <w:t>, και ιδίως το άρθρο 97,</w:t>
      </w:r>
    </w:p>
    <w:p w:rsidR="00D66ACE" w:rsidRPr="0089313D" w:rsidRDefault="00D66ACE" w:rsidP="00D66ACE">
      <w:pPr>
        <w:pStyle w:val="NormalHanging12a"/>
      </w:pPr>
      <w:r w:rsidRPr="0089313D">
        <w:lastRenderedPageBreak/>
        <w:t>–</w:t>
      </w:r>
      <w:r w:rsidRPr="0089313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10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Οργανισμού Χημικών Προϊόντων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στην εκτελεστική διευθύντρια του Ευρωπαϊκού Οργανισμού Χημικών Προϊόντων,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6D34B9">
      <w:pPr>
        <w:pStyle w:val="PageHeadingDec"/>
        <w:jc w:val="left"/>
      </w:pPr>
    </w:p>
    <w:p w:rsidR="00D66ACE" w:rsidRPr="0089313D" w:rsidRDefault="00D66ACE" w:rsidP="00D66ACE">
      <w:pPr>
        <w:pStyle w:val="PageHeadingDec"/>
        <w:sectPr w:rsidR="00D66ACE" w:rsidRPr="0089313D" w:rsidSect="00FA711E">
          <w:footerReference w:type="first" r:id="rId26"/>
          <w:footnotePr>
            <w:numRestart w:val="eachPage"/>
          </w:footnotePr>
          <w:pgSz w:w="11906" w:h="16838" w:code="9"/>
          <w:pgMar w:top="1134" w:right="1418" w:bottom="1418" w:left="1418" w:header="567" w:footer="567" w:gutter="0"/>
          <w:cols w:space="720"/>
          <w:noEndnote/>
          <w:docGrid w:linePitch="326"/>
        </w:sectPr>
      </w:pPr>
    </w:p>
    <w:p w:rsidR="00D66ACE" w:rsidRPr="0089313D" w:rsidRDefault="006D34B9" w:rsidP="00590362">
      <w:pPr>
        <w:pStyle w:val="ATHeading3"/>
      </w:pPr>
      <w:r w:rsidRPr="0089313D">
        <w:lastRenderedPageBreak/>
        <w:t xml:space="preserve">19. Απόφαση του Ευρωπαϊκού Κοινοβουλίου </w:t>
      </w:r>
      <w:r w:rsidR="00590362" w:rsidRPr="0089313D">
        <w:t xml:space="preserve">της 7ης Μαΐου 2025 </w:t>
      </w:r>
      <w:r w:rsidR="00D66ACE" w:rsidRPr="0089313D">
        <w:t>σχετικά με την απαλλαγή όσον αφορά την εκτέλεση του προϋπολογισμού του Ευρωπαϊκού Οργανισμού Περιβάλλοντος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Περιβάλλοντος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0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1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1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1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401/2009 του Ευρωπαϊκού Κοινοβουλίου και του Συμβουλίου, της 23ης Απριλίου 2009, για τον ευρωπαϊκό οργανισμό περιβάλλοντος και το ευρωπαϊκό δίκτυο πληροφοριών και παρατηρήσεων σχετικά με το περιβάλλον</w:t>
      </w:r>
      <w:r w:rsidRPr="0089313D">
        <w:rPr>
          <w:rStyle w:val="FootnoteReference"/>
        </w:rPr>
        <w:footnoteReference w:id="113"/>
      </w:r>
      <w:r w:rsidRPr="0089313D">
        <w:t>, και ιδίως το άρθρο 13,</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11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εκτελεστικό διευθυντή του Ευρωπαϊκού Οργανισμού Περιβάλλοντος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Περιβάλλοντος,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27"/>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20. Απόφαση του Ευρωπαϊκού Κοινοβουλίου </w:t>
      </w:r>
      <w:r w:rsidR="00590362" w:rsidRPr="0089313D">
        <w:t xml:space="preserve">της 7ης Μαΐου 2025 </w:t>
      </w:r>
      <w:r w:rsidR="00D66ACE" w:rsidRPr="0089313D">
        <w:t>σχετικά με το κλείσιμο των λογαριασμών του Ευρωπαϊκού Οργανισμού Περιβάλλοντος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Περιβάλλοντος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1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1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1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1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401/2009 του Ευρωπαϊκού Κοινοβουλίου και του Συμβουλίου, της 23ης Απριλίου 2009, για τον ευρωπαϊκό οργανισμό περιβάλλοντος και το ευρωπαϊκό δίκτυο πληροφοριών και παρατηρήσεων σχετικά με το περιβάλλον</w:t>
      </w:r>
      <w:r w:rsidRPr="0089313D">
        <w:rPr>
          <w:rStyle w:val="FootnoteReference"/>
        </w:rPr>
        <w:footnoteReference w:id="119"/>
      </w:r>
      <w:r w:rsidRPr="0089313D">
        <w:t>, και ιδίως το άρθρο 13,</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120"/>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Οργανισμού Περιβάλλοντος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στην εκτελεστική διευθύντρια του Ευρωπαϊκού Οργανισμού Περιβάλλοντος,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6D34B9">
      <w:pPr>
        <w:pStyle w:val="PageHeadingDec"/>
        <w:jc w:val="left"/>
      </w:pPr>
    </w:p>
    <w:p w:rsidR="00D66ACE" w:rsidRPr="0089313D" w:rsidRDefault="00D66ACE" w:rsidP="00D66ACE">
      <w:pPr>
        <w:pStyle w:val="PageHeadingDec"/>
        <w:sectPr w:rsidR="00D66ACE" w:rsidRPr="0089313D" w:rsidSect="00FA711E">
          <w:footerReference w:type="first" r:id="rId28"/>
          <w:footnotePr>
            <w:numRestart w:val="eachPage"/>
          </w:footnotePr>
          <w:pgSz w:w="11906" w:h="16838" w:code="9"/>
          <w:pgMar w:top="1134" w:right="1418" w:bottom="1418" w:left="1418" w:header="567" w:footer="567" w:gutter="0"/>
          <w:cols w:space="720"/>
          <w:noEndnote/>
          <w:docGrid w:linePitch="326"/>
        </w:sectPr>
      </w:pPr>
    </w:p>
    <w:p w:rsidR="00D66ACE" w:rsidRPr="0089313D" w:rsidRDefault="006D34B9" w:rsidP="00590362">
      <w:pPr>
        <w:pStyle w:val="ATHeading3"/>
      </w:pPr>
      <w:r w:rsidRPr="0089313D">
        <w:lastRenderedPageBreak/>
        <w:t xml:space="preserve">21. Απόφαση του Ευρωπαϊκού Κοινοβουλίου </w:t>
      </w:r>
      <w:r w:rsidR="00590362" w:rsidRPr="0089313D">
        <w:t xml:space="preserve">της 7ης Μαΐου 2025 </w:t>
      </w:r>
      <w:r w:rsidR="00D66ACE" w:rsidRPr="0089313D">
        <w:t>σχετικά με την απαλλαγή όσον αφορά την εκτέλεση του προϋπολογισμού της Ευρωπαϊκής Υπηρεσίας Ελέγχου της Αλιείας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της Ευρωπαϊκής Υπηρεσίας Ελέγχου της Αλιείας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2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2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23"/>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2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2019/473 του Ευρωπαϊκού Κοινοβουλίου και του Συμβουλίου, της 19ης Μαρτίου 2019, για την Ευρωπαϊκή Υπηρεσία Ελέγχου της Αλιείας</w:t>
      </w:r>
      <w:r w:rsidRPr="0089313D">
        <w:rPr>
          <w:rStyle w:val="FootnoteReference"/>
        </w:rPr>
        <w:footnoteReference w:id="125"/>
      </w:r>
      <w:r w:rsidRPr="0089313D">
        <w:t>, και ιδίως το άρθρο 45,</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12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w:t>
      </w:r>
      <w:r w:rsidR="009960D7" w:rsidRPr="0089313D">
        <w:t>ην</w:t>
      </w:r>
      <w:r w:rsidRPr="0089313D">
        <w:t xml:space="preserve"> εκτελεστικ</w:t>
      </w:r>
      <w:r w:rsidR="009960D7" w:rsidRPr="0089313D">
        <w:t>ή</w:t>
      </w:r>
      <w:r w:rsidRPr="0089313D">
        <w:t xml:space="preserve"> διευθ</w:t>
      </w:r>
      <w:r w:rsidR="009960D7" w:rsidRPr="0089313D">
        <w:t>ύντρια</w:t>
      </w:r>
      <w:r w:rsidRPr="0089313D">
        <w:t xml:space="preserve"> της Ευρωπαϊκής Υπηρεσίας Ελέγχου της Αλιείας όσον αφορά την εκτέλεση του προϋπολογισμού της Υπηρεσίας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της Ευρωπαϊκής Υπηρεσίας Ελέγχου της Αλιείας,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29"/>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22. Απόφαση του Ευρωπαϊκού Κοινοβουλίου </w:t>
      </w:r>
      <w:r w:rsidR="00590362" w:rsidRPr="0089313D">
        <w:t xml:space="preserve">της 7ης Μαΐου 2025 </w:t>
      </w:r>
      <w:r w:rsidR="00D66ACE" w:rsidRPr="0089313D">
        <w:t>σχετικά με το κλείσιμο των λογαριασμών της Ευρωπαϊκής Υπηρεσίας Ελέγχου της Αλιείας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της Ευρωπαϊκής Υπηρεσίας Ελέγχου της Αλιείας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2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2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2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30"/>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2019/473 του Ευρωπαϊκού Κοινοβουλίου και του Συμβουλίου, της 19ης Μαρτίου 2019, για την Ευρωπαϊκή Υπηρεσία Ελέγχου της Αλιείας</w:t>
      </w:r>
      <w:r w:rsidRPr="0089313D">
        <w:rPr>
          <w:rStyle w:val="FootnoteReference"/>
        </w:rPr>
        <w:footnoteReference w:id="131"/>
      </w:r>
      <w:r w:rsidRPr="0089313D">
        <w:t>, και ιδίως το άρθρο 45,</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13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της Ευρωπαϊκής Υπηρεσίας Ελέγχου της Αλιείας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στην εκτελεστική διευθύντρια της Ευρωπαϊκής Υπηρεσίας Ελέγχου της Αλιείας,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6D34B9">
      <w:pPr>
        <w:pStyle w:val="PageHeadingDec"/>
        <w:jc w:val="left"/>
      </w:pPr>
    </w:p>
    <w:p w:rsidR="00D66ACE" w:rsidRPr="0089313D" w:rsidRDefault="00D66ACE" w:rsidP="00D66ACE">
      <w:pPr>
        <w:pStyle w:val="PageHeadingDec"/>
        <w:sectPr w:rsidR="00D66ACE" w:rsidRPr="0089313D" w:rsidSect="00FA711E">
          <w:footerReference w:type="first" r:id="rId30"/>
          <w:footnotePr>
            <w:numRestart w:val="eachPage"/>
          </w:footnotePr>
          <w:pgSz w:w="11906" w:h="16838" w:code="9"/>
          <w:pgMar w:top="1134" w:right="1418" w:bottom="1418" w:left="1418" w:header="567" w:footer="567" w:gutter="0"/>
          <w:cols w:space="720"/>
          <w:noEndnote/>
          <w:docGrid w:linePitch="326"/>
        </w:sectPr>
      </w:pPr>
    </w:p>
    <w:p w:rsidR="00D66ACE" w:rsidRPr="0089313D" w:rsidRDefault="006D34B9" w:rsidP="00590362">
      <w:pPr>
        <w:pStyle w:val="ATHeading3"/>
      </w:pPr>
      <w:r w:rsidRPr="0089313D">
        <w:lastRenderedPageBreak/>
        <w:t xml:space="preserve">23. Απόφαση του Ευρωπαϊκού Κοινοβουλίου </w:t>
      </w:r>
      <w:r w:rsidR="00590362" w:rsidRPr="0089313D">
        <w:t xml:space="preserve">της 7ης Μαΐου 2025 </w:t>
      </w:r>
      <w:r w:rsidR="00D66ACE" w:rsidRPr="0089313D">
        <w:t>σχετικά με την απαλλαγή όσον αφορά την εκτέλεση του προϋπολογισμού της Ευρωπαϊκής Αρχής για την Ασφάλεια των Τροφίμων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της Ευρωπαϊκής Αρχής για την Ασφάλεια των Τροφίμων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3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3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της Αρχής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3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3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w:t>
      </w:r>
      <w:r w:rsidRPr="0089313D">
        <w:rPr>
          <w:rStyle w:val="FootnoteReference"/>
        </w:rPr>
        <w:footnoteReference w:id="137"/>
      </w:r>
      <w:r w:rsidRPr="0089313D">
        <w:t>, και ιδίως το άρθρο 44,</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13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ασκούντα χρέη εκτελεστικού διευθυντή της Ευρωπαϊκής Αρχής για την Ασφάλεια των Τροφίμων όσον αφορά την εκτέλεση του προϋπολογισμού της Αρχής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στον ασκούντα καθήκοντα εκτελεστικού διευθυντή της Ευρωπαϊκής Αρχής για την Ασφάλεια των Τροφίμων,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31"/>
          <w:footnotePr>
            <w:numRestart w:val="eachPage"/>
          </w:footnotePr>
          <w:pgSz w:w="11906" w:h="16838" w:code="9"/>
          <w:pgMar w:top="1134" w:right="1418" w:bottom="1418" w:left="1418" w:header="1134" w:footer="567" w:gutter="0"/>
          <w:cols w:space="720"/>
          <w:noEndnote/>
          <w:docGrid w:linePitch="326"/>
        </w:sectPr>
      </w:pPr>
    </w:p>
    <w:p w:rsidR="00D66ACE" w:rsidRPr="0089313D" w:rsidRDefault="006D34B9" w:rsidP="00590362">
      <w:pPr>
        <w:pStyle w:val="ATHeading3"/>
      </w:pPr>
      <w:r w:rsidRPr="0089313D">
        <w:lastRenderedPageBreak/>
        <w:t xml:space="preserve">24. Απόφαση του Ευρωπαϊκού Κοινοβουλίου </w:t>
      </w:r>
      <w:r w:rsidR="00C22A10" w:rsidRPr="0089313D">
        <w:t xml:space="preserve">της 7ης Μαΐου 2025 </w:t>
      </w:r>
      <w:r w:rsidR="00D66ACE" w:rsidRPr="0089313D">
        <w:t>σχετικά με το κλείσιμο των λογαριασμών της Ευρωπαϊκής Αρχής για την Ασφάλεια των Τροφίμων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της Ευρωπαϊκής Αρχής για την Ασφάλεια των Τροφίμων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3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4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της Αρχής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4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4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w:t>
      </w:r>
      <w:r w:rsidRPr="0089313D">
        <w:rPr>
          <w:rStyle w:val="FootnoteReference"/>
        </w:rPr>
        <w:footnoteReference w:id="143"/>
      </w:r>
      <w:r w:rsidRPr="0089313D">
        <w:t>, και ιδίως το άρθρο 44,</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14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της Ευρωπαϊκής Αρχής για την Ασφάλεια των Τροφίμων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ασκούντα καθήκοντα εκτελεστικού διευθυντή της Ευρωπαϊκής Αρχής για την Ασφάλεια των Τροφίμων, στο Συμβούλιο, στην Επιτροπή και στο Ελεγκτικό Συνέδριο, και να μεριμνήσει για τη δημοσίευσή της στην </w:t>
      </w:r>
      <w:r w:rsidRPr="0089313D">
        <w:rPr>
          <w:i/>
        </w:rPr>
        <w:t xml:space="preserve">Επίσημη Εφημερίδα της Ευρωπαϊκής Ένωσης </w:t>
      </w:r>
      <w:r w:rsidRPr="0089313D">
        <w:t>(σειρά L).</w:t>
      </w:r>
    </w:p>
    <w:p w:rsidR="00D66ACE" w:rsidRPr="0089313D" w:rsidRDefault="00D66ACE" w:rsidP="006D34B9">
      <w:pPr>
        <w:pStyle w:val="PageHeadingDec"/>
        <w:jc w:val="left"/>
      </w:pPr>
    </w:p>
    <w:p w:rsidR="00D66ACE" w:rsidRPr="0089313D" w:rsidRDefault="00D66ACE" w:rsidP="00D66ACE">
      <w:pPr>
        <w:pStyle w:val="PageHeadingDec"/>
        <w:sectPr w:rsidR="00D66ACE" w:rsidRPr="0089313D" w:rsidSect="00FA711E">
          <w:footerReference w:type="first" r:id="rId32"/>
          <w:footnotePr>
            <w:numRestart w:val="eachPage"/>
          </w:footnotePr>
          <w:pgSz w:w="11906" w:h="16838" w:code="9"/>
          <w:pgMar w:top="1134" w:right="1418" w:bottom="1418" w:left="1418" w:header="567" w:footer="567" w:gutter="0"/>
          <w:cols w:space="720"/>
          <w:noEndnote/>
          <w:docGrid w:linePitch="326"/>
        </w:sectPr>
      </w:pPr>
    </w:p>
    <w:p w:rsidR="00D66ACE" w:rsidRPr="0089313D" w:rsidRDefault="006069A9" w:rsidP="00590362">
      <w:pPr>
        <w:pStyle w:val="ATHeading3"/>
      </w:pPr>
      <w:r w:rsidRPr="0089313D">
        <w:lastRenderedPageBreak/>
        <w:t xml:space="preserve">25.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Ευρωπαϊκού Ινστιτούτου για την Ισότητα των Φύλων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Ινστιτούτου για την Ισότητα των Φύλων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4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4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Ινστιτούτου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4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4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1922/2006 του Ευρωπαϊκού Κοινοβουλίου και του Συμβουλίου, της 20ής Δεκεμβρίου 2006, περί ιδρύσεως Ευρωπαϊκού Ινστιτούτου για την Ισότητα των Φύλων</w:t>
      </w:r>
      <w:r w:rsidRPr="0089313D">
        <w:rPr>
          <w:rStyle w:val="FootnoteReference"/>
        </w:rPr>
        <w:footnoteReference w:id="149"/>
      </w:r>
      <w:r w:rsidRPr="0089313D">
        <w:t>, και ιδίως το άρθρο 15,</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150"/>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 διευθύντρια του Ευρωπαϊκού Ινστιτούτου για την Ισότητα των Φύλων όσον αφορά την εκτέλεση του προϋπολογισμού του Ινστιτούτου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καθώς και το ψήφισμα που αποτελεί αναπόσπαστο μέρος της, στη διευθύντρια του Ευρωπαϊκού Ινστιτούτου για την Ισότητα των Φύλων,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33"/>
          <w:footnotePr>
            <w:numRestart w:val="eachPage"/>
          </w:footnotePr>
          <w:pgSz w:w="11906" w:h="16838" w:code="9"/>
          <w:pgMar w:top="1134" w:right="1418" w:bottom="1418" w:left="1418" w:header="1134" w:footer="567" w:gutter="0"/>
          <w:cols w:space="720"/>
          <w:noEndnote/>
          <w:docGrid w:linePitch="326"/>
        </w:sectPr>
      </w:pPr>
    </w:p>
    <w:p w:rsidR="00D66ACE" w:rsidRPr="0089313D" w:rsidRDefault="006069A9" w:rsidP="00590362">
      <w:pPr>
        <w:pStyle w:val="ATHeading3"/>
      </w:pPr>
      <w:r w:rsidRPr="0089313D">
        <w:lastRenderedPageBreak/>
        <w:t xml:space="preserve">26.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Ευρωπαϊκού Ινστιτούτου για την Ισότητα των Φύλων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Ινστιτούτου για την Ισότητα των Φύλων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5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5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Ινστιτούτου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53"/>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5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1922/2006 του Ευρωπαϊκού Κοινοβουλίου και του Συμβουλίου, της 20ής Δεκεμβρίου 2006, περί ιδρύσεως Ευρωπαϊκού Ινστιτούτου για την Ισότητα των Φύλων</w:t>
      </w:r>
      <w:r w:rsidRPr="0089313D">
        <w:rPr>
          <w:rStyle w:val="FootnoteReference"/>
        </w:rPr>
        <w:footnoteReference w:id="155"/>
      </w:r>
      <w:r w:rsidRPr="0089313D">
        <w:t>, και ιδίως το άρθρο 15,</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15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Ινστιτούτου για την Ισότητα των Φύλων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στη διευθύντρια του Ευρωπαϊκού Ινστιτούτου για την Ισότητα των Φύλων,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6069A9">
      <w:pPr>
        <w:pStyle w:val="PageHeadingDec"/>
        <w:jc w:val="left"/>
      </w:pPr>
    </w:p>
    <w:p w:rsidR="00D66ACE" w:rsidRPr="0089313D" w:rsidRDefault="00D66ACE" w:rsidP="00D66ACE">
      <w:pPr>
        <w:pStyle w:val="PageHeadingDec"/>
        <w:sectPr w:rsidR="00D66ACE" w:rsidRPr="0089313D" w:rsidSect="00FA711E">
          <w:footerReference w:type="first" r:id="rId34"/>
          <w:footnotePr>
            <w:numRestart w:val="eachPage"/>
          </w:footnotePr>
          <w:pgSz w:w="11906" w:h="16838" w:code="9"/>
          <w:pgMar w:top="1134" w:right="1418" w:bottom="1418" w:left="1418" w:header="567" w:footer="567" w:gutter="0"/>
          <w:cols w:space="720"/>
          <w:noEndnote/>
          <w:docGrid w:linePitch="326"/>
        </w:sectPr>
      </w:pPr>
    </w:p>
    <w:p w:rsidR="00D66ACE" w:rsidRPr="0089313D" w:rsidRDefault="006069A9" w:rsidP="00590362">
      <w:pPr>
        <w:pStyle w:val="ATHeading3"/>
      </w:pPr>
      <w:r w:rsidRPr="0089313D">
        <w:lastRenderedPageBreak/>
        <w:t xml:space="preserve">27.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της Ευρωπαϊκής Αρχής Ασφαλίσεων και Επαγγελματικών Συντάξεων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της Ευρωπαϊκής Αρχής Ασφαλίσεων και Επαγγελματικών Συντάξεων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5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5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της Αρχής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5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60"/>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αριθ. 1094/2010 του Ευρωπαϊκού Κοινοβουλίου και του Συμβουλίου, της 24ης Νοεμβρίου 2010, για τη σύσταση Ευρωπαϊκής Εποπτικής Αρχής (Ευρωπαϊκή Αρχή Ασφαλίσεων και Επαγγελματικών Συντάξεων), την τροποποίηση της απόφασης αριθ. 716/2009/ΕΚ και την κατάργηση της απόφασης 2009/79/ΕΚ της Επιτροπής</w:t>
      </w:r>
      <w:r w:rsidRPr="0089313D">
        <w:rPr>
          <w:rStyle w:val="FootnoteReference"/>
        </w:rPr>
        <w:footnoteReference w:id="161"/>
      </w:r>
      <w:r w:rsidRPr="0089313D">
        <w:t>, και ιδίως το άρθρο 64,</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89313D">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16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εκτελεστικό διευθυντή της Ευρωπαϊκής Αρχής Ασφαλίσεων και Επαγγελματικών Συντάξεων όσον αφορά την εκτέλεση του προϋπολογισμού της Αρχής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Ευρωπαϊκής Αρχής Ασφαλίσεων και Επαγγελματικών Συντάξεων,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35"/>
          <w:footnotePr>
            <w:numRestart w:val="eachPage"/>
          </w:footnotePr>
          <w:pgSz w:w="11906" w:h="16838" w:code="9"/>
          <w:pgMar w:top="1134" w:right="1418" w:bottom="1418" w:left="1418" w:header="1134" w:footer="567" w:gutter="0"/>
          <w:cols w:space="720"/>
          <w:noEndnote/>
          <w:docGrid w:linePitch="326"/>
        </w:sectPr>
      </w:pPr>
    </w:p>
    <w:p w:rsidR="00D66ACE" w:rsidRPr="0089313D" w:rsidRDefault="006069A9" w:rsidP="00590362">
      <w:pPr>
        <w:pStyle w:val="ATHeading3"/>
      </w:pPr>
      <w:r w:rsidRPr="0089313D">
        <w:lastRenderedPageBreak/>
        <w:t xml:space="preserve">28. Απόφαση του Ευρωπαϊκού Κοινοβουλίου </w:t>
      </w:r>
      <w:r w:rsidR="00C22A10" w:rsidRPr="0089313D">
        <w:t xml:space="preserve">της 7ης Μαΐου 2025 </w:t>
      </w:r>
      <w:r w:rsidR="00D66ACE" w:rsidRPr="0089313D">
        <w:t>σχετικά με το κλείσιμο των λογαριασμών της Ευρωπαϊκής Αρχής Ασφαλίσεων και Επαγγελματικών Συντάξεων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της Ευρωπαϊκής Αρχής Ασφαλίσεων και Επαγγελματικών Συντάξεων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6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6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της Αρχής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6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6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αριθ. 1094/2010 του Ευρωπαϊκού Κοινοβουλίου και του Συμβουλίου, της 24ης Νοεμβρίου 2010, για τη σύσταση Ευρωπαϊκής Εποπτικής Αρχής (Ευρωπαϊκή Αρχή Ασφαλίσεων και Επαγγελματικών Συντάξεων), την τροποποίηση της απόφασης αριθ. 716/2009/ΕΚ και την κατάργηση της απόφασης 2009/79/ΕΚ της Επιτροπής</w:t>
      </w:r>
      <w:r w:rsidRPr="0089313D">
        <w:rPr>
          <w:rStyle w:val="FootnoteReference"/>
        </w:rPr>
        <w:footnoteReference w:id="167"/>
      </w:r>
      <w:r w:rsidRPr="0089313D">
        <w:t>, και ιδίως το άρθρο 64,</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16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της Ευρωπαϊκής Αρχής Ασφαλίσεων και Επαγγελματικών Συντάξεων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εκτελεστικό διευθυντή της Ευρωπαϊκής Αρχής Ασφαλίσεων και Επαγγελματικών Συντάξεων,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6069A9">
      <w:pPr>
        <w:pStyle w:val="PageHeadingDec"/>
        <w:jc w:val="left"/>
      </w:pPr>
    </w:p>
    <w:p w:rsidR="00D66ACE" w:rsidRPr="0089313D" w:rsidRDefault="00D66ACE" w:rsidP="00D66ACE">
      <w:pPr>
        <w:pStyle w:val="PageHeadingDec"/>
        <w:sectPr w:rsidR="00D66ACE" w:rsidRPr="0089313D" w:rsidSect="00FA711E">
          <w:footerReference w:type="first" r:id="rId36"/>
          <w:footnotePr>
            <w:numRestart w:val="eachPage"/>
          </w:footnotePr>
          <w:pgSz w:w="11906" w:h="16838" w:code="9"/>
          <w:pgMar w:top="1134" w:right="1418" w:bottom="1418" w:left="1418" w:header="567" w:footer="567" w:gutter="0"/>
          <w:cols w:space="720"/>
          <w:noEndnote/>
          <w:docGrid w:linePitch="326"/>
        </w:sectPr>
      </w:pPr>
    </w:p>
    <w:p w:rsidR="00D66ACE" w:rsidRPr="0089313D" w:rsidRDefault="006069A9" w:rsidP="00590362">
      <w:pPr>
        <w:pStyle w:val="ATHeading3"/>
      </w:pPr>
      <w:r w:rsidRPr="0089313D">
        <w:lastRenderedPageBreak/>
        <w:t xml:space="preserve">29.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Ευρωπαϊκού Ινστιτούτου Καινοτομίας και Τεχνολογίας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Ινστιτούτου Καινοτομίας και Τεχνολογίας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6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7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Ινστιτούτου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7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7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2021/819 του Ευρωπαϊκού Κοινοβουλίου και του Συμβουλίου, της 20ής Μαΐου 2021, σχετικά με το Ευρωπαϊκό Ινστιτούτο Καινοτομίας και Τεχνολογίας</w:t>
      </w:r>
      <w:r w:rsidRPr="0089313D">
        <w:rPr>
          <w:rStyle w:val="FootnoteReference"/>
        </w:rPr>
        <w:footnoteReference w:id="173"/>
      </w:r>
      <w:r w:rsidRPr="0089313D">
        <w:t>, και ιδίως το άρθρο 23,</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17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διευθυντή του Ευρωπαϊκού Ινστιτούτου Καινοτομίας και Τεχνολογίας όσον αφορά την εκτέλεση του προϋπολογισμού του Ινστιτούτου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στον διευθυντή του Ευρωπαϊκού Ινστιτούτου Καινοτομίας και Τεχνολογίας,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37"/>
          <w:footnotePr>
            <w:numRestart w:val="eachPage"/>
          </w:footnotePr>
          <w:pgSz w:w="11906" w:h="16838" w:code="9"/>
          <w:pgMar w:top="1134" w:right="1418" w:bottom="1418" w:left="1418" w:header="1134" w:footer="567" w:gutter="0"/>
          <w:cols w:space="720"/>
          <w:noEndnote/>
          <w:docGrid w:linePitch="326"/>
        </w:sectPr>
      </w:pPr>
    </w:p>
    <w:p w:rsidR="00D66ACE" w:rsidRPr="0089313D" w:rsidRDefault="006069A9" w:rsidP="00590362">
      <w:pPr>
        <w:pStyle w:val="ATHeading3"/>
      </w:pPr>
      <w:r w:rsidRPr="0089313D">
        <w:lastRenderedPageBreak/>
        <w:t xml:space="preserve">30.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Ευρωπαϊκού Ινστιτούτου Καινοτομίας και Τεχνολογίας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Ινστιτούτου Καινοτομίας και Τεχνολογίας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7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7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Ινστιτούτου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7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7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2021/819 του Ευρωπαϊκού Κοινοβουλίου και του Συμβουλίου, της 20ής Μαΐου 2021, σχετικά με το Ευρωπαϊκό Ινστιτούτο Καινοτομίας και Τεχνολογίας</w:t>
      </w:r>
      <w:r w:rsidRPr="0089313D">
        <w:rPr>
          <w:rStyle w:val="FootnoteReference"/>
        </w:rPr>
        <w:footnoteReference w:id="179"/>
      </w:r>
      <w:r w:rsidRPr="0089313D">
        <w:t>, και ιδίως το άρθρο 23,</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180"/>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Ινστιτούτου Καινοτομίας και Τεχνολογίας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διευθυντή του Ευρωπαϊκού Ινστιτούτου Καινοτομίας και Τεχνολογίας,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6069A9">
      <w:pPr>
        <w:pStyle w:val="PageHeadingDec"/>
        <w:jc w:val="left"/>
      </w:pPr>
    </w:p>
    <w:p w:rsidR="00D66ACE" w:rsidRPr="0089313D" w:rsidRDefault="00D66ACE" w:rsidP="00D66ACE">
      <w:pPr>
        <w:pStyle w:val="PageHeadingDec"/>
        <w:sectPr w:rsidR="00D66ACE" w:rsidRPr="0089313D" w:rsidSect="00FA711E">
          <w:footerReference w:type="first" r:id="rId38"/>
          <w:footnotePr>
            <w:numRestart w:val="eachPage"/>
          </w:footnotePr>
          <w:pgSz w:w="11906" w:h="16838" w:code="9"/>
          <w:pgMar w:top="1134" w:right="1418" w:bottom="1418" w:left="1418" w:header="567" w:footer="567" w:gutter="0"/>
          <w:cols w:space="720"/>
          <w:noEndnote/>
          <w:docGrid w:linePitch="326"/>
        </w:sectPr>
      </w:pPr>
    </w:p>
    <w:p w:rsidR="00D66ACE" w:rsidRPr="0089313D" w:rsidRDefault="006069A9" w:rsidP="00590362">
      <w:pPr>
        <w:pStyle w:val="ATHeading3"/>
      </w:pPr>
      <w:r w:rsidRPr="0089313D">
        <w:lastRenderedPageBreak/>
        <w:t xml:space="preserve">31.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της Ευρωπαϊκής Αρχής Εργασίας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τελικούς ετήσιους λογαριασμούς της Ευρωπαϊκής Αρχής Εργασίας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8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8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της Αρχής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83"/>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8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2019/1149 του Ευρωπαϊκού Κοινοβουλίου και του Συμβουλίου, της 20ής Ιουνίου 2019, για την ίδρυση Ευρωπαϊκής Αρχής Εργασίας, την τροποποίηση των κανονισμών (ΕΚ) αριθ. 883/2004, (ΕΕ) αριθ. 492/2011 και (ΕΕ) 2016/589 και την κατάργηση της απόφασης (ΕΕ) 2016/344</w:t>
      </w:r>
      <w:r w:rsidRPr="0089313D">
        <w:rPr>
          <w:rStyle w:val="FootnoteReference"/>
        </w:rPr>
        <w:footnoteReference w:id="185"/>
      </w:r>
      <w:r w:rsidRPr="0089313D">
        <w:t xml:space="preserve"> και ιδίως το άρθρο 28,</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18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εκτελεστικό διευθυντή της Ευρωπαϊκής Αρχής Εργασίας όσον αφορά την εκτέλεση του προϋπολογισμού της Αρχής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Ευρωπαϊκής Αρχής Εργασίας, στο Συμβούλιο, στην Επιτροπή και στο Ελεγκτικό Συνέδριο, και να μεριμνήσει για τη δημοσίευσή τους στην </w:t>
      </w:r>
      <w:r w:rsidRPr="0089313D">
        <w:rPr>
          <w:i/>
        </w:rPr>
        <w:t xml:space="preserve">Επίσημη Εφημερίδα της Ευρωπαϊκής Ένωσης </w:t>
      </w:r>
      <w:r w:rsidRPr="0089313D">
        <w:t>(σειρά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39"/>
          <w:footnotePr>
            <w:numRestart w:val="eachPage"/>
          </w:footnotePr>
          <w:pgSz w:w="11906" w:h="16838" w:code="9"/>
          <w:pgMar w:top="1134" w:right="1418" w:bottom="1418" w:left="1418" w:header="1134" w:footer="567" w:gutter="0"/>
          <w:cols w:space="720"/>
          <w:noEndnote/>
          <w:docGrid w:linePitch="326"/>
        </w:sectPr>
      </w:pPr>
    </w:p>
    <w:p w:rsidR="00D66ACE" w:rsidRPr="0089313D" w:rsidRDefault="006069A9" w:rsidP="00590362">
      <w:pPr>
        <w:pStyle w:val="ATHeading3"/>
      </w:pPr>
      <w:r w:rsidRPr="0089313D">
        <w:lastRenderedPageBreak/>
        <w:t xml:space="preserve">32. Απόφαση του Ευρωπαϊκού Κοινοβουλίου </w:t>
      </w:r>
      <w:r w:rsidR="00C22A10" w:rsidRPr="0089313D">
        <w:t xml:space="preserve">της 7ης Μαΐου 2025 </w:t>
      </w:r>
      <w:r w:rsidR="00D66ACE" w:rsidRPr="0089313D">
        <w:t>σχετικά με το κλείσιμο των λογαριασμών της Ευρωπαϊκής Αρχής Εργασίας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τελικούς ετήσιους λογαριασμούς της Ευρωπαϊκής Αρχής Εργασίας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8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8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της Αρχής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8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90"/>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2019/1149 του Ευρωπαϊκού Κοινοβουλίου και του Συμβουλίου, της 20ής Ιουνίου 2019, για την ίδρυση Ευρωπαϊκής Αρχής Εργασίας, την τροποποίηση των κανονισμών (ΕΚ) αριθ. 883/2004, (ΕΕ) αριθ. 492/2011 και (ΕΕ) 2016/589 και την κατάργηση της απόφασης (ΕΕ) 2016/344</w:t>
      </w:r>
      <w:r w:rsidRPr="0089313D">
        <w:rPr>
          <w:rStyle w:val="FootnoteReference"/>
        </w:rPr>
        <w:footnoteReference w:id="191"/>
      </w:r>
      <w:r w:rsidR="004D62E4" w:rsidRPr="0089313D">
        <w:t>,</w:t>
      </w:r>
      <w:r w:rsidRPr="0089313D">
        <w:t xml:space="preserve"> και ιδίως το άρθρο 28,</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19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της Ευρωπαϊκής Αρχής Εργασίας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εκτελεστικό διευθυντή της Ευρωπαϊκής Αρχής Εργασίας,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6069A9">
      <w:pPr>
        <w:pStyle w:val="PageHeadingDec"/>
        <w:jc w:val="left"/>
      </w:pPr>
    </w:p>
    <w:p w:rsidR="00D66ACE" w:rsidRPr="0089313D" w:rsidRDefault="00D66ACE" w:rsidP="00D66ACE">
      <w:pPr>
        <w:pStyle w:val="PageHeadingDec"/>
        <w:sectPr w:rsidR="00D66ACE" w:rsidRPr="0089313D" w:rsidSect="00FA711E">
          <w:footerReference w:type="first" r:id="rId40"/>
          <w:footnotePr>
            <w:numRestart w:val="eachPage"/>
          </w:footnotePr>
          <w:pgSz w:w="11906" w:h="16838" w:code="9"/>
          <w:pgMar w:top="1134" w:right="1418" w:bottom="1418" w:left="1418" w:header="567" w:footer="567" w:gutter="0"/>
          <w:cols w:space="720"/>
          <w:noEndnote/>
          <w:docGrid w:linePitch="326"/>
        </w:sectPr>
      </w:pPr>
    </w:p>
    <w:p w:rsidR="00D66ACE" w:rsidRPr="0089313D" w:rsidRDefault="006069A9" w:rsidP="00590362">
      <w:pPr>
        <w:pStyle w:val="ATHeading3"/>
      </w:pPr>
      <w:r w:rsidRPr="0089313D">
        <w:lastRenderedPageBreak/>
        <w:t xml:space="preserve">33.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Ευρωπαϊκού Οργανισμού Φαρμάκων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Φαρμάκων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9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19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19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19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726/2004 του Ευρωπαϊκού Κοινοβουλίου και του Συμβουλίου, της 31ης Μαρτίου 2004, για τη θέσπιση κοινοτικών διαδικασιών χορήγησης άδειας και εποπτείας όσον αφορά τα φάρμακα που προορίζονται για ανθρώπινη χρήση και για τη σύσταση Ευρωπαϊκού Οργανισμού Φαρμάκων</w:t>
      </w:r>
      <w:r w:rsidRPr="0089313D">
        <w:rPr>
          <w:rStyle w:val="FootnoteReference"/>
        </w:rPr>
        <w:footnoteReference w:id="197"/>
      </w:r>
      <w:r w:rsidRPr="0089313D">
        <w:t>, και ιδίως το άρθρο 68,</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19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στην εκτελεστική διευθύντρια του Ευρωπαϊκού Οργανισμού Φαρμάκων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Φαρμάκων,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41"/>
          <w:footnotePr>
            <w:numRestart w:val="eachPage"/>
          </w:footnotePr>
          <w:pgSz w:w="11906" w:h="16838" w:code="9"/>
          <w:pgMar w:top="1134" w:right="1418" w:bottom="1418" w:left="1418" w:header="1134" w:footer="567" w:gutter="0"/>
          <w:cols w:space="720"/>
          <w:noEndnote/>
          <w:docGrid w:linePitch="326"/>
        </w:sectPr>
      </w:pPr>
    </w:p>
    <w:p w:rsidR="00D66ACE" w:rsidRPr="0089313D" w:rsidRDefault="006069A9" w:rsidP="00590362">
      <w:pPr>
        <w:pStyle w:val="ATHeading3"/>
      </w:pPr>
      <w:r w:rsidRPr="0089313D">
        <w:lastRenderedPageBreak/>
        <w:t xml:space="preserve">34.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Ευρωπαϊκού Οργανισμού Φαρμάκων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Φαρμάκων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19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0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0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0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726/2004 του Ευρωπαϊκού Κοινοβουλίου και του Συμβουλίου, της 31ης Μαρτίου 2004, για τη θέσπιση κοινοτικών διαδικασιών χορήγησης άδειας και εποπτείας όσον αφορά τα φάρμακα που προορίζονται για ανθρώπινη χρήση και για τη σύσταση Ευρωπαϊκού Οργανισμού Φαρμάκων</w:t>
      </w:r>
      <w:r w:rsidRPr="0089313D">
        <w:rPr>
          <w:rStyle w:val="FootnoteReference"/>
        </w:rPr>
        <w:footnoteReference w:id="203"/>
      </w:r>
      <w:r w:rsidRPr="0089313D">
        <w:t>, και ιδίως το άρθρο 68,</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20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Οργανισμού Φαρμάκων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στην εκτελεστική διευθύντρια του Ευρωπαϊκού Οργανισμού Φαρμάκων,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6069A9">
      <w:pPr>
        <w:pStyle w:val="PageHeadingDec"/>
        <w:jc w:val="left"/>
      </w:pPr>
    </w:p>
    <w:p w:rsidR="00D66ACE" w:rsidRPr="0089313D" w:rsidRDefault="00D66ACE" w:rsidP="00D66ACE">
      <w:pPr>
        <w:pStyle w:val="PageHeadingDec"/>
        <w:sectPr w:rsidR="00D66ACE" w:rsidRPr="0089313D" w:rsidSect="00FA711E">
          <w:footerReference w:type="first" r:id="rId42"/>
          <w:footnotePr>
            <w:numRestart w:val="eachPage"/>
          </w:footnotePr>
          <w:pgSz w:w="11906" w:h="16838" w:code="9"/>
          <w:pgMar w:top="1134" w:right="1418" w:bottom="1418" w:left="1418" w:header="567" w:footer="567" w:gutter="0"/>
          <w:cols w:space="720"/>
          <w:noEndnote/>
          <w:docGrid w:linePitch="326"/>
        </w:sectPr>
      </w:pPr>
    </w:p>
    <w:p w:rsidR="00D66ACE" w:rsidRPr="0089313D" w:rsidRDefault="006069A9" w:rsidP="00590362">
      <w:pPr>
        <w:pStyle w:val="ATHeading3"/>
      </w:pPr>
      <w:r w:rsidRPr="0089313D">
        <w:lastRenderedPageBreak/>
        <w:t xml:space="preserve">35.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Ευρωπαϊκού Κέντρου Παρακολούθησης Ναρκωτικών και Τοξικομανίας (νυν Οργανισμός της Ευρωπαϊκής Ένωσης για τα Ναρκωτικά)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Κέντρου Παρακολούθησης Ναρκωτικών και Τοξικομανίας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0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0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Κέντρου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0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0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1920/2006 του Ευρωπαϊκού Κοινοβουλίου και του Συμβουλίου, της 12ης Δεκεμβρίου 2006, σχετικά με το Ευρωπαϊκό Κέντρο Παρακολούθησης Ναρκωτικών και Τοξικομανίας</w:t>
      </w:r>
      <w:r w:rsidRPr="0089313D">
        <w:rPr>
          <w:rStyle w:val="FootnoteReference"/>
        </w:rPr>
        <w:footnoteReference w:id="209"/>
      </w:r>
      <w:r w:rsidRPr="0089313D">
        <w:t>, και ιδίως το άρθρο 15,</w:t>
      </w:r>
    </w:p>
    <w:p w:rsidR="00D66ACE" w:rsidRPr="0089313D" w:rsidRDefault="00D66ACE" w:rsidP="00D66ACE">
      <w:pPr>
        <w:pStyle w:val="NormalHanging12a"/>
      </w:pPr>
      <w:r w:rsidRPr="0089313D">
        <w:t>–</w:t>
      </w:r>
      <w:r w:rsidRPr="0089313D">
        <w:tab/>
        <w:t xml:space="preserve">έχοντας υπόψη τον κανονισμό (ΕΕ) 2023/1322 του Ευρωπαϊκού Κοινοβουλίου και του Συμβουλίου, της 27ης Ιουνίου 2023, σχετικά με τον Οργανισμό της Ευρωπαϊκής Ένωσης για τα Ναρκωτικά (EUDA) και την κατάργηση του κανονισμού (ΕΚ) </w:t>
      </w:r>
      <w:r w:rsidRPr="0089313D">
        <w:lastRenderedPageBreak/>
        <w:t>αριθ. 1920/2006</w:t>
      </w:r>
      <w:r w:rsidRPr="0089313D">
        <w:rPr>
          <w:rStyle w:val="FootnoteReference"/>
        </w:rPr>
        <w:footnoteReference w:id="210"/>
      </w:r>
      <w:r w:rsidRPr="0089313D">
        <w:t>, και ιδίως το άρθρο 41,</w:t>
      </w:r>
    </w:p>
    <w:p w:rsidR="00D66ACE" w:rsidRPr="0089313D" w:rsidRDefault="00D66ACE" w:rsidP="00D66ACE">
      <w:pPr>
        <w:pStyle w:val="NormalHanging12a"/>
      </w:pPr>
      <w:r w:rsidRPr="0089313D">
        <w:t>–</w:t>
      </w:r>
      <w:r w:rsidRPr="0089313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211"/>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διευθυντή του Οργανισμού της Ευρωπαϊκής Ένωσης για τα Ναρκωτικά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στον διευθυντή του Οργανισμού της Ευρωπαϊκής Ένωσης για τα Ναρκωτικά, στο Συμβούλιο, στην Επιτροπή και στο Ελεγκτικό Συνέδριο, και να μεριμνήσει για τη δημοσίευσή τους στην </w:t>
      </w:r>
      <w:r w:rsidRPr="0089313D">
        <w:rPr>
          <w:i/>
        </w:rPr>
        <w:t xml:space="preserve">Επίσημη Εφημερίδα της Ευρωπαϊκής Ένωσης </w:t>
      </w:r>
      <w:r w:rsidRPr="0089313D">
        <w:t>(σειρά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43"/>
          <w:footnotePr>
            <w:numRestart w:val="eachPage"/>
          </w:footnotePr>
          <w:pgSz w:w="11906" w:h="16838" w:code="9"/>
          <w:pgMar w:top="1134" w:right="1418" w:bottom="1418" w:left="1418" w:header="1134" w:footer="567" w:gutter="0"/>
          <w:cols w:space="720"/>
          <w:noEndnote/>
          <w:docGrid w:linePitch="326"/>
        </w:sectPr>
      </w:pPr>
    </w:p>
    <w:p w:rsidR="00D66ACE" w:rsidRPr="0089313D" w:rsidRDefault="006069A9" w:rsidP="00590362">
      <w:pPr>
        <w:pStyle w:val="ATHeading3"/>
      </w:pPr>
      <w:r w:rsidRPr="0089313D">
        <w:lastRenderedPageBreak/>
        <w:t xml:space="preserve">36.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Ευρωπαϊκού Κέντρου Παρακολούθησης Ναρκωτικών και Τοξικομανίας (νυν Οργανισμός της Ευρωπαϊκής Ένωσης για τα Ναρκωτικά)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Κέντρου Παρακολούθησης Ναρκωτικών και Τοξικομανίας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12"/>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13"/>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Κέντρου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1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1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1920/2006 του Ευρωπαϊκού Κοινοβουλίου και του Συμβουλίου, της 12ης Δεκεμβρίου 2006, σχετικά με το Ευρωπαϊκό Κέντρο Παρακολούθησης Ναρκωτικών και Τοξικομανίας</w:t>
      </w:r>
      <w:r w:rsidRPr="0089313D">
        <w:rPr>
          <w:rStyle w:val="FootnoteReference"/>
        </w:rPr>
        <w:footnoteReference w:id="216"/>
      </w:r>
      <w:r w:rsidRPr="0089313D">
        <w:t>, και ιδίως το άρθρο 15,</w:t>
      </w:r>
    </w:p>
    <w:p w:rsidR="00D66ACE" w:rsidRPr="0089313D" w:rsidRDefault="00D66ACE" w:rsidP="00D66ACE">
      <w:pPr>
        <w:pStyle w:val="NormalHanging12a"/>
      </w:pPr>
      <w:r w:rsidRPr="0089313D">
        <w:t>–</w:t>
      </w:r>
      <w:r w:rsidRPr="0089313D">
        <w:tab/>
        <w:t xml:space="preserve">έχοντας υπόψη τον κανονισμό (ΕΕ) 2023/1322 του Ευρωπαϊκού Κοινοβουλίου και του Συμβουλίου, της 27ης Ιουνίου 2023, σχετικά με τον Οργανισμό της Ευρωπαϊκής Ένωσης για τα Ναρκωτικά (EUDA) και την κατάργηση του κανονισμού (ΕΚ) </w:t>
      </w:r>
      <w:r w:rsidRPr="0089313D">
        <w:lastRenderedPageBreak/>
        <w:t>αριθ. 1920/2006</w:t>
      </w:r>
      <w:r w:rsidRPr="0089313D">
        <w:rPr>
          <w:rStyle w:val="FootnoteReference"/>
        </w:rPr>
        <w:footnoteReference w:id="217"/>
      </w:r>
      <w:r w:rsidRPr="0089313D">
        <w:t>, και ιδίως το άρθρο 41,</w:t>
      </w:r>
    </w:p>
    <w:p w:rsidR="00D66ACE" w:rsidRPr="0089313D" w:rsidRDefault="00D66ACE" w:rsidP="00D66ACE">
      <w:pPr>
        <w:pStyle w:val="NormalHanging12a"/>
      </w:pPr>
      <w:r w:rsidRPr="0089313D">
        <w:t>–</w:t>
      </w:r>
      <w:r w:rsidRPr="0089313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21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Κέντρου Παρακολούθησης Ναρκωτικών και Τοξικομανίας για το οικονομικό έτος 2023·</w:t>
      </w:r>
    </w:p>
    <w:p w:rsidR="00D66ACE" w:rsidRPr="0089313D" w:rsidRDefault="00D66ACE" w:rsidP="00D66ACE">
      <w:pPr>
        <w:pStyle w:val="NormalHanging12a"/>
      </w:pPr>
      <w:r w:rsidRPr="0089313D">
        <w:t>2.</w:t>
      </w:r>
      <w:r w:rsidRPr="0089313D">
        <w:tab/>
        <w:t>αναθέτει στην Πρόεδρό του να διαβιβάσει την παρούσα απόφαση στο</w:t>
      </w:r>
      <w:r w:rsidR="009960D7" w:rsidRPr="0089313D">
        <w:t>ν</w:t>
      </w:r>
      <w:r w:rsidRPr="0089313D">
        <w:t xml:space="preserve"> διευθυντή του Οργανισμού της Ευρωπαϊκής Ένωσης για τα Ναρκωτικά,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6069A9">
      <w:pPr>
        <w:pStyle w:val="PageHeadingDec"/>
        <w:jc w:val="left"/>
      </w:pPr>
    </w:p>
    <w:p w:rsidR="00D66ACE" w:rsidRPr="0089313D" w:rsidRDefault="00D66ACE" w:rsidP="00D66ACE">
      <w:pPr>
        <w:pStyle w:val="PageHeadingDec"/>
        <w:sectPr w:rsidR="00D66ACE" w:rsidRPr="0089313D" w:rsidSect="00FA711E">
          <w:footerReference w:type="first" r:id="rId44"/>
          <w:footnotePr>
            <w:numRestart w:val="eachPage"/>
          </w:footnotePr>
          <w:pgSz w:w="11906" w:h="16838" w:code="9"/>
          <w:pgMar w:top="1134" w:right="1418" w:bottom="1418" w:left="1418" w:header="567" w:footer="567" w:gutter="0"/>
          <w:cols w:space="720"/>
          <w:noEndnote/>
          <w:docGrid w:linePitch="326"/>
        </w:sectPr>
      </w:pPr>
    </w:p>
    <w:p w:rsidR="00D66ACE" w:rsidRPr="0089313D" w:rsidRDefault="006069A9" w:rsidP="00590362">
      <w:pPr>
        <w:pStyle w:val="ATHeading3"/>
      </w:pPr>
      <w:r w:rsidRPr="0089313D">
        <w:lastRenderedPageBreak/>
        <w:t xml:space="preserve">37.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Ευρωπαϊκού Οργανισμού για την Ασφάλεια στη Θάλασσα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για την Ασφάλεια στη Θάλασσα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1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2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2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2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1406/2002 του Ευρωπαϊκού Κοινοβουλίου και του Συμβουλίου, της 27ης Ιουνίου 2002, σχετικά με τη σύσταση ευρωπαϊκού οργανισμού για την ασφάλεια στη θάλασσα</w:t>
      </w:r>
      <w:r w:rsidRPr="0089313D">
        <w:rPr>
          <w:rStyle w:val="FootnoteReference"/>
        </w:rPr>
        <w:footnoteReference w:id="223"/>
      </w:r>
      <w:r w:rsidRPr="0089313D">
        <w:t>, και ιδίως το άρθρο 19,</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22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στην εκτελεστική διευθύντρια του Ευρωπαϊκού Οργανισμού για την Ασφάλεια στη Θάλασσα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για την Ασφάλεια στη Θάλασσα, στο Συμβούλιο, στην Επιτροπή και στο Ελεγκτικό Συνέδριο, και να μεριμνήσει για τη δημοσίευσή τους στην </w:t>
      </w:r>
      <w:r w:rsidRPr="0089313D">
        <w:rPr>
          <w:i/>
        </w:rPr>
        <w:t xml:space="preserve">Επίσημη Εφημερίδα της Ευρωπαϊκής Ένωσης </w:t>
      </w:r>
      <w:r w:rsidRPr="0089313D">
        <w:t>(σειρά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45"/>
          <w:footnotePr>
            <w:numRestart w:val="eachPage"/>
          </w:footnotePr>
          <w:pgSz w:w="11906" w:h="16838" w:code="9"/>
          <w:pgMar w:top="1134" w:right="1418" w:bottom="1418" w:left="1418" w:header="1134" w:footer="567" w:gutter="0"/>
          <w:cols w:space="720"/>
          <w:noEndnote/>
          <w:docGrid w:linePitch="326"/>
        </w:sectPr>
      </w:pPr>
    </w:p>
    <w:p w:rsidR="00D66ACE" w:rsidRPr="0089313D" w:rsidRDefault="006069A9" w:rsidP="00590362">
      <w:pPr>
        <w:pStyle w:val="ATHeading3"/>
      </w:pPr>
      <w:r w:rsidRPr="0089313D">
        <w:lastRenderedPageBreak/>
        <w:t xml:space="preserve">38.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Ευρωπαϊκού Οργανισμού για την Ασφάλεια στη Θάλασσα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για την Ασφάλεια στη Θάλασσα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2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2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2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2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1406/2002 του Ευρωπαϊκού Κοινοβουλίου και του Συμβουλίου, της 27ης Ιουνίου 2002, σχετικά με τη σύσταση ευρωπαϊκού οργανισμού για την ασφάλεια στη θάλασσα</w:t>
      </w:r>
      <w:r w:rsidRPr="0089313D">
        <w:rPr>
          <w:rStyle w:val="FootnoteReference"/>
        </w:rPr>
        <w:footnoteReference w:id="229"/>
      </w:r>
      <w:r w:rsidRPr="0089313D">
        <w:t>, και ιδίως το άρθρο 19,</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230"/>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Οργανισμού για την Ασφάλεια στη Θάλασσα για το οικονομικό έτος 2023·</w:t>
      </w:r>
    </w:p>
    <w:p w:rsidR="00D66ACE" w:rsidRPr="0089313D" w:rsidRDefault="00D66ACE" w:rsidP="00D66ACE">
      <w:pPr>
        <w:pStyle w:val="NormalHanging12a"/>
      </w:pPr>
      <w:r w:rsidRPr="0089313D">
        <w:t>2.</w:t>
      </w:r>
      <w:r w:rsidRPr="0089313D">
        <w:tab/>
        <w:t>αναθέτει στην Πρόεδρό του να διαβιβάσει την παρούσα απόφαση στην εκτελεστική διευθύντρια του Ευρωπαϊκού Οργανισμού για την Ασφάλεια στη Θάλασσα, στο Συμβούλιο, στην Επιτροπή και στο Ελεγκτικό Συνέδριο, και να μεριμνήσει για τη δημοσίευσή της στην</w:t>
      </w:r>
      <w:r w:rsidRPr="0089313D">
        <w:rPr>
          <w:i/>
        </w:rPr>
        <w:t xml:space="preserve"> Επίσημη Εφημερίδα της Ευρωπαϊκής Ένωσης</w:t>
      </w:r>
      <w:r w:rsidRPr="0089313D">
        <w:t xml:space="preserve"> (σειρά L).</w:t>
      </w:r>
    </w:p>
    <w:p w:rsidR="00D66ACE" w:rsidRPr="0089313D" w:rsidRDefault="00D66ACE" w:rsidP="006069A9">
      <w:pPr>
        <w:pStyle w:val="PageHeadingDec"/>
        <w:jc w:val="left"/>
      </w:pPr>
    </w:p>
    <w:p w:rsidR="00D66ACE" w:rsidRPr="0089313D" w:rsidRDefault="00D66ACE" w:rsidP="00D66ACE">
      <w:pPr>
        <w:pStyle w:val="PageHeadingDec"/>
        <w:sectPr w:rsidR="00D66ACE" w:rsidRPr="0089313D" w:rsidSect="00FA711E">
          <w:footerReference w:type="first" r:id="rId46"/>
          <w:footnotePr>
            <w:numRestart w:val="eachPage"/>
          </w:footnotePr>
          <w:pgSz w:w="11906" w:h="16838" w:code="9"/>
          <w:pgMar w:top="1134" w:right="1418" w:bottom="1418" w:left="1418" w:header="567" w:footer="567" w:gutter="0"/>
          <w:cols w:space="720"/>
          <w:noEndnote/>
          <w:docGrid w:linePitch="326"/>
        </w:sectPr>
      </w:pPr>
    </w:p>
    <w:p w:rsidR="00D66ACE" w:rsidRPr="0089313D" w:rsidRDefault="006069A9" w:rsidP="00590362">
      <w:pPr>
        <w:pStyle w:val="ATHeading3"/>
      </w:pPr>
      <w:r w:rsidRPr="0089313D">
        <w:lastRenderedPageBreak/>
        <w:t xml:space="preserve">39.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Οργανισμού της Ευρωπαϊκής Ένωσης για την Κυβερνοασφάλεια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την Κυβερνοασφάλεια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3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3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33"/>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3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2019/881 του Ευρωπαϊκού Κοινοβουλίου και του Συμβουλίου, της 17ης Απριλίου 2019, σχετικά με τον ENISA («Οργανισμός της Ευρωπαϊκής Ένωσης για την Κυβερνοασφάλεια») και με την πιστοποίηση της κυβερνοασφάλειας στον τομέα της τεχνολογίας πληροφοριών και επικοινωνιών και για την κατάργηση του κανονισμού (ΕΕ) αριθ. 526/2013 (πράξη για την κυβερνοασφάλεια)</w:t>
      </w:r>
      <w:r w:rsidRPr="0089313D">
        <w:rPr>
          <w:rStyle w:val="FootnoteReference"/>
        </w:rPr>
        <w:footnoteReference w:id="235"/>
      </w:r>
      <w:r w:rsidRPr="0089313D">
        <w:t>, και ιδίως το άρθρο 31,</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w:t>
      </w:r>
      <w:r w:rsidRPr="0089313D">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23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εκτελεστικό διευθυντή του Οργανισμού της Ευρωπαϊκής Ένωσης για την Κυβερνοασφάλεια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Οργανισμού της Ευρωπαϊκής Ένωσης για την Κυβερνοασφάλεια,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47"/>
          <w:footnotePr>
            <w:numRestart w:val="eachPage"/>
          </w:footnotePr>
          <w:pgSz w:w="11906" w:h="16838" w:code="9"/>
          <w:pgMar w:top="1134" w:right="1418" w:bottom="1418" w:left="1418" w:header="1134" w:footer="567" w:gutter="0"/>
          <w:cols w:space="720"/>
          <w:noEndnote/>
          <w:docGrid w:linePitch="326"/>
        </w:sectPr>
      </w:pPr>
    </w:p>
    <w:p w:rsidR="00D66ACE" w:rsidRPr="0089313D" w:rsidRDefault="00D41A7D" w:rsidP="00590362">
      <w:pPr>
        <w:pStyle w:val="ATHeading3"/>
      </w:pPr>
      <w:r w:rsidRPr="0089313D">
        <w:lastRenderedPageBreak/>
        <w:t xml:space="preserve">40.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Οργανισμού της Ευρωπαϊκής Ένωσης για την Κυβερνοασφάλεια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την Κυβερνοασφάλεια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3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3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3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40"/>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2019/881 του Ευρωπαϊκού Κοινοβουλίου και του Συμβουλίου, της 17ης Απριλίου 2019, σχετικά με τον ENISA («Οργανισμός της Ευρωπαϊκής Ένωσης για την Κυβερνοασφάλεια») και με την πιστοποίηση της κυβερνοασφάλειας στον τομέα της τεχνολογίας πληροφοριών και επικοινωνιών και για την κατάργηση του κανονισμού (ΕΕ) αριθ. 526/2013 (πράξη για την κυβερνοασφάλεια)</w:t>
      </w:r>
      <w:r w:rsidRPr="0089313D">
        <w:rPr>
          <w:rStyle w:val="FootnoteReference"/>
        </w:rPr>
        <w:footnoteReference w:id="241"/>
      </w:r>
      <w:r w:rsidRPr="0089313D">
        <w:t>, και ιδίως το άρθρο 31,</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89313D">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24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Οργανισμού της Ευρωπαϊκής Ένωσης για την Κυβερνοασφάλεια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εκτελεστικό διευθυντή του Οργανισμού της Ευρωπαϊκής Ένωσης για την Κυβερνοασφάλεια,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D41A7D">
      <w:pPr>
        <w:pStyle w:val="PageHeadingDec"/>
        <w:jc w:val="left"/>
      </w:pPr>
    </w:p>
    <w:p w:rsidR="00D66ACE" w:rsidRPr="0089313D" w:rsidRDefault="00D66ACE" w:rsidP="00D66ACE">
      <w:pPr>
        <w:pStyle w:val="PageHeadingDec"/>
        <w:sectPr w:rsidR="00D66ACE" w:rsidRPr="0089313D" w:rsidSect="00FA711E">
          <w:footerReference w:type="first" r:id="rId48"/>
          <w:footnotePr>
            <w:numRestart w:val="eachPage"/>
          </w:footnotePr>
          <w:pgSz w:w="11906" w:h="16838" w:code="9"/>
          <w:pgMar w:top="1134" w:right="1418" w:bottom="1418" w:left="1418" w:header="567" w:footer="567" w:gutter="0"/>
          <w:cols w:space="720"/>
          <w:noEndnote/>
          <w:docGrid w:linePitch="326"/>
        </w:sectPr>
      </w:pPr>
    </w:p>
    <w:p w:rsidR="00D66ACE" w:rsidRPr="0089313D" w:rsidRDefault="00D41A7D" w:rsidP="00590362">
      <w:pPr>
        <w:pStyle w:val="ATHeading3"/>
      </w:pPr>
      <w:r w:rsidRPr="0089313D">
        <w:lastRenderedPageBreak/>
        <w:t xml:space="preserve">41.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Οργανισμού Σιδηροδρόμων της Ευρωπαϊκής Ένωσης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Σιδηροδρόμων της Ευρωπαϊκής Ένωσης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4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4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4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4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2016/796 του Ευρωπαϊκού Κοινοβουλίου και του Συμβουλίου, της 11ης Μαΐου 2016, σχετικά με τον Οργανισμό Σιδηροδρόμων της Ευρωπαϊκής Ένωσης και την κατάργηση του κανονισμού (ΕΚ) αριθ. 881/2004</w:t>
      </w:r>
      <w:r w:rsidRPr="0089313D">
        <w:rPr>
          <w:rStyle w:val="FootnoteReference"/>
        </w:rPr>
        <w:footnoteReference w:id="247"/>
      </w:r>
      <w:r w:rsidRPr="0089313D">
        <w:t>, και ιδίως το άρθρο 65,</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24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w:t>
      </w:r>
      <w:r w:rsidR="009960D7" w:rsidRPr="0089313D">
        <w:t>ον προσωρινό</w:t>
      </w:r>
      <w:r w:rsidRPr="0089313D">
        <w:t xml:space="preserve"> </w:t>
      </w:r>
      <w:r w:rsidR="009960D7" w:rsidRPr="0089313D">
        <w:t xml:space="preserve">εκτελεστικό διευθυντή </w:t>
      </w:r>
      <w:r w:rsidRPr="0089313D">
        <w:t>του Οργανισμού Σιδηροδρόμων της Ευρωπαϊκής Ένωσης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αναθέτει στην Πρόεδρό του να διαβιβάσει την παρούσα απόφαση και το ψήφισμα που αποτελεί αναπόσπαστο μέρος της στ</w:t>
      </w:r>
      <w:r w:rsidR="005E7790" w:rsidRPr="0089313D">
        <w:t>ον</w:t>
      </w:r>
      <w:r w:rsidRPr="0089313D">
        <w:t xml:space="preserve"> </w:t>
      </w:r>
      <w:r w:rsidR="005E7790" w:rsidRPr="0089313D">
        <w:t xml:space="preserve">προσωρινό εκτελεστικό διευθυντή </w:t>
      </w:r>
      <w:r w:rsidRPr="0089313D">
        <w:t xml:space="preserve">του Οργανισμού Σιδηροδρόμων της Ευρωπαϊκής Ένωσης,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49"/>
          <w:footnotePr>
            <w:numRestart w:val="eachPage"/>
          </w:footnotePr>
          <w:pgSz w:w="11906" w:h="16838" w:code="9"/>
          <w:pgMar w:top="1134" w:right="1418" w:bottom="1418" w:left="1418" w:header="1134" w:footer="567" w:gutter="0"/>
          <w:cols w:space="720"/>
          <w:noEndnote/>
          <w:docGrid w:linePitch="326"/>
        </w:sectPr>
      </w:pPr>
    </w:p>
    <w:p w:rsidR="00D66ACE" w:rsidRPr="0089313D" w:rsidRDefault="00D41A7D" w:rsidP="00590362">
      <w:pPr>
        <w:pStyle w:val="ATHeading3"/>
      </w:pPr>
      <w:r w:rsidRPr="0089313D">
        <w:lastRenderedPageBreak/>
        <w:t xml:space="preserve">42.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Οργανισμού Σιδηροδρόμων της Ευρωπαϊκής Ένωσης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Σιδηροδρόμων της Ευρωπαϊκής Ένωσης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4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5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5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5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2016/796 του Ευρωπαϊκού Κοινοβουλίου και του Συμβουλίου, της 11ης Μαΐου 2016, σχετικά με τον Οργανισμό Σιδηροδρόμων της Ευρωπαϊκής Ένωσης και την κατάργηση του κανονισμού (ΕΚ) αριθ. 881/2004</w:t>
      </w:r>
      <w:r w:rsidRPr="0089313D">
        <w:rPr>
          <w:rStyle w:val="FootnoteReference"/>
        </w:rPr>
        <w:footnoteReference w:id="253"/>
      </w:r>
      <w:r w:rsidRPr="0089313D">
        <w:t>, και ιδίως το άρθρο 65,</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25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Οργανισμού Σιδηροδρόμων της Ευρωπαϊκής Ένωσης για το οικονομικό έτος 2023·</w:t>
      </w:r>
    </w:p>
    <w:p w:rsidR="00D66ACE" w:rsidRPr="0089313D" w:rsidRDefault="00D66ACE" w:rsidP="00D66ACE">
      <w:pPr>
        <w:pStyle w:val="NormalHanging12a"/>
      </w:pPr>
      <w:r w:rsidRPr="0089313D">
        <w:t>2.</w:t>
      </w:r>
      <w:r w:rsidRPr="0089313D">
        <w:tab/>
        <w:t>αναθέτει στην Πρόεδρό του να διαβιβάσει την παρούσα απόφαση στ</w:t>
      </w:r>
      <w:r w:rsidR="005E7790" w:rsidRPr="0089313D">
        <w:t>ον</w:t>
      </w:r>
      <w:r w:rsidRPr="0089313D">
        <w:t xml:space="preserve"> </w:t>
      </w:r>
      <w:r w:rsidR="005E7790" w:rsidRPr="0089313D">
        <w:t xml:space="preserve">προσωρινό εκτελεστικό διευθυντή </w:t>
      </w:r>
      <w:r w:rsidRPr="0089313D">
        <w:t xml:space="preserve">του Οργανισμού Σιδηροδρόμων της Ευρωπαϊκής Ένωσης,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D41A7D">
      <w:pPr>
        <w:pStyle w:val="PageHeadingDec"/>
        <w:jc w:val="left"/>
      </w:pPr>
    </w:p>
    <w:p w:rsidR="00D66ACE" w:rsidRPr="0089313D" w:rsidRDefault="00D66ACE" w:rsidP="00D66ACE">
      <w:pPr>
        <w:pStyle w:val="PageHeadingDec"/>
        <w:sectPr w:rsidR="00D66ACE" w:rsidRPr="0089313D" w:rsidSect="00FA711E">
          <w:footerReference w:type="first" r:id="rId50"/>
          <w:footnotePr>
            <w:numRestart w:val="eachPage"/>
          </w:footnotePr>
          <w:pgSz w:w="11906" w:h="16838" w:code="9"/>
          <w:pgMar w:top="1134" w:right="1418" w:bottom="1418" w:left="1418" w:header="567" w:footer="567" w:gutter="0"/>
          <w:cols w:space="720"/>
          <w:noEndnote/>
          <w:docGrid w:linePitch="326"/>
        </w:sectPr>
      </w:pPr>
    </w:p>
    <w:p w:rsidR="00D66ACE" w:rsidRPr="0089313D" w:rsidRDefault="00D41A7D" w:rsidP="00590362">
      <w:pPr>
        <w:pStyle w:val="ATHeading3"/>
      </w:pPr>
      <w:r w:rsidRPr="0089313D">
        <w:lastRenderedPageBreak/>
        <w:t xml:space="preserve">43.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Οργανισμού Εφοδιασμού της Ευρατόμ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Εφοδιασμού της Ευρατόμ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5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5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το άρθρο 106α της Συνθήκης περί ιδρύσεως της Ευρωπαϊκής Κοινότητος Ατομικής Ενεργείας,</w:t>
      </w:r>
    </w:p>
    <w:p w:rsidR="00D66ACE" w:rsidRPr="0089313D" w:rsidRDefault="00D66ACE" w:rsidP="00D66ACE">
      <w:pPr>
        <w:pStyle w:val="NormalHanging12a"/>
      </w:pPr>
      <w:r w:rsidRPr="0089313D">
        <w:t>–</w:t>
      </w:r>
      <w:r w:rsidRPr="0089313D">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89313D">
        <w:rPr>
          <w:rStyle w:val="FootnoteReference"/>
        </w:rPr>
        <w:footnoteReference w:id="257"/>
      </w:r>
      <w:r w:rsidRPr="0089313D">
        <w:t>, και ιδίως το άρθρο 68,</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58"/>
      </w:r>
      <w:r w:rsidRPr="0089313D">
        <w:t>, και ιδίως το άρθρο 68,</w:t>
      </w:r>
    </w:p>
    <w:p w:rsidR="00D66ACE" w:rsidRPr="0089313D" w:rsidRDefault="00D66ACE" w:rsidP="00D66ACE">
      <w:pPr>
        <w:pStyle w:val="NormalHanging12a"/>
      </w:pPr>
      <w:r w:rsidRPr="0089313D">
        <w:t>–</w:t>
      </w:r>
      <w:r w:rsidRPr="0089313D">
        <w:tab/>
        <w:t>έχοντας υπόψη την απόφαση 2008/114/ΕΚ, Ευρατόμ του Συμβουλίου, της 12ης Φεβρουαρίου 2008, σχετικά με την θέσπιση του καταστατικού του Οργανισμού Εφοδιασμού της Ευρατόμ</w:t>
      </w:r>
      <w:r w:rsidRPr="0089313D">
        <w:rPr>
          <w:rStyle w:val="FootnoteReference"/>
        </w:rPr>
        <w:footnoteReference w:id="259"/>
      </w:r>
      <w:r w:rsidRPr="0089313D">
        <w:t>, και ιδίως το άρθρο 8 του παραρτήματος,</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lastRenderedPageBreak/>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γενικό διευθυντή του Οργανισμού Εφοδιασμού της Ευρατόμ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στον γενικό διευθυντή του Οργανισμού Εφοδιασμού της Ευρατόμ, στο Συμβούλιο, στην Επιτροπή και στο Ελεγκτικό Συνέδριο, και να μεριμνήσει για τη δημοσίευσή τους στην </w:t>
      </w:r>
      <w:r w:rsidRPr="0089313D">
        <w:rPr>
          <w:i/>
        </w:rPr>
        <w:t xml:space="preserve">Επίσημη Εφημερίδα της Ευρωπαϊκής Ένωσης </w:t>
      </w:r>
      <w:r w:rsidRPr="0089313D">
        <w:t>(σειρά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51"/>
          <w:footnotePr>
            <w:numRestart w:val="eachPage"/>
          </w:footnotePr>
          <w:pgSz w:w="11906" w:h="16838" w:code="9"/>
          <w:pgMar w:top="1134" w:right="1418" w:bottom="1418" w:left="1418" w:header="1134" w:footer="567" w:gutter="0"/>
          <w:cols w:space="720"/>
          <w:noEndnote/>
          <w:docGrid w:linePitch="326"/>
        </w:sectPr>
      </w:pPr>
    </w:p>
    <w:p w:rsidR="00D66ACE" w:rsidRPr="0089313D" w:rsidRDefault="00D41A7D" w:rsidP="00590362">
      <w:pPr>
        <w:pStyle w:val="ATHeading3"/>
      </w:pPr>
      <w:r w:rsidRPr="0089313D">
        <w:lastRenderedPageBreak/>
        <w:t xml:space="preserve">44. </w:t>
      </w:r>
      <w:r w:rsidR="00590362" w:rsidRPr="0089313D">
        <w:t xml:space="preserve">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Οργανισμού Εφοδιασμού της Ευρατόμ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Εφοδιασμού της Ευρατόμ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60"/>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61"/>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το άρθρο 106α της Συνθήκης περί ιδρύσεως της Ευρωπαϊκής Κοινότητος Ατομικής Ενεργείας,</w:t>
      </w:r>
    </w:p>
    <w:p w:rsidR="00D66ACE" w:rsidRPr="0089313D" w:rsidRDefault="00D66ACE" w:rsidP="00D66ACE">
      <w:pPr>
        <w:pStyle w:val="NormalHanging12a"/>
      </w:pPr>
      <w:r w:rsidRPr="0089313D">
        <w:t>–</w:t>
      </w:r>
      <w:r w:rsidRPr="0089313D">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89313D">
        <w:rPr>
          <w:rStyle w:val="FootnoteReference"/>
        </w:rPr>
        <w:footnoteReference w:id="262"/>
      </w:r>
      <w:r w:rsidRPr="0089313D">
        <w:t>, και ιδίως το άρθρο 68,</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63"/>
      </w:r>
      <w:r w:rsidRPr="0089313D">
        <w:t>, και ιδίως το άρθρο 68,</w:t>
      </w:r>
    </w:p>
    <w:p w:rsidR="00D66ACE" w:rsidRPr="0089313D" w:rsidRDefault="00D66ACE" w:rsidP="00D66ACE">
      <w:pPr>
        <w:pStyle w:val="NormalHanging12a"/>
      </w:pPr>
      <w:r w:rsidRPr="0089313D">
        <w:t>–</w:t>
      </w:r>
      <w:r w:rsidRPr="0089313D">
        <w:tab/>
        <w:t>έχοντας υπόψη την απόφαση 2008/114/ΕΚ, Ευρατόμ του Συμβουλίου, της 12ης</w:t>
      </w:r>
      <w:r w:rsidR="00F943AF" w:rsidRPr="0089313D">
        <w:rPr>
          <w:lang w:val="en-GB"/>
        </w:rPr>
        <w:t> </w:t>
      </w:r>
      <w:r w:rsidRPr="0089313D">
        <w:t>Φεβρουαρίου 2008, σχετικά με την θέσπιση του καταστατικού του Οργανισμού Εφοδιασμού της Ευρατόμ</w:t>
      </w:r>
      <w:r w:rsidRPr="0089313D">
        <w:rPr>
          <w:rStyle w:val="FootnoteReference"/>
        </w:rPr>
        <w:footnoteReference w:id="264"/>
      </w:r>
      <w:r w:rsidRPr="0089313D">
        <w:t>, και ιδίως το άρθρο 8 του παραρτήματος,</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lastRenderedPageBreak/>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Οργανισμού Εφοδιασμού της Ευρατόμ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γενικό διευθυντή του Οργανισμού Εφοδιασμού της Ευρατόμ,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D41A7D">
      <w:pPr>
        <w:pStyle w:val="PageHeadingDec"/>
        <w:jc w:val="left"/>
      </w:pPr>
    </w:p>
    <w:p w:rsidR="00D66ACE" w:rsidRPr="0089313D" w:rsidRDefault="00D66ACE" w:rsidP="00D66ACE">
      <w:pPr>
        <w:pStyle w:val="PageHeadingDec"/>
        <w:sectPr w:rsidR="00D66ACE" w:rsidRPr="0089313D" w:rsidSect="00FA711E">
          <w:footerReference w:type="first" r:id="rId52"/>
          <w:footnotePr>
            <w:numRestart w:val="eachPage"/>
          </w:footnotePr>
          <w:pgSz w:w="11906" w:h="16838" w:code="9"/>
          <w:pgMar w:top="1134" w:right="1418" w:bottom="1418" w:left="1418" w:header="567" w:footer="567" w:gutter="0"/>
          <w:cols w:space="720"/>
          <w:noEndnote/>
          <w:docGrid w:linePitch="326"/>
        </w:sectPr>
      </w:pPr>
    </w:p>
    <w:p w:rsidR="00D66ACE" w:rsidRPr="0089313D" w:rsidRDefault="00D41A7D" w:rsidP="00590362">
      <w:pPr>
        <w:pStyle w:val="ATHeading3"/>
      </w:pPr>
      <w:r w:rsidRPr="0089313D">
        <w:lastRenderedPageBreak/>
        <w:t xml:space="preserve">45.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της Ευρωπαϊκής Αρχής Κινητών Αξιών και Αγορών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της Ευρωπαϊκής Αρχής Κινητών Αξιών και Αγορών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6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6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της Αρχής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6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6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αριθ. 1095/2010 του Ευρωπαϊκού Κοινοβουλίου και του Συμβουλίου, της 24ης Νοεμβρίου 2010, σχετικά με τη σύσταση Ευρωπαϊκής Εποπτικής Αρχής (Ευρωπαϊκή Αρχή Κινητών Αξιών και Αγορών), την τροποποίηση της απόφασης αριθ. 716/2009/ΕΚ και την κατάργηση της απόφασης 2009/77/ΕΚ της Επιτροπής</w:t>
      </w:r>
      <w:r w:rsidRPr="0089313D">
        <w:rPr>
          <w:rStyle w:val="FootnoteReference"/>
        </w:rPr>
        <w:footnoteReference w:id="269"/>
      </w:r>
      <w:r w:rsidRPr="0089313D">
        <w:t>, και ιδίως το άρθρο 64,</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270"/>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στην εκτελεστική διευθύντρια της Ευρωπαϊκής Αρχής Κινητών Αξιών και Αγορών όσον αφορά την εκτέλεση του προϋπολογισμού της Αρχής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της Ευρωπαϊκής Αρχής Κινητών Αξιών και Αγορών,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53"/>
          <w:footnotePr>
            <w:numRestart w:val="eachPage"/>
          </w:footnotePr>
          <w:pgSz w:w="11906" w:h="16838" w:code="9"/>
          <w:pgMar w:top="1134" w:right="1418" w:bottom="1418" w:left="1418" w:header="1134" w:footer="567" w:gutter="0"/>
          <w:cols w:space="720"/>
          <w:noEndnote/>
          <w:docGrid w:linePitch="326"/>
        </w:sectPr>
      </w:pPr>
    </w:p>
    <w:p w:rsidR="00D66ACE" w:rsidRPr="0089313D" w:rsidRDefault="00D41A7D" w:rsidP="00590362">
      <w:pPr>
        <w:pStyle w:val="ATHeading3"/>
      </w:pPr>
      <w:r w:rsidRPr="0089313D">
        <w:lastRenderedPageBreak/>
        <w:t xml:space="preserve">46. Απόφαση του Ευρωπαϊκού Κοινοβουλίου </w:t>
      </w:r>
      <w:r w:rsidR="00C22A10" w:rsidRPr="0089313D">
        <w:t xml:space="preserve">της 7ης Μαΐου 2025 </w:t>
      </w:r>
      <w:r w:rsidR="00D66ACE" w:rsidRPr="0089313D">
        <w:t>σχετικά με το κλείσιμο των λογαριασμών της Ευρωπαϊκής Αρχής Κινητών Αξιών και Αγορών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της Ευρωπαϊκής Αρχής Κινητών Αξιών και Αγορών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7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7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της Αρχής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73"/>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7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αριθ. 1095/2010 του Ευρωπαϊκού Κοινοβουλίου και του Συμβουλίου, της 24ης Νοεμβρίου 2010, σχετικά με τη σύσταση Ευρωπαϊκής Εποπτικής Αρχής (Ευρωπαϊκή Αρχή Κινητών Αξιών και Αγορών), την τροποποίηση της απόφασης αριθ. 716/2009/ΕΚ και την κατάργηση της απόφασης 2009/77/ΕΚ της Επιτροπής</w:t>
      </w:r>
      <w:r w:rsidRPr="0089313D">
        <w:rPr>
          <w:rStyle w:val="FootnoteReference"/>
        </w:rPr>
        <w:footnoteReference w:id="275"/>
      </w:r>
      <w:r w:rsidRPr="0089313D">
        <w:t>, και ιδίως το άρθρο 64,</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27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της Ευρωπαϊκής Αρχής Κινητών Αξιών και Αγορών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στην εκτελεστική διευθύντρια της Ευρωπαϊκής Αρχής Κινητών Αξιών και Αγορών, στο Συμβούλιο, στην Επιτροπή και στο Ελεγκτικό Συνέδριο, και να μεριμνήσει για τη δημοσίευσή της στην </w:t>
      </w:r>
      <w:r w:rsidRPr="0089313D">
        <w:rPr>
          <w:i/>
        </w:rPr>
        <w:t xml:space="preserve">Επίσημη Εφημερίδα της Ευρωπαϊκής Ένωσης </w:t>
      </w:r>
      <w:r w:rsidRPr="0089313D">
        <w:t>(σειρά L).</w:t>
      </w:r>
    </w:p>
    <w:p w:rsidR="00D66ACE" w:rsidRPr="0089313D" w:rsidRDefault="00D66ACE" w:rsidP="00D41A7D">
      <w:pPr>
        <w:pStyle w:val="PageHeadingDec"/>
        <w:jc w:val="left"/>
      </w:pPr>
    </w:p>
    <w:p w:rsidR="00D66ACE" w:rsidRPr="0089313D" w:rsidRDefault="00D66ACE" w:rsidP="00D66ACE">
      <w:pPr>
        <w:pStyle w:val="PageHeadingDec"/>
        <w:sectPr w:rsidR="00D66ACE" w:rsidRPr="0089313D" w:rsidSect="00FA711E">
          <w:footerReference w:type="first" r:id="rId54"/>
          <w:footnotePr>
            <w:numRestart w:val="eachPage"/>
          </w:footnotePr>
          <w:pgSz w:w="11906" w:h="16838" w:code="9"/>
          <w:pgMar w:top="1134" w:right="1418" w:bottom="1418" w:left="1418" w:header="567" w:footer="567" w:gutter="0"/>
          <w:cols w:space="720"/>
          <w:noEndnote/>
          <w:docGrid w:linePitch="326"/>
        </w:sectPr>
      </w:pPr>
    </w:p>
    <w:p w:rsidR="00D66ACE" w:rsidRPr="0089313D" w:rsidRDefault="00D41A7D" w:rsidP="00590362">
      <w:pPr>
        <w:pStyle w:val="ATHeading3"/>
      </w:pPr>
      <w:r w:rsidRPr="0089313D">
        <w:lastRenderedPageBreak/>
        <w:t xml:space="preserve">47.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Ευρωπαϊκού Ιδρύματος Επαγγελματικής Εκπαίδευσης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Ιδρύματος Επαγγελματικής Εκπαίδευσης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7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7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Ιδρύματος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7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80"/>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1339/2008 του Ευρωπαϊκού Κοινοβουλίου και του Συμβουλίου, της 16ης Δεκεμβρίου 2008, για τη σύσταση του Ευρωπαϊκού Ιδρύματος Επαγγελματικής Εκπαίδευσης</w:t>
      </w:r>
      <w:r w:rsidRPr="0089313D">
        <w:rPr>
          <w:rStyle w:val="FootnoteReference"/>
        </w:rPr>
        <w:footnoteReference w:id="281"/>
      </w:r>
      <w:r w:rsidRPr="0089313D">
        <w:t>, και ιδίως το άρθρο 17,</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28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w:t>
      </w:r>
      <w:r w:rsidR="00A5515A" w:rsidRPr="0089313D">
        <w:t>η</w:t>
      </w:r>
      <w:r w:rsidRPr="0089313D">
        <w:t xml:space="preserve"> </w:t>
      </w:r>
      <w:r w:rsidR="00A5515A" w:rsidRPr="0089313D">
        <w:t xml:space="preserve">διευθύντρια </w:t>
      </w:r>
      <w:r w:rsidRPr="0089313D">
        <w:t>του Ευρωπαϊκού Ιδρύματος Επαγγελματικής Εκπαίδευσης όσον αφορά την εκτέλεση του προϋπολογισμού του Ιδρύματος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αναθέτει στην Πρόεδρό του να διαβιβάσει την παρούσα απόφαση και το ψήφισμα που αποτελεί αναπόσπαστο μέρος της στ</w:t>
      </w:r>
      <w:r w:rsidR="00A5515A" w:rsidRPr="0089313D">
        <w:t>η</w:t>
      </w:r>
      <w:r w:rsidRPr="0089313D">
        <w:t xml:space="preserve"> </w:t>
      </w:r>
      <w:r w:rsidR="00A5515A" w:rsidRPr="0089313D">
        <w:t xml:space="preserve">διευθύντρια </w:t>
      </w:r>
      <w:r w:rsidRPr="0089313D">
        <w:t xml:space="preserve">του Ευρωπαϊκού Ιδρύματος Επαγγελματικής Εκπαίδευσης,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55"/>
          <w:footnotePr>
            <w:numRestart w:val="eachPage"/>
          </w:footnotePr>
          <w:pgSz w:w="11906" w:h="16838" w:code="9"/>
          <w:pgMar w:top="1134" w:right="1418" w:bottom="1418" w:left="1418" w:header="1134" w:footer="567" w:gutter="0"/>
          <w:cols w:space="720"/>
          <w:noEndnote/>
          <w:docGrid w:linePitch="326"/>
        </w:sectPr>
      </w:pPr>
    </w:p>
    <w:p w:rsidR="00D66ACE" w:rsidRPr="0089313D" w:rsidRDefault="00D41A7D" w:rsidP="00590362">
      <w:pPr>
        <w:pStyle w:val="ATHeading3"/>
      </w:pPr>
      <w:r w:rsidRPr="0089313D">
        <w:lastRenderedPageBreak/>
        <w:t xml:space="preserve">48.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Ευρωπαϊκού Ιδρύματος Επαγγελματικής Εκπαίδευσης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Ιδρύματος Επαγγελματικής Εκπαίδευσης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8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8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Ιδρύματος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8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8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1339/2008 του Ευρωπαϊκού Κοινοβουλίου και του Συμβουλίου, της 16ης Δεκεμβρίου 2008, για τη σύσταση του Ευρωπαϊκού Ιδρύματος Επαγγελματικής Εκπαίδευσης</w:t>
      </w:r>
      <w:r w:rsidRPr="0089313D">
        <w:rPr>
          <w:rStyle w:val="FootnoteReference"/>
        </w:rPr>
        <w:footnoteReference w:id="287"/>
      </w:r>
      <w:r w:rsidRPr="0089313D">
        <w:t>, και ιδίως το άρθρο 17,</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28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Ιδρύματος Επαγγελματικής Εκπαίδευσης για το οικονομικό έτος 2023·</w:t>
      </w:r>
    </w:p>
    <w:p w:rsidR="00D66ACE" w:rsidRPr="0089313D" w:rsidRDefault="00D66ACE" w:rsidP="00D66ACE">
      <w:pPr>
        <w:pStyle w:val="NormalHanging12a"/>
      </w:pPr>
      <w:r w:rsidRPr="0089313D">
        <w:t>2.</w:t>
      </w:r>
      <w:r w:rsidRPr="0089313D">
        <w:tab/>
        <w:t>αναθέτει στην Πρόεδρό του να διαβιβάσει την παρούσα απόφαση στ</w:t>
      </w:r>
      <w:r w:rsidR="00A5515A" w:rsidRPr="0089313D">
        <w:t>η</w:t>
      </w:r>
      <w:r w:rsidRPr="0089313D">
        <w:t xml:space="preserve"> </w:t>
      </w:r>
      <w:r w:rsidR="00A5515A" w:rsidRPr="0089313D">
        <w:t xml:space="preserve">διευθύντρια </w:t>
      </w:r>
      <w:r w:rsidRPr="0089313D">
        <w:t xml:space="preserve">του Ευρωπαϊκού Ιδρύματος Επαγγελματικής Εκπαίδευσης,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41A7D">
      <w:pPr>
        <w:pStyle w:val="PageHeadingDec"/>
        <w:jc w:val="left"/>
      </w:pPr>
    </w:p>
    <w:p w:rsidR="00D66ACE" w:rsidRPr="0089313D" w:rsidRDefault="00D66ACE" w:rsidP="00D66ACE">
      <w:pPr>
        <w:pStyle w:val="PageHeadingDec"/>
        <w:sectPr w:rsidR="00D66ACE" w:rsidRPr="0089313D" w:rsidSect="00FA711E">
          <w:footerReference w:type="first" r:id="rId56"/>
          <w:footnotePr>
            <w:numRestart w:val="eachPage"/>
          </w:footnotePr>
          <w:pgSz w:w="11906" w:h="16838" w:code="9"/>
          <w:pgMar w:top="1134" w:right="1418" w:bottom="1418" w:left="1418" w:header="567" w:footer="567" w:gutter="0"/>
          <w:cols w:space="720"/>
          <w:noEndnote/>
          <w:docGrid w:linePitch="326"/>
        </w:sectPr>
      </w:pPr>
    </w:p>
    <w:p w:rsidR="00D66ACE" w:rsidRPr="0089313D" w:rsidRDefault="00D41A7D" w:rsidP="00590362">
      <w:pPr>
        <w:pStyle w:val="ATHeading3"/>
      </w:pPr>
      <w:r w:rsidRPr="0089313D">
        <w:lastRenderedPageBreak/>
        <w:t xml:space="preserve">49.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Οργανισμού της Ευρωπαϊκής Ένωσης για το Άσυλο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το Άσυλο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8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9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9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9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αριθ. 439/2010 του Ευρωπαϊκού Κοινοβουλίου και του Συμβουλίου, της 19ης Μαΐου 2010, για την ίδρυση Ευρωπαϊκής Υπηρεσίας Υποστήριξης για το Άσυλο</w:t>
      </w:r>
      <w:r w:rsidRPr="0089313D">
        <w:rPr>
          <w:rStyle w:val="FootnoteReference"/>
        </w:rPr>
        <w:footnoteReference w:id="293"/>
      </w:r>
      <w:r w:rsidRPr="0089313D">
        <w:t>, ιδίως το άρθρο 36,</w:t>
      </w:r>
    </w:p>
    <w:p w:rsidR="00D66ACE" w:rsidRPr="0089313D" w:rsidRDefault="00D66ACE" w:rsidP="00D66ACE">
      <w:pPr>
        <w:pStyle w:val="NormalHanging12a"/>
      </w:pPr>
      <w:r w:rsidRPr="0089313D">
        <w:t>–</w:t>
      </w:r>
      <w:r w:rsidRPr="0089313D">
        <w:tab/>
        <w:t>έχοντας υπόψη τον κανονισμό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w:t>
      </w:r>
      <w:r w:rsidRPr="0089313D">
        <w:rPr>
          <w:rStyle w:val="FootnoteReference"/>
        </w:rPr>
        <w:footnoteReference w:id="294"/>
      </w:r>
      <w:r w:rsidRPr="0089313D">
        <w:t xml:space="preserve">, και </w:t>
      </w:r>
      <w:r w:rsidRPr="0089313D">
        <w:lastRenderedPageBreak/>
        <w:t>ιδίως το άρθρο 55,</w:t>
      </w:r>
    </w:p>
    <w:p w:rsidR="00D66ACE" w:rsidRPr="0089313D" w:rsidRDefault="00D66ACE" w:rsidP="00D66ACE">
      <w:pPr>
        <w:pStyle w:val="NormalHanging12a"/>
      </w:pPr>
      <w:r w:rsidRPr="0089313D">
        <w:t>–</w:t>
      </w:r>
      <w:r w:rsidRPr="0089313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295"/>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αναβάλλει την απόφασή του για τη χορήγηση απαλλαγής στην εκτελεστική διευθύντρια του Οργανισμού της Ευρωπαϊκής Ένωσης για το Άσυλο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αναθέτει στην Πρόεδρό του να διαβιβάσει την παρούσα απόφαση και το ψήφισμα που αποτελεί αναπόσπαστο μέρος της στην εκτελεστική διευθύντρια του Οργανισμού της Ευρωπαϊκής Ένωσης για το Άσυλο, στο Συμβούλιο, στην Επιτροπή και στο Ελεγκτικό Συνέδριο, και να μεριμνήσει για τη δημοσίευσή τους στην</w:t>
      </w:r>
      <w:r w:rsidRPr="0089313D">
        <w:rPr>
          <w:i/>
        </w:rPr>
        <w:t xml:space="preserve"> 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57"/>
          <w:footnotePr>
            <w:numRestart w:val="eachPage"/>
          </w:footnotePr>
          <w:pgSz w:w="11906" w:h="16838" w:code="9"/>
          <w:pgMar w:top="1134" w:right="1418" w:bottom="1418" w:left="1418" w:header="1134" w:footer="567" w:gutter="0"/>
          <w:cols w:space="720"/>
          <w:noEndnote/>
          <w:docGrid w:linePitch="326"/>
        </w:sectPr>
      </w:pPr>
    </w:p>
    <w:p w:rsidR="00D66ACE" w:rsidRPr="0089313D" w:rsidRDefault="00D41A7D" w:rsidP="00590362">
      <w:pPr>
        <w:pStyle w:val="ATHeading3"/>
      </w:pPr>
      <w:r w:rsidRPr="0089313D">
        <w:lastRenderedPageBreak/>
        <w:t xml:space="preserve">50.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Οργανισμού της Ευρωπαϊκής Ένωσης για το Άσυλο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το Άσυλο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296"/>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297"/>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29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29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αριθ. 439/2010 του Ευρωπαϊκού Κοινοβουλίου και του Συμβουλίου, της 19ης Μαΐου 2010, για την ίδρυση Ευρωπαϊκής Υπηρεσίας Υποστήριξης για το Άσυλο</w:t>
      </w:r>
      <w:r w:rsidRPr="0089313D">
        <w:rPr>
          <w:rStyle w:val="FootnoteReference"/>
        </w:rPr>
        <w:footnoteReference w:id="300"/>
      </w:r>
      <w:r w:rsidRPr="0089313D">
        <w:t>, ιδίως το άρθρο 36,</w:t>
      </w:r>
    </w:p>
    <w:p w:rsidR="00D66ACE" w:rsidRPr="0089313D" w:rsidRDefault="00D66ACE" w:rsidP="00D66ACE">
      <w:pPr>
        <w:pStyle w:val="NormalHanging12a"/>
      </w:pPr>
      <w:r w:rsidRPr="0089313D">
        <w:t>–</w:t>
      </w:r>
      <w:r w:rsidRPr="0089313D">
        <w:tab/>
        <w:t>έχοντας υπόψη τον κανονισμό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w:t>
      </w:r>
      <w:r w:rsidRPr="0089313D">
        <w:rPr>
          <w:rStyle w:val="FootnoteReference"/>
        </w:rPr>
        <w:footnoteReference w:id="301"/>
      </w:r>
      <w:r w:rsidRPr="0089313D">
        <w:t xml:space="preserve">, και </w:t>
      </w:r>
      <w:r w:rsidRPr="0089313D">
        <w:lastRenderedPageBreak/>
        <w:t>ιδίως το άρθρο 55,</w:t>
      </w:r>
    </w:p>
    <w:p w:rsidR="00D66ACE" w:rsidRPr="0089313D" w:rsidRDefault="00D66ACE" w:rsidP="00D66ACE">
      <w:pPr>
        <w:pStyle w:val="NormalHanging12a"/>
      </w:pPr>
      <w:r w:rsidRPr="0089313D">
        <w:t>–</w:t>
      </w:r>
      <w:r w:rsidRPr="0089313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0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αναβάλλει το κλείσιμο των λογαριασμών του Οργανισμού της Ευρωπαϊκής Ένωσης για το Άσυλο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στην εκτελεστική διευθύντρια του Οργανισμού της Ευρωπαϊκής Ένωσης για το Άσυλο,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D41A7D">
      <w:pPr>
        <w:pStyle w:val="PageHeadingDec"/>
        <w:jc w:val="left"/>
      </w:pPr>
    </w:p>
    <w:p w:rsidR="00D66ACE" w:rsidRPr="0089313D" w:rsidRDefault="00D66ACE" w:rsidP="00D66ACE">
      <w:pPr>
        <w:pStyle w:val="PageHeadingDec"/>
        <w:sectPr w:rsidR="00D66ACE" w:rsidRPr="0089313D" w:rsidSect="00FA711E">
          <w:footerReference w:type="first" r:id="rId58"/>
          <w:footnotePr>
            <w:numRestart w:val="eachPage"/>
          </w:footnotePr>
          <w:pgSz w:w="11906" w:h="16838" w:code="9"/>
          <w:pgMar w:top="1134" w:right="1418" w:bottom="1418" w:left="1418" w:header="567" w:footer="567" w:gutter="0"/>
          <w:cols w:space="720"/>
          <w:noEndnote/>
          <w:docGrid w:linePitch="326"/>
        </w:sectPr>
      </w:pPr>
    </w:p>
    <w:p w:rsidR="00D66ACE" w:rsidRPr="0089313D" w:rsidRDefault="00D41A7D" w:rsidP="00590362">
      <w:pPr>
        <w:pStyle w:val="ATHeading3"/>
      </w:pPr>
      <w:r w:rsidRPr="0089313D">
        <w:lastRenderedPageBreak/>
        <w:t xml:space="preserve">51.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0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0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0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06"/>
      </w:r>
      <w:r w:rsidRPr="0089313D">
        <w:t>, και ιδίως το άρθρο 70,</w:t>
      </w:r>
    </w:p>
    <w:p w:rsidR="00D66ACE" w:rsidRPr="0089313D" w:rsidRDefault="00D66ACE" w:rsidP="00D66ACE">
      <w:pPr>
        <w:pStyle w:val="NormalHanging12a"/>
      </w:pPr>
      <w:r w:rsidRPr="0089313D">
        <w:t>–</w:t>
      </w:r>
      <w:r w:rsidRPr="0089313D">
        <w:tab/>
        <w:t xml:space="preserve">έχοντας υπόψη τον κανονισμό (EE) 2018/1726 του Ευρωπαϊκού Κοινοβουλίου και του Συμβουλίου, της 14ης Νοεμβρίου 2018, σχετικά με τον Οργανισμό της Ευρωπαϊκής Ένωσης για τη λειτουργική διαχείριση συστημάτων ΤΠ μεγάλης κλίμακας στον χώρο ελευθερίας, ασφάλειας και δικαιοσύνης (eu-LISA), και την τροποποίηση του κανονισμού (ΕΚ) αριθ. 1987/2006 και της απόφασης 2007/533/ΔΕΥ του Συμβουλίου </w:t>
      </w:r>
      <w:r w:rsidRPr="0089313D">
        <w:lastRenderedPageBreak/>
        <w:t>και την κατάργηση του κανονισμού (ΕΕ) αριθ. 1077/2011</w:t>
      </w:r>
      <w:r w:rsidRPr="0089313D">
        <w:rPr>
          <w:rStyle w:val="FootnoteReference"/>
        </w:rPr>
        <w:footnoteReference w:id="307"/>
      </w:r>
      <w:r w:rsidRPr="0089313D">
        <w:t>, και ιδίως το άρθρο 47,</w:t>
      </w:r>
    </w:p>
    <w:p w:rsidR="00D66ACE" w:rsidRPr="0089313D" w:rsidRDefault="00D66ACE" w:rsidP="00D66ACE">
      <w:pPr>
        <w:pStyle w:val="NormalHanging12a"/>
      </w:pPr>
      <w:r w:rsidRPr="0089313D">
        <w:t>–</w:t>
      </w:r>
      <w:r w:rsidRPr="0089313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0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στην προσωρινή εκτελεστική διευθύντρια του Οργανισμού της Ευρωπαϊκής Ένωσης για τη Λειτουργική Διαχείριση Συστημάτων ΤΠ Μεγάλης Κλίμακας στον Χώρο Ελευθερίας, Ασφάλειας και Δικαιοσύνης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στην προσωρινή εκτελεστική διευθύντρια του Οργανισμού της Ευρωπαϊκής Ένωσης για τη Λειτουργική Διαχείριση Συστημάτων ΤΠ Μεγάλης Κλίμακας στον Χώρο Ελευθερίας, Ασφάλειας και Δικαιοσύνης,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59"/>
          <w:footnotePr>
            <w:numRestart w:val="eachPage"/>
          </w:footnotePr>
          <w:pgSz w:w="11906" w:h="16838" w:code="9"/>
          <w:pgMar w:top="1134" w:right="1418" w:bottom="1418" w:left="1418" w:header="1134" w:footer="567" w:gutter="0"/>
          <w:cols w:space="720"/>
          <w:noEndnote/>
          <w:docGrid w:linePitch="326"/>
        </w:sectPr>
      </w:pPr>
    </w:p>
    <w:p w:rsidR="00D66ACE" w:rsidRPr="0089313D" w:rsidRDefault="00813C79" w:rsidP="00590362">
      <w:pPr>
        <w:pStyle w:val="ATHeading3"/>
      </w:pPr>
      <w:r w:rsidRPr="0089313D">
        <w:lastRenderedPageBreak/>
        <w:t xml:space="preserve">52. </w:t>
      </w:r>
      <w:r w:rsidR="00D41A7D" w:rsidRPr="0089313D">
        <w:t xml:space="preserve">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0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1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1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12"/>
      </w:r>
      <w:r w:rsidRPr="0089313D">
        <w:t>, και ιδίως το άρθρο 70,</w:t>
      </w:r>
    </w:p>
    <w:p w:rsidR="00D66ACE" w:rsidRPr="0089313D" w:rsidRDefault="00D66ACE" w:rsidP="00D66ACE">
      <w:pPr>
        <w:pStyle w:val="NormalHanging12a"/>
      </w:pPr>
      <w:r w:rsidRPr="0089313D">
        <w:t>–</w:t>
      </w:r>
      <w:r w:rsidRPr="0089313D">
        <w:tab/>
        <w:t xml:space="preserve">έχοντας υπόψη τον κανονισμό (EE) 2018/1726 του Ευρωπαϊκού Κοινοβουλίου και του Συμβουλίου, της 14ης Νοεμβρίου 2018, σχετικά με τον Οργανισμό της Ευρωπαϊκής Ένωσης για τη λειτουργική διαχείριση συστημάτων ΤΠ μεγάλης κλίμακας στον χώρο ελευθερίας, ασφάλειας και δικαιοσύνης (eu-LISA), και την τροποποίηση του κανονισμού (ΕΚ) αριθ. 1987/2006 και της απόφασης 2007/533/ΔΕΥ του Συμβουλίου </w:t>
      </w:r>
      <w:r w:rsidRPr="0089313D">
        <w:lastRenderedPageBreak/>
        <w:t>και την κατάργηση του κανονισμού (ΕΕ) αριθ. 1077/2011</w:t>
      </w:r>
      <w:r w:rsidRPr="0089313D">
        <w:rPr>
          <w:rStyle w:val="FootnoteReference"/>
        </w:rPr>
        <w:footnoteReference w:id="313"/>
      </w:r>
      <w:r w:rsidRPr="0089313D">
        <w:t>, και ιδίως το άρθρο 47,</w:t>
      </w:r>
    </w:p>
    <w:p w:rsidR="00D66ACE" w:rsidRPr="0089313D" w:rsidRDefault="00D66ACE" w:rsidP="00D66ACE">
      <w:pPr>
        <w:pStyle w:val="NormalHanging12a"/>
      </w:pPr>
      <w:r w:rsidRPr="0089313D">
        <w:t>–</w:t>
      </w:r>
      <w:r w:rsidRPr="0089313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1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σχετικά με το κλείσιμο των λογαριασμών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2023</w:t>
      </w:r>
    </w:p>
    <w:p w:rsidR="00D66ACE" w:rsidRPr="0089313D" w:rsidRDefault="00D66ACE" w:rsidP="00D66ACE">
      <w:pPr>
        <w:pStyle w:val="NormalHanging12a"/>
      </w:pPr>
      <w:r w:rsidRPr="0089313D">
        <w:t>2.</w:t>
      </w:r>
      <w:r w:rsidRPr="0089313D">
        <w:tab/>
        <w:t>αναθέτει στην Πρόεδρό του να διαβιβάσει την παρούσα απόφαση στην προσωρινή εκτελεστική διευθύντρια του Οργανισμού της Ευρωπαϊκής Ένωσης για τη Λειτουργική Διαχείριση Συστημάτων ΤΠ Μεγάλης Κλίμακας στον Χώρο Ελευθερίας, Ασφάλειας και Δικαιοσύνης, στο Συμβούλιο, στην Επιτροπή και στο Ελεγκτικό Συνέδριο, και να μεριμνήσει για τη δημοσίευσή της στην</w:t>
      </w:r>
      <w:r w:rsidRPr="0089313D">
        <w:rPr>
          <w:i/>
        </w:rPr>
        <w:t xml:space="preserve"> Επίσημη Εφημερίδα της Ευρωπαϊκής Ένωσης </w:t>
      </w:r>
      <w:r w:rsidRPr="0089313D">
        <w:t>(σειρά L).</w:t>
      </w:r>
    </w:p>
    <w:p w:rsidR="00D66ACE" w:rsidRPr="0089313D" w:rsidRDefault="00D66ACE" w:rsidP="00813C79">
      <w:pPr>
        <w:pStyle w:val="PageHeadingDec"/>
        <w:jc w:val="left"/>
      </w:pPr>
    </w:p>
    <w:p w:rsidR="00D66ACE" w:rsidRPr="0089313D" w:rsidRDefault="00D66ACE" w:rsidP="00D66ACE">
      <w:pPr>
        <w:pStyle w:val="PageHeadingDec"/>
        <w:sectPr w:rsidR="00D66ACE" w:rsidRPr="0089313D" w:rsidSect="00FA711E">
          <w:footerReference w:type="first" r:id="rId60"/>
          <w:footnotePr>
            <w:numRestart w:val="eachPage"/>
          </w:footnotePr>
          <w:pgSz w:w="11906" w:h="16838" w:code="9"/>
          <w:pgMar w:top="1134" w:right="1418" w:bottom="1418" w:left="1418" w:header="567" w:footer="567" w:gutter="0"/>
          <w:cols w:space="720"/>
          <w:noEndnote/>
          <w:docGrid w:linePitch="326"/>
        </w:sectPr>
      </w:pPr>
    </w:p>
    <w:p w:rsidR="00D66ACE" w:rsidRPr="0089313D" w:rsidRDefault="00813C79" w:rsidP="00590362">
      <w:pPr>
        <w:pStyle w:val="ATHeading3"/>
      </w:pPr>
      <w:r w:rsidRPr="0089313D">
        <w:lastRenderedPageBreak/>
        <w:t xml:space="preserve">53.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Ευρωπαϊκού Οργανισμού για την Ασφάλεια και την Υγεία στην Εργασία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για την Ασφάλεια και την Υγεία στην Εργασία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1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1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1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1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2019/126 του Ευρωπαϊκού Κοινοβουλίου και του Συμβουλίου, της 16ης Ιανουαρίου 2019, σχετικά με την ίδρυση του Ευρωπαϊκού Οργανισμού για την Ασφάλεια και την Υγεία στην Εργασία (EU-OSHA) και την κατάργηση του κανονισμού (ΕΚ) αριθ. 2062/94 του Συμβουλίου</w:t>
      </w:r>
      <w:r w:rsidRPr="0089313D">
        <w:rPr>
          <w:rStyle w:val="FootnoteReference"/>
        </w:rPr>
        <w:footnoteReference w:id="319"/>
      </w:r>
      <w:r w:rsidRPr="0089313D">
        <w:t>, και ιδίως το άρθρο 16,</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89313D">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20"/>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εκτελεστικό διευθυντή του Ευρωπαϊκού Οργανισμού για την Ασφάλεια και την Υγεία στην Εργασία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στον Πρόεδρό του να διαβιβάσει την παρούσα απόφαση, καθώς και το ψήφισμα που αποτελεί αναπόσπαστο μέρος της, στον εκτελεστικό διευθυντή του Ευρωπαϊκού Οργανισμού για την Ασφάλεια και την Υγεία στην Εργασία,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61"/>
          <w:footnotePr>
            <w:numRestart w:val="eachPage"/>
          </w:footnotePr>
          <w:pgSz w:w="11906" w:h="16838" w:code="9"/>
          <w:pgMar w:top="1134" w:right="1418" w:bottom="1418" w:left="1418" w:header="1134" w:footer="567" w:gutter="0"/>
          <w:cols w:space="720"/>
          <w:noEndnote/>
          <w:docGrid w:linePitch="326"/>
        </w:sectPr>
      </w:pPr>
    </w:p>
    <w:p w:rsidR="00D66ACE" w:rsidRPr="0089313D" w:rsidRDefault="00813C79" w:rsidP="00590362">
      <w:pPr>
        <w:pStyle w:val="ATHeading3"/>
      </w:pPr>
      <w:r w:rsidRPr="0089313D">
        <w:lastRenderedPageBreak/>
        <w:t xml:space="preserve">54.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Ευρωπαϊκού Οργανισμού για την Ασφάλεια και την Υγεία στην Εργασία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για την Ασφάλεια και την Υγεία στην Εργασία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2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2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23"/>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2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2019/126 του Ευρωπαϊκού Κοινοβουλίου και του Συμβουλίου, της 16ης Ιανουαρίου 2019, σχετικά με την ίδρυση του Ευρωπαϊκού Οργανισμού για την Ασφάλεια και την Υγεία στην Εργασία (EU-OSHA) και την κατάργηση του κανονισμού (ΕΚ) αριθ. 2062/94 του Συμβουλίου</w:t>
      </w:r>
      <w:r w:rsidRPr="0089313D">
        <w:rPr>
          <w:rStyle w:val="FootnoteReference"/>
        </w:rPr>
        <w:footnoteReference w:id="325"/>
      </w:r>
      <w:r w:rsidRPr="0089313D">
        <w:t>, και ιδίως το άρθρο 16,</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2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Οργανισμού για την Ασφάλεια και την Υγεία στην Εργασία για το οικονομικό έτος 2023·</w:t>
      </w:r>
    </w:p>
    <w:p w:rsidR="00D66ACE" w:rsidRPr="0089313D" w:rsidRDefault="00D66ACE" w:rsidP="00D66ACE">
      <w:pPr>
        <w:pStyle w:val="NormalHanging12a"/>
      </w:pPr>
      <w:r w:rsidRPr="0089313D">
        <w:t>2.</w:t>
      </w:r>
      <w:r w:rsidRPr="0089313D">
        <w:tab/>
        <w:t xml:space="preserve">αναθέτει στον Πρόεδρό του να διαβιβάσει την παρούσα απόφαση στον εκτελεστικό διευθυντή του Ευρωπαϊκού Οργανισμού για την Ασφάλεια και την Υγεία στην Εργασία, στο Συμβούλιο, στην Επιτροπή και στο Ελεγκτικό Συνέδριο, και να μεριμνήσει για τη δημοσίευσή της στην </w:t>
      </w:r>
      <w:r w:rsidRPr="0089313D">
        <w:rPr>
          <w:i/>
        </w:rPr>
        <w:t xml:space="preserve">Επίσημη Εφημερίδα της Ευρωπαϊκής Ένωσης </w:t>
      </w:r>
      <w:r w:rsidRPr="0089313D">
        <w:t>(σειρά L).</w:t>
      </w:r>
    </w:p>
    <w:p w:rsidR="00D66ACE" w:rsidRPr="0089313D" w:rsidRDefault="00D66ACE" w:rsidP="00813C79">
      <w:pPr>
        <w:pStyle w:val="PageHeadingDec"/>
        <w:jc w:val="left"/>
      </w:pPr>
    </w:p>
    <w:p w:rsidR="00D66ACE" w:rsidRPr="0089313D" w:rsidRDefault="00D66ACE" w:rsidP="00D66ACE">
      <w:pPr>
        <w:pStyle w:val="PageHeadingDec"/>
        <w:sectPr w:rsidR="00D66ACE" w:rsidRPr="0089313D" w:rsidSect="00FA711E">
          <w:footerReference w:type="first" r:id="rId62"/>
          <w:footnotePr>
            <w:numRestart w:val="eachPage"/>
          </w:footnotePr>
          <w:pgSz w:w="11906" w:h="16838" w:code="9"/>
          <w:pgMar w:top="1134" w:right="1418" w:bottom="1418" w:left="1418" w:header="567" w:footer="567" w:gutter="0"/>
          <w:cols w:space="720"/>
          <w:noEndnote/>
          <w:docGrid w:linePitch="326"/>
        </w:sectPr>
      </w:pPr>
    </w:p>
    <w:p w:rsidR="00D66ACE" w:rsidRPr="0089313D" w:rsidRDefault="00813C79" w:rsidP="00590362">
      <w:pPr>
        <w:pStyle w:val="ATHeading3"/>
      </w:pPr>
      <w:r w:rsidRPr="0089313D">
        <w:lastRenderedPageBreak/>
        <w:t xml:space="preserve">55.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Ευρωπαϊκού Ιδρύματος για τη Βελτίωση των Συνθηκών Διαβίωσης και Εργασίας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Ιδρύματος για τη Βελτίωση των Συνθηκών Διαβίωσης και Εργασίας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2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2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Ιδρύματος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2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30"/>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2019/127 του Ευρωπαϊκού Κοινοβουλίου και του Συμβουλίου, της 16ης Ιανουαρίου 2019, σχετικά με την ίδρυση του Ευρωπαϊκού Ιδρύματος για τη Βελτίωση των Συνθηκών Διαβίωσης και Εργασίας (Eurofound) και την κατάργηση του κανονισμού (ΕΟΚ) αριθ. 1365/75 του Συμβουλίου</w:t>
      </w:r>
      <w:r w:rsidRPr="0089313D">
        <w:rPr>
          <w:rStyle w:val="FootnoteReference"/>
        </w:rPr>
        <w:footnoteReference w:id="331"/>
      </w:r>
      <w:r w:rsidRPr="0089313D">
        <w:t>, και ιδίως το άρθρο 16,</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89313D">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3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εκτελεστικό διευθυντή του Ευρωπαϊκού Ιδρύματος για τη Βελτίωση των Συνθηκών Διαβίωσης και Εργασίας όσον αφορά την εκτέλεση του προϋπολογισμού του Ιδρύματος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Ευρωπαϊκού Ιδρύματος για τη Βελτίωση των Συνθηκών Διαβίωσης και Εργασίας,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63"/>
          <w:footnotePr>
            <w:numRestart w:val="eachPage"/>
          </w:footnotePr>
          <w:pgSz w:w="11906" w:h="16838" w:code="9"/>
          <w:pgMar w:top="1134" w:right="1418" w:bottom="1418" w:left="1418" w:header="1134" w:footer="567" w:gutter="0"/>
          <w:cols w:space="720"/>
          <w:noEndnote/>
          <w:docGrid w:linePitch="326"/>
        </w:sectPr>
      </w:pPr>
    </w:p>
    <w:p w:rsidR="00D66ACE" w:rsidRPr="0089313D" w:rsidRDefault="00813C79" w:rsidP="00590362">
      <w:pPr>
        <w:pStyle w:val="ATHeading3"/>
      </w:pPr>
      <w:r w:rsidRPr="0089313D">
        <w:lastRenderedPageBreak/>
        <w:t xml:space="preserve">56.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Ευρωπαϊκού Ιδρύματος για τη Βελτίωση των Συνθηκών Διαβίωσης και Εργασίας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Ιδρύματος για τη Βελτίωση των Συνθηκών Διαβίωσης και Εργασίας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3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3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Ιδρύματος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3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3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2019/127 του Ευρωπαϊκού Κοινοβουλίου και του Συμβουλίου, της 16ης Ιανουαρίου 2019, σχετικά με την ίδρυση του Ευρωπαϊκού Ιδρύματος για τη Βελτίωση των Συνθηκών Διαβίωσης και Εργασίας (Eurofound) και την κατάργηση του κανονισμού (ΕΟΚ) αριθ. 1365/75 του Συμβουλίου</w:t>
      </w:r>
      <w:r w:rsidRPr="0089313D">
        <w:rPr>
          <w:rStyle w:val="FootnoteReference"/>
        </w:rPr>
        <w:footnoteReference w:id="337"/>
      </w:r>
      <w:r w:rsidRPr="0089313D">
        <w:t>, και ιδίως το άρθρο 16,</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89313D">
        <w:lastRenderedPageBreak/>
        <w:t>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3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Ιδρύματος για τη Βελτίωση των Συνθηκών Διαβίωσης και Εργασίας για το οικονομικό έτος 2023·</w:t>
      </w:r>
    </w:p>
    <w:p w:rsidR="00D66ACE" w:rsidRPr="0089313D" w:rsidRDefault="00D66ACE" w:rsidP="00D66ACE">
      <w:pPr>
        <w:pStyle w:val="NormalHanging12a"/>
      </w:pPr>
      <w:r w:rsidRPr="0089313D">
        <w:t>2.</w:t>
      </w:r>
      <w:r w:rsidRPr="0089313D">
        <w:tab/>
        <w:t>αναθέτει στην Πρόεδρό του να διαβιβάσει την παρούσα απόφαση στον εκτελεστικό διευθυντή του Ευρωπαϊκού Ιδρύματος για τη Βελτίωση των Συνθηκών Διαβίωσης και Εργασίας, στο Συμβούλιο, στην Επιτροπή και στο Ελεγκτικό Συνέδριο, και να μεριμνήσει για τη δημοσίευσή της στην</w:t>
      </w:r>
      <w:r w:rsidRPr="0089313D">
        <w:rPr>
          <w:i/>
        </w:rPr>
        <w:t xml:space="preserve"> Επίσημη Εφημερίδα της Ευρωπαϊκής Ένωσης </w:t>
      </w:r>
      <w:r w:rsidRPr="0089313D">
        <w:t>(σειρά L).</w:t>
      </w:r>
    </w:p>
    <w:p w:rsidR="00D66ACE" w:rsidRPr="0089313D" w:rsidRDefault="00D66ACE" w:rsidP="00D66ACE"/>
    <w:p w:rsidR="00D66ACE" w:rsidRPr="0089313D" w:rsidRDefault="00D66ACE" w:rsidP="00E930E6">
      <w:pPr>
        <w:pStyle w:val="PageHeadingDec"/>
        <w:jc w:val="left"/>
      </w:pPr>
    </w:p>
    <w:p w:rsidR="00D66ACE" w:rsidRPr="0089313D" w:rsidRDefault="00D66ACE" w:rsidP="00D66ACE">
      <w:pPr>
        <w:pStyle w:val="PageHeadingDec"/>
        <w:sectPr w:rsidR="00D66ACE" w:rsidRPr="0089313D" w:rsidSect="00FA711E">
          <w:footerReference w:type="first" r:id="rId64"/>
          <w:footnotePr>
            <w:numRestart w:val="eachPage"/>
          </w:footnotePr>
          <w:pgSz w:w="11906" w:h="16838" w:code="9"/>
          <w:pgMar w:top="1134" w:right="1418" w:bottom="1418" w:left="1418" w:header="567" w:footer="567" w:gutter="0"/>
          <w:cols w:space="720"/>
          <w:noEndnote/>
          <w:docGrid w:linePitch="326"/>
        </w:sectPr>
      </w:pPr>
    </w:p>
    <w:p w:rsidR="00D66ACE" w:rsidRPr="0089313D" w:rsidRDefault="00813C79" w:rsidP="00590362">
      <w:pPr>
        <w:pStyle w:val="ATHeading3"/>
      </w:pPr>
      <w:r w:rsidRPr="0089313D">
        <w:lastRenderedPageBreak/>
        <w:t xml:space="preserve">57.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Οργανισμού της Ευρωπαϊκής Ένωσης για τη Συνεργασία στον Τομέα της Ποινικής Δικαιοσύνης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 Συνεργασία στον Τομέα της Ποινικής Δικαιοσύνης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3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4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4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4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2018/1727 του Ευρωπαϊκού Κοινοβουλίου και του Συμβουλίου, της 14ης Νοεμβρίου 2018, σχετικά με τον Οργανισμό της Ευρωπαϊκής Ένωσης για τη Συνεργασία στον Τομέα της Ποινικής Δικαιοσύνης (Eurojust) και την αντικατάσταση και την κατάργηση της απόφασης 2002/187/ΔΕΥ του Συμβουλίου</w:t>
      </w:r>
      <w:r w:rsidRPr="0089313D">
        <w:rPr>
          <w:rStyle w:val="FootnoteReference"/>
        </w:rPr>
        <w:footnoteReference w:id="343"/>
      </w:r>
      <w:r w:rsidRPr="0089313D">
        <w:t>, και ιδίως το άρθρο 63,</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w:t>
      </w:r>
      <w:r w:rsidRPr="0089313D">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4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διοικητικό διευθυντή του Οργανισμού της Ευρωπαϊκής Ένωσης για τη Συνεργασία στον Τομέα της Ποινικής Δικαιοσύνης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στον διοικητικό διευθυντή του Οργανισμού της Ευρωπαϊκής Ένωσης για τη Συνεργασία στον Τομέα της Ποινικής Δικαιοσύνης,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65"/>
          <w:footnotePr>
            <w:numRestart w:val="eachPage"/>
          </w:footnotePr>
          <w:pgSz w:w="11906" w:h="16838" w:code="9"/>
          <w:pgMar w:top="1134" w:right="1418" w:bottom="1418" w:left="1418" w:header="1134" w:footer="567" w:gutter="0"/>
          <w:cols w:space="720"/>
          <w:noEndnote/>
          <w:docGrid w:linePitch="326"/>
        </w:sectPr>
      </w:pPr>
    </w:p>
    <w:p w:rsidR="00D66ACE" w:rsidRPr="0089313D" w:rsidRDefault="00813C79" w:rsidP="00590362">
      <w:pPr>
        <w:pStyle w:val="ATHeading3"/>
      </w:pPr>
      <w:r w:rsidRPr="0089313D">
        <w:lastRenderedPageBreak/>
        <w:t xml:space="preserve">58.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Οργανισμού της Ευρωπαϊκής Ένωσης για τη Συνεργασία στον Τομέα της Ποινικής Δικαιοσύνης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 Συνεργασία στον Τομέα της Ποινικής Δικαιοσύνης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4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4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4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4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2018/1727 του Ευρωπαϊκού Κοινοβουλίου και του Συμβουλίου, της 14ης Νοεμβρίου 2018, σχετικά με τον Οργανισμό της Ευρωπαϊκής Ένωσης για τη Συνεργασία στον Τομέα της Ποινικής Δικαιοσύνης (Eurojust) και την αντικατάσταση και την κατάργηση της απόφασης 2002/187/ΔΕΥ του Συμβουλίου</w:t>
      </w:r>
      <w:r w:rsidRPr="0089313D">
        <w:rPr>
          <w:rStyle w:val="FootnoteReference"/>
        </w:rPr>
        <w:footnoteReference w:id="349"/>
      </w:r>
      <w:r w:rsidRPr="0089313D">
        <w:t>, και ιδίως το άρθρο 63,</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w:t>
      </w:r>
      <w:r w:rsidRPr="0089313D">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50"/>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Οργανισμού της Ευρωπαϊκής Ένωσης για τη Συνεργασία στον Τομέα της Ποινικής Δικαιοσύνης για το οικονομικό έτος 2023</w:t>
      </w:r>
      <w:r w:rsidR="00F943AF" w:rsidRPr="0089313D">
        <w:t>·</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διοικητικό διευθυντή του Οργανισμού της Ευρωπαϊκής Ένωσης για τη Συνεργασία στον Τομέα της Ποινικής Δικαιοσύνης,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813C79">
      <w:pPr>
        <w:pStyle w:val="PageHeadingDec"/>
        <w:jc w:val="left"/>
      </w:pPr>
    </w:p>
    <w:p w:rsidR="00D66ACE" w:rsidRPr="0089313D" w:rsidRDefault="00D66ACE" w:rsidP="00D66ACE">
      <w:pPr>
        <w:pStyle w:val="PageHeadingDec"/>
        <w:sectPr w:rsidR="00D66ACE" w:rsidRPr="0089313D" w:rsidSect="00FA711E">
          <w:footerReference w:type="first" r:id="rId66"/>
          <w:footnotePr>
            <w:numRestart w:val="eachPage"/>
          </w:footnotePr>
          <w:pgSz w:w="11906" w:h="16838" w:code="9"/>
          <w:pgMar w:top="1134" w:right="1418" w:bottom="1418" w:left="1418" w:header="567" w:footer="567" w:gutter="0"/>
          <w:cols w:space="720"/>
          <w:noEndnote/>
          <w:docGrid w:linePitch="326"/>
        </w:sectPr>
      </w:pPr>
    </w:p>
    <w:p w:rsidR="00D66ACE" w:rsidRPr="0089313D" w:rsidRDefault="00813C79" w:rsidP="00590362">
      <w:pPr>
        <w:pStyle w:val="ATHeading3"/>
      </w:pPr>
      <w:r w:rsidRPr="0089313D">
        <w:lastRenderedPageBreak/>
        <w:t xml:space="preserve">59.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Οργανισμού της Ευρωπαϊκής Ένωσης για τη Συνεργασία στον Τομέα της Επιβολής του Νόμου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 Συνεργασία στον Τομέα της Επιβολής του Νόμου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5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5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53"/>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5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w:t>
      </w:r>
      <w:r w:rsidRPr="0089313D">
        <w:rPr>
          <w:rStyle w:val="FootnoteReference"/>
        </w:rPr>
        <w:footnoteReference w:id="355"/>
      </w:r>
      <w:r w:rsidRPr="0089313D">
        <w:t>, και ιδίως το άρθρο 60,</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w:t>
      </w:r>
      <w:r w:rsidRPr="0089313D">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5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στην εκτελεστική διευθύντρια του Οργανισμού της Ευρωπαϊκής Ένωσης για τη Συνεργασία στον Τομέα της Επιβολής του Νόμου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αναθέτει στην Πρόεδρό του να διαβιβάσει την παρούσα απόφαση και το ψήφισμα που αποτελεί αναπόσπαστο μέρος της στ</w:t>
      </w:r>
      <w:r w:rsidR="00A01FB5" w:rsidRPr="0089313D">
        <w:t>ην</w:t>
      </w:r>
      <w:r w:rsidRPr="0089313D">
        <w:t xml:space="preserve"> </w:t>
      </w:r>
      <w:r w:rsidR="00A01FB5" w:rsidRPr="0089313D">
        <w:t xml:space="preserve">εκτελεστική διευθύντρια </w:t>
      </w:r>
      <w:r w:rsidRPr="0089313D">
        <w:t xml:space="preserve">του Οργανισμού της Ευρωπαϊκής Ένωσης για τη Συνεργασία στον Τομέα της Επιβολής του Νόμου, στο Συμβούλιο, στην Επιτροπή και στο Ελεγκτικό Συνέδριο, και να μεριμνήσει για τη δημοσίευσή τους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67"/>
          <w:footnotePr>
            <w:numRestart w:val="eachPage"/>
          </w:footnotePr>
          <w:pgSz w:w="11906" w:h="16838" w:code="9"/>
          <w:pgMar w:top="1134" w:right="1418" w:bottom="1418" w:left="1418" w:header="1134" w:footer="567" w:gutter="0"/>
          <w:cols w:space="720"/>
          <w:noEndnote/>
          <w:docGrid w:linePitch="326"/>
        </w:sectPr>
      </w:pPr>
    </w:p>
    <w:p w:rsidR="00D66ACE" w:rsidRPr="0089313D" w:rsidRDefault="00813C79" w:rsidP="00590362">
      <w:pPr>
        <w:pStyle w:val="ATHeading3"/>
      </w:pPr>
      <w:r w:rsidRPr="0089313D">
        <w:lastRenderedPageBreak/>
        <w:t xml:space="preserve">60.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Οργανισμού της Ευρωπαϊκής Ένωσης για τη Συνεργασία στον Τομέα της Επιβολής του Νόμου για το οικονομικό έτος 2023·(2024/2030(DEC))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τη Συνεργασία στον Τομέα της Επιβολής του Νόμου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5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5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5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60"/>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w:t>
      </w:r>
      <w:r w:rsidRPr="0089313D">
        <w:rPr>
          <w:rStyle w:val="FootnoteReference"/>
        </w:rPr>
        <w:footnoteReference w:id="361"/>
      </w:r>
      <w:r w:rsidRPr="0089313D">
        <w:t>, και ιδίως το άρθρο 60,</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w:t>
      </w:r>
      <w:r w:rsidRPr="0089313D">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6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Οργανισμού της Ευρωπαϊκής Ένωσης για τη Συνεργασία στον Τομέα της Επιβολής του Νόμου για το οικονομικό έτος 2023·</w:t>
      </w:r>
    </w:p>
    <w:p w:rsidR="00D66ACE" w:rsidRPr="0089313D" w:rsidRDefault="00D66ACE" w:rsidP="00D66ACE">
      <w:pPr>
        <w:pStyle w:val="NormalHanging12a"/>
      </w:pPr>
      <w:r w:rsidRPr="0089313D">
        <w:t>2.</w:t>
      </w:r>
      <w:r w:rsidRPr="0089313D">
        <w:tab/>
        <w:t>αναθέτει στην Πρόεδρό του να διαβιβάσει την παρούσα απόφαση στ</w:t>
      </w:r>
      <w:r w:rsidR="00A01FB5" w:rsidRPr="0089313D">
        <w:t>ην</w:t>
      </w:r>
      <w:r w:rsidRPr="0089313D">
        <w:t xml:space="preserve"> εκτελεστικ</w:t>
      </w:r>
      <w:r w:rsidR="00A01FB5" w:rsidRPr="0089313D">
        <w:t>ή</w:t>
      </w:r>
      <w:r w:rsidRPr="0089313D">
        <w:t xml:space="preserve"> </w:t>
      </w:r>
      <w:r w:rsidR="00A01FB5" w:rsidRPr="0089313D">
        <w:t xml:space="preserve">διευθύντρια </w:t>
      </w:r>
      <w:r w:rsidRPr="0089313D">
        <w:t xml:space="preserve">του Οργανισμού της Ευρωπαϊκής Ένωσης για τη Συνεργασία στον Τομέα της Επιβολής του Νόμου,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813C79">
      <w:pPr>
        <w:pStyle w:val="PageHeadingDec"/>
        <w:jc w:val="left"/>
      </w:pPr>
    </w:p>
    <w:p w:rsidR="00D66ACE" w:rsidRPr="0089313D" w:rsidRDefault="00D66ACE" w:rsidP="00D66ACE">
      <w:pPr>
        <w:pStyle w:val="PageHeadingDec"/>
        <w:sectPr w:rsidR="00D66ACE" w:rsidRPr="0089313D" w:rsidSect="00FA711E">
          <w:footerReference w:type="first" r:id="rId68"/>
          <w:footnotePr>
            <w:numRestart w:val="eachPage"/>
          </w:footnotePr>
          <w:pgSz w:w="11906" w:h="16838" w:code="9"/>
          <w:pgMar w:top="1134" w:right="1418" w:bottom="1418" w:left="1418" w:header="567" w:footer="567" w:gutter="0"/>
          <w:cols w:space="720"/>
          <w:noEndnote/>
          <w:docGrid w:linePitch="326"/>
        </w:sectPr>
      </w:pPr>
    </w:p>
    <w:p w:rsidR="00D66ACE" w:rsidRPr="0089313D" w:rsidRDefault="00813C79" w:rsidP="00590362">
      <w:pPr>
        <w:pStyle w:val="ATHeading3"/>
      </w:pPr>
      <w:r w:rsidRPr="0089313D">
        <w:lastRenderedPageBreak/>
        <w:t xml:space="preserve">61.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Οργανισμού της Ευρωπαϊκής Ένωσης για το Διαστημικό Πρόγραμμα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το Διαστημικό Πρόγραμμα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6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6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6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6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2021/696 του Ευρωπαϊκού Κοινοβουλίου και του Συμβουλίου, της 28ης Απριλίου 2021, για τη θέσπιση του ενωσιακού διαστημικού προγράμματος και του Οργανισμού της Ευρωπαϊκής Ένωσης για το διαστημικό πρόγραμμα, και για την κατάργηση των κανονισμών (ΕΕ) αριθ. 912/2010, (ΕΕ) αριθ. 1285/2013 και (ΕΕ) αριθ. 377/2014 και της απόφασης αριθ. 541/2014/ΕΕ</w:t>
      </w:r>
      <w:r w:rsidRPr="0089313D">
        <w:rPr>
          <w:rStyle w:val="FootnoteReference"/>
        </w:rPr>
        <w:footnoteReference w:id="367"/>
      </w:r>
      <w:r w:rsidRPr="0089313D">
        <w:t>, και ιδίως τα άρθρα 85 και 86,</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w:t>
      </w:r>
      <w:r w:rsidRPr="0089313D">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6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εκτελεστικό διευθυντή του Οργανισμού της Ευρωπαϊκής Ένωσης για το Διαστημικό Πρόγραμμα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αναθέτει στην Πρόεδρό του να διαβιβάσει την παρούσα απόφαση και το ψήφισμα που αποτελεί αναπόσπαστο μέρος της στον εκτελεστικό διευθυντή του Οργανισμού της Ευρωπαϊκής Ένωσης για το Διαστημικό Πρόγραμμα, στο Συμβούλιο, στην Επιτροπή και στο Ελεγκτικό Συνέδριο, και να μεριμνήσει για τη δημοσίευσή τους στην</w:t>
      </w:r>
      <w:r w:rsidRPr="0089313D">
        <w:rPr>
          <w:i/>
        </w:rPr>
        <w:t xml:space="preserve"> Επίσημη Εφημερίδα της Ευρωπαϊκής Ένωσης</w:t>
      </w:r>
      <w:r w:rsidRPr="0089313D">
        <w:t xml:space="preserve"> (σειρά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69"/>
          <w:footnotePr>
            <w:numRestart w:val="eachPage"/>
          </w:footnotePr>
          <w:pgSz w:w="11906" w:h="16838" w:code="9"/>
          <w:pgMar w:top="1134" w:right="1418" w:bottom="1418" w:left="1418" w:header="1134" w:footer="567" w:gutter="0"/>
          <w:cols w:space="720"/>
          <w:noEndnote/>
          <w:docGrid w:linePitch="326"/>
        </w:sectPr>
      </w:pPr>
    </w:p>
    <w:p w:rsidR="00D66ACE" w:rsidRPr="0089313D" w:rsidRDefault="00813C79" w:rsidP="00590362">
      <w:pPr>
        <w:pStyle w:val="ATHeading3"/>
      </w:pPr>
      <w:r w:rsidRPr="0089313D">
        <w:lastRenderedPageBreak/>
        <w:t xml:space="preserve">62.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Οργανισμού της Ευρωπαϊκής Ένωσης για το Διαστημικό Πρόγραμμα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της Ευρωπαϊκής Ένωσης για το Διαστημικό Πρόγραμμα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69"/>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70"/>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71"/>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72"/>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2021/696 του Ευρωπαϊκού Κοινοβουλίου και του Συμβουλίου, της 28ης Απριλίου 2021, για τη θέσπιση του ενωσιακού διαστημικού προγράμματος και του Οργανισμού της Ευρωπαϊκής Ένωσης για το διαστημικό πρόγραμμα, και για την κατάργηση των κανονισμών (ΕΕ) αριθ. 912/2010, (ΕΕ) αριθ. 1285/2013 και (ΕΕ) αριθ. 377/2014 και της απόφασης αριθ. 541/2014/ΕΕ</w:t>
      </w:r>
      <w:r w:rsidRPr="0089313D">
        <w:rPr>
          <w:rStyle w:val="FootnoteReference"/>
        </w:rPr>
        <w:footnoteReference w:id="373"/>
      </w:r>
      <w:r w:rsidRPr="0089313D">
        <w:t>, και ιδίως τα άρθρα 85 και 86,</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89313D">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9313D">
        <w:rPr>
          <w:rStyle w:val="FootnoteReference"/>
        </w:rPr>
        <w:footnoteReference w:id="374"/>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Οργανισμού της Ευρωπαϊκής Ένωσης για το Διαστημικό Πρόγραμμα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εκτελεστικό διευθυντή του Οργανισμού της Ευρωπαϊκής Ένωσης για το Διαστημικό Πρόγραμμα,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813C79">
      <w:pPr>
        <w:pStyle w:val="PageHeadingDec"/>
        <w:jc w:val="left"/>
      </w:pPr>
    </w:p>
    <w:p w:rsidR="00D66ACE" w:rsidRPr="0089313D" w:rsidRDefault="00D66ACE" w:rsidP="00D66ACE">
      <w:pPr>
        <w:pStyle w:val="PageHeadingDec"/>
        <w:sectPr w:rsidR="00D66ACE" w:rsidRPr="0089313D" w:rsidSect="00FA711E">
          <w:footerReference w:type="first" r:id="rId70"/>
          <w:footnotePr>
            <w:numRestart w:val="eachPage"/>
          </w:footnotePr>
          <w:pgSz w:w="11906" w:h="16838" w:code="9"/>
          <w:pgMar w:top="1134" w:right="1418" w:bottom="1418" w:left="1418" w:header="567" w:footer="567" w:gutter="0"/>
          <w:cols w:space="720"/>
          <w:noEndnote/>
          <w:docGrid w:linePitch="326"/>
        </w:sectPr>
      </w:pPr>
    </w:p>
    <w:p w:rsidR="00D66ACE" w:rsidRPr="0089313D" w:rsidRDefault="00813C79" w:rsidP="00590362">
      <w:pPr>
        <w:pStyle w:val="ATHeading3"/>
      </w:pPr>
      <w:r w:rsidRPr="0089313D">
        <w:lastRenderedPageBreak/>
        <w:t xml:space="preserve">63.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Οργανισμού Θεμελιωδών Δικαιωμάτων της Ευρωπαϊκής Ένωσης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Θεμελιωδών Δικαιωμάτων της Ευρωπαϊκής Ένωσης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75"/>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76"/>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77"/>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78"/>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168/2007 του Συμβουλίου, της 15ης</w:t>
      </w:r>
      <w:r w:rsidR="00F943AF" w:rsidRPr="0089313D">
        <w:t> </w:t>
      </w:r>
      <w:r w:rsidRPr="0089313D">
        <w:t>Φεβρουαρίου 2007, για την ίδρυση Οργανισμού Θεμελιωδών Δικαιωμάτων της Ευρωπαϊκής Ένωσης</w:t>
      </w:r>
      <w:r w:rsidRPr="0089313D">
        <w:rPr>
          <w:rStyle w:val="FootnoteReference"/>
        </w:rPr>
        <w:footnoteReference w:id="379"/>
      </w:r>
      <w:r w:rsidRPr="0089313D">
        <w:t>, και ιδίως το άρθρο 21,</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380"/>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στη διευθύντρια του Οργανισμού Θεμελιωδών Δικαιωμάτων της Ευρωπαϊκής Ένωσης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 xml:space="preserve">αναθέτει στην Πρόεδρό του να διαβιβάσει την παρούσα απόφαση και το ψήφισμα που αποτελεί αναπόσπαστο μέρος της στη διευθύντρια του Οργανισμού Θεμελιωδών Δικαιωμάτων της Ευρωπαϊκής Ένωσης, στο Συμβούλιο, στην Επιτροπή και στο Ελεγκτικό Συνέδριο, και να μεριμνήσει για τη δημοσίευσή τους στην </w:t>
      </w:r>
      <w:r w:rsidRPr="0089313D">
        <w:rPr>
          <w:i/>
        </w:rPr>
        <w:t xml:space="preserve">Επίσημη Εφημερίδα της Ευρωπαϊκής Ένωσης </w:t>
      </w:r>
      <w:r w:rsidRPr="0089313D">
        <w:t>(σειρά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71"/>
          <w:footnotePr>
            <w:numRestart w:val="eachPage"/>
          </w:footnotePr>
          <w:pgSz w:w="11906" w:h="16838" w:code="9"/>
          <w:pgMar w:top="1134" w:right="1418" w:bottom="1418" w:left="1418" w:header="1134" w:footer="567" w:gutter="0"/>
          <w:cols w:space="720"/>
          <w:noEndnote/>
          <w:docGrid w:linePitch="326"/>
        </w:sectPr>
      </w:pPr>
    </w:p>
    <w:p w:rsidR="00D66ACE" w:rsidRPr="0089313D" w:rsidRDefault="00813C79" w:rsidP="00590362">
      <w:pPr>
        <w:pStyle w:val="ATHeading3"/>
      </w:pPr>
      <w:r w:rsidRPr="0089313D">
        <w:lastRenderedPageBreak/>
        <w:t xml:space="preserve">64.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Οργανισμού Θεμελιωδών Δικαιωμάτων της Ευρωπαϊκής Ένωσης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Οργανισμού Θεμελιωδών Δικαιωμάτων της Ευρωπαϊκής Ένωσης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81"/>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82"/>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83"/>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84"/>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(ΕΚ) αριθ. 168/2007 του Συμβουλίου, της 15ης</w:t>
      </w:r>
      <w:r w:rsidR="00F943AF" w:rsidRPr="0089313D">
        <w:t> </w:t>
      </w:r>
      <w:r w:rsidRPr="0089313D">
        <w:t>Φεβρουαρίου 2007, για την ίδρυση Οργανισμού Θεμελιωδών Δικαιωμάτων της Ευρωπαϊκής Ένωσης</w:t>
      </w:r>
      <w:r w:rsidRPr="0089313D">
        <w:rPr>
          <w:rStyle w:val="FootnoteReference"/>
        </w:rPr>
        <w:footnoteReference w:id="385"/>
      </w:r>
      <w:r w:rsidRPr="0089313D">
        <w:t>, και ιδίως το άρθρο 21,</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386"/>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Οργανισμού Θεμελιωδών Δικαιωμάτων της Ευρωπαϊκής Ένωσης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στη διευθύντρια του Οργανισμού Θεμελιωδών Δικαιωμάτων της Ευρωπαϊκής Ένωσης,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D66ACE"/>
    <w:p w:rsidR="00D66ACE" w:rsidRPr="0089313D" w:rsidRDefault="00D66ACE" w:rsidP="00813C79">
      <w:pPr>
        <w:pStyle w:val="PageHeadingDec"/>
        <w:jc w:val="left"/>
      </w:pPr>
    </w:p>
    <w:p w:rsidR="00D66ACE" w:rsidRPr="0089313D" w:rsidRDefault="00D66ACE" w:rsidP="00D66ACE">
      <w:pPr>
        <w:pStyle w:val="PageHeadingDec"/>
        <w:sectPr w:rsidR="00D66ACE" w:rsidRPr="0089313D" w:rsidSect="00FA711E">
          <w:footerReference w:type="first" r:id="rId72"/>
          <w:footnotePr>
            <w:numRestart w:val="eachPage"/>
          </w:footnotePr>
          <w:pgSz w:w="11906" w:h="16838" w:code="9"/>
          <w:pgMar w:top="1134" w:right="1418" w:bottom="1418" w:left="1418" w:header="567" w:footer="567" w:gutter="0"/>
          <w:cols w:space="720"/>
          <w:noEndnote/>
          <w:docGrid w:linePitch="326"/>
        </w:sectPr>
      </w:pPr>
    </w:p>
    <w:p w:rsidR="00D66ACE" w:rsidRPr="0089313D" w:rsidRDefault="00813C79" w:rsidP="00590362">
      <w:pPr>
        <w:pStyle w:val="ATHeading3"/>
      </w:pPr>
      <w:r w:rsidRPr="0089313D">
        <w:lastRenderedPageBreak/>
        <w:t xml:space="preserve">65. Απόφαση του Ευρωπαϊκού Κοινοβουλίου </w:t>
      </w:r>
      <w:r w:rsidR="00C22A10" w:rsidRPr="0089313D">
        <w:t xml:space="preserve">της 7ης Μαΐου 2025 </w:t>
      </w:r>
      <w:r w:rsidR="00D66ACE" w:rsidRPr="0089313D">
        <w:t>σχετικά με την απαλλαγή όσον αφορά την εκτέλεση του προϋπολογισμού του Ευρωπαϊκού Οργανισμού Συνοριοφυλακής και Ακτοφυλακής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Συνοριοφυλακής και Ακτοφυλακής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87"/>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88"/>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89"/>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90"/>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w:t>
      </w:r>
      <w:r w:rsidRPr="0089313D">
        <w:rPr>
          <w:rStyle w:val="FootnoteReference"/>
        </w:rPr>
        <w:footnoteReference w:id="391"/>
      </w:r>
      <w:r w:rsidRPr="0089313D">
        <w:t>, και ιδίως το άρθρο 116,</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392"/>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χορηγεί απαλλαγή στον εκτελεστικό διευθυντή του Ευρωπαϊκού Οργανισμού Συνοριοφυλακής και Ακτοφυλακής όσον αφορά την εκτέλεση του προϋπολογισμού του Οργανισμού για το οικονομικό έτος 2023·</w:t>
      </w:r>
    </w:p>
    <w:p w:rsidR="00D66ACE" w:rsidRPr="0089313D" w:rsidRDefault="00D66ACE" w:rsidP="00D66ACE">
      <w:pPr>
        <w:pStyle w:val="NormalHanging12a"/>
      </w:pPr>
      <w:r w:rsidRPr="0089313D">
        <w:t>2.</w:t>
      </w:r>
      <w:r w:rsidRPr="0089313D">
        <w:tab/>
        <w:t>εκθέτει τις παρατηρήσεις του στο ψήφισμα που ακολουθεί·</w:t>
      </w:r>
    </w:p>
    <w:p w:rsidR="00D66ACE" w:rsidRPr="0089313D" w:rsidRDefault="00D66ACE" w:rsidP="00D66ACE">
      <w:pPr>
        <w:pStyle w:val="NormalHanging12a"/>
      </w:pPr>
      <w:r w:rsidRPr="0089313D">
        <w:t>3.</w:t>
      </w:r>
      <w:r w:rsidRPr="0089313D">
        <w:tab/>
        <w:t>αναθέτει στην Πρόεδρό του να διαβιβάσει την παρούσα απόφαση και το ψήφισμα που αποτελεί αναπόσπαστο μέρος της στον εκτελεστικό διευθυντή του Ευρωπαϊκού Οργανισμού Συνοριοφυλακής και Ακτοφυλακής, στο Συμβούλιο, στην Επιτροπή και στο Ελεγκτικό Συνέδριο, και να μεριμνήσει για τη δημοσίευσή τους στην</w:t>
      </w:r>
      <w:r w:rsidRPr="0089313D">
        <w:rPr>
          <w:i/>
        </w:rPr>
        <w:t xml:space="preserve"> Επίσημη Εφημερίδα της Ευρωπαϊκής Ένωσης </w:t>
      </w:r>
      <w:r w:rsidRPr="0089313D">
        <w:t>(σειρά L).</w:t>
      </w:r>
    </w:p>
    <w:p w:rsidR="00D66ACE" w:rsidRPr="0089313D" w:rsidRDefault="00D66ACE" w:rsidP="00D66ACE"/>
    <w:p w:rsidR="00D66ACE" w:rsidRPr="0089313D" w:rsidRDefault="00D66ACE" w:rsidP="00D66ACE">
      <w:pPr>
        <w:pStyle w:val="PageHeadingDec"/>
        <w:sectPr w:rsidR="00D66ACE" w:rsidRPr="0089313D" w:rsidSect="00FA711E">
          <w:footerReference w:type="first" r:id="rId73"/>
          <w:footnotePr>
            <w:numRestart w:val="eachPage"/>
          </w:footnotePr>
          <w:pgSz w:w="11906" w:h="16838" w:code="9"/>
          <w:pgMar w:top="1134" w:right="1418" w:bottom="1418" w:left="1418" w:header="1134" w:footer="567" w:gutter="0"/>
          <w:cols w:space="720"/>
          <w:noEndnote/>
          <w:docGrid w:linePitch="326"/>
        </w:sectPr>
      </w:pPr>
    </w:p>
    <w:p w:rsidR="00D66ACE" w:rsidRPr="0089313D" w:rsidRDefault="00813C79" w:rsidP="00590362">
      <w:pPr>
        <w:pStyle w:val="ATHeading3"/>
      </w:pPr>
      <w:r w:rsidRPr="0089313D">
        <w:lastRenderedPageBreak/>
        <w:t xml:space="preserve">66. Απόφαση του Ευρωπαϊκού Κοινοβουλίου </w:t>
      </w:r>
      <w:r w:rsidR="00C22A10" w:rsidRPr="0089313D">
        <w:t xml:space="preserve">της 7ης Μαΐου 2025 </w:t>
      </w:r>
      <w:r w:rsidR="00D66ACE" w:rsidRPr="0089313D">
        <w:t>σχετικά με το κλείσιμο των λογαριασμών του Ευρωπαϊκού Οργανισμού Συνοριοφυλακής και Ακτοφυλακής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τους οριστικούς ετήσιους λογαριασμούς του Ευρωπαϊκού Οργανισμού Συνοριοφυλακής και Ακτοφυλακής για το οικονομικό έτος 2023,</w:t>
      </w:r>
    </w:p>
    <w:p w:rsidR="00D66ACE" w:rsidRPr="0089313D" w:rsidRDefault="00D66ACE" w:rsidP="00D66ACE">
      <w:pPr>
        <w:pStyle w:val="NormalHanging12a"/>
      </w:pPr>
      <w:r w:rsidRPr="0089313D">
        <w:t>–</w:t>
      </w:r>
      <w:r w:rsidRPr="0089313D">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9313D">
        <w:rPr>
          <w:rStyle w:val="FootnoteReference"/>
        </w:rPr>
        <w:footnoteReference w:id="393"/>
      </w:r>
      <w:r w:rsidRPr="0089313D">
        <w:t>,</w:t>
      </w:r>
    </w:p>
    <w:p w:rsidR="00D66ACE" w:rsidRPr="0089313D" w:rsidRDefault="00D66ACE" w:rsidP="00D66ACE">
      <w:pPr>
        <w:pStyle w:val="NormalHanging12a"/>
      </w:pPr>
      <w:r w:rsidRPr="0089313D">
        <w:t>–</w:t>
      </w:r>
      <w:r w:rsidRPr="0089313D">
        <w:tab/>
        <w:t>έχοντας υπόψη τη δήλωση αξιοπιστίας</w:t>
      </w:r>
      <w:r w:rsidRPr="0089313D">
        <w:rPr>
          <w:rStyle w:val="FootnoteReference"/>
        </w:rPr>
        <w:footnoteReference w:id="394"/>
      </w:r>
      <w:r w:rsidRPr="0089313D">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D66ACE" w:rsidRPr="0089313D" w:rsidRDefault="00D66ACE" w:rsidP="00D66ACE">
      <w:pPr>
        <w:pStyle w:val="NormalHanging12a"/>
      </w:pPr>
      <w:r w:rsidRPr="0089313D">
        <w:t>–</w:t>
      </w:r>
      <w:r w:rsidRPr="0089313D">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9313D">
        <w:noBreakHyphen/>
        <w:t>0024/2025),</w:t>
      </w:r>
    </w:p>
    <w:p w:rsidR="00D66ACE" w:rsidRPr="0089313D" w:rsidRDefault="00D66ACE" w:rsidP="00D66ACE">
      <w:pPr>
        <w:pStyle w:val="NormalHanging12a"/>
      </w:pPr>
      <w:r w:rsidRPr="0089313D">
        <w:t>–</w:t>
      </w:r>
      <w:r w:rsidRPr="0089313D">
        <w:tab/>
        <w:t>έχοντας υπόψη το άρθρο 319 της Συνθήκης για τη λειτουργία της Ευρωπαϊκής Ένωσης,</w:t>
      </w:r>
    </w:p>
    <w:p w:rsidR="00D66ACE" w:rsidRPr="0089313D" w:rsidRDefault="00D66ACE" w:rsidP="00D66ACE">
      <w:pPr>
        <w:pStyle w:val="NormalHanging12a"/>
      </w:pPr>
      <w:r w:rsidRPr="0089313D">
        <w:t>–</w:t>
      </w:r>
      <w:r w:rsidRPr="0089313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00835CF8" w:rsidRPr="0089313D">
        <w:t>966/2012</w:t>
      </w:r>
      <w:r w:rsidRPr="0089313D">
        <w:rPr>
          <w:rStyle w:val="FootnoteReference"/>
        </w:rPr>
        <w:footnoteReference w:id="395"/>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9313D">
        <w:rPr>
          <w:vertAlign w:val="superscript"/>
        </w:rPr>
        <w:footnoteReference w:id="396"/>
      </w:r>
      <w:r w:rsidRPr="0089313D">
        <w:t>, και ιδίως το άρθρο 70,</w:t>
      </w:r>
    </w:p>
    <w:p w:rsidR="00D66ACE" w:rsidRPr="0089313D" w:rsidRDefault="00D66ACE" w:rsidP="00D66ACE">
      <w:pPr>
        <w:pStyle w:val="NormalHanging12a"/>
      </w:pPr>
      <w:r w:rsidRPr="0089313D">
        <w:t>–</w:t>
      </w:r>
      <w:r w:rsidRPr="0089313D">
        <w:tab/>
        <w:t>έχοντας υπόψη τον κανονισμό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w:t>
      </w:r>
      <w:r w:rsidRPr="0089313D">
        <w:rPr>
          <w:rStyle w:val="FootnoteReference"/>
        </w:rPr>
        <w:footnoteReference w:id="397"/>
      </w:r>
      <w:r w:rsidRPr="0089313D">
        <w:t>, και ιδίως το άρθρο 116,</w:t>
      </w:r>
    </w:p>
    <w:p w:rsidR="00D66ACE" w:rsidRPr="0089313D" w:rsidRDefault="00D66ACE" w:rsidP="00D66ACE">
      <w:pPr>
        <w:pStyle w:val="NormalHanging12a"/>
      </w:pPr>
      <w:r w:rsidRPr="0089313D">
        <w:t>–</w:t>
      </w:r>
      <w:r w:rsidRPr="0089313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89313D">
        <w:lastRenderedPageBreak/>
        <w:t>Ευρωπαϊκού Κοινοβουλίου και του Συμβουλίου</w:t>
      </w:r>
      <w:r w:rsidRPr="0089313D">
        <w:rPr>
          <w:rStyle w:val="FootnoteReference"/>
        </w:rPr>
        <w:footnoteReference w:id="398"/>
      </w:r>
      <w:r w:rsidRPr="0089313D">
        <w:t>, και ιδίως το άρθρο 105,</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1.</w:t>
      </w:r>
      <w:r w:rsidRPr="0089313D">
        <w:tab/>
        <w:t>εγκρίνει το κλείσιμο των λογαριασμών του Ευρωπαϊκού Οργανισμού Συνοριοφυλακής και Ακτοφυλακής για το οικονομικό έτος 2023·</w:t>
      </w:r>
    </w:p>
    <w:p w:rsidR="00D66ACE" w:rsidRPr="0089313D" w:rsidRDefault="00D66ACE" w:rsidP="00D66ACE">
      <w:pPr>
        <w:pStyle w:val="NormalHanging12a"/>
      </w:pPr>
      <w:r w:rsidRPr="0089313D">
        <w:t>2.</w:t>
      </w:r>
      <w:r w:rsidRPr="0089313D">
        <w:tab/>
        <w:t xml:space="preserve">αναθέτει στην Πρόεδρό του να διαβιβάσει την παρούσα απόφαση στον εκτελεστικό διευθυντή του Ευρωπαϊκού Οργανισμού Συνοριοφυλακής και Ακτοφυλακής, στο Συμβούλιο, στην Επιτροπή και στο Ελεγκτικό Συνέδριο, και να μεριμνήσει για τη δημοσίευσή της στην </w:t>
      </w:r>
      <w:r w:rsidRPr="0089313D">
        <w:rPr>
          <w:i/>
        </w:rPr>
        <w:t>Επίσημη Εφημερίδα της Ευρωπαϊκής Ένωσης</w:t>
      </w:r>
      <w:r w:rsidRPr="0089313D">
        <w:t xml:space="preserve"> (σειρά L).</w:t>
      </w:r>
    </w:p>
    <w:p w:rsidR="00D66ACE" w:rsidRPr="0089313D" w:rsidRDefault="00D66ACE" w:rsidP="00813C79">
      <w:pPr>
        <w:pStyle w:val="NormalHanging12a"/>
        <w:spacing w:after="0"/>
      </w:pPr>
    </w:p>
    <w:p w:rsidR="00D66ACE" w:rsidRPr="0089313D" w:rsidRDefault="00D66ACE" w:rsidP="00D66ACE">
      <w:pPr>
        <w:pStyle w:val="PageHeadingDec"/>
        <w:jc w:val="left"/>
        <w:sectPr w:rsidR="00D66ACE" w:rsidRPr="0089313D" w:rsidSect="00FA711E">
          <w:footnotePr>
            <w:numRestart w:val="eachPage"/>
          </w:footnotePr>
          <w:pgSz w:w="11906" w:h="16838" w:code="9"/>
          <w:pgMar w:top="1134" w:right="1418" w:bottom="1418" w:left="1418" w:header="567" w:footer="567" w:gutter="0"/>
          <w:cols w:space="720"/>
          <w:noEndnote/>
          <w:docGrid w:linePitch="326"/>
        </w:sectPr>
      </w:pPr>
    </w:p>
    <w:p w:rsidR="00D66ACE" w:rsidRPr="0089313D" w:rsidRDefault="00813C79" w:rsidP="00590362">
      <w:pPr>
        <w:pStyle w:val="ATHeading3"/>
      </w:pPr>
      <w:r w:rsidRPr="0089313D">
        <w:lastRenderedPageBreak/>
        <w:t xml:space="preserve">67. Ψήφισμα του Ευρωπαϊκού Κοινοβουλίου </w:t>
      </w:r>
      <w:r w:rsidR="00C22A10" w:rsidRPr="0089313D">
        <w:t xml:space="preserve">της 7ης Μαΐου 2025 </w:t>
      </w:r>
      <w:r w:rsidR="00D66ACE" w:rsidRPr="0089313D">
        <w:t>με τις παρατηρήσεις που αποτελούν αναπόσπαστο μέρος των αποφάσεων σχετικά με την απαλλαγή όσον αφορά την εκτέλεση του προϋπολογισμού των οργανισμών της Ευρωπαϊκής Ένωσης για το οικονομικό έτος 2023</w:t>
      </w:r>
      <w:r w:rsidRPr="0089313D">
        <w:t xml:space="preserve"> </w:t>
      </w:r>
      <w:r w:rsidR="00D66ACE" w:rsidRPr="0089313D">
        <w:t>(2024/2030(DEC))</w:t>
      </w:r>
    </w:p>
    <w:p w:rsidR="00D66ACE" w:rsidRPr="0089313D" w:rsidRDefault="00D66ACE" w:rsidP="00D66ACE">
      <w:pPr>
        <w:pStyle w:val="EPComma"/>
      </w:pPr>
      <w:r w:rsidRPr="0089313D">
        <w:rPr>
          <w:i/>
        </w:rPr>
        <w:t>Το Ευρωπαϊκό Κοινοβούλιο</w:t>
      </w:r>
      <w:r w:rsidRPr="0089313D">
        <w:t>,</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της Ευρωπαϊκής Ένωσης για τη Συνεργασία των Ρυθμιστικών Αρχών Ενέργειας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για την υποστήριξη του BEREC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Μεταφραστικού Κέντρου των Οργάνων της Ευρωπαϊκής Ένωσης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Κέντρου για την Ανάπτυξη της Επαγγελματικής Κατάρτισης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της Ευρωπαϊκής Ένωσης για την Κατάρτιση στον Τομέα της Επιβολής του Νόμου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της Ευρωπαϊκής Ένωσης για την Ασφάλεια της Αεροπορίας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της Ευρωπαϊκής Αρχής Τραπεζών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Κέντρου Πρόληψης και Ελέγχου Νόσων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Οργανισμού Χημικών Προϊόντων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Οργανισμού Περιβάλλοντος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της Ευρωπαϊκής Υπηρεσίας Ελέγχου της Αλιείας για το οικονομικό έτος 2023,</w:t>
      </w:r>
    </w:p>
    <w:p w:rsidR="00D66ACE" w:rsidRPr="0089313D" w:rsidRDefault="00D66ACE" w:rsidP="00D66ACE">
      <w:pPr>
        <w:pStyle w:val="NormalHanging12a"/>
      </w:pPr>
      <w:r w:rsidRPr="0089313D">
        <w:t>–</w:t>
      </w:r>
      <w:r w:rsidRPr="0089313D">
        <w:tab/>
        <w:t xml:space="preserve">έχοντας υπόψη την απόφασή του σχετικά με την απαλλαγή όσον αφορά την εκτέλεση </w:t>
      </w:r>
      <w:r w:rsidRPr="0089313D">
        <w:lastRenderedPageBreak/>
        <w:t>του προϋπολογισμού της Ευρωπαϊκής Αρχής για την Ασφάλεια των Τροφίμων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Ινστιτούτου για την Ισότητα των Φύλων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της Ευρωπαϊκής Αρχής Ασφαλίσεων και Επαγγελματικών Συντάξεων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Ινστιτούτου Καινοτομίας και Τεχνολογίας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της Ευρωπαϊκής Αρχής Εργασίας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Οργανισμού Φαρμάκων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Κέντρου Παρακολούθησης Ναρκωτικών και Τοξικομανίας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Οργανισμού για την Ασφάλεια στη Θάλασσα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της Ευρωπαϊκής Ένωσης για την Κυβερνοασφάλεια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Σιδηροδρόμων της Ευρωπαϊκής Ένωσης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Εφοδιασμού της Ευρατόμ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της Ευρωπαϊκής Αρχής Κινητών Αξιών και Αγορών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Ιδρύματος Επαγγελματικής Εκπαίδευσης για το οικονομικό έτος 2023,</w:t>
      </w:r>
    </w:p>
    <w:p w:rsidR="00D66ACE" w:rsidRPr="0089313D" w:rsidRDefault="00D66ACE" w:rsidP="00D66ACE">
      <w:pPr>
        <w:pStyle w:val="NormalHanging12a"/>
      </w:pPr>
      <w:r w:rsidRPr="0089313D">
        <w:t>–</w:t>
      </w:r>
      <w:r w:rsidRPr="0089313D">
        <w:tab/>
        <w:t xml:space="preserve">έχοντας υπόψη την απόφασή του σχετικά με την απαλλαγή όσον αφορά την εκτέλεση του προϋπολογισμού του Οργανισμού της Ευρωπαϊκής Ένωσης για το Άσυλο για το </w:t>
      </w:r>
      <w:r w:rsidRPr="0089313D">
        <w:lastRenderedPageBreak/>
        <w:t>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Οργανισμού για την Ασφάλεια και την Υγεία στην Εργασία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Ιδρύματος για τη Βελτίωση των Συνθηκών Διαβίωσης και Εργασίας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της Ευρωπαϊκής Ένωσης για τη Συνεργασία στον Τομέα της Ποινικής Δικαιοσύνης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της Ευρωπαϊκής Ένωσης για τη Συνεργασία στον Τομέα της Επιβολής του Νόμου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της Ευρωπαϊκής Ένωσης για το Διαστημικό Πρόγραμμα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Οργανισμού Θεμελιωδών Δικαιωμάτων της Ευρωπαϊκής Ένωσης για το οικονομικό έτος 2023,</w:t>
      </w:r>
    </w:p>
    <w:p w:rsidR="00D66ACE" w:rsidRPr="0089313D" w:rsidRDefault="00D66ACE" w:rsidP="00D66ACE">
      <w:pPr>
        <w:pStyle w:val="NormalHanging12a"/>
      </w:pPr>
      <w:r w:rsidRPr="0089313D">
        <w:t>–</w:t>
      </w:r>
      <w:r w:rsidRPr="0089313D">
        <w:tab/>
        <w:t>έχοντας υπόψη την απόφασή του σχετικά με την απαλλαγή όσον αφορά την εκτέλεση του προϋπολογισμού του Ευρωπαϊκού Οργανισμού Συνοριοφυλακής και Ακτοφυλακής για το οικονομικό έτος 2023,</w:t>
      </w:r>
    </w:p>
    <w:p w:rsidR="00D66ACE" w:rsidRPr="0089313D" w:rsidRDefault="00D66ACE" w:rsidP="00D66ACE">
      <w:pPr>
        <w:pStyle w:val="NormalHanging12a"/>
      </w:pPr>
      <w:r w:rsidRPr="0089313D">
        <w:t>–</w:t>
      </w:r>
      <w:r w:rsidRPr="0089313D">
        <w:tab/>
        <w:t>έχοντας υπόψη το άρθρο 102 και το παράρτημα V του Κανονισμού του,</w:t>
      </w:r>
    </w:p>
    <w:p w:rsidR="00D66ACE" w:rsidRPr="0089313D" w:rsidRDefault="00D66ACE" w:rsidP="00D66ACE">
      <w:pPr>
        <w:pStyle w:val="NormalHanging12a"/>
      </w:pPr>
      <w:r w:rsidRPr="0089313D">
        <w:t>–</w:t>
      </w:r>
      <w:r w:rsidRPr="0089313D">
        <w:tab/>
        <w:t>έχοντας υπόψη τις γνωμοδοτήσεις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Αλιείας, της Επιτροπής Πολιτισμού και Παιδείας, της Επιτροπής Πολιτικών Ελευθεριών, Δικαιοσύνης και Εσωτερικών Υποθέσεων και της της Επιτροπής Δικαιωμάτων των Γυναικών και Ισότητας των Φύλων,</w:t>
      </w:r>
    </w:p>
    <w:p w:rsidR="00D66ACE" w:rsidRPr="0089313D" w:rsidRDefault="00D66ACE" w:rsidP="00D66ACE">
      <w:pPr>
        <w:pStyle w:val="NormalHanging12a"/>
      </w:pPr>
      <w:r w:rsidRPr="0089313D">
        <w:t>–</w:t>
      </w:r>
      <w:r w:rsidRPr="0089313D">
        <w:tab/>
        <w:t>έχοντας υπόψη την έκθεση της Επιτροπής Ελέγχου του Προϋπολογισμού (A10-0065/2025),</w:t>
      </w:r>
    </w:p>
    <w:p w:rsidR="00D66ACE" w:rsidRPr="0089313D" w:rsidRDefault="00D66ACE" w:rsidP="00D66ACE">
      <w:pPr>
        <w:pStyle w:val="NormalHanging12a"/>
      </w:pPr>
      <w:r w:rsidRPr="0089313D">
        <w:t>Α.</w:t>
      </w:r>
      <w:r w:rsidRPr="0089313D">
        <w:tab/>
        <w:t>λαμβάνοντας υπόψη ότι οι οργανισμοί της ΕΕ</w:t>
      </w:r>
      <w:r w:rsidRPr="0089313D">
        <w:rPr>
          <w:rStyle w:val="FootnoteReference"/>
        </w:rPr>
        <w:footnoteReference w:id="399"/>
      </w:r>
      <w:r w:rsidRPr="0089313D">
        <w:t xml:space="preserve"> συνιστούν διακριτές νομικές οντότητες που συστήνονται για την εκτέλεση συγκεκριμένων τεχνικών, επιστημονικών ή </w:t>
      </w:r>
      <w:r w:rsidRPr="0089313D">
        <w:lastRenderedPageBreak/>
        <w:t>διαχειριστικών καθηκόντων που διευκολύνουν τα θεσμικά όργανα της Ένωσης στη χάραξη και στην υλοποίηση πολιτικών· λαμβάνοντας υπόψη ότι οι οργανισμοί βρίσκονται εγκατεστημένοι σε διάφορα κράτη μέλη και επηρεάζουν σημαντικά τομείς ζωτικής σημασίας για την καθημερινή ζωή των Ευρωπαίων πολιτών, όπως η υγεία, η ασφάλεια, η προστασία, η ελευθερία και η δικαιοσύνη·</w:t>
      </w:r>
    </w:p>
    <w:p w:rsidR="00D66ACE" w:rsidRPr="0089313D" w:rsidRDefault="00D66ACE" w:rsidP="00D66ACE">
      <w:pPr>
        <w:pStyle w:val="NormalHanging12a"/>
      </w:pPr>
      <w:r w:rsidRPr="0089313D">
        <w:t>Β.</w:t>
      </w:r>
      <w:r w:rsidRPr="0089313D">
        <w:tab/>
        <w:t>λαμβάνοντας υπόψη ότι το παρόν ψήφισμα περιλαμβάνει, για κάθε οργανισμό κατά την έννοια του άρθρου 70 του κανονισμού (ΕΕ, Ευρατόμ) 2024/2509 και για τον Οργανισμό Εφοδιασμού της Ευρατόμ, τις οριζόντιες παρατηρήσεις που συνοδεύουν τις αποφάσεις απαλλαγής σύμφωνα με το άρθρο 268 του κανονισμού (ΕΕ, Ευρατόμ) 2024/2509 και το άρθρο 3 του παραρτήματος V του Κανονισμού του Κοινοβουλίου·</w:t>
      </w:r>
    </w:p>
    <w:p w:rsidR="00D66ACE" w:rsidRPr="0089313D" w:rsidRDefault="00D66ACE" w:rsidP="00D66ACE">
      <w:pPr>
        <w:pStyle w:val="NormalHanging12a"/>
      </w:pPr>
      <w:r w:rsidRPr="0089313D">
        <w:t>Γ.</w:t>
      </w:r>
      <w:r w:rsidRPr="0089313D">
        <w:tab/>
        <w:t>λαμβάνοντας υπόψη ότι οι αποκεντρωμένοι οργανισμοί της Ένωσης και ο Οργανισμός Εφοδιασμού της Ευρατόμ θα πρέπει να επικεντρώνονται σε αποστολές με σαφή ευρωπαϊκή προστιθέμενη αξία και ότι η οργάνωσή των εν λόγω αποστολών θα πρέπει να βελτιστοποιηθεί, ώστε να αποφεύγονται οι επικαλύψεις, προς το βέλτιστο συμφέρον των φορολογουμένων της Ένωσης·</w:t>
      </w:r>
    </w:p>
    <w:p w:rsidR="00D66ACE" w:rsidRPr="0089313D" w:rsidRDefault="00D66ACE" w:rsidP="00D66ACE">
      <w:pPr>
        <w:pStyle w:val="NormalHanging12a"/>
      </w:pPr>
      <w:r w:rsidRPr="0089313D">
        <w:t>Δ.</w:t>
      </w:r>
      <w:r w:rsidRPr="0089313D">
        <w:tab/>
        <w:t>λαμβάνοντας υπόψη ότι, στο πλαίσιο της διαδικασίας απαλλαγής, η αρμόδια για την απαλλαγή αρχή έχει ως στόχο να τονίσει την υψηλή σημασία της ενίσχυσης της δημοκρατικής νομιμότητας των θεσμικών οργάνων της Ένωσης· λαμβάνοντας υπόψη ότι αυτό συνεπάγεται την ενίσχυση της διαφάνειας και της λογοδοσίας, καθώς και την εφαρμογή της κατάρτισης του προϋπολογισμού βάσει επιδόσεων και τη διασφάλιση της χρηστής διαχείρισης των ανθρώπινων πόρων·</w:t>
      </w:r>
    </w:p>
    <w:p w:rsidR="00D66ACE" w:rsidRPr="0089313D" w:rsidRDefault="00D66ACE" w:rsidP="00D66ACE">
      <w:pPr>
        <w:pStyle w:val="NormalHanging12a"/>
      </w:pPr>
      <w:r w:rsidRPr="0089313D">
        <w:t>Ε.</w:t>
      </w:r>
      <w:r w:rsidRPr="0089313D">
        <w:tab/>
        <w:t>λαμβάνοντας υπόψη ότι η δράση της Ευρωπαϊκής Ένωσης στο πεδίο του ελέγχου του προϋπολογισμού βασίζεται σε δύο αρχές: αφενός στη διασφάλιση της ορθής και διαφανούς εκτέλεσης του προϋπολογισμού της Ένωσης και αφετέρου στην προστασία των οικονομικών συμφερόντων της Ένωσης και την καταπολέμηση της απάτης·</w:t>
      </w:r>
    </w:p>
    <w:p w:rsidR="00D66ACE" w:rsidRPr="0089313D" w:rsidRDefault="00D66ACE" w:rsidP="00D66ACE">
      <w:pPr>
        <w:pStyle w:val="NormalHanging12a"/>
      </w:pPr>
      <w:r w:rsidRPr="0089313D">
        <w:t>ΣΤ.</w:t>
      </w:r>
      <w:r w:rsidRPr="0089313D">
        <w:tab/>
        <w:t>λαμβάνοντας υπόψη ότι το 2012 το Ευρωπαϊκό Κοινοβούλιο, το Συμβούλιο της Ευρωπαϊκής Ένωσης και η Ευρωπαϊκή Επιτροπή ενέκριναν «κοινή δήλωση» και ένα ολοκληρωμένο σύνολο κατευθυντήριων αρχών – μια «κοινή προσέγγιση»</w:t>
      </w:r>
      <w:r w:rsidRPr="0089313D">
        <w:rPr>
          <w:rStyle w:val="FootnoteReference"/>
          <w:rFonts w:eastAsia="Calibri"/>
        </w:rPr>
        <w:footnoteReference w:id="400"/>
      </w:r>
      <w:r w:rsidRPr="0089313D">
        <w:t xml:space="preserve"> – προκειμένου να καταστούν οι οργανισμοί πιο συνεκτικοί, αποτελεσματικοί και υπόλογοι· λαμβάνοντας υπόψη ότι η Επιτροπή δεσμεύτηκε να δώσει συνέχεια στην εν λόγω συμφωνία, κατά περίπτωση σε συνεργασία με τους οργανισμούς·</w:t>
      </w:r>
    </w:p>
    <w:p w:rsidR="00D66ACE" w:rsidRPr="0089313D" w:rsidRDefault="00D66ACE" w:rsidP="00D66ACE">
      <w:pPr>
        <w:pStyle w:val="NormalHanging12a"/>
      </w:pPr>
      <w:r w:rsidRPr="0089313D">
        <w:t>Ζ.</w:t>
      </w:r>
      <w:r w:rsidRPr="0089313D">
        <w:tab/>
        <w:t>λαμβάνοντας υπόψη ότι με την αναγνώριση του νομικά μη δεσμευτικού χαρακτήρα της κοινής δήλωσης και της κοινής προσέγγισης στο παράρτημά της, καθώς και με την επιφύλαξη της κατανομής τους στις νομοθετικές και ετήσιες διαδικασίες του προϋπολογισμού, τα θεσμικά όργανα θα λάβουν υπόψη την εν λόγω κοινή προσέγγιση στο πλαίσιο όλων των μελλοντικών τους αποφάσεων σχετικά με τους αποκεντρωμένους οργανισμούς της Ένωσης, μετά από ανάλυση κατά περίπτωση·</w:t>
      </w:r>
    </w:p>
    <w:p w:rsidR="00D66ACE" w:rsidRPr="0089313D" w:rsidRDefault="00D66ACE" w:rsidP="00D66ACE">
      <w:pPr>
        <w:pStyle w:val="Normal12Hanging"/>
        <w:rPr>
          <w:b/>
          <w:i/>
          <w:szCs w:val="24"/>
        </w:rPr>
      </w:pPr>
      <w:r w:rsidRPr="0089313D">
        <w:rPr>
          <w:b/>
          <w:i/>
        </w:rPr>
        <w:t>Γενικά</w:t>
      </w:r>
    </w:p>
    <w:p w:rsidR="00D66ACE" w:rsidRPr="0089313D" w:rsidRDefault="0089313D" w:rsidP="0089313D">
      <w:pPr>
        <w:spacing w:after="240"/>
        <w:ind w:left="567" w:hanging="567"/>
      </w:pPr>
      <w:r w:rsidRPr="0089313D">
        <w:rPr>
          <w:rFonts w:eastAsiaTheme="minorHAnsi"/>
          <w:szCs w:val="24"/>
          <w:lang w:eastAsia="en-US"/>
        </w:rPr>
        <w:lastRenderedPageBreak/>
        <w:t>1.</w:t>
      </w:r>
      <w:r w:rsidRPr="0089313D">
        <w:rPr>
          <w:rFonts w:eastAsiaTheme="minorHAnsi"/>
          <w:szCs w:val="24"/>
          <w:lang w:eastAsia="en-US"/>
        </w:rPr>
        <w:tab/>
      </w:r>
      <w:r w:rsidR="00D66ACE" w:rsidRPr="0089313D">
        <w:t>σημειώνει ότι υπάρχουν τρία είδη οργανισμών της ΕΕ: αποκεντρωμένοι οργανισμοί, εκτελεστικοί οργανισμοί και λοιπά όργανα·</w:t>
      </w:r>
    </w:p>
    <w:p w:rsidR="00D66ACE" w:rsidRPr="0089313D" w:rsidRDefault="0089313D" w:rsidP="0089313D">
      <w:pPr>
        <w:spacing w:after="240"/>
        <w:ind w:left="567" w:hanging="567"/>
      </w:pPr>
      <w:r w:rsidRPr="0089313D">
        <w:rPr>
          <w:rFonts w:eastAsiaTheme="minorHAnsi"/>
          <w:szCs w:val="24"/>
          <w:lang w:eastAsia="en-US"/>
        </w:rPr>
        <w:t>2.</w:t>
      </w:r>
      <w:r w:rsidRPr="0089313D">
        <w:rPr>
          <w:rFonts w:eastAsiaTheme="minorHAnsi"/>
          <w:szCs w:val="24"/>
          <w:lang w:eastAsia="en-US"/>
        </w:rPr>
        <w:tab/>
      </w:r>
      <w:r w:rsidR="00D66ACE" w:rsidRPr="0089313D">
        <w:t>υπενθυμίζει ότι το ψήφισμα αυτό καλύπτει 31 από τους 33 αποκεντρωμένους οργανισμούς και 2 από τα υπόλοιπα τέσσερα όργανα [Ευρωπαϊκό Ινστιτούτο Καινοτομίας και Τεχνολογίας (ΕΙΤ) και Οργανισμός Εφοδιασμού της Ευρατόμ (ESA)]· επισημαίνει ότι οι διαδικασίες του προϋπολογισμού και της χορήγησης απαλλαγής για δύο πλήρως αυτοχρηματοδοτούμενους αποκεντρωμένους οργανισμούς, και συγκεκριμένα το Κοινοτικό Γραφείο Φυτικών Ποικιλιών (CPVO) και το Γραφείο Διανοητικής Ιδιοκτησίας της Ευρωπαϊκής Ένωσης (EUIPO), τελούν υπό τη διαχείριση του διοικητικού συμβουλίου του CPVO και της επιτροπής προϋπολογισμού του EUIPO, αντίστοιχα, και δεν αποτελούν μέρος του παρόντος ψηφίσματος· σημειώνει ότι, ομοίως, η ετήσια διαδικασία του προϋπολογισμού και της χορήγησης απαλλαγής του Ενιαίου Συμβουλίου Εξυγίανσης (SRB) τελεί υπό την αποκλειστική ευθύνη του οικείου διοικητικού συμβουλίου· υπογραμμίζει την ανάγκη να διασφαλιστεί η αποτελεσματική χρήση των ευρωπαϊκών πόρων· ζητεί, σύμφωνα με το Ελεγκτικό Συνέδριο, τη διεξοδική αξιολόγηση των αποκεντρωμένων οργανισμών, με σκοπό την αξιολόγηση πιθανών μεταρρυθμίσεων, την εξάλειψη των απολύσεων, την ενίσχυση της αποδοτικότητας και την επίτευξη εξοικονόμησης κόστους· υπενθυμίζει τη σημασία της ενίσχυσης των δομών διακυβέρνησης, διασφαλίζοντας παράλληλα ότι οι οργανισμοί παραμένουν αποτελεσματικοί και ανταποκρίνονται στις εξελισσόμενες ανάγκες·</w:t>
      </w:r>
    </w:p>
    <w:p w:rsidR="00D66ACE" w:rsidRPr="0089313D" w:rsidRDefault="0089313D" w:rsidP="0089313D">
      <w:pPr>
        <w:spacing w:after="240"/>
        <w:ind w:left="567" w:hanging="567"/>
      </w:pPr>
      <w:r w:rsidRPr="0089313D">
        <w:rPr>
          <w:rFonts w:eastAsiaTheme="minorHAnsi"/>
          <w:szCs w:val="24"/>
          <w:lang w:eastAsia="en-US"/>
        </w:rPr>
        <w:t>3.</w:t>
      </w:r>
      <w:r w:rsidRPr="0089313D">
        <w:rPr>
          <w:rFonts w:eastAsiaTheme="minorHAnsi"/>
          <w:szCs w:val="24"/>
          <w:lang w:eastAsia="en-US"/>
        </w:rPr>
        <w:tab/>
      </w:r>
      <w:r w:rsidR="00D66ACE" w:rsidRPr="0089313D">
        <w:t>τονίζει τη σημασία της διαδικασίας απαλλαγής, καθώς δεν αποτελεί μόνο υποχρέωση που βασίζεται στις Συνθήκες, αλλά προωθεί και αποσκοπεί στη διασφάλιση της διαφάνειας, της λογοδοσίας και του ανοικτού διαλόγου για τα οικονομικά της Ένωσης· σημειώνει ότι παρέχει επίσης στους οργανισμούς τη δυνατότητα να προβάλλουν το έργο τους και να αποδεικνύουν την προστιθέμενη αξία τους στην Ένωση και τους πολίτες της· τονίζει, επιπλέον, ότι οι οργανισμοί παρέχουν απαντήσεις στα ερωτηματολόγια που αποστέλλει το Κοινοβούλιο και καλούνται σε δημόσιες ακροάσεις από την αρμόδια για την απαλλαγή αρχή και ότι αυτό παρέχει στους πολίτες, τις εταιρείες, τις ΜΚΟ και άλλα ενδιαφερόμενα μέρη τη δυνατότητα να παρακολουθούν τις συνεδριάσεις και να είναι βέβαιοι ότι τα έσοδα και οι δαπάνες συνάδουν με τις αρχές της χρηστής δημοσιονομικής διαχείρισης·</w:t>
      </w:r>
    </w:p>
    <w:p w:rsidR="00D66ACE" w:rsidRPr="0089313D" w:rsidRDefault="0089313D" w:rsidP="0089313D">
      <w:pPr>
        <w:spacing w:after="240"/>
        <w:ind w:left="567" w:hanging="567"/>
      </w:pPr>
      <w:r w:rsidRPr="0089313D">
        <w:rPr>
          <w:rFonts w:eastAsiaTheme="minorHAnsi"/>
          <w:szCs w:val="24"/>
          <w:lang w:eastAsia="en-US"/>
        </w:rPr>
        <w:t>4.</w:t>
      </w:r>
      <w:r w:rsidRPr="0089313D">
        <w:rPr>
          <w:rFonts w:eastAsiaTheme="minorHAnsi"/>
          <w:szCs w:val="24"/>
          <w:lang w:eastAsia="en-US"/>
        </w:rPr>
        <w:tab/>
      </w:r>
      <w:r w:rsidR="00D66ACE" w:rsidRPr="0089313D">
        <w:t>θεωρεί ότι η έννοια της χορήγησης απαλλαγής από εσωτερική αρμόδια για την απαλλαγή αρχή, όπως στην περίπτωση του EUIPO, του CPVO και του SRB, θα μπορούσε δυνητικά να οδηγήσει σε σύγκρουση συμφερόντων· πιστεύει ότι η απαλλαγή που χορηγεί το Κοινοβούλιο αποτρέπει το ενδεχόμενο σύγκρουσης συμφερόντων και συμβάλλει στη διαφάνεια και τη δημόσια εικόνα των οργανισμών·</w:t>
      </w:r>
    </w:p>
    <w:p w:rsidR="00D66ACE" w:rsidRPr="0089313D" w:rsidRDefault="0089313D" w:rsidP="0089313D">
      <w:pPr>
        <w:spacing w:after="240"/>
        <w:ind w:left="567" w:hanging="567"/>
      </w:pPr>
      <w:r w:rsidRPr="0089313D">
        <w:rPr>
          <w:rFonts w:eastAsiaTheme="minorHAnsi"/>
          <w:szCs w:val="24"/>
          <w:lang w:eastAsia="en-US"/>
        </w:rPr>
        <w:t>5.</w:t>
      </w:r>
      <w:r w:rsidRPr="0089313D">
        <w:rPr>
          <w:rFonts w:eastAsiaTheme="minorHAnsi"/>
          <w:szCs w:val="24"/>
          <w:lang w:eastAsia="en-US"/>
        </w:rPr>
        <w:tab/>
      </w:r>
      <w:r w:rsidR="00D66ACE" w:rsidRPr="0089313D">
        <w:t>είναι της άποψης ότι, παρά το νομικό πλαίσιο, οι ίδιες αρχές λογοδοσίας και διαφάνειας θα πρέπει να εφαρμόζονται σε όλους τους φορείς που σχετίζονται με την ΕΕ·</w:t>
      </w:r>
    </w:p>
    <w:p w:rsidR="00D66ACE" w:rsidRPr="0089313D" w:rsidRDefault="0089313D" w:rsidP="0089313D">
      <w:pPr>
        <w:spacing w:after="240"/>
        <w:ind w:left="567" w:hanging="567"/>
      </w:pPr>
      <w:r w:rsidRPr="0089313D">
        <w:rPr>
          <w:rFonts w:eastAsiaTheme="minorHAnsi"/>
          <w:szCs w:val="24"/>
          <w:lang w:eastAsia="en-US"/>
        </w:rPr>
        <w:t>6.</w:t>
      </w:r>
      <w:r w:rsidRPr="0089313D">
        <w:rPr>
          <w:rFonts w:eastAsiaTheme="minorHAnsi"/>
          <w:szCs w:val="24"/>
          <w:lang w:eastAsia="en-US"/>
        </w:rPr>
        <w:tab/>
      </w:r>
      <w:r w:rsidR="00D66ACE" w:rsidRPr="0089313D">
        <w:t>υπενθυμίζει το σημείο 58 της κοινής προσέγγισης για τους πλήρως αυτοχρηματοδοτούμενους οργανισμούς, προκειμένου να διασφαλιστεί ο δημόσιος έλεγχος από το Κοινοβούλιο, σύμφωνα με το οποίο:</w:t>
      </w:r>
      <w:r w:rsidR="00D66ACE" w:rsidRPr="0089313D">
        <w:rPr>
          <w:i/>
        </w:rPr>
        <w:t xml:space="preserve"> «Πρέπει να εξεταστούν οι δυνατότητες εξασφάλισης δημοκρατικής λογοδοσίας για τους αμιγώς αυτοχρηματοδοτούμενους οργανισμούς (δηλαδή που χρηματοδοτούνται από τους πελάτες τους), καθώς αποτελούν όργανα της Ένωσης που είναι υπεύθυνα για τις ενωσιακές πολιτικές αλλά δεν υπόκεινται σε απαλλαγή σύμφωνα με την έννοια της ΣΛΕΕ. Μια πιθανή λύση είναι να υποβάλλουν οι εν λόγω οργανισμοί στο Ευρωπαϊκό Κοινοβούλιο, </w:t>
      </w:r>
      <w:r w:rsidR="00D66ACE" w:rsidRPr="0089313D">
        <w:rPr>
          <w:i/>
        </w:rPr>
        <w:lastRenderedPageBreak/>
        <w:t>στο Συμβούλιο και στην Επιτροπή μια ετήσια έκθεση με θέμα την εκτέλεση του προϋπολογισμού και να μελετούν τα αιτήματα ή τις συστάσεις του Κοινοβουλίου και του Συμβουλίου.»</w:t>
      </w:r>
      <w:r w:rsidR="00D66ACE" w:rsidRPr="0089313D">
        <w:t>·</w:t>
      </w:r>
    </w:p>
    <w:p w:rsidR="00D66ACE" w:rsidRPr="0089313D" w:rsidRDefault="0089313D" w:rsidP="0089313D">
      <w:pPr>
        <w:spacing w:after="240"/>
        <w:ind w:left="567" w:hanging="567"/>
      </w:pPr>
      <w:r w:rsidRPr="0089313D">
        <w:rPr>
          <w:rFonts w:eastAsiaTheme="minorHAnsi"/>
          <w:szCs w:val="24"/>
          <w:lang w:eastAsia="en-US"/>
        </w:rPr>
        <w:t>7.</w:t>
      </w:r>
      <w:r w:rsidRPr="0089313D">
        <w:rPr>
          <w:rFonts w:eastAsiaTheme="minorHAnsi"/>
          <w:szCs w:val="24"/>
          <w:lang w:eastAsia="en-US"/>
        </w:rPr>
        <w:tab/>
      </w:r>
      <w:r w:rsidR="00D66ACE" w:rsidRPr="0089313D">
        <w:t>επισημαίνει ότι, ενώ η ίδρυση ή η επέκταση των οργανισμών της ΕΕ αποσκοπεί στην ενίσχυση των ικανοτήτων της Ένωσης, είναι ζωτικής σημασίας να διασφαλιστεί ότι η διαδικασία αυτή καθοδηγείται από διεξοδικές αξιολογήσεις, εκτιμήσεις επιπτώσεων και σαφή απόδειξη της προστιθέμενης αξίας·</w:t>
      </w:r>
      <w:r w:rsidR="00E930E6" w:rsidRPr="0089313D">
        <w:t xml:space="preserve"> προκειμένου να αντληθούν διδάγματα και να εξεταστεί το ενδεχόμενο τερματισμού της θητείας τους, εάν χρειαστεί·</w:t>
      </w:r>
      <w:r w:rsidR="00D66ACE" w:rsidRPr="0089313D">
        <w:t xml:space="preserve"> επισημαίνει ότι η προσέγγιση αυτή όχι μόνο θα διασφαλίσει τη βελτίωση της νομοθεσίας, αλλά θα ενισχύσει επίσης την αποτελεσματικότητα, τη λογοδοσία, τη διαφάνεια και τη συνοχή του θεσμικού τοπίου της Ένωσης·</w:t>
      </w:r>
    </w:p>
    <w:p w:rsidR="00D66ACE" w:rsidRPr="0089313D" w:rsidRDefault="0089313D" w:rsidP="0089313D">
      <w:pPr>
        <w:spacing w:after="240"/>
        <w:ind w:left="567" w:hanging="567"/>
      </w:pPr>
      <w:r w:rsidRPr="0089313D">
        <w:rPr>
          <w:rFonts w:eastAsiaTheme="minorHAnsi"/>
          <w:szCs w:val="24"/>
          <w:lang w:eastAsia="en-US"/>
        </w:rPr>
        <w:t>8.</w:t>
      </w:r>
      <w:r w:rsidRPr="0089313D">
        <w:rPr>
          <w:rFonts w:eastAsiaTheme="minorHAnsi"/>
          <w:szCs w:val="24"/>
          <w:lang w:eastAsia="en-US"/>
        </w:rPr>
        <w:tab/>
      </w:r>
      <w:r w:rsidR="00D66ACE" w:rsidRPr="0089313D">
        <w:t>υπενθυμίζει ότι το σημείο 60 της κοινής προσέγγισης ορίζει ότι κάθε οργανισμός της ΕΕ θα πρέπει να αξιολογείται κάθε 5 έτη· παροτρύνει την Επιτροπή να διερευνήσει περαιτέρω συνέργειες και ενοποίηση των δραστηριοτήτων, καθώς και πιθανή συγχώνευση οργανισμών με συμπληρωματικές δραστηριότητες, προκειμένου να διασφαλιστεί η σχέση κόστους-αποτελεσματικότητας και να εξορθολογιστούν οι λειτουργίες των οργανισμών, συμπεριλαμβανομένων πιθανών αναθεωρήσεων της εντολής όπου υπάρχουν ανεπάρκειες ή απολύσεις· ενθαρρύνει την εφαρμογή της ρήτρας λήξης ισχύος/επανεξέτασης, όπου απαιτείται, για τη διατήρηση της αποδοτικότητας και τη διασφάλιση της βέλτιστης χρήσης των πόρων· πιστεύει ότι η δημοσιονομική αποδοτικότητα είναι καίριας σημασίας για τη λειτουργία των οργανισμών· συμμερίζεται τη σύσταση του Ελεγκτικού Συνεδρίου στην ειδική έκθεση αριθ. 22/2020</w:t>
      </w:r>
      <w:r w:rsidR="00D66ACE" w:rsidRPr="0089313D">
        <w:rPr>
          <w:rStyle w:val="FootnoteReference"/>
        </w:rPr>
        <w:footnoteReference w:id="401"/>
      </w:r>
      <w:r w:rsidR="00D66ACE" w:rsidRPr="0089313D">
        <w:t>, η οποία συνιστά στην Επιτροπή να αυξήσει τη χρήση των οριζόντιων αξιολογήσεων των οργανισμών στο πλαίσιο των ελέγχων καταλληλότητας των διαφόρων τομέων πολιτικής από την Επιτροπή·</w:t>
      </w:r>
    </w:p>
    <w:p w:rsidR="00D66ACE" w:rsidRPr="0089313D" w:rsidRDefault="0089313D" w:rsidP="0089313D">
      <w:pPr>
        <w:spacing w:after="240"/>
        <w:ind w:left="567" w:hanging="567"/>
      </w:pPr>
      <w:r w:rsidRPr="0089313D">
        <w:rPr>
          <w:rFonts w:eastAsiaTheme="minorHAnsi"/>
          <w:szCs w:val="24"/>
          <w:lang w:eastAsia="en-US"/>
        </w:rPr>
        <w:t>9.</w:t>
      </w:r>
      <w:r w:rsidRPr="0089313D">
        <w:rPr>
          <w:rFonts w:eastAsiaTheme="minorHAnsi"/>
          <w:szCs w:val="24"/>
          <w:lang w:eastAsia="en-US"/>
        </w:rPr>
        <w:tab/>
      </w:r>
      <w:r w:rsidR="00D66ACE" w:rsidRPr="0089313D">
        <w:t>επαναβεβαιώνει τη σημασία της διαφάνειας, της λογοδοσίας και της κατάρτισης του προϋπολογισμού βάσει επιδόσεων σε όλους τους οργανισμούς της ΕΕ, διασφαλίζοντας την αποτελεσματική δημοσιονομική διαχείριση· τονίζει ότι οι οργανισμοί πρέπει να τηρούν αυστηρά την εντολή τους· αναγνωρίζει ότι ορισμένοι οργανισμοί ενδέχεται να απαιτούν ενισχυμένη εντολή· ζητεί την ενίσχυση των μηχανισμών διακυβέρνησης για την αποφυγή της αλληλεπικάλυψης αρμοδιοτήτων και τη βελτίωση της επιχειρησιακής αποτελεσματικότητας·</w:t>
      </w:r>
    </w:p>
    <w:p w:rsidR="00D66ACE" w:rsidRPr="0089313D" w:rsidRDefault="0089313D" w:rsidP="0089313D">
      <w:pPr>
        <w:pStyle w:val="NormalHanging12a"/>
      </w:pPr>
      <w:r w:rsidRPr="0089313D">
        <w:t>10.</w:t>
      </w:r>
      <w:r w:rsidRPr="0089313D">
        <w:tab/>
      </w:r>
      <w:r w:rsidR="00D66ACE" w:rsidRPr="0089313D">
        <w:t>τονίζει την ανάγκη για επαρκείς πόρους προκειμένου να διασφαλιστεί ότι οι οργανισμοί είναι σε θέση να εκπληρώσουν τα νέα καθήκοντα που τους επιβάλλει η νέα νομοθεσία·</w:t>
      </w:r>
    </w:p>
    <w:p w:rsidR="00D66ACE" w:rsidRPr="0089313D" w:rsidRDefault="0089313D" w:rsidP="0089313D">
      <w:pPr>
        <w:pStyle w:val="NormalHanging12a"/>
      </w:pPr>
      <w:r w:rsidRPr="0089313D">
        <w:t>11.</w:t>
      </w:r>
      <w:r w:rsidRPr="0089313D">
        <w:tab/>
      </w:r>
      <w:r w:rsidR="00D66ACE" w:rsidRPr="0089313D">
        <w:t>τονίζει ότι είναι σημαντικό οι οργανισμοί να ενισχύσουν την παρουσία τους στα μέσα ενημέρωσης, στο διαδίκτυο και στα μέσα κοινωνικής δικτύωσης, ώστε να αυξηθεί η ευαισθητοποίηση του κοινού σχετικά με το έργο τους·</w:t>
      </w:r>
    </w:p>
    <w:p w:rsidR="00D66ACE" w:rsidRPr="0089313D" w:rsidRDefault="0089313D" w:rsidP="0089313D">
      <w:pPr>
        <w:spacing w:after="240"/>
        <w:ind w:left="567" w:hanging="567"/>
      </w:pPr>
      <w:r w:rsidRPr="0089313D">
        <w:rPr>
          <w:rFonts w:eastAsiaTheme="minorHAnsi"/>
          <w:szCs w:val="24"/>
          <w:lang w:eastAsia="en-US"/>
        </w:rPr>
        <w:t>12.</w:t>
      </w:r>
      <w:r w:rsidRPr="0089313D">
        <w:rPr>
          <w:rFonts w:eastAsiaTheme="minorHAnsi"/>
          <w:szCs w:val="24"/>
          <w:lang w:eastAsia="en-US"/>
        </w:rPr>
        <w:tab/>
      </w:r>
      <w:r w:rsidR="00D66ACE" w:rsidRPr="0089313D">
        <w:t xml:space="preserve">επισημαίνει την αυξανόμενη σύγχυση που προκαλείται από την πληθώρα των περιπτώσεων στις οποίες τα ονόματα και τα ακρωνύμια των οργανισμών είναι είτε </w:t>
      </w:r>
      <w:r w:rsidR="00D66ACE" w:rsidRPr="0089313D">
        <w:lastRenderedPageBreak/>
        <w:t>πανομοιότυπα είτε σχεδόν πανομοιότυπα· καλεί τους αντίστοιχους φορείς να διερευνήσουν τρόπους βελτίωσης της κατάστασης·</w:t>
      </w:r>
    </w:p>
    <w:p w:rsidR="00D66ACE" w:rsidRPr="0089313D" w:rsidRDefault="00D66ACE" w:rsidP="00D66ACE">
      <w:pPr>
        <w:pStyle w:val="Normal12Hanging"/>
        <w:rPr>
          <w:b/>
          <w:i/>
          <w:szCs w:val="24"/>
        </w:rPr>
      </w:pPr>
      <w:r w:rsidRPr="0089313D">
        <w:rPr>
          <w:b/>
          <w:i/>
        </w:rPr>
        <w:t>Διακυβέρνηση</w:t>
      </w:r>
    </w:p>
    <w:p w:rsidR="00D66ACE" w:rsidRPr="0089313D" w:rsidRDefault="0089313D" w:rsidP="0089313D">
      <w:pPr>
        <w:spacing w:after="240"/>
        <w:ind w:left="567" w:hanging="573"/>
      </w:pPr>
      <w:r w:rsidRPr="0089313D">
        <w:rPr>
          <w:rFonts w:eastAsiaTheme="minorHAnsi"/>
          <w:szCs w:val="24"/>
          <w:lang w:eastAsia="en-US"/>
        </w:rPr>
        <w:t>13.</w:t>
      </w:r>
      <w:r w:rsidRPr="0089313D">
        <w:rPr>
          <w:rFonts w:eastAsiaTheme="minorHAnsi"/>
          <w:szCs w:val="24"/>
          <w:lang w:eastAsia="en-US"/>
        </w:rPr>
        <w:tab/>
      </w:r>
      <w:r w:rsidR="00D66ACE" w:rsidRPr="0089313D">
        <w:t>υπενθυμίζει ότι η κοινή προσέγγιση</w:t>
      </w:r>
      <w:r w:rsidR="00D66ACE" w:rsidRPr="0089313D">
        <w:rPr>
          <w:vertAlign w:val="superscript"/>
        </w:rPr>
        <w:footnoteReference w:id="402"/>
      </w:r>
      <w:r w:rsidR="00D66ACE" w:rsidRPr="0089313D">
        <w:t xml:space="preserve"> παρέχει επισκόπηση της δομής διακυβέρνησης των αποκεντρωμένων οργανισμών· αναγνωρίζει την πρόοδο που έχουν σημειώσει οι οργανισμοί της ΕΕ όσον αφορά τη βελτίωση της δημοσιονομικής διαχείρισης και των δομών διακυβέρνησης, αναγνωρίζοντας παράλληλα την ανάγκη για περαιτέρω βελτιώσεις όσον αφορά την αποτελεσματικότητα και τη λογοδοσία· υπενθυμίζει ότι τα διοικητικά συμβούλια όλων των αποκεντρωμένων οργανισμών διαδραματίζουν καίριο ρόλο στη διασφάλιση της χρηστής διακυβέρνησης και της λογοδοσίας· υπενθυμίζει ότι η κοινή προσέγγιση προτείνει το διοικητικό συμβούλιο να αποτελείται από έναν εκπρόσωπο από κάθε κράτος μέλος, δύο εκπροσώπους της Επιτροπής, ένα μέλος που ορίζεται από το Ευρωπαϊκό Κοινοβούλιο (κατά περίπτωση) και έναν «αρκετά περιορισμένο» αριθμό εκπροσώπων των ενδιαφερόμενων μερών (κατά περίπτωση), διασφαλίζοντας ότι αντικατοπτρίζουν ένα ευρύ φάσμα συμφερόντων και ότι η διαδικασία επιλογής τους ήταν διαφανής·</w:t>
      </w:r>
    </w:p>
    <w:p w:rsidR="00D66ACE" w:rsidRPr="0089313D" w:rsidRDefault="0089313D" w:rsidP="0089313D">
      <w:pPr>
        <w:spacing w:after="240"/>
        <w:ind w:left="567" w:hanging="573"/>
      </w:pPr>
      <w:r w:rsidRPr="0089313D">
        <w:rPr>
          <w:rFonts w:eastAsiaTheme="minorHAnsi"/>
          <w:szCs w:val="24"/>
          <w:lang w:eastAsia="en-US"/>
        </w:rPr>
        <w:t>14.</w:t>
      </w:r>
      <w:r w:rsidRPr="0089313D">
        <w:rPr>
          <w:rFonts w:eastAsiaTheme="minorHAnsi"/>
          <w:szCs w:val="24"/>
          <w:lang w:eastAsia="en-US"/>
        </w:rPr>
        <w:tab/>
      </w:r>
      <w:r w:rsidR="00D66ACE" w:rsidRPr="0089313D">
        <w:t>παρατηρεί ότι η δομή διακυβέρνησης των αποκεντρωμένων οργανισμών είναι συνολικά αρκετά παρόμοια για όλους τους οργανισμούς· σημειώνει ότι όλοι διαθέτουν διοικητικό συμβούλιο και διευθυντή· σημειώνει ότι εννέα οργανισμοί διαθέτουν εκτελεστικό συμβούλιο (Cedefop, EUDA, ENISA, ERA, EU-OSHA, Eurofound, Eurojust, FRA, EIT)</w:t>
      </w:r>
      <w:r w:rsidR="00D66ACE" w:rsidRPr="0089313D">
        <w:rPr>
          <w:rStyle w:val="FootnoteReference"/>
        </w:rPr>
        <w:footnoteReference w:id="403"/>
      </w:r>
      <w:r w:rsidR="00D66ACE" w:rsidRPr="0089313D">
        <w:t>, ενώ μόνο οι οργανισμοί που σχετίζονται με το διαστημικό πρόγραμμα της Ευρωπαϊκής Ένωσης διαθέτουν συμβούλιο διαπίστευσης ασφαλείας· σημειώνει, επιπλέον, ότι έχει συσταθεί συμβούλιο ρυθμιστικών ή εποπτικών αρχών από τις τρεις Ευρωπαϊκές Εποπτικές Αρχές [Ευρωπαϊκή Αρχή Τραπεζών (ΕΑΤ), Ευρωπαϊκή Αρχή Κινητών Αξιών και Αγορών (ESMA) και Ευρωπαϊκή Αρχή Ασφαλίσεων και Επαγγελματικών Συντάξεων (EIOPA)] και δύο οργανισμούς της ομάδας «Ενιαία αγορά» [Οργανισμός της Ευρωπαϊκής Ένωσης για τη Συνεργασία των Ρυθμιστικών Αρχών Ενέργειας (ACER) και Οργανισμός για την Υποστήριξη του BEREC (υπηρεσία του BEREC)]·</w:t>
      </w:r>
    </w:p>
    <w:p w:rsidR="00D66ACE" w:rsidRPr="0089313D" w:rsidRDefault="0089313D" w:rsidP="0089313D">
      <w:pPr>
        <w:spacing w:after="240"/>
        <w:ind w:left="567" w:hanging="573"/>
      </w:pPr>
      <w:r w:rsidRPr="0089313D">
        <w:rPr>
          <w:rFonts w:eastAsiaTheme="minorHAnsi"/>
          <w:szCs w:val="24"/>
          <w:lang w:eastAsia="en-US"/>
        </w:rPr>
        <w:t>15.</w:t>
      </w:r>
      <w:r w:rsidRPr="0089313D">
        <w:rPr>
          <w:rFonts w:eastAsiaTheme="minorHAnsi"/>
          <w:szCs w:val="24"/>
          <w:lang w:eastAsia="en-US"/>
        </w:rPr>
        <w:tab/>
      </w:r>
      <w:r w:rsidR="00D66ACE" w:rsidRPr="0089313D">
        <w:t xml:space="preserve">υπενθυμίζει ότι τα διοικητικά συμβούλια του Eurofound, του Cedefop και του EU-OSHA διαθέτουν τριμερή δομή· σημειώνει ότι κάθε κράτος μέλος εκπροσωπείται σε κάθε διοικητικό συμβούλιο από μια κυβέρνηση, έναν εργοδότη και ένα μέλος συνδικαλιστικής οργάνωσης (συνολικά 81 εκπρόσωποι)· σημειώνει ότι η Ευρωπαϊκή Επιτροπή έχει τρεις εκπροσώπους και ότι υπάρχει ανεξάρτητος εμπειρογνώμονας (χωρίς δικαίωμα ψήφου) που διορίζεται από το Ευρωπαϊκό Κοινοβούλιο· υπενθυμίζει </w:t>
      </w:r>
      <w:r w:rsidR="00D66ACE" w:rsidRPr="0089313D">
        <w:lastRenderedPageBreak/>
        <w:t>το μικρότερο μέγεθος του διοικητικού συμβουλίου του ETF, συμπεριλαμβανομένων 27 εκπροσώπων από τα κράτη μέλη (χωρίς κοινωνικούς εταίρους), τριών εκπροσώπων της Επιτροπής (οι οποίοι διαθέτουν μία ψήφο στο διοικητικό συμβούλιο), τριών εμπειρογνωμόνων που διορίζονται από το Ευρωπαϊκό Κοινοβούλιο (σε σύγκριση με έναν ανά τριμερή οργανισμό) και τριών εκπροσώπων χωρών εταίρων που διορίζονται από την Επιτροπή</w:t>
      </w:r>
      <w:r w:rsidR="00D66ACE" w:rsidRPr="0089313D">
        <w:rPr>
          <w:vertAlign w:val="superscript"/>
        </w:rPr>
        <w:footnoteReference w:id="404"/>
      </w:r>
      <w:r w:rsidR="00D66ACE" w:rsidRPr="0089313D">
        <w:t>·</w:t>
      </w:r>
    </w:p>
    <w:p w:rsidR="00D66ACE" w:rsidRPr="0089313D" w:rsidRDefault="0089313D" w:rsidP="0089313D">
      <w:pPr>
        <w:spacing w:after="240"/>
        <w:ind w:left="567" w:hanging="573"/>
      </w:pPr>
      <w:r w:rsidRPr="0089313D">
        <w:rPr>
          <w:rFonts w:eastAsiaTheme="minorHAnsi"/>
          <w:szCs w:val="24"/>
          <w:lang w:eastAsia="en-US"/>
        </w:rPr>
        <w:t>16.</w:t>
      </w:r>
      <w:r w:rsidRPr="0089313D">
        <w:rPr>
          <w:rFonts w:eastAsiaTheme="minorHAnsi"/>
          <w:szCs w:val="24"/>
          <w:lang w:eastAsia="en-US"/>
        </w:rPr>
        <w:tab/>
      </w:r>
      <w:r w:rsidR="00D66ACE" w:rsidRPr="0089313D">
        <w:t>σημειώνει τα συμπεράσματα της αξιολόγησης του Eurofound, του Cedefop, του ETF και του EU-OSHA σχετικά με την τριμερή δομή διακυβέρνησης (Eurofound, Cedefop και EU-OSHA)· παρατηρεί ότι η τριμερής δομή παρέχει οφέλη όπως η εκπροσώπηση, η στρατηγική κατεύθυνση και η ανταλλαγή γνώσεων, αλλά το μέγεθος και η πολυμορφία των διοικητικών συμβουλίων θέτουν προκλήσεις όσον αφορά την αντιμετώπιση συμβιβασμών σχετικά με τις βασικές επιχειρηματικές και διοικητικές αποφάσεις· επισημαίνει ότι η αξιολόγηση εξέτασε εναλλακτικά μοντέλα διακυβέρνησης για την αποτελεσματικότερη συμμετοχή των κοινωνικών εταίρων· επισημαίνει τις αυξημένες δυνατότητες για εξοικονόμηση πόρων και συνέργειες στις δραστηριότητες των εν λόγω οργανισμών· τονίζει την ανάγκη για αυστηρή οικονομική εποπτεία των οργανισμών της ΕΕ, ώστε να διασφαλίζεται η σχέση κόστους-αποτελεσματικότητας και να αποτρέπεται η κατάχρηση δημόσιων πόρων· υπογραμμίζει την ανάγκη για μια υπεύθυνη προσέγγιση βάσει των αναγκών όσον αφορά τη χρηματοδότηση των οργανισμών, η οποία θα αποτρέπει τη γραφειοκρατική επέκταση, διασφαλίζοντας παράλληλα ότι οι οργανισμοί διαθέτουν επαρκείς πόρους για την εκπλήρωση των εντολών τους·</w:t>
      </w:r>
    </w:p>
    <w:p w:rsidR="00D66ACE" w:rsidRPr="0089313D" w:rsidRDefault="0089313D" w:rsidP="0089313D">
      <w:pPr>
        <w:spacing w:after="240"/>
        <w:ind w:left="567" w:hanging="573"/>
      </w:pPr>
      <w:r w:rsidRPr="0089313D">
        <w:rPr>
          <w:rFonts w:eastAsiaTheme="minorHAnsi"/>
          <w:szCs w:val="24"/>
          <w:lang w:eastAsia="en-US"/>
        </w:rPr>
        <w:t>17.</w:t>
      </w:r>
      <w:r w:rsidRPr="0089313D">
        <w:rPr>
          <w:rFonts w:eastAsiaTheme="minorHAnsi"/>
          <w:szCs w:val="24"/>
          <w:lang w:eastAsia="en-US"/>
        </w:rPr>
        <w:tab/>
      </w:r>
      <w:r w:rsidR="00D66ACE" w:rsidRPr="0089313D">
        <w:t>λαμβάνει υπό σημείωση τα συμπεράσματα της έκθεσης σχετικά με την αξιολόγηση του κανονισμού (ΕΕ) 2019/1896 για την Ευρωπαϊκή Συνοριοφυλακή και Ακτοφυλακή (Frontex)</w:t>
      </w:r>
      <w:r w:rsidR="00D66ACE" w:rsidRPr="0089313D">
        <w:rPr>
          <w:rStyle w:val="FootnoteReference"/>
        </w:rPr>
        <w:footnoteReference w:id="405"/>
      </w:r>
      <w:r w:rsidR="00D66ACE" w:rsidRPr="0089313D">
        <w:t xml:space="preserve"> και τα πορίσματά της που θεωρούν ότι ο κανονισμός είναι κατάλληλος για τον επιδιωκόμενο σκοπό, συμπεριλαμβανομένης της επανεξέτασης του μόνιμου σώματος που δημοσιεύτηκε τον Φεβρουάριο του 2024: σημειώνει ότι, ενώ ο κανονισμός παρέχει ένα πλαίσιο για την αποτελεσματική διαχείριση των συνόρων, εξακολουθούν να υπάρχουν προκλήσεις όσον αφορά τη διακυβέρνηση, τη λογοδοσία και την αποτελεσματικότητα· αναγνωρίζει ότι η δομή διακυβέρνησης απαιτεί προσαρμογές προκειμένου να διασφαλιστεί ότι ο Frontex μπορεί να εκτελέσει πλήρως την εντολή του, συμπεριλαμβανομένης της αντιμετώπισης της ισόρροπης εκπροσώπησης στο διοικητικό συμβούλιο, του εξορθολογισμού των εσωτερικών διαδικασιών λήψης αποφάσεων και της αποφυγής αλληλεπικαλυπτόμενων αρμοδιοτήτων· εκφράζει την ικανοποίησή του για τη νέα οργανωτική δομή που εγκρίθηκε από το διοικητικό συμβούλιο τον Νοέμβριο του 2023 ως βήμα προς τη βελτίωση της διακυβέρνησης, του στρατηγικού συντονισμού και της κατανομής των πόρων· αναγνωρίζει τις διοικητικές ανεπάρκειες που επισημαίνονται στην έκθεση αξιολόγησης, ιδίως όσον αφορά τις διαδικασίες επιστροφής εξόδων και τα γραφειοκρατικά εμπόδια που αντιμετωπίζουν τα κράτη μέλη κατά την τοποθέτηση προσωπικού στον Frontex· καλεί την Επιτροπή να διερευνήσει τρόπους για την απλούστευση αυτών των διαδικασιών ώστε να μειωθεί ο περιττός φόρτος για τις </w:t>
      </w:r>
      <w:r w:rsidR="00D66ACE" w:rsidRPr="0089313D">
        <w:lastRenderedPageBreak/>
        <w:t>εθνικές αρχές· σημειώνει τη σημασία της εφαρμογής των συστάσεων της ετήσιας έκθεσης του υπευθύνου θεμελιωδών δικαιωμάτων· αν και αναγνωρίζει την πρόοδο που έχει σημειωθεί, καλεί τον Frontex να συνεχίσει να ενισχύει τη διαφάνεια, να συνεργάζεται πλήρως με έρευνες και να εφαρμόζει μέτρα που διασφαλίζουν την προστασία των θεμελιωδών δικαιωμάτων σε όλες τις δραστηριότητές του·</w:t>
      </w:r>
    </w:p>
    <w:p w:rsidR="00D66ACE" w:rsidRPr="0089313D" w:rsidRDefault="0089313D" w:rsidP="0089313D">
      <w:pPr>
        <w:spacing w:after="240"/>
        <w:ind w:left="567" w:hanging="573"/>
      </w:pPr>
      <w:r w:rsidRPr="0089313D">
        <w:rPr>
          <w:rFonts w:eastAsiaTheme="minorHAnsi"/>
          <w:szCs w:val="24"/>
          <w:lang w:eastAsia="en-US"/>
        </w:rPr>
        <w:t>18.</w:t>
      </w:r>
      <w:r w:rsidRPr="0089313D">
        <w:rPr>
          <w:rFonts w:eastAsiaTheme="minorHAnsi"/>
          <w:szCs w:val="24"/>
          <w:lang w:eastAsia="en-US"/>
        </w:rPr>
        <w:tab/>
      </w:r>
      <w:r w:rsidR="00D66ACE" w:rsidRPr="0089313D">
        <w:t>τονίζει ότι μια ισορροπημένη προσέγγιση, η οποία θα συνδυάζει τον αποτελεσματικό έλεγχο των συνόρων με ισχυρές διασφαλίσεις για τα θεμελιώδη δικαιώματα, είναι καίριας σημασίας για τη διατήρηση ενός ασφαλούς χώρου Σένγκεν και ενός αξιόπιστου πλαισίου της ΕΕ για τη διαχείριση της μετανάστευσης· επαναλαμβάνει, επομένως, τη σημασία διαθρωτικής και συνεχούς κατάρτισης των υπαλλήλων του μόνιμου σώματος (Frontex) σχετικά με τα θεμελιώδη δικαιώματα, ώστε να διασφαλίζεται η ευαισθητοποίησή τους και η συμμόρφωσή τους με τις σχετικές υποχρεώσεις και πρότυπα στον τομέα των θεμελιωδών δικαιωμάτων, με το διεθνές δίκαιο για τα ανθρώπινα δικαιώματα και το ανθρωπιστικό δίκαιο</w:t>
      </w:r>
      <w:r w:rsidR="00D66ACE" w:rsidRPr="0089313D">
        <w:rPr>
          <w:rStyle w:val="FootnoteReference"/>
        </w:rPr>
        <w:footnoteReference w:id="406"/>
      </w:r>
      <w:r w:rsidR="00D66ACE" w:rsidRPr="0089313D">
        <w:t>· τονίζει, επιπλέον, τη σημασία να αναφέρονται οι παραβιάσεις των θεμελιωδών δικαιωμάτων απ’ όσους γίνονται μάρτυρες τέτοιων παραβιάσεων μέσω της έκδοσης αναφορών σοβαρών συμβάντων·</w:t>
      </w:r>
    </w:p>
    <w:p w:rsidR="00D66ACE" w:rsidRPr="0089313D" w:rsidRDefault="00D66ACE" w:rsidP="00D66ACE">
      <w:pPr>
        <w:spacing w:after="240"/>
        <w:ind w:left="567" w:hanging="567"/>
        <w:rPr>
          <w:i/>
        </w:rPr>
      </w:pPr>
      <w:r w:rsidRPr="0089313D">
        <w:rPr>
          <w:b/>
          <w:i/>
        </w:rPr>
        <w:t>Δημοσιονομική και χρηματοοικονομική διαχείριση</w:t>
      </w:r>
    </w:p>
    <w:p w:rsidR="00D66ACE" w:rsidRPr="0089313D" w:rsidRDefault="0089313D" w:rsidP="0089313D">
      <w:pPr>
        <w:spacing w:after="240"/>
        <w:ind w:left="567" w:hanging="573"/>
      </w:pPr>
      <w:r w:rsidRPr="0089313D">
        <w:rPr>
          <w:rFonts w:eastAsiaTheme="minorHAnsi"/>
          <w:szCs w:val="24"/>
          <w:lang w:eastAsia="en-US"/>
        </w:rPr>
        <w:t>19.</w:t>
      </w:r>
      <w:r w:rsidRPr="0089313D">
        <w:rPr>
          <w:rFonts w:eastAsiaTheme="minorHAnsi"/>
          <w:szCs w:val="24"/>
          <w:lang w:eastAsia="en-US"/>
        </w:rPr>
        <w:tab/>
      </w:r>
      <w:r w:rsidR="00D66ACE" w:rsidRPr="0089313D">
        <w:t>σημειώνει ότι τα συνολικά τελικά έσοδα για το 2023 (μετά τους διορθωτικούς προϋπολογισμούς) και τα συγκριτικά αριθμητικά στοιχεία για το 2022 για τους 33 οργανισμούς της Ένωσης που αποτελούν μέρος του παρόντος ψηφίσματος είχαν την ακόλουθη ανάλυση</w:t>
      </w:r>
      <w:r w:rsidR="00D66ACE" w:rsidRPr="0089313D">
        <w:rPr>
          <w:rStyle w:val="FootnoteReference"/>
        </w:rPr>
        <w:footnoteReference w:id="407"/>
      </w:r>
      <w:r w:rsidR="00D66ACE" w:rsidRPr="0089313D">
        <w:t>:</w:t>
      </w:r>
    </w:p>
    <w:tbl>
      <w:tblPr>
        <w:tblStyle w:val="TableGrid"/>
        <w:tblW w:w="0" w:type="auto"/>
        <w:tblLook w:val="04A0" w:firstRow="1" w:lastRow="0" w:firstColumn="1" w:lastColumn="0" w:noHBand="0" w:noVBand="1"/>
      </w:tblPr>
      <w:tblGrid>
        <w:gridCol w:w="2405"/>
        <w:gridCol w:w="2693"/>
        <w:gridCol w:w="2268"/>
        <w:gridCol w:w="1517"/>
      </w:tblGrid>
      <w:tr w:rsidR="00D66ACE" w:rsidRPr="0089313D" w:rsidTr="00E930E6">
        <w:trPr>
          <w:trHeight w:val="293"/>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rPr>
                <w:sz w:val="22"/>
                <w:szCs w:val="22"/>
              </w:rPr>
            </w:pP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E930E6">
            <w:pPr>
              <w:spacing w:after="240"/>
              <w:ind w:left="34" w:hanging="34"/>
              <w:rPr>
                <w:b/>
                <w:bCs/>
                <w:sz w:val="22"/>
                <w:szCs w:val="22"/>
                <w:lang w:val="en-GB"/>
              </w:rPr>
            </w:pPr>
            <w:r w:rsidRPr="0089313D">
              <w:rPr>
                <w:b/>
                <w:sz w:val="22"/>
              </w:rPr>
              <w:t xml:space="preserve">Έσοδα 2023 σε </w:t>
            </w:r>
            <w:r w:rsidR="00EC7F74" w:rsidRPr="0089313D">
              <w:rPr>
                <w:b/>
                <w:sz w:val="22"/>
                <w:lang w:val="en-GB"/>
              </w:rPr>
              <w:t>EUR</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EC7F74">
            <w:pPr>
              <w:spacing w:after="240"/>
              <w:ind w:left="567" w:hanging="567"/>
              <w:rPr>
                <w:b/>
                <w:bCs/>
                <w:sz w:val="22"/>
                <w:szCs w:val="22"/>
                <w:lang w:val="en-GB"/>
              </w:rPr>
            </w:pPr>
            <w:r w:rsidRPr="0089313D">
              <w:rPr>
                <w:b/>
                <w:sz w:val="22"/>
              </w:rPr>
              <w:t xml:space="preserve">Έσοδα 2022 σε </w:t>
            </w:r>
            <w:r w:rsidR="00EC7F74" w:rsidRPr="0089313D">
              <w:rPr>
                <w:b/>
                <w:sz w:val="22"/>
                <w:lang w:val="en-GB"/>
              </w:rPr>
              <w:t>EUR</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ACER</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€29.582.967</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€24.827.843</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19,15 %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E930E6">
            <w:pPr>
              <w:spacing w:after="240"/>
              <w:ind w:left="29" w:hanging="29"/>
              <w:rPr>
                <w:b/>
                <w:bCs/>
                <w:sz w:val="22"/>
                <w:szCs w:val="22"/>
              </w:rPr>
            </w:pPr>
            <w:r w:rsidRPr="0089313D">
              <w:rPr>
                <w:b/>
                <w:sz w:val="22"/>
              </w:rPr>
              <w:t>Υπηρεσία του BEREC</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€7.697.265</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€7.428.456</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3,62 %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 xml:space="preserve">CDT </w:t>
            </w:r>
            <w:r w:rsidRPr="0089313D">
              <w:rPr>
                <w:rStyle w:val="FootnoteReference"/>
                <w:b/>
                <w:bCs/>
                <w:sz w:val="22"/>
                <w:szCs w:val="22"/>
              </w:rPr>
              <w:footnoteReference w:id="408"/>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€47.140.900</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€48.721.800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-3,24 %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CEDEFOP</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€20.140.610</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€18.434.420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9,26 %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CEPOL</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€14.211.723</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€13.805.510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2,94 %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 xml:space="preserve">EASA </w:t>
            </w:r>
            <w:r w:rsidRPr="0089313D">
              <w:rPr>
                <w:rStyle w:val="FootnoteReference"/>
                <w:b/>
                <w:bCs/>
                <w:sz w:val="22"/>
                <w:szCs w:val="22"/>
              </w:rPr>
              <w:footnoteReference w:id="409"/>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€169.665.375</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€163.367.860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3,85 %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ΕΑΤ</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€52.672.002</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€50.315.014</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4,68 %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ECDC</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€102.526.724</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€112.796.588</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-9,10 %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lastRenderedPageBreak/>
              <w:t xml:space="preserve">ECHA </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€123.280.140</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€116.981.740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5,38 %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ΕΟΠ</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€76.114.130</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€92.863.021</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-18,04 %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EFCA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€30.862.554</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€35.734.297</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-13,63 %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EFSA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€148.954.729</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€134.773.287</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10,52 %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EIGE</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€9.358.919</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€8.432.920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10,98 %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 xml:space="preserve">EIOPA </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€36.714.492</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€34.571.120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6,20 %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ΕΙΤ</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€367.607.241</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€448.920.650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-18,11 %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ELA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€39.973.330</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€34.689.842</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15,23 %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 xml:space="preserve">EMA </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€448.603.000</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€421.815.000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6,35 %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F943AF">
            <w:pPr>
              <w:spacing w:after="240"/>
              <w:ind w:left="567" w:hanging="567"/>
              <w:rPr>
                <w:b/>
                <w:bCs/>
                <w:sz w:val="22"/>
                <w:szCs w:val="22"/>
              </w:rPr>
            </w:pPr>
            <w:r w:rsidRPr="0089313D">
              <w:rPr>
                <w:b/>
                <w:sz w:val="22"/>
              </w:rPr>
              <w:t>EUDA (EMCDDA)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€22.082.074</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€18.839.136</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17,21 %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EMSA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€111.954.231</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€115.807.270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-3,33 %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ENISA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€25.183.495</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€39.207.625</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-35,77 %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ERA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€38.532.447</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€33.983.956</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13,38 %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 xml:space="preserve">ESA </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€258.160</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€167.000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54,59 %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ESMA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€72.509.657</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€68.068.551</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6,52 %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 xml:space="preserve">ETF </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€28.542.956</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€25.051.848</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13,94%</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EUAA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€170.135.127</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€168.842.192</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0,77 %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 xml:space="preserve">EU-LISA </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€300.524.142</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€296.508.265</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1,35 %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EU-OSHA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€17.038.950</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€16.405.100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3,86 %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EUROFOUND</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€25.369.931</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€22.438.000</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13,07 %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 xml:space="preserve">EUROJUST </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€59.324.460</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€49.086.843</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20,86 %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EUROPOL</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€212.925.809</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€197.759.722</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7,67 %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EUSPA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€76.922.866</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€65.392.492</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17,63 %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FRA</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€26.191.031</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€25.857.952</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1,29 %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FRONTEX</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€829.352.752</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€693.122.858</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19,65 %</w:t>
            </w:r>
          </w:p>
        </w:tc>
      </w:tr>
      <w:tr w:rsidR="00D66ACE" w:rsidRPr="0089313D" w:rsidTr="00E930E6">
        <w:trPr>
          <w:trHeight w:val="285"/>
        </w:trPr>
        <w:tc>
          <w:tcPr>
            <w:tcW w:w="2405"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ΣΥΝΟΛΟ</w:t>
            </w:r>
          </w:p>
        </w:tc>
        <w:tc>
          <w:tcPr>
            <w:tcW w:w="2693"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€3.741.954.189</w:t>
            </w:r>
          </w:p>
        </w:tc>
        <w:tc>
          <w:tcPr>
            <w:tcW w:w="226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b/>
                <w:bCs/>
                <w:sz w:val="22"/>
                <w:szCs w:val="22"/>
              </w:rPr>
            </w:pPr>
            <w:r w:rsidRPr="0089313D">
              <w:rPr>
                <w:b/>
                <w:sz w:val="22"/>
              </w:rPr>
              <w:t>€3.605.018.178</w:t>
            </w:r>
          </w:p>
        </w:tc>
        <w:tc>
          <w:tcPr>
            <w:tcW w:w="127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240"/>
              <w:ind w:left="567" w:hanging="567"/>
              <w:rPr>
                <w:sz w:val="22"/>
                <w:szCs w:val="22"/>
              </w:rPr>
            </w:pPr>
            <w:r w:rsidRPr="0089313D">
              <w:rPr>
                <w:sz w:val="22"/>
              </w:rPr>
              <w:t>3,80 %</w:t>
            </w:r>
          </w:p>
        </w:tc>
      </w:tr>
    </w:tbl>
    <w:p w:rsidR="00D66ACE" w:rsidRPr="0089313D" w:rsidRDefault="0089313D" w:rsidP="0089313D">
      <w:pPr>
        <w:pStyle w:val="NormalHanging12a"/>
        <w:ind w:hanging="573"/>
      </w:pPr>
      <w:r w:rsidRPr="0089313D">
        <w:t>20.</w:t>
      </w:r>
      <w:r w:rsidRPr="0089313D">
        <w:tab/>
      </w:r>
      <w:r w:rsidR="00D66ACE" w:rsidRPr="0089313D">
        <w:t xml:space="preserve">επισημαίνει ότι η αύξηση των εσόδων από το 2022 έως το 2023 ήταν σημαντική σε ορισμένους οργανισμούς, αντιπροσωπεύοντας το 54,59 % για τον ESA, το 20,86 % για την Eurojust, το 19,65 % για τον Frontex και το 19,15 % για τον ACER· εκφράζει την </w:t>
      </w:r>
      <w:r w:rsidR="00D66ACE" w:rsidRPr="0089313D">
        <w:lastRenderedPageBreak/>
        <w:t>ικανοποίησή του για την αυξημένη χρηματοδότηση των οργανισμών επιβολής του νόμου·</w:t>
      </w:r>
    </w:p>
    <w:p w:rsidR="00D66ACE" w:rsidRPr="0089313D" w:rsidRDefault="0089313D" w:rsidP="0089313D">
      <w:pPr>
        <w:spacing w:after="240"/>
        <w:ind w:left="567" w:hanging="573"/>
      </w:pPr>
      <w:r w:rsidRPr="0089313D">
        <w:rPr>
          <w:rFonts w:eastAsiaTheme="minorHAnsi"/>
          <w:szCs w:val="24"/>
          <w:lang w:eastAsia="en-US"/>
        </w:rPr>
        <w:t>21.</w:t>
      </w:r>
      <w:r w:rsidRPr="0089313D">
        <w:rPr>
          <w:rFonts w:eastAsiaTheme="minorHAnsi"/>
          <w:szCs w:val="24"/>
          <w:lang w:eastAsia="en-US"/>
        </w:rPr>
        <w:tab/>
      </w:r>
      <w:r w:rsidR="00D66ACE" w:rsidRPr="0089313D">
        <w:t>σημειώνει ότι στον ESA η αύξηση οφείλεται κυρίως στη συνεχή ανάπτυξη του συστήματος ΤΠ του Πυρηνικού Παρατηρητηρίου και της διαχείρισης πληροφοριών του ESA (NOEMI), καθώς και στην παροχή λογιστικών υπηρεσιών στον οργανισμό· στην Eurojust, η αύξηση οφείλεται κυρίως στους πρόσθετους πόρους που απαιτούνται για την εκτέλεση των καθηκόντων που προστέθηκαν από τρεις προτάσεις κανονισμών της Επιτροπής και στον ιδιαίτερα σοβαρό αντίκτυπο του πληθωρισμού</w:t>
      </w:r>
      <w:r w:rsidR="00D66ACE" w:rsidRPr="0089313D">
        <w:rPr>
          <w:vertAlign w:val="superscript"/>
        </w:rPr>
        <w:footnoteReference w:id="410"/>
      </w:r>
      <w:r w:rsidR="00D66ACE" w:rsidRPr="0089313D">
        <w:t xml:space="preserve">· στον Frontex, η αύξηση του προϋπολογισμού αποσκοπεί στη συνέχιση της δημιουργίας του μόνιμου σώματος </w:t>
      </w:r>
      <w:proofErr w:type="spellStart"/>
      <w:r w:rsidR="00D66ACE" w:rsidRPr="0089313D">
        <w:t>συνοριοφυλάκων</w:t>
      </w:r>
      <w:proofErr w:type="spellEnd"/>
      <w:r w:rsidR="00D66ACE" w:rsidRPr="0089313D">
        <w:t>, συμπεριλαμβανομένου του εξοπλισμού</w:t>
      </w:r>
      <w:r w:rsidR="00D66ACE" w:rsidRPr="0089313D">
        <w:rPr>
          <w:vertAlign w:val="superscript"/>
        </w:rPr>
        <w:footnoteReference w:id="411"/>
      </w:r>
      <w:r w:rsidR="00D66ACE" w:rsidRPr="0089313D">
        <w:t>· στην περίπτωση του ACER, η αύξηση οφείλεται κυρίως στα πρόσθετα καθήκοντα που ανατέθηκαν στους προγραμματισμένους αναθεωρημένους κανονισμούς για τις ενεργειακές υποδομές και τη μείωση των εκπομπών μεθανίου</w:t>
      </w:r>
      <w:r w:rsidR="00D66ACE" w:rsidRPr="0089313D">
        <w:rPr>
          <w:vertAlign w:val="superscript"/>
        </w:rPr>
        <w:footnoteReference w:id="412"/>
      </w:r>
      <w:r w:rsidR="00D66ACE" w:rsidRPr="0089313D">
        <w:t>, στη σχετική ετήσια τιμαριθμική αναπροσαρμογή των αποδοχών, στα υψηλότερα νομικά έξοδα και στην υψηλότερη κατανομή του προϋπολογισμού που προκύπτει από τέλη για συγκεκριμένα έργα·</w:t>
      </w:r>
    </w:p>
    <w:p w:rsidR="00D66ACE" w:rsidRPr="0089313D" w:rsidRDefault="0089313D" w:rsidP="0089313D">
      <w:pPr>
        <w:spacing w:after="240"/>
        <w:ind w:left="567" w:hanging="573"/>
      </w:pPr>
      <w:r w:rsidRPr="0089313D">
        <w:rPr>
          <w:rFonts w:eastAsiaTheme="minorHAnsi"/>
          <w:szCs w:val="24"/>
          <w:lang w:eastAsia="en-US"/>
        </w:rPr>
        <w:t>22.</w:t>
      </w:r>
      <w:r w:rsidRPr="0089313D">
        <w:rPr>
          <w:rFonts w:eastAsiaTheme="minorHAnsi"/>
          <w:szCs w:val="24"/>
          <w:lang w:eastAsia="en-US"/>
        </w:rPr>
        <w:tab/>
      </w:r>
      <w:r w:rsidR="00D66ACE" w:rsidRPr="0089313D">
        <w:t xml:space="preserve">αναγνωρίζει την απάντηση στη γραπτή ερώτηση σύμφωνα με την οποία οι μεταφορές πιστώσεων του Frontex (45 % το 2023) συνδέονται με τον επιχειρησιακό κύκλο του, ο οποίος δεν ευθυγραμμίζεται με το ημερολογιακό έτος και δεν μπορεί να προσαρμοστεί εύκολα, καθώς αφορά όλα τα κράτη μέλη· γνωρίζει ότι οι πολιτικές προτεραιότητες της Επιτροπής και οι προσδοκίες των πολιτών της Ένωσης για ασφάλεια είναι οι εξηγήσεις που εφαρμόζονται για την αύξηση του προϋπολογισμού του Frontex· επιμένει ότι είναι σημαντικό να εξασφαλιστούν επαρκείς πόροι για την αποτελεσματική λειτουργία του Frontex, αξιολογώντας παράλληλα συνεχώς κατά πόσον ο προϋπολογισμός του είναι κατάλληλος για τον επιδιωκόμενο σκοπό και παράγει αποτελέσματα· υπενθυμίζει την ανάγκη παρακολούθησης της προόδου όσον αφορά την ικανότητα απορρόφησης του Οργανισμού, </w:t>
      </w:r>
      <w:r w:rsidR="00E930E6" w:rsidRPr="0089313D">
        <w:t xml:space="preserve">ιδίως μέσω της πρόσληψης προσωπικού </w:t>
      </w:r>
      <w:proofErr w:type="spellStart"/>
      <w:r w:rsidR="00E930E6" w:rsidRPr="0089313D">
        <w:t>συνοριοφυλακής</w:t>
      </w:r>
      <w:proofErr w:type="spellEnd"/>
      <w:r w:rsidR="00E930E6" w:rsidRPr="0089313D">
        <w:t xml:space="preserve"> και ακτοφυλακής</w:t>
      </w:r>
      <w:r w:rsidRPr="0089313D">
        <w:t>,</w:t>
      </w:r>
      <w:r w:rsidR="00E930E6" w:rsidRPr="0089313D">
        <w:t xml:space="preserve"> </w:t>
      </w:r>
      <w:r w:rsidR="00D66ACE" w:rsidRPr="0089313D">
        <w:t>τονίζοντας τη σημασία του ορθού σχεδιασμού για τη διασφάλιση της αποτελεσματικότητάς του· καλεί, επιπλέον, το EUAN να συνεργαστεί με τους οργανισμούς και το Ελεγκτικό Συνέδριο για την ανάπτυξη μιας τυποποιημένης παρουσίασης των μεταφορών πιστώσεων που ευθυγραμμίζεται καλύτερα με την αρχή της ετήσιας διάρκειας του δημοσιονομικού κανονισμού·</w:t>
      </w:r>
    </w:p>
    <w:p w:rsidR="00D66ACE" w:rsidRPr="0089313D" w:rsidRDefault="0089313D" w:rsidP="0089313D">
      <w:pPr>
        <w:spacing w:after="240"/>
        <w:ind w:left="567" w:hanging="573"/>
      </w:pPr>
      <w:r w:rsidRPr="0089313D">
        <w:rPr>
          <w:rFonts w:eastAsiaTheme="minorHAnsi"/>
          <w:szCs w:val="24"/>
          <w:lang w:eastAsia="en-US"/>
        </w:rPr>
        <w:t>23.</w:t>
      </w:r>
      <w:r w:rsidRPr="0089313D">
        <w:rPr>
          <w:rFonts w:eastAsiaTheme="minorHAnsi"/>
          <w:szCs w:val="24"/>
          <w:lang w:eastAsia="en-US"/>
        </w:rPr>
        <w:tab/>
      </w:r>
      <w:r w:rsidR="00D66ACE" w:rsidRPr="0089313D">
        <w:t>υπενθυμίζει ότι η πλειονότητα των οργανισμών της Ένωσης λαμβάνουν τη χρηματοδότησή τους εξ ολοκλήρου από συνεισφορές από τον προϋπολογισμό της ΕΕ· σημειώνει, ωστόσο, ότι ορισμένοι οργανισμοί χρηματοδοτούνται πλήρως ή εν μέρει από εναλλακτικές πηγές εσόδων, συμπεριλαμβανομένων των πιστοποιητικών, των εγκρίσεων, της καταχώρισης ουσιών, των συνεισφορών, της συλλογής δεδομένων, της εποπτείας της αγοράς, της επίβλεψης, καθώς και άλλων υπηρεσιών, όπως η μετάφραση και η ορολογία, όπως παρέχονται από το Μεταφραστικό Κέντρο των Οργάνων της Ευρωπαϊκής Ένωσης (CdT)·</w:t>
      </w:r>
    </w:p>
    <w:p w:rsidR="00D66ACE" w:rsidRPr="0089313D" w:rsidRDefault="0089313D" w:rsidP="0089313D">
      <w:pPr>
        <w:spacing w:after="240"/>
        <w:ind w:left="567" w:hanging="573"/>
      </w:pPr>
      <w:r w:rsidRPr="0089313D">
        <w:rPr>
          <w:rFonts w:eastAsiaTheme="minorHAnsi"/>
          <w:szCs w:val="24"/>
          <w:lang w:eastAsia="en-US"/>
        </w:rPr>
        <w:t>24.</w:t>
      </w:r>
      <w:r w:rsidRPr="0089313D">
        <w:rPr>
          <w:rFonts w:eastAsiaTheme="minorHAnsi"/>
          <w:szCs w:val="24"/>
          <w:lang w:eastAsia="en-US"/>
        </w:rPr>
        <w:tab/>
      </w:r>
      <w:r w:rsidR="00D66ACE" w:rsidRPr="0089313D">
        <w:t>αναγνωρίζει, ειδικότερα, ότι:</w:t>
      </w:r>
    </w:p>
    <w:p w:rsidR="00D66ACE" w:rsidRPr="0089313D" w:rsidRDefault="00D66ACE" w:rsidP="00D66ACE">
      <w:pPr>
        <w:spacing w:after="240"/>
        <w:ind w:left="1134" w:hanging="567"/>
      </w:pPr>
      <w:r w:rsidRPr="0089313D">
        <w:t>–</w:t>
      </w:r>
      <w:r w:rsidRPr="0089313D">
        <w:tab/>
        <w:t xml:space="preserve">στους μερικώς αυτοχρηματοδοτούμενους οργανισμούς περιλαμβάνονται ο Ευρωπαϊκός Οργανισμός Ασφάλειας της Αεροπορίας (EASA), ο Οργανισμός </w:t>
      </w:r>
      <w:r w:rsidRPr="0089313D">
        <w:lastRenderedPageBreak/>
        <w:t>Σιδηροδρόμων της Ευρωπαϊκής Ένωσης (ERA), ο Οργανισμός της Ευρωπαϊκής Ένωσης για τη Συνεργασία των Ρυθμιστικών Αρχών Ενέργειας (ACER), ο Ευρωπαϊκός Οργανισμός Χημικών Προϊόντων (ECHA), ο Ευρωπαϊκός Οργανισμός Φαρμάκων (EMA)·</w:t>
      </w:r>
    </w:p>
    <w:p w:rsidR="00D66ACE" w:rsidRPr="0089313D" w:rsidRDefault="00D66ACE" w:rsidP="00D66ACE">
      <w:pPr>
        <w:spacing w:after="240"/>
        <w:ind w:left="1134" w:hanging="567"/>
      </w:pPr>
      <w:r w:rsidRPr="0089313D">
        <w:t>–</w:t>
      </w:r>
      <w:r w:rsidRPr="0089313D">
        <w:tab/>
        <w:t>οι πλήρως αυτοχρηματοδοτούμενοι οργανισμοί περιλαμβάνουν το CdT· και</w:t>
      </w:r>
    </w:p>
    <w:p w:rsidR="00D66ACE" w:rsidRPr="0089313D" w:rsidRDefault="00D66ACE" w:rsidP="00D66ACE">
      <w:pPr>
        <w:spacing w:after="240"/>
        <w:ind w:left="1134" w:hanging="567"/>
      </w:pPr>
      <w:r w:rsidRPr="0089313D">
        <w:t>–</w:t>
      </w:r>
      <w:r w:rsidRPr="0089313D">
        <w:tab/>
        <w:t>στους οργανισμούς που συγχρηματοδοτούνται εν μέρει από εθνικές δημόσιες αρχές περιλαμβάνονται η Ευρωπαϊκή Αρχή Τραπεζών (ΕΑΤ), η Ευρωπαϊκή Αρχή Ασφαλίσεων και Επαγγελματικών Συντάξεων (EIOPA) και η Ευρωπαϊκή Αρχή Κινητών Αξιών και Αγορών (ESMA)·</w:t>
      </w:r>
    </w:p>
    <w:p w:rsidR="00D66ACE" w:rsidRPr="0089313D" w:rsidRDefault="0089313D" w:rsidP="0089313D">
      <w:pPr>
        <w:spacing w:after="120"/>
        <w:ind w:left="567" w:hanging="573"/>
      </w:pPr>
      <w:r w:rsidRPr="0089313D">
        <w:rPr>
          <w:rFonts w:eastAsiaTheme="minorHAnsi"/>
          <w:szCs w:val="24"/>
          <w:lang w:eastAsia="en-US"/>
        </w:rPr>
        <w:t>25.</w:t>
      </w:r>
      <w:r w:rsidRPr="0089313D">
        <w:rPr>
          <w:rFonts w:eastAsiaTheme="minorHAnsi"/>
          <w:szCs w:val="24"/>
          <w:lang w:eastAsia="en-US"/>
        </w:rPr>
        <w:tab/>
      </w:r>
      <w:r w:rsidR="00D66ACE" w:rsidRPr="0089313D">
        <w:t>σημειώνει ότι, για το 2023, η πηγή χρηματοδότησης για τους αυτοχρηματοδοτούμενους οργανισμούς που αποτελούν μέρος του παρόντος ψηφίσματος είχε την ακόλουθη κατανομή:</w:t>
      </w:r>
    </w:p>
    <w:tbl>
      <w:tblPr>
        <w:tblStyle w:val="TableGrid"/>
        <w:tblW w:w="8178" w:type="dxa"/>
        <w:tblLook w:val="04A0" w:firstRow="1" w:lastRow="0" w:firstColumn="1" w:lastColumn="0" w:noHBand="0" w:noVBand="1"/>
      </w:tblPr>
      <w:tblGrid>
        <w:gridCol w:w="1091"/>
        <w:gridCol w:w="1648"/>
        <w:gridCol w:w="1316"/>
        <w:gridCol w:w="696"/>
        <w:gridCol w:w="1461"/>
        <w:gridCol w:w="666"/>
        <w:gridCol w:w="1300"/>
      </w:tblGrid>
      <w:tr w:rsidR="00D66ACE" w:rsidRPr="0089313D" w:rsidTr="00E930E6">
        <w:trPr>
          <w:cantSplit/>
          <w:trHeight w:val="293"/>
          <w:tblHeader/>
        </w:trPr>
        <w:tc>
          <w:tcPr>
            <w:tcW w:w="109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widowControl/>
              <w:spacing w:after="120"/>
              <w:ind w:left="567" w:hanging="567"/>
              <w:rPr>
                <w:sz w:val="20"/>
              </w:rPr>
            </w:pPr>
          </w:p>
        </w:tc>
        <w:tc>
          <w:tcPr>
            <w:tcW w:w="164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E930E6">
            <w:pPr>
              <w:spacing w:after="120"/>
              <w:rPr>
                <w:b/>
                <w:bCs/>
                <w:noProof/>
                <w:sz w:val="20"/>
                <w:lang w:val="en-GB"/>
              </w:rPr>
            </w:pPr>
            <w:r w:rsidRPr="0089313D">
              <w:rPr>
                <w:b/>
                <w:sz w:val="20"/>
              </w:rPr>
              <w:t xml:space="preserve">Έσοδα 2023 σε </w:t>
            </w:r>
            <w:r w:rsidR="00EC7F74" w:rsidRPr="0089313D">
              <w:rPr>
                <w:b/>
                <w:sz w:val="20"/>
                <w:lang w:val="en-GB"/>
              </w:rPr>
              <w:t>EUR</w:t>
            </w:r>
          </w:p>
        </w:tc>
        <w:tc>
          <w:tcPr>
            <w:tcW w:w="131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E930E6">
            <w:pPr>
              <w:spacing w:after="120"/>
              <w:rPr>
                <w:b/>
                <w:bCs/>
                <w:noProof/>
                <w:sz w:val="20"/>
              </w:rPr>
            </w:pPr>
            <w:r w:rsidRPr="0089313D">
              <w:rPr>
                <w:b/>
                <w:sz w:val="20"/>
              </w:rPr>
              <w:t>Επιδότηση της ΕΕ</w:t>
            </w:r>
          </w:p>
        </w:tc>
        <w:tc>
          <w:tcPr>
            <w:tcW w:w="69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 %</w:t>
            </w:r>
          </w:p>
        </w:tc>
        <w:tc>
          <w:tcPr>
            <w:tcW w:w="146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Ίδια έσοδα</w:t>
            </w:r>
          </w:p>
        </w:tc>
        <w:tc>
          <w:tcPr>
            <w:tcW w:w="66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 %</w:t>
            </w:r>
          </w:p>
        </w:tc>
        <w:tc>
          <w:tcPr>
            <w:tcW w:w="1300"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Άλλο</w:t>
            </w:r>
          </w:p>
        </w:tc>
      </w:tr>
      <w:tr w:rsidR="00D66ACE" w:rsidRPr="0089313D" w:rsidTr="00E930E6">
        <w:trPr>
          <w:cantSplit/>
          <w:trHeight w:val="285"/>
          <w:tblHeader/>
        </w:trPr>
        <w:tc>
          <w:tcPr>
            <w:tcW w:w="109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ACER</w:t>
            </w:r>
          </w:p>
        </w:tc>
        <w:tc>
          <w:tcPr>
            <w:tcW w:w="164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€29.576.964</w:t>
            </w:r>
          </w:p>
        </w:tc>
        <w:tc>
          <w:tcPr>
            <w:tcW w:w="131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€19.418.599</w:t>
            </w:r>
          </w:p>
        </w:tc>
        <w:tc>
          <w:tcPr>
            <w:tcW w:w="69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66 %</w:t>
            </w:r>
          </w:p>
        </w:tc>
        <w:tc>
          <w:tcPr>
            <w:tcW w:w="146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€10.158.245</w:t>
            </w:r>
          </w:p>
        </w:tc>
        <w:tc>
          <w:tcPr>
            <w:tcW w:w="66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34 %</w:t>
            </w:r>
          </w:p>
        </w:tc>
        <w:tc>
          <w:tcPr>
            <w:tcW w:w="1300"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€120</w:t>
            </w:r>
          </w:p>
        </w:tc>
      </w:tr>
      <w:tr w:rsidR="00D66ACE" w:rsidRPr="0089313D" w:rsidTr="00E930E6">
        <w:trPr>
          <w:cantSplit/>
          <w:trHeight w:val="285"/>
          <w:tblHeader/>
        </w:trPr>
        <w:tc>
          <w:tcPr>
            <w:tcW w:w="109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 xml:space="preserve">CDT </w:t>
            </w:r>
          </w:p>
        </w:tc>
        <w:tc>
          <w:tcPr>
            <w:tcW w:w="164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€47.140.900</w:t>
            </w:r>
          </w:p>
        </w:tc>
        <w:tc>
          <w:tcPr>
            <w:tcW w:w="131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€0</w:t>
            </w:r>
          </w:p>
        </w:tc>
        <w:tc>
          <w:tcPr>
            <w:tcW w:w="69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0 %</w:t>
            </w:r>
          </w:p>
        </w:tc>
        <w:tc>
          <w:tcPr>
            <w:tcW w:w="146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€46.295.800</w:t>
            </w:r>
          </w:p>
        </w:tc>
        <w:tc>
          <w:tcPr>
            <w:tcW w:w="66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98 %</w:t>
            </w:r>
          </w:p>
        </w:tc>
        <w:tc>
          <w:tcPr>
            <w:tcW w:w="1300"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€845.100</w:t>
            </w:r>
          </w:p>
        </w:tc>
      </w:tr>
      <w:tr w:rsidR="00D66ACE" w:rsidRPr="0089313D" w:rsidTr="00E930E6">
        <w:trPr>
          <w:cantSplit/>
          <w:trHeight w:val="285"/>
          <w:tblHeader/>
        </w:trPr>
        <w:tc>
          <w:tcPr>
            <w:tcW w:w="109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 xml:space="preserve">EASA </w:t>
            </w:r>
          </w:p>
        </w:tc>
        <w:tc>
          <w:tcPr>
            <w:tcW w:w="164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€169.665.375</w:t>
            </w:r>
          </w:p>
        </w:tc>
        <w:tc>
          <w:tcPr>
            <w:tcW w:w="131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€44.329.433</w:t>
            </w:r>
          </w:p>
        </w:tc>
        <w:tc>
          <w:tcPr>
            <w:tcW w:w="69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26 %</w:t>
            </w:r>
          </w:p>
        </w:tc>
        <w:tc>
          <w:tcPr>
            <w:tcW w:w="146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€120.937.434</w:t>
            </w:r>
          </w:p>
        </w:tc>
        <w:tc>
          <w:tcPr>
            <w:tcW w:w="66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71 %</w:t>
            </w:r>
          </w:p>
        </w:tc>
        <w:tc>
          <w:tcPr>
            <w:tcW w:w="1300"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€4.398.508</w:t>
            </w:r>
          </w:p>
        </w:tc>
      </w:tr>
      <w:tr w:rsidR="00D66ACE" w:rsidRPr="0089313D" w:rsidTr="00E930E6">
        <w:trPr>
          <w:cantSplit/>
          <w:trHeight w:val="285"/>
          <w:tblHeader/>
        </w:trPr>
        <w:tc>
          <w:tcPr>
            <w:tcW w:w="109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ΕΑΤ</w:t>
            </w:r>
          </w:p>
        </w:tc>
        <w:tc>
          <w:tcPr>
            <w:tcW w:w="164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€52.672.002</w:t>
            </w:r>
          </w:p>
        </w:tc>
        <w:tc>
          <w:tcPr>
            <w:tcW w:w="131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€19.428.306</w:t>
            </w:r>
          </w:p>
        </w:tc>
        <w:tc>
          <w:tcPr>
            <w:tcW w:w="69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37 %</w:t>
            </w:r>
          </w:p>
        </w:tc>
        <w:tc>
          <w:tcPr>
            <w:tcW w:w="146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€31.479.331</w:t>
            </w:r>
          </w:p>
        </w:tc>
        <w:tc>
          <w:tcPr>
            <w:tcW w:w="66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60 %</w:t>
            </w:r>
          </w:p>
        </w:tc>
        <w:tc>
          <w:tcPr>
            <w:tcW w:w="1300"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€1.764.364</w:t>
            </w:r>
          </w:p>
        </w:tc>
      </w:tr>
      <w:tr w:rsidR="00D66ACE" w:rsidRPr="0089313D" w:rsidTr="00E930E6">
        <w:trPr>
          <w:cantSplit/>
          <w:trHeight w:val="285"/>
          <w:tblHeader/>
        </w:trPr>
        <w:tc>
          <w:tcPr>
            <w:tcW w:w="109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 xml:space="preserve">ECHA </w:t>
            </w:r>
          </w:p>
        </w:tc>
        <w:tc>
          <w:tcPr>
            <w:tcW w:w="164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€123.280.140</w:t>
            </w:r>
          </w:p>
        </w:tc>
        <w:tc>
          <w:tcPr>
            <w:tcW w:w="131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€81.274.568</w:t>
            </w:r>
          </w:p>
        </w:tc>
        <w:tc>
          <w:tcPr>
            <w:tcW w:w="69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66 %</w:t>
            </w:r>
          </w:p>
        </w:tc>
        <w:tc>
          <w:tcPr>
            <w:tcW w:w="146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€33.107.484</w:t>
            </w:r>
          </w:p>
        </w:tc>
        <w:tc>
          <w:tcPr>
            <w:tcW w:w="66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27 %</w:t>
            </w:r>
          </w:p>
        </w:tc>
        <w:tc>
          <w:tcPr>
            <w:tcW w:w="1300"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€8.898.088</w:t>
            </w:r>
          </w:p>
        </w:tc>
      </w:tr>
      <w:tr w:rsidR="00D66ACE" w:rsidRPr="0089313D" w:rsidTr="00E930E6">
        <w:trPr>
          <w:cantSplit/>
          <w:trHeight w:val="285"/>
          <w:tblHeader/>
        </w:trPr>
        <w:tc>
          <w:tcPr>
            <w:tcW w:w="109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 xml:space="preserve">EIOPA </w:t>
            </w:r>
          </w:p>
        </w:tc>
        <w:tc>
          <w:tcPr>
            <w:tcW w:w="164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€36.714.492</w:t>
            </w:r>
          </w:p>
        </w:tc>
        <w:tc>
          <w:tcPr>
            <w:tcW w:w="131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€13.470.715</w:t>
            </w:r>
          </w:p>
        </w:tc>
        <w:tc>
          <w:tcPr>
            <w:tcW w:w="69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37 %</w:t>
            </w:r>
          </w:p>
        </w:tc>
        <w:tc>
          <w:tcPr>
            <w:tcW w:w="146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€22.086.958</w:t>
            </w:r>
          </w:p>
        </w:tc>
        <w:tc>
          <w:tcPr>
            <w:tcW w:w="66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60 %</w:t>
            </w:r>
          </w:p>
        </w:tc>
        <w:tc>
          <w:tcPr>
            <w:tcW w:w="1300"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€1.156.819</w:t>
            </w:r>
          </w:p>
        </w:tc>
      </w:tr>
      <w:tr w:rsidR="00D66ACE" w:rsidRPr="0089313D" w:rsidTr="00E930E6">
        <w:trPr>
          <w:cantSplit/>
          <w:trHeight w:val="285"/>
          <w:tblHeader/>
        </w:trPr>
        <w:tc>
          <w:tcPr>
            <w:tcW w:w="109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 xml:space="preserve">EMA </w:t>
            </w:r>
          </w:p>
        </w:tc>
        <w:tc>
          <w:tcPr>
            <w:tcW w:w="164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€448.603.000</w:t>
            </w:r>
          </w:p>
        </w:tc>
        <w:tc>
          <w:tcPr>
            <w:tcW w:w="131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€50.027.000</w:t>
            </w:r>
          </w:p>
        </w:tc>
        <w:tc>
          <w:tcPr>
            <w:tcW w:w="69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11 %</w:t>
            </w:r>
          </w:p>
        </w:tc>
        <w:tc>
          <w:tcPr>
            <w:tcW w:w="146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€398.209.000</w:t>
            </w:r>
          </w:p>
        </w:tc>
        <w:tc>
          <w:tcPr>
            <w:tcW w:w="66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89 %</w:t>
            </w:r>
          </w:p>
        </w:tc>
        <w:tc>
          <w:tcPr>
            <w:tcW w:w="1300"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€367.000</w:t>
            </w:r>
          </w:p>
        </w:tc>
      </w:tr>
      <w:tr w:rsidR="00D66ACE" w:rsidRPr="0089313D" w:rsidTr="00E930E6">
        <w:trPr>
          <w:cantSplit/>
          <w:trHeight w:val="285"/>
          <w:tblHeader/>
        </w:trPr>
        <w:tc>
          <w:tcPr>
            <w:tcW w:w="109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ERA</w:t>
            </w:r>
          </w:p>
        </w:tc>
        <w:tc>
          <w:tcPr>
            <w:tcW w:w="164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€38.532.447</w:t>
            </w:r>
          </w:p>
        </w:tc>
        <w:tc>
          <w:tcPr>
            <w:tcW w:w="131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€27.418.274</w:t>
            </w:r>
          </w:p>
        </w:tc>
        <w:tc>
          <w:tcPr>
            <w:tcW w:w="69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71 %</w:t>
            </w:r>
          </w:p>
        </w:tc>
        <w:tc>
          <w:tcPr>
            <w:tcW w:w="146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€10.312.858</w:t>
            </w:r>
          </w:p>
        </w:tc>
        <w:tc>
          <w:tcPr>
            <w:tcW w:w="66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27 %</w:t>
            </w:r>
          </w:p>
        </w:tc>
        <w:tc>
          <w:tcPr>
            <w:tcW w:w="1300"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€801.315</w:t>
            </w:r>
          </w:p>
        </w:tc>
      </w:tr>
      <w:tr w:rsidR="00D66ACE" w:rsidRPr="0089313D" w:rsidTr="00E930E6">
        <w:trPr>
          <w:cantSplit/>
          <w:trHeight w:val="285"/>
          <w:tblHeader/>
        </w:trPr>
        <w:tc>
          <w:tcPr>
            <w:tcW w:w="109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ESMA</w:t>
            </w:r>
          </w:p>
        </w:tc>
        <w:tc>
          <w:tcPr>
            <w:tcW w:w="164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€72.509.657</w:t>
            </w:r>
          </w:p>
        </w:tc>
        <w:tc>
          <w:tcPr>
            <w:tcW w:w="131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€18.588.578</w:t>
            </w:r>
          </w:p>
        </w:tc>
        <w:tc>
          <w:tcPr>
            <w:tcW w:w="69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26 %</w:t>
            </w:r>
          </w:p>
        </w:tc>
        <w:tc>
          <w:tcPr>
            <w:tcW w:w="146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€52.224.114</w:t>
            </w:r>
          </w:p>
        </w:tc>
        <w:tc>
          <w:tcPr>
            <w:tcW w:w="66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72 %</w:t>
            </w:r>
          </w:p>
        </w:tc>
        <w:tc>
          <w:tcPr>
            <w:tcW w:w="1300"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€1.696.965</w:t>
            </w:r>
          </w:p>
        </w:tc>
      </w:tr>
      <w:tr w:rsidR="00D66ACE" w:rsidRPr="0089313D" w:rsidTr="00E930E6">
        <w:trPr>
          <w:cantSplit/>
          <w:trHeight w:val="285"/>
          <w:tblHeader/>
        </w:trPr>
        <w:tc>
          <w:tcPr>
            <w:tcW w:w="109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ΣΥΝΟΛΟ</w:t>
            </w:r>
          </w:p>
        </w:tc>
        <w:tc>
          <w:tcPr>
            <w:tcW w:w="1648"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€1.018.694.977</w:t>
            </w:r>
          </w:p>
        </w:tc>
        <w:tc>
          <w:tcPr>
            <w:tcW w:w="131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€273.955.473</w:t>
            </w:r>
          </w:p>
        </w:tc>
        <w:tc>
          <w:tcPr>
            <w:tcW w:w="69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 </w:t>
            </w:r>
          </w:p>
        </w:tc>
        <w:tc>
          <w:tcPr>
            <w:tcW w:w="1461"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€724.811.224</w:t>
            </w:r>
          </w:p>
        </w:tc>
        <w:tc>
          <w:tcPr>
            <w:tcW w:w="666"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 </w:t>
            </w:r>
          </w:p>
        </w:tc>
        <w:tc>
          <w:tcPr>
            <w:tcW w:w="1300" w:type="dxa"/>
            <w:tcBorders>
              <w:top w:val="single" w:sz="4" w:space="0" w:color="auto"/>
              <w:left w:val="single" w:sz="4" w:space="0" w:color="auto"/>
              <w:bottom w:val="single" w:sz="4" w:space="0" w:color="auto"/>
              <w:right w:val="single" w:sz="4" w:space="0" w:color="auto"/>
            </w:tcBorders>
            <w:noWrap/>
            <w:hideMark/>
          </w:tcPr>
          <w:p w:rsidR="00D66ACE" w:rsidRPr="0089313D" w:rsidRDefault="00D66ACE" w:rsidP="005E7790">
            <w:pPr>
              <w:spacing w:after="120"/>
              <w:ind w:left="567" w:hanging="567"/>
              <w:rPr>
                <w:b/>
                <w:bCs/>
                <w:noProof/>
                <w:sz w:val="20"/>
              </w:rPr>
            </w:pPr>
            <w:r w:rsidRPr="0089313D">
              <w:rPr>
                <w:b/>
                <w:sz w:val="20"/>
              </w:rPr>
              <w:t>€19.928.279</w:t>
            </w:r>
          </w:p>
        </w:tc>
      </w:tr>
    </w:tbl>
    <w:p w:rsidR="00D66ACE" w:rsidRPr="0089313D" w:rsidRDefault="0089313D" w:rsidP="0089313D">
      <w:pPr>
        <w:spacing w:after="240"/>
        <w:ind w:left="567" w:hanging="573"/>
      </w:pPr>
      <w:r w:rsidRPr="0089313D">
        <w:rPr>
          <w:rFonts w:eastAsiaTheme="minorHAnsi"/>
          <w:szCs w:val="24"/>
          <w:lang w:eastAsia="en-US"/>
        </w:rPr>
        <w:t>26.</w:t>
      </w:r>
      <w:r w:rsidRPr="0089313D">
        <w:rPr>
          <w:rFonts w:eastAsiaTheme="minorHAnsi"/>
          <w:szCs w:val="24"/>
          <w:lang w:eastAsia="en-US"/>
        </w:rPr>
        <w:tab/>
      </w:r>
      <w:r w:rsidR="00D66ACE" w:rsidRPr="0089313D">
        <w:t>σημειώνει την παρατήρηση του Ελεγκτικού Συνεδρίου ότι ο Οργανισμός της Ευρωπαϊκής Ένωσης για τη Συνεργασία των Ρυθμιστικών Αρχών Ενέργειας (ACER), ο Οργανισμός της Ευρωπαϊκής Ένωσης για την Ασφάλεια της Αεροπορίας (EASA), ο Ευρωπαϊκός Οργανισμός Χημικών Προϊόντων (ECHA), ο Ευρωπαϊκός Οργανισμός Φαρμάκων (EMA), ο Οργανισμός Σιδηροδρόμων της Ευρωπαϊκής Ένωσης (ERA) και η Ευρωπαϊκή Αρχή Κινητών Αξιών και Αγορών (ESMA) υποχρεούνται εκ του νόμου να προσδιορίζουν και να λογοδοτούν χωριστά για το κόστος των δραστηριοτήτων που χρηματοδοτούνται από ίδια έσοδα· σημειώνει ότι οι εν λόγω οργανισμοί διαθέτουν συστήματα για τη συμμόρφωση με την απαίτηση αυτή και σημειώνει ότι ορισμένοι οργανισμοί, όπως ο EMA, ο EASA και ο ERA, υπερβαίνουν τις εν λόγω απαιτήσεις·</w:t>
      </w:r>
    </w:p>
    <w:p w:rsidR="00D66ACE" w:rsidRPr="0089313D" w:rsidRDefault="0089313D" w:rsidP="0089313D">
      <w:pPr>
        <w:spacing w:after="240"/>
        <w:ind w:left="567" w:hanging="573"/>
      </w:pPr>
      <w:r w:rsidRPr="0089313D">
        <w:rPr>
          <w:rFonts w:eastAsiaTheme="minorHAnsi"/>
          <w:szCs w:val="24"/>
          <w:lang w:eastAsia="en-US"/>
        </w:rPr>
        <w:t>27.</w:t>
      </w:r>
      <w:r w:rsidRPr="0089313D">
        <w:rPr>
          <w:rFonts w:eastAsiaTheme="minorHAnsi"/>
          <w:szCs w:val="24"/>
          <w:lang w:eastAsia="en-US"/>
        </w:rPr>
        <w:tab/>
      </w:r>
      <w:r w:rsidR="00D66ACE" w:rsidRPr="0089313D">
        <w:t xml:space="preserve">παρατηρεί ότι οι ιδρυτικοί κανονισμοί για τις τρεις ευρωπαϊκές εποπτικές αρχές (ΕΑΤ, EIOPA και ESMA – με εξαίρεση τις δραστηριότητες που χρηματοδοτούνται από εποπτικά τέλη) ορίζουν ότι, αρχικά, οι συνεισφορές που λαμβάνουν από τις εθνικές αρμόδιες αρχές θα πρέπει να αντιπροσωπεύουν το 60 % των προϋπολογισμών τους, ενώ το υπόλοιπο 40 % προέρχεται από τον προϋπολογισμό της ΕΕ· σημειώνει ότι η ρύθμιση αυτή αντικατοπτρίζει τον συνδυασμό ρυθμιστικών καθηκόντων, τα οποία είναι κατάλληλα για χρηματοδότηση από την ΕΕ, και εποπτικών καθηκόντων σύγκλισης, τα οποία είναι κατάλληλα για συνεισφορές από τις εθνικές αρμόδιες αρχές, στις εντολές των τριών αρχών· επισημαίνει ότι, λόγω της έλλειψης σαφούς οριοθέτησης μεταξύ των </w:t>
      </w:r>
      <w:r w:rsidR="00D66ACE" w:rsidRPr="0089313D">
        <w:lastRenderedPageBreak/>
        <w:t>δραστηριοτήτων που χρηματοδοτούνται από τις δύο πηγές στους ιδρυτικούς κανονισμούς, οι εν λόγω αρχές δεν κάνουν διάκριση μεταξύ των δαπανών που καλύπτονται από την επιδότηση από τον προϋπολογισμό της ΕΕ και εκείνων που καλύπτονται από τις εθνικές συνεισφορές·</w:t>
      </w:r>
    </w:p>
    <w:p w:rsidR="00D66ACE" w:rsidRPr="0089313D" w:rsidRDefault="0089313D" w:rsidP="0089313D">
      <w:pPr>
        <w:spacing w:after="240"/>
        <w:ind w:left="567" w:hanging="573"/>
      </w:pPr>
      <w:r w:rsidRPr="0089313D">
        <w:rPr>
          <w:rFonts w:eastAsiaTheme="minorHAnsi"/>
          <w:szCs w:val="24"/>
          <w:lang w:eastAsia="en-US"/>
        </w:rPr>
        <w:t>28.</w:t>
      </w:r>
      <w:r w:rsidRPr="0089313D">
        <w:rPr>
          <w:rFonts w:eastAsiaTheme="minorHAnsi"/>
          <w:szCs w:val="24"/>
          <w:lang w:eastAsia="en-US"/>
        </w:rPr>
        <w:tab/>
      </w:r>
      <w:r w:rsidR="00D66ACE" w:rsidRPr="0089313D">
        <w:t>καλεί την ΕΑΤ, την EIOPA και την ESMA να αναπτύξουν την ικανότητα αυτή ώστε να εντοπίζουν και να λογοδοτούν χωριστά για το κόστος των δραστηριοτήτων που παράγουν καθεμιά από τις δικές τους ροές εσόδων, προκειμένου να βελτιώσουν τη διαδικασία λήψης αποφάσεων και την ποιότητα των πληροφοριών που παρέχουν στα ενδιαφερόμενα μέρη όσον αφορά τα ελλείμματα ή τα πλεονάσματα που παράγουν οι εν λόγω δραστηριότητες·</w:t>
      </w:r>
    </w:p>
    <w:p w:rsidR="00D66ACE" w:rsidRPr="0089313D" w:rsidRDefault="0089313D" w:rsidP="0089313D">
      <w:pPr>
        <w:spacing w:after="240"/>
        <w:ind w:left="567" w:hanging="573"/>
      </w:pPr>
      <w:r w:rsidRPr="0089313D">
        <w:rPr>
          <w:rFonts w:eastAsiaTheme="minorHAnsi"/>
          <w:szCs w:val="24"/>
          <w:lang w:eastAsia="en-US"/>
        </w:rPr>
        <w:t>29.</w:t>
      </w:r>
      <w:r w:rsidRPr="0089313D">
        <w:rPr>
          <w:rFonts w:eastAsiaTheme="minorHAnsi"/>
          <w:szCs w:val="24"/>
          <w:lang w:eastAsia="en-US"/>
        </w:rPr>
        <w:tab/>
      </w:r>
      <w:r w:rsidR="00D66ACE" w:rsidRPr="0089313D">
        <w:t xml:space="preserve">σημειώνει ότι το </w:t>
      </w:r>
      <w:proofErr w:type="spellStart"/>
      <w:r w:rsidR="00D66ACE" w:rsidRPr="0089313D">
        <w:t>CdT</w:t>
      </w:r>
      <w:proofErr w:type="spellEnd"/>
      <w:r w:rsidR="00D66ACE" w:rsidRPr="0089313D">
        <w:t xml:space="preserve"> διαθέτει σύστημα για την παρακολούθηση του κόστους κάθε δραστηριότητας και κάθε προϊόντος που παράγει δικά του έσοδα, το οποίο του επιτρέπει να υπολογίζει τα κέρδη ή τις ζημίες· επισημαίνει ότι το 2023, 10 από τα 17 κύρια προϊόντα του CdT ανέφεραν ζημίες συνολικού ύψους 3,4 εκατομμυρίων EUR·</w:t>
      </w:r>
    </w:p>
    <w:p w:rsidR="00D66ACE" w:rsidRPr="0089313D" w:rsidRDefault="0089313D" w:rsidP="0089313D">
      <w:pPr>
        <w:spacing w:after="240"/>
        <w:ind w:left="567" w:hanging="573"/>
      </w:pPr>
      <w:r w:rsidRPr="0089313D">
        <w:rPr>
          <w:rFonts w:eastAsiaTheme="minorHAnsi"/>
          <w:szCs w:val="24"/>
          <w:lang w:eastAsia="en-US"/>
        </w:rPr>
        <w:t>30.</w:t>
      </w:r>
      <w:r w:rsidRPr="0089313D">
        <w:rPr>
          <w:rFonts w:eastAsiaTheme="minorHAnsi"/>
          <w:szCs w:val="24"/>
          <w:lang w:eastAsia="en-US"/>
        </w:rPr>
        <w:tab/>
      </w:r>
      <w:r w:rsidR="00D66ACE" w:rsidRPr="0089313D">
        <w:t>υπογραμμίζει ότι κατά την τελευταία δεκαετία το CdT αντιμετώπισε 7 έτη δημοσιονομικών ελλειμμάτων και 6 έτη λογιστικών ζημιών λόγω της μείωσης του όγκου των επιχειρηματικών δραστηριοτήτων· σημειώνει ότι, για την αντιμετώπιση της μείωσης του όγκου των εργασιών, το CdT αντλεί από ένα ειδικό αποθεματικό που θεσπίστηκε το 2011 για να διασφαλίσει τον προϋπολογισμό και τη σταθερότητα των τιμών· σημειώνει ότι το αποθεματικό αυτό κορυφώθηκε σε 15,6 εκατομμύρια EUR το 2014, στη συνέχεια μειώθηκε σε 10,3 εκατομμύρια EUR το 2022 και σε 8,9</w:t>
      </w:r>
      <w:r w:rsidR="00903C32" w:rsidRPr="0089313D">
        <w:t> </w:t>
      </w:r>
      <w:r w:rsidR="00D66ACE" w:rsidRPr="0089313D">
        <w:t>εκατομμύρια EUR το 2023· γνωρίζει ότι, μόλις εξαντληθεί πλήρως το αποθεματικό, τυχόν περαιτέρω ελλείμματα θα πρέπει να καλύπτονται από επιδοτήσεις από τον προϋπολογισμό της ΕΕ, όπως προβλέπεται στον ιδρυτικό κανονισμό του CdT· καλεί το CdT να υποβάλει έκθεση στην αρμόδια για την απαλλαγή αρχή σχετικά με τα σχέδιά του για τον μετριασμό των κινδύνων επιχειρησιακής συνέχειας·</w:t>
      </w:r>
    </w:p>
    <w:p w:rsidR="00D66ACE" w:rsidRPr="0089313D" w:rsidRDefault="0089313D" w:rsidP="0089313D">
      <w:pPr>
        <w:pStyle w:val="NormalHanging12a"/>
        <w:ind w:hanging="573"/>
      </w:pPr>
      <w:r w:rsidRPr="0089313D">
        <w:t>31.</w:t>
      </w:r>
      <w:r w:rsidRPr="0089313D">
        <w:tab/>
      </w:r>
      <w:r w:rsidR="00D66ACE" w:rsidRPr="0089313D">
        <w:t>σημειώνει ότι είναι αναγκαίο οι οργανισμοί να βελτιώσουν τους μηχανισμούς χρηματοοικονομικής αναφοράς και εσωτερικού ελέγχου· καλεί τους οργανισμούς να παρέχουν σε ετήσια βάση λεπτομερή ανάλυση των δαπανών, συμπεριλαμβανομένων αναλυτικών στοιχείων για τις εξωτερικές συμβάσεις, τις συμβουλευτικές υπηρεσίες και τους υπεργολάβους· επιμένει στην ανάγκη για ψηφιακά εργαλεία αναφοράς σε πραγματικό χρόνο που θα βελτιώνουν τη δημοσιονομική εποπτεία και τη λογοδοσία προς το Ευρωπαϊκό Κοινοβούλιο και το κοινό· ενθαρρύνει την περαιτέρω πρόοδο όσον αφορά τις συστάσεις ελέγχου·</w:t>
      </w:r>
    </w:p>
    <w:p w:rsidR="00D66ACE" w:rsidRPr="0089313D" w:rsidRDefault="00D66ACE" w:rsidP="00D66ACE">
      <w:pPr>
        <w:pStyle w:val="Normal12Hanging"/>
        <w:rPr>
          <w:b/>
          <w:i/>
          <w:szCs w:val="24"/>
        </w:rPr>
      </w:pPr>
      <w:r w:rsidRPr="0089313D">
        <w:rPr>
          <w:b/>
          <w:i/>
        </w:rPr>
        <w:t>Κύριοι κίνδυνοι που εντοπίστηκαν από το Ελεγκτικό Συνέδριο</w:t>
      </w:r>
    </w:p>
    <w:p w:rsidR="00D66ACE" w:rsidRPr="0089313D" w:rsidRDefault="0089313D" w:rsidP="0089313D">
      <w:pPr>
        <w:spacing w:after="240"/>
        <w:ind w:left="567" w:hanging="573"/>
      </w:pPr>
      <w:r w:rsidRPr="0089313D">
        <w:rPr>
          <w:rFonts w:eastAsiaTheme="minorHAnsi"/>
          <w:szCs w:val="24"/>
          <w:lang w:eastAsia="en-US"/>
        </w:rPr>
        <w:t>32.</w:t>
      </w:r>
      <w:r w:rsidRPr="0089313D">
        <w:rPr>
          <w:rFonts w:eastAsiaTheme="minorHAnsi"/>
          <w:szCs w:val="24"/>
          <w:lang w:eastAsia="en-US"/>
        </w:rPr>
        <w:tab/>
      </w:r>
      <w:r w:rsidR="00D66ACE" w:rsidRPr="0089313D">
        <w:rPr>
          <w:color w:val="000000"/>
        </w:rPr>
        <w:t>σημειώνει το συμπέρασμα στο οποίο κατέληξε το Ελεγκτικό Συνέδριο στην ετήσια έκθεσή του σχετικά με τους οργανισμούς της Ένωσης για το οικονομικό έτος 2023 («η έκθεση του Ελεγκτικού Συνεδρίου»), σύμφωνα με το οποίο ο έλεγχος από το Ελεγκτικό Συνέδριο είχε παρόμοια αποτελέσματα με το προηγούμενο έτος (2022), με τις αδυναμίες στις διαδικασίες σύναψης δημόσιων συμβάσεων να παραμένουν η κύρια πηγή παράτυπων πληρωμών·</w:t>
      </w:r>
    </w:p>
    <w:p w:rsidR="00D66ACE" w:rsidRPr="0089313D" w:rsidRDefault="0089313D" w:rsidP="0089313D">
      <w:pPr>
        <w:spacing w:after="240"/>
        <w:ind w:left="567" w:hanging="573"/>
      </w:pPr>
      <w:r w:rsidRPr="0089313D">
        <w:rPr>
          <w:rFonts w:eastAsiaTheme="minorHAnsi"/>
          <w:szCs w:val="24"/>
          <w:lang w:eastAsia="en-US"/>
        </w:rPr>
        <w:t>33.</w:t>
      </w:r>
      <w:r w:rsidRPr="0089313D">
        <w:rPr>
          <w:rFonts w:eastAsiaTheme="minorHAnsi"/>
          <w:szCs w:val="24"/>
          <w:lang w:eastAsia="en-US"/>
        </w:rPr>
        <w:tab/>
      </w:r>
      <w:r w:rsidR="00D66ACE" w:rsidRPr="0089313D">
        <w:rPr>
          <w:color w:val="000000"/>
        </w:rPr>
        <w:t xml:space="preserve">σημειώνει ότι, σύμφωνα με την έκθεση του Ελεγκτικού Συνεδρίου, ο συνολικός κίνδυνος για την αξιοπιστία των λογαριασμών των οργανισμών, όπως διαπιστώθηκε με </w:t>
      </w:r>
      <w:r w:rsidR="00D66ACE" w:rsidRPr="0089313D">
        <w:rPr>
          <w:color w:val="000000"/>
        </w:rPr>
        <w:lastRenderedPageBreak/>
        <w:t>την εφαρμογή των λογιστικών κανόνων που ενέκρινε ο υπόλογος της Επιτροπής και με βάση τα διεθνή λογιστικά πρότυπα, είναι γενικά χαμηλός, όπως ίσχυε και το 2022·</w:t>
      </w:r>
    </w:p>
    <w:p w:rsidR="00D66ACE" w:rsidRPr="0089313D" w:rsidRDefault="0089313D" w:rsidP="0089313D">
      <w:pPr>
        <w:spacing w:after="240"/>
        <w:ind w:left="567" w:hanging="573"/>
      </w:pPr>
      <w:r w:rsidRPr="0089313D">
        <w:rPr>
          <w:rFonts w:eastAsiaTheme="minorHAnsi"/>
          <w:szCs w:val="24"/>
          <w:lang w:eastAsia="en-US"/>
        </w:rPr>
        <w:t>34.</w:t>
      </w:r>
      <w:r w:rsidRPr="0089313D">
        <w:rPr>
          <w:rFonts w:eastAsiaTheme="minorHAnsi"/>
          <w:szCs w:val="24"/>
          <w:lang w:eastAsia="en-US"/>
        </w:rPr>
        <w:tab/>
      </w:r>
      <w:r w:rsidR="00D66ACE" w:rsidRPr="0089313D">
        <w:rPr>
          <w:color w:val="000000"/>
        </w:rPr>
        <w:t>υπογραμμίζει ότι το Ελεγκτικό Συνέδριο θεωρεί ότι ο συνολικός κίνδυνος για τη νομιμότητα και κανονικότητα των εσόδων στα οποία βασίζονται οι λογαριασμοί των οργανισμών είναι χαμηλός για τους περισσότερους οργανισμούς, και μέτριος για τους μερικώς αυτοχρηματοδοτούμενους οργανισμούς όπου ισχύουν ειδικοί κανονισμοί για τη συλλογή τελών και άλλων εισφορών στα έσοδα, όπως ίσχυε και το 2022·</w:t>
      </w:r>
    </w:p>
    <w:p w:rsidR="00D66ACE" w:rsidRPr="0089313D" w:rsidRDefault="0089313D" w:rsidP="0089313D">
      <w:pPr>
        <w:spacing w:after="240"/>
        <w:ind w:left="567" w:hanging="573"/>
      </w:pPr>
      <w:r w:rsidRPr="0089313D">
        <w:rPr>
          <w:rFonts w:eastAsiaTheme="minorHAnsi"/>
          <w:szCs w:val="24"/>
          <w:lang w:eastAsia="en-US"/>
        </w:rPr>
        <w:t>35.</w:t>
      </w:r>
      <w:r w:rsidRPr="0089313D">
        <w:rPr>
          <w:rFonts w:eastAsiaTheme="minorHAnsi"/>
          <w:szCs w:val="24"/>
          <w:lang w:eastAsia="en-US"/>
        </w:rPr>
        <w:tab/>
      </w:r>
      <w:r w:rsidR="00D66ACE" w:rsidRPr="0089313D">
        <w:rPr>
          <w:color w:val="000000"/>
        </w:rPr>
        <w:t>παρατηρεί ότι το Ελεγκτικό Συνέδριο θεωρεί ότι, συνολικά, ο κίνδυνος για τη νομιμότητα και κανονικότητα των πληρωμών στις οποίες βασίζονται οι λογαριασμοί των οργανισμών είναι μέτριος, με διακυμάνσεις από χαμηλό έως υψηλό κίνδυνο για συγκεκριμένους τίτλους του προϋπολογισμού· σημειώνει ότι το Ελεγκτικό Συνέδριο θεωρεί ότι ο κίνδυνος για τον τίτλο I (Δαπάνες προσωπικού) είναι γενικά χαμηλός, για τον τίτλο II (Διοικητικές δαπάνες) μέτριος, και για τον τίτλο III (Επιχειρησιακές δαπάνες) χαμηλός έως υψηλός, ανάλογα με τον εν λόγω οργανισμό και τη φύση των επιχειρησιακών δαπανών του· επισημαίνει ότι το Ελεγκτικό Συνέδριο θεωρεί ότι ο κίνδυνος για τον τίτλο ΙΙΙ είναι ο ίδιος με αυτόν του τίτλου II, αλλά δεδομένου ότι διακυβεύονται πολύ υψηλότερα ποσά στον τίτλο ΙΙΙ, ο αντίκτυπος εκτιμάται ότι είναι υψηλότερος·</w:t>
      </w:r>
    </w:p>
    <w:p w:rsidR="00D66ACE" w:rsidRPr="0089313D" w:rsidRDefault="0089313D" w:rsidP="0089313D">
      <w:pPr>
        <w:pStyle w:val="NormalHanging12a"/>
        <w:ind w:hanging="573"/>
      </w:pPr>
      <w:r w:rsidRPr="0089313D">
        <w:t>36.</w:t>
      </w:r>
      <w:r w:rsidRPr="0089313D">
        <w:tab/>
      </w:r>
      <w:r w:rsidR="00D66ACE" w:rsidRPr="0089313D">
        <w:t>εκφράζει την ανησυχία του για το γεγονός ότι το Ελεγκτικό Συνέδριο, για έκτη συνεχόμενη χρονιά, θεωρεί ότι ο κίνδυνος για τη χρηστή δημοσιονομική διαχείριση είναι μέτριος και συνδέεται κυρίως με διαδικασίες σύναψης δημόσιων συμβάσεων που δεν διασφάλιζαν τη βέλτιστη δυνατή οικονομική αποδοτικότητα·</w:t>
      </w:r>
    </w:p>
    <w:p w:rsidR="00D66ACE" w:rsidRPr="0089313D" w:rsidRDefault="0089313D" w:rsidP="0089313D">
      <w:pPr>
        <w:spacing w:after="240"/>
        <w:ind w:left="567" w:hanging="573"/>
        <w:rPr>
          <w:color w:val="000000"/>
        </w:rPr>
      </w:pPr>
      <w:r w:rsidRPr="0089313D">
        <w:rPr>
          <w:rFonts w:eastAsiaTheme="minorHAnsi"/>
          <w:color w:val="000000"/>
          <w:szCs w:val="24"/>
          <w:lang w:eastAsia="en-US"/>
        </w:rPr>
        <w:t>37.</w:t>
      </w:r>
      <w:r w:rsidRPr="0089313D">
        <w:rPr>
          <w:rFonts w:eastAsiaTheme="minorHAnsi"/>
          <w:color w:val="000000"/>
          <w:szCs w:val="24"/>
          <w:lang w:eastAsia="en-US"/>
        </w:rPr>
        <w:tab/>
      </w:r>
      <w:r w:rsidR="00D66ACE" w:rsidRPr="0089313D">
        <w:rPr>
          <w:color w:val="000000"/>
        </w:rPr>
        <w:t>σημειώνει ότι το Ελεγκτικό Συνέδριο θεωρεί ότι ο κίνδυνος για τη διαχείριση του προϋπολογισμού είναι χαμηλός, με τον έλεγχο του Ελεγκτικού Συνεδρίου να καταδεικνύει υψηλό ποσοστό μεταφορών πιστώσεων που έχουν αναληφθεί·</w:t>
      </w:r>
    </w:p>
    <w:p w:rsidR="00D66ACE" w:rsidRPr="0089313D" w:rsidRDefault="0089313D" w:rsidP="0089313D">
      <w:pPr>
        <w:spacing w:after="240"/>
        <w:ind w:left="567" w:hanging="573"/>
        <w:rPr>
          <w:color w:val="000000"/>
        </w:rPr>
      </w:pPr>
      <w:r w:rsidRPr="0089313D">
        <w:rPr>
          <w:rFonts w:eastAsiaTheme="minorHAnsi"/>
          <w:color w:val="000000"/>
          <w:szCs w:val="24"/>
          <w:lang w:eastAsia="en-US"/>
        </w:rPr>
        <w:t>38.</w:t>
      </w:r>
      <w:r w:rsidRPr="0089313D">
        <w:rPr>
          <w:rFonts w:eastAsiaTheme="minorHAnsi"/>
          <w:color w:val="000000"/>
          <w:szCs w:val="24"/>
          <w:lang w:eastAsia="en-US"/>
        </w:rPr>
        <w:tab/>
      </w:r>
      <w:r w:rsidR="00D66ACE" w:rsidRPr="0089313D">
        <w:rPr>
          <w:color w:val="000000"/>
        </w:rPr>
        <w:t xml:space="preserve">σημειώνει ότι, σύμφωνα με την έκθεση του Ελεγκτικού Συνεδρίου, τα κυριότερα ζητήματα σε όλους τους οργανισμούς ήταν τα εξής: i) αδυναμίες στη σύναψη δημόσιων συμβάσεων, οι οποίες παρέμειναν η μεγαλύτερη πηγή παράτυπων πληρωμών </w:t>
      </w:r>
      <w:proofErr w:type="spellStart"/>
      <w:r w:rsidR="00D66ACE" w:rsidRPr="0089313D">
        <w:rPr>
          <w:color w:val="000000"/>
        </w:rPr>
        <w:t>ii</w:t>
      </w:r>
      <w:proofErr w:type="spellEnd"/>
      <w:r w:rsidR="00D66ACE" w:rsidRPr="0089313D">
        <w:rPr>
          <w:color w:val="000000"/>
        </w:rPr>
        <w:t xml:space="preserve">) προκλήσεις όσον αφορά τη δημοσιονομική διαχείριση, όπως οι υπερβολικές μεταφορές πιστώσεων και οι καθυστερήσεις πληρωμών· </w:t>
      </w:r>
      <w:proofErr w:type="spellStart"/>
      <w:r w:rsidR="00D66ACE" w:rsidRPr="0089313D">
        <w:rPr>
          <w:color w:val="000000"/>
        </w:rPr>
        <w:t>iii</w:t>
      </w:r>
      <w:proofErr w:type="spellEnd"/>
      <w:r w:rsidR="00D66ACE" w:rsidRPr="0089313D">
        <w:rPr>
          <w:color w:val="000000"/>
        </w:rPr>
        <w:t>) αδυναμίες του εσωτερικού ελέγχου, ιδίως όσον αφορά τη διασφάλιση της συμμόρφωσης με τους δημοσιονομικούς κανονισμούς και τις διαδικαστικές κατευθυντήριες γραμμές·</w:t>
      </w:r>
    </w:p>
    <w:p w:rsidR="00D66ACE" w:rsidRPr="0089313D" w:rsidRDefault="00D66ACE" w:rsidP="00D66ACE">
      <w:pPr>
        <w:spacing w:after="240"/>
        <w:ind w:left="567" w:hanging="567"/>
        <w:rPr>
          <w:b/>
          <w:i/>
        </w:rPr>
      </w:pPr>
      <w:r w:rsidRPr="0089313D">
        <w:rPr>
          <w:b/>
          <w:i/>
        </w:rPr>
        <w:t>Επισκόπηση των αποτελεσμάτων του ελέγχου</w:t>
      </w:r>
    </w:p>
    <w:p w:rsidR="00D66ACE" w:rsidRPr="0089313D" w:rsidRDefault="0089313D" w:rsidP="0089313D">
      <w:pPr>
        <w:spacing w:after="240"/>
        <w:ind w:left="567" w:hanging="573"/>
      </w:pPr>
      <w:r w:rsidRPr="0089313D">
        <w:rPr>
          <w:rFonts w:eastAsiaTheme="minorHAnsi"/>
          <w:szCs w:val="24"/>
          <w:lang w:eastAsia="en-US"/>
        </w:rPr>
        <w:t>39.</w:t>
      </w:r>
      <w:r w:rsidRPr="0089313D">
        <w:rPr>
          <w:rFonts w:eastAsiaTheme="minorHAnsi"/>
          <w:szCs w:val="24"/>
          <w:lang w:eastAsia="en-US"/>
        </w:rPr>
        <w:tab/>
      </w:r>
      <w:r w:rsidR="00D66ACE" w:rsidRPr="0089313D">
        <w:t>σημειώνει ότι το Ελεγκτικό Συνέδριο εξέδωσε ελεγκτική γνώμη χωρίς επιφύλαξη σχετικά με την αξιοπιστία των λογαριασμών όλων των οργανισμών· σημειώνει ότι το Ελεγκτικό Συνέδριο διατύπωσε γνώμη χωρίς επιφύλαξη σχετικά με τη νομιμότητα και κανονικότητα των εσόδων στα οποία βασίζονται οι λογαριασμοί για όλους τους οργανισμούς· παρατηρεί, ωστόσο, ότι, ενώ για τους περισσότερους οργανισμούς εκδόθηκε γνώμη χωρίς επιφύλαξη σχετικά με τη νομιμότητα και κανονικότητα των πληρωμών στις οποίες βασίζονται οι λογαριασμοί, διαπιστώθηκαν εξαιρέσεις για τέσσερις οργανισμούς: το Ευρωπαϊκό Ινστιτούτο Καινοτομίας και Τεχνολογίας (ΕΙΤ), η Ευρωπαϊκή Αρχή Εργασίας (ELA), ο Οργανισμός της Ευρωπαϊκής Ένωσης για την Κυβερνοασφάλεια (ENISA) και ο Οργανισμός της Ευρωπαϊκής Ένωσης για τη Λειτουργική Διαχείριση Συστημάτων ΤΠ Μεγάλης Κλίμακας (eu-LISA)·</w:t>
      </w:r>
    </w:p>
    <w:p w:rsidR="00D66ACE" w:rsidRPr="0089313D" w:rsidRDefault="0089313D" w:rsidP="0089313D">
      <w:pPr>
        <w:spacing w:after="240"/>
        <w:ind w:left="567" w:hanging="573"/>
      </w:pPr>
      <w:r w:rsidRPr="0089313D">
        <w:rPr>
          <w:rFonts w:eastAsiaTheme="minorHAnsi"/>
          <w:szCs w:val="24"/>
          <w:lang w:eastAsia="en-US"/>
        </w:rPr>
        <w:lastRenderedPageBreak/>
        <w:t>40.</w:t>
      </w:r>
      <w:r w:rsidRPr="0089313D">
        <w:rPr>
          <w:rFonts w:eastAsiaTheme="minorHAnsi"/>
          <w:szCs w:val="24"/>
          <w:lang w:eastAsia="en-US"/>
        </w:rPr>
        <w:tab/>
      </w:r>
      <w:r w:rsidR="00D66ACE" w:rsidRPr="0089313D">
        <w:t>παρατηρεί ότι, όσον αφορά το ΕΙΤ, η επιφύλαξη αφορά παράτυπες πληρωμές επιχορηγήσεων, στο πλαίσιο των οποίων το ΕΙΤ διενήργησε εκ των υστέρων επαλήθευση σε δείγμα 174 στοιχείων κόστους· σημειώνει ότι το ΕΙΤ απέρριψε δαπάνες που σχετίζονται με 27 στοιχεία κόστους και ότι το Ελεγκτικό Συνέδριο εντόπισε τρία πρόσθετα στοιχεία κόστους για τα οποία το ΕΙΤ δεν ήταν σε θέση να παράσχει στοιχεία που να αποδεικνύουν ότι οι δικαιούχοι πληρούσαν τις βασικές προϋποθέσεις της συμφωνίας επιχορήγησης, με αποτέλεσμα εκτιμώμενο συνολικό ποσό 12,2 εκατομμυρίων EUR σε παράτυπες πληρωμές επιχορηγήσεων, ποσό που αντιστοιχεί σε εκτιμώμενο ποσοστό σφάλματος 3,4 %· σημειώνει ότι το ΕΙΤ αμφισβητεί ένα από τα σφάλματα που ανέφερε το Ελεγκτικό Συνέδριο, το οποίο επηρεάζει τρία στοιχεία κόστους, τα οποία, κατά τη γνώμη του, είναι επιλέξιμα· σημειώνει περαιτέρω ότι, σύμφωνα με το ΕΙΤ, εάν δεν συνέτρεχε η εν λόγω περίπτωση, το εκτιμώμενο ποσοστό σφάλματος που αναφέρει το Ελεγκτικό Συνέδριο θα ήταν χαμηλότερο από το όριο σημαντικότητας του 2 %, και ως εκ τούτου θα διατυπωνόταν ελεγκτική γνώμη χωρίς επιφύλαξη σχετικά με τη νομιμότητα και κανονικότητα των πληρωμών του ΕΙΤ.·</w:t>
      </w:r>
    </w:p>
    <w:p w:rsidR="00D66ACE" w:rsidRPr="0089313D" w:rsidRDefault="0089313D" w:rsidP="0089313D">
      <w:pPr>
        <w:pStyle w:val="NormalHanging12a"/>
        <w:ind w:hanging="573"/>
      </w:pPr>
      <w:r w:rsidRPr="0089313D">
        <w:t>41.</w:t>
      </w:r>
      <w:r w:rsidRPr="0089313D">
        <w:tab/>
      </w:r>
      <w:r w:rsidR="00D66ACE" w:rsidRPr="0089313D">
        <w:t>εκφράζει τη λύπη του για το γεγονός ότι, όσον αφορά την ELA, η επιφύλαξη αφορά πληρωμές ύψους 1,6 εκατομμυρίων EUR το 2023, ποσό που αντιστοιχεί στο 3,8 % των συνολικών διαθέσιμων πιστώσεων πληρωμών· σημειώνει ότι το ποσό αυτό περιλαμβάνει 1,3 εκατομμύρια EUR που σχετίζονται με σύμβαση που κρίθηκε παράτυπη στην έκθεση ελέγχου του 2022 λόγω του ότι η ανατεθείσα αξία υπερβαίνει το καθορισμένο ανώτατο όριο της σύμβασης, και 0,3 εκατομμύρια EUR που συνδέονται με ελλείψεις στους εκ των προτέρων ελέγχους σχετικά με την εκτέλεση των συμβάσεων· λαμβάνει υπό σημείωση την απάντηση της ELA που εξηγεί ότι η παράτυπη σύμβαση έληξε τον Φεβρουάριο του 2024 και αντικαταστάθηκε από νέα συμφωνία-πλαίσιο που θεσπίστηκε τον Νοέμβριο του 2023· έχει επίγνωση της απόφασης της ELA να συνεχίσει προσωρινά την παράτυπη σύμβαση για τον μετριασμό των κινδύνων, την προστασία της φήμης της και τη διασφάλιση αδιάλειπτης παροχής υπηρεσιών, η οποία της επιτρέπει να διατηρεί συνεκτικές δραστηριότητες και να εκπληρώνει τις προγραμματισμένες δραστηριότητες έως ότου τεθεί σε ισχύ η νέα συμφωνία·</w:t>
      </w:r>
    </w:p>
    <w:p w:rsidR="00D66ACE" w:rsidRPr="0089313D" w:rsidRDefault="0089313D" w:rsidP="0089313D">
      <w:pPr>
        <w:spacing w:after="240"/>
        <w:ind w:left="567" w:hanging="573"/>
      </w:pPr>
      <w:r w:rsidRPr="0089313D">
        <w:rPr>
          <w:rFonts w:eastAsiaTheme="minorHAnsi"/>
          <w:szCs w:val="24"/>
          <w:lang w:eastAsia="en-US"/>
        </w:rPr>
        <w:t>42.</w:t>
      </w:r>
      <w:r w:rsidRPr="0089313D">
        <w:rPr>
          <w:rFonts w:eastAsiaTheme="minorHAnsi"/>
          <w:szCs w:val="24"/>
          <w:lang w:eastAsia="en-US"/>
        </w:rPr>
        <w:tab/>
      </w:r>
      <w:r w:rsidR="00D66ACE" w:rsidRPr="0089313D">
        <w:t>σημειώνει ότι, όσον αφορά τον ENISA, η επιφύλαξη αφορά παράτυπες πληρωμές ύψους 1,8 εκατομμυρίων EUR που πραγματοποιήθηκαν το 2023, ποσό που αντιστοιχεί στο 4,1 % των συνολικών πιστώσεων πληρωμών που ήταν διαθέσιμες το 2023· υπενθυμίζει ότι, τον Αύγουστο του 2022, ο ENISA έλαβε επιπλέον 15 εκατομμύρια EUR από τον προϋπολογισμό του για την παροχή ενισχυμένης στήριξης στον τομέα της κυβερνοασφάλειας στα κράτη μέλη μετά την εισβολή της Ρωσίας στην Ουκρανία· σημειώνει περαιτέρω ότι, τον Σεπτέμβριο του 2022, ο ENISA κίνησε διαδικασία σύναψης συμβάσεων με 28 παρτίδες και στη συνέχεια υπέγραψε 28 χωριστές συμβάσεις-πλαίσια αξίας 14,4 εκατομμυρίων EUR· γνωρίζει ότι, στις αρχές του 2023, το διοικητικό συμβούλιο εισήγαγε εξαίρεση για προσωρινή παρέκκλιση από τους δημοσιονομικούς κανονισμούς του προκειμένου να ανταποκριθεί στα αναθεωρημένα αιτήματα στήριξης της κυβερνοασφάλειας από τα κράτη μέλη· σημειώνει ότι, σύμφωνα με την απάντηση του ENISA, η απόφαση του διοικητικού συμβουλίου συνιστούσε εξαίρεση (περιορισμένης χρονικής διάρκειας και εμβέλειας) για την αντιμετώπιση μιας ιδιαίτερης έκτακτης κατάστασης σε ένα εξαιρετικά δύσκολο διεθνές πλαίσιο· σημειώνει ότι η εξαίρεση αυτή καταχωρίστηκε δεόντως σύμφωνα με την εφαρμογή του πλαισίου εσωτερικού ελέγχου του ENISA και αναφέρθηκε αντίστοιχα στην ενοποιημένη ετήσια έκθεση δραστηριοτήτων του 2023·</w:t>
      </w:r>
    </w:p>
    <w:p w:rsidR="00D66ACE" w:rsidRPr="0089313D" w:rsidRDefault="0089313D" w:rsidP="0089313D">
      <w:pPr>
        <w:spacing w:after="240"/>
        <w:ind w:left="567" w:hanging="573"/>
      </w:pPr>
      <w:r w:rsidRPr="0089313D">
        <w:rPr>
          <w:rFonts w:eastAsiaTheme="minorHAnsi"/>
          <w:szCs w:val="24"/>
          <w:lang w:eastAsia="en-US"/>
        </w:rPr>
        <w:lastRenderedPageBreak/>
        <w:t>43.</w:t>
      </w:r>
      <w:r w:rsidRPr="0089313D">
        <w:rPr>
          <w:rFonts w:eastAsiaTheme="minorHAnsi"/>
          <w:szCs w:val="24"/>
          <w:lang w:eastAsia="en-US"/>
        </w:rPr>
        <w:tab/>
      </w:r>
      <w:r w:rsidR="00D66ACE" w:rsidRPr="0089313D">
        <w:t>παρατηρεί ότι, όσον αφορά τον eu-LISA, η επιφύλαξη αφορά παράτυπες πληρωμές συνολικού ύψους 12,6 εκατομμυρίων EUR που πραγματοποιήθηκαν το 2023, ποσό που αντιστοιχεί στο 3,2 % των συνολικών διαθέσιμων πιστώσεων πληρωμών, συμπεριλαμβανομένων 2,7 εκατομμυρίων EUR για συμβάσεις που ελέγχθηκαν το 2023 και 9,9 εκατομμυρίων EUR για συμβάσεις που κρίθηκαν παράτυπες στην έκθεση ελέγχου του 2022·</w:t>
      </w:r>
    </w:p>
    <w:p w:rsidR="00D66ACE" w:rsidRPr="0089313D" w:rsidRDefault="0089313D" w:rsidP="0089313D">
      <w:pPr>
        <w:spacing w:after="240"/>
        <w:ind w:left="567" w:hanging="573"/>
      </w:pPr>
      <w:r w:rsidRPr="0089313D">
        <w:rPr>
          <w:rFonts w:eastAsiaTheme="minorHAnsi"/>
          <w:szCs w:val="24"/>
          <w:lang w:eastAsia="en-US"/>
        </w:rPr>
        <w:t>44.</w:t>
      </w:r>
      <w:r w:rsidRPr="0089313D">
        <w:rPr>
          <w:rFonts w:eastAsiaTheme="minorHAnsi"/>
          <w:szCs w:val="24"/>
          <w:lang w:eastAsia="en-US"/>
        </w:rPr>
        <w:tab/>
      </w:r>
      <w:r w:rsidR="00D66ACE" w:rsidRPr="0089313D">
        <w:t>σημειώνει με ανησυχία την επανάληψη γνώμης με επιφύλαξη σχετικά με τη νομιμότητα και κανονικότητα των πληρωμών του eu-LISA, η οποία αντικατοπτρίζει επίμονα ζητήματα που έθεσε το Ελεγκτικό Συνέδριο σε προηγούμενες εκθέσεις από το 2020· σημειώνει την παρατήρηση του Ελεγκτικού Συνεδρίου ότι οι περισσότερες συμβάσεις που περιείχαν σφάλματα είτε έληξαν είτε καταγγέλθηκαν από τον eu-LISA το 2023·</w:t>
      </w:r>
    </w:p>
    <w:p w:rsidR="00D66ACE" w:rsidRPr="0089313D" w:rsidRDefault="0089313D" w:rsidP="0089313D">
      <w:pPr>
        <w:spacing w:after="240"/>
        <w:ind w:left="567" w:hanging="573"/>
      </w:pPr>
      <w:r w:rsidRPr="0089313D">
        <w:rPr>
          <w:rFonts w:eastAsiaTheme="minorHAnsi"/>
          <w:szCs w:val="24"/>
          <w:lang w:eastAsia="en-US"/>
        </w:rPr>
        <w:t>45.</w:t>
      </w:r>
      <w:r w:rsidRPr="0089313D">
        <w:rPr>
          <w:rFonts w:eastAsiaTheme="minorHAnsi"/>
          <w:szCs w:val="24"/>
          <w:lang w:eastAsia="en-US"/>
        </w:rPr>
        <w:tab/>
      </w:r>
      <w:r w:rsidR="00D66ACE" w:rsidRPr="0089313D">
        <w:t>παρατηρεί ότι η βάση για την έκδοση γνώμης με επιφύλαξη (eu-LISA) το 2023 περιλάμβανε τις ακόλουθες παρατυπίες:</w:t>
      </w:r>
    </w:p>
    <w:p w:rsidR="00D66ACE" w:rsidRPr="0089313D" w:rsidRDefault="00D66ACE" w:rsidP="00D66ACE">
      <w:pPr>
        <w:spacing w:after="240"/>
        <w:ind w:left="1134" w:hanging="567"/>
      </w:pPr>
      <w:r w:rsidRPr="0089313D">
        <w:t>–</w:t>
      </w:r>
      <w:r w:rsidRPr="0089313D">
        <w:tab/>
        <w:t>παρατυπία της σύμβασης-πλαισίου: σημειώνει ότι ο eu-LISA επέφερε σημαντικές αλλαγές σε ορισμένα στοιχεία τιμολόγησης των οικονομικών προσφορών δύο προσφερόντων, πέραν των διορθώσεων που επιτρέπονται βάσει του άρθρου 151 του δημοσιονομικού κανονισμού, οι οποίες επηρέασαν άμεσα το αποτέλεσμα της προσφοράς, με σχετικές πληρωμές συνολικού ύψους 2,7 εκατομμυρίων EUR το 2023·</w:t>
      </w:r>
    </w:p>
    <w:p w:rsidR="00D66ACE" w:rsidRPr="0089313D" w:rsidRDefault="00D66ACE" w:rsidP="00D66ACE">
      <w:pPr>
        <w:spacing w:after="240"/>
        <w:ind w:left="1134" w:hanging="567"/>
      </w:pPr>
      <w:r w:rsidRPr="0089313D">
        <w:t>–</w:t>
      </w:r>
      <w:r w:rsidRPr="0089313D">
        <w:tab/>
        <w:t>αδικαιολόγητη διαδικασία με διαπραγμάτευση: σημειώνει περαιτέρω την παράτυπη πληρωμή ύψους 7,7 εκατομμυρίων EUR που συνδέεται με σύμβαση-πλαίσιο που ανατέθηκε μέσω διαδικασίας με διαπραγμάτευση χωρίς κατάλληλη αιτιολόγηση, κατά παράβαση των προτύπων σύναψης συμβάσεων·</w:t>
      </w:r>
    </w:p>
    <w:p w:rsidR="00D66ACE" w:rsidRPr="0089313D" w:rsidRDefault="00D66ACE" w:rsidP="00D66ACE">
      <w:pPr>
        <w:spacing w:after="240"/>
        <w:ind w:left="1134" w:hanging="567"/>
      </w:pPr>
      <w:r w:rsidRPr="0089313D">
        <w:t>–</w:t>
      </w:r>
      <w:r w:rsidRPr="0089313D">
        <w:tab/>
        <w:t>μη εγκεκριμένη τροποποίηση σύμβασης: παρατηρεί ότι πληρωμές ύψους 1,8</w:t>
      </w:r>
      <w:r w:rsidR="00903C32" w:rsidRPr="0089313D">
        <w:t> </w:t>
      </w:r>
      <w:r w:rsidRPr="0089313D">
        <w:t>εκατομμυρίων EUR ταξινομήθηκαν ως παράτυπες μετά από μη εγκεκριμένη τροποποίηση που αύξησε την αξία μιας σύμβασης σταθερής τιμής κατά 3,6</w:t>
      </w:r>
      <w:r w:rsidR="00903C32" w:rsidRPr="0089313D">
        <w:t> </w:t>
      </w:r>
      <w:r w:rsidRPr="0089313D">
        <w:t>εκατομμύρια EUR·</w:t>
      </w:r>
    </w:p>
    <w:p w:rsidR="00D66ACE" w:rsidRPr="0089313D" w:rsidRDefault="00D66ACE" w:rsidP="00D66ACE">
      <w:pPr>
        <w:spacing w:after="240"/>
        <w:ind w:left="1134" w:hanging="567"/>
      </w:pPr>
      <w:r w:rsidRPr="0089313D">
        <w:t>–</w:t>
      </w:r>
      <w:r w:rsidRPr="0089313D">
        <w:tab/>
        <w:t>μη συμμόρφωση με τους όρους της σύμβασης-πλαισίου: σημειώνει με ανησυχία ότι οι πληρωμές της σύμβασης-πλαισίου για τη συντήρηση κοινών υποδομών συνολικού ύψους 0,4 εκατομμυρίων EUR ήταν παράτυπες, καθώς η ειδική σύμβαση παρέκκλινε από τη σύμβαση-πλαίσιο·</w:t>
      </w:r>
    </w:p>
    <w:p w:rsidR="00D66ACE" w:rsidRPr="0089313D" w:rsidRDefault="0089313D" w:rsidP="0089313D">
      <w:pPr>
        <w:pStyle w:val="NormalHanging12a"/>
        <w:ind w:hanging="573"/>
      </w:pPr>
      <w:r w:rsidRPr="0089313D">
        <w:t>46.</w:t>
      </w:r>
      <w:r w:rsidRPr="0089313D">
        <w:tab/>
      </w:r>
      <w:r w:rsidR="00D66ACE" w:rsidRPr="0089313D">
        <w:t>εκφράζει τη βαθιά του ανησυχία για την επανάληψη των ζητημάτων σύναψης συμβάσεων που οδηγούν σε γνώμη με επιφύλαξη για τέταρτο κατά σειρά έτος και παροτρύνει τον eu-LISA να λάβει άμεσα διορθωτικά μέτρα για την αντιμετώπιση και την πρόληψη αυτών των προβλημάτων στις μελλοντικές πρακτικές δημοσιονομικής διαχείρισης και σύναψης συμβάσεων, διασφαλίζοντας την πλήρη συμμόρφωση με τον δημοσιονομικό κανονισμό· ζητεί να ενημερωθεί το Ευρωπαϊκό Κοινοβούλιο σχετικά με την εν λόγω πρόοδο πριν από τις 30 Ιουνίου 2025·</w:t>
      </w:r>
    </w:p>
    <w:p w:rsidR="00D66ACE" w:rsidRPr="0089313D" w:rsidRDefault="0089313D" w:rsidP="0089313D">
      <w:pPr>
        <w:pStyle w:val="NormalHanging12a"/>
        <w:ind w:hanging="573"/>
      </w:pPr>
      <w:r w:rsidRPr="0089313D">
        <w:t>47.</w:t>
      </w:r>
      <w:r w:rsidRPr="0089313D">
        <w:tab/>
      </w:r>
      <w:r w:rsidR="00D66ACE" w:rsidRPr="0089313D">
        <w:t>εκφράζει την ικανοποίησή του για το γεγονός ότι το Ελεγκτικό Συνέδριο, κατά τη διάρκεια της ακρόασης</w:t>
      </w:r>
      <w:r w:rsidR="00D66ACE" w:rsidRPr="0089313D">
        <w:rPr>
          <w:vertAlign w:val="superscript"/>
        </w:rPr>
        <w:footnoteReference w:id="413"/>
      </w:r>
      <w:r w:rsidR="00D66ACE" w:rsidRPr="0089313D">
        <w:t xml:space="preserve">, αναγνώρισε ότι, παρά τη γνώμη που εκδόθηκε για το 2023 (eu-LISA), οι διαπιστωθείσες αστοχίες αντιμετωπίζονται και έχουν σημειωθεί </w:t>
      </w:r>
      <w:r w:rsidR="00D66ACE" w:rsidRPr="0089313D">
        <w:lastRenderedPageBreak/>
        <w:t>βελτιώσεις·</w:t>
      </w:r>
    </w:p>
    <w:p w:rsidR="00D66ACE" w:rsidRPr="0089313D" w:rsidRDefault="0089313D" w:rsidP="0089313D">
      <w:pPr>
        <w:spacing w:after="240"/>
        <w:ind w:left="567" w:hanging="573"/>
      </w:pPr>
      <w:r w:rsidRPr="0089313D">
        <w:rPr>
          <w:rFonts w:eastAsiaTheme="minorHAnsi"/>
          <w:szCs w:val="24"/>
          <w:lang w:eastAsia="en-US"/>
        </w:rPr>
        <w:t>48.</w:t>
      </w:r>
      <w:r w:rsidRPr="0089313D">
        <w:rPr>
          <w:rFonts w:eastAsiaTheme="minorHAnsi"/>
          <w:szCs w:val="24"/>
          <w:lang w:eastAsia="en-US"/>
        </w:rPr>
        <w:tab/>
      </w:r>
      <w:r w:rsidR="00D66ACE" w:rsidRPr="0089313D">
        <w:t>επιμένει ότι, παρόλο που ο δημοσιονομικός κανονισμός δεν καθορίζει ανώτατα όρια για τις μεταφορές πιστώσεων, τα επαναλαμβανόμενα και υπερβολικά επίπεδα μεταφορών υπονομεύουν την αρχή της ετήσιας διάρκειας του προϋπολογισμού και είναι ενδεικτικά διαρθρωτικών ζητημάτων στη διαδικασία και τον κύκλο εκτέλεσης του προϋπολογισμού· σημειώνει ότι σε 14 οργανισμούς (ENISA, Eurofound, EIGE, eu-LISA, EMA, EUSPA, ELA, FRA, EFCA, ECDC, EU-OSHA, ACER, Frontex και ESA) το επίπεδο των μεταφορών πιστώσεων που επηρεάζουν όλους τους τίτλους του προϋπολογισμού είναι υψηλότερο από 15 %· σημειώνει ότι, στην περίπτωση του Frontex και του ESA, οι μεταφορές πιστώσεων υπερβαίνουν το 40 % και το 50 % αντίστοιχα·</w:t>
      </w:r>
    </w:p>
    <w:p w:rsidR="00D66ACE" w:rsidRPr="0089313D" w:rsidRDefault="0089313D" w:rsidP="0089313D">
      <w:pPr>
        <w:spacing w:after="240"/>
        <w:ind w:left="567" w:hanging="573"/>
      </w:pPr>
      <w:r w:rsidRPr="0089313D">
        <w:rPr>
          <w:rFonts w:eastAsiaTheme="minorHAnsi"/>
          <w:szCs w:val="24"/>
          <w:lang w:eastAsia="en-US"/>
        </w:rPr>
        <w:t>49.</w:t>
      </w:r>
      <w:r w:rsidRPr="0089313D">
        <w:rPr>
          <w:rFonts w:eastAsiaTheme="minorHAnsi"/>
          <w:szCs w:val="24"/>
          <w:lang w:eastAsia="en-US"/>
        </w:rPr>
        <w:tab/>
      </w:r>
      <w:r w:rsidR="00D66ACE" w:rsidRPr="0089313D">
        <w:t>υπενθυμίζει ότι το κανονιστικό πλαίσιο επιβάλλει στους οργανισμούς να πραγματοποιούν πληρωμές εντός συγκεκριμένων προθεσμιών· σημειώνει ότι οποιαδήποτε μη τήρηση των εν λόγω προθεσμιών μπορεί να έχει ως αποτέλεσμα να δικαιούνται οι πιστωτές τόκους υπερημερίας· παρατηρεί ότι, για το έτος 2023, το Ελεγκτικό Συνέδριο αναφέρει ότι, ενώ το συνολικό ποσό των τόκων υπερημερίας θεωρήθηκε ασήμαντο, αξίζει να σημειωθεί ότι εννέα οργανισμοί (ACER, ECDC, EEA, EUDA, ENISA, ERA, EU-OSHA, Eurojust και Frontex) συχνά δεν τήρησαν τις προθεσμίες πληρωμής τους· ζητεί από τους εν λόγω οργανισμούς να διασφαλίσουν την τήρηση των νόμιμων προθεσμιών για τις πληρωμές· επισημαίνει ότι, παρόλο που το ποσό των τόκων υπερημερίας ήταν μικρό, η υψηλή συχνότητα των καθυστερημένων πληρωμών μπορεί να επηρεάσει αρνητικά τη φήμη των οργανισμών·</w:t>
      </w:r>
    </w:p>
    <w:p w:rsidR="00D66ACE" w:rsidRPr="0089313D" w:rsidRDefault="0089313D" w:rsidP="0089313D">
      <w:pPr>
        <w:spacing w:after="240"/>
        <w:ind w:left="567" w:hanging="573"/>
      </w:pPr>
      <w:r w:rsidRPr="0089313D">
        <w:rPr>
          <w:rFonts w:eastAsiaTheme="minorHAnsi"/>
          <w:szCs w:val="24"/>
          <w:lang w:eastAsia="en-US"/>
        </w:rPr>
        <w:t>50.</w:t>
      </w:r>
      <w:r w:rsidRPr="0089313D">
        <w:rPr>
          <w:rFonts w:eastAsiaTheme="minorHAnsi"/>
          <w:szCs w:val="24"/>
          <w:lang w:eastAsia="en-US"/>
        </w:rPr>
        <w:tab/>
      </w:r>
      <w:r w:rsidR="00D66ACE" w:rsidRPr="0089313D">
        <w:t>επισημαίνει ότι το Ελεγκτικό Συνέδριο εξέδωσε ενότητα περί επισήμανσης ειδικού θέματος για να υπογραμμίσει ένα ζήτημα που παρουσιάζεται ή γνωστοποιείται στους λογαριασμούς, το οποίο είναι τόσο σημαντικό ώστε να είναι θεμελιώδους σημασίας για την κατανόηση των λογαριασμών ή των υποκείμενων εσόδων ή πληρωμών· σημειώνει περαιτέρω ότι, για το οικονομικό έτος 2023, το Ελεγκτικό Συνέδριο χρησιμοποίησε την ενότητα περί επισήμανσης ειδικού θέματος για τους ακόλουθους οργανισμούς που αποτελούν μέρος του παρόντος ψηφίσματος: CdT, ΕΑΤ, EIT, EMA, ERA, ESMA, Eurojust, eu-LISA και Frontex·</w:t>
      </w:r>
    </w:p>
    <w:p w:rsidR="00D66ACE" w:rsidRPr="0089313D" w:rsidRDefault="0089313D" w:rsidP="0089313D">
      <w:pPr>
        <w:spacing w:after="240"/>
        <w:ind w:left="567" w:hanging="573"/>
      </w:pPr>
      <w:r w:rsidRPr="0089313D">
        <w:rPr>
          <w:rFonts w:eastAsiaTheme="minorHAnsi"/>
          <w:szCs w:val="24"/>
          <w:lang w:eastAsia="en-US"/>
        </w:rPr>
        <w:t>51.</w:t>
      </w:r>
      <w:r w:rsidRPr="0089313D">
        <w:rPr>
          <w:rFonts w:eastAsiaTheme="minorHAnsi"/>
          <w:szCs w:val="24"/>
          <w:lang w:eastAsia="en-US"/>
        </w:rPr>
        <w:tab/>
      </w:r>
      <w:r w:rsidR="00D66ACE" w:rsidRPr="0089313D">
        <w:t xml:space="preserve">υπενθυμίζει ότι το </w:t>
      </w:r>
      <w:proofErr w:type="spellStart"/>
      <w:r w:rsidR="00D66ACE" w:rsidRPr="0089313D">
        <w:t>CdT</w:t>
      </w:r>
      <w:proofErr w:type="spellEnd"/>
      <w:r w:rsidR="00D66ACE" w:rsidRPr="0089313D">
        <w:t xml:space="preserve"> παρέχει πληροφορίες στις οικονομικές καταστάσεις του σχετικά με τη μείωση των λειτουργικών εσόδων, η οποία έχει επηρεάσει αρνητικά το οικονομικό του αποτέλεσμα·</w:t>
      </w:r>
    </w:p>
    <w:p w:rsidR="00D66ACE" w:rsidRPr="0089313D" w:rsidRDefault="0089313D" w:rsidP="0089313D">
      <w:pPr>
        <w:spacing w:after="240"/>
        <w:ind w:left="567" w:hanging="573"/>
      </w:pPr>
      <w:r w:rsidRPr="0089313D">
        <w:rPr>
          <w:rFonts w:eastAsiaTheme="minorHAnsi"/>
          <w:szCs w:val="24"/>
          <w:lang w:eastAsia="en-US"/>
        </w:rPr>
        <w:t>52.</w:t>
      </w:r>
      <w:r w:rsidRPr="0089313D">
        <w:rPr>
          <w:rFonts w:eastAsiaTheme="minorHAnsi"/>
          <w:szCs w:val="24"/>
          <w:lang w:eastAsia="en-US"/>
        </w:rPr>
        <w:tab/>
      </w:r>
      <w:r w:rsidR="00D66ACE" w:rsidRPr="0089313D">
        <w:t>εφιστά την προσοχή στις γνωστοποιήσεις στους ετήσιους λογαριασμούς του ERA και της Eurojust σχετικά με την εφαρμογή του SUMMA</w:t>
      </w:r>
      <w:r w:rsidR="00D66ACE" w:rsidRPr="0089313D">
        <w:rPr>
          <w:rStyle w:val="FootnoteReference"/>
        </w:rPr>
        <w:footnoteReference w:id="414"/>
      </w:r>
      <w:r w:rsidR="00D66ACE" w:rsidRPr="0089313D">
        <w:t>· σημειώνει ότι, καθ’ όλη τη διάρκεια του 2023, τα τεχνικά ζητήματα συνέχισαν να συμβάλλουν στην αύξηση των καθυστερήσεων πληρωμών (50% το 2023) και των περιπτώσεων μη συμμόρφωσης από τη Eurojust·</w:t>
      </w:r>
      <w:r w:rsidR="00D66ACE" w:rsidRPr="0089313D">
        <w:rPr>
          <w:rFonts w:ascii="Segoe UI" w:hAnsi="Segoe UI"/>
          <w:color w:val="101010"/>
          <w:sz w:val="20"/>
        </w:rPr>
        <w:t xml:space="preserve"> </w:t>
      </w:r>
      <w:r w:rsidR="00D66ACE" w:rsidRPr="0089313D">
        <w:t>σημειώνει ότι ο ERA αντιμετώπισε τεχνικά προβλήματα κατά τη διάρκεια του πρώτου τριμήνου, αν και πραγματοποιήθηκαν σημαντικές βελτιώσεις σε σύγκριση με το 2022·</w:t>
      </w:r>
    </w:p>
    <w:p w:rsidR="00D66ACE" w:rsidRPr="0089313D" w:rsidRDefault="0089313D" w:rsidP="0089313D">
      <w:pPr>
        <w:spacing w:after="240"/>
        <w:ind w:left="567" w:hanging="573"/>
      </w:pPr>
      <w:r w:rsidRPr="0089313D">
        <w:rPr>
          <w:rFonts w:eastAsiaTheme="minorHAnsi"/>
          <w:szCs w:val="24"/>
          <w:lang w:eastAsia="en-US"/>
        </w:rPr>
        <w:lastRenderedPageBreak/>
        <w:t>53.</w:t>
      </w:r>
      <w:r w:rsidRPr="0089313D">
        <w:rPr>
          <w:rFonts w:eastAsiaTheme="minorHAnsi"/>
          <w:szCs w:val="24"/>
          <w:lang w:eastAsia="en-US"/>
        </w:rPr>
        <w:tab/>
      </w:r>
      <w:r w:rsidR="00D66ACE" w:rsidRPr="0089313D">
        <w:t>σημειώνει ότι οι λογαριασμοί της ESMA και της ΕΑΤ περιλαμβάνουν γνωστοποίηση αβεβαιότητας σχετικά με την έκβαση μιας αγωγής</w:t>
      </w:r>
      <w:r w:rsidR="00D66ACE" w:rsidRPr="0089313D">
        <w:rPr>
          <w:rStyle w:val="FootnoteReference"/>
        </w:rPr>
        <w:footnoteReference w:id="415"/>
      </w:r>
      <w:r w:rsidR="00D66ACE" w:rsidRPr="0089313D">
        <w:t>· σημειώνει ότι η ESMA ενημερώθηκε επίσημα για μια νομική υπόθεση που σχετίζεται με διαδικασία κοινής προμήθειας, στην οποία, πέρα από την ESMA, συμμετείχαν τρεις άλλοι οργανισμοί της ΕΕ (ΕΑΤ, EIOPA και ERA)· γνωρίζει ότι η διαδικασία κατέληξε σε σύμβαση-πλαίσιο αξίας 40,2 εκατομμυρίων EUR και, έως το τέλος του 2023, η ESMA και η ΕΑΤ είχαν υπογράψει ειδικές συμβάσεις συνολικού ύψους 2 185 226 EUR και 6 306 786 EUR στην περίπτωση της ΕΑΤ·</w:t>
      </w:r>
    </w:p>
    <w:p w:rsidR="00D66ACE" w:rsidRPr="0089313D" w:rsidRDefault="0089313D" w:rsidP="0089313D">
      <w:pPr>
        <w:spacing w:after="240"/>
        <w:ind w:left="567" w:hanging="573"/>
      </w:pPr>
      <w:r w:rsidRPr="0089313D">
        <w:rPr>
          <w:rFonts w:eastAsiaTheme="minorHAnsi"/>
          <w:szCs w:val="24"/>
          <w:lang w:eastAsia="en-US"/>
        </w:rPr>
        <w:t>54.</w:t>
      </w:r>
      <w:r w:rsidRPr="0089313D">
        <w:rPr>
          <w:rFonts w:eastAsiaTheme="minorHAnsi"/>
          <w:szCs w:val="24"/>
          <w:lang w:eastAsia="en-US"/>
        </w:rPr>
        <w:tab/>
      </w:r>
      <w:r w:rsidR="00D66ACE" w:rsidRPr="0089313D">
        <w:t>εκφράζει την ανησυχία του για το γεγονός ότι ο αιτών ζητεί την ακύρωση απόφασης υποβολής προσφορών και χρηματική αποζημίωση που κυμαίνεται από 400 000 έως 3,5</w:t>
      </w:r>
      <w:r w:rsidR="00903C32" w:rsidRPr="0089313D">
        <w:t> </w:t>
      </w:r>
      <w:r w:rsidR="00D66ACE" w:rsidRPr="0089313D">
        <w:t>εκατομμύρια EUR· σημειώνει ότι, λόγω του πρώιμου σταδίου της διαδικασίας, η διοίκηση τόσο της ESMA όσο και της ΕΑΤ δεν είναι σε θέση να παράσχει αξιόπιστη εκτίμηση του δυνητικού κόστους που προκύπτει από την υπόθεση</w:t>
      </w:r>
      <w:r w:rsidR="00D66ACE" w:rsidRPr="0089313D">
        <w:rPr>
          <w:vertAlign w:val="superscript"/>
        </w:rPr>
        <w:footnoteReference w:id="416"/>
      </w:r>
      <w:r w:rsidR="00D66ACE" w:rsidRPr="0089313D">
        <w:t>·</w:t>
      </w:r>
    </w:p>
    <w:p w:rsidR="00D66ACE" w:rsidRPr="0089313D" w:rsidRDefault="0089313D" w:rsidP="0089313D">
      <w:pPr>
        <w:spacing w:after="240"/>
        <w:ind w:left="567" w:hanging="573"/>
      </w:pPr>
      <w:r w:rsidRPr="0089313D">
        <w:rPr>
          <w:rFonts w:eastAsiaTheme="minorHAnsi"/>
          <w:szCs w:val="24"/>
          <w:lang w:eastAsia="en-US"/>
        </w:rPr>
        <w:t>55.</w:t>
      </w:r>
      <w:r w:rsidRPr="0089313D">
        <w:rPr>
          <w:rFonts w:eastAsiaTheme="minorHAnsi"/>
          <w:szCs w:val="24"/>
          <w:lang w:eastAsia="en-US"/>
        </w:rPr>
        <w:tab/>
      </w:r>
      <w:r w:rsidR="00D66ACE" w:rsidRPr="0089313D">
        <w:t xml:space="preserve">εφιστά την προσοχή στη δημοσιοποίηση στους λογαριασμούς της ESMA απομείωσης αξίας 368 300 EUR, η οποία αντιστοιχεί σε ανεξόφλητα τέλη από εποπτευόμενες οντότητες τρίτων χωρών· σημειώνει ότι η απομείωση συνδέεται με το γεγονός ότι ο κανονισμός για τις υποδομές των ευρωπαϊκών αγορών (EMIR) δεν παρέχει στην ESMA αποτελεσματικό μηχανισμό για την επιβολή της είσπραξης εκκρεμών τελών από χώρες εκτός της Ένωσης· εκφράζει την ικανοποίησή του για το γεγονός ότι η πρόσφατη συμφωνία των </w:t>
      </w:r>
      <w:proofErr w:type="spellStart"/>
      <w:r w:rsidR="00D66ACE" w:rsidRPr="0089313D">
        <w:t>συννομοθετών</w:t>
      </w:r>
      <w:proofErr w:type="spellEnd"/>
      <w:r w:rsidR="00D66ACE" w:rsidRPr="0089313D">
        <w:t xml:space="preserve"> για την τροποποίηση του κανονισμού (EMIR 3) εισήγαγε τη δυνατότητα της ESMA να ανακαλέσει την αναγνώριση από εποπτευόμενες οντότητες τρίτων χωρών που δεν καταβάλλουν τα τέλη τους·</w:t>
      </w:r>
    </w:p>
    <w:p w:rsidR="00D66ACE" w:rsidRPr="0089313D" w:rsidRDefault="0089313D" w:rsidP="0089313D">
      <w:pPr>
        <w:spacing w:after="240"/>
        <w:ind w:left="567" w:hanging="573"/>
      </w:pPr>
      <w:r w:rsidRPr="0089313D">
        <w:rPr>
          <w:rFonts w:eastAsiaTheme="minorHAnsi"/>
          <w:szCs w:val="24"/>
          <w:lang w:eastAsia="en-US"/>
        </w:rPr>
        <w:t>56.</w:t>
      </w:r>
      <w:r w:rsidRPr="0089313D">
        <w:rPr>
          <w:rFonts w:eastAsiaTheme="minorHAnsi"/>
          <w:szCs w:val="24"/>
          <w:lang w:eastAsia="en-US"/>
        </w:rPr>
        <w:tab/>
      </w:r>
      <w:r w:rsidR="00D66ACE" w:rsidRPr="0089313D">
        <w:t>σημειώνει ότι οι λογαριασμοί της ΕΑΤ περιλαμβάνουν γνωστοποιήσεις σχετικά με τις σημαντικές επιπτώσεις της πράξης σχετικά με την ψηφιακή επιχειρησιακή ανθεκτικότητα (DORA) και του κανονισμού για τις αγορές κρυπτοστοιχείων (</w:t>
      </w:r>
      <w:proofErr w:type="spellStart"/>
      <w:r w:rsidR="00D66ACE" w:rsidRPr="0089313D">
        <w:t>MiCAR</w:t>
      </w:r>
      <w:proofErr w:type="spellEnd"/>
      <w:r w:rsidR="00D66ACE" w:rsidRPr="0089313D">
        <w:t>) όσον αφορά τους μη χρηματοδοτούμενους πόρους που απαιτούνται για τον καθορισμό των σχετικών καθηκόντων και την εφαρμογή κατάλληλης εποπτείας και εποπτικής πολιτικής που πραγματοποιήθηκε το 2023 πριν από την έναρξη της είσπραξης τελών· σημειώνει ότι η ΕΑΤ χρειάστηκε να ανακατανείμει πόρους σε αυτές τις προπαρασκευαστικές δραστηριότητες·</w:t>
      </w:r>
    </w:p>
    <w:p w:rsidR="00D66ACE" w:rsidRPr="0089313D" w:rsidRDefault="0089313D" w:rsidP="0089313D">
      <w:pPr>
        <w:spacing w:after="240"/>
        <w:ind w:left="567" w:hanging="573"/>
      </w:pPr>
      <w:r w:rsidRPr="0089313D">
        <w:rPr>
          <w:rFonts w:eastAsiaTheme="minorHAnsi"/>
          <w:szCs w:val="24"/>
          <w:lang w:eastAsia="en-US"/>
        </w:rPr>
        <w:t>57.</w:t>
      </w:r>
      <w:r w:rsidRPr="0089313D">
        <w:rPr>
          <w:rFonts w:eastAsiaTheme="minorHAnsi"/>
          <w:szCs w:val="24"/>
          <w:lang w:eastAsia="en-US"/>
        </w:rPr>
        <w:tab/>
      </w:r>
      <w:r w:rsidR="00D66ACE" w:rsidRPr="0089313D">
        <w:t>σημειώνει ότι οι λογαριασμοί του ΕΙΤ δημοσιοποιούν παραδοχές που χρησιμοποιήθηκαν για την εκτίμηση των λειτουργικών δαπανών (δαπάνες επιχορηγήσεων), οι οποίες είναι δεδουλευμένες και παρουσιάζονται στον ισολογισμό ως φθίνον στοιχείο των στοιχείων ενεργητικού προχρηματοδότησης· υπενθυμίζει ότι η συσσώρευση δαπανών για επιχορηγήσεις αποτελεί σημαντική εκτίμηση που αναπόφευκτα συνεπάγεται αβεβαιότητα·</w:t>
      </w:r>
    </w:p>
    <w:p w:rsidR="00D66ACE" w:rsidRPr="0089313D" w:rsidRDefault="0089313D" w:rsidP="0089313D">
      <w:pPr>
        <w:pStyle w:val="NormalHanging12a"/>
        <w:ind w:hanging="573"/>
      </w:pPr>
      <w:r w:rsidRPr="0089313D">
        <w:t>58.</w:t>
      </w:r>
      <w:r w:rsidRPr="0089313D">
        <w:tab/>
      </w:r>
      <w:r w:rsidR="00D66ACE" w:rsidRPr="0089313D">
        <w:t xml:space="preserve">σημειώνει ότι ο EMA παρέχει σημαντικές πληροφορίες στους ετήσιους λογαριασμούς του σχετικά με τις πρώην εγκαταστάσεις του στο Λονδίνο και τις αβεβαιότητες που δημιουργεί το γεγονός ότι η μητρική εταιρεία του υπομισθωτή έχει υποβάλει αίτηση πτώχευσης· σημειώνει με ανησυχία ότι ο EMA θα μπορούσε να θεωρηθεί υπεύθυνος για ολόκληρο το ποσό που παραμένει πληρωτέο βάσει της κύριας μίσθωσης· γνωρίζει ότι το μέγιστο ποσό, συμπεριλαμβανομένης της φορολογικής υποχρέωσης του </w:t>
      </w:r>
      <w:r w:rsidR="00D66ACE" w:rsidRPr="0089313D">
        <w:lastRenderedPageBreak/>
        <w:t>συμβουλίου, που θα καταβληθεί από τον EMA εάν οι εγκαταστάσεις παραμείνουν κενές για το υπόλοιπο της μίσθωσης, ανέρχεται σε 550 εκατομμύρια EUR· σημειώνει ότι ο EMA επαναδιαπραγματεύεται επί του παρόντος τους όρους υπομίσθωσης με το υποκατάστημα του ομίλου στο Ηνωμένο Βασίλειο και, στο πλαίσιο αυτών των επαναδιαπραγματεύσεων, ο EMA συμφώνησε να αναβληθεί η καταβολή μισθωμάτων για τα δύο πρώτα τρίμηνα του 2024 και να μειωθεί το μίσθωμα του υπομισθωτή από την 1η Ιανουαρίου 2024· σημειώνει ότι, στο πλαίσιο αυτό, ο EMA έχει προβλέψει επαχθή σύμβαση ύψους 131,4 εκατομμυρίων EUR· σημειώνει ότι ο υπομισθωτής του Οργανισμού έχει εκπληρώσει τις συμβατικές υποχρεώσεις του για το έτος 2023, με την καταβολή μισθωμάτων να καλύπτει την περίοδο έως τις 31 Δεκεμβρίου 2023 και παροτρύνει τον EMA και την Επιτροπή να βρουν βιώσιμη λύση για την καταγγελία της σύμβασης και όλων των συναφών υποχρεώσεων πριν από την επόμενη διαδικασία απαλλαγής το 2024·</w:t>
      </w:r>
    </w:p>
    <w:p w:rsidR="00D66ACE" w:rsidRPr="0089313D" w:rsidRDefault="0089313D" w:rsidP="0089313D">
      <w:pPr>
        <w:spacing w:after="240"/>
        <w:ind w:left="567" w:hanging="573"/>
      </w:pPr>
      <w:r w:rsidRPr="0089313D">
        <w:rPr>
          <w:rFonts w:eastAsiaTheme="minorHAnsi"/>
          <w:szCs w:val="24"/>
          <w:lang w:eastAsia="en-US"/>
        </w:rPr>
        <w:t>59.</w:t>
      </w:r>
      <w:r w:rsidRPr="0089313D">
        <w:rPr>
          <w:rFonts w:eastAsiaTheme="minorHAnsi"/>
          <w:szCs w:val="24"/>
          <w:lang w:eastAsia="en-US"/>
        </w:rPr>
        <w:tab/>
      </w:r>
      <w:r w:rsidR="00D66ACE" w:rsidRPr="0089313D">
        <w:t>παρατηρεί ότι οι λογαριασμοί του eu-LISA περιλαμβάνουν γνωστοποίηση σχετικά με την οικονομική κατάσταση ενός βασικού αναδόχου με δύο ενεργές συμβάσεις-πλαίσιο· σημειώνει ότι ο eu-LISA έχει δύο ενεργές συμβάσεις-πλαίσιο με ανάδοχο που είναι μέλος κοινοπραξίας και ότι ο εν λόγω ανάδοχος αντικατέστησε τη μητρική εταιρεία του στις συμβάσεις και είναι υπεύθυνος για την εφαρμογή και τη συντήρηση του συστήματος εισόδου/εξόδου και την παροχή υπηρεσιών βάσει του τμήματος 1 του πλαισίου διατομεακών λειτουργικών υπηρεσιών· σημειώνει ότι τα εκκρεμή ποσά των συμβάσεων είναι 97,5 εκατομμύρια EUR και 41 εκατομμύρια EUR αντίστοιχα· σημειώνει ότι, προκειμένου να αντιμετωπιστούν οι δυνητικοί κίνδυνοι που σχετίζονται με την οικονομική βιωσιμότητα της μητρικής εταιρείας, ο eu-LISA παρακολουθεί στενά την οικονομική υγεία του αναδόχου χρησιμοποιώντας ανεξάρτητα εργαλεία αξιολόγησης κινδύνου και απευθείας ερωτήματα· σημειώνει ότι, επιπλέον, ο eu-LISA αξιολογεί τακτικά την πρόοδο των υπό ανάπτυξη περιουσιακών στοιχείων προκειμένου να διασφαλίσει ότι δεν θα υπάρξουν δυσμενείς επιπτώσεις στην εντολή του και είναι προορατικός όσον αφορά τη διαχείριση και τον μετριασμό των κινδύνων που συνδέονται με διαταραχές στην αλυσίδα εφοδιασμού εντός των ορίων του δημοσιονομικού κανόνα</w:t>
      </w:r>
      <w:r w:rsidR="00D66ACE" w:rsidRPr="0089313D">
        <w:rPr>
          <w:vertAlign w:val="superscript"/>
        </w:rPr>
        <w:footnoteReference w:id="417"/>
      </w:r>
      <w:r w:rsidR="00D66ACE" w:rsidRPr="0089313D">
        <w:t>·</w:t>
      </w:r>
    </w:p>
    <w:p w:rsidR="00D66ACE" w:rsidRPr="0089313D" w:rsidRDefault="0089313D" w:rsidP="0089313D">
      <w:pPr>
        <w:spacing w:after="240"/>
        <w:ind w:left="567" w:hanging="573"/>
      </w:pPr>
      <w:r w:rsidRPr="0089313D">
        <w:rPr>
          <w:rFonts w:eastAsiaTheme="minorHAnsi"/>
          <w:szCs w:val="24"/>
          <w:lang w:eastAsia="en-US"/>
        </w:rPr>
        <w:t>60.</w:t>
      </w:r>
      <w:r w:rsidRPr="0089313D">
        <w:rPr>
          <w:rFonts w:eastAsiaTheme="minorHAnsi"/>
          <w:szCs w:val="24"/>
          <w:lang w:eastAsia="en-US"/>
        </w:rPr>
        <w:tab/>
      </w:r>
      <w:r w:rsidR="00D66ACE" w:rsidRPr="0089313D">
        <w:t>υπενθυμίζει τις επαναλαμβανόμενες διαφορετικές προσεγγίσεις του Frontex και του Ελεγκτικού Συνεδρίου όσον αφορά τον υπολογισμό των συνεισφορών των συνδεδεμένων χωρών Σένγκεν στον προϋπολογισμό του Frontex· σημειώνει ότι το Ελεγκτικό Συνέδριο θεωρεί ότι η ερμηνεία του Frontex είναι εσφαλμένη, με αποτέλεσμα οι συνδεδεμένες χώρες Σένγκεν να συνεισφέρουν περίπου 3,5 εκατομμύρια EUR (7 %) λιγότερα στον προϋπολογισμό του Frontex σε σύγκριση με το μέγεθος των οικονομιών τους, σε σχέση με την οικονομία της Ένωσης· σημειώνει ότι ο προσωρινός υπόλογος εξέτασε την κατάσταση και, όπως και το ΔΣ, θεωρεί ότι δεν είναι αναγκαίο να αναθεωρήσει ο Frontex την τρέχουσα μεθοδολογία υπολογισμού σχετικά με τη συνεισφορά των συνδεδεμένων χωρών Σένγκεν στον προϋπολογισμό του Frontex</w:t>
      </w:r>
      <w:r w:rsidR="00D66ACE" w:rsidRPr="0089313D">
        <w:rPr>
          <w:vertAlign w:val="superscript"/>
        </w:rPr>
        <w:footnoteReference w:id="418"/>
      </w:r>
      <w:r w:rsidR="00D66ACE" w:rsidRPr="0089313D">
        <w:t xml:space="preserve">· λαμβάνει υπό σημείωση την έκθεση παρακολούθησης του Frontex στην έκθεση απαλλαγής για το 2022, στην οποία αναφέρεται ότι ο οργανισμός δεν προτίθεται να αλλάξει τη μεθοδολογία που χρησιμοποιείται για τους υπολογισμούς αυτούς· ζητεί από τον Οργανισμό να υποβάλει έκθεση στην αρμόδια για την απαλλαγή αρχή με </w:t>
      </w:r>
      <w:r w:rsidR="00D66ACE" w:rsidRPr="0089313D">
        <w:lastRenderedPageBreak/>
        <w:t>λεπτομερή επεξήγηση της μεθοδολογίας που χρησιμοποιήθηκε στους υπολογισμούς αυτούς·</w:t>
      </w:r>
    </w:p>
    <w:p w:rsidR="00D66ACE" w:rsidRPr="0089313D" w:rsidRDefault="00D66ACE" w:rsidP="00D66ACE">
      <w:pPr>
        <w:spacing w:after="240"/>
        <w:ind w:left="567" w:hanging="567"/>
        <w:rPr>
          <w:b/>
          <w:i/>
        </w:rPr>
      </w:pPr>
      <w:r w:rsidRPr="0089313D">
        <w:rPr>
          <w:b/>
          <w:i/>
        </w:rPr>
        <w:t>Επιδόσεις</w:t>
      </w:r>
    </w:p>
    <w:p w:rsidR="00D66ACE" w:rsidRPr="0089313D" w:rsidRDefault="0089313D" w:rsidP="0089313D">
      <w:pPr>
        <w:spacing w:after="240"/>
        <w:ind w:left="567" w:hanging="573"/>
      </w:pPr>
      <w:r w:rsidRPr="0089313D">
        <w:rPr>
          <w:rFonts w:eastAsiaTheme="minorHAnsi"/>
          <w:szCs w:val="24"/>
          <w:lang w:eastAsia="en-US"/>
        </w:rPr>
        <w:t>61.</w:t>
      </w:r>
      <w:r w:rsidRPr="0089313D">
        <w:rPr>
          <w:rFonts w:eastAsiaTheme="minorHAnsi"/>
          <w:szCs w:val="24"/>
          <w:lang w:eastAsia="en-US"/>
        </w:rPr>
        <w:tab/>
      </w:r>
      <w:r w:rsidR="00D66ACE" w:rsidRPr="0089313D">
        <w:t>σημειώνει ότι η κοινή προσέγγιση για τους αποκεντρωμένους οργανισμούς εισάγει την έννοια των βασικών δεικτών επιδόσεων (ΒΔΕ) με στόχο τη βελτίωση της παρακολούθησης των επιδόσεων για τους οργανισμούς·</w:t>
      </w:r>
    </w:p>
    <w:p w:rsidR="00D66ACE" w:rsidRPr="0089313D" w:rsidRDefault="0089313D" w:rsidP="0089313D">
      <w:pPr>
        <w:spacing w:after="240"/>
        <w:ind w:left="567" w:hanging="573"/>
      </w:pPr>
      <w:r w:rsidRPr="0089313D">
        <w:rPr>
          <w:rFonts w:eastAsiaTheme="minorHAnsi"/>
          <w:szCs w:val="24"/>
          <w:lang w:eastAsia="en-US"/>
        </w:rPr>
        <w:t>62.</w:t>
      </w:r>
      <w:r w:rsidRPr="0089313D">
        <w:rPr>
          <w:rFonts w:eastAsiaTheme="minorHAnsi"/>
          <w:szCs w:val="24"/>
          <w:lang w:eastAsia="en-US"/>
        </w:rPr>
        <w:tab/>
      </w:r>
      <w:r w:rsidR="00D66ACE" w:rsidRPr="0089313D">
        <w:t>σημειώνει, επιπλέον, ότι, σύμφωνα με τον χάρτη πορείας που εκπόνησε η Επιτροπή</w:t>
      </w:r>
      <w:r w:rsidR="00D66ACE" w:rsidRPr="0089313D">
        <w:rPr>
          <w:vertAlign w:val="superscript"/>
        </w:rPr>
        <w:footnoteReference w:id="419"/>
      </w:r>
      <w:r w:rsidR="00D66ACE" w:rsidRPr="0089313D">
        <w:t>, οι ΒΔΕ θα πρέπει να αναπτυχθούν όσον αφορά το έργο τόσο του οργανισμού όσο και του διευθυντή του· σημειώνει, επιπλέον, ότι η Επιτροπή πρότεινε επίσης την ανάπτυξη υποδειγμάτων για το ετήσιο πρόγραμμα εργασίας ή την αξιολόγηση·</w:t>
      </w:r>
    </w:p>
    <w:p w:rsidR="00D66ACE" w:rsidRPr="0089313D" w:rsidRDefault="0089313D" w:rsidP="0089313D">
      <w:pPr>
        <w:spacing w:after="240"/>
        <w:ind w:left="567" w:hanging="573"/>
      </w:pPr>
      <w:r w:rsidRPr="0089313D">
        <w:rPr>
          <w:rFonts w:eastAsiaTheme="minorHAnsi"/>
          <w:szCs w:val="24"/>
          <w:lang w:eastAsia="en-US"/>
        </w:rPr>
        <w:t>63.</w:t>
      </w:r>
      <w:r w:rsidRPr="0089313D">
        <w:rPr>
          <w:rFonts w:eastAsiaTheme="minorHAnsi"/>
          <w:szCs w:val="24"/>
          <w:lang w:eastAsia="en-US"/>
        </w:rPr>
        <w:tab/>
      </w:r>
      <w:r w:rsidR="00D66ACE" w:rsidRPr="0089313D">
        <w:t>επισημαίνει ότι, σύμφωνα με τον χάρτη πορείας, οι ΒΔΕ θα πρέπει να αναπτύσσονται σε ετήσια βάση από τους οργανισμούς και την Επιτροπή και, ως εκ τούτου, να αλλάζουν από έτος σε έτος, καθιστώντας δύσκολη την παρακολούθηση των επιδόσεων του οργανισμού για μεγαλύτερο χρονικό διάστημα, καθώς ενδέχεται να μην ακολουθούνται ορισμένοι ΒΔΕ επί σειρά ετών·</w:t>
      </w:r>
    </w:p>
    <w:p w:rsidR="00D66ACE" w:rsidRPr="0089313D" w:rsidRDefault="0089313D" w:rsidP="0089313D">
      <w:pPr>
        <w:pStyle w:val="NormalHanging12a"/>
        <w:ind w:hanging="573"/>
      </w:pPr>
      <w:r w:rsidRPr="0089313D">
        <w:t>64.</w:t>
      </w:r>
      <w:r w:rsidRPr="0089313D">
        <w:tab/>
      </w:r>
      <w:r w:rsidR="00D66ACE" w:rsidRPr="0089313D">
        <w:t>συνιστά στους οργανισμούς να λάβουν μέτρα για την επίτευξη εκκρεμών ή καθυστερημένων δεικτών και να προσαρμόζουν τακτικά τους ΒΔΕ τους για τη βελτίωση των επιδόσεων·</w:t>
      </w:r>
    </w:p>
    <w:p w:rsidR="00D66ACE" w:rsidRPr="0089313D" w:rsidRDefault="0089313D" w:rsidP="0089313D">
      <w:pPr>
        <w:spacing w:after="240"/>
        <w:ind w:left="567" w:hanging="573"/>
      </w:pPr>
      <w:r w:rsidRPr="0089313D">
        <w:rPr>
          <w:rFonts w:eastAsiaTheme="minorHAnsi"/>
          <w:szCs w:val="24"/>
          <w:lang w:eastAsia="en-US"/>
        </w:rPr>
        <w:t>65.</w:t>
      </w:r>
      <w:r w:rsidRPr="0089313D">
        <w:rPr>
          <w:rFonts w:eastAsiaTheme="minorHAnsi"/>
          <w:szCs w:val="24"/>
          <w:lang w:eastAsia="en-US"/>
        </w:rPr>
        <w:tab/>
      </w:r>
      <w:r w:rsidR="00D66ACE" w:rsidRPr="0089313D">
        <w:t>υπογραμμίζει ότι οι κατευθυντήριες γραμμές της Επιτροπής</w:t>
      </w:r>
      <w:r w:rsidR="00D66ACE" w:rsidRPr="0089313D">
        <w:rPr>
          <w:vertAlign w:val="superscript"/>
        </w:rPr>
        <w:footnoteReference w:id="420"/>
      </w:r>
      <w:r w:rsidR="00D66ACE" w:rsidRPr="0089313D">
        <w:t xml:space="preserve"> για τους ΒΔΕ για τους διευθυντές των αποκεντρωμένων οργανισμών της ΕΕ επικεντρώνονται εξ ολοκλήρου στις επιδόσεις των διευθυντών των οργανισμών, δηλαδή σχετίζονται κυρίως με τη διαχείριση του προϋπολογισμού και των ανθρώπινων πόρων και δεν χρησιμοποιούνται για την αξιολόγηση των αποτελεσμάτων ή της αποδοτικότητας και της αποτελεσματικότητας των πράξεων στο πλαίσιο των εντολών των οργανισμών</w:t>
      </w:r>
      <w:r w:rsidR="00D66ACE" w:rsidRPr="0089313D">
        <w:rPr>
          <w:vertAlign w:val="superscript"/>
        </w:rPr>
        <w:footnoteReference w:id="421"/>
      </w:r>
      <w:r w:rsidR="00D66ACE" w:rsidRPr="0089313D">
        <w:t>·</w:t>
      </w:r>
    </w:p>
    <w:p w:rsidR="00D66ACE" w:rsidRPr="0089313D" w:rsidRDefault="0089313D" w:rsidP="0089313D">
      <w:pPr>
        <w:spacing w:after="240"/>
        <w:ind w:left="567" w:hanging="573"/>
      </w:pPr>
      <w:r w:rsidRPr="0089313D">
        <w:rPr>
          <w:rFonts w:eastAsiaTheme="minorHAnsi"/>
          <w:szCs w:val="24"/>
          <w:lang w:eastAsia="en-US"/>
        </w:rPr>
        <w:t>66.</w:t>
      </w:r>
      <w:r w:rsidRPr="0089313D">
        <w:rPr>
          <w:rFonts w:eastAsiaTheme="minorHAnsi"/>
          <w:szCs w:val="24"/>
          <w:lang w:eastAsia="en-US"/>
        </w:rPr>
        <w:tab/>
      </w:r>
      <w:r w:rsidR="00D66ACE" w:rsidRPr="0089313D">
        <w:t>τονίζει, επιπλέον, ότι, επειδή δεν υπάρχει τυποποιημένη προσέγγιση για την παρουσίαση των ΒΔΕ στις ετήσιες εκθέσεις δραστηριοτήτων (ΕΕΔ) των οργανισμών, είναι δύσκολο να υπάρχει επισκόπηση της κατάστασης των επιδόσεων κάθε οργανισμού·</w:t>
      </w:r>
    </w:p>
    <w:p w:rsidR="00D66ACE" w:rsidRPr="0089313D" w:rsidRDefault="0089313D" w:rsidP="0089313D">
      <w:pPr>
        <w:spacing w:after="240"/>
        <w:ind w:left="567" w:hanging="573"/>
      </w:pPr>
      <w:r w:rsidRPr="0089313D">
        <w:rPr>
          <w:rFonts w:eastAsiaTheme="minorHAnsi"/>
          <w:szCs w:val="24"/>
          <w:lang w:eastAsia="en-US"/>
        </w:rPr>
        <w:t>67.</w:t>
      </w:r>
      <w:r w:rsidRPr="0089313D">
        <w:rPr>
          <w:rFonts w:eastAsiaTheme="minorHAnsi"/>
          <w:szCs w:val="24"/>
          <w:lang w:eastAsia="en-US"/>
        </w:rPr>
        <w:tab/>
      </w:r>
      <w:r w:rsidR="00D66ACE" w:rsidRPr="0089313D">
        <w:t>υπογραμμίζει ότι, με βάση τα συμπεράσματα του Ελεγκτικού Συνεδρίου, οι ΒΔΕ δεν συμβάλλουν στην παρακολούθηση των επιδόσεων των οργανισμών όσον αφορά τις δραστηριότητες και τη διαχείριση των οικονομικών και ανθρώπινων πόρων·</w:t>
      </w:r>
    </w:p>
    <w:p w:rsidR="00D66ACE" w:rsidRPr="0089313D" w:rsidRDefault="0089313D" w:rsidP="0089313D">
      <w:pPr>
        <w:pStyle w:val="NormalHanging12a"/>
        <w:ind w:hanging="573"/>
      </w:pPr>
      <w:r w:rsidRPr="0089313D">
        <w:t>68.</w:t>
      </w:r>
      <w:r w:rsidRPr="0089313D">
        <w:tab/>
      </w:r>
      <w:r w:rsidR="00D66ACE" w:rsidRPr="0089313D">
        <w:t xml:space="preserve">ζητεί την ανεξάρτητη εξέταση των επιδόσεων όλων των οργανισμών προκειμένου να αξιολογείται κατά πόσον οι δραστηριότητές τους ευθυγραμμίζονται αποτελεσματικά με τις προτεραιότητες πολιτικής της ΕΕ και αποφέρουν απτά αποτελέσματα· επιμένει στη </w:t>
      </w:r>
      <w:r w:rsidR="00D66ACE" w:rsidRPr="0089313D">
        <w:lastRenderedPageBreak/>
        <w:t>θέσπιση δεικτών αναφοράς για την κατάρτιση του προϋπολογισμού βάσει επιδόσεων και την αποδοτικότητα, προκειμένου να διασφαλιστεί η βέλτιστη κατανομή των πόρων και η διακυβέρνηση με γνώμονα τον αντίκτυπο·</w:t>
      </w:r>
    </w:p>
    <w:p w:rsidR="00D66ACE" w:rsidRPr="0089313D" w:rsidRDefault="0089313D" w:rsidP="0089313D">
      <w:pPr>
        <w:pStyle w:val="NormalHanging12a"/>
        <w:ind w:hanging="573"/>
      </w:pPr>
      <w:r w:rsidRPr="0089313D">
        <w:t>69.</w:t>
      </w:r>
      <w:r w:rsidRPr="0089313D">
        <w:tab/>
      </w:r>
      <w:r w:rsidR="00D66ACE" w:rsidRPr="0089313D">
        <w:t>εκφράζει την ικανοποίησή του για το γεγονός ότι ο ECHA, σε συνεργασία με την Ευρωπαϊκή Αρχή για την Ασφάλεια των Τροφίμων (EFSA), έχει λάβει μέτρα για την προώθηση της αρχής «μία ουσία, μία αξιολόγηση», ώστε να διασφαλιστεί μεγαλύτερη συνέπεια στην εκτίμηση επικινδυνότητας και κινδύνου των δραστικών ουσιών· καλεί τους οργανισμούς να συνεχίσουν να προωθούν τη συνεργασία με άλλους οργανισμούς της Ένωσης και διεθνείς οργανώσεις, και να ενθαρρύνουν τον διάλογο με ενδιαφερόμενα μέρη και πολίτες·</w:t>
      </w:r>
    </w:p>
    <w:p w:rsidR="00D66ACE" w:rsidRPr="0089313D" w:rsidRDefault="0089313D" w:rsidP="0089313D">
      <w:pPr>
        <w:pStyle w:val="NormalHanging12a"/>
        <w:ind w:hanging="573"/>
      </w:pPr>
      <w:r w:rsidRPr="0089313D">
        <w:t>70.</w:t>
      </w:r>
      <w:r w:rsidRPr="0089313D">
        <w:tab/>
      </w:r>
      <w:r w:rsidR="00D66ACE" w:rsidRPr="0089313D">
        <w:t>υπενθυμίζει την προσέγγιση μηδενικής ανοχής της Ένωσης στην παράνομη, αδήλωτη και ανεξέλεγκτη (ΠΑΑ) αλιεία και τη ζωτική συμβολή της Ευρωπαϊκής Υπηρεσίας Ελέγχου της Αλιείας (EFCA) στην εφαρμογή της κοινής αλιευτικής πολιτικής (ΚΑΠ), ιδίως όσον αφορά τον έλεγχο της αλιείας και την καταπολέμηση της ΠΑΑ αλιείας·</w:t>
      </w:r>
    </w:p>
    <w:p w:rsidR="00D66ACE" w:rsidRPr="0089313D" w:rsidRDefault="0089313D" w:rsidP="0089313D">
      <w:pPr>
        <w:pStyle w:val="NormalHanging12a"/>
        <w:ind w:hanging="573"/>
      </w:pPr>
      <w:r w:rsidRPr="0089313D">
        <w:t>71.</w:t>
      </w:r>
      <w:r w:rsidRPr="0089313D">
        <w:tab/>
      </w:r>
      <w:r w:rsidR="00D66ACE" w:rsidRPr="0089313D">
        <w:t>τονίζει την πρωταρχική ευθύνη των κρατών μελών για τον έλεγχο των αλιευτικών δραστηριοτήτων, ενώ τα καθήκοντα της Υπηρεσίας περιορίζονται στην υποστήριξη και τον συντονισμό, καθώς και στην παροχή βοήθειας στον τομέα αυτό στα κράτη μέλη· καλεί την Υπηρεσία να υποστηρίζει την παρακολούθηση και τον εντοπισμό, εκ μέρους των κρατών μελών, σοβαρών παραβάσεων σχετικά με τη χρήση αναγκαστικής εργασίας, και την παροχή επαρκούς κατάρτισης στους επιθεωρητές σχετικά με αυτές τις σοβαρές παραβάσεις·</w:t>
      </w:r>
    </w:p>
    <w:p w:rsidR="00D66ACE" w:rsidRPr="0089313D" w:rsidRDefault="0089313D" w:rsidP="0089313D">
      <w:pPr>
        <w:pStyle w:val="NormalHanging12a"/>
        <w:ind w:hanging="573"/>
      </w:pPr>
      <w:r w:rsidRPr="0089313D">
        <w:t>72.</w:t>
      </w:r>
      <w:r w:rsidRPr="0089313D">
        <w:tab/>
      </w:r>
      <w:r w:rsidR="00D66ACE" w:rsidRPr="0089313D">
        <w:t xml:space="preserve">καλεί τον EUSPA να συνεχίσει τις προσπάθειές του ως βασικός παράγοντας για την υλοποίηση του διαστημικού προγράμματος της ΕΕ, ενισχύοντας τη βιομηχανική βάση, την ανταγωνιστικότητα και την καινοτομία της ΕΕ· ενθαρρύνει την απόδοση προτεραιότητας στις ευρωπαϊκές δημόσιες συμβάσεις, ιδίως σε τομείς ζωτικής σημασίας για την ανθεκτικότητα, τη στρατηγική αυτονομία και την κυριαρχία της ΕΕ· επισημαίνει τον ζωτικό ρόλο του </w:t>
      </w:r>
      <w:proofErr w:type="spellStart"/>
      <w:r w:rsidR="00D66ACE" w:rsidRPr="0089313D">
        <w:t>Galileo</w:t>
      </w:r>
      <w:proofErr w:type="spellEnd"/>
      <w:r w:rsidR="00D66ACE" w:rsidRPr="0089313D">
        <w:t xml:space="preserve"> και της κυβερνητικής υπηρεσίας του στην ασφάλεια και την άμυνα της Ένωσης, παράλληλα με τα βραχυπρόθεσμα οφέλη του GOVSATCOM και τη μακροπρόθεσμη στρατηγική αξία του IRIS</w:t>
      </w:r>
      <w:r w:rsidR="00D66ACE" w:rsidRPr="0089313D">
        <w:rPr>
          <w:vertAlign w:val="superscript"/>
        </w:rPr>
        <w:t>2</w:t>
      </w:r>
      <w:r w:rsidR="00D66ACE" w:rsidRPr="0089313D">
        <w:t>· τονίζει ότι οι πρωτοβουλίες της ΕΕ στον τομέα της άμυνας και της ασφάλειας θα πρέπει να αξιοποιούν την πραγματογνωσία και τις υποδομές του διαστημικού τομέα της ΕΕ για να αποφεύγεται η περιττή επανάληψη εργασιών·</w:t>
      </w:r>
    </w:p>
    <w:p w:rsidR="00D66ACE" w:rsidRPr="0089313D" w:rsidRDefault="0089313D" w:rsidP="0089313D">
      <w:pPr>
        <w:pStyle w:val="NormalHanging12a"/>
        <w:ind w:hanging="573"/>
      </w:pPr>
      <w:r w:rsidRPr="0089313D">
        <w:t>73.</w:t>
      </w:r>
      <w:r w:rsidRPr="0089313D">
        <w:tab/>
      </w:r>
      <w:r w:rsidR="00D66ACE" w:rsidRPr="0089313D">
        <w:t>σημειώνει τον νέο χάρτη πορείας για τη διαλειτουργικότητα· αναγνωρίζει το γεγονός ότι το νέο χρονοδιάγραμμα για την ανάπτυξη και τη διαλειτουργικότητα των συστημάτων πληροφοριών της ΕΕ ήταν αναγκαίο λόγω καθυστερήσεων στην ανάπτυξη του συστήματος εισόδου/εξόδου (ΣΕΕ), του Ευρωπαϊκού Συστήματος Πληροφοριών και Αδειοδότησης Ταξιδιού (ETIAS) και του Ευρωπαϊκού Συστήματος Πληροφοριών Ποινικού Μητρώου για υπηκόους τρίτων χωρών (ECRIS-TCN)· υπογραμμίζει ότι η ταχεία, αποτελεσματική και αξιόπιστη ανταλλαγή πληροφοριών, σύμφωνα με την ισχύουσα νομοθεσία, είναι ζωτικής σημασίας για τη διατήρηση και την ενίσχυση του χώρου ελευθερίας, ασφάλειας και δικαιοσύνης της Ένωσης· στο πλαίσιο αυτό, αναγνωρίζει το έργο και τις βελτιώσεις που έχει επιτύχει ο eu-LISA·</w:t>
      </w:r>
    </w:p>
    <w:p w:rsidR="00D66ACE" w:rsidRPr="0089313D" w:rsidRDefault="0089313D" w:rsidP="0089313D">
      <w:pPr>
        <w:pStyle w:val="NormalHanging12a"/>
        <w:ind w:hanging="573"/>
      </w:pPr>
      <w:r w:rsidRPr="0089313D">
        <w:t>74.</w:t>
      </w:r>
      <w:r w:rsidRPr="0089313D">
        <w:tab/>
      </w:r>
      <w:r w:rsidR="00D66ACE" w:rsidRPr="0089313D">
        <w:t xml:space="preserve">σημειώνει τις προσπάθειες του Μεταφραστικού Κέντρου των Οργάνων της Ευρωπαϊκής Ένωσης («το Κέντρο») να καταστήσει δυνατή και να προαγάγει την πολυγλωσσία στην Ένωση, για παράδειγμα σε σχέση με την επικοινωνία των </w:t>
      </w:r>
      <w:r w:rsidR="00D66ACE" w:rsidRPr="0089313D">
        <w:lastRenderedPageBreak/>
        <w:t>οργανισμών της Ένωσης και την ανάπτυξη ορολογίας σε εξειδικευμένους θεματικούς τομείς με σκοπό τη βελτίωση της ποιότητας των μεταφράσεων· επικροτεί τη συγκρότηση ομάδας εργασίας για την τεχνητή νοημοσύνη (ΤΝ) τον Ιούνιο του 2023, καθώς και την απόφαση να επεκταθεί το έργο της εν λόγω ομάδας ως νέας συμβουλευτικής ομάδας για την ΤΝ·</w:t>
      </w:r>
    </w:p>
    <w:p w:rsidR="00D66ACE" w:rsidRPr="0089313D" w:rsidRDefault="0089313D" w:rsidP="0089313D">
      <w:pPr>
        <w:spacing w:after="240"/>
        <w:ind w:left="567" w:hanging="573"/>
      </w:pPr>
      <w:r w:rsidRPr="0089313D">
        <w:rPr>
          <w:rFonts w:eastAsiaTheme="minorHAnsi"/>
          <w:szCs w:val="24"/>
          <w:lang w:eastAsia="en-US"/>
        </w:rPr>
        <w:t>75.</w:t>
      </w:r>
      <w:r w:rsidRPr="0089313D">
        <w:rPr>
          <w:rFonts w:eastAsiaTheme="minorHAnsi"/>
          <w:szCs w:val="24"/>
          <w:lang w:eastAsia="en-US"/>
        </w:rPr>
        <w:tab/>
      </w:r>
      <w:r w:rsidR="00D66ACE" w:rsidRPr="0089313D">
        <w:t xml:space="preserve">καλεί την EFCA να υποστηρίζει την παρακολούθηση και τον εντοπισμό, εκ μέρους των κρατών μελών, σοβαρών παραβάσεων κατά την εφαρμογή του άρθρου 90 παράγραφος 2 στοιχείο </w:t>
      </w:r>
      <w:proofErr w:type="spellStart"/>
      <w:r w:rsidR="00D66ACE" w:rsidRPr="0089313D">
        <w:t>ιστ</w:t>
      </w:r>
      <w:proofErr w:type="spellEnd"/>
      <w:r w:rsidR="00D66ACE" w:rsidRPr="0089313D">
        <w:t>) του κανονισμού (ΕΕ) 2023/2842 σχετικά με τη χρήση αναγκαστικής εργασίας, και την παροχή επαρκούς κατάρτισης στους επιθεωρητές σχετικά με αυτές τις σοβαρές παραβάσεις·</w:t>
      </w:r>
    </w:p>
    <w:p w:rsidR="00D66ACE" w:rsidRPr="0089313D" w:rsidRDefault="0089313D" w:rsidP="0089313D">
      <w:pPr>
        <w:spacing w:after="240"/>
        <w:ind w:left="567" w:hanging="573"/>
      </w:pPr>
      <w:r w:rsidRPr="0089313D">
        <w:rPr>
          <w:rFonts w:eastAsiaTheme="minorHAnsi"/>
          <w:szCs w:val="24"/>
          <w:lang w:eastAsia="en-US"/>
        </w:rPr>
        <w:t>76.</w:t>
      </w:r>
      <w:r w:rsidRPr="0089313D">
        <w:rPr>
          <w:rFonts w:eastAsiaTheme="minorHAnsi"/>
          <w:szCs w:val="24"/>
          <w:lang w:eastAsia="en-US"/>
        </w:rPr>
        <w:tab/>
      </w:r>
      <w:r w:rsidR="00D66ACE" w:rsidRPr="0089313D">
        <w:t xml:space="preserve">σημειώνει ότι, εντός του 2023, η EFCA κατέγραψε 44 993 επιθεωρήσεις (στη θάλασσα και στην ξηρά) που είχαν ως αποτέλεσμα τον εντοπισμό εικαζόμενων παραβάσεων σε τουλάχιστον 4 230 από τις εν λόγω επιθεωρήσεις· σημειώνει ότι τα εν λόγω στοιχεία συλλογικά αντιπροσωπεύουν μία μικρή μείωση του συνολικού αριθμού επιθεωρήσεων (5 % λιγότερες επιθεωρήσεις σε σύγκριση με το 2022), καθώς και μείωση 18 % του συνολικού αριθμού επιθεωρήσεων στις οποίες διαπιστώθηκαν εικαζόμενες παραβάσεις· υπενθυμίζει ότι οι επιθεωρήσεις και άλλες επακόλουθες ενέργειες διαδραματίζουν σημαντικό ρόλο όχι μόνο στην ορθή διαχείριση των αλιευτικών πόρων, αλλά και στη διασφάλιση ισότιμων όρων ανταγωνισμού για τους αλιείς της Ένωσης· </w:t>
      </w:r>
    </w:p>
    <w:p w:rsidR="00D66ACE" w:rsidRPr="0089313D" w:rsidRDefault="0089313D" w:rsidP="0089313D">
      <w:pPr>
        <w:spacing w:after="240"/>
        <w:ind w:left="567" w:hanging="573"/>
      </w:pPr>
      <w:r w:rsidRPr="0089313D">
        <w:rPr>
          <w:rFonts w:eastAsiaTheme="minorHAnsi"/>
          <w:szCs w:val="24"/>
          <w:lang w:eastAsia="en-US"/>
        </w:rPr>
        <w:t>77.</w:t>
      </w:r>
      <w:r w:rsidRPr="0089313D">
        <w:rPr>
          <w:rFonts w:eastAsiaTheme="minorHAnsi"/>
          <w:szCs w:val="24"/>
          <w:lang w:eastAsia="en-US"/>
        </w:rPr>
        <w:tab/>
      </w:r>
      <w:r w:rsidR="00D66ACE" w:rsidRPr="0089313D">
        <w:t>επαινεί τις προσπάθειες της Eurojust για την ψηφιοποίηση της δικαιοσύνης, και συγκεκριμένα την εφαρμογή ενός νέου συστήματος διαχείρισης υποθέσεων μετά την τελευταία τροποποίηση του κανονισμού για τη Eurojust</w:t>
      </w:r>
      <w:r w:rsidR="00D66ACE" w:rsidRPr="0089313D">
        <w:rPr>
          <w:vertAlign w:val="superscript"/>
        </w:rPr>
        <w:footnoteReference w:id="422"/>
      </w:r>
      <w:r w:rsidR="00D66ACE" w:rsidRPr="0089313D">
        <w:t>, καθώς και την εφαρμογή της νέας πλατφόρμας συνεργασίας των ΚΟΕ</w:t>
      </w:r>
      <w:r w:rsidR="00D66ACE" w:rsidRPr="0089313D">
        <w:rPr>
          <w:vertAlign w:val="superscript"/>
        </w:rPr>
        <w:footnoteReference w:id="423"/>
      </w:r>
      <w:r w:rsidR="00D66ACE" w:rsidRPr="0089313D">
        <w:t>· σημειώνει τον ρόλο της Eurojust ως σημείου επαφής για τρίτες χώρες και διεθνείς οργανισμούς όσον αφορά τα αιτήματα του ECRIS-TCN στο πλαίσιο ποινικών διαδικασιών·</w:t>
      </w:r>
    </w:p>
    <w:p w:rsidR="00D66ACE" w:rsidRPr="0089313D" w:rsidRDefault="0089313D" w:rsidP="0089313D">
      <w:pPr>
        <w:spacing w:after="240"/>
        <w:ind w:left="567" w:hanging="573"/>
      </w:pPr>
      <w:r w:rsidRPr="0089313D">
        <w:rPr>
          <w:rFonts w:eastAsiaTheme="minorHAnsi"/>
          <w:szCs w:val="24"/>
          <w:lang w:eastAsia="en-US"/>
        </w:rPr>
        <w:t>78.</w:t>
      </w:r>
      <w:r w:rsidRPr="0089313D">
        <w:rPr>
          <w:rFonts w:eastAsiaTheme="minorHAnsi"/>
          <w:szCs w:val="24"/>
          <w:lang w:eastAsia="en-US"/>
        </w:rPr>
        <w:tab/>
      </w:r>
      <w:r w:rsidR="00D66ACE" w:rsidRPr="0089313D">
        <w:t xml:space="preserve">τονίζει πόσο σημαντικό είναι το γεγονός ότι η Eurojust παρέχει διαρκή στήριξη στην Ουκρανία, μέσω της ΚΟΕ που διερευνά εικαζόμενα βασικά διεθνή εγκλήματα που διαπράχθηκαν στην Ουκρανία, μέσω της λειτουργίας της βάσης δεδομένων με αποδεικτικά στοιχεία για βασικά διεθνή εγκλήματα (CICED) για τη διατήρηση, την αποθήκευση και την ανάλυση αποδεικτικών στοιχείων για βασικά διεθνή εγκλήματα σε μια ενιαία, ασφαλή, κεντρική βάση δεδομένων, μέσω της διασφάλισης μια ασφαλούς μεθόδου διαβίβασης ψηφιακών δεδομένων για την υποβολή αποδεικτικών στοιχείων, και μέσω της ανάλυσης των εν λόγω αποδεικτικών στοιχείων· εκφράζει επίσης την ικανοποίησή του για το γεγονός ότι τέθηκε σε λειτουργία το νέο Διεθνές Κέντρο για τη δίωξη του εγκλήματος της επίθεσης κατά της Ουκρανίας (ICPA) στην Eurojust, με </w:t>
      </w:r>
      <w:r w:rsidR="00D66ACE" w:rsidRPr="0089313D">
        <w:lastRenderedPageBreak/>
        <w:t>στόχο να υποστηριχθούν οι εθνικές έρευνες και να επιτευχθεί συμφωνία σχετικά με κοινές στρατηγικές έρευνας και δίωξης, μεταξύ άλλων με την ενεργή συμβολή στο έργο της ειδικής ομάδας «Δέσμευση και κατάσχεση», προκειμένου να διασφαλιστεί η αποτελεσματική εφαρμογή των κυρώσεων της ΕΕ σε ολόκληρη την Ευρωπαϊκή Ένωση·</w:t>
      </w:r>
    </w:p>
    <w:p w:rsidR="00D66ACE" w:rsidRPr="0089313D" w:rsidRDefault="0089313D" w:rsidP="0089313D">
      <w:pPr>
        <w:spacing w:after="240"/>
        <w:ind w:left="567" w:hanging="573"/>
      </w:pPr>
      <w:r w:rsidRPr="0089313D">
        <w:rPr>
          <w:rFonts w:eastAsiaTheme="minorHAnsi"/>
          <w:szCs w:val="24"/>
          <w:lang w:eastAsia="en-US"/>
        </w:rPr>
        <w:t>79.</w:t>
      </w:r>
      <w:r w:rsidRPr="0089313D">
        <w:rPr>
          <w:rFonts w:eastAsiaTheme="minorHAnsi"/>
          <w:szCs w:val="24"/>
          <w:lang w:eastAsia="en-US"/>
        </w:rPr>
        <w:tab/>
      </w:r>
      <w:r w:rsidR="00D66ACE" w:rsidRPr="0089313D">
        <w:t>επισημαίνει τον ρόλο του FRA ως βασικού θεματοφύλακα των θεμελιωδών δικαιωμάτων και του κράτους δικαίου, όπως κατοχυρώνονται στον Χάρτη των Θεμελιωδών Δικαιωμάτων, και επικροτεί τη στήριξή του προκειμένου να διασφαλιστεί ο σεβασμός, η προστασία και η πραγμάτωση των θεμελιωδών δικαιωμάτων στις υφιστάμενες και μελλοντικές νομικές πράξεις και πολιτικές της ΕΕ στον τομέα της ισότητας και της καταπολέμησης των διακρίσεων, όπως το δίκαιο και οι πολιτικές της ΕΕ για την καταπολέμηση του ρατσισμού, του αντισημιτισμού και της ισλαμοφοβίας, με τη στήριξη της συλλογής δεδομένων για την ισότητα και την εφαρμογή στρατηγικών για την ισότητα και την καταπολέμηση του ρατσισμού, όπως τα εθνικά στρατηγικά πλαίσια για τους Ρομά, καθώς και με την παροχή στοιχείων για την ενδιάμεση επανεξέταση της στρατηγικής για την ισότητα των ΛΟΑΤΚΙ 2020-2025, την προστασία της κοινωνίας των πολιτών και των υπερασπιστών των ανθρωπίνων δικαιωμάτων που διατρέχουν κίνδυνο, όπως και με τη στήριξη της αναθεώρησης της οδηγίας για τα δικαιώματα των θυμάτων, του σχεδίου δράσης για την καταπολέμηση του ρατσισμού και της στρατηγικής της ΕΕ για την καταπολέμηση του αντισημιτισμού και τη διαφύλαξη της εβραϊκής ζωής, και με την παροχή συμβουλών σχετικά με τη συμμόρφωση με τα θεμελιώδη δικαιώματα όσον αφορά την ανάπτυξη και τη χρήση συστημάτων ΤΝ και την εκτέλεση και τη χρήση των κονδυλίων της ΕΕ·</w:t>
      </w:r>
    </w:p>
    <w:p w:rsidR="00D66ACE" w:rsidRPr="0089313D" w:rsidRDefault="0089313D" w:rsidP="0089313D">
      <w:pPr>
        <w:spacing w:after="240"/>
        <w:ind w:left="567" w:hanging="573"/>
      </w:pPr>
      <w:r w:rsidRPr="0089313D">
        <w:rPr>
          <w:rFonts w:eastAsiaTheme="minorHAnsi"/>
          <w:szCs w:val="24"/>
          <w:lang w:eastAsia="en-US"/>
        </w:rPr>
        <w:t>80.</w:t>
      </w:r>
      <w:r w:rsidRPr="0089313D">
        <w:rPr>
          <w:rFonts w:eastAsiaTheme="minorHAnsi"/>
          <w:szCs w:val="24"/>
          <w:lang w:eastAsia="en-US"/>
        </w:rPr>
        <w:tab/>
      </w:r>
      <w:r w:rsidR="00D66ACE" w:rsidRPr="0089313D">
        <w:t>τονίζει την καθοδήγηση και τη δέσμευση του FRA στον τομέα του ασύλου και της μετανάστευσης, των συνόρων και της διαλειτουργικότητας, καθώς και τη σημαντική εστίασή του στα θεμελιώδη δικαιώματα, στις διεθνείς υποχρεώσεις των κρατών μελών και στο δίκαιο της ΕΕ για τα ανθρώπινα δικαιώματα στον τομέα αυτό, συμπεριλαμβανομένης της συνεργασίας με τον Οργανισμό της Ευρωπαϊκής Ένωσης για το Άσυλο (EUAA) με στόχο να βελτιωθεί η κατανόηση της σημασίας των κηδεμόνων και των νόμιμων εκπροσώπων που βοηθούν ασυνόδευτα παιδιά που ζητούν διεθνή προστασία εντός της Ένωσης, και η κατάρτιση που παρέχεται στο προσωπικό της Ευρωπόλ, ώστε να ενισχυθεί η ευαισθητοποίηση και η κατανόηση των ζητημάτων που αφορούν τα θεμελιώδη δικαιώματα στα σχετικά επιχειρησιακά πλαίσια· εκφράζει την ικανοποίησή του για την έγκαιρη συμβολή του FRA στην εφαρμογή της οδηγίας για την προσωρινή προστασία σε σχέση με τους πρόσφυγες που εγκαταλείπουν την Ουκρανία, καθώς και στον εντοπισμό των προκλήσεων όσον αφορά την εφαρμογή του δικαίου της Ένωσης για τους επί μακρόν διαμένοντες, όπως και στον προσδιορισμό των αδυναμιών όσον αφορά τον κώδικα θεωρήσεων και των ενεργειών που μπορούν να πραγματοποιηθούν από την Ένωση και τα κράτη μέλη της για να μειωθούν οι θάνατοι στη θάλασσα·</w:t>
      </w:r>
    </w:p>
    <w:p w:rsidR="00D66ACE" w:rsidRPr="0089313D" w:rsidRDefault="0089313D" w:rsidP="0089313D">
      <w:pPr>
        <w:spacing w:after="240"/>
        <w:ind w:left="567" w:hanging="573"/>
      </w:pPr>
      <w:r w:rsidRPr="0089313D">
        <w:rPr>
          <w:rFonts w:eastAsiaTheme="minorHAnsi"/>
          <w:szCs w:val="24"/>
          <w:lang w:eastAsia="en-US"/>
        </w:rPr>
        <w:t>81.</w:t>
      </w:r>
      <w:r w:rsidRPr="0089313D">
        <w:rPr>
          <w:rFonts w:eastAsiaTheme="minorHAnsi"/>
          <w:szCs w:val="24"/>
          <w:lang w:eastAsia="en-US"/>
        </w:rPr>
        <w:tab/>
      </w:r>
      <w:r w:rsidR="00D66ACE" w:rsidRPr="0089313D">
        <w:t>εκφράζει την ικανοποίησή του για τη συμβολή του FRA στην αξιολόγηση του κανονισμού για την Ευρωπαϊκή Συνοριοφυλακή και Ακτοφυλακή, τη συμμετοχή στις συνεδριάσεις του διοικητικού συμβουλίου του Ευρωπαϊκού Οργανισμού Συνοριοφυλακής και Ακτοφυλακής (</w:t>
      </w:r>
      <w:proofErr w:type="spellStart"/>
      <w:r w:rsidR="00D66ACE" w:rsidRPr="0089313D">
        <w:t>Frontex</w:t>
      </w:r>
      <w:proofErr w:type="spellEnd"/>
      <w:r w:rsidR="00D66ACE" w:rsidRPr="0089313D">
        <w:t xml:space="preserve">) και τη </w:t>
      </w:r>
      <w:proofErr w:type="spellStart"/>
      <w:r w:rsidR="00D66ACE" w:rsidRPr="0089313D">
        <w:t>συμπροεδρία</w:t>
      </w:r>
      <w:proofErr w:type="spellEnd"/>
      <w:r w:rsidR="00D66ACE" w:rsidRPr="0089313D">
        <w:t xml:space="preserve"> του συμβουλευτικού φόρουμ του Frontex για τα θεμελιώδη δικαιώματα, καθώς και τη συνεργασία με τον υπεύθυνο θεμελιωδών δικαιωμάτων του Frontex·</w:t>
      </w:r>
    </w:p>
    <w:p w:rsidR="00D66ACE" w:rsidRPr="0089313D" w:rsidRDefault="0089313D" w:rsidP="0089313D">
      <w:pPr>
        <w:spacing w:after="240"/>
        <w:ind w:left="567" w:hanging="573"/>
      </w:pPr>
      <w:r w:rsidRPr="0089313D">
        <w:rPr>
          <w:rFonts w:eastAsiaTheme="minorHAnsi"/>
          <w:szCs w:val="24"/>
          <w:lang w:eastAsia="en-US"/>
        </w:rPr>
        <w:lastRenderedPageBreak/>
        <w:t>82.</w:t>
      </w:r>
      <w:r w:rsidRPr="0089313D">
        <w:rPr>
          <w:rFonts w:eastAsiaTheme="minorHAnsi"/>
          <w:szCs w:val="24"/>
          <w:lang w:eastAsia="en-US"/>
        </w:rPr>
        <w:tab/>
      </w:r>
      <w:r w:rsidR="00D66ACE" w:rsidRPr="0089313D">
        <w:t>σημειώνει με ικανοποίηση ότι ο FRA παρείχε ανάλυση και εμπειρογνωσία σχετικά με τα θεμελιώδη δικαιώματα για τη στήριξη των δραστηριοτήτων και του έργου άλλων οργανισμών της ΕΕ στον τομέα της δικαιοσύνης και των εσωτερικών υποθέσεων (ΔΕΥ), συμπεριλαμβανομένων του EUAA, του Frontex, της Ευρωπόλ, του Οργανισμού της Ευρωπαϊκής Ένωσης για τη Λειτουργική Διαχείριση Συστημάτων ΤΠ Μεγάλης Κλίμακας στον Χώρο Ελευθερίας, Ασφάλειας και Δικαιοσύνης (eu-LISA) και του Οργανισμού της Ευρωπαϊκής Ένωσης για την Κατάρτιση στον Τομέα της Επιβολής του Νόμου (CEPOL)· εκφράζει την ικανοποίησή του για τη συμβολή του FRA το 2023 στην προώθηση του σεβασμού των θεμελιωδών δικαιωμάτων, μεταξύ άλλων με την παροχή καθοδήγησης όσον αφορά τα κονδύλια της ΕΕ και την αντιμετώπιση των προκλήσεων που συνεπάγονται οι νέες τεχνολογίες· καλεί τον FRA να προσδιορίσει τον βαθμό στον οποίο το κράτος δικαίου και τα θεμελιώδη δικαιώματα είναι άρρηκτα συνδεδεμένα, καθώς και τον τρόπο με τον οποίο το έργο του θα μπορούσε να ενσωματωθεί ή να αναπτυχθεί σε συνέργεια με εκείνο της Ευρωπαϊκής Επιτροπής στο πλαίσιο της ετήσιας έκθεσης για το κράτος δικαίου·</w:t>
      </w:r>
    </w:p>
    <w:p w:rsidR="00D66ACE" w:rsidRPr="0089313D" w:rsidRDefault="0089313D" w:rsidP="0089313D">
      <w:pPr>
        <w:spacing w:after="240"/>
        <w:ind w:left="567" w:hanging="573"/>
      </w:pPr>
      <w:r w:rsidRPr="0089313D">
        <w:rPr>
          <w:rFonts w:eastAsiaTheme="minorHAnsi"/>
          <w:szCs w:val="24"/>
          <w:lang w:eastAsia="en-US"/>
        </w:rPr>
        <w:t>83.</w:t>
      </w:r>
      <w:r w:rsidRPr="0089313D">
        <w:rPr>
          <w:rFonts w:eastAsiaTheme="minorHAnsi"/>
          <w:szCs w:val="24"/>
          <w:lang w:eastAsia="en-US"/>
        </w:rPr>
        <w:tab/>
      </w:r>
      <w:r w:rsidR="00D66ACE" w:rsidRPr="0089313D">
        <w:t xml:space="preserve">επικροτεί την επιτυχή ανάπτυξη του PERCI (πλατφόρμα της ΕΕ για το παράνομο περιεχόμενο στο διαδίκτυο) από την Ευρωπόλ, ιδίως με την πλήρη εφαρμογή των συστάσεων του Ευρωπαίου Επόπτη Προστασίας Δεδομένων (ΕΕΠΔ)· εκφράζει την ικανοποίησή του για την ισχυρή συνεργασία με τον ΕΕΠΔ και για την κοινή ομάδα εργασίας που συνέστησε μαζί με τον Frontex για να δοθεί συνέχεια στις συστάσεις του ΕΕΠΔ σε σχέση με το πρόγραμμα </w:t>
      </w:r>
      <w:proofErr w:type="spellStart"/>
      <w:r w:rsidR="00D66ACE" w:rsidRPr="0089313D">
        <w:t>PeDRA</w:t>
      </w:r>
      <w:proofErr w:type="spellEnd"/>
      <w:r w:rsidR="00D66ACE" w:rsidRPr="0089313D">
        <w:t xml:space="preserve"> του </w:t>
      </w:r>
      <w:proofErr w:type="spellStart"/>
      <w:r w:rsidR="00D66ACE" w:rsidRPr="0089313D">
        <w:t>Frontex</w:t>
      </w:r>
      <w:proofErr w:type="spellEnd"/>
      <w:r w:rsidR="00D66ACE" w:rsidRPr="0089313D">
        <w:t xml:space="preserve"> (επεξεργασία δεδομένων προσωπικού χαρακτήρα για ανάλυση κινδύνου), στο πλαίσιο του οποίου αμφότεροι οι οργανισμοί έχουν έντονο ενδιαφέρον για την προστασία των θεμελιωδών δικαιωμάτων με παράλληλη προώθηση της ασφάλειας·</w:t>
      </w:r>
    </w:p>
    <w:p w:rsidR="00D66ACE" w:rsidRPr="0089313D" w:rsidRDefault="0089313D" w:rsidP="0089313D">
      <w:pPr>
        <w:spacing w:after="240"/>
        <w:ind w:left="567" w:hanging="573"/>
      </w:pPr>
      <w:r w:rsidRPr="0089313D">
        <w:rPr>
          <w:rFonts w:eastAsiaTheme="minorHAnsi"/>
          <w:szCs w:val="24"/>
          <w:lang w:eastAsia="en-US"/>
        </w:rPr>
        <w:t>84.</w:t>
      </w:r>
      <w:r w:rsidRPr="0089313D">
        <w:rPr>
          <w:rFonts w:eastAsiaTheme="minorHAnsi"/>
          <w:szCs w:val="24"/>
          <w:lang w:eastAsia="en-US"/>
        </w:rPr>
        <w:tab/>
      </w:r>
      <w:r w:rsidR="00D66ACE" w:rsidRPr="0089313D">
        <w:t>εκφράζει την ικανοποίησή του για την εφαρμογή του κανονισμού για την Ευρωπόλ</w:t>
      </w:r>
      <w:r w:rsidR="00D66ACE" w:rsidRPr="0089313D">
        <w:rPr>
          <w:vertAlign w:val="superscript"/>
        </w:rPr>
        <w:footnoteReference w:id="424"/>
      </w:r>
      <w:r w:rsidR="00D66ACE" w:rsidRPr="0089313D">
        <w:t>, όπως τροποποιήθηκε το 2022, ιδίως για τον ταχύ διορισμό υπευθύνου θεμελιωδών δικαιωμάτων τον Ιανουάριο του 2023, γεγονός που σηματοδοτεί ένα σημαντικό βήμα προς την ενίσχυση της δέσμευσης της Ευρωπόλ για τα ανθρώπινα δικαιώματα στις επιχειρήσεις της·</w:t>
      </w:r>
    </w:p>
    <w:p w:rsidR="00D66ACE" w:rsidRPr="0089313D" w:rsidRDefault="0089313D" w:rsidP="0089313D">
      <w:pPr>
        <w:spacing w:after="240"/>
        <w:ind w:left="567" w:hanging="573"/>
      </w:pPr>
      <w:r w:rsidRPr="0089313D">
        <w:rPr>
          <w:rFonts w:eastAsiaTheme="minorHAnsi"/>
          <w:szCs w:val="24"/>
          <w:lang w:eastAsia="en-US"/>
        </w:rPr>
        <w:t>85.</w:t>
      </w:r>
      <w:r w:rsidRPr="0089313D">
        <w:rPr>
          <w:rFonts w:eastAsiaTheme="minorHAnsi"/>
          <w:szCs w:val="24"/>
          <w:lang w:eastAsia="en-US"/>
        </w:rPr>
        <w:tab/>
      </w:r>
      <w:r w:rsidR="00D66ACE" w:rsidRPr="0089313D">
        <w:t>αναγνωρίζει τη σημασία των τοπικών πρωτοβουλιών που ενισχύουν τα συστήματα υγείας, καθώς και των περιβαλλοντικών πρωτοβουλιών, με παράλληλη ενίσχυση της συνεργασίας με τα κράτη μέλη και τους οργανισμούς (ECDC, ECHA, ΕΟΠ, EFSA, EMA)· ζητεί να βελτιωθεί η προσέγγιση κατανομής της χρηματοδότησης, με προτεραιότητα στη μείωση του διοικητικού φόρτου και διοχέτευση των πόρων απευθείας στους τελικούς αποδέκτες μέσω της απλούστευσης των διαδικασιών προκειμένου να ενισχυθεί η προσβασιμότητα των οικονομικών παραγόντων επιτόπου·</w:t>
      </w:r>
    </w:p>
    <w:p w:rsidR="00D66ACE" w:rsidRPr="0089313D" w:rsidRDefault="0089313D" w:rsidP="0089313D">
      <w:pPr>
        <w:spacing w:after="240"/>
        <w:ind w:left="567" w:hanging="573"/>
      </w:pPr>
      <w:r w:rsidRPr="0089313D">
        <w:rPr>
          <w:rFonts w:eastAsiaTheme="minorHAnsi"/>
          <w:szCs w:val="24"/>
          <w:lang w:eastAsia="en-US"/>
        </w:rPr>
        <w:t>86.</w:t>
      </w:r>
      <w:r w:rsidRPr="0089313D">
        <w:rPr>
          <w:rFonts w:eastAsiaTheme="minorHAnsi"/>
          <w:szCs w:val="24"/>
          <w:lang w:eastAsia="en-US"/>
        </w:rPr>
        <w:tab/>
      </w:r>
      <w:r w:rsidR="00D66ACE" w:rsidRPr="0089313D">
        <w:t xml:space="preserve">σημειώνει ότι, μετά την αξιολόγηση της ΓΔ MOVE, η οποία διασφαλίζει την εποπτεία των τριών οργανισμών (EASA, EMSA, ERA), οι επιδόσεις τους για το 2023 ήταν </w:t>
      </w:r>
      <w:r w:rsidR="00D66ACE" w:rsidRPr="0089313D">
        <w:lastRenderedPageBreak/>
        <w:t>απόλυτα ευθυγραμμισμένες με τους συμφωνηθέντες στόχους της Επιτροπής: οι τακτικές δραστηριότητες παρακολούθησης και εποπτείας δεν εντόπισαν κανένα συγκεκριμένο ζήτημα που θα μπορούσε να έχει ουσιώδη αντίκτυπο στη διασφάλιση ενώ, επιπλέον, οι εκθέσεις των εξωτερικών και εσωτερικών ελεγκτών δεν επισήμαναν κανένα σημαντικό ζήτημα που θα μπορούσε να εγείρει πρόσθετες ανησυχίες για τη ΓΔ MOVE·</w:t>
      </w:r>
    </w:p>
    <w:p w:rsidR="00D66ACE" w:rsidRPr="0089313D" w:rsidRDefault="0089313D" w:rsidP="0089313D">
      <w:pPr>
        <w:spacing w:after="240"/>
        <w:ind w:left="567" w:hanging="573"/>
      </w:pPr>
      <w:r w:rsidRPr="0089313D">
        <w:rPr>
          <w:rFonts w:eastAsiaTheme="minorHAnsi"/>
          <w:szCs w:val="24"/>
          <w:lang w:eastAsia="en-US"/>
        </w:rPr>
        <w:t>87.</w:t>
      </w:r>
      <w:r w:rsidRPr="0089313D">
        <w:rPr>
          <w:rFonts w:eastAsiaTheme="minorHAnsi"/>
          <w:szCs w:val="24"/>
          <w:lang w:eastAsia="en-US"/>
        </w:rPr>
        <w:tab/>
      </w:r>
      <w:r w:rsidR="00D66ACE" w:rsidRPr="0089313D">
        <w:t>σημειώνει ότι το 2023 ο EASA ενίσχυσε σημαντικά τη συνεργασία του με στρατιωτικούς οργανισμούς εντός του πεδίου εφαρμογής που προβλέπεται από το σχέδιο δράσης της ΕΕ για τη στρατιωτική κινητικότητα 2.0 και έχει πλέον προσκληθεί σε όλες τις συνεδριάσεις της Επιτροπής Αερομεταφορών του ΝΑΤΟ· σημειώνει την έγκριση της στρατηγικής του Οργανισμού για την πολιτική στρατιωτική συνεργασία – τη μακρόχρονη προτεραιότητά του – που υποστηρίζει τη συμμετοχή του σε καθήκοντα πιστοποίησης για στρατιωτικά αεροσκάφη που προέρχονται από μη στρατιωτικά αεροσκάφη με βάση την προσέγγιση «όσο το δυνατόν πιο πολιτική και στρατιωτική μόνο στο μέτρο του αναγκαίου»·</w:t>
      </w:r>
    </w:p>
    <w:p w:rsidR="00D66ACE" w:rsidRPr="0089313D" w:rsidRDefault="0089313D" w:rsidP="0089313D">
      <w:pPr>
        <w:spacing w:after="240"/>
        <w:ind w:left="567" w:hanging="573"/>
      </w:pPr>
      <w:r w:rsidRPr="0089313D">
        <w:rPr>
          <w:rFonts w:eastAsiaTheme="minorHAnsi"/>
          <w:szCs w:val="24"/>
          <w:lang w:eastAsia="en-US"/>
        </w:rPr>
        <w:t>88.</w:t>
      </w:r>
      <w:r w:rsidRPr="0089313D">
        <w:rPr>
          <w:rFonts w:eastAsiaTheme="minorHAnsi"/>
          <w:szCs w:val="24"/>
          <w:lang w:eastAsia="en-US"/>
        </w:rPr>
        <w:tab/>
      </w:r>
      <w:r w:rsidR="00D66ACE" w:rsidRPr="0089313D">
        <w:t xml:space="preserve">σημειώνει ότι το 2023 ο EMSA συνέχισε να παρέχει εξαιρετικά αποτελεσματική βοήθεια για τη μείωση των επιπτώσεων του τομέα των θαλάσσιων μεταφορών στο περιβάλλον, μεταξύ άλλων μέσω της συμμετοχής του στις πολυάριθμες πρωτοβουλίες που σχετίζονται με την Ευρωπαϊκή Πράσινη Συμφωνία· λαμβάνει ιδιαίτερα υπόψη την τεχνική εμπειρογνωσία που παρασχέθηκε στο πλαίσιο της αναθεώρησης της δέσμης μέτρων για την ασφάλεια στη θάλασσα· επαινεί τη στήριξη του Οργανισμού προς την Επιτροπή και τα κράτη μέλη στην τελική έγκριση των προτάσεων που υποβλήθηκαν στο πλαίσιο της δέσμης προσαρμογής στον στόχο του 55 %, ιδίως όσον αφορά την επέκταση του συστήματος εμπορίας εκπομπών (ΣΕΔΕ) στις θαλάσσιες μεταφορές και του κανονισμού </w:t>
      </w:r>
      <w:proofErr w:type="spellStart"/>
      <w:r w:rsidR="00D66ACE" w:rsidRPr="0089313D">
        <w:t>FuelEU</w:t>
      </w:r>
      <w:proofErr w:type="spellEnd"/>
      <w:r w:rsidR="00D66ACE" w:rsidRPr="0089313D">
        <w:t xml:space="preserve"> Maritime· στο πλαίσιο αυτό, εκφράζει την επιδοκιμασία του για τη συνεχιζόμενη έρευνά του σχετικά με το δυναμικό των διαφόρων εναλλακτικών καυσίμων και τα συναφή ζητήματα ασφάλειας που προκύπτουν από την υιοθέτηση και την ανάπτυξη βιώσιμων εναλλακτικών πηγών ενέργειας για τα πλοία· χαιρετίζει την προσαρμογή της THETIS-MRV στις απαιτήσεις της νομοθεσίας για το ΣΕΔΕ·</w:t>
      </w:r>
    </w:p>
    <w:p w:rsidR="00D66ACE" w:rsidRPr="0089313D" w:rsidRDefault="0089313D" w:rsidP="0089313D">
      <w:pPr>
        <w:spacing w:after="240"/>
        <w:ind w:left="567" w:hanging="573"/>
      </w:pPr>
      <w:r w:rsidRPr="0089313D">
        <w:rPr>
          <w:rFonts w:eastAsiaTheme="minorHAnsi"/>
          <w:szCs w:val="24"/>
          <w:lang w:eastAsia="en-US"/>
        </w:rPr>
        <w:t>89.</w:t>
      </w:r>
      <w:r w:rsidRPr="0089313D">
        <w:rPr>
          <w:rFonts w:eastAsiaTheme="minorHAnsi"/>
          <w:szCs w:val="24"/>
          <w:lang w:eastAsia="en-US"/>
        </w:rPr>
        <w:tab/>
      </w:r>
      <w:r w:rsidR="00D66ACE" w:rsidRPr="0089313D">
        <w:t>εκφράζει την ικανοποίησή του για τη συνεχιζόμενη και αυξανόμενη συνεργασία και την κοινή χρήση πόρων των πέντε οργανισμών μεταξύ τους (EUROFOUND, CEDEFOP. ETF, EU OSHA, ELA) και με άλλα θεσμικά όργανα, συμπεριλαμβανομένων άλλων οργανισμών της ΕΕ, της Επιτροπής και του Κοινοβουλίου·</w:t>
      </w:r>
    </w:p>
    <w:p w:rsidR="00D66ACE" w:rsidRPr="0089313D" w:rsidRDefault="0089313D" w:rsidP="0089313D">
      <w:pPr>
        <w:spacing w:after="240"/>
        <w:ind w:left="567" w:hanging="573"/>
      </w:pPr>
      <w:r w:rsidRPr="0089313D">
        <w:rPr>
          <w:rFonts w:eastAsiaTheme="minorHAnsi"/>
          <w:szCs w:val="24"/>
          <w:lang w:eastAsia="en-US"/>
        </w:rPr>
        <w:t>90.</w:t>
      </w:r>
      <w:r w:rsidRPr="0089313D">
        <w:rPr>
          <w:rFonts w:eastAsiaTheme="minorHAnsi"/>
          <w:szCs w:val="24"/>
          <w:lang w:eastAsia="en-US"/>
        </w:rPr>
        <w:tab/>
      </w:r>
      <w:r w:rsidR="00D66ACE" w:rsidRPr="0089313D">
        <w:t>καλεί την Επιτροπή να διασφαλίσει καλύτερη χρήση της πραγματογνωσίας των οργανισμών (EUROFOUND, CEDEFOP. ETF, EU OSHA, ELA) στους σχετικούς τομείς πολιτικής όσον αφορά, για παράδειγμα, την κατάρτιση εκθέσεων και μελετών, τη διεξαγωγή ερευνών και επισκοπήσεων που μπορούν να συμβάλουν στην αποδοτικότερη αξιοποίηση των υφιστάμενων δημοσιονομικών πόρων της Ένωσης σε σύγκριση με εναλλακτικές λύσεις· εκτιμά τις προσπάθειες των πέντε οργανισμών να αναπτύξουν περαιτέρω την ψηφιακή και διαδικτυακή επικοινωνία τους, προκειμένου να αυξήσουν την προβολή τους και την ευαισθητοποίηση σχετικά με το έργο υψηλού αντικτύπου που προσφέρουν· τονίζει, εν προκειμένω, τις μη αξιοποιούμενες δυνατότητες για την παροχή συγκεκριμένων σχετικών πληροφοριών και προϊόντων ίδιας ποιότητας με τους εξωτερικούς συμβούλους, όταν το επιτρέπουν οι εντολές των οργανισμών·</w:t>
      </w:r>
    </w:p>
    <w:p w:rsidR="00D66ACE" w:rsidRPr="0089313D" w:rsidRDefault="0089313D" w:rsidP="0089313D">
      <w:pPr>
        <w:spacing w:after="240"/>
        <w:ind w:left="567" w:hanging="573"/>
      </w:pPr>
      <w:r w:rsidRPr="0089313D">
        <w:rPr>
          <w:rFonts w:eastAsiaTheme="minorHAnsi"/>
          <w:szCs w:val="24"/>
          <w:lang w:eastAsia="en-US"/>
        </w:rPr>
        <w:lastRenderedPageBreak/>
        <w:t>91.</w:t>
      </w:r>
      <w:r w:rsidRPr="0089313D">
        <w:rPr>
          <w:rFonts w:eastAsiaTheme="minorHAnsi"/>
          <w:szCs w:val="24"/>
          <w:lang w:eastAsia="en-US"/>
        </w:rPr>
        <w:tab/>
      </w:r>
      <w:r w:rsidR="00D66ACE" w:rsidRPr="0089313D">
        <w:t>εκφράζει την ικανοποίησή του για τις προσπάθειες των οργανισμών (EUROFOUND, CEDEFOP. ETF, EU OSHA, ELA) να εφαρμόσουν πολιτικές για τη διαφορετικότητα και τη συμπεριληπτικότητα, ιδίως όσον αφορά τα άτομα με αναπηρία· ενθαρρύνει τους οργανισμούς να ενισχύσουν τη συλλογή συγκρίσιμων δεδομένων σχετικά με την απασχόληση των ατόμων με αναπηρία· αναγνωρίζει την πρόοδο που έχει σημειωθεί στους οργανισμούς όσον αφορά την ισόρροπη εκπροσώπηση των φύλων στο προσωπικό τους: ζητεί να καταβληθούν περαιτέρω προσπάθειες για να διασφαλιστεί η ισόρροπη εκπροσώπηση των φύλων και σε επίπεδο ανώτερων διοικητικών στελεχών και να ενσωματωθεί η διάσταση του φύλου σε όλες τις δραστηριότητές τους·</w:t>
      </w:r>
    </w:p>
    <w:p w:rsidR="00D66ACE" w:rsidRPr="0089313D" w:rsidRDefault="0089313D" w:rsidP="0089313D">
      <w:pPr>
        <w:spacing w:after="240"/>
        <w:ind w:left="567" w:hanging="573"/>
      </w:pPr>
      <w:r w:rsidRPr="0089313D">
        <w:rPr>
          <w:rFonts w:eastAsiaTheme="minorHAnsi"/>
          <w:szCs w:val="24"/>
          <w:lang w:eastAsia="en-US"/>
        </w:rPr>
        <w:t>92.</w:t>
      </w:r>
      <w:r w:rsidRPr="0089313D">
        <w:rPr>
          <w:rFonts w:eastAsiaTheme="minorHAnsi"/>
          <w:szCs w:val="24"/>
          <w:lang w:eastAsia="en-US"/>
        </w:rPr>
        <w:tab/>
      </w:r>
      <w:r w:rsidR="00D66ACE" w:rsidRPr="0089313D">
        <w:t>σημειώνει ότι οι προσπάθειες παρακολούθησης του προϋπολογισμού κατά τη διάρκεια του οικονομικού έτους 2023 είχαν ως αποτέλεσμα ποσοστό εκτέλεσης των πιστώσεων ανάληψης υποχρεώσεων του τρέχοντος έτους κατά μέσο όρο άνω του 97 %, με εξαίρεση το CdT και την ELA, τα οποία είχαν ποσοστά 89,55 % και 93,72 % αντίστοιχα· σημειώνει ότι οι οργανισμοί που παρουσιάζουν το χαμηλότερο ποσοστό εκτέλεσης των πιστώσεων πληρωμών του τρέχοντος έτους έχουν ως εξής, με αύξουσα σειρά και τα αντίστοιχα ποσοστά τους: ο ESA στο 47,61 %, ο Frontex στο 55,37 %, ο EU-OSHA στο 68,83 %, ο ACER στο 70,69 % και το ECDC στο 71,79 %·</w:t>
      </w:r>
    </w:p>
    <w:p w:rsidR="00D66ACE" w:rsidRPr="0089313D" w:rsidRDefault="0089313D" w:rsidP="0089313D">
      <w:pPr>
        <w:pStyle w:val="NormalHanging12a"/>
        <w:ind w:hanging="573"/>
      </w:pPr>
      <w:r w:rsidRPr="0089313D">
        <w:t>93.</w:t>
      </w:r>
      <w:r w:rsidRPr="0089313D">
        <w:tab/>
      </w:r>
      <w:r w:rsidR="00D66ACE" w:rsidRPr="0089313D">
        <w:t>σημειώνει την αύξηση του προϋπολογισμού του EUAA το 2023, από 168 εκατομμύρια EUR σε 170 εκατομμύρια EUR (+0,77 %), και του προσωπικού του, από 519 σε 529 υπαλλήλους (+2 %)· επαναλαμβάνει τον σημαντικό ρόλο του Οργανισμού της Ευρωπαϊκής Ένωσης για το Άσυλο στη στήριξη των κρατών μελών κατά την εφαρμογή του κοινού ευρωπαϊκού συστήματος ασύλου και στην παρακολούθηση της ορθής εφαρμογής του· υπενθυμίζει ότι, στην έκθεσή της για την απαλλαγή του Οργανισμού της Ευρωπαϊκής Ένωσης για το Άσυλο για το 2022, η αρμόδια για την απαλλαγή αρχή τόνισε ανησυχίες σχετικά με την εσωτερική διαχείριση και τις διαδικασίες του Οργανισμού, επισημαίνοντας ότι η OLAF είχε κινήσει έρευνα, η οποία έχει πλέον ολοκληρωθεί, η οποία φέρεται να αφορά τον νεποτισμό και άλλα ζητήματα που επηρεάζουν τη δημοσιονομική του διαχείριση· εκφράζει τη λύπη του για το γεγονός ότι η εκτελεστική διευθύντρια του Οργανισμού απέφυγε να δώσει απαντήσεις κατά την προπαρασκευαστική ακρόαση για την απαλλαγή στην επιτροπή CONT· εκφράζει την ανησυχία του για το γεγονός ότι το διοικητικό συμβούλιο του Οργανισμού αρνείται να κοινοποιήσει το περιεχόμενο και τη σύσταση της εν λόγω έκθεσης της OLAF στην αρμόδια για την απαλλαγή αρχή· καλεί τον Οργανισμό να καταστήσει αμέσως διαθέσιμα τα πορίσματα της έκθεσης·</w:t>
      </w:r>
    </w:p>
    <w:p w:rsidR="00D66ACE" w:rsidRPr="0089313D" w:rsidRDefault="0089313D" w:rsidP="0089313D">
      <w:pPr>
        <w:spacing w:after="240"/>
        <w:ind w:left="567" w:hanging="573"/>
      </w:pPr>
      <w:r w:rsidRPr="0089313D">
        <w:rPr>
          <w:rFonts w:eastAsiaTheme="minorHAnsi"/>
          <w:szCs w:val="24"/>
          <w:lang w:eastAsia="en-US"/>
        </w:rPr>
        <w:t>94.</w:t>
      </w:r>
      <w:r w:rsidRPr="0089313D">
        <w:rPr>
          <w:rFonts w:eastAsiaTheme="minorHAnsi"/>
          <w:szCs w:val="24"/>
          <w:lang w:eastAsia="en-US"/>
        </w:rPr>
        <w:tab/>
      </w:r>
      <w:r w:rsidR="00D66ACE" w:rsidRPr="0089313D">
        <w:t>θεωρεί ότι η τελική έκθεση της OLAF (OC-2022-0717) σχετικά με τον EUAA καταλήγει σε πολύ ανησυχητικά συμπεράσματα σχετικά με τα αποδεδειγμένα γεγονότα, τα οποία θέτουν σε κίνδυνο τη σταθερότητα, τη διακυβέρνηση και τη φήμη του Οργανισμού, αναγκάζοντας τον Οργανισμό να αναβάλει την απαλλαγή για το οικονομικό έτος 2023· υπενθυμίζει, επιπλέον, ότι η OLAF διαπίστωσε και ποσοτικοποίησε δημοσιονομικές επιπτώσεις που δεν μπορούν να ανακτηθούν, γεγονός που επιβεβαιώνει τον αρνητικό αντίκτυπο στη χρηστή δημοσιονομική διαχείριση των πόρων του οργανισμού· ζητεί, επομένως, ολοκληρωμένη παρακολούθηση από το διοικητικό συμβούλιο, στην οποία θα περιγράφονται λεπτομερώς όλα τα μέτρα που έχουν ληφθεί για τη διόρθωση των αδυναμιών που εντοπίστηκαν·</w:t>
      </w:r>
    </w:p>
    <w:p w:rsidR="00D66ACE" w:rsidRPr="0089313D" w:rsidRDefault="0089313D" w:rsidP="0089313D">
      <w:pPr>
        <w:spacing w:after="240"/>
        <w:ind w:left="567" w:hanging="573"/>
      </w:pPr>
      <w:r w:rsidRPr="0089313D">
        <w:rPr>
          <w:rFonts w:eastAsiaTheme="minorHAnsi"/>
          <w:szCs w:val="24"/>
          <w:lang w:eastAsia="en-US"/>
        </w:rPr>
        <w:t>95.</w:t>
      </w:r>
      <w:r w:rsidRPr="0089313D">
        <w:rPr>
          <w:rFonts w:eastAsiaTheme="minorHAnsi"/>
          <w:szCs w:val="24"/>
          <w:lang w:eastAsia="en-US"/>
        </w:rPr>
        <w:tab/>
      </w:r>
      <w:r w:rsidR="00E930E6" w:rsidRPr="0089313D">
        <w:t xml:space="preserve">παροτρύνει τον Οργανισμό να αποσαφηνίσει πλήρως όλα τα εκκρεμή ζητήματα, να εφαρμόσει τις συστάσεις της OLAF με αξιόπιστο και διαφανή τρόπο και να θεσπίσει ισχυρούς μηχανισμούς εσωτερικού ελέγχου, δεοντολογικής εποπτείας και λογοδοσίας· </w:t>
      </w:r>
      <w:r w:rsidR="00E930E6" w:rsidRPr="0089313D">
        <w:lastRenderedPageBreak/>
        <w:t>καλεί τον Οργανισμό να ενημερώσει την αρμόδια για την απαλλαγή αρχή σχετικά με τυχόν διορθωτικά μέτρα που έλαβε χωρίς αδικαιολόγητες καθυστερήσεις·</w:t>
      </w:r>
    </w:p>
    <w:p w:rsidR="00D66ACE" w:rsidRPr="0089313D" w:rsidRDefault="00D66ACE" w:rsidP="00D66ACE">
      <w:pPr>
        <w:spacing w:after="240"/>
        <w:ind w:left="567" w:hanging="567"/>
        <w:rPr>
          <w:b/>
          <w:i/>
        </w:rPr>
      </w:pPr>
      <w:r w:rsidRPr="0089313D">
        <w:rPr>
          <w:b/>
          <w:i/>
        </w:rPr>
        <w:t>Δημόσιες συμβάσεις</w:t>
      </w:r>
    </w:p>
    <w:p w:rsidR="00D66ACE" w:rsidRPr="0089313D" w:rsidRDefault="0089313D" w:rsidP="0089313D">
      <w:pPr>
        <w:pStyle w:val="NormalHanging12a"/>
        <w:ind w:hanging="573"/>
      </w:pPr>
      <w:r w:rsidRPr="0089313D">
        <w:t>96.</w:t>
      </w:r>
      <w:r w:rsidRPr="0089313D">
        <w:tab/>
      </w:r>
      <w:r w:rsidR="00D66ACE" w:rsidRPr="0089313D">
        <w:t>σημειώνει με ανησυχία ότι οι αδυναμίες στις δημόσιες συμβάσεις παραμένουν η μεγαλύτερη πηγή παράτυπων πληρωμών· επισημαίνει ότι το Ελεγκτικό Συνέδριο διατύπωσε 38 παρατηρήσεις σχετικά με αδυναμίες στον τομέα των δημόσιων συμβάσεων το 2023 (σε σύγκριση με 41 το 2022 και 28 το 2021)</w:t>
      </w:r>
      <w:r w:rsidR="00D66ACE" w:rsidRPr="0089313D">
        <w:rPr>
          <w:vertAlign w:val="superscript"/>
        </w:rPr>
        <w:footnoteReference w:id="425"/>
      </w:r>
      <w:r w:rsidR="00D66ACE" w:rsidRPr="0089313D">
        <w:t>· παροτρύνει τους οργανισμούς να θεσπίσουν μέτρα για να διασφαλίσουν την αυστηρή τήρηση των κανονισμών για τις δημόσιες συμβάσεις και των αρχών της διαφάνειας, του ανταγωνισμού και της σχέσης κόστους-αποτελεσματικότητας· υπενθυμίζει την ανάγκη για τακτικά προγράμματα κατάρτισης του προσωπικού σχετικά με τη δημοσιονομική διαχείριση, τους κανόνες σύναψης συμβάσεων και την πρόληψη της απάτης· ζητεί αυστηρότερα μέτρα λογοδοσίας που θα διασφαλίζουν ότι τυχόν συνεχιζόμενες ελλείψεις οδηγούν σε στοχευμένες διορθωτικές ενέργειες και συνέπειες σε περίπτωση επανειλημμένης μη συμμόρφωσης·</w:t>
      </w:r>
    </w:p>
    <w:p w:rsidR="00D66ACE" w:rsidRPr="0089313D" w:rsidRDefault="0089313D" w:rsidP="0089313D">
      <w:pPr>
        <w:spacing w:after="240"/>
        <w:ind w:left="567" w:hanging="573"/>
      </w:pPr>
      <w:r w:rsidRPr="0089313D">
        <w:rPr>
          <w:rFonts w:eastAsiaTheme="minorHAnsi"/>
          <w:szCs w:val="24"/>
          <w:lang w:eastAsia="en-US"/>
        </w:rPr>
        <w:t>97.</w:t>
      </w:r>
      <w:r w:rsidRPr="0089313D">
        <w:rPr>
          <w:rFonts w:eastAsiaTheme="minorHAnsi"/>
          <w:szCs w:val="24"/>
          <w:lang w:eastAsia="en-US"/>
        </w:rPr>
        <w:tab/>
      </w:r>
      <w:r w:rsidR="00D66ACE" w:rsidRPr="0089313D">
        <w:t>σημειώνει ότι, σύμφωνα με το Ελεγκτικό Συνέδριο, 13</w:t>
      </w:r>
      <w:r w:rsidR="00D66ACE" w:rsidRPr="0089313D">
        <w:rPr>
          <w:rStyle w:val="FootnoteReference"/>
        </w:rPr>
        <w:footnoteReference w:id="426"/>
      </w:r>
      <w:r w:rsidR="00D66ACE" w:rsidRPr="0089313D">
        <w:t xml:space="preserve"> από τις παρατηρήσεις σχετικά με αδυναμίες που οδήγησαν σε παράτυπες πληρωμές το 2023 αφορούν παρατυπίες που εντοπίστηκαν και αναφέρθηκαν σε προηγούμενους ελέγχους· σημειώνει ότι για τις υπόλοιπες 25 παρατηρήσεις, εννέα επηρέασαν τις πληρωμές και οι υπόλοιπες 16 δεν οδήγησαν σε παράτυπες πληρωμές το 2023· σημειώνει ότι οι παρατηρήσεις του έτους που δεν επηρέασαν τις πληρωμές αφορούν τους οργανισμούς ACER, EΑΤ, eu-LISA, ESMA, EMSA, ENISA, ERA, EIGE, ECDC, EΟΠ, EUDA, EUAA και ΕΑΑ· λαμβάνει υπό σημείωση τις απαντήσεις των οργανισμών και τους καλεί να λάβουν μέτρα για τη διόρθωση των αδυναμιών που εντοπίστηκαν και να υποβάλουν έκθεση στην αρμόδια για την απαλλαγή αρχή σχετικά με τα μέτρα που έχουν ληφθεί για την αντιμετώπισή τους·</w:t>
      </w:r>
    </w:p>
    <w:p w:rsidR="00D66ACE" w:rsidRPr="0089313D" w:rsidRDefault="0089313D" w:rsidP="0089313D">
      <w:pPr>
        <w:spacing w:after="240"/>
        <w:ind w:left="567" w:hanging="573"/>
      </w:pPr>
      <w:r w:rsidRPr="0089313D">
        <w:rPr>
          <w:rFonts w:eastAsiaTheme="minorHAnsi"/>
          <w:szCs w:val="24"/>
          <w:lang w:eastAsia="en-US"/>
        </w:rPr>
        <w:t>98.</w:t>
      </w:r>
      <w:r w:rsidRPr="0089313D">
        <w:rPr>
          <w:rFonts w:eastAsiaTheme="minorHAnsi"/>
          <w:szCs w:val="24"/>
          <w:lang w:eastAsia="en-US"/>
        </w:rPr>
        <w:tab/>
      </w:r>
      <w:r w:rsidR="00D66ACE" w:rsidRPr="0089313D">
        <w:t>εφιστά την προσοχή στις εννέα παρατηρήσεις του Ελεγκτικού Συνεδρίου για το έτος που αφορούν τις πληρωμές· σημειώνει ότι, στην περίπτωση του ENISA, του eu-LISA, καθώς και για την ELA, οι παρατυπίες που εντοπίστηκαν, μαζί με εκείνες που εντοπίστηκαν σε προηγούμενους ελέγχους που είχαν ως αποτέλεσμα πληρωμές το 2023 (μόνο για τον eu-LISA και την ELA), αποτελούν τη βάση για την έκδοση γνώμης με επιφύλαξη από το Ελεγκτικό Συνέδριο και περιγράφονται υπό τον τίτλο «Επισκόπηση των αποτελεσμάτων του ελέγχου» του παρόντος ψηφίσματος·</w:t>
      </w:r>
    </w:p>
    <w:p w:rsidR="00D66ACE" w:rsidRPr="0089313D" w:rsidRDefault="0089313D" w:rsidP="0089313D">
      <w:pPr>
        <w:spacing w:after="240"/>
        <w:ind w:left="567" w:hanging="573"/>
      </w:pPr>
      <w:r w:rsidRPr="0089313D">
        <w:rPr>
          <w:rFonts w:eastAsiaTheme="minorHAnsi"/>
          <w:szCs w:val="24"/>
          <w:lang w:eastAsia="en-US"/>
        </w:rPr>
        <w:t>99.</w:t>
      </w:r>
      <w:r w:rsidRPr="0089313D">
        <w:rPr>
          <w:rFonts w:eastAsiaTheme="minorHAnsi"/>
          <w:szCs w:val="24"/>
          <w:lang w:eastAsia="en-US"/>
        </w:rPr>
        <w:tab/>
      </w:r>
      <w:r w:rsidR="00D66ACE" w:rsidRPr="0089313D">
        <w:t xml:space="preserve">παρατηρεί ότι οι υπόλοιπες παρατηρήσεις του έτους που επηρεάζουν τις πληρωμές αφορούν το CdT, το EIGE, την EFCA, τον ERA και τον EU-OSHA με μία παρατήρηση ανά οργανισμό, με εξαίρεση τον τελευταίο οργανισμό που έχει δύο παρατηρήσεις· </w:t>
      </w:r>
      <w:r w:rsidR="00D66ACE" w:rsidRPr="0089313D">
        <w:lastRenderedPageBreak/>
        <w:t>σημειώνει ότι ο λόγος της παρατήρησης, καθώς και η απάντηση των οργανισμών στην παρατήρηση του Ελεγκτικού Συνεδρίου, αναλύονται ως εξής:</w:t>
      </w:r>
    </w:p>
    <w:p w:rsidR="00D66ACE" w:rsidRPr="0089313D" w:rsidRDefault="00D66ACE" w:rsidP="00D66ACE">
      <w:pPr>
        <w:pStyle w:val="ListParagraph"/>
        <w:spacing w:after="240"/>
        <w:ind w:left="1134" w:hanging="567"/>
        <w:contextualSpacing w:val="0"/>
        <w:jc w:val="left"/>
      </w:pPr>
      <w:r w:rsidRPr="0089313D">
        <w:t>–</w:t>
      </w:r>
      <w:r w:rsidRPr="0089313D">
        <w:tab/>
        <w:t>στην περίπτωση του CdT, η παρατήρηση αναφέρεται στην εσφαλμένη χρήση της διαδικασίας απευθείας ανάθεσης αντί της έναρξης ανταγωνιστικής διαδικασίας βάσει εκτίμησης του μελλοντικού κόστους, με αποτέλεσμα παράτυπες πληρωμές στο πλαίσιο των εν λόγω συμβάσεων συνολικού ύψους 25 800 EUR το 2023· λαμβάνει υπό σημείωση την απάντηση του CdT ότι θα οργανώσει απλουστευμένες ανταγωνιστικές διαδικασίες για υπηρεσίες συντήρησης που υπερβαίνουν τα 1 000 EUR·</w:t>
      </w:r>
    </w:p>
    <w:p w:rsidR="00D66ACE" w:rsidRPr="0089313D" w:rsidRDefault="00D66ACE" w:rsidP="00D66ACE">
      <w:pPr>
        <w:pStyle w:val="ListParagraph"/>
        <w:spacing w:after="240"/>
        <w:ind w:left="1134" w:hanging="567"/>
        <w:contextualSpacing w:val="0"/>
        <w:jc w:val="left"/>
      </w:pPr>
      <w:r w:rsidRPr="0089313D">
        <w:t>–</w:t>
      </w:r>
      <w:r w:rsidRPr="0089313D">
        <w:tab/>
        <w:t>στην περίπτωση του ERA, η παρατήρηση σχετίζεται με την υπογραφή ειδικής σύμβασης χωρίς προκήρυξη νέου διαγωνισμού, όπως απαιτείται από τη σύμβαση-πλαίσιο, η οποία οδήγησε σε πληρωμές συνολικού ύψους 254 400 EUR σε σχέση με την εν λόγω σύμβαση· σημειώνει την απάντηση του ERA ότι, από το 2024, ο Οργανισμός έχει αρχίσει να εφαρμόζει τη δική του προκήρυξη νέου διαγωνισμού για τις υπηρεσίες που εμπίπτουν στο πεδίο εφαρμογής·</w:t>
      </w:r>
    </w:p>
    <w:p w:rsidR="00D66ACE" w:rsidRPr="0089313D" w:rsidRDefault="00D66ACE" w:rsidP="00D66ACE">
      <w:pPr>
        <w:pStyle w:val="ListParagraph"/>
        <w:spacing w:after="240"/>
        <w:ind w:left="1134" w:hanging="567"/>
        <w:contextualSpacing w:val="0"/>
        <w:jc w:val="left"/>
      </w:pPr>
      <w:r w:rsidRPr="0089313D">
        <w:t>–</w:t>
      </w:r>
      <w:r w:rsidRPr="0089313D">
        <w:tab/>
        <w:t>η παρατήρηση του EIGE αναφέρεται σε εσφαλμένη εφαρμογή εκ των προτέρων ελέγχων, υπερβαίνοντας το ανώτατο όριο της σύμβασης-πλαισίου, καθώς και σε εσφαλμένη εφαρμογή ημερήσιων ποσών, με αποτέλεσμα παράτυπες πληρωμές ύψους 76 500 EUR· σημειώνει ότι το EIGE θα διασφαλίσει την ορθή εφαρμογή των διοργανικών συμβάσεων-πλαισίων με έμφαση στις συμβάσεις που σχετίζονται με τα ανθρώπινα δικαιώματα·</w:t>
      </w:r>
    </w:p>
    <w:p w:rsidR="00D66ACE" w:rsidRPr="0089313D" w:rsidRDefault="00D66ACE" w:rsidP="00D66ACE">
      <w:pPr>
        <w:pStyle w:val="ListParagraph"/>
        <w:spacing w:after="240"/>
        <w:ind w:left="1134" w:hanging="567"/>
        <w:contextualSpacing w:val="0"/>
        <w:jc w:val="left"/>
      </w:pPr>
      <w:r w:rsidRPr="0089313D">
        <w:t>–</w:t>
      </w:r>
      <w:r w:rsidRPr="0089313D">
        <w:tab/>
        <w:t>η EFCA χρησιμοποίησε διοργανική σύμβαση-πλαίσιο για την παροχή ταξιδιωτικών διακανονισμών πέραν του πεδίου εφαρμογής της για την απόκτηση υπηρεσιών διοργάνωσης εκδηλώσεων και οι σχετικές πληρωμές ύψους 257 300 EUR για το 2023 ήταν παράτυπες· σημειώνει ότι, σύμφωνα με την EFCA, ο Οργανισμός αντιμετώπισε απρόβλεπτες καταστάσεις που οδήγησαν σε διαδικαστικές καθυστερήσεις και θα αναπτύξει ως διορθωτικό μέτρο ένα σχέδιο έκτακτης ανάγκης για τον μετριασμό των επιπτώσεων απρόβλεπτων συμβάντων·</w:t>
      </w:r>
    </w:p>
    <w:p w:rsidR="00D66ACE" w:rsidRPr="0089313D" w:rsidRDefault="00D66ACE" w:rsidP="00D66ACE">
      <w:pPr>
        <w:pStyle w:val="ListParagraph"/>
        <w:spacing w:after="240"/>
        <w:ind w:left="1134" w:hanging="567"/>
        <w:contextualSpacing w:val="0"/>
        <w:jc w:val="left"/>
      </w:pPr>
      <w:r w:rsidRPr="0089313D">
        <w:t>–</w:t>
      </w:r>
      <w:r w:rsidRPr="0089313D">
        <w:tab/>
        <w:t>ο EU-OSHA έχει δύο παρατηρήσεις:</w:t>
      </w:r>
    </w:p>
    <w:p w:rsidR="00D66ACE" w:rsidRPr="0089313D" w:rsidRDefault="00D66ACE" w:rsidP="00D66ACE">
      <w:pPr>
        <w:pStyle w:val="ListParagraph"/>
        <w:spacing w:after="240"/>
        <w:ind w:left="1701" w:hanging="567"/>
        <w:contextualSpacing w:val="0"/>
        <w:jc w:val="left"/>
      </w:pPr>
      <w:r w:rsidRPr="0089313D">
        <w:t>1)</w:t>
      </w:r>
      <w:r w:rsidRPr="0089313D">
        <w:tab/>
        <w:t>παρατυπίες κατά την ανάθεση τριών διαδικασιών με διαπραγμάτευση με έναν μόνο οικονομικό φορέα, χωρίς δημοσίευση προκήρυξης διαγωνισμού που, σύμφωνα με το Ελεγκτικό Συνέδριο, δεν πληρούσε τις προϋποθέσεις που ορίζονται στο σημείο 11.1 στοιχείο γ) του παραρτήματος Ι του δημοσιονομικού κανονισμού και οδήγησε σε παράτυπες πληρωμές ύψους 67 100 EUR το 2023· λαμβάνει υπό σημείωση την απάντηση του EU-OSHA ότι βρισκόταν σε εξαιρετικά επείγουσα κατάσταση και δεν είχε άλλες βιώσιμες επιλογές για τη διασφάλιση της επιχειρησιακής συνέχειας·</w:t>
      </w:r>
    </w:p>
    <w:p w:rsidR="00D66ACE" w:rsidRPr="0089313D" w:rsidRDefault="00D66ACE" w:rsidP="00D66ACE">
      <w:pPr>
        <w:pStyle w:val="ListParagraph"/>
        <w:spacing w:after="240"/>
        <w:ind w:left="1701" w:hanging="567"/>
        <w:contextualSpacing w:val="0"/>
        <w:jc w:val="left"/>
      </w:pPr>
      <w:r w:rsidRPr="0089313D">
        <w:t>2)</w:t>
      </w:r>
      <w:r w:rsidRPr="0089313D">
        <w:tab/>
        <w:t xml:space="preserve">δύο συμβάσεις με απευθείας ανάθεση είχαν ως αποτέλεσμα παράτυπες πληρωμές ύψους 29 700 EUR· σημειώνει ότι οι συμβάσεις αυτές θα έπρεπε να είχαν συνδυαστεί σε ενιαία ανταγωνιστική διαδικασία, δεδομένου ότι αφορούσαν σχεδόν πανομοιότυπες υπηρεσίες, κατά παράβαση του άρθρου 160 του δημοσιονομικού κανονισμού, το οποίο απαγορεύει τον διαχωρισμό των συμβάσεων· σημειώνει ότι ο EU-OSHA θα βελτιώσει την τεκμηρίωση </w:t>
      </w:r>
      <w:r w:rsidRPr="0089313D">
        <w:lastRenderedPageBreak/>
        <w:t>των ερευνών αγοράς του και θα διερευνήσει εναλλακτικά εργαλεία για τις δημόσιες συμβάσεις·</w:t>
      </w:r>
    </w:p>
    <w:p w:rsidR="00D66ACE" w:rsidRPr="0089313D" w:rsidRDefault="0089313D" w:rsidP="0089313D">
      <w:pPr>
        <w:spacing w:after="240"/>
        <w:ind w:left="567" w:hanging="573"/>
      </w:pPr>
      <w:r w:rsidRPr="0089313D">
        <w:rPr>
          <w:rFonts w:eastAsiaTheme="minorHAnsi"/>
          <w:szCs w:val="24"/>
          <w:lang w:eastAsia="en-US"/>
        </w:rPr>
        <w:t>100.</w:t>
      </w:r>
      <w:r w:rsidRPr="0089313D">
        <w:rPr>
          <w:rFonts w:eastAsiaTheme="minorHAnsi"/>
          <w:szCs w:val="24"/>
          <w:lang w:eastAsia="en-US"/>
        </w:rPr>
        <w:tab/>
      </w:r>
      <w:r w:rsidR="00D66ACE" w:rsidRPr="0089313D">
        <w:t>συμμερίζεται τη σύσταση του Ελεγκτικού Συνεδρίου ότι, όταν εκτελούν συμβάσεις-πλαίσιο, οι οργανισμοί οφείλουν να χρησιμοποιούν αποκλειστικά επιμέρους συμβάσεις για την προμήθεια των αγαθών ή των υπηρεσιών που καλύπτονται από τη σχετική σύμβαση-πλαίσιο· επαναλαμβάνει επίσης τη σύσταση του Ελεγκτικού Συνεδρίου σύμφωνα με την οποία οι εμπλεκόμενοι οργανισμοί θα πρέπει επίσης να διασφαλίζουν ότι συμμορφώνονται με τους κανόνες που προβλέπονται στον δημοσιονομικό κανονισμό για την τροποποίηση των υφιστάμενων συμβάσεων, ότι οι ειδικές συμβάσεις καθορίζουν τις τιμές και τους χρόνους παράδοσης και ότι η εκτέλεση της σύμβασης υπόκειται σε επαρκείς ελέγχους σχετικά με αυτά τα βασικά στοιχεία·</w:t>
      </w:r>
    </w:p>
    <w:p w:rsidR="00D66ACE" w:rsidRPr="0089313D" w:rsidRDefault="0089313D" w:rsidP="0089313D">
      <w:pPr>
        <w:spacing w:after="240"/>
        <w:ind w:left="567" w:hanging="573"/>
      </w:pPr>
      <w:r w:rsidRPr="0089313D">
        <w:rPr>
          <w:rFonts w:eastAsiaTheme="minorHAnsi"/>
          <w:szCs w:val="24"/>
          <w:lang w:eastAsia="en-US"/>
        </w:rPr>
        <w:t>101.</w:t>
      </w:r>
      <w:r w:rsidRPr="0089313D">
        <w:rPr>
          <w:rFonts w:eastAsiaTheme="minorHAnsi"/>
          <w:szCs w:val="24"/>
          <w:lang w:eastAsia="en-US"/>
        </w:rPr>
        <w:tab/>
      </w:r>
      <w:r w:rsidR="00D66ACE" w:rsidRPr="0089313D">
        <w:t xml:space="preserve">υπενθυμίζει ότι είναι σημαντικό να διασφαλίζονται σε όλες τις διαδικασίες σύναψης δημόσιων συμβάσεων ποιοτικά προϊόντα και ποιοτικές υπηρεσίες, ο θεμιτός ανταγωνισμός μεταξύ των προσφερόντων και η προμήθεια των οικονομικά συμφερότερων αγαθών και η παροχή των οικονομικά συμφερότερων υπηρεσιών, </w:t>
      </w:r>
      <w:r w:rsidR="00E930E6" w:rsidRPr="0089313D">
        <w:t xml:space="preserve">με προτίμηση στις ευρωπαϊκές εταιρείες έναντι των μη ευρωπαϊκών εταιρειών, </w:t>
      </w:r>
      <w:r w:rsidR="00D66ACE" w:rsidRPr="0089313D">
        <w:t>με παράλληλη τήρηση των αρχών της διαφάνειας, της αναλογικότητας, της ίσης μεταχείρισης και της απαγόρευσης των διακρίσεων·</w:t>
      </w:r>
    </w:p>
    <w:p w:rsidR="00D66ACE" w:rsidRPr="0089313D" w:rsidRDefault="0089313D" w:rsidP="0089313D">
      <w:pPr>
        <w:spacing w:after="240"/>
        <w:ind w:left="567" w:hanging="573"/>
      </w:pPr>
      <w:r w:rsidRPr="0089313D">
        <w:rPr>
          <w:rFonts w:eastAsiaTheme="minorHAnsi"/>
          <w:szCs w:val="24"/>
          <w:lang w:eastAsia="en-US"/>
        </w:rPr>
        <w:t>102.</w:t>
      </w:r>
      <w:r w:rsidRPr="0089313D">
        <w:rPr>
          <w:rFonts w:eastAsiaTheme="minorHAnsi"/>
          <w:szCs w:val="24"/>
          <w:lang w:eastAsia="en-US"/>
        </w:rPr>
        <w:tab/>
      </w:r>
      <w:r w:rsidR="00D66ACE" w:rsidRPr="0089313D">
        <w:t>επιμένει στην ανάγκη ενίσχυσης της συνεργασίας στον τομέα των δημόσιων συμβάσεων μεταξύ του EUAN και της Ευρωπαϊκής Επιτροπής·</w:t>
      </w:r>
    </w:p>
    <w:p w:rsidR="00D66ACE" w:rsidRPr="0089313D" w:rsidRDefault="0089313D" w:rsidP="0089313D">
      <w:pPr>
        <w:spacing w:after="240"/>
        <w:ind w:left="567" w:hanging="573"/>
      </w:pPr>
      <w:r w:rsidRPr="0089313D">
        <w:rPr>
          <w:rFonts w:eastAsiaTheme="minorHAnsi"/>
          <w:szCs w:val="24"/>
          <w:lang w:eastAsia="en-US"/>
        </w:rPr>
        <w:t>103.</w:t>
      </w:r>
      <w:r w:rsidRPr="0089313D">
        <w:rPr>
          <w:rFonts w:eastAsiaTheme="minorHAnsi"/>
          <w:szCs w:val="24"/>
          <w:lang w:eastAsia="en-US"/>
        </w:rPr>
        <w:tab/>
      </w:r>
      <w:r w:rsidR="00D66ACE" w:rsidRPr="0089313D">
        <w:t>τονίζει ότι είναι σημαντικό να ενισχυθεί η ψηφιοποίηση εντός των οργανισμών, τόσο για τις εσωτερικές λειτουργίες όσο και για τη διαχείριση, καθώς και για την επιτάχυνση της ψηφιοποίησης των διαδικασιών· τονίζει την ανάγκη να διατηρηθεί η προορατικότητα· υποστηρίζει, στο πλαίσιο αυτό, περαιτέρω επενδύσεις σε ψηφιακά εργαλεία και καινοτομία για τη βελτίωση των διαδικαστικών καθηκόντων, καθώς και για την πρόληψη του ψηφιακού χάσματος μεταξύ των οργανισμών·</w:t>
      </w:r>
    </w:p>
    <w:p w:rsidR="00D66ACE" w:rsidRPr="0089313D" w:rsidRDefault="00D66ACE" w:rsidP="00E930E6">
      <w:pPr>
        <w:spacing w:after="240"/>
        <w:rPr>
          <w:b/>
          <w:i/>
        </w:rPr>
      </w:pPr>
      <w:r w:rsidRPr="0089313D">
        <w:rPr>
          <w:b/>
          <w:i/>
        </w:rPr>
        <w:t>Πολιτική στελέχωσης, ισότητα των φύλων, ένταξη, σύγκρουση συμφερόντων και πρόληψη της απάτης</w:t>
      </w:r>
    </w:p>
    <w:p w:rsidR="00D66ACE" w:rsidRPr="0089313D" w:rsidRDefault="0089313D" w:rsidP="0089313D">
      <w:pPr>
        <w:spacing w:after="240"/>
        <w:ind w:left="567" w:hanging="573"/>
      </w:pPr>
      <w:r w:rsidRPr="0089313D">
        <w:rPr>
          <w:rFonts w:eastAsiaTheme="minorHAnsi"/>
          <w:szCs w:val="24"/>
          <w:lang w:eastAsia="en-US"/>
        </w:rPr>
        <w:t>104.</w:t>
      </w:r>
      <w:r w:rsidRPr="0089313D">
        <w:rPr>
          <w:rFonts w:eastAsiaTheme="minorHAnsi"/>
          <w:szCs w:val="24"/>
          <w:lang w:eastAsia="en-US"/>
        </w:rPr>
        <w:tab/>
      </w:r>
      <w:r w:rsidR="00D66ACE" w:rsidRPr="0089313D">
        <w:t>σημειώνει ότι, το 2023, οι 33 αποκεντρωμένοι οργανισμοί ανέφεραν ότι απασχολούσαν συνολικά 10 580 υπαλλήλους (έναντι 10 146 το 2022), περιλαμβανομένων μόνιμων, έκτακτων και συμβασιούχων υπαλλήλων και αποσπασμένων εθνικών εμπειρογνωμόνων (ΑΕΕ), αριθμός που αντιπροσωπεύει αύξηση κατά 4,27 % σε σύγκριση με το 2022·</w:t>
      </w:r>
    </w:p>
    <w:p w:rsidR="00D66ACE" w:rsidRPr="0089313D" w:rsidRDefault="0089313D" w:rsidP="0089313D">
      <w:pPr>
        <w:spacing w:after="240"/>
        <w:ind w:left="567" w:hanging="573"/>
      </w:pPr>
      <w:r w:rsidRPr="0089313D">
        <w:rPr>
          <w:rFonts w:eastAsiaTheme="minorHAnsi"/>
          <w:szCs w:val="24"/>
          <w:lang w:eastAsia="en-US"/>
        </w:rPr>
        <w:t>105.</w:t>
      </w:r>
      <w:r w:rsidRPr="0089313D">
        <w:rPr>
          <w:rFonts w:eastAsiaTheme="minorHAnsi"/>
          <w:szCs w:val="24"/>
          <w:lang w:eastAsia="en-US"/>
        </w:rPr>
        <w:tab/>
      </w:r>
      <w:r w:rsidR="00D66ACE" w:rsidRPr="0089313D">
        <w:t xml:space="preserve">σημειώνει ότι περιπτώσεις επαγγελματικής εξουθένωσης (συνολικά 25) καταγράφηκαν σε έξι οργανισμούς, συγκεκριμένα στον EASA (πέντε περιπτώσεις), στον ΕΟΠ (τέσσερις περιπτώσεις), στην EFCA (μία περίπτωση), στην EFSA (δύο περιπτώσεις), στον EMA (δέκα περιπτώσεις) και στην Ευρωπόλ (τρεις περιπτώσεις)· σημειώνει, ωστόσο, ότι δεν συλλέγουν όλοι οι οργανισμοί, συμπεριλαμβανομένων των ECDC, ECHA, EMSA, ENISA, ERA, FRA, Frontex, δεδομένα σχετικά με περιπτώσεις επαγγελματικής εξουθένωσης λόγω της προστασίας των δεδομένων· εκφράζει την ανησυχία του για τη μη συλλογή ιατρικών δεδομένων, καθώς αυτά είναι σημαντικά για την παρακολούθηση της ψυχικής ευεξίας του προσωπικού των οργανισμών· παροτρύνει τους οργανισμούς να λάβουν άμεσα μέτρα για την αντιμετώπιση του αυξανόμενου αριθμού περιπτώσεων επαγγελματικής εξουθένωσης μεταξύ του προσωπικού· </w:t>
      </w:r>
      <w:r w:rsidR="00D66ACE" w:rsidRPr="0089313D">
        <w:lastRenderedPageBreak/>
        <w:t>σημειώνει ότι αρκετοί υπάλληλοι χρειάστηκαν υπερωρίες σε 19 οργανισμούς το 2022 (13 το 2021)· σημειώνει ειδικότερα ότι μεγάλος αριθμός εργαζομένων χρειάστηκε να κάνουν υπερωρίες στην EFSA (81 % του προσωπικού) και στο Eurofound (97 % του προσωπικού)· υπενθυμίζει, στο πλαίσιο αυτό, τη σημασία της ανάπτυξης μιας μακροπρόθεσμης πολιτικής για τους ανθρώπινους πόρους, συμπεριλαμβανομένων δομών υποστήριξης της ψυχικής υγείας, που θα διασφαλίζει μια ολοκληρωμένη προσέγγιση για την ισορροπία μεταξύ επαγγελματικής και προσωπικής ζωής, συμπεριλαμβανομένων διατάξεων για την τηλεργασία και την εξέλιξη της σταδιοδρομίας· τονίζει, επιπλέον, τη σημασία της διασφάλισης της ψυχικής υγείας και της ευεξίας του προσωπικού·</w:t>
      </w:r>
    </w:p>
    <w:p w:rsidR="00D66ACE" w:rsidRPr="0089313D" w:rsidRDefault="0089313D" w:rsidP="0089313D">
      <w:pPr>
        <w:pStyle w:val="Normal12Hanging"/>
        <w:ind w:hanging="573"/>
        <w:rPr>
          <w:szCs w:val="24"/>
        </w:rPr>
      </w:pPr>
      <w:r w:rsidRPr="0089313D">
        <w:rPr>
          <w:szCs w:val="24"/>
        </w:rPr>
        <w:t>106.</w:t>
      </w:r>
      <w:r w:rsidRPr="0089313D">
        <w:rPr>
          <w:szCs w:val="24"/>
        </w:rPr>
        <w:tab/>
      </w:r>
      <w:r w:rsidR="00D66ACE" w:rsidRPr="0089313D">
        <w:t>σημειώνει ότι ο διευθυντής του ΕΙΤ, μιλώντας εξ ονόματος του δικτύου των οργανισμών της ΕΕ, συμφώνησε στις 4 Δεκεμβρίου 2024, κατά τη διάρκεια συνεδρίασης της Επιτροπής Ελέγχου του Προϋπολογισμού, να διεξαγάγει έρευνα σχετικά με τα είδη των συμβάσεων που αφορούν προσωπικό καθαρισμού που εργάζεται στους αποκεντρωμένους οργανισμούς· ζητεί από το Δίκτυο των Οργανισμών της ΕΕ να ενημερώσει την αρμόδια για την απαλλαγή αρχή σχετικά με τα είδη των συμβάσεων του προσωπικού καθαρισμού που εργάζεται στους αποκεντρωμένους οργανισμούς, συμπεριλαμβανομένου του ποσοστού των μακροπρόθεσμων και βραχυπρόθεσμων συμβάσεων·</w:t>
      </w:r>
    </w:p>
    <w:p w:rsidR="00D66ACE" w:rsidRPr="0089313D" w:rsidRDefault="0089313D" w:rsidP="0089313D">
      <w:pPr>
        <w:pStyle w:val="NormalHanging12a"/>
        <w:ind w:hanging="573"/>
      </w:pPr>
      <w:r w:rsidRPr="0089313D">
        <w:t>107.</w:t>
      </w:r>
      <w:r w:rsidRPr="0089313D">
        <w:tab/>
      </w:r>
      <w:r w:rsidR="00D66ACE" w:rsidRPr="0089313D">
        <w:t>υποστηρίζει τις συνεχείς προσπάθειες του Frontex προς ενίσχυση του υπευθύνου θεμελιωδών δικαιωμάτων του, και επισημαίνει ότι το 2023 απασχολούνταν 46 παρατηρητές θεμελιωδών δικαιωμάτων· τονίζει ότι είναι σημαντικό να διασφαλιστεί ότι όλοι οι παρατηρητές θεμελιωδών δικαιωμάτων προσλαμβάνονται σε βαθμό AD, ώστε να ενισχυθούν περαιτέρω οι ικανότητες και η ανεξαρτησία τους· αναγνωρίζει ότι ο Frontex έχει λάβει σημαντικά μέτρα για να ανταποκριθεί στις γνωμοδοτήσεις του υπευθύνου θεμελιωδών δικαιωμάτων, ιδίως σε θέματα όπως η ενσωμάτωση της διάστασης του φύλου και η εμπορία ανθρώπων·</w:t>
      </w:r>
    </w:p>
    <w:p w:rsidR="00D66ACE" w:rsidRPr="0089313D" w:rsidRDefault="0089313D" w:rsidP="0089313D">
      <w:pPr>
        <w:pStyle w:val="NormalHanging12a"/>
        <w:ind w:hanging="573"/>
      </w:pPr>
      <w:r w:rsidRPr="0089313D">
        <w:t>108.</w:t>
      </w:r>
      <w:r w:rsidRPr="0089313D">
        <w:tab/>
      </w:r>
      <w:r w:rsidR="00D66ACE" w:rsidRPr="0089313D">
        <w:t>σημειώνει ότι, το 2023, το ποσοστό εναλλαγής προσωπικού υπερέβαινε το 5 % σε 18 από τους 33 οργανισμούς (συγκεκριμένα, Cedefop, ΕΑΑ, ΕΑΤ, EFCA, EIGE, EIOPA, EIT, ELA, EUDA, ETF, EUAA, eu-LISA, Eurofound, Eurojust, Ευρωπόλ, EUSPA), και ότι τρεις από αυτούς υπερέβησαν το ποσοστό του 10 % (συγκεκριμένα η υπηρεσία του BEREC, το CdT, η Eurojust)· συγχαίρει τους οργανισμούς για τα στοχευμένα μέτρα που έλαβαν για να αποτρέψουν υψηλά ποσοστά εναλλαγής προσωπικού· τονίζει ότι είναι σημαντικό για όλους τους οργανισμούς να εφαρμόσουν μέτρα με σκοπό τη βελτίωση της διαχείρισης και της διατήρησης ταλέντων· εκτιμά ότι το EUAN θα αποτελέσει φόρουμ για τους οργανισμούς που είναι μέλη του όσον αφορά την ανταλλαγή ορθών πρακτικών και, όπου είναι δυνατόν, τη συνένωση δυνάμεων στο θέμα αυτό· καλεί την Επιτροπή να στηρίξει ενεργά τους οργανισμούς στην πρόσληψη της αναγκαίας πραγματογνωσίας για την εκπλήρωση των εντολών τους, ενθαρρύνοντας τη στενότερη συνεργασία με πανεπιστήμια και άλλα σχετικά θεσμικά όργανα·</w:t>
      </w:r>
    </w:p>
    <w:p w:rsidR="00D66ACE" w:rsidRPr="0089313D" w:rsidRDefault="0089313D" w:rsidP="0089313D">
      <w:pPr>
        <w:spacing w:after="240"/>
        <w:ind w:left="567" w:hanging="573"/>
      </w:pPr>
      <w:r w:rsidRPr="0089313D">
        <w:rPr>
          <w:rFonts w:eastAsiaTheme="minorHAnsi"/>
          <w:szCs w:val="24"/>
          <w:lang w:eastAsia="en-US"/>
        </w:rPr>
        <w:t>109.</w:t>
      </w:r>
      <w:r w:rsidRPr="0089313D">
        <w:rPr>
          <w:rFonts w:eastAsiaTheme="minorHAnsi"/>
          <w:szCs w:val="24"/>
          <w:lang w:eastAsia="en-US"/>
        </w:rPr>
        <w:tab/>
      </w:r>
      <w:r w:rsidR="00D66ACE" w:rsidRPr="0089313D">
        <w:t>επισημαίνει ότι η γεωγραφική ισορροπία εξακολουθεί να αποτελεί πρόκληση για αρκετούς οργανισμούς στους οποίους σημαντικά ποσοστά του συνολικού προσωπικού τους είναι υπήκοοι του κράτους μέλους στο οποίο βρίσκονται οι οργανισμοί·</w:t>
      </w:r>
    </w:p>
    <w:p w:rsidR="00D66ACE" w:rsidRPr="0089313D" w:rsidRDefault="0089313D" w:rsidP="0089313D">
      <w:pPr>
        <w:spacing w:after="240"/>
        <w:ind w:left="567" w:hanging="573"/>
      </w:pPr>
      <w:r w:rsidRPr="0089313D">
        <w:rPr>
          <w:rFonts w:eastAsiaTheme="minorHAnsi"/>
          <w:szCs w:val="24"/>
          <w:lang w:eastAsia="en-US"/>
        </w:rPr>
        <w:t>110.</w:t>
      </w:r>
      <w:r w:rsidRPr="0089313D">
        <w:rPr>
          <w:rFonts w:eastAsiaTheme="minorHAnsi"/>
          <w:szCs w:val="24"/>
          <w:lang w:eastAsia="en-US"/>
        </w:rPr>
        <w:tab/>
      </w:r>
      <w:r w:rsidR="00D66ACE" w:rsidRPr="0089313D">
        <w:t xml:space="preserve">αναγνωρίζει ότι η προσέλκυση ταλέντων και η διασφάλιση ενός γεωγραφικά διαφοροποιημένου εργατικού δυναμικού συνδέονται με τις ιδιαιτερότητες των οργανισμών (π.χ. τοποθεσία, υποδομές, σχολική εκπαίδευση, τομέας πολιτικής), καθώς </w:t>
      </w:r>
      <w:r w:rsidR="00D66ACE" w:rsidRPr="0089313D">
        <w:lastRenderedPageBreak/>
        <w:t>και με εξωτερικούς περιοριστικούς παράγοντες (π.χ. ανταγωνισμός με τον ιδιωτικό τομέα, αβεβαιότητα όσον αφορά την απασχόληση λόγω βραχυπρόθεσμων συμβάσεων, χαμηλοί διορθωτικοί συντελεστές)· σημειώνει με ικανοποίηση, με βάση την έκθεση παρακολούθησης του EUAN σχετικά με την απαλλαγή για το 2021, τα μέτρα που έλαβε το EUAN για την αντιμετώπιση της έλλειψης ελκυστικότητας και τη βελτίωση της αντιπροσωπευτικότητας του προσωπικού των οργανισμών όσον αφορά την ηλικία, το φύλο και τη γεωγραφική προέλευση·</w:t>
      </w:r>
    </w:p>
    <w:p w:rsidR="00D66ACE" w:rsidRPr="0089313D" w:rsidRDefault="0089313D" w:rsidP="0089313D">
      <w:pPr>
        <w:spacing w:after="240"/>
        <w:ind w:left="567" w:hanging="573"/>
      </w:pPr>
      <w:r w:rsidRPr="0089313D">
        <w:rPr>
          <w:rFonts w:eastAsiaTheme="minorHAnsi"/>
          <w:szCs w:val="24"/>
          <w:lang w:eastAsia="en-US"/>
        </w:rPr>
        <w:t>111.</w:t>
      </w:r>
      <w:r w:rsidRPr="0089313D">
        <w:rPr>
          <w:rFonts w:eastAsiaTheme="minorHAnsi"/>
          <w:szCs w:val="24"/>
          <w:lang w:eastAsia="en-US"/>
        </w:rPr>
        <w:tab/>
      </w:r>
      <w:r w:rsidR="00D66ACE" w:rsidRPr="0089313D">
        <w:t>υπενθυμίζει ότι οι οργανισμοί που είναι εγκατεστημένοι σε χώρες με σχετικά χαμηλό διορθωτικό συντελεστή αντιμετωπίζουν συνεχείς προκλήσεις όσον αφορά την προσέλκυση ειδικευμένου και γεωγραφικά διαφοροποιημένου προσωπικού· καλεί την Επιτροπή να αναλύσει από κοινού με το αντίστοιχο κράτος μέλος το ζήτημα αυτό και να εξετάσει τη χρήση οικονομικών κινήτρων για τον μετριασμό του προβλήματος· υπενθυμίζει, επιπλέον, ότι ο διορθωτικός συντελεστής εφαρμόζει στην πράξη τη γενική αρχή της ίσης μεταχείρισης·</w:t>
      </w:r>
    </w:p>
    <w:p w:rsidR="00D66ACE" w:rsidRPr="0089313D" w:rsidRDefault="0089313D" w:rsidP="0089313D">
      <w:pPr>
        <w:spacing w:after="240"/>
        <w:ind w:left="567" w:hanging="573"/>
      </w:pPr>
      <w:r w:rsidRPr="0089313D">
        <w:rPr>
          <w:rFonts w:eastAsiaTheme="minorHAnsi"/>
          <w:szCs w:val="24"/>
          <w:lang w:eastAsia="en-US"/>
        </w:rPr>
        <w:t>112.</w:t>
      </w:r>
      <w:r w:rsidRPr="0089313D">
        <w:rPr>
          <w:rFonts w:eastAsiaTheme="minorHAnsi"/>
          <w:szCs w:val="24"/>
          <w:lang w:eastAsia="en-US"/>
        </w:rPr>
        <w:tab/>
      </w:r>
      <w:r w:rsidR="00D66ACE" w:rsidRPr="0089313D">
        <w:t>επισημαίνει ότι ορισμένοι οργανισμοί χρησιμοποιούν εκτενώς εξωτερικούς συμβούλους, κυρίως στον τομέα των ΤΠΕ, αλλά και στους τομείς των βασικών δραστηριοτήτων τους, οι οποίοι αποτελούν σημαντικό μέρος του επιχειρησιακού προϋπολογισμού τους (π.χ. ACER, ETF, ELA κ.λπ.)· ζητά από όλους τους οργανισμούς να δίνουν προτεραιότητα σε μόνιμους υπαλλήλους αντί εξωτερικών συμβούλων και συμβασιούχων υπαλλήλων, προκειμένου να διασφαλίζονται ποιοτικές συνθήκες εργασίας και να αποτρέπεται η απώλεια γνώσης και εμπειρίας· καλεί, επιπλέον, τους οργανισμούς να αποτρέψουν την εργασιακή αβεβαιότητα λόγω βραχυπρόθεσμων συμβάσεων και να δώσουν προτεραιότητα στη μακροπρόθεσμη απασχόληση· ζητεί, στο πλαίσιο αυτό, οι οργανισμοί να διαθέτουν την ευελιξία να μετατρέπουν τις θέσεις αποσπασμένων εθνικών εμπειρογνωμόνων σε θέσεις έκτακτων υπαλλήλων με στόχο τη διασφάλιση της διατήρησης πραγματογνωσίας, επιχειρησιακής λειτουργικότητας και επιχειρησιακής συνέχειας· εμμένει περαιτέρω στην αποφυγή της εξωτερικής ανάθεσης καθηκόντων σε γραφεία συμβούλων όταν υπάρχει διαθέσιμη τεχνογνωσία εντός του οργάνου·</w:t>
      </w:r>
    </w:p>
    <w:p w:rsidR="00D66ACE" w:rsidRPr="0089313D" w:rsidRDefault="0089313D" w:rsidP="0089313D">
      <w:pPr>
        <w:pStyle w:val="NormalHanging12a"/>
        <w:ind w:hanging="573"/>
      </w:pPr>
      <w:r w:rsidRPr="0089313D">
        <w:t>113.</w:t>
      </w:r>
      <w:r w:rsidRPr="0089313D">
        <w:tab/>
      </w:r>
      <w:r w:rsidR="00D66ACE" w:rsidRPr="0089313D">
        <w:t>αναγνωρίζει την πρόοδο που έχει σημειωθεί στους οργανισμούς όσον αφορά την ισόρροπη εκπροσώπηση των φύλων στο προσωπικό τους· ζητεί να ενταθούν οι προσπάθειες για να διασφαλιστεί η ισόρροπη εκπροσώπηση των φύλων σε επίπεδο ανώτερων διοικητικών στελεχών και να ενσωματωθεί η διάσταση του φύλου σε όλες τις πολιτικές, τις διαδικασίες και τις δραστηριότητες των οργανισμών τους·</w:t>
      </w:r>
    </w:p>
    <w:p w:rsidR="00E930E6" w:rsidRPr="0089313D" w:rsidRDefault="0089313D" w:rsidP="0089313D">
      <w:pPr>
        <w:pStyle w:val="NormalHanging12a"/>
        <w:ind w:hanging="573"/>
      </w:pPr>
      <w:r w:rsidRPr="0089313D">
        <w:t>114.</w:t>
      </w:r>
      <w:r w:rsidRPr="0089313D">
        <w:tab/>
      </w:r>
      <w:r w:rsidR="00E930E6" w:rsidRPr="0089313D">
        <w:t>καλεί τους οργανισμούς να θέσουν σαφείς στόχους και χρονοδιαγράμματα για την επίτευξη ισόρροπης εκπροσώπησης των φύλων και γεωγραφικής πολυμορφίας στα ανώτερα διοικητικά στελέχη και τα όργανα λήψης αποφάσεων, και να υποβάλλουν συστηματικά εκθέσεις προόδου·</w:t>
      </w:r>
    </w:p>
    <w:p w:rsidR="00D66ACE" w:rsidRPr="0089313D" w:rsidRDefault="0089313D" w:rsidP="0089313D">
      <w:pPr>
        <w:spacing w:after="240"/>
        <w:ind w:left="567" w:hanging="573"/>
      </w:pPr>
      <w:r w:rsidRPr="0089313D">
        <w:rPr>
          <w:rFonts w:eastAsiaTheme="minorHAnsi"/>
          <w:szCs w:val="24"/>
          <w:lang w:eastAsia="en-US"/>
        </w:rPr>
        <w:t>115.</w:t>
      </w:r>
      <w:r w:rsidRPr="0089313D">
        <w:rPr>
          <w:rFonts w:eastAsiaTheme="minorHAnsi"/>
          <w:szCs w:val="24"/>
          <w:lang w:eastAsia="en-US"/>
        </w:rPr>
        <w:tab/>
      </w:r>
      <w:r w:rsidR="00D66ACE" w:rsidRPr="0089313D">
        <w:t>σημειώνει τη βελτιωμένη κατανομή των φύλων το 2023, σε σύγκριση με το 2022 σε επίπεδο ανώτερων και μεσαίων διοικητικών στελεχών</w:t>
      </w:r>
      <w:r w:rsidR="00D66ACE" w:rsidRPr="0089313D">
        <w:rPr>
          <w:rStyle w:val="FootnoteReference"/>
        </w:rPr>
        <w:footnoteReference w:id="427"/>
      </w:r>
      <w:r w:rsidR="00D66ACE" w:rsidRPr="0089313D">
        <w:t xml:space="preserve"> και μεταξύ των μελών του διοικητικού συμβουλίου</w:t>
      </w:r>
      <w:r w:rsidR="00D66ACE" w:rsidRPr="0089313D">
        <w:rPr>
          <w:rStyle w:val="FootnoteReference"/>
        </w:rPr>
        <w:footnoteReference w:id="428"/>
      </w:r>
      <w:r w:rsidR="00D66ACE" w:rsidRPr="0089313D">
        <w:t xml:space="preserve">· σημειώνει ότι η ισόρροπη εκπροσώπηση των φύλων που </w:t>
      </w:r>
      <w:r w:rsidR="00D66ACE" w:rsidRPr="0089313D">
        <w:lastRenderedPageBreak/>
        <w:t>αναφέρθηκε για το προσωπικό</w:t>
      </w:r>
      <w:r w:rsidR="00D66ACE" w:rsidRPr="0089313D">
        <w:rPr>
          <w:rStyle w:val="FootnoteReference"/>
        </w:rPr>
        <w:footnoteReference w:id="429"/>
      </w:r>
      <w:r w:rsidR="00D66ACE" w:rsidRPr="0089313D">
        <w:t xml:space="preserve"> δεν άλλαξε συνολικά· ενθαρρύνει τους ACER, υπηρεσία του BEREC, Cedefop, ECDC, ECHA, EFSA, EIOPA, EMCDDA, EMSA, ENISA, ERA, eu-LISA, ELA, Ευρωπόλ, EUAA, EUSPA και Frontex να στηρίξουν τις γυναίκες κατά την υποβολή αιτήσεων για διευθυντικές θέσεις· επαναλαμβάνει τις εκκλήσεις του προς την Επιτροπή και τα κράτη μέλη να τηρούν την ισόρροπη εκπροσώπηση των φύλων κατά τον ορισμό και τον διορισμό των μελών των διοικητικών συμβουλίων· υπενθυμίζει τη φιλοδοξία των οργανισμών να ευθυγραμμιστούν με την Επιτροπή για την επίτευξη ισόρροπης εκπροσώπησης των φύλων της τάξης του 50 % σε όλα τα επίπεδα της διοίκησής τους έως το τέλος του 2025· καλεί τους οργανισμούς να εξακολουθήσουν να λαμβάνουν υπόψη αυτές τις πτυχές όσον αφορά όλες τις μελλοντικές προσλήψεις προσωπικού και να εργαστούν για την περαιτέρω βελτίωση της ισόρροπης εκπροσώπησης των φύλων σε επίπεδο ανώτερων διοικητικών στελεχών·</w:t>
      </w:r>
    </w:p>
    <w:p w:rsidR="00D66ACE" w:rsidRPr="0089313D" w:rsidRDefault="0089313D" w:rsidP="0089313D">
      <w:pPr>
        <w:spacing w:after="240"/>
        <w:ind w:left="567" w:hanging="573"/>
      </w:pPr>
      <w:r w:rsidRPr="0089313D">
        <w:rPr>
          <w:rFonts w:eastAsiaTheme="minorHAnsi"/>
          <w:szCs w:val="24"/>
          <w:lang w:eastAsia="en-US"/>
        </w:rPr>
        <w:t>116.</w:t>
      </w:r>
      <w:r w:rsidRPr="0089313D">
        <w:rPr>
          <w:rFonts w:eastAsiaTheme="minorHAnsi"/>
          <w:szCs w:val="24"/>
          <w:lang w:eastAsia="en-US"/>
        </w:rPr>
        <w:tab/>
      </w:r>
      <w:r w:rsidR="00D66ACE" w:rsidRPr="0089313D">
        <w:t>παροτρύνει τους αποκεντρωμένους οργανισμούς να ενισχύσουν τις πολιτικές για την ισότητα των φύλων σε όλα τα επίπεδα, διασφαλίζοντας ίσες ευκαιρίες στις προσλήψεις, την εξέλιξη της σταδιοδρομίας και τις συνθήκες εργασίας για όλο το προσωπικό· ενθαρρύνει όλους τους οργανισμούς να εγκρίνουν και να εφαρμόσουν ισχυρές στρατηγικές για τη διαφορετικότητα και τη συμπερίληψη που προωθούν τη δικαιοσύνη και την ισορροπία, διασφαλίζοντας ίσες ευκαιρίες και εκπροσώπηση των γυναικών και των μειονοτήτων σε ηγετικές θέσεις· καλεί τους οργανισμούς να αναπτύξουν ολοκληρωμένες στρατηγικές για την αξιολόγηση της προόδου και τον εντοπισμό τομέων που επιδέχονται βελτίωση· υπενθυμίζει ότι το Κοινοβούλιο θα αξιολογήσει τη συμμόρφωση με τις αρχές αυτές στο πλαίσιο της ετήσιας διαδικασίας απαλλαγής·</w:t>
      </w:r>
    </w:p>
    <w:p w:rsidR="00D66ACE" w:rsidRPr="0089313D" w:rsidRDefault="0089313D" w:rsidP="0089313D">
      <w:pPr>
        <w:spacing w:after="240"/>
        <w:ind w:left="567" w:hanging="573"/>
      </w:pPr>
      <w:r w:rsidRPr="0089313D">
        <w:rPr>
          <w:rFonts w:eastAsiaTheme="minorHAnsi"/>
          <w:szCs w:val="24"/>
          <w:lang w:eastAsia="en-US"/>
        </w:rPr>
        <w:t>117.</w:t>
      </w:r>
      <w:r w:rsidRPr="0089313D">
        <w:rPr>
          <w:rFonts w:eastAsiaTheme="minorHAnsi"/>
          <w:szCs w:val="24"/>
          <w:lang w:eastAsia="en-US"/>
        </w:rPr>
        <w:tab/>
      </w:r>
      <w:r w:rsidR="00D66ACE" w:rsidRPr="0089313D">
        <w:t>σημειώνει ότι όλοι οι οργανισμοί έχουν θέσει σε εφαρμογή μέτρα για τη βελτίωση της ευεξίας του προσωπικού στην εργασία και της ισορροπίας μεταξύ επαγγελματικής και προσωπικής ζωής· σημειώνει ότι ο αριθμός και ο αντίκτυπος αυτών των μέτρων ποικίλλουν σε μεγάλο βαθμό από τον ένα οργανισμό στον άλλο και ότι δεν φαίνεται να υπάρχει κοινό πλαίσιο αναφοράς μεταξύ των οργανισμών· καλεί το EUAN να συντονίσει τις προσπάθειες για την ανάπτυξη ενός κοινού πλαισίου αναφοράς στο πλαίσιο αυτό· σημειώνει με ικανοποίηση ότι η μεγάλη πλειονότητα των οργανισμών έχει θέσει σε εφαρμογή μέτρα για την ένταξη των ατόμων με αναπηρία· ενθαρρύνει τους οργανισμούς να διατηρήσουν ορθές πρακτικές όσον αφορά την ευεξία του προσωπικού, τη συμπερίληψη και την ένταξη των ατόμων με αναπηρία και να συνεχίσουν να αντιμετωπίζουν την ισορροπία μεταξύ επαγγελματικής και προσωπικής ζωής, καθώς και τη διά βίου μάθηση και την εξέλιξη της σταδιοδρομίας· τονίζει ότι είναι σημαντικό να ενταθούν οι προσπάθειες για την επίτευξη ισόρροπης εκπροσώπησης των φύλων και γεωγραφικής ισορροπίας μεταξύ του θεσμικού προσωπικού και σε ανώτερες διοικητικές θέσεις· υπογραμμίζει τον χρήσιμο ρόλο που μπορούν να διαδραματίσουν οι ανταλλαγές βέλτιστων πρακτικών στον τομέα της διαχείρισης του προσωπικού· καλεί τους οργανισμούς να παρέχουν συναφή και τακτική κατάρτιση στο προσωπικό τους·</w:t>
      </w:r>
    </w:p>
    <w:p w:rsidR="00D66ACE" w:rsidRPr="0089313D" w:rsidRDefault="0089313D" w:rsidP="0089313D">
      <w:pPr>
        <w:spacing w:after="240"/>
        <w:ind w:left="567" w:hanging="573"/>
      </w:pPr>
      <w:r w:rsidRPr="0089313D">
        <w:rPr>
          <w:rFonts w:eastAsiaTheme="minorHAnsi"/>
          <w:szCs w:val="24"/>
          <w:lang w:eastAsia="en-US"/>
        </w:rPr>
        <w:t>118.</w:t>
      </w:r>
      <w:r w:rsidRPr="0089313D">
        <w:rPr>
          <w:rFonts w:eastAsiaTheme="minorHAnsi"/>
          <w:szCs w:val="24"/>
          <w:lang w:eastAsia="en-US"/>
        </w:rPr>
        <w:tab/>
      </w:r>
      <w:r w:rsidR="00D66ACE" w:rsidRPr="0089313D">
        <w:t xml:space="preserve">ενθαρρύνει όλους τους οργανισμούς να εφαρμόσουν μια πολιτική για τη διασφάλιση της προσωπικής αξιοπρέπειας και την πρόληψη της ψυχολογικής και σεξουαλικής παρενόχλησης, και να συμμετάσχουν στη </w:t>
      </w:r>
      <w:proofErr w:type="spellStart"/>
      <w:r w:rsidR="00D66ACE" w:rsidRPr="0089313D">
        <w:t>διυπηρεσιακή</w:t>
      </w:r>
      <w:proofErr w:type="spellEnd"/>
      <w:r w:rsidR="00D66ACE" w:rsidRPr="0089313D">
        <w:t xml:space="preserve"> ειδική ομάδα εμπιστευτικών συμβούλων· ζητεί, στο πλαίσιο αυτό, την καθιέρωση υποχρεωτικής προληπτικής κατάρτισης κατά της παρενόχλησης, την οποία θα ακολουθούν οι υπάλληλοι των </w:t>
      </w:r>
      <w:r w:rsidR="00D66ACE" w:rsidRPr="0089313D">
        <w:lastRenderedPageBreak/>
        <w:t>οργανισμών της ΕΕ· σημειώνει με ανησυχία ότι, σύμφωνα με τις απαντήσεις στο τυποποιημένο ερωτηματολόγιο, ο ENISA κοινοποίησε στην αρμόδια για την απαλλαγή αρχή ότι το 2023 εκκρεμούσαν δύο διοικητικές έρευνες σχετικά με εικαζόμενη παρενόχληση· επιπλέον, ενημέρωσε ότι μία από αυτές περατώθηκε το 2024 μετά την παραλαβή τελικής έκθεσης από την OLAF· αναμένει από τον Οργανισμό να παρακολουθεί ενδελεχώς τις εν εξελίξει υποθέσεις, καθώς και να θεσπίσει ισχυρά μέτρα για την πρόληψη τυχόν παρόμοιων υποθέσεων στο μέλλον· καλεί τους οργανισμούς να υποβάλλουν τακτικά εκθέσεις, μέσω της έκθεσης παρακολούθησης, σχετικά με την πρόοδο στον τομέα αυτό·</w:t>
      </w:r>
    </w:p>
    <w:p w:rsidR="00D66ACE" w:rsidRPr="0089313D" w:rsidRDefault="0089313D" w:rsidP="0089313D">
      <w:pPr>
        <w:spacing w:after="240"/>
        <w:ind w:left="567" w:hanging="573"/>
      </w:pPr>
      <w:r w:rsidRPr="0089313D">
        <w:rPr>
          <w:rFonts w:eastAsiaTheme="minorHAnsi"/>
          <w:szCs w:val="24"/>
          <w:lang w:eastAsia="en-US"/>
        </w:rPr>
        <w:t>119.</w:t>
      </w:r>
      <w:r w:rsidRPr="0089313D">
        <w:rPr>
          <w:rFonts w:eastAsiaTheme="minorHAnsi"/>
          <w:szCs w:val="24"/>
          <w:lang w:eastAsia="en-US"/>
        </w:rPr>
        <w:tab/>
      </w:r>
      <w:r w:rsidR="00D66ACE" w:rsidRPr="0089313D">
        <w:t>σημειώνει ότι η εικαζόμενη σύγκρουση συμφερόντων μπορεί να συνιστά κίνδυνο για τη φήμη του οργανισμού και πρέπει να αντιμετωπιστεί, ακόμη και αν αποδειχθεί ότι δεν τεκμηριώνεται·</w:t>
      </w:r>
    </w:p>
    <w:p w:rsidR="00E930E6" w:rsidRPr="0089313D" w:rsidRDefault="0089313D" w:rsidP="0089313D">
      <w:pPr>
        <w:spacing w:after="240"/>
        <w:ind w:left="567" w:hanging="573"/>
      </w:pPr>
      <w:r w:rsidRPr="0089313D">
        <w:rPr>
          <w:rFonts w:eastAsiaTheme="minorHAnsi"/>
          <w:szCs w:val="24"/>
          <w:lang w:eastAsia="en-US"/>
        </w:rPr>
        <w:t>120.</w:t>
      </w:r>
      <w:r w:rsidRPr="0089313D">
        <w:rPr>
          <w:rFonts w:eastAsiaTheme="minorHAnsi"/>
          <w:szCs w:val="24"/>
          <w:lang w:eastAsia="en-US"/>
        </w:rPr>
        <w:tab/>
      </w:r>
      <w:r w:rsidR="00E930E6" w:rsidRPr="0089313D">
        <w:t>παροτρύνει όλους τους οργανισμούς να ενισχύσουν περαιτέρω την πρόληψη και τη διαχείριση των συγκρούσεων συμφερόντων, συμπεριλαμβανομένων των συστηματικών δηλώσεων συμφερόντων από ανώτερα διοικητικά στελέχη, εξωτερικούς εμπειρογνώμονες και μέλη του διοικητικού συμβουλίου, οι οποίες θα δημοσιεύονται με προορατικό και προσβάσιμο τρόπο·</w:t>
      </w:r>
    </w:p>
    <w:p w:rsidR="00D66ACE" w:rsidRPr="0089313D" w:rsidRDefault="0089313D" w:rsidP="0089313D">
      <w:pPr>
        <w:pStyle w:val="NormalHanging12a"/>
        <w:ind w:hanging="573"/>
      </w:pPr>
      <w:r w:rsidRPr="0089313D">
        <w:t>121.</w:t>
      </w:r>
      <w:r w:rsidRPr="0089313D">
        <w:tab/>
      </w:r>
      <w:r w:rsidR="00D66ACE" w:rsidRPr="0089313D">
        <w:t>υπογραμμίζει ότι είναι σημαντικό να διαφυλαχθεί η ανεξαρτησία των οργανισμών της ΕΕ από αθέμιτη επιρροή του κλάδου, ώστε να διατηρηθεί η εμπιστοσύνη του κοινού στη λήψη των αποφάσεών τους· εκφράζει την ανησυχία του για τις κανονιστικές ελλείψεις και τις πιθανές συγκρούσεις συμφερόντων εντός ορισμένων οργανισμών· επισημαίνει ζητήματα που σχετίζονται με στενούς δεσμούς με τη βιομηχανία και αναφορές αθέμιτης επιρροής, ιδίως μέσω της μεταπήδησης από τον δημόσιο στον ιδιωτικό τομέα μεταξύ δημόσιων οργανισμών και ιδιωτικών εταιρειών· τονίζει την ανάγκη για μεγαλύτερη διαφάνεια, ισχυρότερους μηχανισμούς εποπτείας και σταθερή δέσμευση να δοθεί προτεραιότητα στη δημόσια υγεία και ασφάλεια έναντι των οικονομικών συμφερόντων·</w:t>
      </w:r>
    </w:p>
    <w:p w:rsidR="00D66ACE" w:rsidRPr="0089313D" w:rsidRDefault="0089313D" w:rsidP="0089313D">
      <w:pPr>
        <w:spacing w:after="240"/>
        <w:ind w:left="567" w:hanging="573"/>
      </w:pPr>
      <w:r w:rsidRPr="0089313D">
        <w:rPr>
          <w:rFonts w:eastAsiaTheme="minorHAnsi"/>
          <w:szCs w:val="24"/>
          <w:lang w:eastAsia="en-US"/>
        </w:rPr>
        <w:t>122.</w:t>
      </w:r>
      <w:r w:rsidRPr="0089313D">
        <w:rPr>
          <w:rFonts w:eastAsiaTheme="minorHAnsi"/>
          <w:szCs w:val="24"/>
          <w:lang w:eastAsia="en-US"/>
        </w:rPr>
        <w:tab/>
      </w:r>
      <w:r w:rsidR="00D66ACE" w:rsidRPr="0089313D">
        <w:t>σημειώνει ότι, για το 2023, το Ελεγκτικό Συνέδριο δεν ανέφερε σημαντικές περιπτώσεις σύγκρουσης συμφερόντων, με εξαίρεση τον Frontex και το EMCDDA·</w:t>
      </w:r>
    </w:p>
    <w:p w:rsidR="00D66ACE" w:rsidRPr="0089313D" w:rsidRDefault="0089313D" w:rsidP="0089313D">
      <w:pPr>
        <w:spacing w:after="240"/>
        <w:ind w:left="567" w:hanging="573"/>
      </w:pPr>
      <w:r w:rsidRPr="0089313D">
        <w:rPr>
          <w:rFonts w:eastAsiaTheme="minorHAnsi"/>
          <w:szCs w:val="24"/>
          <w:lang w:eastAsia="en-US"/>
        </w:rPr>
        <w:t>123.</w:t>
      </w:r>
      <w:r w:rsidRPr="0089313D">
        <w:rPr>
          <w:rFonts w:eastAsiaTheme="minorHAnsi"/>
          <w:szCs w:val="24"/>
          <w:lang w:eastAsia="en-US"/>
        </w:rPr>
        <w:tab/>
      </w:r>
      <w:r w:rsidR="00D66ACE" w:rsidRPr="0089313D">
        <w:t>θεωρεί ότι, επί του παρόντος, οι περισσότεροι οργανισμοί διαθέτουν ισχυρές και ολοκληρωμένες διαδικασίες για την ευαισθητοποίηση και την πρόληψη των συγκρούσεων συμφερόντων, οι οποίες παρέχουν την απαιτούμενη διασφάλιση της ανεξαρτησίας των μελών του προσωπικού τους στα ενδιαφερόμενα μέρη και στο κοινό·</w:t>
      </w:r>
    </w:p>
    <w:p w:rsidR="00D66ACE" w:rsidRPr="0089313D" w:rsidRDefault="0089313D" w:rsidP="0089313D">
      <w:pPr>
        <w:spacing w:after="240"/>
        <w:ind w:left="567" w:hanging="573"/>
      </w:pPr>
      <w:r w:rsidRPr="0089313D">
        <w:rPr>
          <w:rFonts w:eastAsiaTheme="minorHAnsi"/>
          <w:szCs w:val="24"/>
          <w:lang w:eastAsia="en-US"/>
        </w:rPr>
        <w:t>124.</w:t>
      </w:r>
      <w:r w:rsidRPr="0089313D">
        <w:rPr>
          <w:rFonts w:eastAsiaTheme="minorHAnsi"/>
          <w:szCs w:val="24"/>
          <w:lang w:eastAsia="en-US"/>
        </w:rPr>
        <w:tab/>
      </w:r>
      <w:r w:rsidR="00D66ACE" w:rsidRPr="0089313D">
        <w:t>σημειώνει με ικανοποίηση την ισχυρή συνεργασία με τους οργανισμούς δικαιοσύνης και εσωτερικών υποθέσεων, ιδίως τη σύναψη νέας συμφωνίας συνεργασίας με την Ευρωπαϊκή Υπηρεσία Καταπολέμησης της Απάτης (OLAF), την έναρξη εξέτασης 15 νέων υποθέσεων στις οποίες η Eurojust υποστήριξε την Ευρωπαϊκή Εισαγγελία, καθώς και τη συνεργασία σε 42 υποθέσεις με τον Οργανισμό της Ευρωπαϊκής Ένωσης για τη Συνεργασία στον Τομέα της Επιβολής του Νόμου (Ευρωπόλ), και τονίζει ότι η Eurojust και η Ευρωπόλ ξεκίνησαν ένα πιλοτικό έργο για τη συστηματική και διαρθρωτική ανταλλαγή δεδομένων για σκοπούς εντοπισμού συνδέσεων, το οποίο θα επανεξεταστεί στο πρώτο εξάμηνο του 2024· εκφράζει την ικανοποίησή του για το σχέδιο δράσης της Eurojust και της OLAF για την περίοδο 2022-2023 με στόχο την καταπολέμηση των εγκλημάτων που θίγουν τα οικονομικά συμφέροντα της Ευρωπαϊκής Ένωσης·</w:t>
      </w:r>
    </w:p>
    <w:p w:rsidR="00D66ACE" w:rsidRPr="0089313D" w:rsidRDefault="00D66ACE" w:rsidP="00D66ACE">
      <w:pPr>
        <w:spacing w:after="240"/>
        <w:ind w:left="567" w:hanging="567"/>
        <w:rPr>
          <w:b/>
          <w:i/>
        </w:rPr>
      </w:pPr>
      <w:r w:rsidRPr="0089313D">
        <w:rPr>
          <w:b/>
          <w:i/>
        </w:rPr>
        <w:lastRenderedPageBreak/>
        <w:t>Εσωτερικοί έλεγχοι</w:t>
      </w:r>
    </w:p>
    <w:p w:rsidR="00D66ACE" w:rsidRPr="0089313D" w:rsidRDefault="0089313D" w:rsidP="0089313D">
      <w:pPr>
        <w:spacing w:after="240"/>
        <w:ind w:left="567" w:hanging="573"/>
      </w:pPr>
      <w:r w:rsidRPr="0089313D">
        <w:rPr>
          <w:rFonts w:eastAsiaTheme="minorHAnsi"/>
          <w:szCs w:val="24"/>
          <w:lang w:eastAsia="en-US"/>
        </w:rPr>
        <w:t>125.</w:t>
      </w:r>
      <w:r w:rsidRPr="0089313D">
        <w:rPr>
          <w:rFonts w:eastAsiaTheme="minorHAnsi"/>
          <w:szCs w:val="24"/>
          <w:lang w:eastAsia="en-US"/>
        </w:rPr>
        <w:tab/>
      </w:r>
      <w:r w:rsidR="00D66ACE" w:rsidRPr="0089313D">
        <w:t>σημειώνει με ανησυχία τις διαπιστώσεις του Ελεγκτικού Συνεδρίου στον τομέα των συστημάτων διαχείρισης και ελέγχου που επηρεάζουν 9 οργανισμούς, συγκεκριμένα τον EMA, την Ευρωπόλ, τον EUSPA, το Eurofound, το ΕΙΤ, τον Eurojust ACER, τον ENISA και τον ΕΟΠ·</w:t>
      </w:r>
    </w:p>
    <w:p w:rsidR="00D66ACE" w:rsidRPr="0089313D" w:rsidRDefault="0089313D" w:rsidP="0089313D">
      <w:pPr>
        <w:spacing w:after="240"/>
        <w:ind w:left="567" w:hanging="573"/>
      </w:pPr>
      <w:r w:rsidRPr="0089313D">
        <w:rPr>
          <w:rFonts w:eastAsiaTheme="minorHAnsi"/>
          <w:szCs w:val="24"/>
          <w:lang w:eastAsia="en-US"/>
        </w:rPr>
        <w:t>126.</w:t>
      </w:r>
      <w:r w:rsidRPr="0089313D">
        <w:rPr>
          <w:rFonts w:eastAsiaTheme="minorHAnsi"/>
          <w:szCs w:val="24"/>
          <w:lang w:eastAsia="en-US"/>
        </w:rPr>
        <w:tab/>
      </w:r>
      <w:r w:rsidR="00D66ACE" w:rsidRPr="0089313D">
        <w:t>επισημαίνει ότι, στην περίπτωση της Ευρωπόλ και του ΕΙΤ, δύο από τις τρεις παρατηρήσεις είχαν ως αποτέλεσμα παράτυπες πληρωμές το 2023·</w:t>
      </w:r>
    </w:p>
    <w:p w:rsidR="00D66ACE" w:rsidRPr="0089313D" w:rsidRDefault="0089313D" w:rsidP="0089313D">
      <w:pPr>
        <w:spacing w:after="240"/>
        <w:ind w:left="567" w:hanging="573"/>
      </w:pPr>
      <w:r w:rsidRPr="0089313D">
        <w:rPr>
          <w:rFonts w:eastAsiaTheme="minorHAnsi"/>
          <w:szCs w:val="24"/>
          <w:lang w:eastAsia="en-US"/>
        </w:rPr>
        <w:t>127.</w:t>
      </w:r>
      <w:r w:rsidRPr="0089313D">
        <w:rPr>
          <w:rFonts w:eastAsiaTheme="minorHAnsi"/>
          <w:szCs w:val="24"/>
          <w:lang w:eastAsia="en-US"/>
        </w:rPr>
        <w:tab/>
      </w:r>
      <w:r w:rsidR="00D66ACE" w:rsidRPr="0089313D">
        <w:t>υπενθυμίζει ότι το Ελεγκτικό Συνέδριο διαπίστωσε το 2022 ότι η Ευρωπόλ είχε επιστρέψει παράτυπα τον ΦΠΑ μέσω επιχορηγήσεων σε δημόσιες αρχές, θεωρώντας τον επιλέξιμο κόστος, και ότι το 2023 η επιστροφή για την ιδέα αυτή ανήλθε σε 279 900 EUR· εκφράζει την ικανοποίησή του για την απόφαση της Ευρωπόλ να μην θεωρεί πλέον τον ΦΠΑ ως επιλέξιμη δαπάνη για νέες επιδοτήσεις λειτουργίας·</w:t>
      </w:r>
    </w:p>
    <w:p w:rsidR="00D66ACE" w:rsidRPr="0089313D" w:rsidRDefault="0089313D" w:rsidP="0089313D">
      <w:pPr>
        <w:spacing w:after="240"/>
        <w:ind w:left="567" w:hanging="573"/>
      </w:pPr>
      <w:r w:rsidRPr="0089313D">
        <w:rPr>
          <w:rFonts w:eastAsiaTheme="minorHAnsi"/>
          <w:szCs w:val="24"/>
          <w:lang w:eastAsia="en-US"/>
        </w:rPr>
        <w:t>128.</w:t>
      </w:r>
      <w:r w:rsidRPr="0089313D">
        <w:rPr>
          <w:rFonts w:eastAsiaTheme="minorHAnsi"/>
          <w:szCs w:val="24"/>
          <w:lang w:eastAsia="en-US"/>
        </w:rPr>
        <w:tab/>
      </w:r>
      <w:r w:rsidR="00D66ACE" w:rsidRPr="0089313D">
        <w:t>σημειώνει ότι, στην περίπτωση του ΕΙΤ, μία από τις παρατηρήσεις αποτελεί τη βάση για τη διατύπωση γνώμης με επιφύλαξη σχετικά με τη νομιμότητα και κανονικότητα των πληρωμών στις οποίες βασίζονται οι λογαριασμοί, η οποία περιγράφεται υπό τον τίτλο «Επισκόπηση των αποτελεσμάτων του ελέγχου» του παρόντος ψηφίσματος·</w:t>
      </w:r>
    </w:p>
    <w:p w:rsidR="00D66ACE" w:rsidRPr="0089313D" w:rsidRDefault="0089313D" w:rsidP="0089313D">
      <w:pPr>
        <w:pStyle w:val="NormalHanging12a"/>
        <w:ind w:hanging="573"/>
      </w:pPr>
      <w:r w:rsidRPr="0089313D">
        <w:t>129.</w:t>
      </w:r>
      <w:r w:rsidRPr="0089313D">
        <w:tab/>
      </w:r>
      <w:r w:rsidR="00D66ACE" w:rsidRPr="0089313D">
        <w:t>εκφράζει την ανησυχία του για το γεγονός ότι η δεύτερη παρατήρηση του Ελεγκτικού Συνεδρίου σχετικά με το ΕΙΤ αναφέρεται στη μετάβαση του οργανισμού σε μια πολυετή δομή συμφωνιών επιχορήγησης, αλλά οι διαδικασίες και οι κατευθυντήριες γραμμές για τους εκ των υστέρων ελέγχους των πληρωμών επιχορηγήσεων δεν έχουν επικαιροποιηθεί ώστε να λαμβάνονται υπόψη οι επιπτώσεις· εκφράζει την ικανοποίησή του για το γεγονός ότι το ΕΙΤ βρίσκεται ήδη σε διαδικασία επικαιροποίησης του μηχανισμού εκ των υστέρων ελέγχου του για την αντιμετώπιση αυτών των επιπτώσεων·</w:t>
      </w:r>
    </w:p>
    <w:p w:rsidR="00D66ACE" w:rsidRPr="0089313D" w:rsidRDefault="0089313D" w:rsidP="0089313D">
      <w:pPr>
        <w:spacing w:after="240"/>
        <w:ind w:left="567" w:hanging="573"/>
      </w:pPr>
      <w:r w:rsidRPr="0089313D">
        <w:rPr>
          <w:rFonts w:eastAsiaTheme="minorHAnsi"/>
          <w:szCs w:val="24"/>
          <w:lang w:eastAsia="en-US"/>
        </w:rPr>
        <w:t>130.</w:t>
      </w:r>
      <w:r w:rsidRPr="0089313D">
        <w:rPr>
          <w:rFonts w:eastAsiaTheme="minorHAnsi"/>
          <w:szCs w:val="24"/>
          <w:lang w:eastAsia="en-US"/>
        </w:rPr>
        <w:tab/>
      </w:r>
      <w:r w:rsidR="00D66ACE" w:rsidRPr="0089313D">
        <w:t>γνωρίζει ότι, κατά το πρώτο τρίμηνο του 2023, ο EMA πραγματοποίησε μετανάστευση δεδομένων, αλλά δεν τήρησε τις προθεσμίες για τις 48 κτηνιατρικές επιθεωρήσεις, με αποτέλεσμα σημαντικές καθυστερήσεις στα τιμολόγια που δεν αναφέρθηκαν στο μητρώο εξαιρέσεων και εσφαλμένα καταχωρισμένα έσοδα· σημειώνει ότι αυτό αντιβαίνει στον δημοσιονομικό κανονισμό του EMA και αποκαλύπτει αδυναμίες στα συστήματα διαχείρισης και ελέγχου του· λαμβάνει υπό σημείωση τον στόχο του EMA να βελτιώσει τη διαδικασία στο πλαίσιο της εφαρμογής του κανονισμού για τα νέα τέλη·</w:t>
      </w:r>
    </w:p>
    <w:p w:rsidR="00D66ACE" w:rsidRPr="0089313D" w:rsidRDefault="0089313D" w:rsidP="0089313D">
      <w:pPr>
        <w:spacing w:after="240"/>
        <w:ind w:left="567" w:hanging="573"/>
      </w:pPr>
      <w:r w:rsidRPr="0089313D">
        <w:rPr>
          <w:rFonts w:eastAsiaTheme="minorHAnsi"/>
          <w:szCs w:val="24"/>
          <w:lang w:eastAsia="en-US"/>
        </w:rPr>
        <w:t>131.</w:t>
      </w:r>
      <w:r w:rsidRPr="0089313D">
        <w:rPr>
          <w:rFonts w:eastAsiaTheme="minorHAnsi"/>
          <w:szCs w:val="24"/>
          <w:lang w:eastAsia="en-US"/>
        </w:rPr>
        <w:tab/>
      </w:r>
      <w:r w:rsidR="00D66ACE" w:rsidRPr="0089313D">
        <w:t xml:space="preserve">σημειώνει ότι το </w:t>
      </w:r>
      <w:proofErr w:type="spellStart"/>
      <w:r w:rsidR="00D66ACE" w:rsidRPr="0089313D">
        <w:t>Eurofound</w:t>
      </w:r>
      <w:proofErr w:type="spellEnd"/>
      <w:r w:rsidR="00D66ACE" w:rsidRPr="0089313D">
        <w:t xml:space="preserve"> κατέβαλε ποσό ύψους 38 600 EUR, το οποίο συνδέεται με σύμβαση για την αξιολόγηση της ποιότητας των δεδομένων της έρευνας, χωρίς να συλλέξει ορισμένα βασικά δικαιολογητικά έγγραφα σχετικά με τα συμβατικά παραδοτέα·</w:t>
      </w:r>
    </w:p>
    <w:p w:rsidR="00D66ACE" w:rsidRPr="0089313D" w:rsidRDefault="0089313D" w:rsidP="0089313D">
      <w:pPr>
        <w:pStyle w:val="NormalHanging12a"/>
        <w:ind w:hanging="573"/>
      </w:pPr>
      <w:r w:rsidRPr="0089313D">
        <w:t>132.</w:t>
      </w:r>
      <w:r w:rsidRPr="0089313D">
        <w:tab/>
      </w:r>
      <w:r w:rsidR="00D66ACE" w:rsidRPr="0089313D">
        <w:t xml:space="preserve">σημειώνει ότι, το 2023, η Eurojust παρατήρησε αύξηση των μη τυποποιημένων συναλλαγών που χαρακτηρίστηκαν ως εξαιρέσεις ή περιστατικά μη συμμόρφωσης, με τον αριθμό να αυξάνεται από 43 σε 71 και το συνολικό σχετικό ποσό να αυξάνεται από 294 000 EUR σε 566 400 EUR σε σύγκριση με το 2022· αναγνωρίζει την απάντηση της Eurojust στην παρατήρηση με την οποία η πλειονότητα των συνολικών περιστατικών μη συμμόρφωσης το 2023 ανατέθηκε σε μία και μόνη εκδήλωση για επιχορήγηση της κοινής ομάδας έρευνας (ΚΟΕ)· σημειώνει ότι, σύμφωνα με τον Οργανισμό, η αύξηση οφείλεται κυρίως σε ανεπαρκείς ανθρώπινους πόρους και ανεπάρκειες των εσωτερικών </w:t>
      </w:r>
      <w:r w:rsidR="00D66ACE" w:rsidRPr="0089313D">
        <w:lastRenderedPageBreak/>
        <w:t>διαδικασιών και εκφράζει την ικανοποίησή του για το γεγονός ότι η Eurojust έχει αντιμετωπίσει το ζήτημα με την αναθεώρηση της τρέχουσας διαδικασίας για την καταχώριση και την αναφορά περιστατικών μη συμμόρφωσης το 2024·</w:t>
      </w:r>
    </w:p>
    <w:p w:rsidR="00D66ACE" w:rsidRPr="0089313D" w:rsidRDefault="0089313D" w:rsidP="0089313D">
      <w:pPr>
        <w:spacing w:after="240"/>
        <w:ind w:left="567" w:hanging="573"/>
      </w:pPr>
      <w:r w:rsidRPr="0089313D">
        <w:rPr>
          <w:rFonts w:eastAsiaTheme="minorHAnsi"/>
          <w:szCs w:val="24"/>
          <w:lang w:eastAsia="en-US"/>
        </w:rPr>
        <w:t>133.</w:t>
      </w:r>
      <w:r w:rsidRPr="0089313D">
        <w:rPr>
          <w:rFonts w:eastAsiaTheme="minorHAnsi"/>
          <w:szCs w:val="24"/>
          <w:lang w:eastAsia="en-US"/>
        </w:rPr>
        <w:tab/>
      </w:r>
      <w:r w:rsidR="00D66ACE" w:rsidRPr="0089313D">
        <w:t>σημειώνει ότι ο εκτελεστικός διευθυντής του EUSPA είχε επιβεβαιώσει την έγκαιρη έναρξη των δραστηριοτήτων παρακολούθησης πριν από την υπογραφή συμφωνίας επιχορήγησης, με αποτέλεσμα δραστηριότητες που πραγματοποιήθηκαν χωρίς δημοσιονομική δέσμευση· επισημαίνει ότι αυτό δεν αναφέρθηκε στο μητρώο εξαιρέσεων ή στην ετήσια έκθεση δραστηριοτήτων, γεγονός που αντιβαίνει στον δημοσιονομικό κανονισμό· σημειώνει ότι ο EUSPA υποστηρίζει ότι δεν ήταν αναγκαίο να καταχωριστεί η έγκαιρη έναρξη των δραστηριοτήτων χωρίς δημοσιονομική δέσμευση στο μητρώο εξαιρέσεων, αλλά αναγνωρίζει ότι η υπόθεση δεν αναφέρθηκε στην ετήσια έκθεση δραστηριοτήτων, όπως απαιτείται·</w:t>
      </w:r>
    </w:p>
    <w:p w:rsidR="00D66ACE" w:rsidRPr="0089313D" w:rsidRDefault="0089313D" w:rsidP="0089313D">
      <w:pPr>
        <w:spacing w:after="240"/>
        <w:ind w:left="567" w:hanging="573"/>
      </w:pPr>
      <w:r w:rsidRPr="0089313D">
        <w:rPr>
          <w:rFonts w:eastAsiaTheme="minorHAnsi"/>
          <w:szCs w:val="24"/>
          <w:lang w:eastAsia="en-US"/>
        </w:rPr>
        <w:t>134.</w:t>
      </w:r>
      <w:r w:rsidRPr="0089313D">
        <w:rPr>
          <w:rFonts w:eastAsiaTheme="minorHAnsi"/>
          <w:szCs w:val="24"/>
          <w:lang w:eastAsia="en-US"/>
        </w:rPr>
        <w:tab/>
      </w:r>
      <w:r w:rsidR="00D66ACE" w:rsidRPr="0089313D">
        <w:t>λαμβάνει υπό σημείωση τον διορισμό από τον ACER νέου υπόλογου, ο οποίος ήταν επίσης επικεφαλής ομάδας του τμήματος προϋπολογισμού, οικονομικών και δημόσιων συμβάσεων, κατά παράβαση του δημοσιονομικού κανονισμού του ACER που απαιτεί διαχωρισμό των καθηκόντων των διατακτών και των υπολόγων· γνωρίζει ότι από την 1η Μαΐου 2024 πραγματοποιήθηκε αναδιοργάνωση και η επικεφαλής της ομάδας προϋπολογισμού, οικονομικών και σύναψης συμβάσεων απαλλάχθηκε από τα καθήκοντά της ως επικεφαλής ομάδας·</w:t>
      </w:r>
    </w:p>
    <w:p w:rsidR="00D66ACE" w:rsidRPr="0089313D" w:rsidRDefault="0089313D" w:rsidP="0089313D">
      <w:pPr>
        <w:spacing w:after="240"/>
        <w:ind w:left="567" w:hanging="573"/>
      </w:pPr>
      <w:r w:rsidRPr="0089313D">
        <w:rPr>
          <w:rFonts w:eastAsiaTheme="minorHAnsi"/>
          <w:szCs w:val="24"/>
          <w:lang w:eastAsia="en-US"/>
        </w:rPr>
        <w:t>135.</w:t>
      </w:r>
      <w:r w:rsidRPr="0089313D">
        <w:rPr>
          <w:rFonts w:eastAsiaTheme="minorHAnsi"/>
          <w:szCs w:val="24"/>
          <w:lang w:eastAsia="en-US"/>
        </w:rPr>
        <w:tab/>
      </w:r>
      <w:r w:rsidR="00D66ACE" w:rsidRPr="0089313D">
        <w:t>σημειώνει ότι, τον Σεπτέμβριο του 2023, ο εκτελεστικός διευθυντής του ENISA επέτρεψε σε 15 μέλη του προσωρινού προσωπικού να αναλάβουν ρόλους στο δημοσιονομικό κύκλωμα χωρίς προηγούμενη έγκριση, κατά παράβαση των κανονισμών· γνωρίζει ότι, σύμφωνα με την απάντηση του Οργανισμού, ο ENISA χρησιμοποιεί προσωρινούς υπαλλήλους και ΑΕΕ λόγω επιχειρηματικών αναγκών και ελλείψεων πόρων, και θα επιδιώξει να παρεκκλίνει από τους δημοσιονομικούς κανόνες εάν συνεχιστεί η έλλειψη πόρων·</w:t>
      </w:r>
    </w:p>
    <w:p w:rsidR="00D66ACE" w:rsidRPr="0089313D" w:rsidRDefault="0089313D" w:rsidP="0089313D">
      <w:pPr>
        <w:pStyle w:val="NormalHanging12a"/>
        <w:ind w:hanging="573"/>
      </w:pPr>
      <w:r w:rsidRPr="0089313D">
        <w:t>136.</w:t>
      </w:r>
      <w:r w:rsidRPr="0089313D">
        <w:tab/>
      </w:r>
      <w:r w:rsidR="00D66ACE" w:rsidRPr="0089313D">
        <w:t>σημειώνει, επιπλέον, ότι ο υπόλογος του ENISA διορίστηκε επίσης συντονιστής εσωτερικού ελέγχου, σε αντίθεση με τους κανονισμούς που ορίζουν τον διαχωρισμό των καθηκόντων· λαμβάνει υπό σημείωση την αναγνώριση της παρατήρησης από τον ENISA, αλλά θεωρεί ότι οι ρόλοι του συντονιστή εσωτερικού ελέγχου και του υπόλογου δεν είναι απαραίτητα ασυμβίβαστοι, δεδομένου ότι ο διατάκτης δεν είχε μεταβιβάσει αρμοδιότητες στον συντονιστή εσωτερικού ελέγχου· εκφράζει την ικανοποίησή του για το γεγονός ότι ο ENISA θα αποσαφηνίσει τους ρόλους και τις αρμοδιότητες του συντονιστή εσωτερικού ελέγχου στις εσωτερικές του διαδικασίες· ζητεί να ενημερωθεί το Ευρωπαϊκό Κοινοβούλιο σχετικά με την εν λόγω πρόοδο πριν από τις 30 Ιουνίου 2025·</w:t>
      </w:r>
    </w:p>
    <w:p w:rsidR="00D66ACE" w:rsidRPr="0089313D" w:rsidRDefault="0089313D" w:rsidP="0089313D">
      <w:pPr>
        <w:spacing w:after="240"/>
        <w:ind w:left="567" w:hanging="573"/>
      </w:pPr>
      <w:r w:rsidRPr="0089313D">
        <w:rPr>
          <w:rFonts w:eastAsiaTheme="minorHAnsi"/>
          <w:szCs w:val="24"/>
          <w:lang w:eastAsia="en-US"/>
        </w:rPr>
        <w:t>137.</w:t>
      </w:r>
      <w:r w:rsidRPr="0089313D">
        <w:rPr>
          <w:rFonts w:eastAsiaTheme="minorHAnsi"/>
          <w:szCs w:val="24"/>
          <w:lang w:eastAsia="en-US"/>
        </w:rPr>
        <w:tab/>
      </w:r>
      <w:r w:rsidR="00D66ACE" w:rsidRPr="0089313D">
        <w:t xml:space="preserve">παρατηρεί ότι ο ΕΟΠ ενέκρινε κατ’ αποκοπή πληρωμές επιχορηγήσεων χωρίς να είναι σε θέση να καταδείξει τον τρόπο υπολογισμού του ποσού, γεγονός που ενέχει τον κίνδυνο να μην είναι ανάλογο με τις παρεχόμενες υπηρεσίες· σημειώνει ότι ο ΕΟΠ θεωρεί ότι η γραπτή απόφαση σχετικά με την πληρωμή κατ’ αποκοπή ποσού συμμορφώνεται πλήρως με τις σχετικές ρήτρες του δημοσιονομικού κανονισμού. τονίζει ότι ο Οργανισμός θα διασφαλίσει ότι τα κατ’ αποκοπή ποσά καθορίζονται και </w:t>
      </w:r>
      <w:r w:rsidR="00D66ACE" w:rsidRPr="0089313D">
        <w:lastRenderedPageBreak/>
        <w:t>τεκμηριώνονται δεόντως για περιπτώσεις στις οποίες οι δαπάνες δηλώνονται από μονοπρόσωπη εταιρεία/αυτοαπασχολούμενο εταίρο στα ευρωπαϊκά θεματικά κέντρα</w:t>
      </w:r>
      <w:r w:rsidR="00D66ACE" w:rsidRPr="0089313D">
        <w:rPr>
          <w:rStyle w:val="FootnoteReference"/>
        </w:rPr>
        <w:footnoteReference w:id="430"/>
      </w:r>
      <w:r w:rsidR="00D66ACE" w:rsidRPr="0089313D">
        <w:t>·</w:t>
      </w:r>
    </w:p>
    <w:p w:rsidR="00D66ACE" w:rsidRPr="0089313D" w:rsidRDefault="0089313D" w:rsidP="0089313D">
      <w:pPr>
        <w:spacing w:after="240"/>
        <w:ind w:left="567" w:hanging="573"/>
      </w:pPr>
      <w:r w:rsidRPr="0089313D">
        <w:rPr>
          <w:rFonts w:eastAsiaTheme="minorHAnsi"/>
          <w:szCs w:val="24"/>
          <w:lang w:eastAsia="en-US"/>
        </w:rPr>
        <w:t>138.</w:t>
      </w:r>
      <w:r w:rsidRPr="0089313D">
        <w:rPr>
          <w:rFonts w:eastAsiaTheme="minorHAnsi"/>
          <w:szCs w:val="24"/>
          <w:lang w:eastAsia="en-US"/>
        </w:rPr>
        <w:tab/>
      </w:r>
      <w:r w:rsidR="00D66ACE" w:rsidRPr="0089313D">
        <w:t>σημειώνει ότι ο ΕΟΠ ανέθεσε εκ των προτέρων οικονομικούς ελέγχους σε εξωτερικό ανάδοχο και ότι το Ελεγκτικό Συνέδριο διαπίστωσε ελλείψεις στις ρυθμίσεις ελέγχου· σημειώνει ότι, ως απάντηση, ο ΕΟΠ αναγνώρισε την παρατήρηση του Ελεγκτικού Συνεδρίου και θα επικαιροποιήσει τις διαδικασίες για τους εκ των προτέρων ελέγχους, ώστε να διασφαλιστεί η αντιμετώπιση του εν λόγω κινδύνου·</w:t>
      </w:r>
    </w:p>
    <w:p w:rsidR="00D66ACE" w:rsidRPr="0089313D" w:rsidRDefault="0089313D" w:rsidP="0089313D">
      <w:pPr>
        <w:pStyle w:val="NormalHanging12a"/>
        <w:ind w:hanging="573"/>
      </w:pPr>
      <w:r w:rsidRPr="0089313D">
        <w:t>139.</w:t>
      </w:r>
      <w:r w:rsidRPr="0089313D">
        <w:tab/>
      </w:r>
      <w:r w:rsidR="00D66ACE" w:rsidRPr="0089313D">
        <w:t>καλεί τους οργανισμούς να εφαρμόζουν άμεσα και συστηματικά τις παρατηρήσεις του Συνεδρίου και να λάβουν συγκεκριμένα διορθωτικά μέτρα για την αντιμετώπιση των αδυναμιών που εντοπίστηκαν στο πλαίσιο εσωτερικού ελέγχου τους· ζητεί επιτακτικά τη θέσπιση αυστηρότερων μέτρων λογοδοσίας, διασφαλίζοντας ότι τυχόν συνεχιζόμενες ελλείψεις οδηγούν σε στοχευμένα διορθωτικά μέτρα και συνέπειες σε περίπτωση επανειλημμένης μη συμμόρφωσης·</w:t>
      </w:r>
    </w:p>
    <w:p w:rsidR="00D66ACE" w:rsidRPr="0089313D" w:rsidRDefault="00D66ACE" w:rsidP="00D66ACE">
      <w:pPr>
        <w:spacing w:after="240"/>
        <w:ind w:left="567" w:hanging="567"/>
        <w:rPr>
          <w:i/>
        </w:rPr>
      </w:pPr>
      <w:r w:rsidRPr="0089313D">
        <w:rPr>
          <w:b/>
          <w:i/>
        </w:rPr>
        <w:t>Κυβερνοασφάλεια, δεοντολογία και διαφάνεια</w:t>
      </w:r>
    </w:p>
    <w:p w:rsidR="00D66ACE" w:rsidRPr="0089313D" w:rsidRDefault="0089313D" w:rsidP="0089313D">
      <w:pPr>
        <w:pStyle w:val="NormalHanging12a"/>
        <w:ind w:hanging="573"/>
      </w:pPr>
      <w:r w:rsidRPr="0089313D">
        <w:t>140.</w:t>
      </w:r>
      <w:r w:rsidRPr="0089313D">
        <w:tab/>
      </w:r>
      <w:r w:rsidR="00D66ACE" w:rsidRPr="0089313D">
        <w:t>εφιστά την προσοχή στην ανάγκη να ληφθούν όλα τα αναγκαία μέτρα ασφαλείας ώστε να διαφυλάσσεται η διαδικτυακή ακεραιότητα των πληροφοριών που υποβάλλονται σε επεξεργασία, επιμένει δε να ενισχυθεί η ανθεκτικότητα των οργανισμών σε κυβερνοεπιθέσεις ή απόπειρες διείσδυσης που προέρχονται ιδιαίτερα από τη Ρωσία ή από άλλες τρίτες χώρες· υπογραμμίζει ότι οι κοινές προμήθειες σε αυτόν τον τομέα μεταξύ οργανισμών θα μπορούσαν να οδηγήσουν σε μείωση του οικονομικού κόστους και σε βελτιωμένα αποτελέσματα·</w:t>
      </w:r>
    </w:p>
    <w:p w:rsidR="00D66ACE" w:rsidRPr="0089313D" w:rsidRDefault="0089313D" w:rsidP="0089313D">
      <w:pPr>
        <w:spacing w:after="240"/>
        <w:ind w:left="567" w:hanging="573"/>
      </w:pPr>
      <w:r w:rsidRPr="0089313D">
        <w:rPr>
          <w:rFonts w:eastAsiaTheme="minorHAnsi"/>
          <w:szCs w:val="24"/>
          <w:lang w:eastAsia="en-US"/>
        </w:rPr>
        <w:t>141.</w:t>
      </w:r>
      <w:r w:rsidRPr="0089313D">
        <w:rPr>
          <w:rFonts w:eastAsiaTheme="minorHAnsi"/>
          <w:szCs w:val="24"/>
          <w:lang w:eastAsia="en-US"/>
        </w:rPr>
        <w:tab/>
      </w:r>
      <w:r w:rsidR="00D66ACE" w:rsidRPr="0089313D">
        <w:t>εκφράζει την ικανοποίησή του για τη συνεργασία του FRA με τον Οργανισμό της Ευρωπαϊκής Ένωσης για την Κυβερνοασφάλεια (ENISA) όσον αφορά τη διασφάλιση της ιδιωτικότητας και της προστασίας των δεδομένων καθ’ όλη τη διάρκεια της ανάπτυξης και της υλοποίησης πρωτοβουλιών κυβερνοασφάλειας, καθώς και με τον eu-LISA όσον αφορά τη διασφάλιση ότι τηρούνται τα πρότυπα για τα θεμελιώδη δικαιώματα κατά τον σχεδιασμό και τη χρήση των συστημάτων ΤΠ.</w:t>
      </w:r>
    </w:p>
    <w:p w:rsidR="00D66ACE" w:rsidRPr="0089313D" w:rsidRDefault="0089313D" w:rsidP="0089313D">
      <w:pPr>
        <w:pStyle w:val="NormalHanging12a"/>
        <w:ind w:hanging="573"/>
      </w:pPr>
      <w:r w:rsidRPr="0089313D">
        <w:t>142.</w:t>
      </w:r>
      <w:r w:rsidRPr="0089313D">
        <w:tab/>
      </w:r>
      <w:r w:rsidR="00D66ACE" w:rsidRPr="0089313D">
        <w:t>σημειώνει ότι οι αποκεντρωμένοι οργανισμοί της Ευρωπαϊκής Ένωσης έχουν θεσπίσει διάφορους μηχανισμούς για την αντιμετώπιση της διαφάνειας και των δραστηριοτήτων άσκησης πίεσης ή επιρροής από ομάδες συμφερόντων στους αντίστοιχους τομείς πολιτικής τους· υπογραμμίζει, ωστόσο, ότι, σύμφωνα με το Ελεγκτικό Συνέδριο, οι οργανισμοί δεν επιτυγχάνουν πάντοτε ικανοποιητικά επίπεδα διαφάνειας και αξιοποίησης των πόρων σε διαγωνισμούς με πολύπλοκους κανόνες και διαδικασίες σύναψης συμβάσεων</w:t>
      </w:r>
      <w:r w:rsidR="00D66ACE" w:rsidRPr="0089313D">
        <w:rPr>
          <w:vertAlign w:val="superscript"/>
        </w:rPr>
        <w:footnoteReference w:id="431"/>
      </w:r>
      <w:r w:rsidR="00D66ACE" w:rsidRPr="0089313D">
        <w:t>· σημειώνει με ανησυχία τα εναπομένοντα ζητήματα διαφάνειας, τα οποία με τη σειρά τους επηρεάζουν τη συνοχή, την αποτελεσματικότητα και, κυρίως, τη λογοδοσία·</w:t>
      </w:r>
    </w:p>
    <w:p w:rsidR="00D66ACE" w:rsidRPr="0089313D" w:rsidRDefault="0089313D" w:rsidP="0089313D">
      <w:pPr>
        <w:pStyle w:val="NormalHanging12a"/>
        <w:ind w:hanging="573"/>
      </w:pPr>
      <w:r w:rsidRPr="0089313D">
        <w:lastRenderedPageBreak/>
        <w:t>143.</w:t>
      </w:r>
      <w:r w:rsidRPr="0089313D">
        <w:tab/>
      </w:r>
      <w:r w:rsidR="00D66ACE" w:rsidRPr="0089313D">
        <w:t>επισημαίνει τη θετική πρόοδο στην υλοποίηση των στόχων για τα θεμελιώδη δικαιώματα, συμπεριλαμβανομένης της εν εξελίξει εκτέλεσης του σχεδίου δράσης για τα θεμελιώδη δικαιώματα και της ανεξάρτητης αξιολόγησης της συμμόρφωσης του Οργανισμού με το πλαίσιο θεμελιωδών δικαιωμάτων, σύμφωνα με τον κανονισμό για την Ευρωπαϊκή Συνοριοφυλακή και Ακτοφυλακή· εκφράζει την ικανοποίησή του για το γεγονός ότι ο Frontex δίνει με ενεργό τρόπο συνέχεια στις καταγγελίες που σχετίζονται με τα θεμελιώδη δικαιώματα, η πλειονότητα των οποίων απορρίπτεται λόγω μη παραδεκτού· εκφράζει την ικανοποίησή του για την ενισχυμένη δέσμευση του Frontex όσον αφορά τη διαφάνεια και τη λογοδοσία·</w:t>
      </w:r>
    </w:p>
    <w:p w:rsidR="00D66ACE" w:rsidRPr="0089313D" w:rsidRDefault="0089313D" w:rsidP="0089313D">
      <w:pPr>
        <w:spacing w:after="240"/>
        <w:ind w:left="567" w:hanging="573"/>
      </w:pPr>
      <w:r w:rsidRPr="0089313D">
        <w:rPr>
          <w:rFonts w:eastAsiaTheme="minorHAnsi"/>
          <w:szCs w:val="24"/>
          <w:lang w:eastAsia="en-US"/>
        </w:rPr>
        <w:t>144.</w:t>
      </w:r>
      <w:r w:rsidRPr="0089313D">
        <w:rPr>
          <w:rFonts w:eastAsiaTheme="minorHAnsi"/>
          <w:szCs w:val="24"/>
          <w:lang w:eastAsia="en-US"/>
        </w:rPr>
        <w:tab/>
      </w:r>
      <w:r w:rsidR="00D66ACE" w:rsidRPr="0089313D">
        <w:t>τονίζει ότι, για λόγους πλήρους σαφήνειας και διαφάνειας και σύμφωνα με την παρατήρηση του Ελεγκτικού Συνεδρίου, οι οργανισμοί που συλλέγουν ίδια έσοδα θα πρέπει να δημοσιοποιούν τις ίδιες πληροφορίες με εύληπτο τρόπο στους οριστικούς ετήσιους λογαριασμούς τους, στις ενοποιημένες ετήσιες εκθέσεις δραστηριοτήτων και στα ενιαία έγγραφα προγραμματισμού, δεδομένου ότι οι εν λόγω εκθέσεις εξυπηρετούν διαφορετικούς σκοπούς·</w:t>
      </w:r>
    </w:p>
    <w:p w:rsidR="00D66ACE" w:rsidRPr="0089313D" w:rsidRDefault="0089313D" w:rsidP="0089313D">
      <w:pPr>
        <w:pStyle w:val="NormalHanging12a"/>
        <w:ind w:hanging="573"/>
      </w:pPr>
      <w:r w:rsidRPr="0089313D">
        <w:t>145.</w:t>
      </w:r>
      <w:r w:rsidRPr="0089313D">
        <w:tab/>
      </w:r>
      <w:r w:rsidR="00D66ACE" w:rsidRPr="0089313D">
        <w:t>σημειώνει, επιπλέον, ότι το 2023 ο Frontex αρνήθηκε να χορηγήσει στο κοινό πρόσβαση σε έκθεση του υπευθύνου θεμελιωδών δικαιωμάτων του σχετικά με επιχείρηση του Frontex στην Αλβανία (υπόθεση 652/2023/VB), η οποία οδήγησε σε έρευνα της Διαμεσολαβήτριας· η Διαμεσολαβήτρια έκρινε ότι ο Frontex θα έπρεπε να έχει δώσει πρόσβαση σε ορισμένα μέρη της έκθεσης και εκφράζει την ικανοποίησή του για το γεγονός ότι ο Frontex αποδέχθηκε την πρόταση της Διαμεσολαβήτριας για την εξεύρεση λύσης·</w:t>
      </w:r>
    </w:p>
    <w:p w:rsidR="00D66ACE" w:rsidRPr="0089313D" w:rsidRDefault="0089313D" w:rsidP="0089313D">
      <w:pPr>
        <w:spacing w:after="240"/>
        <w:ind w:left="567" w:hanging="573"/>
      </w:pPr>
      <w:r w:rsidRPr="0089313D">
        <w:rPr>
          <w:rFonts w:eastAsiaTheme="minorHAnsi"/>
          <w:szCs w:val="24"/>
          <w:lang w:eastAsia="en-US"/>
        </w:rPr>
        <w:t>146.</w:t>
      </w:r>
      <w:r w:rsidRPr="0089313D">
        <w:rPr>
          <w:rFonts w:eastAsiaTheme="minorHAnsi"/>
          <w:szCs w:val="24"/>
          <w:lang w:eastAsia="en-US"/>
        </w:rPr>
        <w:tab/>
      </w:r>
      <w:r w:rsidR="00D66ACE" w:rsidRPr="0089313D">
        <w:t>εκφράζει τη λύπη του για το γεγονός ότι η εφαρμογή του Μητρώου Διαφάνειας σε εξωτερικές επαφές δεν είναι υποχρεωτική για τους αποκεντρωμένους οργανισμούς· σημειώνει, ωστόσο, ότι, σύμφωνα με τη διοργανική συμφωνία της 20ής Μαΐου 2021</w:t>
      </w:r>
      <w:r w:rsidR="00D66ACE" w:rsidRPr="0089313D">
        <w:rPr>
          <w:rStyle w:val="FootnoteReference"/>
        </w:rPr>
        <w:footnoteReference w:id="432"/>
      </w:r>
      <w:r w:rsidR="00D66ACE" w:rsidRPr="0089313D">
        <w:t xml:space="preserve"> μεταξύ του Ευρωπαϊκού Κοινοβουλίου, του Συμβουλίου της Ευρωπαϊκής Ένωσης και της Ευρωπαϊκής Επιτροπής σχετικά με ένα υποχρεωτικό μητρώο διαφάνειας, οι οργανισμοί έχουν τη δυνατότητα να χρησιμοποιούν το Μητρώο Διαφάνειας σε εθελοντική βάση·</w:t>
      </w:r>
    </w:p>
    <w:p w:rsidR="00D66ACE" w:rsidRPr="0089313D" w:rsidRDefault="0089313D" w:rsidP="0089313D">
      <w:pPr>
        <w:spacing w:after="240"/>
        <w:ind w:left="567" w:hanging="573"/>
      </w:pPr>
      <w:r w:rsidRPr="0089313D">
        <w:rPr>
          <w:rFonts w:eastAsiaTheme="minorHAnsi"/>
          <w:szCs w:val="24"/>
          <w:lang w:eastAsia="en-US"/>
        </w:rPr>
        <w:t>147.</w:t>
      </w:r>
      <w:r w:rsidRPr="0089313D">
        <w:rPr>
          <w:rFonts w:eastAsiaTheme="minorHAnsi"/>
          <w:szCs w:val="24"/>
          <w:lang w:eastAsia="en-US"/>
        </w:rPr>
        <w:tab/>
      </w:r>
      <w:r w:rsidR="00D66ACE" w:rsidRPr="0089313D">
        <w:t>ενθαρρύνει όλους τους οργανισμούς να κάνουν χρήση αυτής της προαιρετικής δυνατότητας και να ακολουθήσουν το παράδειγμα του eu-LISA και του Frontex, οι οποίοι είναι οι μόνοι δύο οργανισμοί που απαιτούν από εξωτερικές επαφές τρίτων μερών να εγγραφούν στο Μητρώο Διαφάνειας·</w:t>
      </w:r>
    </w:p>
    <w:p w:rsidR="00D66ACE" w:rsidRPr="0089313D" w:rsidRDefault="0089313D" w:rsidP="0089313D">
      <w:pPr>
        <w:pStyle w:val="NormalHanging12a"/>
        <w:ind w:hanging="573"/>
      </w:pPr>
      <w:r w:rsidRPr="0089313D">
        <w:t>148.</w:t>
      </w:r>
      <w:r w:rsidRPr="0089313D">
        <w:tab/>
      </w:r>
      <w:r w:rsidR="00D66ACE" w:rsidRPr="0089313D">
        <w:t>επισημαίνει ότι η χρήση του Μητρώου Διαφάνειας προωθείται και ενθαρρύνεται από τους υπογράφοντες τη διοργανική συμφωνία· υπενθυμίζει την έντονη έκκληση προς όλους τους αποκεντρωμένους οργανισμούς να αξιοποιήσουν πλήρως το μητρώο·</w:t>
      </w:r>
    </w:p>
    <w:p w:rsidR="00D66ACE" w:rsidRPr="0089313D" w:rsidRDefault="0089313D" w:rsidP="0089313D">
      <w:pPr>
        <w:spacing w:after="240"/>
        <w:ind w:left="567" w:hanging="573"/>
      </w:pPr>
      <w:r w:rsidRPr="0089313D">
        <w:rPr>
          <w:rFonts w:eastAsiaTheme="minorHAnsi"/>
          <w:szCs w:val="24"/>
          <w:lang w:eastAsia="en-US"/>
        </w:rPr>
        <w:t>149.</w:t>
      </w:r>
      <w:r w:rsidRPr="0089313D">
        <w:rPr>
          <w:rFonts w:eastAsiaTheme="minorHAnsi"/>
          <w:szCs w:val="24"/>
          <w:lang w:eastAsia="en-US"/>
        </w:rPr>
        <w:tab/>
      </w:r>
      <w:r w:rsidR="00D66ACE" w:rsidRPr="0089313D">
        <w:t xml:space="preserve">σημειώνει ότι ο </w:t>
      </w:r>
      <w:proofErr w:type="spellStart"/>
      <w:r w:rsidR="00D66ACE" w:rsidRPr="0089313D">
        <w:t>eu</w:t>
      </w:r>
      <w:proofErr w:type="spellEnd"/>
      <w:r w:rsidR="00D66ACE" w:rsidRPr="0089313D">
        <w:t xml:space="preserve">-LISA επικεντρώθηκε στην κυβερνοασφάλεια και στην καταπολέμηση των απειλών στον κυβερνοχώρο, ιδίως προβαίνοντας στις αναγκαίες προετοιμασίες για τις υποχρεώσεις που απορρέουν από τους νέους κανονισμούς της Ένωσης για την ασφάλεια των πληροφοριών και την κυβερνοασφάλεια· επισημαίνει ότι ο eu-LISA διαχειρίζεται και διατηρεί πλατφόρμα παρακολούθησης της ασφάλειας, </w:t>
      </w:r>
      <w:r w:rsidR="00D66ACE" w:rsidRPr="0089313D">
        <w:lastRenderedPageBreak/>
        <w:t xml:space="preserve">σχέδιο συμβάντων κυβερνοασφάλειας, εγχειρίδια αντίδρασης και ρυθμίσεις επιφυλακής 24/7 για τη διασφάλιση του έγκαιρου εντοπισμού και της έγκαιρης αντίδρασης σε κυβερνοαπειλές· εκφράζει την ικανοποίησή του για τον ρόλο του </w:t>
      </w:r>
      <w:proofErr w:type="spellStart"/>
      <w:r w:rsidR="00D66ACE" w:rsidRPr="0089313D">
        <w:t>eu</w:t>
      </w:r>
      <w:proofErr w:type="spellEnd"/>
      <w:r w:rsidR="00D66ACE" w:rsidRPr="0089313D">
        <w:t xml:space="preserve">-LISA στη στήριξη </w:t>
      </w:r>
      <w:proofErr w:type="spellStart"/>
      <w:r w:rsidR="00D66ACE" w:rsidRPr="0089313D">
        <w:t>διυπηρεσιακών</w:t>
      </w:r>
      <w:proofErr w:type="spellEnd"/>
      <w:r w:rsidR="00D66ACE" w:rsidRPr="0089313D">
        <w:t xml:space="preserve"> ασκήσεων κυβερνοασφάλειας σε συνεργασία με το δίκτυο οργανισμών ΔΕΥ (JHAAN)</w:t>
      </w:r>
      <w:r w:rsidR="00D66ACE" w:rsidRPr="0089313D">
        <w:rPr>
          <w:rStyle w:val="FootnoteReference"/>
        </w:rPr>
        <w:footnoteReference w:id="433"/>
      </w:r>
      <w:r w:rsidR="00D66ACE" w:rsidRPr="0089313D">
        <w:t>· υπογραμμίζει ότι είναι σημαντικό οι αποκεντρωμένοι οργανισμοί να έχουν την πλήρη ικανότητα αυτοάμυνας έναντι κυβερνοεπιθέσεων· ενθαρρύνει τη στενότερη συνεργασία μεταξύ του eu-LISA και των άλλων οργανισμών για την οικοδόμηση μιας πιο ανθεκτικής, συλλογικής αντιμετώπισης του εγκλήματος στον κυβερνοχώρο· τονίζει, στο πλαίσιο αυτό, τη σημασία της ενίσχυσης των μέτρων κυβερνοασφάλειας σε όλους τους οργανισμούς, δεδομένων των αυξανόμενων κινδύνων κυβερνοαπειλών και παραβιάσεων δεδομένων· ζητεί πρόσθετες επενδύσεις σε ασφαλείς υποδομές ΤΠ και κατάρτιση στον τομέα της κυβερνοασφάλειας για το προσωπικό των οργανισμών· καλεί τους οργανισμούς να υποβάλλουν ετήσια έκθεση αξιολόγησης κινδύνων για την κυβερνοασφάλεια στο Ευρωπαϊκό Κοινοβούλιο και το Ευρωπαϊκό Ελεγκτικό Συνέδριο·</w:t>
      </w:r>
    </w:p>
    <w:p w:rsidR="00D66ACE" w:rsidRPr="0089313D" w:rsidRDefault="0089313D" w:rsidP="0089313D">
      <w:pPr>
        <w:spacing w:after="240"/>
        <w:ind w:left="567" w:hanging="573"/>
      </w:pPr>
      <w:r w:rsidRPr="0089313D">
        <w:rPr>
          <w:rFonts w:eastAsiaTheme="minorHAnsi"/>
          <w:szCs w:val="24"/>
          <w:lang w:eastAsia="en-US"/>
        </w:rPr>
        <w:t>150.</w:t>
      </w:r>
      <w:r w:rsidRPr="0089313D">
        <w:rPr>
          <w:rFonts w:eastAsiaTheme="minorHAnsi"/>
          <w:szCs w:val="24"/>
          <w:lang w:eastAsia="en-US"/>
        </w:rPr>
        <w:tab/>
      </w:r>
      <w:r w:rsidR="00D66ACE" w:rsidRPr="0089313D">
        <w:t xml:space="preserve">παροτρύνει τον </w:t>
      </w:r>
      <w:proofErr w:type="spellStart"/>
      <w:r w:rsidR="00D66ACE" w:rsidRPr="0089313D">
        <w:t>Frontex</w:t>
      </w:r>
      <w:proofErr w:type="spellEnd"/>
      <w:r w:rsidR="00D66ACE" w:rsidRPr="0089313D">
        <w:t xml:space="preserve"> να διασφαλίσει, χωρίς περαιτέρω καθυστέρηση, την πλήρη εφαρμογή όλων των συστάσεων των ευρωπαϊκών οργάνων ελέγχου και εξέτασης, ιδίως εκείνων της OLAF και της ομάδας εργασίας του Ευρωπαϊκού Κοινοβουλίου για τον έλεγχο του Frontex, της Ευρωπαίας Διαμεσολαβήτριας, του Ελεγκτικού Συνεδρίου και της ομάδας εργασίας του Frontex για τα θεμελιώδη δικαιώματα και τις νομικές επιχειρησιακές πτυχές των επιχειρήσεων (WG </w:t>
      </w:r>
      <w:proofErr w:type="spellStart"/>
      <w:r w:rsidR="00D66ACE" w:rsidRPr="0089313D">
        <w:t>FRaLO</w:t>
      </w:r>
      <w:proofErr w:type="spellEnd"/>
      <w:r w:rsidR="00D66ACE" w:rsidRPr="0089313D">
        <w:t>)·</w:t>
      </w:r>
    </w:p>
    <w:p w:rsidR="00D66ACE" w:rsidRPr="0089313D" w:rsidRDefault="0089313D" w:rsidP="0089313D">
      <w:pPr>
        <w:pStyle w:val="NormalHanging12a"/>
        <w:ind w:hanging="573"/>
      </w:pPr>
      <w:r w:rsidRPr="0089313D">
        <w:t>151.</w:t>
      </w:r>
      <w:r w:rsidRPr="0089313D">
        <w:tab/>
      </w:r>
      <w:r w:rsidR="00D66ACE" w:rsidRPr="0089313D">
        <w:t>σημειώνει ότι όλοι οι οργανισμοί εφαρμόζουν πολιτική για τους μάρτυρες δημοσίου συμφέροντος· καλεί όλους τους οργανισμούς να διασφαλίσουν ότι διαθέτουν συγκεκριμένους, ασφαλείς και αποτελεσματικούς διαύλους καταγγελίας σύμφωνα με τις σχετικές απαιτήσεις της οδηγίας (ΕΕ) 2019/1937 του Ευρωπαϊκού Κοινοβουλίου και του Συμβουλίου σχετικά με την καταγγελία δυσλειτουργιών·</w:t>
      </w:r>
    </w:p>
    <w:p w:rsidR="00D66ACE" w:rsidRPr="0089313D" w:rsidRDefault="0089313D" w:rsidP="0089313D">
      <w:pPr>
        <w:pStyle w:val="NormalHanging12a"/>
        <w:ind w:hanging="573"/>
      </w:pPr>
      <w:r w:rsidRPr="0089313D">
        <w:t>152.</w:t>
      </w:r>
      <w:r w:rsidRPr="0089313D">
        <w:tab/>
      </w:r>
      <w:r w:rsidR="00D66ACE" w:rsidRPr="0089313D">
        <w:t>τάσσεται υπέρ της συστηματικής συμπερίληψης εκτιμήσεων κινδύνου που αφορούν ειδικά την τεχνητή νοημοσύνη στους εσωτερικούς ελέγχους των οργανισμών, διασφαλίζοντας τη συμμόρφωση με τις δεοντολογικές κατευθυντήριες γραμμές της ΕΕ και τα πρότυπα κυβερνοασφάλειας· ζητεί να διευρυνθεί η εντολή του ENISA ώστε να περιλαμβάνει ειδική εποπτεία των κινδύνων που σχετίζονται με τη χρήση της τεχνητής νοημοσύνης εντός των οργανισμών της ΕΕ·</w:t>
      </w:r>
    </w:p>
    <w:p w:rsidR="00D66ACE" w:rsidRPr="0089313D" w:rsidRDefault="00D66ACE" w:rsidP="00D66ACE">
      <w:pPr>
        <w:spacing w:after="240"/>
        <w:ind w:left="567" w:hanging="567"/>
      </w:pPr>
      <w:r w:rsidRPr="0089313D">
        <w:rPr>
          <w:b/>
          <w:i/>
          <w:color w:val="000000"/>
        </w:rPr>
        <w:t>Βιωσιμότητα, περιβαλλοντικός αντίκτυπος και κοινωνική ένταξη</w:t>
      </w:r>
    </w:p>
    <w:p w:rsidR="00D66ACE" w:rsidRPr="0089313D" w:rsidRDefault="0089313D" w:rsidP="0089313D">
      <w:pPr>
        <w:pStyle w:val="NormalHanging12a"/>
        <w:ind w:hanging="573"/>
      </w:pPr>
      <w:r w:rsidRPr="0089313D">
        <w:t>153.</w:t>
      </w:r>
      <w:r w:rsidRPr="0089313D">
        <w:tab/>
      </w:r>
      <w:r w:rsidR="00D66ACE" w:rsidRPr="0089313D">
        <w:t>σημειώνει ότι συνολικά 11</w:t>
      </w:r>
      <w:r w:rsidR="00D66ACE" w:rsidRPr="0089313D">
        <w:rPr>
          <w:vertAlign w:val="superscript"/>
        </w:rPr>
        <w:footnoteReference w:id="434"/>
      </w:r>
      <w:r w:rsidR="00D66ACE" w:rsidRPr="0089313D">
        <w:t xml:space="preserve"> από τους 33 οργανισμούς της ΕΕ (33 %) έχουν ήδη εφαρμόσει το σύστημα οικολογικής διαχείρισης και οικολογικού ελέγχου (EMAS) της ΕΕ· σημειώνει με ικανοποίηση τα προορατικά μέτρα που έχουν λάβει αρκετοί οργανισμοί για την απόκτηση πιστοποίησης EMAS στο εγγύς μέλλον</w:t>
      </w:r>
      <w:r w:rsidR="00D66ACE" w:rsidRPr="0089313D">
        <w:rPr>
          <w:vertAlign w:val="superscript"/>
        </w:rPr>
        <w:footnoteReference w:id="435"/>
      </w:r>
      <w:r w:rsidR="00D66ACE" w:rsidRPr="0089313D">
        <w:t>· σημειώνει ότι ορισμένοι οργανισμοί</w:t>
      </w:r>
      <w:r w:rsidR="00D66ACE" w:rsidRPr="0089313D">
        <w:rPr>
          <w:vertAlign w:val="superscript"/>
        </w:rPr>
        <w:footnoteReference w:id="436"/>
      </w:r>
      <w:r w:rsidR="00D66ACE" w:rsidRPr="0089313D">
        <w:t xml:space="preserve"> με μεγαλύτερο προϋπολογισμό δεν έχουν κοινοποιήσει τα </w:t>
      </w:r>
      <w:r w:rsidR="00D66ACE" w:rsidRPr="0089313D">
        <w:lastRenderedPageBreak/>
        <w:t>σχέδιά τους για την εφαρμογή του EMAS βραχυπρόθεσμα· σημειώνει ότι ο EASA αξιολογεί επί του παρόντος μέσα για συστηματικές και συνεχείς βελτιώσεις των περιβαλλοντικών επιδόσεων, συμπεριλαμβανομένου του EMAS, και θα παράσχει ενημέρωση στην αρμόδια για την απαλλαγή αρχή εντός του τρέχοντος έτους·</w:t>
      </w:r>
    </w:p>
    <w:p w:rsidR="00D66ACE" w:rsidRPr="0089313D" w:rsidRDefault="0089313D" w:rsidP="0089313D">
      <w:pPr>
        <w:pStyle w:val="NormalHanging12a"/>
        <w:ind w:hanging="573"/>
      </w:pPr>
      <w:r w:rsidRPr="0089313D">
        <w:t>154.</w:t>
      </w:r>
      <w:r w:rsidRPr="0089313D">
        <w:tab/>
      </w:r>
      <w:r w:rsidR="00D66ACE" w:rsidRPr="0089313D">
        <w:t>υπενθυμίζει ότι στην (οριζόντια) έκθεση απαλλαγής για το 2022 επισημάνθηκε ότι 14 οργανισμοί εξακολουθούν να μην διαθέτουν τα σχέδια εταιρικής βιωσιμότητας· σημειώνει ότι, για το οικονομικό έτος 2023, το Ελεγκτικό Συνέδριο δεν παρείχε επικαιροποιημένα αριθμητικά στοιχεία σχετικά με το ζήτημα αυτό· επαναλαμβάνει ότι είναι σημαντικό όλοι οι οργανισμοί να διαθέτουν τα εταιρικά σχέδια βιωσιμότητας· παροτρύνει τους οργανισμούς να υποβάλλουν εκθέσεις στην Επιτροπή σχετικά με την ενεργειακή απόδοση των κτιρίων τους·</w:t>
      </w:r>
    </w:p>
    <w:p w:rsidR="00D66ACE" w:rsidRPr="0089313D" w:rsidRDefault="0089313D" w:rsidP="0089313D">
      <w:pPr>
        <w:spacing w:after="240"/>
        <w:ind w:left="567" w:hanging="573"/>
      </w:pPr>
      <w:r w:rsidRPr="0089313D">
        <w:rPr>
          <w:rFonts w:eastAsiaTheme="minorHAnsi"/>
          <w:szCs w:val="24"/>
          <w:lang w:eastAsia="en-US"/>
        </w:rPr>
        <w:t>155.</w:t>
      </w:r>
      <w:r w:rsidRPr="0089313D">
        <w:rPr>
          <w:rFonts w:eastAsiaTheme="minorHAnsi"/>
          <w:szCs w:val="24"/>
          <w:lang w:eastAsia="en-US"/>
        </w:rPr>
        <w:tab/>
      </w:r>
      <w:r w:rsidR="00D66ACE" w:rsidRPr="0089313D">
        <w:t>ενθαρρύνει το Ελεγκτικό Συνέδριο να επικαιροποιεί σε τακτική βάση τα αριθμητικά στοιχεία σχετικά με την κατάσταση των εταιρικών σχεδίων βιωσιμότητας στους οργανισμούς·</w:t>
      </w:r>
    </w:p>
    <w:p w:rsidR="00D66ACE" w:rsidRPr="0089313D" w:rsidRDefault="0089313D" w:rsidP="0089313D">
      <w:pPr>
        <w:spacing w:after="240"/>
        <w:ind w:left="567" w:hanging="573"/>
      </w:pPr>
      <w:r w:rsidRPr="0089313D">
        <w:rPr>
          <w:rFonts w:eastAsiaTheme="minorHAnsi"/>
          <w:szCs w:val="24"/>
          <w:lang w:eastAsia="en-US"/>
        </w:rPr>
        <w:t>156.</w:t>
      </w:r>
      <w:r w:rsidRPr="0089313D">
        <w:rPr>
          <w:rFonts w:eastAsiaTheme="minorHAnsi"/>
          <w:szCs w:val="24"/>
          <w:lang w:eastAsia="en-US"/>
        </w:rPr>
        <w:tab/>
      </w:r>
      <w:r w:rsidR="00D66ACE" w:rsidRPr="0089313D">
        <w:t>σημειώνει ότι, κατά το οικονομικό έτος 2023, οι οργανισμοί επέδειξαν αυξανόμενη προσήλωση στους στόχους για το περιβάλλον και τη βιωσιμότητα· σημειώνει ότι ο Ευρωπαϊκός Οργανισμός Περιβάλλοντος (ΕΟΠ) διαδραμάτισε καίριο ρόλο στην παρακολούθηση και την υποβολή εκθέσεων σχετικά με την κλιματική αλλαγή και τις περιβαλλοντικές επιδόσεις σε ολόκληρη την Ένωση· σημειώνει ότι οργανισμοί όπως ο CINEA και ο ΕΟΠ ηγήθηκαν της εφαρμογής προγραμμάτων που σχετίζονται με τη βιωσιμότητα, συμβάλλοντας σε πρωτοβουλίες σε επίπεδο ΕΕ που αποσκοπούν στη μείωση του αποτυπώματος άνθρακα και στην προώθηση των ανανεώσιμων πηγών ενέργειας·</w:t>
      </w:r>
    </w:p>
    <w:p w:rsidR="00D66ACE" w:rsidRPr="0089313D" w:rsidRDefault="0089313D" w:rsidP="0089313D">
      <w:pPr>
        <w:spacing w:after="240"/>
        <w:ind w:left="567" w:hanging="573"/>
      </w:pPr>
      <w:r w:rsidRPr="0089313D">
        <w:rPr>
          <w:rFonts w:eastAsiaTheme="minorHAnsi"/>
          <w:szCs w:val="24"/>
          <w:lang w:eastAsia="en-US"/>
        </w:rPr>
        <w:t>157.</w:t>
      </w:r>
      <w:r w:rsidRPr="0089313D">
        <w:rPr>
          <w:rFonts w:eastAsiaTheme="minorHAnsi"/>
          <w:szCs w:val="24"/>
          <w:lang w:eastAsia="en-US"/>
        </w:rPr>
        <w:tab/>
      </w:r>
      <w:r w:rsidR="00D66ACE" w:rsidRPr="0089313D">
        <w:t>σημειώνει με ανησυχία ότι, παρά τη γενική τάση προόδου, ορισμένοι οργανισμοί αντιμετώπισαν δυσκολίες στην ενσωμάτωση της βιωσιμότητας στις εταιρικές στρατηγικές τους λόγω διαδικαστικών ανεπαρκειών και ανεπαρκούς κατανομής των πόρων· τονίζει, ως εκ τούτου, την ανάγκη για ένα πιο συνεκτικό και εφαρμόσιμο πλαίσιο για τη διασφάλιση της μακροπρόθεσμης βιωσιμότητας στις δραστηριότητες των οργανισμών·</w:t>
      </w:r>
    </w:p>
    <w:p w:rsidR="00D66ACE" w:rsidRPr="0089313D" w:rsidRDefault="00D66ACE" w:rsidP="00DC280E">
      <w:pPr>
        <w:spacing w:after="240"/>
        <w:rPr>
          <w:i/>
        </w:rPr>
      </w:pPr>
      <w:r w:rsidRPr="0089313D">
        <w:rPr>
          <w:b/>
          <w:i/>
        </w:rPr>
        <w:t>Παρακολούθηση των παρατηρήσεων προηγούμενων ετών που υπέβαλε το Ελεγκτικό Συνέδριο</w:t>
      </w:r>
    </w:p>
    <w:p w:rsidR="00D66ACE" w:rsidRPr="0089313D" w:rsidRDefault="0089313D" w:rsidP="0089313D">
      <w:pPr>
        <w:spacing w:after="240"/>
        <w:ind w:left="567" w:hanging="573"/>
        <w:rPr>
          <w:bCs/>
          <w:iCs/>
        </w:rPr>
      </w:pPr>
      <w:r w:rsidRPr="0089313D">
        <w:rPr>
          <w:rFonts w:eastAsiaTheme="minorHAnsi"/>
          <w:bCs/>
          <w:iCs/>
          <w:szCs w:val="24"/>
          <w:lang w:eastAsia="en-US"/>
        </w:rPr>
        <w:t>158.</w:t>
      </w:r>
      <w:r w:rsidRPr="0089313D">
        <w:rPr>
          <w:rFonts w:eastAsiaTheme="minorHAnsi"/>
          <w:bCs/>
          <w:iCs/>
          <w:szCs w:val="24"/>
          <w:lang w:eastAsia="en-US"/>
        </w:rPr>
        <w:tab/>
      </w:r>
      <w:r w:rsidR="00D66ACE" w:rsidRPr="0089313D">
        <w:t>σημειώνει ότι οι «παρατηρήσεις» στις ειδικές ετήσιες εκθέσεις των οργανισμών αποτελούν στην πραγματικότητα «μη χρονικά προσδιορισμένες συστάσεις» του Ελεγκτικού Συνεδρίου· σημειώνει ότι το Ελεγκτικό Συνέδριο παρακολουθεί ετησίως τις εν λόγω παρατηρήσεις αξιολογώντας το καθεστώς τους ως «εκκρεμών» ή «περατωμένων»·</w:t>
      </w:r>
    </w:p>
    <w:p w:rsidR="00D66ACE" w:rsidRPr="0089313D" w:rsidRDefault="0089313D" w:rsidP="0089313D">
      <w:pPr>
        <w:spacing w:after="240"/>
        <w:ind w:left="567" w:hanging="573"/>
      </w:pPr>
      <w:r w:rsidRPr="0089313D">
        <w:rPr>
          <w:rFonts w:eastAsiaTheme="minorHAnsi"/>
          <w:szCs w:val="24"/>
          <w:lang w:eastAsia="en-US"/>
        </w:rPr>
        <w:t>159.</w:t>
      </w:r>
      <w:r w:rsidRPr="0089313D">
        <w:rPr>
          <w:rFonts w:eastAsiaTheme="minorHAnsi"/>
          <w:szCs w:val="24"/>
          <w:lang w:eastAsia="en-US"/>
        </w:rPr>
        <w:tab/>
      </w:r>
      <w:r w:rsidR="00D66ACE" w:rsidRPr="0089313D">
        <w:t xml:space="preserve">σημειώνει ότι από τις συνολικά 116 παρατηρήσεις του Ελεγκτικού Συνεδρίου που αντιστοιχούν σε προηγούμενα έτη των οργανισμών και αποτελούν μέρος του παρόντος ψηφίσματος, συνολικά 58 περατώθηκαν κατά τη διάρκεια του 2023, ενώ συνολικά 53 παραμένουν σε εκκρεμότητα και πέντε έχουν κλείσει εν μέρει· παρατηρεί ότι ο αριθμός των εν εξελίξει παρατηρήσεων ποικίλλει μεταξύ των οργανισμών, με ορισμένους να μην έχουν εκκρεμείς παρατηρήσεις, όπως συμβαίνει με τον BEREC, την ΕΑΤ, τον ECHA, τον ΕΟΠ, τον EMSA, τον ENISA, τον EU-OSHA, τον EUSPA και το Eurofound, ενώ ο μεγαλύτερος αριθμός εκκρεμών παρατηρήσεων αφορά τον eu-LISA, </w:t>
      </w:r>
      <w:r w:rsidR="00D66ACE" w:rsidRPr="0089313D">
        <w:lastRenderedPageBreak/>
        <w:t>τον Frontex και την ELA με οκτώ, επτά και πέντε παρατηρήσεις αντίστοιχα· ζητεί από τους οργανισμούς αυτούς να λάβουν προορατικά μέτρα για την επίλυση αυτών των εκκρεμών ζητημάτων·</w:t>
      </w:r>
    </w:p>
    <w:p w:rsidR="00D66ACE" w:rsidRPr="0089313D" w:rsidRDefault="0089313D" w:rsidP="0089313D">
      <w:pPr>
        <w:spacing w:after="240"/>
        <w:ind w:left="567" w:hanging="573"/>
      </w:pPr>
      <w:r w:rsidRPr="0089313D">
        <w:rPr>
          <w:rFonts w:eastAsiaTheme="minorHAnsi"/>
          <w:szCs w:val="24"/>
          <w:lang w:eastAsia="en-US"/>
        </w:rPr>
        <w:t>160.</w:t>
      </w:r>
      <w:r w:rsidRPr="0089313D">
        <w:rPr>
          <w:rFonts w:eastAsiaTheme="minorHAnsi"/>
          <w:szCs w:val="24"/>
          <w:lang w:eastAsia="en-US"/>
        </w:rPr>
        <w:tab/>
      </w:r>
      <w:r w:rsidR="00D66ACE" w:rsidRPr="0089313D">
        <w:t>σημειώνει ότι έξι από τις 53 εκκρεμείς παρατηρήσεις αφορούν υψηλό επίπεδο μεταφορών πιστώσεων (ACER, ELA, EFCA, eu-LISA, FRA, Frontex)· εκφράζει την ανησυχία του για το γεγονός ότι στην περίπτωση του Frontex η παρατήρηση αυτή παραμένει εκκρεμής από το 2018·</w:t>
      </w:r>
    </w:p>
    <w:p w:rsidR="00D66ACE" w:rsidRPr="0089313D" w:rsidRDefault="0089313D" w:rsidP="0089313D">
      <w:pPr>
        <w:spacing w:after="240"/>
        <w:ind w:left="567" w:hanging="573"/>
      </w:pPr>
      <w:r w:rsidRPr="0089313D">
        <w:rPr>
          <w:rFonts w:eastAsiaTheme="minorHAnsi"/>
          <w:szCs w:val="24"/>
          <w:lang w:eastAsia="en-US"/>
        </w:rPr>
        <w:t>161.</w:t>
      </w:r>
      <w:r w:rsidRPr="0089313D">
        <w:rPr>
          <w:rFonts w:eastAsiaTheme="minorHAnsi"/>
          <w:szCs w:val="24"/>
          <w:lang w:eastAsia="en-US"/>
        </w:rPr>
        <w:tab/>
      </w:r>
      <w:r w:rsidR="00D66ACE" w:rsidRPr="0089313D">
        <w:t>σημειώνει ότι ο ERA έχει εκκρεμή παρατήρηση από το 2018 σχετικά με την είσπραξη τελών και χρεώσεων για εργασίες πιστοποίησης, η οποία ξεκίνησε το 2019· σημειώνει ότι, σύμφωνα με τον κανονισμό, θα πρέπει να λαμβάνονται υπόψη οι ειδικές ανάγκες των μικρών και μεσαίων επιχειρήσεων (ΜΜΕ) και ο ERA αναμένεται να εφαρμόσει αποτελεσματικούς ελέγχους προκειμένου να επαληθεύσει αν οι αιτούντες πληρούν τις προϋποθέσεις για να χαρακτηριστούν ΜΜΕ· καλεί τον οργανισμό να υποβάλει έκθεση στην αρμόδια για την απαλλαγή αρχή σχετικά με την τρέχουσα κατάσταση του ζητήματος αυτού και να αιτιολογήσει το συνεχιζόμενο εκκρεμές καθεστώς του·</w:t>
      </w:r>
    </w:p>
    <w:p w:rsidR="00D66ACE" w:rsidRPr="0089313D" w:rsidRDefault="0089313D" w:rsidP="0089313D">
      <w:pPr>
        <w:spacing w:after="240"/>
        <w:ind w:left="567" w:hanging="573"/>
      </w:pPr>
      <w:r w:rsidRPr="0089313D">
        <w:rPr>
          <w:rFonts w:eastAsiaTheme="minorHAnsi"/>
          <w:szCs w:val="24"/>
          <w:lang w:eastAsia="en-US"/>
        </w:rPr>
        <w:t>162.</w:t>
      </w:r>
      <w:r w:rsidRPr="0089313D">
        <w:rPr>
          <w:rFonts w:eastAsiaTheme="minorHAnsi"/>
          <w:szCs w:val="24"/>
          <w:lang w:eastAsia="en-US"/>
        </w:rPr>
        <w:tab/>
      </w:r>
      <w:r w:rsidR="00D66ACE" w:rsidRPr="0089313D">
        <w:t>σημειώνει ότι ο EASA έχει συσσωρεύσει πλεόνασμα ύψους άνω των 50</w:t>
      </w:r>
      <w:r w:rsidR="00903C32" w:rsidRPr="0089313D">
        <w:t> </w:t>
      </w:r>
      <w:r w:rsidR="00D66ACE" w:rsidRPr="0089313D">
        <w:t>εκατομμυρίων </w:t>
      </w:r>
      <w:r w:rsidR="00EC7F74" w:rsidRPr="0089313D">
        <w:rPr>
          <w:lang w:val="en-GB"/>
        </w:rPr>
        <w:t>EUR</w:t>
      </w:r>
      <w:r w:rsidR="00D66ACE" w:rsidRPr="0089313D">
        <w:t xml:space="preserve"> από δραστηριότητες που χρηματοδότησε η βιομηχανία τα προηγούμενα χρόνια, κάτι που δεν προβλέπεται στον ιδρυτικό κανονισμό του. ζητεί από την Επιτροπή να προτείνει λύση σε νομοθετικό επίπεδο για την αντιμετώπιση του ζητήματος αυτού·</w:t>
      </w:r>
    </w:p>
    <w:p w:rsidR="00D66ACE" w:rsidRPr="0089313D" w:rsidRDefault="0089313D" w:rsidP="0089313D">
      <w:pPr>
        <w:spacing w:after="240"/>
        <w:ind w:left="567" w:hanging="573"/>
      </w:pPr>
      <w:r w:rsidRPr="0089313D">
        <w:rPr>
          <w:rFonts w:eastAsiaTheme="minorHAnsi"/>
          <w:szCs w:val="24"/>
          <w:lang w:eastAsia="en-US"/>
        </w:rPr>
        <w:t>163.</w:t>
      </w:r>
      <w:r w:rsidRPr="0089313D">
        <w:rPr>
          <w:rFonts w:eastAsiaTheme="minorHAnsi"/>
          <w:szCs w:val="24"/>
          <w:lang w:eastAsia="en-US"/>
        </w:rPr>
        <w:tab/>
      </w:r>
      <w:r w:rsidR="00D66ACE" w:rsidRPr="0089313D">
        <w:t>σημειώνει ότι ο ACER χρησιμοποιεί από το 2019 προσωρινά απασχολούμενους εργαζόμενους για την εκτέλεση μακροπρόθεσμων καθηκόντων προκειμένου να καλυφθούν οι ελλείψεις σε απευθείας απασχολούμενους υπαλλήλους· καλεί την Επιτροπή να παράσχει πρόσθετες θέσεις μόνιμου προσωπικού·</w:t>
      </w:r>
    </w:p>
    <w:p w:rsidR="00D66ACE" w:rsidRPr="0089313D" w:rsidRDefault="00D66ACE" w:rsidP="00D66ACE">
      <w:pPr>
        <w:pStyle w:val="NormalCenter12a"/>
      </w:pPr>
      <w:r w:rsidRPr="0089313D">
        <w:t>°</w:t>
      </w:r>
    </w:p>
    <w:p w:rsidR="00D66ACE" w:rsidRPr="0089313D" w:rsidRDefault="00D66ACE" w:rsidP="00D66ACE">
      <w:pPr>
        <w:pStyle w:val="NormalCenter12a"/>
      </w:pPr>
      <w:r w:rsidRPr="0089313D">
        <w:t>°</w:t>
      </w:r>
      <w:r w:rsidRPr="0089313D">
        <w:tab/>
        <w:t>°</w:t>
      </w:r>
    </w:p>
    <w:p w:rsidR="00FA711E" w:rsidRPr="0089313D" w:rsidRDefault="0089313D" w:rsidP="0089313D">
      <w:pPr>
        <w:pStyle w:val="NormalHanging12a"/>
        <w:ind w:hanging="570"/>
      </w:pPr>
      <w:r w:rsidRPr="0089313D">
        <w:t>164.</w:t>
      </w:r>
      <w:r w:rsidRPr="0089313D">
        <w:tab/>
      </w:r>
      <w:r w:rsidR="00D66ACE" w:rsidRPr="0089313D">
        <w:t xml:space="preserve">αναθέτει στην Πρόεδρό του να διαβιβάσει το παρόν ψήφισμα στους οργανισμούς που υπόκεινται στην τρέχουσα διαδικασία απαλλαγής, στο Συμβούλιο, στην Επιτροπή και στο Ελεγκτικό Συνέδριο, και να μεριμνήσει για τη δημοσίευσή του στην </w:t>
      </w:r>
      <w:r w:rsidR="00D66ACE" w:rsidRPr="0089313D">
        <w:rPr>
          <w:i/>
        </w:rPr>
        <w:t>Επίσημη Εφημερίδα της Ευρωπαϊκής Ένωσης</w:t>
      </w:r>
      <w:r w:rsidR="00D66ACE" w:rsidRPr="0089313D">
        <w:t xml:space="preserve"> (σειρά L).</w:t>
      </w:r>
    </w:p>
    <w:p w:rsidR="00E365E1" w:rsidRPr="0089313D" w:rsidRDefault="00E365E1" w:rsidP="0077060D"/>
    <w:sectPr w:rsidR="00E365E1" w:rsidRPr="0089313D" w:rsidSect="00FA711E">
      <w:headerReference w:type="even" r:id="rId74"/>
      <w:headerReference w:type="default" r:id="rId75"/>
      <w:footerReference w:type="even" r:id="rId76"/>
      <w:footerReference w:type="default" r:id="rId77"/>
      <w:headerReference w:type="first" r:id="rId78"/>
      <w:footerReference w:type="first" r:id="rId7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5DA" w:rsidRPr="00FA711E" w:rsidRDefault="00B275DA">
      <w:r w:rsidRPr="00FA711E">
        <w:separator/>
      </w:r>
    </w:p>
  </w:endnote>
  <w:endnote w:type="continuationSeparator" w:id="0">
    <w:p w:rsidR="00B275DA" w:rsidRPr="00FA711E" w:rsidRDefault="00B275DA">
      <w:r w:rsidRPr="00FA7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Pr>
      <w:t>&lt;PathFdR&gt;</w:t>
    </w:r>
    <w:r w:rsidRPr="00FA711E">
      <w:t>PR\1307646EN.docx</w:t>
    </w:r>
    <w:r w:rsidRPr="00FA711E">
      <w:rPr>
        <w:rStyle w:val="HideTWBExt"/>
      </w:rPr>
      <w:t>&lt;/PathFdR&gt;</w:t>
    </w:r>
    <w:r w:rsidRPr="00FA711E">
      <w:tab/>
    </w:r>
    <w:r w:rsidRPr="00FA711E">
      <w:tab/>
      <w:t>PE</w:t>
    </w:r>
    <w:r w:rsidRPr="00FA711E">
      <w:rPr>
        <w:rStyle w:val="HideTWBExt"/>
      </w:rPr>
      <w:t>&lt;NoPE&gt;</w:t>
    </w:r>
    <w:r w:rsidRPr="00FA711E">
      <w:t>765.000</w:t>
    </w:r>
    <w:r w:rsidRPr="00FA711E">
      <w:rPr>
        <w:rStyle w:val="HideTWBExt"/>
      </w:rPr>
      <w:t>&lt;/NoPE&gt;&lt;Version&gt;</w:t>
    </w:r>
    <w:r w:rsidRPr="00FA711E">
      <w:t>v01-00</w:t>
    </w:r>
    <w:r w:rsidRPr="00FA711E">
      <w:rPr>
        <w:rStyle w:val="HideTWBExt"/>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rsidP="005E7790">
    <w:pPr>
      <w:pStyle w:val="EPFooter"/>
    </w:pPr>
    <w:r w:rsidRPr="00FA711E">
      <w:rPr>
        <w:rStyle w:val="HideTWBExt"/>
        <w:rFonts w:eastAsiaTheme="majorEastAsia"/>
      </w:rPr>
      <w:t>&lt;PathFdR&gt;</w:t>
    </w:r>
    <w:r w:rsidRPr="00FA711E">
      <w:t>PR\1307646EN.docx</w:t>
    </w:r>
    <w:r w:rsidRPr="00FA711E">
      <w:rPr>
        <w:rStyle w:val="HideTWBExt"/>
        <w:rFonts w:eastAsiaTheme="majorEastAsia"/>
      </w:rPr>
      <w:t>&lt;/PathFdR&gt;</w:t>
    </w:r>
    <w:r w:rsidRPr="00FA711E">
      <w:tab/>
    </w:r>
    <w:r w:rsidRPr="00FA711E">
      <w:tab/>
      <w:t>PE</w:t>
    </w:r>
    <w:r w:rsidRPr="00FA711E">
      <w:rPr>
        <w:rStyle w:val="HideTWBExt"/>
        <w:rFonts w:eastAsiaTheme="majorEastAsia"/>
      </w:rPr>
      <w:t>&lt;NoPE&gt;</w:t>
    </w:r>
    <w:r w:rsidRPr="00FA711E">
      <w:t>765.000</w:t>
    </w:r>
    <w:r w:rsidRPr="00FA711E">
      <w:rPr>
        <w:rStyle w:val="HideTWBExt"/>
        <w:rFonts w:eastAsiaTheme="majorEastAsia"/>
      </w:rPr>
      <w:t>&lt;/NoPE&gt;&lt;Version&gt;</w:t>
    </w:r>
    <w:r w:rsidRPr="00FA711E">
      <w:t>v01-00</w:t>
    </w:r>
    <w:r w:rsidRPr="00FA711E">
      <w:rPr>
        <w:rStyle w:val="HideTWBExt"/>
        <w:rFonts w:eastAsiaTheme="majorEastAsia"/>
      </w:rPr>
      <w:t>&lt;/Version&gt;</w:t>
    </w:r>
  </w:p>
  <w:p w:rsidR="00B275DA" w:rsidRPr="00FA711E" w:rsidRDefault="00B275DA" w:rsidP="005E7790">
    <w:pPr>
      <w:pStyle w:val="EPFooter2"/>
      <w:tabs>
        <w:tab w:val="clear" w:pos="4535"/>
        <w:tab w:val="center" w:pos="4536"/>
      </w:tabs>
    </w:pPr>
    <w:r w:rsidRPr="00FA711E">
      <w:fldChar w:fldCharType="begin"/>
    </w:r>
    <w:r w:rsidRPr="00FA711E">
      <w:instrText xml:space="preserve"> DOCPROPERTY "&lt;Extension&gt;" </w:instrText>
    </w:r>
    <w:r w:rsidRPr="00FA711E">
      <w:fldChar w:fldCharType="separate"/>
    </w:r>
    <w:r w:rsidRPr="00FA711E">
      <w:t>EL</w:t>
    </w:r>
    <w:r w:rsidRPr="00FA711E">
      <w:fldChar w:fldCharType="end"/>
    </w:r>
    <w:r w:rsidRPr="00FA711E">
      <w:tab/>
    </w:r>
    <w:r w:rsidRPr="00FA711E">
      <w:rPr>
        <w:b w:val="0"/>
        <w:i/>
        <w:color w:val="C0C0C0"/>
        <w:sz w:val="22"/>
        <w:szCs w:val="22"/>
      </w:rPr>
      <w:t xml:space="preserve">United in </w:t>
    </w:r>
    <w:proofErr w:type="spellStart"/>
    <w:r w:rsidRPr="00FA711E">
      <w:rPr>
        <w:b w:val="0"/>
        <w:i/>
        <w:color w:val="C0C0C0"/>
        <w:sz w:val="22"/>
        <w:szCs w:val="22"/>
      </w:rPr>
      <w:t>diversity</w:t>
    </w:r>
    <w:proofErr w:type="spellEnd"/>
    <w:r w:rsidRPr="00FA711E">
      <w:tab/>
    </w:r>
    <w:r w:rsidRPr="00FA711E">
      <w:fldChar w:fldCharType="begin"/>
    </w:r>
    <w:r w:rsidRPr="00FA711E">
      <w:instrText xml:space="preserve"> DOCPROPERTY "&lt;Extension&gt;" </w:instrText>
    </w:r>
    <w:r w:rsidRPr="00FA711E">
      <w:fldChar w:fldCharType="separate"/>
    </w:r>
    <w:r w:rsidRPr="00FA711E">
      <w:t>EL</w:t>
    </w:r>
    <w:r w:rsidRPr="00FA711E">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5DA" w:rsidRPr="00FA711E" w:rsidRDefault="00B275DA">
      <w:r w:rsidRPr="00FA711E">
        <w:separator/>
      </w:r>
    </w:p>
  </w:footnote>
  <w:footnote w:type="continuationSeparator" w:id="0">
    <w:p w:rsidR="00B275DA" w:rsidRPr="00FA711E" w:rsidRDefault="00B275DA">
      <w:r w:rsidRPr="00FA711E">
        <w:continuationSeparator/>
      </w:r>
    </w:p>
  </w:footnote>
  <w:footnote w:id="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 w:history="1">
        <w:r w:rsidRPr="00E930E6">
          <w:rPr>
            <w:rStyle w:val="Hyperlink"/>
            <w:sz w:val="24"/>
            <w:lang w:val="fi-FI"/>
          </w:rPr>
          <w:t>http://data.europa.eu/eli/C/2024/6332/oj</w:t>
        </w:r>
      </w:hyperlink>
      <w:r w:rsidRPr="00E930E6">
        <w:rPr>
          <w:sz w:val="24"/>
          <w:lang w:val="fi-FI"/>
        </w:rPr>
        <w:t>.</w:t>
      </w:r>
    </w:p>
  </w:footnote>
  <w:footnote w:id="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 w:history="1">
        <w:r w:rsidRPr="00E930E6">
          <w:rPr>
            <w:rStyle w:val="Hyperlink"/>
            <w:sz w:val="24"/>
            <w:lang w:val="fi-FI"/>
          </w:rPr>
          <w:t>http://data.europa.eu/eli/C/2024/6041/oj</w:t>
        </w:r>
      </w:hyperlink>
      <w:r w:rsidRPr="00E930E6">
        <w:rPr>
          <w:sz w:val="24"/>
          <w:lang w:val="fi-FI"/>
        </w:rPr>
        <w:t>.</w:t>
      </w:r>
    </w:p>
  </w:footnote>
  <w:footnote w:id="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 w:history="1">
        <w:r w:rsidRPr="00E930E6">
          <w:rPr>
            <w:rStyle w:val="Hyperlink"/>
            <w:sz w:val="24"/>
            <w:lang w:val="fi-FI"/>
          </w:rPr>
          <w:t>http://data.europa.eu/eli/reg/2018/1046/oj</w:t>
        </w:r>
      </w:hyperlink>
      <w:r w:rsidRPr="00E930E6">
        <w:rPr>
          <w:sz w:val="24"/>
          <w:lang w:val="fi-FI"/>
        </w:rPr>
        <w:t>.</w:t>
      </w:r>
    </w:p>
  </w:footnote>
  <w:footnote w:id="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4" w:history="1">
        <w:r w:rsidRPr="00E930E6">
          <w:rPr>
            <w:rStyle w:val="Hyperlink"/>
            <w:sz w:val="24"/>
            <w:lang w:val="fi-FI"/>
          </w:rPr>
          <w:t>http://data.europa.eu/eli/reg/2024/2509/oj</w:t>
        </w:r>
      </w:hyperlink>
      <w:r w:rsidRPr="00E930E6">
        <w:rPr>
          <w:rStyle w:val="Hyperlink"/>
          <w:sz w:val="24"/>
          <w:lang w:val="fi-FI"/>
        </w:rPr>
        <w:t>.</w:t>
      </w:r>
    </w:p>
  </w:footnote>
  <w:footnote w:id="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158 της 14.6.2019, σ. 22, ELI: </w:t>
      </w:r>
      <w:hyperlink r:id="rId5" w:history="1">
        <w:r w:rsidRPr="00FA711E">
          <w:rPr>
            <w:rStyle w:val="Hyperlink"/>
            <w:sz w:val="24"/>
            <w:lang w:val="el-GR"/>
          </w:rPr>
          <w:t>http://data.europa.eu/eli/reg/2019/942/oj</w:t>
        </w:r>
      </w:hyperlink>
      <w:r w:rsidRPr="00FA711E">
        <w:rPr>
          <w:sz w:val="24"/>
          <w:lang w:val="el-GR"/>
        </w:rPr>
        <w:t>.</w:t>
      </w:r>
    </w:p>
  </w:footnote>
  <w:footnote w:id="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6" w:history="1">
        <w:r w:rsidRPr="00FA711E">
          <w:rPr>
            <w:rStyle w:val="Hyperlink"/>
            <w:sz w:val="24"/>
            <w:lang w:val="el-GR"/>
          </w:rPr>
          <w:t>http://data.europa.eu/eli/reg_del/2019/715/oj</w:t>
        </w:r>
      </w:hyperlink>
      <w:r w:rsidRPr="00FA711E">
        <w:rPr>
          <w:sz w:val="24"/>
          <w:lang w:val="el-GR"/>
        </w:rPr>
        <w:t>.</w:t>
      </w:r>
    </w:p>
  </w:footnote>
  <w:footnote w:id="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7" w:history="1">
        <w:r w:rsidRPr="00E930E6">
          <w:rPr>
            <w:rStyle w:val="Hyperlink"/>
            <w:sz w:val="24"/>
            <w:lang w:val="fi-FI"/>
          </w:rPr>
          <w:t>http://data.europa.eu/eli/C/2024/6332/oj</w:t>
        </w:r>
      </w:hyperlink>
      <w:r w:rsidRPr="00E930E6">
        <w:rPr>
          <w:sz w:val="24"/>
          <w:lang w:val="fi-FI"/>
        </w:rPr>
        <w:t>.</w:t>
      </w:r>
    </w:p>
  </w:footnote>
  <w:footnote w:id="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8" w:history="1">
        <w:r w:rsidRPr="00E930E6">
          <w:rPr>
            <w:rStyle w:val="Hyperlink"/>
            <w:sz w:val="24"/>
            <w:lang w:val="fi-FI"/>
          </w:rPr>
          <w:t>http://data.europa.eu/eli/C/2024/6041/oj</w:t>
        </w:r>
      </w:hyperlink>
      <w:r w:rsidRPr="00E930E6">
        <w:rPr>
          <w:sz w:val="24"/>
          <w:lang w:val="fi-FI"/>
        </w:rPr>
        <w:t>.</w:t>
      </w:r>
    </w:p>
  </w:footnote>
  <w:footnote w:id="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9" w:history="1">
        <w:r w:rsidRPr="00E930E6">
          <w:rPr>
            <w:rStyle w:val="Hyperlink"/>
            <w:sz w:val="24"/>
            <w:lang w:val="fi-FI"/>
          </w:rPr>
          <w:t>http://data.europa.eu/eli/reg/2018/1046/oj</w:t>
        </w:r>
      </w:hyperlink>
      <w:r w:rsidRPr="00E930E6">
        <w:rPr>
          <w:sz w:val="24"/>
          <w:lang w:val="fi-FI"/>
        </w:rPr>
        <w:t>.</w:t>
      </w:r>
    </w:p>
  </w:footnote>
  <w:footnote w:id="1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0" w:history="1">
        <w:r w:rsidRPr="00E930E6">
          <w:rPr>
            <w:rStyle w:val="Hyperlink"/>
            <w:sz w:val="24"/>
            <w:lang w:val="fi-FI"/>
          </w:rPr>
          <w:t>http://data.europa.eu/eli/reg/2024/2509/oj</w:t>
        </w:r>
      </w:hyperlink>
      <w:r w:rsidRPr="00E930E6">
        <w:rPr>
          <w:rStyle w:val="Hyperlink"/>
          <w:sz w:val="24"/>
          <w:lang w:val="fi-FI"/>
        </w:rPr>
        <w:t>.</w:t>
      </w:r>
    </w:p>
  </w:footnote>
  <w:footnote w:id="1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158 της 14.6.2019, σ. 22, ELI: </w:t>
      </w:r>
      <w:hyperlink r:id="rId11" w:history="1">
        <w:r w:rsidRPr="00FA711E">
          <w:rPr>
            <w:rStyle w:val="Hyperlink"/>
            <w:sz w:val="24"/>
            <w:lang w:val="el-GR"/>
          </w:rPr>
          <w:t>http://data.europa.eu/eli/reg/2019/942/oj</w:t>
        </w:r>
      </w:hyperlink>
      <w:r w:rsidRPr="00FA711E">
        <w:rPr>
          <w:sz w:val="24"/>
          <w:lang w:val="el-GR"/>
        </w:rPr>
        <w:t>.</w:t>
      </w:r>
    </w:p>
  </w:footnote>
  <w:footnote w:id="1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2" w:history="1">
        <w:r w:rsidRPr="00FA711E">
          <w:rPr>
            <w:rStyle w:val="Hyperlink"/>
            <w:sz w:val="24"/>
            <w:lang w:val="el-GR"/>
          </w:rPr>
          <w:t>http://data.europa.eu/eli/reg_del/2019/715/oj</w:t>
        </w:r>
      </w:hyperlink>
      <w:r w:rsidRPr="00FA711E">
        <w:rPr>
          <w:sz w:val="24"/>
          <w:lang w:val="el-GR"/>
        </w:rPr>
        <w:t>.</w:t>
      </w:r>
    </w:p>
  </w:footnote>
  <w:footnote w:id="1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3" w:history="1">
        <w:r w:rsidRPr="00E930E6">
          <w:rPr>
            <w:rStyle w:val="Hyperlink"/>
            <w:sz w:val="24"/>
            <w:lang w:val="fi-FI"/>
          </w:rPr>
          <w:t>http://data.europa.eu/eli/C/2024/6332/oj</w:t>
        </w:r>
      </w:hyperlink>
      <w:r w:rsidRPr="00E930E6">
        <w:rPr>
          <w:sz w:val="24"/>
          <w:lang w:val="fi-FI"/>
        </w:rPr>
        <w:t>.</w:t>
      </w:r>
    </w:p>
  </w:footnote>
  <w:footnote w:id="1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4" w:history="1">
        <w:r w:rsidRPr="00E930E6">
          <w:rPr>
            <w:rStyle w:val="Hyperlink"/>
            <w:sz w:val="24"/>
            <w:lang w:val="fi-FI"/>
          </w:rPr>
          <w:t>http://data.europa.eu/eli/C/2024/6041/oj</w:t>
        </w:r>
      </w:hyperlink>
      <w:r w:rsidRPr="00E930E6">
        <w:rPr>
          <w:sz w:val="24"/>
          <w:lang w:val="fi-FI"/>
        </w:rPr>
        <w:t>.</w:t>
      </w:r>
    </w:p>
  </w:footnote>
  <w:footnote w:id="1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5" w:history="1">
        <w:r w:rsidRPr="00E930E6">
          <w:rPr>
            <w:rStyle w:val="Hyperlink"/>
            <w:sz w:val="24"/>
            <w:lang w:val="fi-FI"/>
          </w:rPr>
          <w:t>http://data.europa.eu/eli/reg/2018/1046/oj</w:t>
        </w:r>
      </w:hyperlink>
      <w:r w:rsidRPr="00E930E6">
        <w:rPr>
          <w:sz w:val="24"/>
          <w:lang w:val="fi-FI"/>
        </w:rPr>
        <w:t>.</w:t>
      </w:r>
    </w:p>
  </w:footnote>
  <w:footnote w:id="1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6" w:history="1">
        <w:r w:rsidRPr="00E930E6">
          <w:rPr>
            <w:rStyle w:val="Hyperlink"/>
            <w:sz w:val="24"/>
            <w:lang w:val="fi-FI"/>
          </w:rPr>
          <w:t>http://data.europa.eu/eli/reg/2024/2509/oj</w:t>
        </w:r>
      </w:hyperlink>
      <w:r w:rsidRPr="00E930E6">
        <w:rPr>
          <w:rStyle w:val="Hyperlink"/>
          <w:sz w:val="24"/>
          <w:lang w:val="fi-FI"/>
        </w:rPr>
        <w:t>.</w:t>
      </w:r>
    </w:p>
  </w:footnote>
  <w:footnote w:id="1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321 της 17.12.2018, σ. 1, ELI: </w:t>
      </w:r>
      <w:hyperlink r:id="rId17" w:history="1">
        <w:r w:rsidRPr="00FA711E">
          <w:rPr>
            <w:rStyle w:val="Hyperlink"/>
            <w:sz w:val="24"/>
            <w:lang w:val="el-GR"/>
          </w:rPr>
          <w:t>http://data.europa.eu/eli/reg/2018/1971/oj</w:t>
        </w:r>
      </w:hyperlink>
      <w:r w:rsidRPr="00FA711E">
        <w:rPr>
          <w:sz w:val="24"/>
          <w:lang w:val="el-GR"/>
        </w:rPr>
        <w:t>.</w:t>
      </w:r>
    </w:p>
  </w:footnote>
  <w:footnote w:id="1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8" w:history="1">
        <w:r w:rsidRPr="00FA711E">
          <w:rPr>
            <w:rStyle w:val="Hyperlink"/>
            <w:sz w:val="24"/>
            <w:lang w:val="el-GR"/>
          </w:rPr>
          <w:t>http://data.europa.eu/eli/reg_del/2019/715/oj</w:t>
        </w:r>
      </w:hyperlink>
      <w:r w:rsidRPr="00FA711E">
        <w:rPr>
          <w:sz w:val="24"/>
          <w:lang w:val="el-GR"/>
        </w:rPr>
        <w:t>.</w:t>
      </w:r>
    </w:p>
  </w:footnote>
  <w:footnote w:id="1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9" w:history="1">
        <w:r w:rsidRPr="00E930E6">
          <w:rPr>
            <w:rStyle w:val="Hyperlink"/>
            <w:sz w:val="24"/>
            <w:lang w:val="fi-FI"/>
          </w:rPr>
          <w:t>http://data.europa.eu/eli/C/2024/6332/oj</w:t>
        </w:r>
      </w:hyperlink>
      <w:r w:rsidRPr="00E930E6">
        <w:rPr>
          <w:sz w:val="24"/>
          <w:lang w:val="fi-FI"/>
        </w:rPr>
        <w:t>.</w:t>
      </w:r>
    </w:p>
  </w:footnote>
  <w:footnote w:id="2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0" w:history="1">
        <w:r w:rsidRPr="00E930E6">
          <w:rPr>
            <w:rStyle w:val="Hyperlink"/>
            <w:sz w:val="24"/>
            <w:lang w:val="fi-FI"/>
          </w:rPr>
          <w:t>http://data.europa.eu/eli/C/2024/6041/oj</w:t>
        </w:r>
      </w:hyperlink>
      <w:r w:rsidRPr="00E930E6">
        <w:rPr>
          <w:sz w:val="24"/>
          <w:lang w:val="fi-FI"/>
        </w:rPr>
        <w:t>.</w:t>
      </w:r>
    </w:p>
  </w:footnote>
  <w:footnote w:id="2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1" w:history="1">
        <w:r w:rsidRPr="00E930E6">
          <w:rPr>
            <w:rStyle w:val="Hyperlink"/>
            <w:sz w:val="24"/>
            <w:lang w:val="fi-FI"/>
          </w:rPr>
          <w:t>http://data.europa.eu/eli/reg/2018/1046/oj</w:t>
        </w:r>
      </w:hyperlink>
      <w:r w:rsidRPr="00E930E6">
        <w:rPr>
          <w:sz w:val="24"/>
          <w:lang w:val="fi-FI"/>
        </w:rPr>
        <w:t>.</w:t>
      </w:r>
    </w:p>
  </w:footnote>
  <w:footnote w:id="2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2" w:history="1">
        <w:r w:rsidRPr="00E930E6">
          <w:rPr>
            <w:rStyle w:val="Hyperlink"/>
            <w:sz w:val="24"/>
            <w:lang w:val="fi-FI"/>
          </w:rPr>
          <w:t>http://data.europa.eu/eli/reg/2024/2509/oj</w:t>
        </w:r>
      </w:hyperlink>
      <w:r w:rsidRPr="00E930E6">
        <w:rPr>
          <w:rStyle w:val="Hyperlink"/>
          <w:sz w:val="24"/>
          <w:lang w:val="fi-FI"/>
        </w:rPr>
        <w:t>.</w:t>
      </w:r>
    </w:p>
  </w:footnote>
  <w:footnote w:id="2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321 της 17.12.2018, σ. 1, ELI: </w:t>
      </w:r>
      <w:hyperlink r:id="rId23" w:history="1">
        <w:r w:rsidRPr="00FA711E">
          <w:rPr>
            <w:rStyle w:val="Hyperlink"/>
            <w:sz w:val="24"/>
            <w:lang w:val="el-GR"/>
          </w:rPr>
          <w:t>http://data.europa.eu/eli/reg/2018/1971/oj</w:t>
        </w:r>
      </w:hyperlink>
      <w:r w:rsidRPr="00FA711E">
        <w:rPr>
          <w:sz w:val="24"/>
          <w:lang w:val="el-GR"/>
        </w:rPr>
        <w:t>.</w:t>
      </w:r>
    </w:p>
  </w:footnote>
  <w:footnote w:id="2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4" w:history="1">
        <w:r w:rsidRPr="00FA711E">
          <w:rPr>
            <w:rStyle w:val="Hyperlink"/>
            <w:sz w:val="24"/>
            <w:lang w:val="el-GR"/>
          </w:rPr>
          <w:t>http://data.europa.eu/eli/reg_del/2019/715/oj</w:t>
        </w:r>
      </w:hyperlink>
      <w:r w:rsidRPr="00FA711E">
        <w:rPr>
          <w:sz w:val="24"/>
          <w:lang w:val="el-GR"/>
        </w:rPr>
        <w:t>.</w:t>
      </w:r>
    </w:p>
  </w:footnote>
  <w:footnote w:id="2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5" w:history="1">
        <w:r w:rsidRPr="00E930E6">
          <w:rPr>
            <w:rStyle w:val="Hyperlink"/>
            <w:sz w:val="24"/>
            <w:lang w:val="fi-FI"/>
          </w:rPr>
          <w:t>http://data.europa.eu/eli/C/2024/6332/oj</w:t>
        </w:r>
      </w:hyperlink>
      <w:r w:rsidRPr="00E930E6">
        <w:rPr>
          <w:sz w:val="24"/>
          <w:lang w:val="fi-FI"/>
        </w:rPr>
        <w:t>.</w:t>
      </w:r>
    </w:p>
  </w:footnote>
  <w:footnote w:id="2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6" w:history="1">
        <w:r w:rsidRPr="00E930E6">
          <w:rPr>
            <w:rStyle w:val="Hyperlink"/>
            <w:sz w:val="24"/>
            <w:lang w:val="fi-FI"/>
          </w:rPr>
          <w:t>http://data.europa.eu/eli/C/2024/6041/oj</w:t>
        </w:r>
      </w:hyperlink>
      <w:r w:rsidRPr="00E930E6">
        <w:rPr>
          <w:sz w:val="24"/>
          <w:lang w:val="fi-FI"/>
        </w:rPr>
        <w:t>.</w:t>
      </w:r>
    </w:p>
  </w:footnote>
  <w:footnote w:id="2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7" w:history="1">
        <w:r w:rsidRPr="00E930E6">
          <w:rPr>
            <w:rStyle w:val="Hyperlink"/>
            <w:sz w:val="24"/>
            <w:lang w:val="fi-FI"/>
          </w:rPr>
          <w:t>http://data.europa.eu/eli/reg/2018/1046/oj</w:t>
        </w:r>
      </w:hyperlink>
      <w:r w:rsidRPr="00E930E6">
        <w:rPr>
          <w:sz w:val="24"/>
          <w:lang w:val="fi-FI"/>
        </w:rPr>
        <w:t>.</w:t>
      </w:r>
    </w:p>
  </w:footnote>
  <w:footnote w:id="2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8" w:history="1">
        <w:r w:rsidRPr="00E930E6">
          <w:rPr>
            <w:rStyle w:val="Hyperlink"/>
            <w:sz w:val="24"/>
            <w:lang w:val="fi-FI"/>
          </w:rPr>
          <w:t>http://data.europa.eu/eli/reg/2024/2509/oj</w:t>
        </w:r>
      </w:hyperlink>
      <w:r w:rsidRPr="00E930E6">
        <w:rPr>
          <w:rStyle w:val="Hyperlink"/>
          <w:sz w:val="24"/>
          <w:lang w:val="fi-FI"/>
        </w:rPr>
        <w:t>.</w:t>
      </w:r>
    </w:p>
  </w:footnote>
  <w:footnote w:id="2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314 της 7.12.1994, σ. 1, ELI: </w:t>
      </w:r>
      <w:hyperlink r:id="rId29" w:history="1">
        <w:r w:rsidRPr="00FA711E">
          <w:rPr>
            <w:rStyle w:val="Hyperlink"/>
            <w:sz w:val="24"/>
            <w:lang w:val="el-GR"/>
          </w:rPr>
          <w:t>http://data.europa.eu/eli/reg/1994/2965/oj</w:t>
        </w:r>
      </w:hyperlink>
      <w:r w:rsidRPr="00FA711E">
        <w:rPr>
          <w:sz w:val="24"/>
          <w:lang w:val="el-GR"/>
        </w:rPr>
        <w:t>.</w:t>
      </w:r>
    </w:p>
  </w:footnote>
  <w:footnote w:id="3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0" w:history="1">
        <w:r w:rsidRPr="00FA711E">
          <w:rPr>
            <w:rStyle w:val="Hyperlink"/>
            <w:sz w:val="24"/>
            <w:lang w:val="el-GR"/>
          </w:rPr>
          <w:t>http://data.europa.eu/eli/reg_del/2019/715/oj</w:t>
        </w:r>
      </w:hyperlink>
      <w:r w:rsidRPr="00FA711E">
        <w:rPr>
          <w:sz w:val="24"/>
          <w:lang w:val="el-GR"/>
        </w:rPr>
        <w:t>.</w:t>
      </w:r>
    </w:p>
  </w:footnote>
  <w:footnote w:id="3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1" w:history="1">
        <w:r w:rsidRPr="00E930E6">
          <w:rPr>
            <w:rStyle w:val="Hyperlink"/>
            <w:sz w:val="24"/>
            <w:lang w:val="fi-FI"/>
          </w:rPr>
          <w:t>http://data.europa.eu/eli/C/2024/6332/oj</w:t>
        </w:r>
      </w:hyperlink>
      <w:r w:rsidRPr="00E930E6">
        <w:rPr>
          <w:sz w:val="24"/>
          <w:lang w:val="fi-FI"/>
        </w:rPr>
        <w:t>.</w:t>
      </w:r>
    </w:p>
  </w:footnote>
  <w:footnote w:id="3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2" w:history="1">
        <w:r w:rsidRPr="00E930E6">
          <w:rPr>
            <w:rStyle w:val="Hyperlink"/>
            <w:sz w:val="24"/>
            <w:lang w:val="fi-FI"/>
          </w:rPr>
          <w:t>http://data.europa.eu/eli/C/2024/6041/oj</w:t>
        </w:r>
      </w:hyperlink>
      <w:r w:rsidRPr="00E930E6">
        <w:rPr>
          <w:sz w:val="24"/>
          <w:lang w:val="fi-FI"/>
        </w:rPr>
        <w:t>.</w:t>
      </w:r>
    </w:p>
  </w:footnote>
  <w:footnote w:id="3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3" w:history="1">
        <w:r w:rsidRPr="00E930E6">
          <w:rPr>
            <w:rStyle w:val="Hyperlink"/>
            <w:sz w:val="24"/>
            <w:lang w:val="fi-FI"/>
          </w:rPr>
          <w:t>http://data.europa.eu/eli/reg/2018/1046/oj</w:t>
        </w:r>
      </w:hyperlink>
      <w:r w:rsidRPr="00E930E6">
        <w:rPr>
          <w:sz w:val="24"/>
          <w:lang w:val="fi-FI"/>
        </w:rPr>
        <w:t>.</w:t>
      </w:r>
    </w:p>
  </w:footnote>
  <w:footnote w:id="3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4" w:history="1">
        <w:r w:rsidRPr="00E930E6">
          <w:rPr>
            <w:rStyle w:val="Hyperlink"/>
            <w:sz w:val="24"/>
            <w:lang w:val="fi-FI"/>
          </w:rPr>
          <w:t>http://data.europa.eu/eli/reg/2024/2509/oj</w:t>
        </w:r>
      </w:hyperlink>
      <w:r w:rsidRPr="00E930E6">
        <w:rPr>
          <w:rStyle w:val="Hyperlink"/>
          <w:sz w:val="24"/>
          <w:lang w:val="fi-FI"/>
        </w:rPr>
        <w:t>.</w:t>
      </w:r>
    </w:p>
  </w:footnote>
  <w:footnote w:id="3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314 της 7.12.1994, σ. 1, ELI: </w:t>
      </w:r>
      <w:hyperlink r:id="rId35" w:history="1">
        <w:r w:rsidRPr="00FA711E">
          <w:rPr>
            <w:rStyle w:val="Hyperlink"/>
            <w:sz w:val="24"/>
            <w:lang w:val="el-GR"/>
          </w:rPr>
          <w:t>http://data.europa.eu/eli/reg/1994/2965/oj</w:t>
        </w:r>
      </w:hyperlink>
      <w:r w:rsidRPr="00FA711E">
        <w:rPr>
          <w:sz w:val="24"/>
          <w:lang w:val="el-GR"/>
        </w:rPr>
        <w:t>.</w:t>
      </w:r>
    </w:p>
  </w:footnote>
  <w:footnote w:id="3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6" w:history="1">
        <w:r w:rsidRPr="00FA711E">
          <w:rPr>
            <w:rStyle w:val="Hyperlink"/>
            <w:sz w:val="24"/>
            <w:lang w:val="el-GR"/>
          </w:rPr>
          <w:t>http://data.europa.eu/eli/reg_del/2019/715/oj</w:t>
        </w:r>
      </w:hyperlink>
      <w:r w:rsidRPr="00FA711E">
        <w:rPr>
          <w:sz w:val="24"/>
          <w:lang w:val="el-GR"/>
        </w:rPr>
        <w:t>.</w:t>
      </w:r>
    </w:p>
  </w:footnote>
  <w:footnote w:id="3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7" w:history="1">
        <w:r w:rsidRPr="00E930E6">
          <w:rPr>
            <w:rStyle w:val="Hyperlink"/>
            <w:sz w:val="24"/>
            <w:lang w:val="fi-FI"/>
          </w:rPr>
          <w:t>http://data.europa.eu/eli/C/2024/6332/oj</w:t>
        </w:r>
      </w:hyperlink>
      <w:r w:rsidRPr="00E930E6">
        <w:rPr>
          <w:sz w:val="24"/>
          <w:lang w:val="fi-FI"/>
        </w:rPr>
        <w:t>.</w:t>
      </w:r>
    </w:p>
  </w:footnote>
  <w:footnote w:id="3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8" w:history="1">
        <w:r w:rsidRPr="00E930E6">
          <w:rPr>
            <w:rStyle w:val="Hyperlink"/>
            <w:sz w:val="24"/>
            <w:lang w:val="fi-FI"/>
          </w:rPr>
          <w:t>http://data.europa.eu/eli/C/2024/6041/oj</w:t>
        </w:r>
      </w:hyperlink>
      <w:r w:rsidRPr="00E930E6">
        <w:rPr>
          <w:sz w:val="24"/>
          <w:lang w:val="fi-FI"/>
        </w:rPr>
        <w:t>.</w:t>
      </w:r>
    </w:p>
  </w:footnote>
  <w:footnote w:id="3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9" w:history="1">
        <w:r w:rsidRPr="00E930E6">
          <w:rPr>
            <w:rStyle w:val="Hyperlink"/>
            <w:sz w:val="24"/>
            <w:lang w:val="fi-FI"/>
          </w:rPr>
          <w:t>http://data.europa.eu/eli/reg/2018/1046/oj</w:t>
        </w:r>
      </w:hyperlink>
      <w:r w:rsidRPr="00E930E6">
        <w:rPr>
          <w:sz w:val="24"/>
          <w:lang w:val="fi-FI"/>
        </w:rPr>
        <w:t>.</w:t>
      </w:r>
    </w:p>
  </w:footnote>
  <w:footnote w:id="4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40" w:history="1">
        <w:r w:rsidRPr="00E930E6">
          <w:rPr>
            <w:rStyle w:val="Hyperlink"/>
            <w:sz w:val="24"/>
            <w:lang w:val="fi-FI"/>
          </w:rPr>
          <w:t>http://data.europa.eu/eli/reg/2024/2509/oj</w:t>
        </w:r>
      </w:hyperlink>
      <w:r w:rsidRPr="00E930E6">
        <w:rPr>
          <w:rStyle w:val="Hyperlink"/>
          <w:sz w:val="24"/>
          <w:lang w:val="fi-FI"/>
        </w:rPr>
        <w:t>.</w:t>
      </w:r>
    </w:p>
  </w:footnote>
  <w:footnote w:id="4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30 της 31.1.2019, σ. 90, ELI: </w:t>
      </w:r>
      <w:hyperlink r:id="rId41" w:history="1">
        <w:r w:rsidRPr="00FA711E">
          <w:rPr>
            <w:rStyle w:val="Hyperlink"/>
            <w:sz w:val="24"/>
            <w:lang w:val="el-GR"/>
          </w:rPr>
          <w:t>http://data.europa.eu/eli/reg/2019/128/oj</w:t>
        </w:r>
      </w:hyperlink>
      <w:r w:rsidRPr="00FA711E">
        <w:rPr>
          <w:sz w:val="24"/>
          <w:lang w:val="el-GR"/>
        </w:rPr>
        <w:t>.</w:t>
      </w:r>
    </w:p>
  </w:footnote>
  <w:footnote w:id="4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42" w:history="1">
        <w:r w:rsidRPr="00FA711E">
          <w:rPr>
            <w:rStyle w:val="Hyperlink"/>
            <w:sz w:val="24"/>
            <w:lang w:val="el-GR"/>
          </w:rPr>
          <w:t>http://data.europa.eu/eli/reg_del/2019/715/oj</w:t>
        </w:r>
      </w:hyperlink>
      <w:r w:rsidRPr="00FA711E">
        <w:rPr>
          <w:sz w:val="24"/>
          <w:lang w:val="el-GR"/>
        </w:rPr>
        <w:t>.</w:t>
      </w:r>
    </w:p>
  </w:footnote>
  <w:footnote w:id="4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43" w:history="1">
        <w:r w:rsidRPr="00E930E6">
          <w:rPr>
            <w:rStyle w:val="Hyperlink"/>
            <w:sz w:val="24"/>
            <w:lang w:val="fi-FI"/>
          </w:rPr>
          <w:t>http://data.europa.eu/eli/C/2024/6332/oj</w:t>
        </w:r>
      </w:hyperlink>
      <w:r w:rsidRPr="00E930E6">
        <w:rPr>
          <w:sz w:val="24"/>
          <w:lang w:val="fi-FI"/>
        </w:rPr>
        <w:t>.</w:t>
      </w:r>
    </w:p>
  </w:footnote>
  <w:footnote w:id="4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44" w:history="1">
        <w:r w:rsidRPr="00E930E6">
          <w:rPr>
            <w:rStyle w:val="Hyperlink"/>
            <w:sz w:val="24"/>
            <w:lang w:val="fi-FI"/>
          </w:rPr>
          <w:t>http://data.europa.eu/eli/C/2024/6041/oj</w:t>
        </w:r>
      </w:hyperlink>
      <w:r w:rsidRPr="00E930E6">
        <w:rPr>
          <w:sz w:val="24"/>
          <w:lang w:val="fi-FI"/>
        </w:rPr>
        <w:t>.</w:t>
      </w:r>
    </w:p>
  </w:footnote>
  <w:footnote w:id="4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45" w:history="1">
        <w:r w:rsidRPr="00E930E6">
          <w:rPr>
            <w:rStyle w:val="Hyperlink"/>
            <w:sz w:val="24"/>
            <w:lang w:val="fi-FI"/>
          </w:rPr>
          <w:t>http://data.europa.eu/eli/reg/2018/1046/oj</w:t>
        </w:r>
      </w:hyperlink>
      <w:r w:rsidRPr="00E930E6">
        <w:rPr>
          <w:sz w:val="24"/>
          <w:lang w:val="fi-FI"/>
        </w:rPr>
        <w:t>.</w:t>
      </w:r>
    </w:p>
  </w:footnote>
  <w:footnote w:id="4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46" w:history="1">
        <w:r w:rsidRPr="00E930E6">
          <w:rPr>
            <w:rStyle w:val="Hyperlink"/>
            <w:sz w:val="24"/>
            <w:lang w:val="fi-FI"/>
          </w:rPr>
          <w:t>http://data.europa.eu/eli/reg/2024/2509/oj</w:t>
        </w:r>
      </w:hyperlink>
      <w:r w:rsidRPr="00E930E6">
        <w:rPr>
          <w:rStyle w:val="Hyperlink"/>
          <w:sz w:val="24"/>
          <w:lang w:val="fi-FI"/>
        </w:rPr>
        <w:t>.</w:t>
      </w:r>
    </w:p>
  </w:footnote>
  <w:footnote w:id="4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30 της 31.1.2019, σ. 90, ELI: </w:t>
      </w:r>
      <w:hyperlink r:id="rId47" w:history="1">
        <w:r w:rsidRPr="00FA711E">
          <w:rPr>
            <w:rStyle w:val="Hyperlink"/>
            <w:sz w:val="24"/>
            <w:lang w:val="el-GR"/>
          </w:rPr>
          <w:t>http://data.europa.eu/eli/reg/2019/128/oj</w:t>
        </w:r>
      </w:hyperlink>
      <w:r w:rsidRPr="00FA711E">
        <w:rPr>
          <w:sz w:val="24"/>
          <w:lang w:val="el-GR"/>
        </w:rPr>
        <w:t>.</w:t>
      </w:r>
    </w:p>
  </w:footnote>
  <w:footnote w:id="4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48" w:history="1">
        <w:r w:rsidRPr="00FA711E">
          <w:rPr>
            <w:rStyle w:val="Hyperlink"/>
            <w:sz w:val="24"/>
            <w:lang w:val="el-GR"/>
          </w:rPr>
          <w:t>http://data.europa.eu/eli/reg_del/2019/715/oj</w:t>
        </w:r>
      </w:hyperlink>
      <w:r w:rsidRPr="00FA711E">
        <w:rPr>
          <w:sz w:val="24"/>
          <w:lang w:val="el-GR"/>
        </w:rPr>
        <w:t>.</w:t>
      </w:r>
    </w:p>
  </w:footnote>
  <w:footnote w:id="4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49" w:history="1">
        <w:r w:rsidRPr="00E930E6">
          <w:rPr>
            <w:rStyle w:val="Hyperlink"/>
            <w:sz w:val="24"/>
            <w:lang w:val="fi-FI"/>
          </w:rPr>
          <w:t>http://data.europa.eu/eli/C/2024/6332/oj</w:t>
        </w:r>
      </w:hyperlink>
      <w:r w:rsidRPr="00E930E6">
        <w:rPr>
          <w:sz w:val="24"/>
          <w:lang w:val="fi-FI"/>
        </w:rPr>
        <w:t>.</w:t>
      </w:r>
    </w:p>
  </w:footnote>
  <w:footnote w:id="5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50" w:history="1">
        <w:r w:rsidRPr="00E930E6">
          <w:rPr>
            <w:rStyle w:val="Hyperlink"/>
            <w:sz w:val="24"/>
            <w:lang w:val="fi-FI"/>
          </w:rPr>
          <w:t>http://data.europa.eu/eli/C/2024/6041/oj</w:t>
        </w:r>
      </w:hyperlink>
      <w:r w:rsidRPr="00E930E6">
        <w:rPr>
          <w:sz w:val="24"/>
          <w:lang w:val="fi-FI"/>
        </w:rPr>
        <w:t>.</w:t>
      </w:r>
    </w:p>
  </w:footnote>
  <w:footnote w:id="5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51" w:history="1">
        <w:r w:rsidRPr="00E930E6">
          <w:rPr>
            <w:rStyle w:val="Hyperlink"/>
            <w:sz w:val="24"/>
            <w:lang w:val="fi-FI"/>
          </w:rPr>
          <w:t>http://data.europa.eu/eli/reg/2018/1046/oj</w:t>
        </w:r>
      </w:hyperlink>
      <w:r w:rsidRPr="00E930E6">
        <w:rPr>
          <w:sz w:val="24"/>
          <w:lang w:val="fi-FI"/>
        </w:rPr>
        <w:t>.</w:t>
      </w:r>
    </w:p>
  </w:footnote>
  <w:footnote w:id="5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52" w:history="1">
        <w:r w:rsidRPr="00E930E6">
          <w:rPr>
            <w:rStyle w:val="Hyperlink"/>
            <w:sz w:val="24"/>
            <w:lang w:val="fi-FI"/>
          </w:rPr>
          <w:t>http://data.europa.eu/eli/reg/2024/2509/oj</w:t>
        </w:r>
      </w:hyperlink>
      <w:r w:rsidRPr="00E930E6">
        <w:rPr>
          <w:rStyle w:val="Hyperlink"/>
          <w:sz w:val="24"/>
          <w:lang w:val="fi-FI"/>
        </w:rPr>
        <w:t>.</w:t>
      </w:r>
    </w:p>
  </w:footnote>
  <w:footnote w:id="5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319 της 4.12.2015, σ. 1, ELI: </w:t>
      </w:r>
      <w:hyperlink r:id="rId53" w:history="1">
        <w:r w:rsidRPr="00FA711E">
          <w:rPr>
            <w:rStyle w:val="Hyperlink"/>
            <w:sz w:val="24"/>
            <w:lang w:val="el-GR"/>
          </w:rPr>
          <w:t>http://data.europa.eu/eli/reg/2015/2219/oj</w:t>
        </w:r>
      </w:hyperlink>
      <w:r w:rsidRPr="00FA711E">
        <w:rPr>
          <w:sz w:val="24"/>
          <w:lang w:val="el-GR"/>
        </w:rPr>
        <w:t>.</w:t>
      </w:r>
    </w:p>
  </w:footnote>
  <w:footnote w:id="5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54" w:history="1">
        <w:r w:rsidRPr="00FA711E">
          <w:rPr>
            <w:rStyle w:val="Hyperlink"/>
            <w:sz w:val="24"/>
            <w:lang w:val="el-GR"/>
          </w:rPr>
          <w:t>http://data.europa.eu/eli/reg_del/2019/715/oj</w:t>
        </w:r>
      </w:hyperlink>
      <w:r w:rsidRPr="00FA711E">
        <w:rPr>
          <w:sz w:val="24"/>
          <w:lang w:val="el-GR"/>
        </w:rPr>
        <w:t>.</w:t>
      </w:r>
    </w:p>
  </w:footnote>
  <w:footnote w:id="5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55" w:history="1">
        <w:r w:rsidRPr="00E930E6">
          <w:rPr>
            <w:rStyle w:val="Hyperlink"/>
            <w:sz w:val="24"/>
            <w:lang w:val="fi-FI"/>
          </w:rPr>
          <w:t>http://data.europa.eu/eli/C/2024/6332/oj</w:t>
        </w:r>
      </w:hyperlink>
      <w:r w:rsidRPr="00E930E6">
        <w:rPr>
          <w:sz w:val="24"/>
          <w:lang w:val="fi-FI"/>
        </w:rPr>
        <w:t>.</w:t>
      </w:r>
    </w:p>
  </w:footnote>
  <w:footnote w:id="5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56" w:history="1">
        <w:r w:rsidRPr="00E930E6">
          <w:rPr>
            <w:rStyle w:val="Hyperlink"/>
            <w:sz w:val="24"/>
            <w:lang w:val="fi-FI"/>
          </w:rPr>
          <w:t>http://data.europa.eu/eli/C/2024/6041/oj</w:t>
        </w:r>
      </w:hyperlink>
      <w:r w:rsidRPr="00E930E6">
        <w:rPr>
          <w:sz w:val="24"/>
          <w:lang w:val="fi-FI"/>
        </w:rPr>
        <w:t>.</w:t>
      </w:r>
    </w:p>
  </w:footnote>
  <w:footnote w:id="5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57" w:history="1">
        <w:r w:rsidRPr="00E930E6">
          <w:rPr>
            <w:rStyle w:val="Hyperlink"/>
            <w:sz w:val="24"/>
            <w:lang w:val="fi-FI"/>
          </w:rPr>
          <w:t>http://data.europa.eu/eli/reg/2018/1046/oj</w:t>
        </w:r>
      </w:hyperlink>
      <w:r w:rsidRPr="00E930E6">
        <w:rPr>
          <w:sz w:val="24"/>
          <w:lang w:val="fi-FI"/>
        </w:rPr>
        <w:t>.</w:t>
      </w:r>
    </w:p>
  </w:footnote>
  <w:footnote w:id="5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58" w:history="1">
        <w:r w:rsidRPr="00E930E6">
          <w:rPr>
            <w:rStyle w:val="Hyperlink"/>
            <w:sz w:val="24"/>
            <w:lang w:val="fi-FI"/>
          </w:rPr>
          <w:t>http://data.europa.eu/eli/reg/2024/2509/oj</w:t>
        </w:r>
      </w:hyperlink>
      <w:r w:rsidRPr="00E930E6">
        <w:rPr>
          <w:rStyle w:val="Hyperlink"/>
          <w:sz w:val="24"/>
          <w:lang w:val="fi-FI"/>
        </w:rPr>
        <w:t>.</w:t>
      </w:r>
    </w:p>
  </w:footnote>
  <w:footnote w:id="5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319 της 4.12.2015, σ. 1, ELI: </w:t>
      </w:r>
      <w:hyperlink r:id="rId59" w:history="1">
        <w:r w:rsidRPr="00FA711E">
          <w:rPr>
            <w:rStyle w:val="Hyperlink"/>
            <w:sz w:val="24"/>
            <w:lang w:val="el-GR"/>
          </w:rPr>
          <w:t>http://data.europa.eu/eli/reg/2015/2219/oj</w:t>
        </w:r>
      </w:hyperlink>
      <w:r w:rsidRPr="00FA711E">
        <w:rPr>
          <w:sz w:val="24"/>
          <w:lang w:val="el-GR"/>
        </w:rPr>
        <w:t>.</w:t>
      </w:r>
    </w:p>
  </w:footnote>
  <w:footnote w:id="6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60" w:history="1">
        <w:r w:rsidRPr="00FA711E">
          <w:rPr>
            <w:rStyle w:val="Hyperlink"/>
            <w:sz w:val="24"/>
            <w:lang w:val="el-GR"/>
          </w:rPr>
          <w:t>http://data.europa.eu/eli/reg_del/2019/715/oj</w:t>
        </w:r>
      </w:hyperlink>
      <w:r w:rsidRPr="00FA711E">
        <w:rPr>
          <w:sz w:val="24"/>
          <w:lang w:val="el-GR"/>
        </w:rPr>
        <w:t>.</w:t>
      </w:r>
    </w:p>
  </w:footnote>
  <w:footnote w:id="6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61" w:history="1">
        <w:r w:rsidRPr="00E930E6">
          <w:rPr>
            <w:rStyle w:val="Hyperlink"/>
            <w:sz w:val="24"/>
            <w:lang w:val="fi-FI"/>
          </w:rPr>
          <w:t>http://data.europa.eu/eli/C/2024/6332/oj</w:t>
        </w:r>
      </w:hyperlink>
      <w:r w:rsidRPr="00E930E6">
        <w:rPr>
          <w:sz w:val="24"/>
          <w:lang w:val="fi-FI"/>
        </w:rPr>
        <w:t>.</w:t>
      </w:r>
    </w:p>
  </w:footnote>
  <w:footnote w:id="6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62" w:history="1">
        <w:r w:rsidRPr="00E930E6">
          <w:rPr>
            <w:rStyle w:val="Hyperlink"/>
            <w:sz w:val="24"/>
            <w:lang w:val="fi-FI"/>
          </w:rPr>
          <w:t>http://data.europa.eu/eli/C/2024/6041/oj</w:t>
        </w:r>
      </w:hyperlink>
      <w:r w:rsidRPr="00E930E6">
        <w:rPr>
          <w:sz w:val="24"/>
          <w:lang w:val="fi-FI"/>
        </w:rPr>
        <w:t>.</w:t>
      </w:r>
    </w:p>
  </w:footnote>
  <w:footnote w:id="6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63" w:history="1">
        <w:r w:rsidRPr="00E930E6">
          <w:rPr>
            <w:rStyle w:val="Hyperlink"/>
            <w:sz w:val="24"/>
            <w:lang w:val="fi-FI"/>
          </w:rPr>
          <w:t>http://data.europa.eu/eli/reg/2018/1046/oj</w:t>
        </w:r>
      </w:hyperlink>
      <w:r w:rsidRPr="00E930E6">
        <w:rPr>
          <w:sz w:val="24"/>
          <w:lang w:val="fi-FI"/>
        </w:rPr>
        <w:t>.</w:t>
      </w:r>
    </w:p>
  </w:footnote>
  <w:footnote w:id="6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64" w:history="1">
        <w:r w:rsidRPr="00E930E6">
          <w:rPr>
            <w:rStyle w:val="Hyperlink"/>
            <w:sz w:val="24"/>
            <w:lang w:val="fi-FI"/>
          </w:rPr>
          <w:t>http://data.europa.eu/eli/reg/2024/2509/oj</w:t>
        </w:r>
      </w:hyperlink>
      <w:r w:rsidRPr="00E930E6">
        <w:rPr>
          <w:rStyle w:val="Hyperlink"/>
          <w:sz w:val="24"/>
          <w:lang w:val="fi-FI"/>
        </w:rPr>
        <w:t>.</w:t>
      </w:r>
    </w:p>
  </w:footnote>
  <w:footnote w:id="6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212 της 22.8.2018, σ. 1, ELI: </w:t>
      </w:r>
      <w:hyperlink r:id="rId65" w:history="1">
        <w:r w:rsidRPr="00FA711E">
          <w:rPr>
            <w:rStyle w:val="Hyperlink"/>
            <w:sz w:val="24"/>
            <w:lang w:val="el-GR"/>
          </w:rPr>
          <w:t>http://data.europa.eu/eli/reg/2018/1139/oj</w:t>
        </w:r>
      </w:hyperlink>
      <w:r w:rsidRPr="00FA711E">
        <w:rPr>
          <w:sz w:val="24"/>
          <w:lang w:val="el-GR"/>
        </w:rPr>
        <w:t>.</w:t>
      </w:r>
    </w:p>
  </w:footnote>
  <w:footnote w:id="6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66" w:history="1">
        <w:r w:rsidRPr="00FA711E">
          <w:rPr>
            <w:rStyle w:val="Hyperlink"/>
            <w:sz w:val="24"/>
            <w:lang w:val="el-GR"/>
          </w:rPr>
          <w:t>http://data.europa.eu/eli/reg_del/2019/715/oj</w:t>
        </w:r>
      </w:hyperlink>
      <w:r w:rsidRPr="00FA711E">
        <w:rPr>
          <w:sz w:val="24"/>
          <w:lang w:val="el-GR"/>
        </w:rPr>
        <w:t>.</w:t>
      </w:r>
    </w:p>
  </w:footnote>
  <w:footnote w:id="6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67" w:history="1">
        <w:r w:rsidRPr="00E930E6">
          <w:rPr>
            <w:rStyle w:val="Hyperlink"/>
            <w:sz w:val="24"/>
            <w:lang w:val="fi-FI"/>
          </w:rPr>
          <w:t>http://data.europa.eu/eli/C/2024/6332/oj</w:t>
        </w:r>
      </w:hyperlink>
      <w:r w:rsidRPr="00E930E6">
        <w:rPr>
          <w:sz w:val="24"/>
          <w:lang w:val="fi-FI"/>
        </w:rPr>
        <w:t>.</w:t>
      </w:r>
    </w:p>
  </w:footnote>
  <w:footnote w:id="6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68" w:history="1">
        <w:r w:rsidRPr="00E930E6">
          <w:rPr>
            <w:rStyle w:val="Hyperlink"/>
            <w:sz w:val="24"/>
            <w:lang w:val="fi-FI"/>
          </w:rPr>
          <w:t>http://data.europa.eu/eli/C/2024/6041/oj</w:t>
        </w:r>
      </w:hyperlink>
      <w:r w:rsidRPr="00E930E6">
        <w:rPr>
          <w:sz w:val="24"/>
          <w:lang w:val="fi-FI"/>
        </w:rPr>
        <w:t>.</w:t>
      </w:r>
    </w:p>
  </w:footnote>
  <w:footnote w:id="6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69" w:history="1">
        <w:r w:rsidRPr="00E930E6">
          <w:rPr>
            <w:rStyle w:val="Hyperlink"/>
            <w:sz w:val="24"/>
            <w:lang w:val="fi-FI"/>
          </w:rPr>
          <w:t>http://data.europa.eu/eli/reg/2018/1046/oj</w:t>
        </w:r>
      </w:hyperlink>
      <w:r w:rsidRPr="00E930E6">
        <w:rPr>
          <w:sz w:val="24"/>
          <w:lang w:val="fi-FI"/>
        </w:rPr>
        <w:t>.</w:t>
      </w:r>
    </w:p>
  </w:footnote>
  <w:footnote w:id="7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70" w:history="1">
        <w:r w:rsidRPr="00E930E6">
          <w:rPr>
            <w:rStyle w:val="Hyperlink"/>
            <w:sz w:val="24"/>
            <w:lang w:val="fi-FI"/>
          </w:rPr>
          <w:t>http://data.europa.eu/eli/reg/2024/2509/oj</w:t>
        </w:r>
      </w:hyperlink>
      <w:r w:rsidRPr="00E930E6">
        <w:rPr>
          <w:rStyle w:val="Hyperlink"/>
          <w:sz w:val="24"/>
          <w:lang w:val="fi-FI"/>
        </w:rPr>
        <w:t>.</w:t>
      </w:r>
    </w:p>
  </w:footnote>
  <w:footnote w:id="7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212 της 22.8.2018, σ. 1, ELI: </w:t>
      </w:r>
      <w:hyperlink r:id="rId71" w:history="1">
        <w:r w:rsidRPr="00FA711E">
          <w:rPr>
            <w:rStyle w:val="Hyperlink"/>
            <w:sz w:val="24"/>
            <w:lang w:val="el-GR"/>
          </w:rPr>
          <w:t>http://data.europa.eu/eli/reg/2018/1139/oj</w:t>
        </w:r>
      </w:hyperlink>
      <w:r w:rsidRPr="00FA711E">
        <w:rPr>
          <w:sz w:val="24"/>
          <w:lang w:val="el-GR"/>
        </w:rPr>
        <w:t>.</w:t>
      </w:r>
    </w:p>
  </w:footnote>
  <w:footnote w:id="7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72" w:history="1">
        <w:r w:rsidRPr="00FA711E">
          <w:rPr>
            <w:rStyle w:val="Hyperlink"/>
            <w:sz w:val="24"/>
            <w:lang w:val="el-GR"/>
          </w:rPr>
          <w:t>http://data.europa.eu/eli/reg_del/2019/715/oj</w:t>
        </w:r>
      </w:hyperlink>
      <w:r w:rsidRPr="00FA711E">
        <w:rPr>
          <w:sz w:val="24"/>
          <w:lang w:val="el-GR"/>
        </w:rPr>
        <w:t>.</w:t>
      </w:r>
    </w:p>
  </w:footnote>
  <w:footnote w:id="7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73" w:history="1">
        <w:r w:rsidRPr="00E930E6">
          <w:rPr>
            <w:rStyle w:val="Hyperlink"/>
            <w:sz w:val="24"/>
            <w:lang w:val="fi-FI"/>
          </w:rPr>
          <w:t>http://data.europa.eu/eli/C/2024/6332/oj</w:t>
        </w:r>
      </w:hyperlink>
      <w:r w:rsidRPr="00E930E6">
        <w:rPr>
          <w:sz w:val="24"/>
          <w:lang w:val="fi-FI"/>
        </w:rPr>
        <w:t>.</w:t>
      </w:r>
    </w:p>
  </w:footnote>
  <w:footnote w:id="7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74" w:history="1">
        <w:r w:rsidRPr="00E930E6">
          <w:rPr>
            <w:rStyle w:val="Hyperlink"/>
            <w:sz w:val="24"/>
            <w:lang w:val="fi-FI"/>
          </w:rPr>
          <w:t>http://data.europa.eu/eli/C/2024/6041/oj</w:t>
        </w:r>
      </w:hyperlink>
      <w:r w:rsidRPr="00E930E6">
        <w:rPr>
          <w:sz w:val="24"/>
          <w:lang w:val="fi-FI"/>
        </w:rPr>
        <w:t>.</w:t>
      </w:r>
    </w:p>
  </w:footnote>
  <w:footnote w:id="7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75" w:history="1">
        <w:r w:rsidRPr="00E930E6">
          <w:rPr>
            <w:rStyle w:val="Hyperlink"/>
            <w:sz w:val="24"/>
            <w:lang w:val="fi-FI"/>
          </w:rPr>
          <w:t>http://data.europa.eu/eli/reg/2018/1046/oj</w:t>
        </w:r>
      </w:hyperlink>
      <w:r w:rsidRPr="00E930E6">
        <w:rPr>
          <w:sz w:val="24"/>
          <w:lang w:val="fi-FI"/>
        </w:rPr>
        <w:t>.</w:t>
      </w:r>
    </w:p>
  </w:footnote>
  <w:footnote w:id="7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76" w:history="1">
        <w:r w:rsidRPr="00E930E6">
          <w:rPr>
            <w:rStyle w:val="Hyperlink"/>
            <w:sz w:val="24"/>
            <w:lang w:val="fi-FI"/>
          </w:rPr>
          <w:t>http://data.europa.eu/eli/reg/2024/2509/oj</w:t>
        </w:r>
      </w:hyperlink>
      <w:r w:rsidRPr="00E930E6">
        <w:rPr>
          <w:rStyle w:val="Hyperlink"/>
          <w:sz w:val="24"/>
          <w:lang w:val="fi-FI"/>
        </w:rPr>
        <w:t>.</w:t>
      </w:r>
    </w:p>
  </w:footnote>
  <w:footnote w:id="7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331 της 15.12.2010, σ. 12, ELI: </w:t>
      </w:r>
      <w:hyperlink r:id="rId77" w:history="1">
        <w:r w:rsidRPr="00FA711E">
          <w:rPr>
            <w:rStyle w:val="Hyperlink"/>
            <w:sz w:val="24"/>
            <w:lang w:val="el-GR"/>
          </w:rPr>
          <w:t>http://data.europa.eu/eli/reg/2010/1093/oj</w:t>
        </w:r>
      </w:hyperlink>
      <w:r w:rsidRPr="00FA711E">
        <w:rPr>
          <w:sz w:val="24"/>
          <w:lang w:val="el-GR"/>
        </w:rPr>
        <w:t>.</w:t>
      </w:r>
    </w:p>
  </w:footnote>
  <w:footnote w:id="7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78" w:history="1">
        <w:r w:rsidRPr="00FA711E">
          <w:rPr>
            <w:rStyle w:val="Hyperlink"/>
            <w:sz w:val="24"/>
            <w:lang w:val="el-GR"/>
          </w:rPr>
          <w:t>http://data.europa.eu/eli/reg_del/2019/715/oj</w:t>
        </w:r>
      </w:hyperlink>
      <w:r w:rsidRPr="00FA711E">
        <w:rPr>
          <w:sz w:val="24"/>
          <w:lang w:val="el-GR"/>
        </w:rPr>
        <w:t>.</w:t>
      </w:r>
    </w:p>
  </w:footnote>
  <w:footnote w:id="7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79" w:history="1">
        <w:r w:rsidRPr="00E930E6">
          <w:rPr>
            <w:rStyle w:val="Hyperlink"/>
            <w:sz w:val="24"/>
            <w:lang w:val="fi-FI"/>
          </w:rPr>
          <w:t>http://data.europa.eu/eli/C/2024/6332/oj</w:t>
        </w:r>
      </w:hyperlink>
      <w:r w:rsidRPr="00E930E6">
        <w:rPr>
          <w:sz w:val="24"/>
          <w:lang w:val="fi-FI"/>
        </w:rPr>
        <w:t>.</w:t>
      </w:r>
    </w:p>
  </w:footnote>
  <w:footnote w:id="8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80" w:history="1">
        <w:r w:rsidRPr="00E930E6">
          <w:rPr>
            <w:rStyle w:val="Hyperlink"/>
            <w:sz w:val="24"/>
            <w:lang w:val="fi-FI"/>
          </w:rPr>
          <w:t>http://data.europa.eu/eli/C/2024/6041/oj</w:t>
        </w:r>
      </w:hyperlink>
      <w:r w:rsidRPr="00E930E6">
        <w:rPr>
          <w:sz w:val="24"/>
          <w:lang w:val="fi-FI"/>
        </w:rPr>
        <w:t>.</w:t>
      </w:r>
    </w:p>
  </w:footnote>
  <w:footnote w:id="8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81" w:history="1">
        <w:r w:rsidRPr="00E930E6">
          <w:rPr>
            <w:rStyle w:val="Hyperlink"/>
            <w:sz w:val="24"/>
            <w:lang w:val="fi-FI"/>
          </w:rPr>
          <w:t>http://data.europa.eu/eli/reg/2018/1046/oj</w:t>
        </w:r>
      </w:hyperlink>
      <w:r w:rsidRPr="00E930E6">
        <w:rPr>
          <w:sz w:val="24"/>
          <w:lang w:val="fi-FI"/>
        </w:rPr>
        <w:t>.</w:t>
      </w:r>
    </w:p>
  </w:footnote>
  <w:footnote w:id="8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82" w:history="1">
        <w:r w:rsidRPr="00E930E6">
          <w:rPr>
            <w:rStyle w:val="Hyperlink"/>
            <w:sz w:val="24"/>
            <w:lang w:val="fi-FI"/>
          </w:rPr>
          <w:t>http://data.europa.eu/eli/reg/2024/2509/oj</w:t>
        </w:r>
      </w:hyperlink>
      <w:r w:rsidRPr="00E930E6">
        <w:rPr>
          <w:rStyle w:val="Hyperlink"/>
          <w:sz w:val="24"/>
          <w:lang w:val="fi-FI"/>
        </w:rPr>
        <w:t>.</w:t>
      </w:r>
    </w:p>
  </w:footnote>
  <w:footnote w:id="8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331 της 15.12.2010, σ. 12, ELI: </w:t>
      </w:r>
      <w:hyperlink r:id="rId83" w:history="1">
        <w:r w:rsidRPr="00FA711E">
          <w:rPr>
            <w:rStyle w:val="Hyperlink"/>
            <w:sz w:val="24"/>
            <w:lang w:val="el-GR"/>
          </w:rPr>
          <w:t>http://data.europa.eu/eli/reg/2010/1093/oj</w:t>
        </w:r>
      </w:hyperlink>
      <w:r w:rsidRPr="00FA711E">
        <w:rPr>
          <w:sz w:val="24"/>
          <w:lang w:val="el-GR"/>
        </w:rPr>
        <w:t>.</w:t>
      </w:r>
    </w:p>
  </w:footnote>
  <w:footnote w:id="8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84" w:history="1">
        <w:r w:rsidRPr="00FA711E">
          <w:rPr>
            <w:rStyle w:val="Hyperlink"/>
            <w:sz w:val="24"/>
            <w:lang w:val="el-GR"/>
          </w:rPr>
          <w:t>http://data.europa.eu/eli/reg_del/2019/715/oj</w:t>
        </w:r>
      </w:hyperlink>
      <w:r w:rsidRPr="00FA711E">
        <w:rPr>
          <w:sz w:val="24"/>
          <w:lang w:val="el-GR"/>
        </w:rPr>
        <w:t>.</w:t>
      </w:r>
    </w:p>
  </w:footnote>
  <w:footnote w:id="8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85" w:history="1">
        <w:r w:rsidRPr="00E930E6">
          <w:rPr>
            <w:rStyle w:val="Hyperlink"/>
            <w:sz w:val="24"/>
            <w:lang w:val="fi-FI"/>
          </w:rPr>
          <w:t>http://data.europa.eu/eli/C/2024/6332/oj</w:t>
        </w:r>
      </w:hyperlink>
      <w:r w:rsidRPr="00E930E6">
        <w:rPr>
          <w:sz w:val="24"/>
          <w:lang w:val="fi-FI"/>
        </w:rPr>
        <w:t>.</w:t>
      </w:r>
    </w:p>
  </w:footnote>
  <w:footnote w:id="8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86" w:history="1">
        <w:r w:rsidRPr="00E930E6">
          <w:rPr>
            <w:rStyle w:val="Hyperlink"/>
            <w:sz w:val="24"/>
            <w:lang w:val="fi-FI"/>
          </w:rPr>
          <w:t>http://data.europa.eu/eli/C/2024/6041/oj</w:t>
        </w:r>
      </w:hyperlink>
      <w:r w:rsidRPr="00E930E6">
        <w:rPr>
          <w:sz w:val="24"/>
          <w:lang w:val="fi-FI"/>
        </w:rPr>
        <w:t>.</w:t>
      </w:r>
    </w:p>
  </w:footnote>
  <w:footnote w:id="8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87" w:history="1">
        <w:r w:rsidRPr="00E930E6">
          <w:rPr>
            <w:rStyle w:val="Hyperlink"/>
            <w:sz w:val="24"/>
            <w:lang w:val="fi-FI"/>
          </w:rPr>
          <w:t>http://data.europa.eu/eli/reg/2018/1046/oj</w:t>
        </w:r>
      </w:hyperlink>
      <w:r w:rsidRPr="00E930E6">
        <w:rPr>
          <w:sz w:val="24"/>
          <w:lang w:val="fi-FI"/>
        </w:rPr>
        <w:t>.</w:t>
      </w:r>
    </w:p>
  </w:footnote>
  <w:footnote w:id="8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88" w:history="1">
        <w:r w:rsidRPr="00E930E6">
          <w:rPr>
            <w:rStyle w:val="Hyperlink"/>
            <w:sz w:val="24"/>
            <w:lang w:val="fi-FI"/>
          </w:rPr>
          <w:t>http://data.europa.eu/eli/reg/2024/2509/oj</w:t>
        </w:r>
      </w:hyperlink>
      <w:r w:rsidRPr="00E930E6">
        <w:rPr>
          <w:rStyle w:val="Hyperlink"/>
          <w:sz w:val="24"/>
          <w:lang w:val="fi-FI"/>
        </w:rPr>
        <w:t>.</w:t>
      </w:r>
    </w:p>
  </w:footnote>
  <w:footnote w:id="8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142 της 30.4.2004, σ. 1, ELI: </w:t>
      </w:r>
      <w:hyperlink r:id="rId89" w:history="1">
        <w:r w:rsidRPr="00FA711E">
          <w:rPr>
            <w:rStyle w:val="Hyperlink"/>
            <w:sz w:val="24"/>
            <w:lang w:val="el-GR"/>
          </w:rPr>
          <w:t>http://data.europa.eu/eli/reg/2004/851/oj</w:t>
        </w:r>
      </w:hyperlink>
      <w:r w:rsidRPr="00FA711E">
        <w:rPr>
          <w:sz w:val="24"/>
          <w:lang w:val="el-GR"/>
        </w:rPr>
        <w:t>.</w:t>
      </w:r>
    </w:p>
  </w:footnote>
  <w:footnote w:id="9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ELI: </w:t>
      </w:r>
      <w:hyperlink r:id="rId90" w:history="1">
        <w:r w:rsidRPr="00FA711E">
          <w:rPr>
            <w:rStyle w:val="Hyperlink"/>
            <w:sz w:val="24"/>
            <w:lang w:val="el-GR"/>
          </w:rPr>
          <w:t>http://data.europa.eu/eli/reg_del/2019/715/oj</w:t>
        </w:r>
      </w:hyperlink>
      <w:r w:rsidRPr="00FA711E">
        <w:rPr>
          <w:sz w:val="24"/>
          <w:lang w:val="el-GR"/>
        </w:rPr>
        <w:t>.</w:t>
      </w:r>
    </w:p>
  </w:footnote>
  <w:footnote w:id="9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91" w:history="1">
        <w:r w:rsidRPr="00E930E6">
          <w:rPr>
            <w:rStyle w:val="Hyperlink"/>
            <w:sz w:val="24"/>
            <w:lang w:val="fi-FI"/>
          </w:rPr>
          <w:t>http://data.europa.eu/eli/C/2024/6332/oj</w:t>
        </w:r>
      </w:hyperlink>
      <w:r w:rsidRPr="00E930E6">
        <w:rPr>
          <w:sz w:val="24"/>
          <w:lang w:val="fi-FI"/>
        </w:rPr>
        <w:t>.</w:t>
      </w:r>
    </w:p>
  </w:footnote>
  <w:footnote w:id="9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92" w:history="1">
        <w:r w:rsidRPr="00E930E6">
          <w:rPr>
            <w:rStyle w:val="Hyperlink"/>
            <w:sz w:val="24"/>
            <w:lang w:val="fi-FI"/>
          </w:rPr>
          <w:t>http://data.europa.eu/eli/C/2024/6041/oj</w:t>
        </w:r>
      </w:hyperlink>
      <w:r w:rsidRPr="00E930E6">
        <w:rPr>
          <w:sz w:val="24"/>
          <w:lang w:val="fi-FI"/>
        </w:rPr>
        <w:t>.</w:t>
      </w:r>
    </w:p>
  </w:footnote>
  <w:footnote w:id="9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93" w:history="1">
        <w:r w:rsidRPr="00E930E6">
          <w:rPr>
            <w:rStyle w:val="Hyperlink"/>
            <w:sz w:val="24"/>
            <w:lang w:val="fi-FI"/>
          </w:rPr>
          <w:t>http://data.europa.eu/eli/reg/2018/1046/oj</w:t>
        </w:r>
      </w:hyperlink>
      <w:r w:rsidRPr="00E930E6">
        <w:rPr>
          <w:sz w:val="24"/>
          <w:lang w:val="fi-FI"/>
        </w:rPr>
        <w:t>.</w:t>
      </w:r>
    </w:p>
  </w:footnote>
  <w:footnote w:id="9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94" w:history="1">
        <w:r w:rsidRPr="00E930E6">
          <w:rPr>
            <w:rStyle w:val="Hyperlink"/>
            <w:sz w:val="24"/>
            <w:lang w:val="fi-FI"/>
          </w:rPr>
          <w:t>http://data.europa.eu/eli/reg/2024/2509/oj</w:t>
        </w:r>
      </w:hyperlink>
      <w:r w:rsidRPr="00E930E6">
        <w:rPr>
          <w:rStyle w:val="Hyperlink"/>
          <w:sz w:val="24"/>
          <w:lang w:val="fi-FI"/>
        </w:rPr>
        <w:t>.</w:t>
      </w:r>
    </w:p>
  </w:footnote>
  <w:footnote w:id="9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142 της 30.4.2004, σ. 1, ELI: </w:t>
      </w:r>
      <w:hyperlink r:id="rId95" w:history="1">
        <w:r w:rsidRPr="00FA711E">
          <w:rPr>
            <w:rStyle w:val="Hyperlink"/>
            <w:sz w:val="24"/>
            <w:lang w:val="el-GR"/>
          </w:rPr>
          <w:t>http://data.europa.eu/eli/reg/2004/851/oj</w:t>
        </w:r>
      </w:hyperlink>
      <w:r w:rsidRPr="00FA711E">
        <w:rPr>
          <w:sz w:val="24"/>
          <w:lang w:val="el-GR"/>
        </w:rPr>
        <w:t>.</w:t>
      </w:r>
    </w:p>
  </w:footnote>
  <w:footnote w:id="9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96" w:history="1">
        <w:r w:rsidRPr="00FA711E">
          <w:rPr>
            <w:rStyle w:val="Hyperlink"/>
            <w:sz w:val="24"/>
            <w:lang w:val="el-GR"/>
          </w:rPr>
          <w:t>http://data.europa.eu/eli/reg_del/2019/715/oj</w:t>
        </w:r>
      </w:hyperlink>
      <w:r w:rsidRPr="00FA711E">
        <w:rPr>
          <w:sz w:val="24"/>
          <w:lang w:val="el-GR"/>
        </w:rPr>
        <w:t>.</w:t>
      </w:r>
    </w:p>
  </w:footnote>
  <w:footnote w:id="9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97" w:history="1">
        <w:r w:rsidRPr="00E930E6">
          <w:rPr>
            <w:rStyle w:val="Hyperlink"/>
            <w:sz w:val="24"/>
            <w:lang w:val="fi-FI"/>
          </w:rPr>
          <w:t>http://data.europa.eu/eli/C/2024/6332/oj</w:t>
        </w:r>
      </w:hyperlink>
      <w:r w:rsidRPr="00E930E6">
        <w:rPr>
          <w:sz w:val="24"/>
          <w:lang w:val="fi-FI"/>
        </w:rPr>
        <w:t>.</w:t>
      </w:r>
    </w:p>
  </w:footnote>
  <w:footnote w:id="9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98" w:history="1">
        <w:r w:rsidRPr="00E930E6">
          <w:rPr>
            <w:rStyle w:val="Hyperlink"/>
            <w:sz w:val="24"/>
            <w:lang w:val="fi-FI"/>
          </w:rPr>
          <w:t>http://data.europa.eu/eli/C/2024/6041/oj</w:t>
        </w:r>
      </w:hyperlink>
      <w:r w:rsidRPr="00E930E6">
        <w:rPr>
          <w:sz w:val="24"/>
          <w:lang w:val="fi-FI"/>
        </w:rPr>
        <w:t>.</w:t>
      </w:r>
    </w:p>
  </w:footnote>
  <w:footnote w:id="9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99" w:history="1">
        <w:r w:rsidRPr="00E930E6">
          <w:rPr>
            <w:rStyle w:val="Hyperlink"/>
            <w:sz w:val="24"/>
            <w:lang w:val="fi-FI"/>
          </w:rPr>
          <w:t>http://data.europa.eu/eli/reg/2018/1046/oj</w:t>
        </w:r>
      </w:hyperlink>
      <w:r w:rsidRPr="00E930E6">
        <w:rPr>
          <w:sz w:val="24"/>
          <w:lang w:val="fi-FI"/>
        </w:rPr>
        <w:t>.</w:t>
      </w:r>
    </w:p>
  </w:footnote>
  <w:footnote w:id="10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00" w:history="1">
        <w:r w:rsidRPr="00E930E6">
          <w:rPr>
            <w:rStyle w:val="Hyperlink"/>
            <w:sz w:val="24"/>
            <w:lang w:val="fi-FI"/>
          </w:rPr>
          <w:t>http://data.europa.eu/eli/reg/2024/2509/oj</w:t>
        </w:r>
      </w:hyperlink>
      <w:r w:rsidRPr="00E930E6">
        <w:rPr>
          <w:rStyle w:val="Hyperlink"/>
          <w:sz w:val="24"/>
          <w:lang w:val="fi-FI"/>
        </w:rPr>
        <w:t>.</w:t>
      </w:r>
    </w:p>
  </w:footnote>
  <w:footnote w:id="10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396 της 30.12.2006, σ. 1, ELI: </w:t>
      </w:r>
      <w:hyperlink r:id="rId101" w:history="1">
        <w:r w:rsidRPr="00FA711E">
          <w:rPr>
            <w:rStyle w:val="Hyperlink"/>
            <w:sz w:val="24"/>
            <w:lang w:val="el-GR"/>
          </w:rPr>
          <w:t>http://data.europa.eu/eli/reg/2006/1907/oj</w:t>
        </w:r>
      </w:hyperlink>
      <w:r w:rsidRPr="00FA711E">
        <w:rPr>
          <w:sz w:val="24"/>
          <w:lang w:val="el-GR"/>
        </w:rPr>
        <w:t>.</w:t>
      </w:r>
    </w:p>
  </w:footnote>
  <w:footnote w:id="10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02" w:history="1">
        <w:r w:rsidRPr="00FA711E">
          <w:rPr>
            <w:rStyle w:val="Hyperlink"/>
            <w:sz w:val="24"/>
            <w:lang w:val="el-GR"/>
          </w:rPr>
          <w:t>http://data.europa.eu/eli/reg_del/2019/715/oj</w:t>
        </w:r>
      </w:hyperlink>
      <w:r w:rsidRPr="00FA711E">
        <w:rPr>
          <w:sz w:val="24"/>
          <w:lang w:val="el-GR"/>
        </w:rPr>
        <w:t>.</w:t>
      </w:r>
    </w:p>
  </w:footnote>
  <w:footnote w:id="10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03" w:history="1">
        <w:r w:rsidRPr="00E930E6">
          <w:rPr>
            <w:rStyle w:val="Hyperlink"/>
            <w:sz w:val="24"/>
            <w:lang w:val="fi-FI"/>
          </w:rPr>
          <w:t>http://data.europa.eu/eli/C/2024/6332/oj</w:t>
        </w:r>
      </w:hyperlink>
      <w:r w:rsidRPr="00E930E6">
        <w:rPr>
          <w:sz w:val="24"/>
          <w:lang w:val="fi-FI"/>
        </w:rPr>
        <w:t>.</w:t>
      </w:r>
    </w:p>
  </w:footnote>
  <w:footnote w:id="10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04" w:history="1">
        <w:r w:rsidRPr="00E930E6">
          <w:rPr>
            <w:rStyle w:val="Hyperlink"/>
            <w:sz w:val="24"/>
            <w:lang w:val="fi-FI"/>
          </w:rPr>
          <w:t>http://data.europa.eu/eli/C/2024/6041/oj</w:t>
        </w:r>
      </w:hyperlink>
      <w:r w:rsidRPr="00E930E6">
        <w:rPr>
          <w:sz w:val="24"/>
          <w:lang w:val="fi-FI"/>
        </w:rPr>
        <w:t>.</w:t>
      </w:r>
    </w:p>
  </w:footnote>
  <w:footnote w:id="10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05" w:history="1">
        <w:r w:rsidRPr="00E930E6">
          <w:rPr>
            <w:rStyle w:val="Hyperlink"/>
            <w:sz w:val="24"/>
            <w:lang w:val="fi-FI"/>
          </w:rPr>
          <w:t>http://data.europa.eu/eli/reg/2018/1046/oj</w:t>
        </w:r>
      </w:hyperlink>
      <w:r w:rsidRPr="00E930E6">
        <w:rPr>
          <w:sz w:val="24"/>
          <w:lang w:val="fi-FI"/>
        </w:rPr>
        <w:t>.</w:t>
      </w:r>
    </w:p>
  </w:footnote>
  <w:footnote w:id="10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06" w:history="1">
        <w:r w:rsidRPr="00E930E6">
          <w:rPr>
            <w:rStyle w:val="Hyperlink"/>
            <w:sz w:val="24"/>
            <w:lang w:val="fi-FI"/>
          </w:rPr>
          <w:t>http://data.europa.eu/eli/reg/2024/2509/oj</w:t>
        </w:r>
      </w:hyperlink>
      <w:r w:rsidRPr="00E930E6">
        <w:rPr>
          <w:rStyle w:val="Hyperlink"/>
          <w:sz w:val="24"/>
          <w:lang w:val="fi-FI"/>
        </w:rPr>
        <w:t>.</w:t>
      </w:r>
    </w:p>
  </w:footnote>
  <w:footnote w:id="10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396 της 30.12.2006, σ. 1, ELI: </w:t>
      </w:r>
      <w:hyperlink r:id="rId107" w:history="1">
        <w:r w:rsidRPr="00FA711E">
          <w:rPr>
            <w:rStyle w:val="Hyperlink"/>
            <w:sz w:val="24"/>
            <w:lang w:val="el-GR"/>
          </w:rPr>
          <w:t>http://data.europa.eu/eli/reg/2006/1907/oj</w:t>
        </w:r>
      </w:hyperlink>
      <w:r w:rsidRPr="00FA711E">
        <w:rPr>
          <w:sz w:val="24"/>
          <w:lang w:val="el-GR"/>
        </w:rPr>
        <w:t>.</w:t>
      </w:r>
    </w:p>
  </w:footnote>
  <w:footnote w:id="10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ELI: </w:t>
      </w:r>
      <w:hyperlink r:id="rId108" w:history="1">
        <w:r w:rsidRPr="00FA711E">
          <w:rPr>
            <w:rStyle w:val="Hyperlink"/>
            <w:sz w:val="24"/>
            <w:lang w:val="el-GR"/>
          </w:rPr>
          <w:t>http://data.europa.eu/eli/reg_del/2019/715/oj</w:t>
        </w:r>
      </w:hyperlink>
      <w:r w:rsidRPr="00FA711E">
        <w:rPr>
          <w:sz w:val="24"/>
          <w:lang w:val="el-GR"/>
        </w:rPr>
        <w:t>.</w:t>
      </w:r>
    </w:p>
  </w:footnote>
  <w:footnote w:id="10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09" w:history="1">
        <w:r w:rsidRPr="00E930E6">
          <w:rPr>
            <w:rStyle w:val="Hyperlink"/>
            <w:sz w:val="24"/>
            <w:lang w:val="fi-FI"/>
          </w:rPr>
          <w:t>http://data.europa.eu/eli/C/2024/6332/oj</w:t>
        </w:r>
      </w:hyperlink>
      <w:r w:rsidRPr="00E930E6">
        <w:rPr>
          <w:sz w:val="24"/>
          <w:lang w:val="fi-FI"/>
        </w:rPr>
        <w:t>.</w:t>
      </w:r>
    </w:p>
  </w:footnote>
  <w:footnote w:id="11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10" w:history="1">
        <w:r w:rsidRPr="00E930E6">
          <w:rPr>
            <w:rStyle w:val="Hyperlink"/>
            <w:sz w:val="24"/>
            <w:lang w:val="fi-FI"/>
          </w:rPr>
          <w:t>http://data.europa.eu/eli/C/2024/6041/oj</w:t>
        </w:r>
      </w:hyperlink>
      <w:r w:rsidRPr="00E930E6">
        <w:rPr>
          <w:sz w:val="24"/>
          <w:lang w:val="fi-FI"/>
        </w:rPr>
        <w:t>.</w:t>
      </w:r>
    </w:p>
  </w:footnote>
  <w:footnote w:id="11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11" w:history="1">
        <w:r w:rsidRPr="00E930E6">
          <w:rPr>
            <w:rStyle w:val="Hyperlink"/>
            <w:sz w:val="24"/>
            <w:lang w:val="fi-FI"/>
          </w:rPr>
          <w:t>http://data.europa.eu/eli/reg/2018/1046/oj</w:t>
        </w:r>
      </w:hyperlink>
      <w:r w:rsidRPr="00E930E6">
        <w:rPr>
          <w:sz w:val="24"/>
          <w:lang w:val="fi-FI"/>
        </w:rPr>
        <w:t>.</w:t>
      </w:r>
    </w:p>
  </w:footnote>
  <w:footnote w:id="11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12" w:history="1">
        <w:r w:rsidRPr="00E930E6">
          <w:rPr>
            <w:rStyle w:val="Hyperlink"/>
            <w:sz w:val="24"/>
            <w:lang w:val="fi-FI"/>
          </w:rPr>
          <w:t>http://data.europa.eu/eli/reg/2024/2509/oj</w:t>
        </w:r>
      </w:hyperlink>
      <w:r w:rsidRPr="00E930E6">
        <w:rPr>
          <w:rStyle w:val="Hyperlink"/>
          <w:sz w:val="24"/>
          <w:lang w:val="fi-FI"/>
        </w:rPr>
        <w:t>.</w:t>
      </w:r>
    </w:p>
  </w:footnote>
  <w:footnote w:id="11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126 της 21.5.2009, σ. 13, ELI: </w:t>
      </w:r>
      <w:hyperlink r:id="rId113" w:history="1">
        <w:r w:rsidRPr="00FA711E">
          <w:rPr>
            <w:rStyle w:val="Hyperlink"/>
            <w:sz w:val="24"/>
            <w:lang w:val="el-GR"/>
          </w:rPr>
          <w:t>http://data.europa.eu/eli/reg/2009/401/oj</w:t>
        </w:r>
      </w:hyperlink>
      <w:r w:rsidRPr="00FA711E">
        <w:rPr>
          <w:sz w:val="24"/>
          <w:lang w:val="el-GR"/>
        </w:rPr>
        <w:t>.</w:t>
      </w:r>
    </w:p>
  </w:footnote>
  <w:footnote w:id="11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14" w:history="1">
        <w:r w:rsidRPr="00FA711E">
          <w:rPr>
            <w:rStyle w:val="Hyperlink"/>
            <w:sz w:val="24"/>
            <w:lang w:val="el-GR"/>
          </w:rPr>
          <w:t>http://data.europa.eu/eli/reg_del/2019/715/oj</w:t>
        </w:r>
      </w:hyperlink>
      <w:r w:rsidRPr="00FA711E">
        <w:rPr>
          <w:sz w:val="24"/>
          <w:lang w:val="el-GR"/>
        </w:rPr>
        <w:t>.</w:t>
      </w:r>
    </w:p>
  </w:footnote>
  <w:footnote w:id="11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15" w:history="1">
        <w:r w:rsidRPr="00E930E6">
          <w:rPr>
            <w:rStyle w:val="Hyperlink"/>
            <w:sz w:val="24"/>
            <w:lang w:val="fi-FI"/>
          </w:rPr>
          <w:t>http://data.europa.eu/eli/C/2024/6332/oj</w:t>
        </w:r>
      </w:hyperlink>
      <w:r w:rsidRPr="00E930E6">
        <w:rPr>
          <w:sz w:val="24"/>
          <w:lang w:val="fi-FI"/>
        </w:rPr>
        <w:t>.</w:t>
      </w:r>
    </w:p>
  </w:footnote>
  <w:footnote w:id="11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16" w:history="1">
        <w:r w:rsidRPr="00E930E6">
          <w:rPr>
            <w:rStyle w:val="Hyperlink"/>
            <w:sz w:val="24"/>
            <w:lang w:val="fi-FI"/>
          </w:rPr>
          <w:t>http://data.europa.eu/eli/C/2024/6041/oj</w:t>
        </w:r>
      </w:hyperlink>
      <w:r w:rsidRPr="00E930E6">
        <w:rPr>
          <w:sz w:val="24"/>
          <w:lang w:val="fi-FI"/>
        </w:rPr>
        <w:t>.</w:t>
      </w:r>
    </w:p>
  </w:footnote>
  <w:footnote w:id="11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17" w:history="1">
        <w:r w:rsidRPr="00E930E6">
          <w:rPr>
            <w:rStyle w:val="Hyperlink"/>
            <w:sz w:val="24"/>
            <w:lang w:val="fi-FI"/>
          </w:rPr>
          <w:t>http://data.europa.eu/eli/reg/2018/1046/oj</w:t>
        </w:r>
      </w:hyperlink>
      <w:r w:rsidRPr="00E930E6">
        <w:rPr>
          <w:sz w:val="24"/>
          <w:lang w:val="fi-FI"/>
        </w:rPr>
        <w:t>.</w:t>
      </w:r>
    </w:p>
  </w:footnote>
  <w:footnote w:id="11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18" w:history="1">
        <w:r w:rsidRPr="00E930E6">
          <w:rPr>
            <w:rStyle w:val="Hyperlink"/>
            <w:sz w:val="24"/>
            <w:lang w:val="fi-FI"/>
          </w:rPr>
          <w:t>http://data.europa.eu/eli/reg/2024/2509/oj</w:t>
        </w:r>
      </w:hyperlink>
      <w:r w:rsidRPr="00E930E6">
        <w:rPr>
          <w:rStyle w:val="Hyperlink"/>
          <w:sz w:val="24"/>
          <w:lang w:val="fi-FI"/>
        </w:rPr>
        <w:t>.</w:t>
      </w:r>
    </w:p>
  </w:footnote>
  <w:footnote w:id="11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126 της 21.5.2009, σ. 13, ELI: </w:t>
      </w:r>
      <w:hyperlink r:id="rId119" w:history="1">
        <w:r w:rsidRPr="00FA711E">
          <w:rPr>
            <w:rStyle w:val="Hyperlink"/>
            <w:sz w:val="24"/>
            <w:lang w:val="el-GR"/>
          </w:rPr>
          <w:t>http://data.europa.eu/eli/reg/2009/401/oj</w:t>
        </w:r>
      </w:hyperlink>
      <w:r w:rsidRPr="00FA711E">
        <w:rPr>
          <w:sz w:val="24"/>
          <w:lang w:val="el-GR"/>
        </w:rPr>
        <w:t>.</w:t>
      </w:r>
    </w:p>
  </w:footnote>
  <w:footnote w:id="12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20" w:history="1">
        <w:r w:rsidRPr="00FA711E">
          <w:rPr>
            <w:rStyle w:val="Hyperlink"/>
            <w:sz w:val="24"/>
            <w:lang w:val="el-GR"/>
          </w:rPr>
          <w:t>http://data.europa.eu/eli/reg_del/2019/715/oj</w:t>
        </w:r>
      </w:hyperlink>
      <w:r w:rsidRPr="00FA711E">
        <w:rPr>
          <w:sz w:val="24"/>
          <w:lang w:val="el-GR"/>
        </w:rPr>
        <w:t>.</w:t>
      </w:r>
    </w:p>
  </w:footnote>
  <w:footnote w:id="12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21" w:history="1">
        <w:r w:rsidRPr="00E930E6">
          <w:rPr>
            <w:rStyle w:val="Hyperlink"/>
            <w:sz w:val="24"/>
            <w:lang w:val="fi-FI"/>
          </w:rPr>
          <w:t>http://data.europa.eu/eli/C/2024/6332/oj</w:t>
        </w:r>
      </w:hyperlink>
      <w:r w:rsidRPr="00E930E6">
        <w:rPr>
          <w:sz w:val="24"/>
          <w:lang w:val="fi-FI"/>
        </w:rPr>
        <w:t>.</w:t>
      </w:r>
    </w:p>
  </w:footnote>
  <w:footnote w:id="12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22" w:history="1">
        <w:r w:rsidRPr="00E930E6">
          <w:rPr>
            <w:rStyle w:val="Hyperlink"/>
            <w:sz w:val="24"/>
            <w:lang w:val="fi-FI"/>
          </w:rPr>
          <w:t>http://data.europa.eu/eli/C/2024/6041/oj</w:t>
        </w:r>
      </w:hyperlink>
      <w:r w:rsidRPr="00E930E6">
        <w:rPr>
          <w:sz w:val="24"/>
          <w:lang w:val="fi-FI"/>
        </w:rPr>
        <w:t>.</w:t>
      </w:r>
    </w:p>
  </w:footnote>
  <w:footnote w:id="12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23" w:history="1">
        <w:r w:rsidRPr="00E930E6">
          <w:rPr>
            <w:rStyle w:val="Hyperlink"/>
            <w:sz w:val="24"/>
            <w:lang w:val="fi-FI"/>
          </w:rPr>
          <w:t>http://data.europa.eu/eli/reg/2018/1046/oj</w:t>
        </w:r>
      </w:hyperlink>
      <w:r w:rsidRPr="00E930E6">
        <w:rPr>
          <w:sz w:val="24"/>
          <w:lang w:val="fi-FI"/>
        </w:rPr>
        <w:t>.</w:t>
      </w:r>
    </w:p>
  </w:footnote>
  <w:footnote w:id="12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24" w:history="1">
        <w:r w:rsidRPr="00E930E6">
          <w:rPr>
            <w:rStyle w:val="Hyperlink"/>
            <w:sz w:val="24"/>
            <w:lang w:val="fi-FI"/>
          </w:rPr>
          <w:t>http://data.europa.eu/eli/reg/2024/2509/oj</w:t>
        </w:r>
      </w:hyperlink>
      <w:r w:rsidRPr="00E930E6">
        <w:rPr>
          <w:rStyle w:val="Hyperlink"/>
          <w:sz w:val="24"/>
          <w:lang w:val="fi-FI"/>
        </w:rPr>
        <w:t>.</w:t>
      </w:r>
    </w:p>
  </w:footnote>
  <w:footnote w:id="12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83 της 25.3.2019, σ. 18, ELI: </w:t>
      </w:r>
      <w:hyperlink r:id="rId125" w:history="1">
        <w:r w:rsidRPr="00FA711E">
          <w:rPr>
            <w:rStyle w:val="Hyperlink"/>
            <w:sz w:val="24"/>
            <w:lang w:val="el-GR"/>
          </w:rPr>
          <w:t>http://data.europa.eu/eli/reg/2019/473/oj</w:t>
        </w:r>
      </w:hyperlink>
      <w:r w:rsidRPr="00FA711E">
        <w:rPr>
          <w:sz w:val="24"/>
          <w:lang w:val="el-GR"/>
        </w:rPr>
        <w:t>.</w:t>
      </w:r>
    </w:p>
  </w:footnote>
  <w:footnote w:id="12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26" w:history="1">
        <w:r w:rsidRPr="00FA711E">
          <w:rPr>
            <w:rStyle w:val="Hyperlink"/>
            <w:sz w:val="24"/>
            <w:lang w:val="el-GR"/>
          </w:rPr>
          <w:t>http://data.europa.eu/eli/reg_del/2019/715/oj</w:t>
        </w:r>
      </w:hyperlink>
      <w:r w:rsidRPr="00FA711E">
        <w:rPr>
          <w:sz w:val="24"/>
          <w:lang w:val="el-GR"/>
        </w:rPr>
        <w:t>.</w:t>
      </w:r>
    </w:p>
  </w:footnote>
  <w:footnote w:id="12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27" w:history="1">
        <w:r w:rsidRPr="00E930E6">
          <w:rPr>
            <w:rStyle w:val="Hyperlink"/>
            <w:sz w:val="24"/>
            <w:lang w:val="fi-FI"/>
          </w:rPr>
          <w:t>http://data.europa.eu/eli/C/2024/6332/oj</w:t>
        </w:r>
      </w:hyperlink>
      <w:r w:rsidRPr="00E930E6">
        <w:rPr>
          <w:sz w:val="24"/>
          <w:lang w:val="fi-FI"/>
        </w:rPr>
        <w:t>.</w:t>
      </w:r>
    </w:p>
  </w:footnote>
  <w:footnote w:id="12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28" w:history="1">
        <w:r w:rsidRPr="00E930E6">
          <w:rPr>
            <w:rStyle w:val="Hyperlink"/>
            <w:sz w:val="24"/>
            <w:lang w:val="fi-FI"/>
          </w:rPr>
          <w:t>http://data.europa.eu/eli/C/2024/6041/oj</w:t>
        </w:r>
      </w:hyperlink>
      <w:r w:rsidRPr="00E930E6">
        <w:rPr>
          <w:sz w:val="24"/>
          <w:lang w:val="fi-FI"/>
        </w:rPr>
        <w:t>.</w:t>
      </w:r>
    </w:p>
  </w:footnote>
  <w:footnote w:id="12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29" w:history="1">
        <w:r w:rsidRPr="00E930E6">
          <w:rPr>
            <w:rStyle w:val="Hyperlink"/>
            <w:sz w:val="24"/>
            <w:lang w:val="fi-FI"/>
          </w:rPr>
          <w:t>http://data.europa.eu/eli/reg/2018/1046/oj</w:t>
        </w:r>
      </w:hyperlink>
      <w:r w:rsidRPr="00E930E6">
        <w:rPr>
          <w:sz w:val="24"/>
          <w:lang w:val="fi-FI"/>
        </w:rPr>
        <w:t>.</w:t>
      </w:r>
    </w:p>
  </w:footnote>
  <w:footnote w:id="13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30" w:history="1">
        <w:r w:rsidRPr="00E930E6">
          <w:rPr>
            <w:rStyle w:val="Hyperlink"/>
            <w:sz w:val="24"/>
            <w:lang w:val="fi-FI"/>
          </w:rPr>
          <w:t>http://data.europa.eu/eli/reg/2024/2509/oj</w:t>
        </w:r>
      </w:hyperlink>
      <w:r w:rsidRPr="00E930E6">
        <w:rPr>
          <w:rStyle w:val="Hyperlink"/>
          <w:sz w:val="24"/>
          <w:lang w:val="fi-FI"/>
        </w:rPr>
        <w:t>.</w:t>
      </w:r>
    </w:p>
  </w:footnote>
  <w:footnote w:id="13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83 της 25.3.2019, σ. 18, ELI: </w:t>
      </w:r>
      <w:hyperlink r:id="rId131" w:history="1">
        <w:r w:rsidRPr="00FA711E">
          <w:rPr>
            <w:rStyle w:val="Hyperlink"/>
            <w:sz w:val="24"/>
            <w:lang w:val="el-GR"/>
          </w:rPr>
          <w:t>http://data.europa.eu/eli/reg/2019/473/oj</w:t>
        </w:r>
      </w:hyperlink>
      <w:r w:rsidRPr="00FA711E">
        <w:rPr>
          <w:sz w:val="24"/>
          <w:lang w:val="el-GR"/>
        </w:rPr>
        <w:t>.</w:t>
      </w:r>
    </w:p>
  </w:footnote>
  <w:footnote w:id="13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32" w:history="1">
        <w:r w:rsidRPr="00FA711E">
          <w:rPr>
            <w:rStyle w:val="Hyperlink"/>
            <w:sz w:val="24"/>
            <w:lang w:val="el-GR"/>
          </w:rPr>
          <w:t>http://data.europa.eu/eli/reg_del/2019/715/oj</w:t>
        </w:r>
      </w:hyperlink>
      <w:r w:rsidRPr="00FA711E">
        <w:rPr>
          <w:sz w:val="24"/>
          <w:lang w:val="el-GR"/>
        </w:rPr>
        <w:t>.</w:t>
      </w:r>
    </w:p>
  </w:footnote>
  <w:footnote w:id="13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33" w:history="1">
        <w:r w:rsidRPr="00E930E6">
          <w:rPr>
            <w:rStyle w:val="Hyperlink"/>
            <w:sz w:val="24"/>
            <w:lang w:val="fi-FI"/>
          </w:rPr>
          <w:t>http://data.europa.eu/eli/C/2024/6332/oj</w:t>
        </w:r>
      </w:hyperlink>
      <w:r w:rsidRPr="00E930E6">
        <w:rPr>
          <w:sz w:val="24"/>
          <w:lang w:val="fi-FI"/>
        </w:rPr>
        <w:t>.</w:t>
      </w:r>
    </w:p>
  </w:footnote>
  <w:footnote w:id="13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34" w:history="1">
        <w:r w:rsidRPr="00E930E6">
          <w:rPr>
            <w:rStyle w:val="Hyperlink"/>
            <w:sz w:val="24"/>
            <w:lang w:val="fi-FI"/>
          </w:rPr>
          <w:t>http://data.europa.eu/eli/C/2024/6041/oj</w:t>
        </w:r>
      </w:hyperlink>
      <w:r w:rsidRPr="00E930E6">
        <w:rPr>
          <w:sz w:val="24"/>
          <w:lang w:val="fi-FI"/>
        </w:rPr>
        <w:t>.</w:t>
      </w:r>
    </w:p>
  </w:footnote>
  <w:footnote w:id="13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35" w:history="1">
        <w:r w:rsidRPr="00E930E6">
          <w:rPr>
            <w:rStyle w:val="Hyperlink"/>
            <w:sz w:val="24"/>
            <w:lang w:val="fi-FI"/>
          </w:rPr>
          <w:t>http://data.europa.eu/eli/reg/2018/1046/oj</w:t>
        </w:r>
      </w:hyperlink>
      <w:r w:rsidRPr="00E930E6">
        <w:rPr>
          <w:sz w:val="24"/>
          <w:lang w:val="fi-FI"/>
        </w:rPr>
        <w:t>.</w:t>
      </w:r>
    </w:p>
  </w:footnote>
  <w:footnote w:id="13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36" w:history="1">
        <w:r w:rsidRPr="00E930E6">
          <w:rPr>
            <w:rStyle w:val="Hyperlink"/>
            <w:sz w:val="24"/>
            <w:lang w:val="fi-FI"/>
          </w:rPr>
          <w:t>http://data.europa.eu/eli/reg/2024/2509/oj</w:t>
        </w:r>
      </w:hyperlink>
      <w:r w:rsidRPr="00E930E6">
        <w:rPr>
          <w:rStyle w:val="Hyperlink"/>
          <w:sz w:val="24"/>
          <w:lang w:val="fi-FI"/>
        </w:rPr>
        <w:t>.</w:t>
      </w:r>
    </w:p>
  </w:footnote>
  <w:footnote w:id="13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31 της 1.2.2002, σ. 1, ELI: </w:t>
      </w:r>
      <w:hyperlink r:id="rId137" w:history="1">
        <w:r w:rsidRPr="00FA711E">
          <w:rPr>
            <w:rStyle w:val="Hyperlink"/>
            <w:sz w:val="24"/>
            <w:lang w:val="el-GR"/>
          </w:rPr>
          <w:t>http://data.europa.eu/eli/reg/2002/178/oj</w:t>
        </w:r>
      </w:hyperlink>
      <w:r w:rsidRPr="00FA711E">
        <w:rPr>
          <w:sz w:val="24"/>
          <w:lang w:val="el-GR"/>
        </w:rPr>
        <w:t>.</w:t>
      </w:r>
    </w:p>
  </w:footnote>
  <w:footnote w:id="13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38" w:history="1">
        <w:r w:rsidRPr="00FA711E">
          <w:rPr>
            <w:rStyle w:val="Hyperlink"/>
            <w:sz w:val="24"/>
            <w:lang w:val="el-GR"/>
          </w:rPr>
          <w:t>http://data.europa.eu/eli/reg_del/2019/715/oj</w:t>
        </w:r>
      </w:hyperlink>
      <w:r w:rsidRPr="00FA711E">
        <w:rPr>
          <w:sz w:val="24"/>
          <w:lang w:val="el-GR"/>
        </w:rPr>
        <w:t>.</w:t>
      </w:r>
    </w:p>
  </w:footnote>
  <w:footnote w:id="13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39" w:history="1">
        <w:r w:rsidRPr="00E930E6">
          <w:rPr>
            <w:rStyle w:val="Hyperlink"/>
            <w:sz w:val="24"/>
            <w:lang w:val="fi-FI"/>
          </w:rPr>
          <w:t>http://data.europa.eu/eli/C/2024/6332/oj</w:t>
        </w:r>
      </w:hyperlink>
      <w:r w:rsidRPr="00E930E6">
        <w:rPr>
          <w:sz w:val="24"/>
          <w:lang w:val="fi-FI"/>
        </w:rPr>
        <w:t>.</w:t>
      </w:r>
    </w:p>
  </w:footnote>
  <w:footnote w:id="14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40" w:history="1">
        <w:r w:rsidRPr="00E930E6">
          <w:rPr>
            <w:rStyle w:val="Hyperlink"/>
            <w:sz w:val="24"/>
            <w:lang w:val="fi-FI"/>
          </w:rPr>
          <w:t>http://data.europa.eu/eli/C/2024/6041/oj</w:t>
        </w:r>
      </w:hyperlink>
      <w:r w:rsidRPr="00E930E6">
        <w:rPr>
          <w:sz w:val="24"/>
          <w:lang w:val="fi-FI"/>
        </w:rPr>
        <w:t>.</w:t>
      </w:r>
    </w:p>
  </w:footnote>
  <w:footnote w:id="14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41" w:history="1">
        <w:r w:rsidRPr="00E930E6">
          <w:rPr>
            <w:rStyle w:val="Hyperlink"/>
            <w:sz w:val="24"/>
            <w:lang w:val="fi-FI"/>
          </w:rPr>
          <w:t>http://data.europa.eu/eli/reg/2018/1046/oj</w:t>
        </w:r>
      </w:hyperlink>
      <w:r w:rsidRPr="00E930E6">
        <w:rPr>
          <w:sz w:val="24"/>
          <w:lang w:val="fi-FI"/>
        </w:rPr>
        <w:t>.</w:t>
      </w:r>
    </w:p>
  </w:footnote>
  <w:footnote w:id="14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42" w:history="1">
        <w:r w:rsidRPr="00E930E6">
          <w:rPr>
            <w:rStyle w:val="Hyperlink"/>
            <w:sz w:val="24"/>
            <w:lang w:val="fi-FI"/>
          </w:rPr>
          <w:t>http://data.europa.eu/eli/reg/2024/2509/oj</w:t>
        </w:r>
      </w:hyperlink>
      <w:r w:rsidRPr="00E930E6">
        <w:rPr>
          <w:rStyle w:val="Hyperlink"/>
          <w:sz w:val="24"/>
          <w:lang w:val="fi-FI"/>
        </w:rPr>
        <w:t>.</w:t>
      </w:r>
    </w:p>
  </w:footnote>
  <w:footnote w:id="14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31 της 1.2.2002, σ. 1, ELI: </w:t>
      </w:r>
      <w:hyperlink r:id="rId143" w:history="1">
        <w:r w:rsidRPr="00FA711E">
          <w:rPr>
            <w:rStyle w:val="Hyperlink"/>
            <w:sz w:val="24"/>
            <w:lang w:val="el-GR"/>
          </w:rPr>
          <w:t>http://data.europa.eu/eli/reg/2002/178/oj</w:t>
        </w:r>
      </w:hyperlink>
      <w:r w:rsidRPr="00FA711E">
        <w:rPr>
          <w:sz w:val="24"/>
          <w:lang w:val="el-GR"/>
        </w:rPr>
        <w:t>.</w:t>
      </w:r>
    </w:p>
  </w:footnote>
  <w:footnote w:id="14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44" w:history="1">
        <w:r w:rsidRPr="00FA711E">
          <w:rPr>
            <w:rStyle w:val="Hyperlink"/>
            <w:sz w:val="24"/>
            <w:lang w:val="el-GR"/>
          </w:rPr>
          <w:t>http://data.europa.eu/eli/reg_del/2019/715/oj</w:t>
        </w:r>
      </w:hyperlink>
      <w:r w:rsidRPr="00FA711E">
        <w:rPr>
          <w:sz w:val="24"/>
          <w:lang w:val="el-GR"/>
        </w:rPr>
        <w:t>.</w:t>
      </w:r>
    </w:p>
  </w:footnote>
  <w:footnote w:id="14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45" w:history="1">
        <w:r w:rsidRPr="00E930E6">
          <w:rPr>
            <w:rStyle w:val="Hyperlink"/>
            <w:sz w:val="24"/>
            <w:lang w:val="fi-FI"/>
          </w:rPr>
          <w:t>http://data.europa.eu/eli/C/2024/6332/oj</w:t>
        </w:r>
      </w:hyperlink>
      <w:r w:rsidRPr="00E930E6">
        <w:rPr>
          <w:sz w:val="24"/>
          <w:lang w:val="fi-FI"/>
        </w:rPr>
        <w:t>.</w:t>
      </w:r>
    </w:p>
  </w:footnote>
  <w:footnote w:id="14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46" w:history="1">
        <w:r w:rsidRPr="00E930E6">
          <w:rPr>
            <w:rStyle w:val="Hyperlink"/>
            <w:sz w:val="24"/>
            <w:lang w:val="fi-FI"/>
          </w:rPr>
          <w:t>http://data.europa.eu/eli/C/2024/6041/oj</w:t>
        </w:r>
      </w:hyperlink>
      <w:r w:rsidRPr="00E930E6">
        <w:rPr>
          <w:sz w:val="24"/>
          <w:lang w:val="fi-FI"/>
        </w:rPr>
        <w:t>.</w:t>
      </w:r>
    </w:p>
  </w:footnote>
  <w:footnote w:id="14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47" w:history="1">
        <w:r w:rsidRPr="00E930E6">
          <w:rPr>
            <w:rStyle w:val="Hyperlink"/>
            <w:sz w:val="24"/>
            <w:lang w:val="fi-FI"/>
          </w:rPr>
          <w:t>http://data.europa.eu/eli/reg/2018/1046/oj</w:t>
        </w:r>
      </w:hyperlink>
      <w:r w:rsidRPr="00E930E6">
        <w:rPr>
          <w:sz w:val="24"/>
          <w:lang w:val="fi-FI"/>
        </w:rPr>
        <w:t>.</w:t>
      </w:r>
    </w:p>
  </w:footnote>
  <w:footnote w:id="14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48" w:history="1">
        <w:r w:rsidRPr="00E930E6">
          <w:rPr>
            <w:rStyle w:val="Hyperlink"/>
            <w:sz w:val="24"/>
            <w:lang w:val="fi-FI"/>
          </w:rPr>
          <w:t>http://data.europa.eu/eli/reg/2024/2509/oj</w:t>
        </w:r>
      </w:hyperlink>
      <w:r w:rsidRPr="00E930E6">
        <w:rPr>
          <w:rStyle w:val="Hyperlink"/>
          <w:sz w:val="24"/>
          <w:lang w:val="fi-FI"/>
        </w:rPr>
        <w:t>.</w:t>
      </w:r>
    </w:p>
  </w:footnote>
  <w:footnote w:id="14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403 της 30.12.2006, σ. 9, ELI: </w:t>
      </w:r>
      <w:hyperlink r:id="rId149" w:history="1">
        <w:r w:rsidRPr="00FA711E">
          <w:rPr>
            <w:rStyle w:val="Hyperlink"/>
            <w:sz w:val="24"/>
            <w:lang w:val="el-GR"/>
          </w:rPr>
          <w:t>http://data.europa.eu/eli/reg/2006/1922/oj</w:t>
        </w:r>
      </w:hyperlink>
      <w:r w:rsidRPr="00FA711E">
        <w:rPr>
          <w:sz w:val="24"/>
          <w:lang w:val="el-GR"/>
        </w:rPr>
        <w:t>.</w:t>
      </w:r>
    </w:p>
  </w:footnote>
  <w:footnote w:id="15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50" w:history="1">
        <w:r w:rsidRPr="00FA711E">
          <w:rPr>
            <w:rStyle w:val="Hyperlink"/>
            <w:sz w:val="24"/>
            <w:lang w:val="el-GR"/>
          </w:rPr>
          <w:t>http://data.europa.eu/eli/reg_del/2019/715/oj</w:t>
        </w:r>
      </w:hyperlink>
      <w:r w:rsidRPr="00FA711E">
        <w:rPr>
          <w:sz w:val="24"/>
          <w:lang w:val="el-GR"/>
        </w:rPr>
        <w:t>.</w:t>
      </w:r>
    </w:p>
  </w:footnote>
  <w:footnote w:id="15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51" w:history="1">
        <w:r w:rsidRPr="00E930E6">
          <w:rPr>
            <w:rStyle w:val="Hyperlink"/>
            <w:sz w:val="24"/>
            <w:lang w:val="fi-FI"/>
          </w:rPr>
          <w:t>http://data.europa.eu/eli/C/2024/6332/oj</w:t>
        </w:r>
      </w:hyperlink>
      <w:r w:rsidRPr="00E930E6">
        <w:rPr>
          <w:sz w:val="24"/>
          <w:lang w:val="fi-FI"/>
        </w:rPr>
        <w:t>.</w:t>
      </w:r>
    </w:p>
  </w:footnote>
  <w:footnote w:id="15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52" w:history="1">
        <w:r w:rsidRPr="00E930E6">
          <w:rPr>
            <w:rStyle w:val="Hyperlink"/>
            <w:sz w:val="24"/>
            <w:lang w:val="fi-FI"/>
          </w:rPr>
          <w:t>http://data.europa.eu/eli/C/2024/6041/oj</w:t>
        </w:r>
      </w:hyperlink>
      <w:r w:rsidRPr="00E930E6">
        <w:rPr>
          <w:sz w:val="24"/>
          <w:lang w:val="fi-FI"/>
        </w:rPr>
        <w:t>.</w:t>
      </w:r>
    </w:p>
  </w:footnote>
  <w:footnote w:id="15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53" w:history="1">
        <w:r w:rsidRPr="00E930E6">
          <w:rPr>
            <w:rStyle w:val="Hyperlink"/>
            <w:sz w:val="24"/>
            <w:lang w:val="fi-FI"/>
          </w:rPr>
          <w:t>http://data.europa.eu/eli/reg/2018/1046/oj</w:t>
        </w:r>
      </w:hyperlink>
      <w:r w:rsidRPr="00E930E6">
        <w:rPr>
          <w:sz w:val="24"/>
          <w:lang w:val="fi-FI"/>
        </w:rPr>
        <w:t>.</w:t>
      </w:r>
    </w:p>
  </w:footnote>
  <w:footnote w:id="15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54" w:history="1">
        <w:r w:rsidRPr="00E930E6">
          <w:rPr>
            <w:rStyle w:val="Hyperlink"/>
            <w:sz w:val="24"/>
            <w:lang w:val="fi-FI"/>
          </w:rPr>
          <w:t>http://data.europa.eu/eli/reg/2024/2509/oj</w:t>
        </w:r>
      </w:hyperlink>
      <w:r w:rsidRPr="00E930E6">
        <w:rPr>
          <w:rStyle w:val="Hyperlink"/>
          <w:sz w:val="24"/>
          <w:lang w:val="fi-FI"/>
        </w:rPr>
        <w:t>.</w:t>
      </w:r>
    </w:p>
  </w:footnote>
  <w:footnote w:id="15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403 της 30.12.2006, σ. 9, ELI: </w:t>
      </w:r>
      <w:hyperlink r:id="rId155" w:history="1">
        <w:r w:rsidRPr="00FA711E">
          <w:rPr>
            <w:rStyle w:val="Hyperlink"/>
            <w:sz w:val="24"/>
            <w:lang w:val="el-GR"/>
          </w:rPr>
          <w:t>http://data.europa.eu/eli/reg/2006/1922/oj</w:t>
        </w:r>
      </w:hyperlink>
      <w:r w:rsidRPr="00FA711E">
        <w:rPr>
          <w:sz w:val="24"/>
          <w:lang w:val="el-GR"/>
        </w:rPr>
        <w:t>.</w:t>
      </w:r>
    </w:p>
  </w:footnote>
  <w:footnote w:id="15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56" w:history="1">
        <w:r w:rsidRPr="00FA711E">
          <w:rPr>
            <w:rStyle w:val="Hyperlink"/>
            <w:sz w:val="24"/>
            <w:lang w:val="el-GR"/>
          </w:rPr>
          <w:t>http://data.europa.eu/eli/reg_del/2019/715/oj</w:t>
        </w:r>
      </w:hyperlink>
      <w:r w:rsidRPr="00FA711E">
        <w:rPr>
          <w:sz w:val="24"/>
          <w:lang w:val="el-GR"/>
        </w:rPr>
        <w:t>.</w:t>
      </w:r>
    </w:p>
  </w:footnote>
  <w:footnote w:id="15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57" w:history="1">
        <w:r w:rsidRPr="00E930E6">
          <w:rPr>
            <w:rStyle w:val="Hyperlink"/>
            <w:sz w:val="24"/>
            <w:lang w:val="fi-FI"/>
          </w:rPr>
          <w:t>http://data.europa.eu/eli/C/2024/6332/oj</w:t>
        </w:r>
      </w:hyperlink>
      <w:r w:rsidRPr="00E930E6">
        <w:rPr>
          <w:sz w:val="24"/>
          <w:lang w:val="fi-FI"/>
        </w:rPr>
        <w:t>.</w:t>
      </w:r>
    </w:p>
  </w:footnote>
  <w:footnote w:id="15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58" w:history="1">
        <w:r w:rsidRPr="00E930E6">
          <w:rPr>
            <w:rStyle w:val="Hyperlink"/>
            <w:sz w:val="24"/>
            <w:lang w:val="fi-FI"/>
          </w:rPr>
          <w:t>http://data.europa.eu/eli/C/2024/6041/oj</w:t>
        </w:r>
      </w:hyperlink>
      <w:r w:rsidRPr="00E930E6">
        <w:rPr>
          <w:sz w:val="24"/>
          <w:lang w:val="fi-FI"/>
        </w:rPr>
        <w:t>.</w:t>
      </w:r>
    </w:p>
  </w:footnote>
  <w:footnote w:id="15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59" w:history="1">
        <w:r w:rsidRPr="00E930E6">
          <w:rPr>
            <w:rStyle w:val="Hyperlink"/>
            <w:sz w:val="24"/>
            <w:lang w:val="fi-FI"/>
          </w:rPr>
          <w:t>http://data.europa.eu/eli/reg/2018/1046/oj</w:t>
        </w:r>
      </w:hyperlink>
      <w:r w:rsidRPr="00E930E6">
        <w:rPr>
          <w:sz w:val="24"/>
          <w:lang w:val="fi-FI"/>
        </w:rPr>
        <w:t>.</w:t>
      </w:r>
    </w:p>
  </w:footnote>
  <w:footnote w:id="16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60" w:history="1">
        <w:r w:rsidRPr="00E930E6">
          <w:rPr>
            <w:rStyle w:val="Hyperlink"/>
            <w:sz w:val="24"/>
            <w:lang w:val="fi-FI"/>
          </w:rPr>
          <w:t>http://data.europa.eu/eli/reg/2024/2509/oj</w:t>
        </w:r>
      </w:hyperlink>
      <w:r w:rsidRPr="00E930E6">
        <w:rPr>
          <w:rStyle w:val="Hyperlink"/>
          <w:sz w:val="24"/>
          <w:lang w:val="fi-FI"/>
        </w:rPr>
        <w:t>.</w:t>
      </w:r>
    </w:p>
  </w:footnote>
  <w:footnote w:id="16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331 της 15.12.2010, σ. 48, ELI: </w:t>
      </w:r>
      <w:hyperlink r:id="rId161" w:history="1">
        <w:r w:rsidRPr="00FA711E">
          <w:rPr>
            <w:rStyle w:val="Hyperlink"/>
            <w:sz w:val="24"/>
            <w:lang w:val="el-GR"/>
          </w:rPr>
          <w:t>http://data.europa.eu/eli/reg/2010/1094/oj</w:t>
        </w:r>
      </w:hyperlink>
      <w:r w:rsidRPr="00FA711E">
        <w:rPr>
          <w:sz w:val="24"/>
          <w:lang w:val="el-GR"/>
        </w:rPr>
        <w:t>.</w:t>
      </w:r>
    </w:p>
  </w:footnote>
  <w:footnote w:id="16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62" w:history="1">
        <w:r w:rsidRPr="00FA711E">
          <w:rPr>
            <w:rStyle w:val="Hyperlink"/>
            <w:sz w:val="24"/>
            <w:lang w:val="el-GR"/>
          </w:rPr>
          <w:t>http://data.europa.eu/eli/reg_del/2019/715/oj</w:t>
        </w:r>
      </w:hyperlink>
      <w:r w:rsidRPr="00FA711E">
        <w:rPr>
          <w:sz w:val="24"/>
          <w:lang w:val="el-GR"/>
        </w:rPr>
        <w:t>.</w:t>
      </w:r>
    </w:p>
  </w:footnote>
  <w:footnote w:id="16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63" w:history="1">
        <w:r w:rsidRPr="00E930E6">
          <w:rPr>
            <w:rStyle w:val="Hyperlink"/>
            <w:sz w:val="24"/>
            <w:lang w:val="fi-FI"/>
          </w:rPr>
          <w:t>http://data.europa.eu/eli/C/2024/6332/oj</w:t>
        </w:r>
      </w:hyperlink>
      <w:r w:rsidRPr="00E930E6">
        <w:rPr>
          <w:sz w:val="24"/>
          <w:lang w:val="fi-FI"/>
        </w:rPr>
        <w:t>.</w:t>
      </w:r>
    </w:p>
  </w:footnote>
  <w:footnote w:id="16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64" w:history="1">
        <w:r w:rsidRPr="00E930E6">
          <w:rPr>
            <w:rStyle w:val="Hyperlink"/>
            <w:sz w:val="24"/>
            <w:lang w:val="fi-FI"/>
          </w:rPr>
          <w:t>http://data.europa.eu/eli/C/2024/6041/oj</w:t>
        </w:r>
      </w:hyperlink>
      <w:r w:rsidRPr="00E930E6">
        <w:rPr>
          <w:sz w:val="24"/>
          <w:lang w:val="fi-FI"/>
        </w:rPr>
        <w:t>.</w:t>
      </w:r>
    </w:p>
  </w:footnote>
  <w:footnote w:id="16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65" w:history="1">
        <w:r w:rsidRPr="00E930E6">
          <w:rPr>
            <w:rStyle w:val="Hyperlink"/>
            <w:sz w:val="24"/>
            <w:lang w:val="fi-FI"/>
          </w:rPr>
          <w:t>http://data.europa.eu/eli/reg/2018/1046/oj</w:t>
        </w:r>
      </w:hyperlink>
      <w:r w:rsidRPr="00E930E6">
        <w:rPr>
          <w:sz w:val="24"/>
          <w:lang w:val="fi-FI"/>
        </w:rPr>
        <w:t>.</w:t>
      </w:r>
    </w:p>
  </w:footnote>
  <w:footnote w:id="16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66" w:history="1">
        <w:r w:rsidRPr="00E930E6">
          <w:rPr>
            <w:rStyle w:val="Hyperlink"/>
            <w:sz w:val="24"/>
            <w:lang w:val="fi-FI"/>
          </w:rPr>
          <w:t>http://data.europa.eu/eli/reg/2024/2509/oj</w:t>
        </w:r>
      </w:hyperlink>
      <w:r w:rsidRPr="00E930E6">
        <w:rPr>
          <w:rStyle w:val="Hyperlink"/>
          <w:sz w:val="24"/>
          <w:lang w:val="fi-FI"/>
        </w:rPr>
        <w:t>.</w:t>
      </w:r>
    </w:p>
  </w:footnote>
  <w:footnote w:id="16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331 της 15.12.2010, σ. 48, ELI: </w:t>
      </w:r>
      <w:hyperlink r:id="rId167" w:history="1">
        <w:r w:rsidRPr="00FA711E">
          <w:rPr>
            <w:rStyle w:val="Hyperlink"/>
            <w:sz w:val="24"/>
            <w:lang w:val="el-GR"/>
          </w:rPr>
          <w:t>http://data.europa.eu/eli/reg/2010/1094/oj</w:t>
        </w:r>
      </w:hyperlink>
      <w:r w:rsidRPr="00FA711E">
        <w:rPr>
          <w:sz w:val="24"/>
          <w:lang w:val="el-GR"/>
        </w:rPr>
        <w:t>.</w:t>
      </w:r>
    </w:p>
  </w:footnote>
  <w:footnote w:id="16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68" w:history="1">
        <w:r w:rsidRPr="00FA711E">
          <w:rPr>
            <w:rStyle w:val="Hyperlink"/>
            <w:sz w:val="24"/>
            <w:lang w:val="el-GR"/>
          </w:rPr>
          <w:t>http://data.europa.eu/eli/reg_del/2019/715/oj</w:t>
        </w:r>
      </w:hyperlink>
      <w:r w:rsidRPr="00FA711E">
        <w:rPr>
          <w:sz w:val="24"/>
          <w:lang w:val="el-GR"/>
        </w:rPr>
        <w:t>.</w:t>
      </w:r>
    </w:p>
  </w:footnote>
  <w:footnote w:id="16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69" w:history="1">
        <w:r w:rsidRPr="00E930E6">
          <w:rPr>
            <w:rStyle w:val="Hyperlink"/>
            <w:sz w:val="24"/>
            <w:lang w:val="fi-FI"/>
          </w:rPr>
          <w:t>http://data.europa.eu/eli/C/2024/6332/oj</w:t>
        </w:r>
      </w:hyperlink>
      <w:r w:rsidRPr="00E930E6">
        <w:rPr>
          <w:sz w:val="24"/>
          <w:lang w:val="fi-FI"/>
        </w:rPr>
        <w:t>.</w:t>
      </w:r>
    </w:p>
  </w:footnote>
  <w:footnote w:id="17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70" w:history="1">
        <w:r w:rsidRPr="00E930E6">
          <w:rPr>
            <w:rStyle w:val="Hyperlink"/>
            <w:sz w:val="24"/>
            <w:lang w:val="fi-FI"/>
          </w:rPr>
          <w:t>http://data.europa.eu/eli/C/2024/6041/oj</w:t>
        </w:r>
      </w:hyperlink>
      <w:r w:rsidRPr="00E930E6">
        <w:rPr>
          <w:sz w:val="24"/>
          <w:lang w:val="fi-FI"/>
        </w:rPr>
        <w:t>.</w:t>
      </w:r>
    </w:p>
  </w:footnote>
  <w:footnote w:id="17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71" w:history="1">
        <w:r w:rsidRPr="00E930E6">
          <w:rPr>
            <w:rStyle w:val="Hyperlink"/>
            <w:sz w:val="24"/>
            <w:lang w:val="fi-FI"/>
          </w:rPr>
          <w:t>http://data.europa.eu/eli/reg/2018/1046/oj</w:t>
        </w:r>
      </w:hyperlink>
      <w:r w:rsidRPr="00E930E6">
        <w:rPr>
          <w:sz w:val="24"/>
          <w:lang w:val="fi-FI"/>
        </w:rPr>
        <w:t>.</w:t>
      </w:r>
    </w:p>
  </w:footnote>
  <w:footnote w:id="17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72" w:history="1">
        <w:r w:rsidRPr="00E930E6">
          <w:rPr>
            <w:rStyle w:val="Hyperlink"/>
            <w:sz w:val="24"/>
            <w:lang w:val="fi-FI"/>
          </w:rPr>
          <w:t>http://data.europa.eu/eli/reg/2024/2509/oj</w:t>
        </w:r>
      </w:hyperlink>
      <w:r w:rsidRPr="00E930E6">
        <w:rPr>
          <w:rStyle w:val="Hyperlink"/>
          <w:sz w:val="24"/>
          <w:lang w:val="fi-FI"/>
        </w:rPr>
        <w:t>.</w:t>
      </w:r>
    </w:p>
  </w:footnote>
  <w:footnote w:id="17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189 της 28.5.2021, σ. 61, ELI: </w:t>
      </w:r>
      <w:hyperlink r:id="rId173" w:history="1">
        <w:r w:rsidRPr="00FA711E">
          <w:rPr>
            <w:rStyle w:val="Hyperlink"/>
            <w:sz w:val="24"/>
            <w:lang w:val="el-GR"/>
          </w:rPr>
          <w:t>http://data.europa.eu/eli/reg/2021/819/oj</w:t>
        </w:r>
      </w:hyperlink>
      <w:r w:rsidRPr="00FA711E">
        <w:rPr>
          <w:sz w:val="24"/>
          <w:lang w:val="el-GR"/>
        </w:rPr>
        <w:t>.</w:t>
      </w:r>
    </w:p>
  </w:footnote>
  <w:footnote w:id="17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74" w:history="1">
        <w:r w:rsidRPr="00FA711E">
          <w:rPr>
            <w:rStyle w:val="Hyperlink"/>
            <w:sz w:val="24"/>
            <w:lang w:val="el-GR"/>
          </w:rPr>
          <w:t>http://data.europa.eu/eli/reg_del/2019/715/oj</w:t>
        </w:r>
      </w:hyperlink>
      <w:r w:rsidRPr="00FA711E">
        <w:rPr>
          <w:sz w:val="24"/>
          <w:lang w:val="el-GR"/>
        </w:rPr>
        <w:t>.</w:t>
      </w:r>
    </w:p>
  </w:footnote>
  <w:footnote w:id="17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75" w:history="1">
        <w:r w:rsidRPr="00E930E6">
          <w:rPr>
            <w:rStyle w:val="Hyperlink"/>
            <w:sz w:val="24"/>
            <w:lang w:val="fi-FI"/>
          </w:rPr>
          <w:t>http://data.europa.eu/eli/C/2024/6332/oj</w:t>
        </w:r>
      </w:hyperlink>
      <w:r w:rsidRPr="00E930E6">
        <w:rPr>
          <w:sz w:val="24"/>
          <w:lang w:val="fi-FI"/>
        </w:rPr>
        <w:t>.</w:t>
      </w:r>
    </w:p>
  </w:footnote>
  <w:footnote w:id="17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76" w:history="1">
        <w:r w:rsidRPr="00E930E6">
          <w:rPr>
            <w:rStyle w:val="Hyperlink"/>
            <w:sz w:val="24"/>
            <w:lang w:val="fi-FI"/>
          </w:rPr>
          <w:t>http://data.europa.eu/eli/C/2024/6041/oj</w:t>
        </w:r>
      </w:hyperlink>
      <w:r w:rsidRPr="00E930E6">
        <w:rPr>
          <w:sz w:val="24"/>
          <w:lang w:val="fi-FI"/>
        </w:rPr>
        <w:t>.</w:t>
      </w:r>
    </w:p>
  </w:footnote>
  <w:footnote w:id="17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77" w:history="1">
        <w:r w:rsidRPr="00E930E6">
          <w:rPr>
            <w:rStyle w:val="Hyperlink"/>
            <w:sz w:val="24"/>
            <w:lang w:val="fi-FI"/>
          </w:rPr>
          <w:t>http://data.europa.eu/eli/reg/2018/1046/oj</w:t>
        </w:r>
      </w:hyperlink>
      <w:r w:rsidRPr="00E930E6">
        <w:rPr>
          <w:sz w:val="24"/>
          <w:lang w:val="fi-FI"/>
        </w:rPr>
        <w:t>.</w:t>
      </w:r>
    </w:p>
  </w:footnote>
  <w:footnote w:id="17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78" w:history="1">
        <w:r w:rsidRPr="00E930E6">
          <w:rPr>
            <w:rStyle w:val="Hyperlink"/>
            <w:sz w:val="24"/>
            <w:lang w:val="fi-FI"/>
          </w:rPr>
          <w:t>http://data.europa.eu/eli/reg/2024/2509/oj</w:t>
        </w:r>
      </w:hyperlink>
      <w:r w:rsidRPr="00E930E6">
        <w:rPr>
          <w:rStyle w:val="Hyperlink"/>
          <w:sz w:val="24"/>
          <w:lang w:val="fi-FI"/>
        </w:rPr>
        <w:t>.</w:t>
      </w:r>
    </w:p>
  </w:footnote>
  <w:footnote w:id="17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189 της 28.5.2021, σ. 61, ELI: </w:t>
      </w:r>
      <w:hyperlink r:id="rId179" w:history="1">
        <w:r w:rsidRPr="00FA711E">
          <w:rPr>
            <w:rStyle w:val="Hyperlink"/>
            <w:sz w:val="24"/>
            <w:lang w:val="el-GR"/>
          </w:rPr>
          <w:t>http://data.europa.eu/eli/reg/2021/819/oj</w:t>
        </w:r>
      </w:hyperlink>
      <w:r w:rsidRPr="00FA711E">
        <w:rPr>
          <w:sz w:val="24"/>
          <w:lang w:val="el-GR"/>
        </w:rPr>
        <w:t>.</w:t>
      </w:r>
    </w:p>
  </w:footnote>
  <w:footnote w:id="18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80" w:history="1">
        <w:r w:rsidRPr="00FA711E">
          <w:rPr>
            <w:rStyle w:val="Hyperlink"/>
            <w:sz w:val="24"/>
            <w:lang w:val="el-GR"/>
          </w:rPr>
          <w:t>http://data.europa.eu/eli/reg_del/2019/715/oj</w:t>
        </w:r>
      </w:hyperlink>
      <w:r w:rsidRPr="00FA711E">
        <w:rPr>
          <w:sz w:val="24"/>
          <w:lang w:val="el-GR"/>
        </w:rPr>
        <w:t>.</w:t>
      </w:r>
    </w:p>
  </w:footnote>
  <w:footnote w:id="18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81" w:history="1">
        <w:r w:rsidRPr="00E930E6">
          <w:rPr>
            <w:rStyle w:val="Hyperlink"/>
            <w:sz w:val="24"/>
            <w:lang w:val="fi-FI"/>
          </w:rPr>
          <w:t>http://data.europa.eu/eli/C/2024/6332/oj</w:t>
        </w:r>
      </w:hyperlink>
      <w:r w:rsidRPr="00E930E6">
        <w:rPr>
          <w:sz w:val="24"/>
          <w:lang w:val="fi-FI"/>
        </w:rPr>
        <w:t>.</w:t>
      </w:r>
    </w:p>
  </w:footnote>
  <w:footnote w:id="18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82" w:history="1">
        <w:r w:rsidRPr="00E930E6">
          <w:rPr>
            <w:rStyle w:val="Hyperlink"/>
            <w:sz w:val="24"/>
            <w:lang w:val="fi-FI"/>
          </w:rPr>
          <w:t>http://data.europa.eu/eli/C/2024/6041/oj</w:t>
        </w:r>
      </w:hyperlink>
      <w:r w:rsidRPr="00E930E6">
        <w:rPr>
          <w:sz w:val="24"/>
          <w:lang w:val="fi-FI"/>
        </w:rPr>
        <w:t>.</w:t>
      </w:r>
    </w:p>
  </w:footnote>
  <w:footnote w:id="18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83" w:history="1">
        <w:r w:rsidRPr="00E930E6">
          <w:rPr>
            <w:rStyle w:val="Hyperlink"/>
            <w:sz w:val="24"/>
            <w:lang w:val="fi-FI"/>
          </w:rPr>
          <w:t>http://data.europa.eu/eli/reg/2018/1046/oj</w:t>
        </w:r>
      </w:hyperlink>
      <w:r w:rsidRPr="00E930E6">
        <w:rPr>
          <w:sz w:val="24"/>
          <w:lang w:val="fi-FI"/>
        </w:rPr>
        <w:t>.</w:t>
      </w:r>
    </w:p>
  </w:footnote>
  <w:footnote w:id="18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84" w:history="1">
        <w:r w:rsidRPr="00E930E6">
          <w:rPr>
            <w:rStyle w:val="Hyperlink"/>
            <w:sz w:val="24"/>
            <w:lang w:val="fi-FI"/>
          </w:rPr>
          <w:t>http://data.europa.eu/eli/reg/2024/2509/oj</w:t>
        </w:r>
      </w:hyperlink>
      <w:r w:rsidRPr="00E930E6">
        <w:rPr>
          <w:rStyle w:val="Hyperlink"/>
          <w:sz w:val="24"/>
          <w:lang w:val="fi-FI"/>
        </w:rPr>
        <w:t>.</w:t>
      </w:r>
    </w:p>
  </w:footnote>
  <w:footnote w:id="18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186 της 11.7.2019, σ. 21, ELI: </w:t>
      </w:r>
      <w:hyperlink r:id="rId185" w:history="1">
        <w:r w:rsidRPr="00FA711E">
          <w:rPr>
            <w:rStyle w:val="Hyperlink"/>
            <w:sz w:val="24"/>
            <w:lang w:val="el-GR"/>
          </w:rPr>
          <w:t>http://data.europa.eu/eli/reg/2019/1149/oj</w:t>
        </w:r>
      </w:hyperlink>
      <w:r w:rsidRPr="00FA711E">
        <w:rPr>
          <w:sz w:val="24"/>
          <w:lang w:val="el-GR"/>
        </w:rPr>
        <w:t>.</w:t>
      </w:r>
    </w:p>
  </w:footnote>
  <w:footnote w:id="18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86" w:history="1">
        <w:r w:rsidRPr="00FA711E">
          <w:rPr>
            <w:rStyle w:val="Hyperlink"/>
            <w:sz w:val="24"/>
            <w:lang w:val="el-GR"/>
          </w:rPr>
          <w:t>http://data.europa.eu/eli/reg_del/2019/715/oj</w:t>
        </w:r>
      </w:hyperlink>
      <w:r w:rsidRPr="00FA711E">
        <w:rPr>
          <w:sz w:val="24"/>
          <w:lang w:val="el-GR"/>
        </w:rPr>
        <w:t>.</w:t>
      </w:r>
    </w:p>
  </w:footnote>
  <w:footnote w:id="18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87" w:history="1">
        <w:r w:rsidRPr="00E930E6">
          <w:rPr>
            <w:rStyle w:val="Hyperlink"/>
            <w:sz w:val="24"/>
            <w:lang w:val="fi-FI"/>
          </w:rPr>
          <w:t>http://data.europa.eu/eli/C/2024/6332/oj</w:t>
        </w:r>
      </w:hyperlink>
      <w:r w:rsidRPr="00E930E6">
        <w:rPr>
          <w:sz w:val="24"/>
          <w:lang w:val="fi-FI"/>
        </w:rPr>
        <w:t>.</w:t>
      </w:r>
    </w:p>
  </w:footnote>
  <w:footnote w:id="18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88" w:history="1">
        <w:r w:rsidRPr="00E930E6">
          <w:rPr>
            <w:rStyle w:val="Hyperlink"/>
            <w:sz w:val="24"/>
            <w:lang w:val="fi-FI"/>
          </w:rPr>
          <w:t>http://data.europa.eu/eli/C/2024/6041/oj</w:t>
        </w:r>
      </w:hyperlink>
      <w:r w:rsidRPr="00E930E6">
        <w:rPr>
          <w:sz w:val="24"/>
          <w:lang w:val="fi-FI"/>
        </w:rPr>
        <w:t>.</w:t>
      </w:r>
    </w:p>
  </w:footnote>
  <w:footnote w:id="18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89" w:history="1">
        <w:r w:rsidRPr="00E930E6">
          <w:rPr>
            <w:rStyle w:val="Hyperlink"/>
            <w:sz w:val="24"/>
            <w:lang w:val="fi-FI"/>
          </w:rPr>
          <w:t>http://data.europa.eu/eli/reg/2018/1046/oj</w:t>
        </w:r>
      </w:hyperlink>
      <w:r w:rsidRPr="00E930E6">
        <w:rPr>
          <w:sz w:val="24"/>
          <w:lang w:val="fi-FI"/>
        </w:rPr>
        <w:t>.</w:t>
      </w:r>
    </w:p>
  </w:footnote>
  <w:footnote w:id="19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90" w:history="1">
        <w:r w:rsidRPr="00E930E6">
          <w:rPr>
            <w:rStyle w:val="Hyperlink"/>
            <w:sz w:val="24"/>
            <w:lang w:val="fi-FI"/>
          </w:rPr>
          <w:t>http://data.europa.eu/eli/reg/2024/2509/oj</w:t>
        </w:r>
      </w:hyperlink>
      <w:r w:rsidRPr="00E930E6">
        <w:rPr>
          <w:rStyle w:val="Hyperlink"/>
          <w:sz w:val="24"/>
          <w:lang w:val="fi-FI"/>
        </w:rPr>
        <w:t>.</w:t>
      </w:r>
    </w:p>
  </w:footnote>
  <w:footnote w:id="19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186 της 11.7.2019, σ. 21, ELI: </w:t>
      </w:r>
      <w:hyperlink r:id="rId191" w:history="1">
        <w:r w:rsidRPr="00FA711E">
          <w:rPr>
            <w:rStyle w:val="Hyperlink"/>
            <w:sz w:val="24"/>
            <w:lang w:val="el-GR"/>
          </w:rPr>
          <w:t>http://data.europa.eu/eli/reg/2019/1149/oj</w:t>
        </w:r>
      </w:hyperlink>
      <w:r w:rsidRPr="00FA711E">
        <w:rPr>
          <w:sz w:val="24"/>
          <w:lang w:val="el-GR"/>
        </w:rPr>
        <w:t>.</w:t>
      </w:r>
    </w:p>
  </w:footnote>
  <w:footnote w:id="19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92" w:history="1">
        <w:r w:rsidRPr="00FA711E">
          <w:rPr>
            <w:rStyle w:val="Hyperlink"/>
            <w:sz w:val="24"/>
            <w:lang w:val="el-GR"/>
          </w:rPr>
          <w:t>http://data.europa.eu/eli/reg_del/2019/715/oj</w:t>
        </w:r>
      </w:hyperlink>
      <w:r w:rsidRPr="00FA711E">
        <w:rPr>
          <w:sz w:val="24"/>
          <w:lang w:val="el-GR"/>
        </w:rPr>
        <w:t>.</w:t>
      </w:r>
    </w:p>
  </w:footnote>
  <w:footnote w:id="19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93" w:history="1">
        <w:r w:rsidRPr="00E930E6">
          <w:rPr>
            <w:rStyle w:val="Hyperlink"/>
            <w:sz w:val="24"/>
            <w:lang w:val="fi-FI"/>
          </w:rPr>
          <w:t>http://data.europa.eu/eli/C/2024/6332/oj</w:t>
        </w:r>
      </w:hyperlink>
      <w:r w:rsidRPr="00E930E6">
        <w:rPr>
          <w:sz w:val="24"/>
          <w:lang w:val="fi-FI"/>
        </w:rPr>
        <w:t>.</w:t>
      </w:r>
    </w:p>
  </w:footnote>
  <w:footnote w:id="19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194" w:history="1">
        <w:r w:rsidRPr="00E930E6">
          <w:rPr>
            <w:rStyle w:val="Hyperlink"/>
            <w:sz w:val="24"/>
            <w:lang w:val="fi-FI"/>
          </w:rPr>
          <w:t>http://data.europa.eu/eli/C/2024/6041/oj</w:t>
        </w:r>
      </w:hyperlink>
      <w:r w:rsidRPr="00E930E6">
        <w:rPr>
          <w:sz w:val="24"/>
          <w:lang w:val="fi-FI"/>
        </w:rPr>
        <w:t>.</w:t>
      </w:r>
    </w:p>
  </w:footnote>
  <w:footnote w:id="19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195" w:history="1">
        <w:r w:rsidRPr="00E930E6">
          <w:rPr>
            <w:rStyle w:val="Hyperlink"/>
            <w:sz w:val="24"/>
            <w:lang w:val="fi-FI"/>
          </w:rPr>
          <w:t>http://data.europa.eu/eli/reg/2018/1046/oj</w:t>
        </w:r>
      </w:hyperlink>
      <w:r w:rsidRPr="00E930E6">
        <w:rPr>
          <w:sz w:val="24"/>
          <w:lang w:val="fi-FI"/>
        </w:rPr>
        <w:t>.</w:t>
      </w:r>
    </w:p>
  </w:footnote>
  <w:footnote w:id="19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196" w:history="1">
        <w:r w:rsidRPr="00E930E6">
          <w:rPr>
            <w:rStyle w:val="Hyperlink"/>
            <w:sz w:val="24"/>
            <w:lang w:val="fi-FI"/>
          </w:rPr>
          <w:t>http://data.europa.eu/eli/reg/2024/2509/oj</w:t>
        </w:r>
      </w:hyperlink>
      <w:r w:rsidRPr="00E930E6">
        <w:rPr>
          <w:rStyle w:val="Hyperlink"/>
          <w:sz w:val="24"/>
          <w:lang w:val="fi-FI"/>
        </w:rPr>
        <w:t>.</w:t>
      </w:r>
    </w:p>
  </w:footnote>
  <w:footnote w:id="19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136 της 30.4.2004, σ. 1, ELI: </w:t>
      </w:r>
      <w:hyperlink r:id="rId197" w:history="1">
        <w:r w:rsidRPr="00FA711E">
          <w:rPr>
            <w:rStyle w:val="Hyperlink"/>
            <w:sz w:val="24"/>
            <w:lang w:val="el-GR"/>
          </w:rPr>
          <w:t>http://data.europa.eu/eli/reg/2004/726/oj</w:t>
        </w:r>
      </w:hyperlink>
      <w:r w:rsidRPr="00FA711E">
        <w:rPr>
          <w:sz w:val="24"/>
          <w:lang w:val="el-GR"/>
        </w:rPr>
        <w:t>.</w:t>
      </w:r>
    </w:p>
  </w:footnote>
  <w:footnote w:id="19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198" w:history="1">
        <w:r w:rsidRPr="00FA711E">
          <w:rPr>
            <w:rStyle w:val="Hyperlink"/>
            <w:sz w:val="24"/>
            <w:lang w:val="el-GR"/>
          </w:rPr>
          <w:t>http://data.europa.eu/eli/reg_del/2019/715/oj</w:t>
        </w:r>
      </w:hyperlink>
      <w:r w:rsidRPr="00FA711E">
        <w:rPr>
          <w:sz w:val="24"/>
          <w:lang w:val="el-GR"/>
        </w:rPr>
        <w:t>.</w:t>
      </w:r>
    </w:p>
  </w:footnote>
  <w:footnote w:id="19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199" w:history="1">
        <w:r w:rsidRPr="00E930E6">
          <w:rPr>
            <w:rStyle w:val="Hyperlink"/>
            <w:sz w:val="24"/>
            <w:lang w:val="fi-FI"/>
          </w:rPr>
          <w:t>http://data.europa.eu/eli/C/2024/6332/oj</w:t>
        </w:r>
      </w:hyperlink>
      <w:r w:rsidRPr="00E930E6">
        <w:rPr>
          <w:sz w:val="24"/>
          <w:lang w:val="fi-FI"/>
        </w:rPr>
        <w:t>.</w:t>
      </w:r>
    </w:p>
  </w:footnote>
  <w:footnote w:id="20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00" w:history="1">
        <w:r w:rsidRPr="00E930E6">
          <w:rPr>
            <w:rStyle w:val="Hyperlink"/>
            <w:sz w:val="24"/>
            <w:lang w:val="fi-FI"/>
          </w:rPr>
          <w:t>http://data.europa.eu/eli/C/2024/6041/oj</w:t>
        </w:r>
      </w:hyperlink>
      <w:r w:rsidRPr="00E930E6">
        <w:rPr>
          <w:sz w:val="24"/>
          <w:lang w:val="fi-FI"/>
        </w:rPr>
        <w:t>.</w:t>
      </w:r>
    </w:p>
  </w:footnote>
  <w:footnote w:id="20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01" w:history="1">
        <w:r w:rsidRPr="00E930E6">
          <w:rPr>
            <w:rStyle w:val="Hyperlink"/>
            <w:sz w:val="24"/>
            <w:lang w:val="fi-FI"/>
          </w:rPr>
          <w:t>http://data.europa.eu/eli/reg/2018/1046/oj</w:t>
        </w:r>
      </w:hyperlink>
      <w:r w:rsidRPr="00E930E6">
        <w:rPr>
          <w:sz w:val="24"/>
          <w:lang w:val="fi-FI"/>
        </w:rPr>
        <w:t>.</w:t>
      </w:r>
    </w:p>
  </w:footnote>
  <w:footnote w:id="20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02" w:history="1">
        <w:r w:rsidRPr="00E930E6">
          <w:rPr>
            <w:rStyle w:val="Hyperlink"/>
            <w:sz w:val="24"/>
            <w:lang w:val="fi-FI"/>
          </w:rPr>
          <w:t>http://data.europa.eu/eli/reg/2024/2509/oj</w:t>
        </w:r>
      </w:hyperlink>
      <w:r w:rsidRPr="00E930E6">
        <w:rPr>
          <w:rStyle w:val="Hyperlink"/>
          <w:sz w:val="24"/>
          <w:lang w:val="fi-FI"/>
        </w:rPr>
        <w:t>.</w:t>
      </w:r>
    </w:p>
  </w:footnote>
  <w:footnote w:id="20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136 της 30.4.2004, σ. 1, ELI: </w:t>
      </w:r>
      <w:hyperlink r:id="rId203" w:history="1">
        <w:r w:rsidRPr="00FA711E">
          <w:rPr>
            <w:rStyle w:val="Hyperlink"/>
            <w:sz w:val="24"/>
            <w:lang w:val="el-GR"/>
          </w:rPr>
          <w:t>http://data.europa.eu/eli/reg/2004/726/oj</w:t>
        </w:r>
      </w:hyperlink>
      <w:r w:rsidRPr="00FA711E">
        <w:rPr>
          <w:sz w:val="24"/>
          <w:lang w:val="el-GR"/>
        </w:rPr>
        <w:t>.</w:t>
      </w:r>
    </w:p>
  </w:footnote>
  <w:footnote w:id="20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04" w:history="1">
        <w:r w:rsidRPr="00FA711E">
          <w:rPr>
            <w:rStyle w:val="Hyperlink"/>
            <w:sz w:val="24"/>
            <w:lang w:val="el-GR"/>
          </w:rPr>
          <w:t>http://data.europa.eu/eli/reg_del/2019/715/oj</w:t>
        </w:r>
      </w:hyperlink>
      <w:r w:rsidRPr="00FA711E">
        <w:rPr>
          <w:sz w:val="24"/>
          <w:lang w:val="el-GR"/>
        </w:rPr>
        <w:t>.</w:t>
      </w:r>
    </w:p>
  </w:footnote>
  <w:footnote w:id="20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05" w:history="1">
        <w:r w:rsidRPr="00E930E6">
          <w:rPr>
            <w:rStyle w:val="Hyperlink"/>
            <w:sz w:val="24"/>
            <w:lang w:val="fi-FI"/>
          </w:rPr>
          <w:t>http://data.europa.eu/eli/C/2024/6332/oj</w:t>
        </w:r>
      </w:hyperlink>
      <w:r w:rsidRPr="00E930E6">
        <w:rPr>
          <w:sz w:val="24"/>
          <w:lang w:val="fi-FI"/>
        </w:rPr>
        <w:t>.</w:t>
      </w:r>
    </w:p>
  </w:footnote>
  <w:footnote w:id="20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06" w:history="1">
        <w:r w:rsidRPr="00E930E6">
          <w:rPr>
            <w:rStyle w:val="Hyperlink"/>
            <w:sz w:val="24"/>
            <w:lang w:val="fi-FI"/>
          </w:rPr>
          <w:t>http://data.europa.eu/eli/C/2024/6041/oj</w:t>
        </w:r>
      </w:hyperlink>
      <w:r w:rsidRPr="00E930E6">
        <w:rPr>
          <w:sz w:val="24"/>
          <w:lang w:val="fi-FI"/>
        </w:rPr>
        <w:t>.</w:t>
      </w:r>
    </w:p>
  </w:footnote>
  <w:footnote w:id="20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07" w:history="1">
        <w:r w:rsidRPr="00E930E6">
          <w:rPr>
            <w:rStyle w:val="Hyperlink"/>
            <w:sz w:val="24"/>
            <w:lang w:val="fi-FI"/>
          </w:rPr>
          <w:t>http://data.europa.eu/eli/reg/2018/1046/oj</w:t>
        </w:r>
      </w:hyperlink>
      <w:r w:rsidRPr="00E930E6">
        <w:rPr>
          <w:sz w:val="24"/>
          <w:lang w:val="fi-FI"/>
        </w:rPr>
        <w:t>.</w:t>
      </w:r>
    </w:p>
  </w:footnote>
  <w:footnote w:id="20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08" w:history="1">
        <w:r w:rsidRPr="00E930E6">
          <w:rPr>
            <w:rStyle w:val="Hyperlink"/>
            <w:sz w:val="24"/>
            <w:lang w:val="fi-FI"/>
          </w:rPr>
          <w:t>http://data.europa.eu/eli/reg/2024/2509/oj</w:t>
        </w:r>
      </w:hyperlink>
      <w:r w:rsidRPr="00E930E6">
        <w:rPr>
          <w:rStyle w:val="Hyperlink"/>
          <w:sz w:val="24"/>
          <w:lang w:val="fi-FI"/>
        </w:rPr>
        <w:t>.</w:t>
      </w:r>
    </w:p>
  </w:footnote>
  <w:footnote w:id="20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376 της 27.12.2006, σ. 1, ELI: </w:t>
      </w:r>
      <w:hyperlink r:id="rId209" w:history="1">
        <w:r w:rsidRPr="00FA711E">
          <w:rPr>
            <w:rStyle w:val="Hyperlink"/>
            <w:sz w:val="24"/>
            <w:lang w:val="el-GR"/>
          </w:rPr>
          <w:t>http://data.europa.eu/eli/reg/2006/1920/oj</w:t>
        </w:r>
      </w:hyperlink>
      <w:r w:rsidRPr="00FA711E">
        <w:rPr>
          <w:sz w:val="24"/>
          <w:lang w:val="el-GR"/>
        </w:rPr>
        <w:t>.</w:t>
      </w:r>
    </w:p>
  </w:footnote>
  <w:footnote w:id="21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166 της 30.6.2023, σ. 6, ELI: </w:t>
      </w:r>
      <w:hyperlink r:id="rId210" w:history="1">
        <w:r w:rsidRPr="00FA711E">
          <w:rPr>
            <w:rStyle w:val="Hyperlink"/>
            <w:sz w:val="24"/>
            <w:lang w:val="el-GR"/>
          </w:rPr>
          <w:t>http://data.europa.eu/eli/reg/2023/1322/oj</w:t>
        </w:r>
      </w:hyperlink>
      <w:r w:rsidRPr="00FA711E">
        <w:rPr>
          <w:sz w:val="24"/>
          <w:lang w:val="el-GR"/>
        </w:rPr>
        <w:t>.</w:t>
      </w:r>
    </w:p>
  </w:footnote>
  <w:footnote w:id="21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11" w:history="1">
        <w:r w:rsidRPr="00FA711E">
          <w:rPr>
            <w:rStyle w:val="Hyperlink"/>
            <w:sz w:val="24"/>
            <w:lang w:val="el-GR"/>
          </w:rPr>
          <w:t>http://data.europa.eu/eli/reg_del/2019/715/oj</w:t>
        </w:r>
      </w:hyperlink>
      <w:r w:rsidRPr="00FA711E">
        <w:rPr>
          <w:sz w:val="24"/>
          <w:lang w:val="el-GR"/>
        </w:rPr>
        <w:t>.</w:t>
      </w:r>
    </w:p>
  </w:footnote>
  <w:footnote w:id="21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12" w:history="1">
        <w:r w:rsidRPr="00E930E6">
          <w:rPr>
            <w:rStyle w:val="Hyperlink"/>
            <w:sz w:val="24"/>
            <w:lang w:val="fi-FI"/>
          </w:rPr>
          <w:t>http://data.europa.eu/eli/C/2024/6332/oj</w:t>
        </w:r>
      </w:hyperlink>
      <w:r w:rsidRPr="00E930E6">
        <w:rPr>
          <w:sz w:val="24"/>
          <w:lang w:val="fi-FI"/>
        </w:rPr>
        <w:t>.</w:t>
      </w:r>
    </w:p>
  </w:footnote>
  <w:footnote w:id="21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13" w:history="1">
        <w:r w:rsidRPr="00E930E6">
          <w:rPr>
            <w:rStyle w:val="Hyperlink"/>
            <w:sz w:val="24"/>
            <w:lang w:val="fi-FI"/>
          </w:rPr>
          <w:t>http://data.europa.eu/eli/C/2024/6041/oj</w:t>
        </w:r>
      </w:hyperlink>
      <w:r w:rsidRPr="00E930E6">
        <w:rPr>
          <w:sz w:val="24"/>
          <w:lang w:val="fi-FI"/>
        </w:rPr>
        <w:t>.</w:t>
      </w:r>
    </w:p>
  </w:footnote>
  <w:footnote w:id="21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14" w:history="1">
        <w:r w:rsidRPr="00E930E6">
          <w:rPr>
            <w:rStyle w:val="Hyperlink"/>
            <w:sz w:val="24"/>
            <w:lang w:val="fi-FI"/>
          </w:rPr>
          <w:t>http://data.europa.eu/eli/reg/2018/1046/oj</w:t>
        </w:r>
      </w:hyperlink>
      <w:r w:rsidRPr="00E930E6">
        <w:rPr>
          <w:sz w:val="24"/>
          <w:lang w:val="fi-FI"/>
        </w:rPr>
        <w:t>.</w:t>
      </w:r>
    </w:p>
  </w:footnote>
  <w:footnote w:id="21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15" w:history="1">
        <w:r w:rsidRPr="00E930E6">
          <w:rPr>
            <w:rStyle w:val="Hyperlink"/>
            <w:sz w:val="24"/>
            <w:lang w:val="fi-FI"/>
          </w:rPr>
          <w:t>http://data.europa.eu/eli/reg/2024/2509/oj</w:t>
        </w:r>
      </w:hyperlink>
      <w:r w:rsidRPr="00E930E6">
        <w:rPr>
          <w:rStyle w:val="Hyperlink"/>
          <w:sz w:val="24"/>
          <w:lang w:val="fi-FI"/>
        </w:rPr>
        <w:t>.</w:t>
      </w:r>
    </w:p>
  </w:footnote>
  <w:footnote w:id="21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376 της 27.12.2006, σ. 1, ELI: </w:t>
      </w:r>
      <w:hyperlink r:id="rId216" w:history="1">
        <w:r w:rsidRPr="00FA711E">
          <w:rPr>
            <w:rStyle w:val="Hyperlink"/>
            <w:sz w:val="24"/>
            <w:lang w:val="el-GR"/>
          </w:rPr>
          <w:t>http://data.europa.eu/eli/reg/2006/1920/oj</w:t>
        </w:r>
      </w:hyperlink>
      <w:r w:rsidRPr="00FA711E">
        <w:rPr>
          <w:sz w:val="24"/>
          <w:lang w:val="el-GR"/>
        </w:rPr>
        <w:t>.</w:t>
      </w:r>
    </w:p>
  </w:footnote>
  <w:footnote w:id="21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166 της 30.6.2023, σ. 6, ELI: </w:t>
      </w:r>
      <w:hyperlink r:id="rId217" w:history="1">
        <w:r w:rsidRPr="00FA711E">
          <w:rPr>
            <w:rStyle w:val="Hyperlink"/>
            <w:sz w:val="24"/>
            <w:lang w:val="el-GR"/>
          </w:rPr>
          <w:t>http://data.europa.eu/eli/reg/2023/1322/oj</w:t>
        </w:r>
      </w:hyperlink>
      <w:r w:rsidRPr="00FA711E">
        <w:rPr>
          <w:sz w:val="24"/>
          <w:lang w:val="el-GR"/>
        </w:rPr>
        <w:t>.</w:t>
      </w:r>
    </w:p>
  </w:footnote>
  <w:footnote w:id="21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18" w:history="1">
        <w:r w:rsidRPr="00FA711E">
          <w:rPr>
            <w:rStyle w:val="Hyperlink"/>
            <w:sz w:val="24"/>
            <w:lang w:val="el-GR"/>
          </w:rPr>
          <w:t>http://data.europa.eu/eli/reg_del/2019/715/oj</w:t>
        </w:r>
      </w:hyperlink>
      <w:r w:rsidRPr="00FA711E">
        <w:rPr>
          <w:sz w:val="24"/>
          <w:lang w:val="el-GR"/>
        </w:rPr>
        <w:t>.</w:t>
      </w:r>
    </w:p>
  </w:footnote>
  <w:footnote w:id="21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19" w:history="1">
        <w:r w:rsidRPr="00E930E6">
          <w:rPr>
            <w:rStyle w:val="Hyperlink"/>
            <w:sz w:val="24"/>
            <w:lang w:val="fi-FI"/>
          </w:rPr>
          <w:t>http://data.europa.eu/eli/C/2024/6332/oj</w:t>
        </w:r>
      </w:hyperlink>
      <w:r w:rsidRPr="00E930E6">
        <w:rPr>
          <w:sz w:val="24"/>
          <w:lang w:val="fi-FI"/>
        </w:rPr>
        <w:t>.</w:t>
      </w:r>
    </w:p>
  </w:footnote>
  <w:footnote w:id="22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20" w:history="1">
        <w:r w:rsidRPr="00E930E6">
          <w:rPr>
            <w:rStyle w:val="Hyperlink"/>
            <w:sz w:val="24"/>
            <w:lang w:val="fi-FI"/>
          </w:rPr>
          <w:t>http://data.europa.eu/eli/C/2024/6041/oj</w:t>
        </w:r>
      </w:hyperlink>
      <w:r w:rsidRPr="00E930E6">
        <w:rPr>
          <w:sz w:val="24"/>
          <w:lang w:val="fi-FI"/>
        </w:rPr>
        <w:t>.</w:t>
      </w:r>
    </w:p>
  </w:footnote>
  <w:footnote w:id="22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21" w:history="1">
        <w:r w:rsidRPr="00E930E6">
          <w:rPr>
            <w:rStyle w:val="Hyperlink"/>
            <w:sz w:val="24"/>
            <w:lang w:val="fi-FI"/>
          </w:rPr>
          <w:t>http://data.europa.eu/eli/reg/2018/1046/oj</w:t>
        </w:r>
      </w:hyperlink>
      <w:r w:rsidRPr="00E930E6">
        <w:rPr>
          <w:sz w:val="24"/>
          <w:lang w:val="fi-FI"/>
        </w:rPr>
        <w:t>.</w:t>
      </w:r>
    </w:p>
  </w:footnote>
  <w:footnote w:id="22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22" w:history="1">
        <w:r w:rsidRPr="00E930E6">
          <w:rPr>
            <w:rStyle w:val="Hyperlink"/>
            <w:sz w:val="24"/>
            <w:lang w:val="fi-FI"/>
          </w:rPr>
          <w:t>http://data.europa.eu/eli/reg/2024/2509/oj</w:t>
        </w:r>
      </w:hyperlink>
      <w:r w:rsidRPr="00E930E6">
        <w:rPr>
          <w:rStyle w:val="Hyperlink"/>
          <w:sz w:val="24"/>
          <w:lang w:val="fi-FI"/>
        </w:rPr>
        <w:t>.</w:t>
      </w:r>
    </w:p>
  </w:footnote>
  <w:footnote w:id="22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208 της 5.8.2002, σ. 1, ELI: </w:t>
      </w:r>
      <w:hyperlink r:id="rId223" w:history="1">
        <w:r w:rsidRPr="00FA711E">
          <w:rPr>
            <w:rStyle w:val="Hyperlink"/>
            <w:sz w:val="24"/>
            <w:lang w:val="el-GR"/>
          </w:rPr>
          <w:t>http://data.europa.eu/eli/reg/2002/1406/oj</w:t>
        </w:r>
      </w:hyperlink>
      <w:r w:rsidRPr="00FA711E">
        <w:rPr>
          <w:sz w:val="24"/>
          <w:lang w:val="el-GR"/>
        </w:rPr>
        <w:t>.</w:t>
      </w:r>
    </w:p>
  </w:footnote>
  <w:footnote w:id="22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24" w:history="1">
        <w:r w:rsidRPr="00FA711E">
          <w:rPr>
            <w:rStyle w:val="Hyperlink"/>
            <w:sz w:val="24"/>
            <w:lang w:val="el-GR"/>
          </w:rPr>
          <w:t>http://data.europa.eu/eli/reg_del/2019/715/oj</w:t>
        </w:r>
      </w:hyperlink>
      <w:r w:rsidRPr="00FA711E">
        <w:rPr>
          <w:sz w:val="24"/>
          <w:lang w:val="el-GR"/>
        </w:rPr>
        <w:t>.</w:t>
      </w:r>
    </w:p>
  </w:footnote>
  <w:footnote w:id="22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25" w:history="1">
        <w:r w:rsidRPr="00E930E6">
          <w:rPr>
            <w:rStyle w:val="Hyperlink"/>
            <w:sz w:val="24"/>
            <w:lang w:val="fi-FI"/>
          </w:rPr>
          <w:t>http://data.europa.eu/eli/C/2024/6332/oj</w:t>
        </w:r>
      </w:hyperlink>
      <w:r w:rsidRPr="00E930E6">
        <w:rPr>
          <w:sz w:val="24"/>
          <w:lang w:val="fi-FI"/>
        </w:rPr>
        <w:t>.</w:t>
      </w:r>
    </w:p>
  </w:footnote>
  <w:footnote w:id="22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26" w:history="1">
        <w:r w:rsidRPr="00E930E6">
          <w:rPr>
            <w:rStyle w:val="Hyperlink"/>
            <w:sz w:val="24"/>
            <w:lang w:val="fi-FI"/>
          </w:rPr>
          <w:t>http://data.europa.eu/eli/C/2024/6041/oj</w:t>
        </w:r>
      </w:hyperlink>
      <w:r w:rsidRPr="00E930E6">
        <w:rPr>
          <w:sz w:val="24"/>
          <w:lang w:val="fi-FI"/>
        </w:rPr>
        <w:t>.</w:t>
      </w:r>
    </w:p>
  </w:footnote>
  <w:footnote w:id="22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27" w:history="1">
        <w:r w:rsidRPr="00E930E6">
          <w:rPr>
            <w:rStyle w:val="Hyperlink"/>
            <w:sz w:val="24"/>
            <w:lang w:val="fi-FI"/>
          </w:rPr>
          <w:t>http://data.europa.eu/eli/reg/2018/1046/oj</w:t>
        </w:r>
      </w:hyperlink>
      <w:r w:rsidRPr="00E930E6">
        <w:rPr>
          <w:sz w:val="24"/>
          <w:lang w:val="fi-FI"/>
        </w:rPr>
        <w:t>.</w:t>
      </w:r>
    </w:p>
  </w:footnote>
  <w:footnote w:id="22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28" w:history="1">
        <w:r w:rsidRPr="00E930E6">
          <w:rPr>
            <w:rStyle w:val="Hyperlink"/>
            <w:sz w:val="24"/>
            <w:lang w:val="fi-FI"/>
          </w:rPr>
          <w:t>http://data.europa.eu/eli/reg/2024/2509/oj</w:t>
        </w:r>
      </w:hyperlink>
      <w:r w:rsidRPr="00E930E6">
        <w:rPr>
          <w:rStyle w:val="Hyperlink"/>
          <w:sz w:val="24"/>
          <w:lang w:val="fi-FI"/>
        </w:rPr>
        <w:t>.</w:t>
      </w:r>
    </w:p>
  </w:footnote>
  <w:footnote w:id="22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208 της 5.8.2002, σ. 1, ELI: </w:t>
      </w:r>
      <w:hyperlink r:id="rId229" w:history="1">
        <w:r w:rsidRPr="00FA711E">
          <w:rPr>
            <w:rStyle w:val="Hyperlink"/>
            <w:sz w:val="24"/>
            <w:lang w:val="el-GR"/>
          </w:rPr>
          <w:t>http://data.europa.eu/eli/reg/2002/1406/oj</w:t>
        </w:r>
      </w:hyperlink>
      <w:r w:rsidRPr="00FA711E">
        <w:rPr>
          <w:sz w:val="24"/>
          <w:lang w:val="el-GR"/>
        </w:rPr>
        <w:t>.</w:t>
      </w:r>
    </w:p>
  </w:footnote>
  <w:footnote w:id="23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30" w:history="1">
        <w:r w:rsidRPr="00FA711E">
          <w:rPr>
            <w:rStyle w:val="Hyperlink"/>
            <w:sz w:val="24"/>
            <w:lang w:val="el-GR"/>
          </w:rPr>
          <w:t>http://data.europa.eu/eli/reg_del/2019/715/oj</w:t>
        </w:r>
      </w:hyperlink>
      <w:r w:rsidRPr="00FA711E">
        <w:rPr>
          <w:sz w:val="24"/>
          <w:lang w:val="el-GR"/>
        </w:rPr>
        <w:t>.</w:t>
      </w:r>
    </w:p>
  </w:footnote>
  <w:footnote w:id="23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31" w:history="1">
        <w:r w:rsidRPr="00E930E6">
          <w:rPr>
            <w:rStyle w:val="Hyperlink"/>
            <w:sz w:val="24"/>
            <w:lang w:val="fi-FI"/>
          </w:rPr>
          <w:t>http://data.europa.eu/eli/C/2024/6332/oj</w:t>
        </w:r>
      </w:hyperlink>
      <w:r w:rsidRPr="00E930E6">
        <w:rPr>
          <w:sz w:val="24"/>
          <w:lang w:val="fi-FI"/>
        </w:rPr>
        <w:t>.</w:t>
      </w:r>
    </w:p>
  </w:footnote>
  <w:footnote w:id="23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32" w:history="1">
        <w:r w:rsidRPr="00E930E6">
          <w:rPr>
            <w:rStyle w:val="Hyperlink"/>
            <w:sz w:val="24"/>
            <w:lang w:val="fi-FI"/>
          </w:rPr>
          <w:t>http://data.europa.eu/eli/C/2024/6041/oj</w:t>
        </w:r>
      </w:hyperlink>
      <w:r w:rsidRPr="00E930E6">
        <w:rPr>
          <w:sz w:val="24"/>
          <w:lang w:val="fi-FI"/>
        </w:rPr>
        <w:t>.</w:t>
      </w:r>
    </w:p>
  </w:footnote>
  <w:footnote w:id="23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33" w:history="1">
        <w:r w:rsidRPr="00E930E6">
          <w:rPr>
            <w:rStyle w:val="Hyperlink"/>
            <w:sz w:val="24"/>
            <w:lang w:val="fi-FI"/>
          </w:rPr>
          <w:t>http://data.europa.eu/eli/reg/2018/1046/oj</w:t>
        </w:r>
      </w:hyperlink>
      <w:r w:rsidRPr="00E930E6">
        <w:rPr>
          <w:sz w:val="24"/>
          <w:lang w:val="fi-FI"/>
        </w:rPr>
        <w:t>.</w:t>
      </w:r>
    </w:p>
  </w:footnote>
  <w:footnote w:id="23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34" w:history="1">
        <w:r w:rsidRPr="00E930E6">
          <w:rPr>
            <w:rStyle w:val="Hyperlink"/>
            <w:sz w:val="24"/>
            <w:lang w:val="fi-FI"/>
          </w:rPr>
          <w:t>http://data.europa.eu/eli/reg/2024/2509/oj</w:t>
        </w:r>
      </w:hyperlink>
      <w:r w:rsidRPr="00E930E6">
        <w:rPr>
          <w:rStyle w:val="Hyperlink"/>
          <w:sz w:val="24"/>
          <w:lang w:val="fi-FI"/>
        </w:rPr>
        <w:t>.</w:t>
      </w:r>
    </w:p>
  </w:footnote>
  <w:footnote w:id="23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151 της 7.6.2019, σ. 15, ELI: </w:t>
      </w:r>
      <w:hyperlink r:id="rId235" w:history="1">
        <w:r w:rsidRPr="00FA711E">
          <w:rPr>
            <w:rStyle w:val="Hyperlink"/>
            <w:sz w:val="24"/>
            <w:lang w:val="el-GR"/>
          </w:rPr>
          <w:t>http://data.europa.eu/eli/reg/2019/881/oj</w:t>
        </w:r>
      </w:hyperlink>
      <w:r w:rsidRPr="00FA711E">
        <w:rPr>
          <w:sz w:val="24"/>
          <w:lang w:val="el-GR"/>
        </w:rPr>
        <w:t>.</w:t>
      </w:r>
    </w:p>
  </w:footnote>
  <w:footnote w:id="23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36" w:history="1">
        <w:r w:rsidRPr="00FA711E">
          <w:rPr>
            <w:rStyle w:val="Hyperlink"/>
            <w:sz w:val="24"/>
            <w:lang w:val="el-GR"/>
          </w:rPr>
          <w:t>http://data.europa.eu/eli/reg_del/2019/715/oj</w:t>
        </w:r>
      </w:hyperlink>
      <w:r w:rsidRPr="00FA711E">
        <w:rPr>
          <w:sz w:val="24"/>
          <w:lang w:val="el-GR"/>
        </w:rPr>
        <w:t>.</w:t>
      </w:r>
    </w:p>
  </w:footnote>
  <w:footnote w:id="23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37" w:history="1">
        <w:r w:rsidRPr="00E930E6">
          <w:rPr>
            <w:rStyle w:val="Hyperlink"/>
            <w:sz w:val="24"/>
            <w:lang w:val="fi-FI"/>
          </w:rPr>
          <w:t>http://data.europa.eu/eli/C/2024/6332/oj</w:t>
        </w:r>
      </w:hyperlink>
      <w:r w:rsidRPr="00E930E6">
        <w:rPr>
          <w:sz w:val="24"/>
          <w:lang w:val="fi-FI"/>
        </w:rPr>
        <w:t>.</w:t>
      </w:r>
    </w:p>
  </w:footnote>
  <w:footnote w:id="23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38" w:history="1">
        <w:r w:rsidRPr="00E930E6">
          <w:rPr>
            <w:rStyle w:val="Hyperlink"/>
            <w:sz w:val="24"/>
            <w:lang w:val="fi-FI"/>
          </w:rPr>
          <w:t>http://data.europa.eu/eli/C/2024/6041/oj</w:t>
        </w:r>
      </w:hyperlink>
      <w:r w:rsidRPr="00E930E6">
        <w:rPr>
          <w:sz w:val="24"/>
          <w:lang w:val="fi-FI"/>
        </w:rPr>
        <w:t>.</w:t>
      </w:r>
    </w:p>
  </w:footnote>
  <w:footnote w:id="23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39" w:history="1">
        <w:r w:rsidRPr="00E930E6">
          <w:rPr>
            <w:rStyle w:val="Hyperlink"/>
            <w:sz w:val="24"/>
            <w:lang w:val="fi-FI"/>
          </w:rPr>
          <w:t>http://data.europa.eu/eli/reg/2018/1046/oj</w:t>
        </w:r>
      </w:hyperlink>
      <w:r w:rsidRPr="00E930E6">
        <w:rPr>
          <w:sz w:val="24"/>
          <w:lang w:val="fi-FI"/>
        </w:rPr>
        <w:t>.</w:t>
      </w:r>
    </w:p>
  </w:footnote>
  <w:footnote w:id="24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40" w:history="1">
        <w:r w:rsidRPr="00E930E6">
          <w:rPr>
            <w:rStyle w:val="Hyperlink"/>
            <w:sz w:val="24"/>
            <w:lang w:val="fi-FI"/>
          </w:rPr>
          <w:t>http://data.europa.eu/eli/reg/2024/2509/oj</w:t>
        </w:r>
      </w:hyperlink>
      <w:r w:rsidRPr="00E930E6">
        <w:rPr>
          <w:rStyle w:val="Hyperlink"/>
          <w:sz w:val="24"/>
          <w:lang w:val="fi-FI"/>
        </w:rPr>
        <w:t>.</w:t>
      </w:r>
    </w:p>
  </w:footnote>
  <w:footnote w:id="24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151 της 7.6.2019, σ. 15, ELI: </w:t>
      </w:r>
      <w:hyperlink r:id="rId241" w:history="1">
        <w:r w:rsidRPr="00FA711E">
          <w:rPr>
            <w:rStyle w:val="Hyperlink"/>
            <w:sz w:val="24"/>
            <w:lang w:val="el-GR"/>
          </w:rPr>
          <w:t>http://data.europa.eu/eli/reg/2019/881/oj</w:t>
        </w:r>
      </w:hyperlink>
      <w:r w:rsidRPr="00FA711E">
        <w:rPr>
          <w:sz w:val="24"/>
          <w:lang w:val="el-GR"/>
        </w:rPr>
        <w:t>.</w:t>
      </w:r>
    </w:p>
  </w:footnote>
  <w:footnote w:id="24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42" w:history="1">
        <w:r w:rsidRPr="00FA711E">
          <w:rPr>
            <w:rStyle w:val="Hyperlink"/>
            <w:sz w:val="24"/>
            <w:lang w:val="el-GR"/>
          </w:rPr>
          <w:t>http://data.europa.eu/eli/reg_del/2019/715/oj</w:t>
        </w:r>
      </w:hyperlink>
      <w:r w:rsidRPr="00FA711E">
        <w:rPr>
          <w:sz w:val="24"/>
          <w:lang w:val="el-GR"/>
        </w:rPr>
        <w:t>.</w:t>
      </w:r>
    </w:p>
  </w:footnote>
  <w:footnote w:id="24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43" w:history="1">
        <w:r w:rsidRPr="00E930E6">
          <w:rPr>
            <w:rStyle w:val="Hyperlink"/>
            <w:sz w:val="24"/>
            <w:lang w:val="fi-FI"/>
          </w:rPr>
          <w:t>http://data.europa.eu/eli/C/2024/6332/oj</w:t>
        </w:r>
      </w:hyperlink>
      <w:r w:rsidRPr="00E930E6">
        <w:rPr>
          <w:sz w:val="24"/>
          <w:lang w:val="fi-FI"/>
        </w:rPr>
        <w:t>.</w:t>
      </w:r>
    </w:p>
  </w:footnote>
  <w:footnote w:id="24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44" w:history="1">
        <w:r w:rsidRPr="00E930E6">
          <w:rPr>
            <w:rStyle w:val="Hyperlink"/>
            <w:sz w:val="24"/>
            <w:lang w:val="fi-FI"/>
          </w:rPr>
          <w:t>http://data.europa.eu/eli/C/2024/6041/oj</w:t>
        </w:r>
      </w:hyperlink>
      <w:r w:rsidRPr="00E930E6">
        <w:rPr>
          <w:sz w:val="24"/>
          <w:lang w:val="fi-FI"/>
        </w:rPr>
        <w:t>.</w:t>
      </w:r>
    </w:p>
  </w:footnote>
  <w:footnote w:id="24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45" w:history="1">
        <w:r w:rsidRPr="00E930E6">
          <w:rPr>
            <w:rStyle w:val="Hyperlink"/>
            <w:sz w:val="24"/>
            <w:lang w:val="fi-FI"/>
          </w:rPr>
          <w:t>http://data.europa.eu/eli/reg/2018/1046/oj</w:t>
        </w:r>
      </w:hyperlink>
      <w:r w:rsidRPr="00E930E6">
        <w:rPr>
          <w:sz w:val="24"/>
          <w:lang w:val="fi-FI"/>
        </w:rPr>
        <w:t>.</w:t>
      </w:r>
    </w:p>
  </w:footnote>
  <w:footnote w:id="24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46" w:history="1">
        <w:r w:rsidRPr="00E930E6">
          <w:rPr>
            <w:rStyle w:val="Hyperlink"/>
            <w:sz w:val="24"/>
            <w:lang w:val="fi-FI"/>
          </w:rPr>
          <w:t>http://data.europa.eu/eli/reg/2024/2509/oj</w:t>
        </w:r>
      </w:hyperlink>
      <w:r w:rsidRPr="00E930E6">
        <w:rPr>
          <w:rStyle w:val="Hyperlink"/>
          <w:sz w:val="24"/>
          <w:lang w:val="fi-FI"/>
        </w:rPr>
        <w:t>.</w:t>
      </w:r>
    </w:p>
  </w:footnote>
  <w:footnote w:id="24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138 της 26.5.2016, σ. 1, ELI: </w:t>
      </w:r>
      <w:hyperlink r:id="rId247" w:history="1">
        <w:r w:rsidRPr="00FA711E">
          <w:rPr>
            <w:rStyle w:val="Hyperlink"/>
            <w:sz w:val="24"/>
            <w:lang w:val="el-GR"/>
          </w:rPr>
          <w:t>http://data.europa.eu/eli/reg/2016/796/oj</w:t>
        </w:r>
      </w:hyperlink>
      <w:r w:rsidRPr="00FA711E">
        <w:rPr>
          <w:sz w:val="24"/>
          <w:lang w:val="el-GR"/>
        </w:rPr>
        <w:t>.</w:t>
      </w:r>
    </w:p>
  </w:footnote>
  <w:footnote w:id="24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48" w:history="1">
        <w:r w:rsidRPr="00FA711E">
          <w:rPr>
            <w:rStyle w:val="Hyperlink"/>
            <w:sz w:val="24"/>
            <w:lang w:val="el-GR"/>
          </w:rPr>
          <w:t>http://data.europa.eu/eli/reg_del/2019/715/oj</w:t>
        </w:r>
      </w:hyperlink>
      <w:r w:rsidRPr="00FA711E">
        <w:rPr>
          <w:sz w:val="24"/>
          <w:lang w:val="el-GR"/>
        </w:rPr>
        <w:t>.</w:t>
      </w:r>
    </w:p>
  </w:footnote>
  <w:footnote w:id="24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49" w:history="1">
        <w:r w:rsidRPr="00E930E6">
          <w:rPr>
            <w:rStyle w:val="Hyperlink"/>
            <w:sz w:val="24"/>
            <w:lang w:val="fi-FI"/>
          </w:rPr>
          <w:t>http://data.europa.eu/eli/C/2024/6332/oj</w:t>
        </w:r>
      </w:hyperlink>
      <w:r w:rsidRPr="00E930E6">
        <w:rPr>
          <w:sz w:val="24"/>
          <w:lang w:val="fi-FI"/>
        </w:rPr>
        <w:t>.</w:t>
      </w:r>
    </w:p>
  </w:footnote>
  <w:footnote w:id="25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50" w:history="1">
        <w:r w:rsidRPr="00E930E6">
          <w:rPr>
            <w:rStyle w:val="Hyperlink"/>
            <w:sz w:val="24"/>
            <w:lang w:val="fi-FI"/>
          </w:rPr>
          <w:t>http://data.europa.eu/eli/C/2024/6041/oj</w:t>
        </w:r>
      </w:hyperlink>
      <w:r w:rsidRPr="00E930E6">
        <w:rPr>
          <w:sz w:val="24"/>
          <w:lang w:val="fi-FI"/>
        </w:rPr>
        <w:t>.</w:t>
      </w:r>
    </w:p>
  </w:footnote>
  <w:footnote w:id="25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51" w:history="1">
        <w:r w:rsidRPr="00E930E6">
          <w:rPr>
            <w:rStyle w:val="Hyperlink"/>
            <w:sz w:val="24"/>
            <w:lang w:val="fi-FI"/>
          </w:rPr>
          <w:t>http://data.europa.eu/eli/reg/2018/1046/oj</w:t>
        </w:r>
      </w:hyperlink>
      <w:r w:rsidRPr="00E930E6">
        <w:rPr>
          <w:sz w:val="24"/>
          <w:lang w:val="fi-FI"/>
        </w:rPr>
        <w:t>.</w:t>
      </w:r>
    </w:p>
  </w:footnote>
  <w:footnote w:id="25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52" w:history="1">
        <w:r w:rsidRPr="00E930E6">
          <w:rPr>
            <w:rStyle w:val="Hyperlink"/>
            <w:sz w:val="24"/>
            <w:lang w:val="fi-FI"/>
          </w:rPr>
          <w:t>http://data.europa.eu/eli/reg/2024/2509/oj</w:t>
        </w:r>
      </w:hyperlink>
      <w:r w:rsidRPr="00E930E6">
        <w:rPr>
          <w:rStyle w:val="Hyperlink"/>
          <w:sz w:val="24"/>
          <w:lang w:val="fi-FI"/>
        </w:rPr>
        <w:t>.</w:t>
      </w:r>
    </w:p>
  </w:footnote>
  <w:footnote w:id="25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138 της 26.5.2016, σ. 1, ELI: </w:t>
      </w:r>
      <w:hyperlink r:id="rId253" w:history="1">
        <w:r w:rsidRPr="00FA711E">
          <w:rPr>
            <w:rStyle w:val="Hyperlink"/>
            <w:sz w:val="24"/>
            <w:lang w:val="el-GR"/>
          </w:rPr>
          <w:t>http://data.europa.eu/eli/reg/2016/796/oj</w:t>
        </w:r>
      </w:hyperlink>
      <w:r w:rsidRPr="00FA711E">
        <w:rPr>
          <w:sz w:val="24"/>
          <w:lang w:val="el-GR"/>
        </w:rPr>
        <w:t>.</w:t>
      </w:r>
    </w:p>
  </w:footnote>
  <w:footnote w:id="25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54" w:history="1">
        <w:r w:rsidRPr="00FA711E">
          <w:rPr>
            <w:rStyle w:val="Hyperlink"/>
            <w:sz w:val="24"/>
            <w:lang w:val="el-GR"/>
          </w:rPr>
          <w:t>http://data.europa.eu/eli/reg_del/2019/715/oj</w:t>
        </w:r>
      </w:hyperlink>
      <w:r w:rsidRPr="00FA711E">
        <w:rPr>
          <w:sz w:val="24"/>
          <w:lang w:val="el-GR"/>
        </w:rPr>
        <w:t>.</w:t>
      </w:r>
    </w:p>
  </w:footnote>
  <w:footnote w:id="25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55" w:history="1">
        <w:r w:rsidRPr="00E930E6">
          <w:rPr>
            <w:rStyle w:val="Hyperlink"/>
            <w:sz w:val="24"/>
            <w:lang w:val="fi-FI"/>
          </w:rPr>
          <w:t>http://data.europa.eu/eli/C/2024/6332/oj</w:t>
        </w:r>
      </w:hyperlink>
      <w:r w:rsidRPr="00E930E6">
        <w:rPr>
          <w:sz w:val="24"/>
          <w:lang w:val="fi-FI"/>
        </w:rPr>
        <w:t>.</w:t>
      </w:r>
    </w:p>
  </w:footnote>
  <w:footnote w:id="25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56" w:history="1">
        <w:r w:rsidRPr="00E930E6">
          <w:rPr>
            <w:rStyle w:val="Hyperlink"/>
            <w:sz w:val="24"/>
            <w:lang w:val="fi-FI"/>
          </w:rPr>
          <w:t>http://data.europa.eu/eli/C/2024/6041/oj</w:t>
        </w:r>
      </w:hyperlink>
      <w:r w:rsidRPr="00E930E6">
        <w:rPr>
          <w:sz w:val="24"/>
          <w:lang w:val="fi-FI"/>
        </w:rPr>
        <w:t>.</w:t>
      </w:r>
    </w:p>
  </w:footnote>
  <w:footnote w:id="25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57" w:history="1">
        <w:r w:rsidRPr="00E930E6">
          <w:rPr>
            <w:rStyle w:val="Hyperlink"/>
            <w:sz w:val="24"/>
            <w:lang w:val="fi-FI"/>
          </w:rPr>
          <w:t>http://data.europa.eu/eli/reg/2018/1046/oj</w:t>
        </w:r>
      </w:hyperlink>
      <w:r w:rsidRPr="00E930E6">
        <w:rPr>
          <w:sz w:val="24"/>
          <w:lang w:val="fi-FI"/>
        </w:rPr>
        <w:t>.</w:t>
      </w:r>
    </w:p>
  </w:footnote>
  <w:footnote w:id="25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58" w:history="1">
        <w:r w:rsidRPr="00E930E6">
          <w:rPr>
            <w:rStyle w:val="Hyperlink"/>
            <w:sz w:val="24"/>
            <w:lang w:val="fi-FI"/>
          </w:rPr>
          <w:t>http://data.europa.eu/eli/reg/2024/2509/oj</w:t>
        </w:r>
      </w:hyperlink>
      <w:r w:rsidRPr="00E930E6">
        <w:rPr>
          <w:rStyle w:val="Hyperlink"/>
          <w:sz w:val="24"/>
          <w:lang w:val="fi-FI"/>
        </w:rPr>
        <w:t>.</w:t>
      </w:r>
    </w:p>
  </w:footnote>
  <w:footnote w:id="25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41 της 15.2.2008, σ. 15, ELI: </w:t>
      </w:r>
      <w:hyperlink r:id="rId259" w:history="1">
        <w:r w:rsidRPr="00FA711E">
          <w:rPr>
            <w:rStyle w:val="Hyperlink"/>
            <w:sz w:val="24"/>
            <w:lang w:val="el-GR"/>
          </w:rPr>
          <w:t>http://data.europa.eu/eli/dec/2008/114(1)/oj</w:t>
        </w:r>
      </w:hyperlink>
      <w:r w:rsidRPr="00FA711E">
        <w:rPr>
          <w:sz w:val="24"/>
          <w:lang w:val="el-GR"/>
        </w:rPr>
        <w:t>.</w:t>
      </w:r>
    </w:p>
  </w:footnote>
  <w:footnote w:id="26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60" w:history="1">
        <w:r w:rsidRPr="00E930E6">
          <w:rPr>
            <w:rStyle w:val="Hyperlink"/>
            <w:sz w:val="24"/>
            <w:lang w:val="fi-FI"/>
          </w:rPr>
          <w:t>http://data.europa.eu/eli/C/2024/6332/oj</w:t>
        </w:r>
      </w:hyperlink>
      <w:r w:rsidRPr="00E930E6">
        <w:rPr>
          <w:sz w:val="24"/>
          <w:lang w:val="fi-FI"/>
        </w:rPr>
        <w:t>.</w:t>
      </w:r>
    </w:p>
  </w:footnote>
  <w:footnote w:id="26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61" w:history="1">
        <w:r w:rsidRPr="00E930E6">
          <w:rPr>
            <w:rStyle w:val="Hyperlink"/>
            <w:sz w:val="24"/>
            <w:lang w:val="fi-FI"/>
          </w:rPr>
          <w:t>http://data.europa.eu/eli/C/2024/6041/oj</w:t>
        </w:r>
      </w:hyperlink>
      <w:r w:rsidRPr="00E930E6">
        <w:rPr>
          <w:sz w:val="24"/>
          <w:lang w:val="fi-FI"/>
        </w:rPr>
        <w:t>.</w:t>
      </w:r>
    </w:p>
  </w:footnote>
  <w:footnote w:id="26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62" w:history="1">
        <w:r w:rsidRPr="00E930E6">
          <w:rPr>
            <w:rStyle w:val="Hyperlink"/>
            <w:sz w:val="24"/>
            <w:lang w:val="fi-FI"/>
          </w:rPr>
          <w:t>http://data.europa.eu/eli/reg/2018/1046/oj</w:t>
        </w:r>
      </w:hyperlink>
      <w:r w:rsidRPr="00E930E6">
        <w:rPr>
          <w:sz w:val="24"/>
          <w:lang w:val="fi-FI"/>
        </w:rPr>
        <w:t>.</w:t>
      </w:r>
    </w:p>
  </w:footnote>
  <w:footnote w:id="26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63" w:history="1">
        <w:r w:rsidRPr="00E930E6">
          <w:rPr>
            <w:rStyle w:val="Hyperlink"/>
            <w:sz w:val="24"/>
            <w:lang w:val="fi-FI"/>
          </w:rPr>
          <w:t>http://data.europa.eu/eli/reg/2024/2509/oj</w:t>
        </w:r>
      </w:hyperlink>
      <w:r w:rsidRPr="00E930E6">
        <w:rPr>
          <w:rStyle w:val="Hyperlink"/>
          <w:sz w:val="24"/>
          <w:lang w:val="fi-FI"/>
        </w:rPr>
        <w:t>.</w:t>
      </w:r>
    </w:p>
  </w:footnote>
  <w:footnote w:id="26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41 της 15.2.2008, σ. 15, ELI: </w:t>
      </w:r>
      <w:hyperlink r:id="rId264" w:history="1">
        <w:r w:rsidRPr="00FA711E">
          <w:rPr>
            <w:rStyle w:val="Hyperlink"/>
            <w:sz w:val="24"/>
            <w:lang w:val="el-GR"/>
          </w:rPr>
          <w:t>http://data.europa.eu/eli/dec/2008/114(1)/oj</w:t>
        </w:r>
      </w:hyperlink>
      <w:r w:rsidRPr="00FA711E">
        <w:rPr>
          <w:sz w:val="24"/>
          <w:lang w:val="el-GR"/>
        </w:rPr>
        <w:t>.</w:t>
      </w:r>
    </w:p>
  </w:footnote>
  <w:footnote w:id="26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65" w:history="1">
        <w:r w:rsidRPr="00E930E6">
          <w:rPr>
            <w:rStyle w:val="Hyperlink"/>
            <w:sz w:val="24"/>
            <w:lang w:val="fi-FI"/>
          </w:rPr>
          <w:t>http://data.europa.eu/eli/C/2024/6332/oj</w:t>
        </w:r>
      </w:hyperlink>
      <w:r w:rsidRPr="00E930E6">
        <w:rPr>
          <w:sz w:val="24"/>
          <w:lang w:val="fi-FI"/>
        </w:rPr>
        <w:t>.</w:t>
      </w:r>
    </w:p>
  </w:footnote>
  <w:footnote w:id="26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66" w:history="1">
        <w:r w:rsidRPr="00E930E6">
          <w:rPr>
            <w:rStyle w:val="Hyperlink"/>
            <w:sz w:val="24"/>
            <w:lang w:val="fi-FI"/>
          </w:rPr>
          <w:t>http://data.europa.eu/eli/C/2024/6041/oj</w:t>
        </w:r>
      </w:hyperlink>
      <w:r w:rsidRPr="00E930E6">
        <w:rPr>
          <w:sz w:val="24"/>
          <w:lang w:val="fi-FI"/>
        </w:rPr>
        <w:t>.</w:t>
      </w:r>
    </w:p>
  </w:footnote>
  <w:footnote w:id="26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67" w:history="1">
        <w:r w:rsidRPr="00E930E6">
          <w:rPr>
            <w:rStyle w:val="Hyperlink"/>
            <w:sz w:val="24"/>
            <w:lang w:val="fi-FI"/>
          </w:rPr>
          <w:t>http://data.europa.eu/eli/reg/2018/1046/oj</w:t>
        </w:r>
      </w:hyperlink>
      <w:r w:rsidRPr="00E930E6">
        <w:rPr>
          <w:sz w:val="24"/>
          <w:lang w:val="fi-FI"/>
        </w:rPr>
        <w:t>.</w:t>
      </w:r>
    </w:p>
  </w:footnote>
  <w:footnote w:id="26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68" w:history="1">
        <w:r w:rsidRPr="00E930E6">
          <w:rPr>
            <w:rStyle w:val="Hyperlink"/>
            <w:sz w:val="24"/>
            <w:lang w:val="fi-FI"/>
          </w:rPr>
          <w:t>http://data.europa.eu/eli/reg/2024/2509/oj</w:t>
        </w:r>
      </w:hyperlink>
      <w:r w:rsidRPr="00E930E6">
        <w:rPr>
          <w:rStyle w:val="Hyperlink"/>
          <w:sz w:val="24"/>
          <w:lang w:val="fi-FI"/>
        </w:rPr>
        <w:t>.</w:t>
      </w:r>
    </w:p>
  </w:footnote>
  <w:footnote w:id="26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331 της 15.12.2010, σ. 84, ELI: </w:t>
      </w:r>
      <w:hyperlink r:id="rId269" w:history="1">
        <w:r w:rsidRPr="00FA711E">
          <w:rPr>
            <w:rStyle w:val="Hyperlink"/>
            <w:sz w:val="24"/>
            <w:lang w:val="el-GR"/>
          </w:rPr>
          <w:t>http://data.europa.eu/eli/reg/2010/1095/oj</w:t>
        </w:r>
      </w:hyperlink>
      <w:r w:rsidRPr="00FA711E">
        <w:rPr>
          <w:sz w:val="24"/>
          <w:lang w:val="el-GR"/>
        </w:rPr>
        <w:t>.</w:t>
      </w:r>
    </w:p>
  </w:footnote>
  <w:footnote w:id="27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70" w:history="1">
        <w:r w:rsidRPr="00FA711E">
          <w:rPr>
            <w:rStyle w:val="Hyperlink"/>
            <w:sz w:val="24"/>
            <w:lang w:val="el-GR"/>
          </w:rPr>
          <w:t>http://data.europa.eu/eli/reg_del/2019/715/oj</w:t>
        </w:r>
      </w:hyperlink>
      <w:r w:rsidRPr="00FA711E">
        <w:rPr>
          <w:sz w:val="24"/>
          <w:lang w:val="el-GR"/>
        </w:rPr>
        <w:t>.</w:t>
      </w:r>
    </w:p>
  </w:footnote>
  <w:footnote w:id="27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71" w:history="1">
        <w:r w:rsidRPr="00E930E6">
          <w:rPr>
            <w:rStyle w:val="Hyperlink"/>
            <w:sz w:val="24"/>
            <w:lang w:val="fi-FI"/>
          </w:rPr>
          <w:t>http://data.europa.eu/eli/C/2024/6332/oj</w:t>
        </w:r>
      </w:hyperlink>
      <w:r w:rsidRPr="00E930E6">
        <w:rPr>
          <w:sz w:val="24"/>
          <w:lang w:val="fi-FI"/>
        </w:rPr>
        <w:t>.</w:t>
      </w:r>
    </w:p>
  </w:footnote>
  <w:footnote w:id="27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72" w:history="1">
        <w:r w:rsidRPr="00E930E6">
          <w:rPr>
            <w:rStyle w:val="Hyperlink"/>
            <w:sz w:val="24"/>
            <w:lang w:val="fi-FI"/>
          </w:rPr>
          <w:t>http://data.europa.eu/eli/C/2024/6041/oj</w:t>
        </w:r>
      </w:hyperlink>
      <w:r w:rsidRPr="00E930E6">
        <w:rPr>
          <w:sz w:val="24"/>
          <w:lang w:val="fi-FI"/>
        </w:rPr>
        <w:t>.</w:t>
      </w:r>
    </w:p>
  </w:footnote>
  <w:footnote w:id="27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73" w:history="1">
        <w:r w:rsidRPr="00E930E6">
          <w:rPr>
            <w:rStyle w:val="Hyperlink"/>
            <w:sz w:val="24"/>
            <w:lang w:val="fi-FI"/>
          </w:rPr>
          <w:t>http://data.europa.eu/eli/reg/2018/1046/oj</w:t>
        </w:r>
      </w:hyperlink>
      <w:r w:rsidRPr="00E930E6">
        <w:rPr>
          <w:sz w:val="24"/>
          <w:lang w:val="fi-FI"/>
        </w:rPr>
        <w:t>.</w:t>
      </w:r>
    </w:p>
  </w:footnote>
  <w:footnote w:id="27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74" w:history="1">
        <w:r w:rsidRPr="00E930E6">
          <w:rPr>
            <w:rStyle w:val="Hyperlink"/>
            <w:sz w:val="24"/>
            <w:lang w:val="fi-FI"/>
          </w:rPr>
          <w:t>http://data.europa.eu/eli/reg/2024/2509/oj</w:t>
        </w:r>
      </w:hyperlink>
      <w:r w:rsidRPr="00E930E6">
        <w:rPr>
          <w:rStyle w:val="Hyperlink"/>
          <w:sz w:val="24"/>
          <w:lang w:val="fi-FI"/>
        </w:rPr>
        <w:t>.</w:t>
      </w:r>
    </w:p>
  </w:footnote>
  <w:footnote w:id="27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331 της 15.12.2010, σ. 84, ELI: </w:t>
      </w:r>
      <w:hyperlink r:id="rId275" w:history="1">
        <w:r w:rsidRPr="00FA711E">
          <w:rPr>
            <w:rStyle w:val="Hyperlink"/>
            <w:sz w:val="24"/>
            <w:lang w:val="el-GR"/>
          </w:rPr>
          <w:t>http://data.europa.eu/eli/reg/2010/1095/oj</w:t>
        </w:r>
      </w:hyperlink>
      <w:r w:rsidRPr="00FA711E">
        <w:rPr>
          <w:sz w:val="24"/>
          <w:lang w:val="el-GR"/>
        </w:rPr>
        <w:t>.</w:t>
      </w:r>
    </w:p>
  </w:footnote>
  <w:footnote w:id="27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76" w:history="1">
        <w:r w:rsidRPr="00FA711E">
          <w:rPr>
            <w:rStyle w:val="Hyperlink"/>
            <w:sz w:val="24"/>
            <w:lang w:val="el-GR"/>
          </w:rPr>
          <w:t>http://data.europa.eu/eli/reg_del/2019/715/oj</w:t>
        </w:r>
      </w:hyperlink>
      <w:r w:rsidRPr="00FA711E">
        <w:rPr>
          <w:sz w:val="24"/>
          <w:lang w:val="el-GR"/>
        </w:rPr>
        <w:t>.</w:t>
      </w:r>
    </w:p>
  </w:footnote>
  <w:footnote w:id="27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77" w:history="1">
        <w:r w:rsidRPr="00E930E6">
          <w:rPr>
            <w:rStyle w:val="Hyperlink"/>
            <w:sz w:val="24"/>
            <w:lang w:val="fi-FI"/>
          </w:rPr>
          <w:t>http://data.europa.eu/eli/C/2024/6332/oj</w:t>
        </w:r>
      </w:hyperlink>
      <w:r w:rsidRPr="00E930E6">
        <w:rPr>
          <w:sz w:val="24"/>
          <w:lang w:val="fi-FI"/>
        </w:rPr>
        <w:t>.</w:t>
      </w:r>
    </w:p>
  </w:footnote>
  <w:footnote w:id="27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78" w:history="1">
        <w:r w:rsidRPr="00E930E6">
          <w:rPr>
            <w:rStyle w:val="Hyperlink"/>
            <w:sz w:val="24"/>
            <w:lang w:val="fi-FI"/>
          </w:rPr>
          <w:t>http://data.europa.eu/eli/C/2024/6041/oj</w:t>
        </w:r>
      </w:hyperlink>
      <w:r w:rsidRPr="00E930E6">
        <w:rPr>
          <w:sz w:val="24"/>
          <w:lang w:val="fi-FI"/>
        </w:rPr>
        <w:t>.</w:t>
      </w:r>
    </w:p>
  </w:footnote>
  <w:footnote w:id="27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79" w:history="1">
        <w:r w:rsidRPr="00E930E6">
          <w:rPr>
            <w:rStyle w:val="Hyperlink"/>
            <w:sz w:val="24"/>
            <w:lang w:val="fi-FI"/>
          </w:rPr>
          <w:t>http://data.europa.eu/eli/reg/2018/1046/oj</w:t>
        </w:r>
      </w:hyperlink>
      <w:r w:rsidRPr="00E930E6">
        <w:rPr>
          <w:sz w:val="24"/>
          <w:lang w:val="fi-FI"/>
        </w:rPr>
        <w:t>.</w:t>
      </w:r>
    </w:p>
  </w:footnote>
  <w:footnote w:id="28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80" w:history="1">
        <w:r w:rsidRPr="00E930E6">
          <w:rPr>
            <w:rStyle w:val="Hyperlink"/>
            <w:sz w:val="24"/>
            <w:lang w:val="fi-FI"/>
          </w:rPr>
          <w:t>http://data.europa.eu/eli/reg/2024/2509/oj</w:t>
        </w:r>
      </w:hyperlink>
      <w:r w:rsidRPr="00E930E6">
        <w:rPr>
          <w:rStyle w:val="Hyperlink"/>
          <w:sz w:val="24"/>
          <w:lang w:val="fi-FI"/>
        </w:rPr>
        <w:t>.</w:t>
      </w:r>
    </w:p>
  </w:footnote>
  <w:footnote w:id="28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354 της 31.12.2008, σ. 82, ELI: </w:t>
      </w:r>
      <w:hyperlink r:id="rId281" w:history="1">
        <w:r w:rsidRPr="00FA711E">
          <w:rPr>
            <w:rStyle w:val="Hyperlink"/>
            <w:sz w:val="24"/>
            <w:lang w:val="el-GR"/>
          </w:rPr>
          <w:t>http://data.europa.eu/eli/reg/2008/1339</w:t>
        </w:r>
      </w:hyperlink>
      <w:r w:rsidRPr="00FA711E">
        <w:rPr>
          <w:sz w:val="24"/>
          <w:lang w:val="el-GR"/>
        </w:rPr>
        <w:t>.</w:t>
      </w:r>
    </w:p>
  </w:footnote>
  <w:footnote w:id="28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82" w:history="1">
        <w:r w:rsidRPr="00FA711E">
          <w:rPr>
            <w:rStyle w:val="Hyperlink"/>
            <w:sz w:val="24"/>
            <w:lang w:val="el-GR"/>
          </w:rPr>
          <w:t>http://data.europa.eu/eli/reg_del/2019/715/oj</w:t>
        </w:r>
      </w:hyperlink>
      <w:r w:rsidRPr="00FA711E">
        <w:rPr>
          <w:sz w:val="24"/>
          <w:lang w:val="el-GR"/>
        </w:rPr>
        <w:t>.</w:t>
      </w:r>
    </w:p>
  </w:footnote>
  <w:footnote w:id="28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83" w:history="1">
        <w:r w:rsidRPr="00E930E6">
          <w:rPr>
            <w:rStyle w:val="Hyperlink"/>
            <w:sz w:val="24"/>
            <w:lang w:val="fi-FI"/>
          </w:rPr>
          <w:t>http://data.europa.eu/eli/C/2024/6332/oj</w:t>
        </w:r>
      </w:hyperlink>
      <w:r w:rsidRPr="00E930E6">
        <w:rPr>
          <w:sz w:val="24"/>
          <w:lang w:val="fi-FI"/>
        </w:rPr>
        <w:t>.</w:t>
      </w:r>
    </w:p>
  </w:footnote>
  <w:footnote w:id="28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84" w:history="1">
        <w:r w:rsidRPr="00E930E6">
          <w:rPr>
            <w:rStyle w:val="Hyperlink"/>
            <w:sz w:val="24"/>
            <w:lang w:val="fi-FI"/>
          </w:rPr>
          <w:t>http://data.europa.eu/eli/C/2024/6041/oj</w:t>
        </w:r>
      </w:hyperlink>
      <w:r w:rsidRPr="00E930E6">
        <w:rPr>
          <w:sz w:val="24"/>
          <w:lang w:val="fi-FI"/>
        </w:rPr>
        <w:t>.</w:t>
      </w:r>
    </w:p>
  </w:footnote>
  <w:footnote w:id="28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85" w:history="1">
        <w:r w:rsidRPr="00E930E6">
          <w:rPr>
            <w:rStyle w:val="Hyperlink"/>
            <w:sz w:val="24"/>
            <w:lang w:val="fi-FI"/>
          </w:rPr>
          <w:t>http://data.europa.eu/eli/reg/2018/1046/oj</w:t>
        </w:r>
      </w:hyperlink>
      <w:r w:rsidRPr="00E930E6">
        <w:rPr>
          <w:sz w:val="24"/>
          <w:lang w:val="fi-FI"/>
        </w:rPr>
        <w:t>.</w:t>
      </w:r>
    </w:p>
  </w:footnote>
  <w:footnote w:id="28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86" w:history="1">
        <w:r w:rsidRPr="00E930E6">
          <w:rPr>
            <w:rStyle w:val="Hyperlink"/>
            <w:sz w:val="24"/>
            <w:lang w:val="fi-FI"/>
          </w:rPr>
          <w:t>http://data.europa.eu/eli/reg/2024/2509/oj</w:t>
        </w:r>
      </w:hyperlink>
      <w:r w:rsidRPr="00E930E6">
        <w:rPr>
          <w:rStyle w:val="Hyperlink"/>
          <w:sz w:val="24"/>
          <w:lang w:val="fi-FI"/>
        </w:rPr>
        <w:t>.</w:t>
      </w:r>
    </w:p>
  </w:footnote>
  <w:footnote w:id="28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354 της 31.12.2008, σ. 82, ELI: </w:t>
      </w:r>
      <w:hyperlink r:id="rId287" w:history="1">
        <w:r w:rsidRPr="00FA711E">
          <w:rPr>
            <w:rStyle w:val="Hyperlink"/>
            <w:sz w:val="24"/>
            <w:lang w:val="el-GR"/>
          </w:rPr>
          <w:t>http://data.europa.eu/eli/reg/2008/1339</w:t>
        </w:r>
      </w:hyperlink>
      <w:r w:rsidRPr="00FA711E">
        <w:rPr>
          <w:sz w:val="24"/>
          <w:lang w:val="el-GR"/>
        </w:rPr>
        <w:t>.</w:t>
      </w:r>
    </w:p>
  </w:footnote>
  <w:footnote w:id="28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88" w:history="1">
        <w:r w:rsidRPr="00FA711E">
          <w:rPr>
            <w:rStyle w:val="Hyperlink"/>
            <w:sz w:val="24"/>
            <w:lang w:val="el-GR"/>
          </w:rPr>
          <w:t>http://data.europa.eu/eli/reg_del/2019/715/oj</w:t>
        </w:r>
      </w:hyperlink>
      <w:r w:rsidRPr="00FA711E">
        <w:rPr>
          <w:sz w:val="24"/>
          <w:lang w:val="el-GR"/>
        </w:rPr>
        <w:t>.</w:t>
      </w:r>
    </w:p>
  </w:footnote>
  <w:footnote w:id="28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89" w:history="1">
        <w:r w:rsidRPr="00E930E6">
          <w:rPr>
            <w:rStyle w:val="Hyperlink"/>
            <w:sz w:val="24"/>
            <w:lang w:val="fi-FI"/>
          </w:rPr>
          <w:t>http://data.europa.eu/eli/C/2024/6332/oj</w:t>
        </w:r>
      </w:hyperlink>
      <w:r w:rsidRPr="00E930E6">
        <w:rPr>
          <w:sz w:val="24"/>
          <w:lang w:val="fi-FI"/>
        </w:rPr>
        <w:t>.</w:t>
      </w:r>
    </w:p>
  </w:footnote>
  <w:footnote w:id="29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90" w:history="1">
        <w:r w:rsidRPr="00E930E6">
          <w:rPr>
            <w:rStyle w:val="Hyperlink"/>
            <w:sz w:val="24"/>
            <w:lang w:val="fi-FI"/>
          </w:rPr>
          <w:t>http://data.europa.eu/eli/C/2024/6041/oj</w:t>
        </w:r>
      </w:hyperlink>
      <w:r w:rsidRPr="00E930E6">
        <w:rPr>
          <w:sz w:val="24"/>
          <w:lang w:val="fi-FI"/>
        </w:rPr>
        <w:t>.</w:t>
      </w:r>
    </w:p>
  </w:footnote>
  <w:footnote w:id="29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91" w:history="1">
        <w:r w:rsidRPr="00E930E6">
          <w:rPr>
            <w:rStyle w:val="Hyperlink"/>
            <w:sz w:val="24"/>
            <w:lang w:val="fi-FI"/>
          </w:rPr>
          <w:t>http://data.europa.eu/eli/reg/2018/1046/oj</w:t>
        </w:r>
      </w:hyperlink>
      <w:r w:rsidRPr="00E930E6">
        <w:rPr>
          <w:sz w:val="24"/>
          <w:lang w:val="fi-FI"/>
        </w:rPr>
        <w:t>.</w:t>
      </w:r>
    </w:p>
  </w:footnote>
  <w:footnote w:id="29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92" w:history="1">
        <w:r w:rsidRPr="00E930E6">
          <w:rPr>
            <w:rStyle w:val="Hyperlink"/>
            <w:sz w:val="24"/>
            <w:lang w:val="fi-FI"/>
          </w:rPr>
          <w:t>http://data.europa.eu/eli/reg/2024/2509/oj</w:t>
        </w:r>
      </w:hyperlink>
      <w:r w:rsidRPr="00E930E6">
        <w:rPr>
          <w:rStyle w:val="Hyperlink"/>
          <w:sz w:val="24"/>
          <w:lang w:val="fi-FI"/>
        </w:rPr>
        <w:t>.</w:t>
      </w:r>
    </w:p>
  </w:footnote>
  <w:footnote w:id="29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132 της 29.5.2010, σ. 11, ELI: </w:t>
      </w:r>
      <w:hyperlink r:id="rId293" w:history="1">
        <w:r w:rsidRPr="00FA711E">
          <w:rPr>
            <w:rStyle w:val="Hyperlink"/>
            <w:sz w:val="24"/>
            <w:lang w:val="el-GR"/>
          </w:rPr>
          <w:t>http://data.europa.eu/eli/reg/2010/439/oj</w:t>
        </w:r>
      </w:hyperlink>
      <w:r w:rsidRPr="00FA711E">
        <w:rPr>
          <w:sz w:val="24"/>
          <w:lang w:val="el-GR"/>
        </w:rPr>
        <w:t>.</w:t>
      </w:r>
    </w:p>
  </w:footnote>
  <w:footnote w:id="29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468 της 30.12.2021, σ. 1, ELI: </w:t>
      </w:r>
      <w:hyperlink r:id="rId294" w:history="1">
        <w:r w:rsidRPr="00FA711E">
          <w:rPr>
            <w:rStyle w:val="Hyperlink"/>
            <w:sz w:val="24"/>
            <w:lang w:val="el-GR"/>
          </w:rPr>
          <w:t>http://data.europa.eu/eli/reg/2021/2303/oj</w:t>
        </w:r>
      </w:hyperlink>
      <w:r w:rsidRPr="00FA711E">
        <w:rPr>
          <w:sz w:val="24"/>
          <w:lang w:val="el-GR"/>
        </w:rPr>
        <w:t>.</w:t>
      </w:r>
    </w:p>
  </w:footnote>
  <w:footnote w:id="29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295" w:history="1">
        <w:r w:rsidRPr="00FA711E">
          <w:rPr>
            <w:rStyle w:val="Hyperlink"/>
            <w:sz w:val="24"/>
            <w:lang w:val="el-GR"/>
          </w:rPr>
          <w:t>http://data.europa.eu/eli/reg_del/2019/715/oj</w:t>
        </w:r>
      </w:hyperlink>
      <w:r w:rsidRPr="00FA711E">
        <w:rPr>
          <w:sz w:val="24"/>
          <w:lang w:val="el-GR"/>
        </w:rPr>
        <w:t>.</w:t>
      </w:r>
    </w:p>
  </w:footnote>
  <w:footnote w:id="29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296" w:history="1">
        <w:r w:rsidRPr="00E930E6">
          <w:rPr>
            <w:rStyle w:val="Hyperlink"/>
            <w:sz w:val="24"/>
            <w:lang w:val="fi-FI"/>
          </w:rPr>
          <w:t>http://data.europa.eu/eli/C/2024/6332/oj</w:t>
        </w:r>
      </w:hyperlink>
      <w:r w:rsidRPr="00E930E6">
        <w:rPr>
          <w:sz w:val="24"/>
          <w:lang w:val="fi-FI"/>
        </w:rPr>
        <w:t>.</w:t>
      </w:r>
    </w:p>
  </w:footnote>
  <w:footnote w:id="29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297" w:history="1">
        <w:r w:rsidRPr="00E930E6">
          <w:rPr>
            <w:rStyle w:val="Hyperlink"/>
            <w:sz w:val="24"/>
            <w:lang w:val="fi-FI"/>
          </w:rPr>
          <w:t>http://data.europa.eu/eli/C/2024/6041/oj</w:t>
        </w:r>
      </w:hyperlink>
      <w:r w:rsidRPr="00E930E6">
        <w:rPr>
          <w:sz w:val="24"/>
          <w:lang w:val="fi-FI"/>
        </w:rPr>
        <w:t>.</w:t>
      </w:r>
    </w:p>
  </w:footnote>
  <w:footnote w:id="29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298" w:history="1">
        <w:r w:rsidRPr="00E930E6">
          <w:rPr>
            <w:rStyle w:val="Hyperlink"/>
            <w:sz w:val="24"/>
            <w:lang w:val="fi-FI"/>
          </w:rPr>
          <w:t>http://data.europa.eu/eli/reg/2018/1046/oj</w:t>
        </w:r>
      </w:hyperlink>
      <w:r w:rsidRPr="00E930E6">
        <w:rPr>
          <w:sz w:val="24"/>
          <w:lang w:val="fi-FI"/>
        </w:rPr>
        <w:t>.</w:t>
      </w:r>
    </w:p>
  </w:footnote>
  <w:footnote w:id="29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299" w:history="1">
        <w:r w:rsidRPr="00E930E6">
          <w:rPr>
            <w:rStyle w:val="Hyperlink"/>
            <w:sz w:val="24"/>
            <w:lang w:val="fi-FI"/>
          </w:rPr>
          <w:t>http://data.europa.eu/eli/reg/2024/2509/oj</w:t>
        </w:r>
      </w:hyperlink>
      <w:r w:rsidRPr="00E930E6">
        <w:rPr>
          <w:rStyle w:val="Hyperlink"/>
          <w:sz w:val="24"/>
          <w:lang w:val="fi-FI"/>
        </w:rPr>
        <w:t>.</w:t>
      </w:r>
    </w:p>
  </w:footnote>
  <w:footnote w:id="30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132 της 29.5.2010, σ. 11, ELI: </w:t>
      </w:r>
      <w:hyperlink r:id="rId300" w:history="1">
        <w:r w:rsidRPr="00FA711E">
          <w:rPr>
            <w:rStyle w:val="Hyperlink"/>
            <w:sz w:val="24"/>
            <w:lang w:val="el-GR"/>
          </w:rPr>
          <w:t>http://data.europa.eu/eli/reg/2010/439/oj</w:t>
        </w:r>
      </w:hyperlink>
      <w:r w:rsidRPr="00FA711E">
        <w:rPr>
          <w:sz w:val="24"/>
          <w:lang w:val="el-GR"/>
        </w:rPr>
        <w:t>.</w:t>
      </w:r>
    </w:p>
  </w:footnote>
  <w:footnote w:id="30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468 της 30.12.2021, σ. 1, ELI: </w:t>
      </w:r>
      <w:hyperlink r:id="rId301" w:history="1">
        <w:r w:rsidRPr="00FA711E">
          <w:rPr>
            <w:rStyle w:val="Hyperlink"/>
            <w:sz w:val="24"/>
            <w:lang w:val="el-GR"/>
          </w:rPr>
          <w:t>http://data.europa.eu/eli/reg/2021/2303/oj</w:t>
        </w:r>
      </w:hyperlink>
      <w:r w:rsidRPr="00FA711E">
        <w:rPr>
          <w:sz w:val="24"/>
          <w:lang w:val="el-GR"/>
        </w:rPr>
        <w:t>.</w:t>
      </w:r>
    </w:p>
  </w:footnote>
  <w:footnote w:id="30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02" w:history="1">
        <w:r w:rsidRPr="00FA711E">
          <w:rPr>
            <w:rStyle w:val="Hyperlink"/>
            <w:sz w:val="24"/>
            <w:lang w:val="el-GR"/>
          </w:rPr>
          <w:t>http://data.europa.eu/eli/reg_del/2019/715/oj</w:t>
        </w:r>
      </w:hyperlink>
      <w:r w:rsidRPr="00FA711E">
        <w:rPr>
          <w:sz w:val="24"/>
          <w:lang w:val="el-GR"/>
        </w:rPr>
        <w:t>.</w:t>
      </w:r>
    </w:p>
  </w:footnote>
  <w:footnote w:id="30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03" w:history="1">
        <w:r w:rsidRPr="00E930E6">
          <w:rPr>
            <w:rStyle w:val="Hyperlink"/>
            <w:sz w:val="24"/>
            <w:lang w:val="fi-FI"/>
          </w:rPr>
          <w:t>http://data.europa.eu/eli/C/2024/6332/oj</w:t>
        </w:r>
      </w:hyperlink>
      <w:r w:rsidRPr="00E930E6">
        <w:rPr>
          <w:sz w:val="24"/>
          <w:lang w:val="fi-FI"/>
        </w:rPr>
        <w:t>.</w:t>
      </w:r>
    </w:p>
  </w:footnote>
  <w:footnote w:id="30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04" w:history="1">
        <w:r w:rsidRPr="00E930E6">
          <w:rPr>
            <w:rStyle w:val="Hyperlink"/>
            <w:sz w:val="24"/>
            <w:lang w:val="fi-FI"/>
          </w:rPr>
          <w:t>http://data.europa.eu/eli/C/2024/6041/oj</w:t>
        </w:r>
      </w:hyperlink>
      <w:r w:rsidRPr="00E930E6">
        <w:rPr>
          <w:sz w:val="24"/>
          <w:lang w:val="fi-FI"/>
        </w:rPr>
        <w:t>.</w:t>
      </w:r>
    </w:p>
  </w:footnote>
  <w:footnote w:id="30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05" w:history="1">
        <w:r w:rsidRPr="00E930E6">
          <w:rPr>
            <w:rStyle w:val="Hyperlink"/>
            <w:sz w:val="24"/>
            <w:lang w:val="fi-FI"/>
          </w:rPr>
          <w:t>http://data.europa.eu/eli/reg/2018/1046/oj</w:t>
        </w:r>
      </w:hyperlink>
      <w:r w:rsidRPr="00E930E6">
        <w:rPr>
          <w:sz w:val="24"/>
          <w:lang w:val="fi-FI"/>
        </w:rPr>
        <w:t>.</w:t>
      </w:r>
    </w:p>
  </w:footnote>
  <w:footnote w:id="30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06" w:history="1">
        <w:r w:rsidRPr="00E930E6">
          <w:rPr>
            <w:rStyle w:val="Hyperlink"/>
            <w:sz w:val="24"/>
            <w:lang w:val="fi-FI"/>
          </w:rPr>
          <w:t>http://data.europa.eu/eli/reg/2024/2509/oj</w:t>
        </w:r>
      </w:hyperlink>
      <w:r w:rsidRPr="00E930E6">
        <w:rPr>
          <w:rStyle w:val="Hyperlink"/>
          <w:sz w:val="24"/>
          <w:lang w:val="fi-FI"/>
        </w:rPr>
        <w:t>.</w:t>
      </w:r>
    </w:p>
  </w:footnote>
  <w:footnote w:id="30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295 της 21.11.2018, σ. 99, ELI: </w:t>
      </w:r>
      <w:hyperlink r:id="rId307" w:history="1">
        <w:r w:rsidRPr="00FA711E">
          <w:rPr>
            <w:rStyle w:val="Hyperlink"/>
            <w:sz w:val="24"/>
            <w:lang w:val="el-GR"/>
          </w:rPr>
          <w:t>http://data.europa.eu/eli/reg/2018/1726/oj</w:t>
        </w:r>
      </w:hyperlink>
      <w:r w:rsidRPr="00FA711E">
        <w:rPr>
          <w:sz w:val="24"/>
          <w:lang w:val="el-GR"/>
        </w:rPr>
        <w:t>.</w:t>
      </w:r>
    </w:p>
  </w:footnote>
  <w:footnote w:id="30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08" w:history="1">
        <w:r w:rsidRPr="00FA711E">
          <w:rPr>
            <w:rStyle w:val="Hyperlink"/>
            <w:sz w:val="24"/>
            <w:lang w:val="el-GR"/>
          </w:rPr>
          <w:t>http://data.europa.eu/eli/reg_del/2019/715/oj</w:t>
        </w:r>
      </w:hyperlink>
      <w:r w:rsidRPr="00FA711E">
        <w:rPr>
          <w:sz w:val="24"/>
          <w:lang w:val="el-GR"/>
        </w:rPr>
        <w:t>.</w:t>
      </w:r>
    </w:p>
  </w:footnote>
  <w:footnote w:id="30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09" w:history="1">
        <w:r w:rsidRPr="00E930E6">
          <w:rPr>
            <w:rStyle w:val="Hyperlink"/>
            <w:sz w:val="24"/>
            <w:lang w:val="fi-FI"/>
          </w:rPr>
          <w:t>http://data.europa.eu/eli/C/2024/6332/oj</w:t>
        </w:r>
      </w:hyperlink>
      <w:r w:rsidRPr="00E930E6">
        <w:rPr>
          <w:sz w:val="24"/>
          <w:lang w:val="fi-FI"/>
        </w:rPr>
        <w:t>.</w:t>
      </w:r>
    </w:p>
  </w:footnote>
  <w:footnote w:id="31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10" w:history="1">
        <w:r w:rsidRPr="00E930E6">
          <w:rPr>
            <w:rStyle w:val="Hyperlink"/>
            <w:sz w:val="24"/>
            <w:lang w:val="fi-FI"/>
          </w:rPr>
          <w:t>http://data.europa.eu/eli/C/2024/6041/oj</w:t>
        </w:r>
      </w:hyperlink>
      <w:r w:rsidRPr="00E930E6">
        <w:rPr>
          <w:sz w:val="24"/>
          <w:lang w:val="fi-FI"/>
        </w:rPr>
        <w:t>.</w:t>
      </w:r>
    </w:p>
  </w:footnote>
  <w:footnote w:id="31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11" w:history="1">
        <w:r w:rsidRPr="00E930E6">
          <w:rPr>
            <w:rStyle w:val="Hyperlink"/>
            <w:sz w:val="24"/>
            <w:lang w:val="fi-FI"/>
          </w:rPr>
          <w:t>http://data.europa.eu/eli/reg/2018/1046/oj</w:t>
        </w:r>
      </w:hyperlink>
      <w:r w:rsidRPr="00E930E6">
        <w:rPr>
          <w:sz w:val="24"/>
          <w:lang w:val="fi-FI"/>
        </w:rPr>
        <w:t>.</w:t>
      </w:r>
    </w:p>
  </w:footnote>
  <w:footnote w:id="31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12" w:history="1">
        <w:r w:rsidRPr="00E930E6">
          <w:rPr>
            <w:rStyle w:val="Hyperlink"/>
            <w:sz w:val="24"/>
            <w:lang w:val="fi-FI"/>
          </w:rPr>
          <w:t>http://data.europa.eu/eli/reg/2024/2509/oj</w:t>
        </w:r>
      </w:hyperlink>
      <w:r w:rsidRPr="00E930E6">
        <w:rPr>
          <w:rStyle w:val="Hyperlink"/>
          <w:sz w:val="24"/>
          <w:lang w:val="fi-FI"/>
        </w:rPr>
        <w:t>.</w:t>
      </w:r>
    </w:p>
  </w:footnote>
  <w:footnote w:id="31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295 της 21.11.2018, σ. 99, ELI: </w:t>
      </w:r>
      <w:hyperlink r:id="rId313" w:history="1">
        <w:r w:rsidRPr="00FA711E">
          <w:rPr>
            <w:rStyle w:val="Hyperlink"/>
            <w:sz w:val="24"/>
            <w:lang w:val="el-GR"/>
          </w:rPr>
          <w:t>http://data.europa.eu/eli/reg/2018/1726/oj</w:t>
        </w:r>
      </w:hyperlink>
      <w:r w:rsidRPr="00FA711E">
        <w:rPr>
          <w:sz w:val="24"/>
          <w:lang w:val="el-GR"/>
        </w:rPr>
        <w:t>.</w:t>
      </w:r>
    </w:p>
  </w:footnote>
  <w:footnote w:id="31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14" w:history="1">
        <w:r w:rsidRPr="00FA711E">
          <w:rPr>
            <w:rStyle w:val="Hyperlink"/>
            <w:sz w:val="24"/>
            <w:lang w:val="el-GR"/>
          </w:rPr>
          <w:t>http://data.europa.eu/eli/reg_del/2019/715/oj</w:t>
        </w:r>
      </w:hyperlink>
      <w:r w:rsidRPr="00FA711E">
        <w:rPr>
          <w:sz w:val="24"/>
          <w:lang w:val="el-GR"/>
        </w:rPr>
        <w:t>.</w:t>
      </w:r>
    </w:p>
  </w:footnote>
  <w:footnote w:id="31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15" w:history="1">
        <w:r w:rsidRPr="00E930E6">
          <w:rPr>
            <w:rStyle w:val="Hyperlink"/>
            <w:sz w:val="24"/>
            <w:lang w:val="fi-FI"/>
          </w:rPr>
          <w:t>http://data.europa.eu/eli/C/2024/6332/oj</w:t>
        </w:r>
      </w:hyperlink>
      <w:r w:rsidRPr="00E930E6">
        <w:rPr>
          <w:sz w:val="24"/>
          <w:lang w:val="fi-FI"/>
        </w:rPr>
        <w:t>.</w:t>
      </w:r>
    </w:p>
  </w:footnote>
  <w:footnote w:id="31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16" w:history="1">
        <w:r w:rsidRPr="00E930E6">
          <w:rPr>
            <w:rStyle w:val="Hyperlink"/>
            <w:sz w:val="24"/>
            <w:lang w:val="fi-FI"/>
          </w:rPr>
          <w:t>http://data.europa.eu/eli/C/2024/6041/oj</w:t>
        </w:r>
      </w:hyperlink>
      <w:r w:rsidRPr="00E930E6">
        <w:rPr>
          <w:sz w:val="24"/>
          <w:lang w:val="fi-FI"/>
        </w:rPr>
        <w:t>.</w:t>
      </w:r>
    </w:p>
  </w:footnote>
  <w:footnote w:id="31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17" w:history="1">
        <w:r w:rsidRPr="00E930E6">
          <w:rPr>
            <w:rStyle w:val="Hyperlink"/>
            <w:sz w:val="24"/>
            <w:lang w:val="fi-FI"/>
          </w:rPr>
          <w:t>http://data.europa.eu/eli/reg/2018/1046/oj</w:t>
        </w:r>
      </w:hyperlink>
      <w:r w:rsidRPr="00E930E6">
        <w:rPr>
          <w:sz w:val="24"/>
          <w:lang w:val="fi-FI"/>
        </w:rPr>
        <w:t>.</w:t>
      </w:r>
    </w:p>
  </w:footnote>
  <w:footnote w:id="31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18" w:history="1">
        <w:r w:rsidRPr="00E930E6">
          <w:rPr>
            <w:rStyle w:val="Hyperlink"/>
            <w:sz w:val="24"/>
            <w:lang w:val="fi-FI"/>
          </w:rPr>
          <w:t>http://data.europa.eu/eli/reg/2024/2509/oj</w:t>
        </w:r>
      </w:hyperlink>
      <w:r w:rsidRPr="00E930E6">
        <w:rPr>
          <w:rStyle w:val="Hyperlink"/>
          <w:sz w:val="24"/>
          <w:lang w:val="fi-FI"/>
        </w:rPr>
        <w:t>.</w:t>
      </w:r>
    </w:p>
  </w:footnote>
  <w:footnote w:id="31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30 της 31.1.2019, σ. 58, ELI: </w:t>
      </w:r>
      <w:hyperlink r:id="rId319" w:history="1">
        <w:r w:rsidRPr="00FA711E">
          <w:rPr>
            <w:rStyle w:val="Hyperlink"/>
            <w:sz w:val="24"/>
            <w:lang w:val="el-GR"/>
          </w:rPr>
          <w:t>http://data.europa.eu/eli/reg/2019/126/oj</w:t>
        </w:r>
      </w:hyperlink>
      <w:r w:rsidRPr="00FA711E">
        <w:rPr>
          <w:sz w:val="24"/>
          <w:lang w:val="el-GR"/>
        </w:rPr>
        <w:t>.</w:t>
      </w:r>
    </w:p>
  </w:footnote>
  <w:footnote w:id="32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20" w:history="1">
        <w:r w:rsidRPr="00FA711E">
          <w:rPr>
            <w:rStyle w:val="Hyperlink"/>
            <w:sz w:val="24"/>
            <w:lang w:val="el-GR"/>
          </w:rPr>
          <w:t>http://data.europa.eu/eli/reg_del/2019/715/oj</w:t>
        </w:r>
      </w:hyperlink>
      <w:r w:rsidRPr="00FA711E">
        <w:rPr>
          <w:sz w:val="24"/>
          <w:lang w:val="el-GR"/>
        </w:rPr>
        <w:t>.</w:t>
      </w:r>
    </w:p>
  </w:footnote>
  <w:footnote w:id="32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21" w:history="1">
        <w:r w:rsidRPr="00E930E6">
          <w:rPr>
            <w:rStyle w:val="Hyperlink"/>
            <w:sz w:val="24"/>
            <w:lang w:val="fi-FI"/>
          </w:rPr>
          <w:t>http://data.europa.eu/eli/C/2024/6332/oj</w:t>
        </w:r>
      </w:hyperlink>
      <w:r w:rsidRPr="00E930E6">
        <w:rPr>
          <w:sz w:val="24"/>
          <w:lang w:val="fi-FI"/>
        </w:rPr>
        <w:t>.</w:t>
      </w:r>
    </w:p>
  </w:footnote>
  <w:footnote w:id="32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22" w:history="1">
        <w:r w:rsidRPr="00E930E6">
          <w:rPr>
            <w:rStyle w:val="Hyperlink"/>
            <w:sz w:val="24"/>
            <w:lang w:val="fi-FI"/>
          </w:rPr>
          <w:t>http://data.europa.eu/eli/C/2024/6041/oj</w:t>
        </w:r>
      </w:hyperlink>
      <w:r w:rsidRPr="00E930E6">
        <w:rPr>
          <w:sz w:val="24"/>
          <w:lang w:val="fi-FI"/>
        </w:rPr>
        <w:t>.</w:t>
      </w:r>
    </w:p>
  </w:footnote>
  <w:footnote w:id="32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23" w:history="1">
        <w:r w:rsidRPr="00E930E6">
          <w:rPr>
            <w:rStyle w:val="Hyperlink"/>
            <w:sz w:val="24"/>
            <w:lang w:val="fi-FI"/>
          </w:rPr>
          <w:t>http://data.europa.eu/eli/reg/2018/1046/oj</w:t>
        </w:r>
      </w:hyperlink>
      <w:r w:rsidRPr="00E930E6">
        <w:rPr>
          <w:sz w:val="24"/>
          <w:lang w:val="fi-FI"/>
        </w:rPr>
        <w:t>.</w:t>
      </w:r>
    </w:p>
  </w:footnote>
  <w:footnote w:id="32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24" w:history="1">
        <w:r w:rsidRPr="00E930E6">
          <w:rPr>
            <w:rStyle w:val="Hyperlink"/>
            <w:sz w:val="24"/>
            <w:lang w:val="fi-FI"/>
          </w:rPr>
          <w:t>http://data.europa.eu/eli/reg/2024/2509/oj</w:t>
        </w:r>
      </w:hyperlink>
      <w:r w:rsidRPr="00E930E6">
        <w:rPr>
          <w:rStyle w:val="Hyperlink"/>
          <w:sz w:val="24"/>
          <w:lang w:val="fi-FI"/>
        </w:rPr>
        <w:t>.</w:t>
      </w:r>
    </w:p>
  </w:footnote>
  <w:footnote w:id="32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30 της 31.1.2019, σ. 58, ELI: </w:t>
      </w:r>
      <w:hyperlink r:id="rId325" w:history="1">
        <w:r w:rsidRPr="00FA711E">
          <w:rPr>
            <w:rStyle w:val="Hyperlink"/>
            <w:sz w:val="24"/>
            <w:lang w:val="el-GR"/>
          </w:rPr>
          <w:t>http://data.europa.eu/eli/reg/2019/126/oj</w:t>
        </w:r>
      </w:hyperlink>
      <w:r w:rsidRPr="00FA711E">
        <w:rPr>
          <w:sz w:val="24"/>
          <w:lang w:val="el-GR"/>
        </w:rPr>
        <w:t>.</w:t>
      </w:r>
    </w:p>
  </w:footnote>
  <w:footnote w:id="32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26" w:history="1">
        <w:r w:rsidRPr="00FA711E">
          <w:rPr>
            <w:rStyle w:val="Hyperlink"/>
            <w:sz w:val="24"/>
            <w:lang w:val="el-GR"/>
          </w:rPr>
          <w:t>http://data.europa.eu/eli/reg_del/2019/715/oj</w:t>
        </w:r>
      </w:hyperlink>
      <w:r w:rsidRPr="00FA711E">
        <w:rPr>
          <w:sz w:val="24"/>
          <w:lang w:val="el-GR"/>
        </w:rPr>
        <w:t>.</w:t>
      </w:r>
    </w:p>
  </w:footnote>
  <w:footnote w:id="32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27" w:history="1">
        <w:r w:rsidRPr="00E930E6">
          <w:rPr>
            <w:rStyle w:val="Hyperlink"/>
            <w:sz w:val="24"/>
            <w:lang w:val="fi-FI"/>
          </w:rPr>
          <w:t>http://data.europa.eu/eli/C/2024/6332/oj</w:t>
        </w:r>
      </w:hyperlink>
      <w:r w:rsidRPr="00E930E6">
        <w:rPr>
          <w:sz w:val="24"/>
          <w:lang w:val="fi-FI"/>
        </w:rPr>
        <w:t>.</w:t>
      </w:r>
    </w:p>
  </w:footnote>
  <w:footnote w:id="32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28" w:history="1">
        <w:r w:rsidRPr="00E930E6">
          <w:rPr>
            <w:rStyle w:val="Hyperlink"/>
            <w:sz w:val="24"/>
            <w:lang w:val="fi-FI"/>
          </w:rPr>
          <w:t>http://data.europa.eu/eli/C/2024/6041/oj</w:t>
        </w:r>
      </w:hyperlink>
      <w:r w:rsidRPr="00E930E6">
        <w:rPr>
          <w:sz w:val="24"/>
          <w:lang w:val="fi-FI"/>
        </w:rPr>
        <w:t>.</w:t>
      </w:r>
    </w:p>
  </w:footnote>
  <w:footnote w:id="32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29" w:history="1">
        <w:r w:rsidRPr="00E930E6">
          <w:rPr>
            <w:rStyle w:val="Hyperlink"/>
            <w:sz w:val="24"/>
            <w:lang w:val="fi-FI"/>
          </w:rPr>
          <w:t>http://data.europa.eu/eli/reg/2018/1046/oj</w:t>
        </w:r>
      </w:hyperlink>
      <w:r w:rsidRPr="00E930E6">
        <w:rPr>
          <w:sz w:val="24"/>
          <w:lang w:val="fi-FI"/>
        </w:rPr>
        <w:t>.</w:t>
      </w:r>
    </w:p>
  </w:footnote>
  <w:footnote w:id="33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30" w:history="1">
        <w:r w:rsidRPr="00E930E6">
          <w:rPr>
            <w:rStyle w:val="Hyperlink"/>
            <w:sz w:val="24"/>
            <w:lang w:val="fi-FI"/>
          </w:rPr>
          <w:t>http://data.europa.eu/eli/reg/2024/2509/oj</w:t>
        </w:r>
      </w:hyperlink>
      <w:r w:rsidRPr="00E930E6">
        <w:rPr>
          <w:rStyle w:val="Hyperlink"/>
          <w:sz w:val="24"/>
          <w:lang w:val="fi-FI"/>
        </w:rPr>
        <w:t>.</w:t>
      </w:r>
    </w:p>
  </w:footnote>
  <w:footnote w:id="33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30 της 31.1.2019, σ. 74, ELI: </w:t>
      </w:r>
      <w:hyperlink r:id="rId331" w:history="1">
        <w:r w:rsidRPr="00FA711E">
          <w:rPr>
            <w:rStyle w:val="Hyperlink"/>
            <w:sz w:val="24"/>
            <w:lang w:val="el-GR"/>
          </w:rPr>
          <w:t>http://data.europa.eu/eli/reg/2019/127/oj</w:t>
        </w:r>
      </w:hyperlink>
      <w:r w:rsidRPr="00FA711E">
        <w:rPr>
          <w:sz w:val="24"/>
          <w:lang w:val="el-GR"/>
        </w:rPr>
        <w:t>.</w:t>
      </w:r>
    </w:p>
  </w:footnote>
  <w:footnote w:id="33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32" w:history="1">
        <w:r w:rsidRPr="00FA711E">
          <w:rPr>
            <w:rStyle w:val="Hyperlink"/>
            <w:sz w:val="24"/>
            <w:lang w:val="el-GR"/>
          </w:rPr>
          <w:t>http://data.europa.eu/eli/reg_del/2019/715/oj</w:t>
        </w:r>
      </w:hyperlink>
      <w:r w:rsidRPr="00FA711E">
        <w:rPr>
          <w:sz w:val="24"/>
          <w:lang w:val="el-GR"/>
        </w:rPr>
        <w:t>.</w:t>
      </w:r>
    </w:p>
  </w:footnote>
  <w:footnote w:id="33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33" w:history="1">
        <w:r w:rsidRPr="00E930E6">
          <w:rPr>
            <w:rStyle w:val="Hyperlink"/>
            <w:sz w:val="24"/>
            <w:lang w:val="fi-FI"/>
          </w:rPr>
          <w:t>http://data.europa.eu/eli/C/2024/6332/oj</w:t>
        </w:r>
      </w:hyperlink>
      <w:r w:rsidRPr="00E930E6">
        <w:rPr>
          <w:sz w:val="24"/>
          <w:lang w:val="fi-FI"/>
        </w:rPr>
        <w:t>.</w:t>
      </w:r>
    </w:p>
  </w:footnote>
  <w:footnote w:id="33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34" w:history="1">
        <w:r w:rsidRPr="00E930E6">
          <w:rPr>
            <w:rStyle w:val="Hyperlink"/>
            <w:sz w:val="24"/>
            <w:lang w:val="fi-FI"/>
          </w:rPr>
          <w:t>http://data.europa.eu/eli/C/2024/6041/oj</w:t>
        </w:r>
      </w:hyperlink>
      <w:r w:rsidRPr="00E930E6">
        <w:rPr>
          <w:sz w:val="24"/>
          <w:lang w:val="fi-FI"/>
        </w:rPr>
        <w:t>.</w:t>
      </w:r>
    </w:p>
  </w:footnote>
  <w:footnote w:id="33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35" w:history="1">
        <w:r w:rsidRPr="00E930E6">
          <w:rPr>
            <w:rStyle w:val="Hyperlink"/>
            <w:sz w:val="24"/>
            <w:lang w:val="fi-FI"/>
          </w:rPr>
          <w:t>http://data.europa.eu/eli/reg/2018/1046/oj</w:t>
        </w:r>
      </w:hyperlink>
      <w:r w:rsidRPr="00E930E6">
        <w:rPr>
          <w:sz w:val="24"/>
          <w:lang w:val="fi-FI"/>
        </w:rPr>
        <w:t>.</w:t>
      </w:r>
    </w:p>
  </w:footnote>
  <w:footnote w:id="33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36" w:history="1">
        <w:r w:rsidRPr="00E930E6">
          <w:rPr>
            <w:rStyle w:val="Hyperlink"/>
            <w:sz w:val="24"/>
            <w:lang w:val="fi-FI"/>
          </w:rPr>
          <w:t>http://data.europa.eu/eli/reg/2024/2509/oj</w:t>
        </w:r>
      </w:hyperlink>
      <w:r w:rsidRPr="00E930E6">
        <w:rPr>
          <w:rStyle w:val="Hyperlink"/>
          <w:sz w:val="24"/>
          <w:lang w:val="fi-FI"/>
        </w:rPr>
        <w:t>.</w:t>
      </w:r>
    </w:p>
  </w:footnote>
  <w:footnote w:id="33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30 της 31.1.2019, σ. 74, ELI: </w:t>
      </w:r>
      <w:hyperlink r:id="rId337" w:history="1">
        <w:r w:rsidRPr="00FA711E">
          <w:rPr>
            <w:rStyle w:val="Hyperlink"/>
            <w:sz w:val="24"/>
            <w:lang w:val="el-GR"/>
          </w:rPr>
          <w:t>http://data.europa.eu/eli/reg/2019/127/oj</w:t>
        </w:r>
      </w:hyperlink>
      <w:r w:rsidRPr="00FA711E">
        <w:rPr>
          <w:sz w:val="24"/>
          <w:lang w:val="el-GR"/>
        </w:rPr>
        <w:t>.</w:t>
      </w:r>
    </w:p>
  </w:footnote>
  <w:footnote w:id="33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38" w:history="1">
        <w:r w:rsidRPr="00FA711E">
          <w:rPr>
            <w:rStyle w:val="Hyperlink"/>
            <w:sz w:val="24"/>
            <w:lang w:val="el-GR"/>
          </w:rPr>
          <w:t>http://data.europa.eu/eli/reg_del/2019/715/oj</w:t>
        </w:r>
      </w:hyperlink>
      <w:r w:rsidRPr="00FA711E">
        <w:rPr>
          <w:sz w:val="24"/>
          <w:lang w:val="el-GR"/>
        </w:rPr>
        <w:t>.</w:t>
      </w:r>
    </w:p>
  </w:footnote>
  <w:footnote w:id="33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39" w:history="1">
        <w:r w:rsidRPr="00E930E6">
          <w:rPr>
            <w:rStyle w:val="Hyperlink"/>
            <w:sz w:val="24"/>
            <w:lang w:val="fi-FI"/>
          </w:rPr>
          <w:t>http://data.europa.eu/eli/C/2024/6332/oj</w:t>
        </w:r>
      </w:hyperlink>
      <w:r w:rsidRPr="00E930E6">
        <w:rPr>
          <w:sz w:val="24"/>
          <w:lang w:val="fi-FI"/>
        </w:rPr>
        <w:t>.</w:t>
      </w:r>
    </w:p>
  </w:footnote>
  <w:footnote w:id="34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40" w:history="1">
        <w:r w:rsidRPr="00E930E6">
          <w:rPr>
            <w:rStyle w:val="Hyperlink"/>
            <w:sz w:val="24"/>
            <w:lang w:val="fi-FI"/>
          </w:rPr>
          <w:t>http://data.europa.eu/eli/C/2024/6041/oj</w:t>
        </w:r>
      </w:hyperlink>
      <w:r w:rsidRPr="00E930E6">
        <w:rPr>
          <w:sz w:val="24"/>
          <w:lang w:val="fi-FI"/>
        </w:rPr>
        <w:t>.</w:t>
      </w:r>
    </w:p>
  </w:footnote>
  <w:footnote w:id="34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41" w:history="1">
        <w:r w:rsidRPr="00E930E6">
          <w:rPr>
            <w:rStyle w:val="Hyperlink"/>
            <w:sz w:val="24"/>
            <w:lang w:val="fi-FI"/>
          </w:rPr>
          <w:t>http://data.europa.eu/eli/reg/2018/1046/oj</w:t>
        </w:r>
      </w:hyperlink>
      <w:r w:rsidRPr="00E930E6">
        <w:rPr>
          <w:sz w:val="24"/>
          <w:lang w:val="fi-FI"/>
        </w:rPr>
        <w:t>.</w:t>
      </w:r>
    </w:p>
  </w:footnote>
  <w:footnote w:id="34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42" w:history="1">
        <w:r w:rsidRPr="00E930E6">
          <w:rPr>
            <w:rStyle w:val="Hyperlink"/>
            <w:sz w:val="24"/>
            <w:lang w:val="fi-FI"/>
          </w:rPr>
          <w:t>http://data.europa.eu/eli/reg/2024/2509/oj</w:t>
        </w:r>
      </w:hyperlink>
      <w:r w:rsidRPr="00E930E6">
        <w:rPr>
          <w:rStyle w:val="Hyperlink"/>
          <w:sz w:val="24"/>
          <w:lang w:val="fi-FI"/>
        </w:rPr>
        <w:t>.</w:t>
      </w:r>
    </w:p>
  </w:footnote>
  <w:footnote w:id="34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295 της 21.11.2018, σ. 138, ELI: </w:t>
      </w:r>
      <w:hyperlink r:id="rId343" w:history="1">
        <w:r w:rsidRPr="00FA711E">
          <w:rPr>
            <w:rStyle w:val="Hyperlink"/>
            <w:sz w:val="24"/>
            <w:lang w:val="el-GR"/>
          </w:rPr>
          <w:t>http://data.europa.eu/eli/reg/2018/1727/oj</w:t>
        </w:r>
      </w:hyperlink>
      <w:r w:rsidRPr="00FA711E">
        <w:rPr>
          <w:sz w:val="24"/>
          <w:lang w:val="el-GR"/>
        </w:rPr>
        <w:t>.</w:t>
      </w:r>
    </w:p>
  </w:footnote>
  <w:footnote w:id="34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44" w:history="1">
        <w:r w:rsidRPr="00FA711E">
          <w:rPr>
            <w:rStyle w:val="Hyperlink"/>
            <w:sz w:val="24"/>
            <w:lang w:val="el-GR"/>
          </w:rPr>
          <w:t>http://data.europa.eu/eli/reg_del/2019/715/oj</w:t>
        </w:r>
      </w:hyperlink>
      <w:r w:rsidRPr="00FA711E">
        <w:rPr>
          <w:sz w:val="24"/>
          <w:lang w:val="el-GR"/>
        </w:rPr>
        <w:t>.</w:t>
      </w:r>
    </w:p>
  </w:footnote>
  <w:footnote w:id="34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45" w:history="1">
        <w:r w:rsidRPr="00E930E6">
          <w:rPr>
            <w:rStyle w:val="Hyperlink"/>
            <w:sz w:val="24"/>
            <w:lang w:val="fi-FI"/>
          </w:rPr>
          <w:t>http://data.europa.eu/eli/C/2024/6332/oj</w:t>
        </w:r>
      </w:hyperlink>
      <w:r w:rsidRPr="00E930E6">
        <w:rPr>
          <w:sz w:val="24"/>
          <w:lang w:val="fi-FI"/>
        </w:rPr>
        <w:t>.</w:t>
      </w:r>
    </w:p>
  </w:footnote>
  <w:footnote w:id="34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46" w:history="1">
        <w:r w:rsidRPr="00E930E6">
          <w:rPr>
            <w:rStyle w:val="Hyperlink"/>
            <w:sz w:val="24"/>
            <w:lang w:val="fi-FI"/>
          </w:rPr>
          <w:t>http://data.europa.eu/eli/C/2024/6041/oj</w:t>
        </w:r>
      </w:hyperlink>
      <w:r w:rsidRPr="00E930E6">
        <w:rPr>
          <w:sz w:val="24"/>
          <w:lang w:val="fi-FI"/>
        </w:rPr>
        <w:t>.</w:t>
      </w:r>
    </w:p>
  </w:footnote>
  <w:footnote w:id="34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47" w:history="1">
        <w:r w:rsidRPr="00E930E6">
          <w:rPr>
            <w:rStyle w:val="Hyperlink"/>
            <w:sz w:val="24"/>
            <w:lang w:val="fi-FI"/>
          </w:rPr>
          <w:t>http://data.europa.eu/eli/reg/2018/1046/oj</w:t>
        </w:r>
      </w:hyperlink>
      <w:r w:rsidRPr="00E930E6">
        <w:rPr>
          <w:sz w:val="24"/>
          <w:lang w:val="fi-FI"/>
        </w:rPr>
        <w:t>.</w:t>
      </w:r>
    </w:p>
  </w:footnote>
  <w:footnote w:id="34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48" w:history="1">
        <w:r w:rsidRPr="00E930E6">
          <w:rPr>
            <w:rStyle w:val="Hyperlink"/>
            <w:sz w:val="24"/>
            <w:lang w:val="fi-FI"/>
          </w:rPr>
          <w:t>http://data.europa.eu/eli/reg/2024/2509/oj</w:t>
        </w:r>
      </w:hyperlink>
      <w:r w:rsidRPr="00E930E6">
        <w:rPr>
          <w:rStyle w:val="Hyperlink"/>
          <w:sz w:val="24"/>
          <w:lang w:val="fi-FI"/>
        </w:rPr>
        <w:t>.</w:t>
      </w:r>
    </w:p>
  </w:footnote>
  <w:footnote w:id="34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295 της 21.11.2018, σ. 138, ELI: </w:t>
      </w:r>
      <w:hyperlink r:id="rId349" w:history="1">
        <w:r w:rsidRPr="00FA711E">
          <w:rPr>
            <w:rStyle w:val="Hyperlink"/>
            <w:sz w:val="24"/>
            <w:lang w:val="el-GR"/>
          </w:rPr>
          <w:t>http://data.europa.eu/eli/reg/2018/1727/oj</w:t>
        </w:r>
      </w:hyperlink>
      <w:r w:rsidRPr="00FA711E">
        <w:rPr>
          <w:sz w:val="24"/>
          <w:lang w:val="el-GR"/>
        </w:rPr>
        <w:t>.</w:t>
      </w:r>
    </w:p>
  </w:footnote>
  <w:footnote w:id="35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50" w:history="1">
        <w:r w:rsidRPr="00FA711E">
          <w:rPr>
            <w:rStyle w:val="Hyperlink"/>
            <w:sz w:val="24"/>
            <w:lang w:val="el-GR"/>
          </w:rPr>
          <w:t>http://data.europa.eu/eli/reg_del/2019/715/oj</w:t>
        </w:r>
      </w:hyperlink>
      <w:r w:rsidRPr="00FA711E">
        <w:rPr>
          <w:sz w:val="24"/>
          <w:lang w:val="el-GR"/>
        </w:rPr>
        <w:t>.</w:t>
      </w:r>
    </w:p>
  </w:footnote>
  <w:footnote w:id="35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51" w:history="1">
        <w:r w:rsidRPr="00E930E6">
          <w:rPr>
            <w:rStyle w:val="Hyperlink"/>
            <w:sz w:val="24"/>
            <w:lang w:val="fi-FI"/>
          </w:rPr>
          <w:t>http://data.europa.eu/eli/C/2024/6332/oj</w:t>
        </w:r>
      </w:hyperlink>
      <w:r w:rsidRPr="00E930E6">
        <w:rPr>
          <w:sz w:val="24"/>
          <w:lang w:val="fi-FI"/>
        </w:rPr>
        <w:t>.</w:t>
      </w:r>
    </w:p>
  </w:footnote>
  <w:footnote w:id="35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52" w:history="1">
        <w:r w:rsidRPr="00E930E6">
          <w:rPr>
            <w:rStyle w:val="Hyperlink"/>
            <w:sz w:val="24"/>
            <w:lang w:val="fi-FI"/>
          </w:rPr>
          <w:t>http://data.europa.eu/eli/C/2024/6041/oj</w:t>
        </w:r>
      </w:hyperlink>
      <w:r w:rsidRPr="00E930E6">
        <w:rPr>
          <w:sz w:val="24"/>
          <w:lang w:val="fi-FI"/>
        </w:rPr>
        <w:t>.</w:t>
      </w:r>
    </w:p>
  </w:footnote>
  <w:footnote w:id="35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53" w:history="1">
        <w:r w:rsidRPr="00E930E6">
          <w:rPr>
            <w:rStyle w:val="Hyperlink"/>
            <w:sz w:val="24"/>
            <w:lang w:val="fi-FI"/>
          </w:rPr>
          <w:t>http://data.europa.eu/eli/reg/2018/1046/oj</w:t>
        </w:r>
      </w:hyperlink>
      <w:r w:rsidRPr="00E930E6">
        <w:rPr>
          <w:sz w:val="24"/>
          <w:lang w:val="fi-FI"/>
        </w:rPr>
        <w:t>.</w:t>
      </w:r>
    </w:p>
  </w:footnote>
  <w:footnote w:id="35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54" w:history="1">
        <w:r w:rsidRPr="00E930E6">
          <w:rPr>
            <w:rStyle w:val="Hyperlink"/>
            <w:sz w:val="24"/>
            <w:lang w:val="fi-FI"/>
          </w:rPr>
          <w:t>http://data.europa.eu/eli/reg/2024/2509/oj</w:t>
        </w:r>
      </w:hyperlink>
      <w:r w:rsidRPr="00E930E6">
        <w:rPr>
          <w:rStyle w:val="Hyperlink"/>
          <w:sz w:val="24"/>
          <w:lang w:val="fi-FI"/>
        </w:rPr>
        <w:t>.</w:t>
      </w:r>
    </w:p>
  </w:footnote>
  <w:footnote w:id="35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135 της 24.5.2016, σ. 53, ELI: </w:t>
      </w:r>
      <w:hyperlink r:id="rId355" w:history="1">
        <w:r w:rsidRPr="00FA711E">
          <w:rPr>
            <w:rStyle w:val="Hyperlink"/>
            <w:sz w:val="24"/>
            <w:lang w:val="el-GR"/>
          </w:rPr>
          <w:t>http://data.europa.eu/eli/reg/2016/794/oj</w:t>
        </w:r>
      </w:hyperlink>
      <w:r w:rsidRPr="00FA711E">
        <w:rPr>
          <w:sz w:val="24"/>
          <w:lang w:val="el-GR"/>
        </w:rPr>
        <w:t>.</w:t>
      </w:r>
    </w:p>
  </w:footnote>
  <w:footnote w:id="35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56" w:history="1">
        <w:r w:rsidRPr="00FA711E">
          <w:rPr>
            <w:rStyle w:val="Hyperlink"/>
            <w:sz w:val="24"/>
            <w:lang w:val="el-GR"/>
          </w:rPr>
          <w:t>http://data.europa.eu/eli/reg_del/2019/715/oj</w:t>
        </w:r>
      </w:hyperlink>
      <w:r w:rsidRPr="00FA711E">
        <w:rPr>
          <w:sz w:val="24"/>
          <w:lang w:val="el-GR"/>
        </w:rPr>
        <w:t>.</w:t>
      </w:r>
    </w:p>
  </w:footnote>
  <w:footnote w:id="35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57" w:history="1">
        <w:r w:rsidRPr="00E930E6">
          <w:rPr>
            <w:rStyle w:val="Hyperlink"/>
            <w:sz w:val="24"/>
            <w:lang w:val="fi-FI"/>
          </w:rPr>
          <w:t>http://data.europa.eu/eli/C/2024/6332/oj</w:t>
        </w:r>
      </w:hyperlink>
      <w:r w:rsidRPr="00E930E6">
        <w:rPr>
          <w:sz w:val="24"/>
          <w:lang w:val="fi-FI"/>
        </w:rPr>
        <w:t>.</w:t>
      </w:r>
    </w:p>
  </w:footnote>
  <w:footnote w:id="35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58" w:history="1">
        <w:r w:rsidRPr="00E930E6">
          <w:rPr>
            <w:rStyle w:val="Hyperlink"/>
            <w:sz w:val="24"/>
            <w:lang w:val="fi-FI"/>
          </w:rPr>
          <w:t>http://data.europa.eu/eli/C/2024/6041/oj</w:t>
        </w:r>
      </w:hyperlink>
      <w:r w:rsidRPr="00E930E6">
        <w:rPr>
          <w:sz w:val="24"/>
          <w:lang w:val="fi-FI"/>
        </w:rPr>
        <w:t>.</w:t>
      </w:r>
    </w:p>
  </w:footnote>
  <w:footnote w:id="35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59" w:history="1">
        <w:r w:rsidRPr="00E930E6">
          <w:rPr>
            <w:rStyle w:val="Hyperlink"/>
            <w:sz w:val="24"/>
            <w:lang w:val="fi-FI"/>
          </w:rPr>
          <w:t>http://data.europa.eu/eli/reg/2018/1046/oj</w:t>
        </w:r>
      </w:hyperlink>
      <w:r w:rsidRPr="00E930E6">
        <w:rPr>
          <w:sz w:val="24"/>
          <w:lang w:val="fi-FI"/>
        </w:rPr>
        <w:t>.</w:t>
      </w:r>
    </w:p>
  </w:footnote>
  <w:footnote w:id="36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60" w:history="1">
        <w:r w:rsidRPr="00E930E6">
          <w:rPr>
            <w:rStyle w:val="Hyperlink"/>
            <w:sz w:val="24"/>
            <w:lang w:val="fi-FI"/>
          </w:rPr>
          <w:t>http://data.europa.eu/eli/reg/2024/2509/oj</w:t>
        </w:r>
      </w:hyperlink>
      <w:r w:rsidRPr="00E930E6">
        <w:rPr>
          <w:rStyle w:val="Hyperlink"/>
          <w:sz w:val="24"/>
          <w:lang w:val="fi-FI"/>
        </w:rPr>
        <w:t>.</w:t>
      </w:r>
    </w:p>
  </w:footnote>
  <w:footnote w:id="36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135 της 24.5.2016, σ. 53, ELI: </w:t>
      </w:r>
      <w:hyperlink r:id="rId361" w:history="1">
        <w:r w:rsidRPr="00FA711E">
          <w:rPr>
            <w:rStyle w:val="Hyperlink"/>
            <w:sz w:val="24"/>
            <w:lang w:val="el-GR"/>
          </w:rPr>
          <w:t>http://data.europa.eu/eli/reg/2016/794/oj</w:t>
        </w:r>
      </w:hyperlink>
      <w:r w:rsidRPr="00FA711E">
        <w:rPr>
          <w:sz w:val="24"/>
          <w:lang w:val="el-GR"/>
        </w:rPr>
        <w:t>.</w:t>
      </w:r>
    </w:p>
  </w:footnote>
  <w:footnote w:id="36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62" w:history="1">
        <w:r w:rsidRPr="00FA711E">
          <w:rPr>
            <w:rStyle w:val="Hyperlink"/>
            <w:sz w:val="24"/>
            <w:lang w:val="el-GR"/>
          </w:rPr>
          <w:t>http://data.europa.eu/eli/reg_del/2019/715/oj</w:t>
        </w:r>
      </w:hyperlink>
      <w:r w:rsidRPr="00FA711E">
        <w:rPr>
          <w:sz w:val="24"/>
          <w:lang w:val="el-GR"/>
        </w:rPr>
        <w:t>.</w:t>
      </w:r>
    </w:p>
  </w:footnote>
  <w:footnote w:id="36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63" w:history="1">
        <w:r w:rsidRPr="00E930E6">
          <w:rPr>
            <w:rStyle w:val="Hyperlink"/>
            <w:sz w:val="24"/>
            <w:lang w:val="fi-FI"/>
          </w:rPr>
          <w:t>http://data.europa.eu/eli/C/2024/6332/oj</w:t>
        </w:r>
      </w:hyperlink>
      <w:r w:rsidRPr="00E930E6">
        <w:rPr>
          <w:sz w:val="24"/>
          <w:lang w:val="fi-FI"/>
        </w:rPr>
        <w:t>.</w:t>
      </w:r>
    </w:p>
  </w:footnote>
  <w:footnote w:id="36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64" w:history="1">
        <w:r w:rsidRPr="00E930E6">
          <w:rPr>
            <w:rStyle w:val="Hyperlink"/>
            <w:sz w:val="24"/>
            <w:lang w:val="fi-FI"/>
          </w:rPr>
          <w:t>http://data.europa.eu/eli/C/2024/6041/oj</w:t>
        </w:r>
      </w:hyperlink>
      <w:r w:rsidRPr="00E930E6">
        <w:rPr>
          <w:sz w:val="24"/>
          <w:lang w:val="fi-FI"/>
        </w:rPr>
        <w:t>.</w:t>
      </w:r>
    </w:p>
  </w:footnote>
  <w:footnote w:id="36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65" w:history="1">
        <w:r w:rsidRPr="00E930E6">
          <w:rPr>
            <w:rStyle w:val="Hyperlink"/>
            <w:sz w:val="24"/>
            <w:lang w:val="fi-FI"/>
          </w:rPr>
          <w:t>http://data.europa.eu/eli/reg/2018/1046/oj</w:t>
        </w:r>
      </w:hyperlink>
      <w:r w:rsidRPr="00E930E6">
        <w:rPr>
          <w:sz w:val="24"/>
          <w:lang w:val="fi-FI"/>
        </w:rPr>
        <w:t>.</w:t>
      </w:r>
    </w:p>
  </w:footnote>
  <w:footnote w:id="36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66" w:history="1">
        <w:r w:rsidRPr="00E930E6">
          <w:rPr>
            <w:rStyle w:val="Hyperlink"/>
            <w:sz w:val="24"/>
            <w:lang w:val="fi-FI"/>
          </w:rPr>
          <w:t>http://data.europa.eu/eli/reg/2024/2509/oj</w:t>
        </w:r>
      </w:hyperlink>
      <w:r w:rsidRPr="00E930E6">
        <w:rPr>
          <w:rStyle w:val="Hyperlink"/>
          <w:sz w:val="24"/>
          <w:lang w:val="fi-FI"/>
        </w:rPr>
        <w:t>.</w:t>
      </w:r>
    </w:p>
  </w:footnote>
  <w:footnote w:id="36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170 της 12.5.2021, σ. 69, ELI: </w:t>
      </w:r>
      <w:hyperlink r:id="rId367" w:history="1">
        <w:r w:rsidRPr="00FA711E">
          <w:rPr>
            <w:rStyle w:val="Hyperlink"/>
            <w:sz w:val="24"/>
            <w:lang w:val="el-GR"/>
          </w:rPr>
          <w:t>http://data.europa.eu/eli/reg/2021/696/oj</w:t>
        </w:r>
      </w:hyperlink>
      <w:r w:rsidRPr="00FA711E">
        <w:rPr>
          <w:sz w:val="24"/>
          <w:lang w:val="el-GR"/>
        </w:rPr>
        <w:t>.</w:t>
      </w:r>
    </w:p>
  </w:footnote>
  <w:footnote w:id="36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68" w:history="1">
        <w:r w:rsidRPr="00FA711E">
          <w:rPr>
            <w:rStyle w:val="Hyperlink"/>
            <w:sz w:val="24"/>
            <w:lang w:val="el-GR"/>
          </w:rPr>
          <w:t>http://data.europa.eu/eli/reg_del/2019/715/oj</w:t>
        </w:r>
      </w:hyperlink>
      <w:r w:rsidRPr="00FA711E">
        <w:rPr>
          <w:sz w:val="24"/>
          <w:lang w:val="el-GR"/>
        </w:rPr>
        <w:t>.</w:t>
      </w:r>
    </w:p>
  </w:footnote>
  <w:footnote w:id="36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69" w:history="1">
        <w:r w:rsidRPr="00E930E6">
          <w:rPr>
            <w:rStyle w:val="Hyperlink"/>
            <w:sz w:val="24"/>
            <w:lang w:val="fi-FI"/>
          </w:rPr>
          <w:t>http://data.europa.eu/eli/C/2024/6332/oj</w:t>
        </w:r>
      </w:hyperlink>
      <w:r w:rsidRPr="00E930E6">
        <w:rPr>
          <w:sz w:val="24"/>
          <w:lang w:val="fi-FI"/>
        </w:rPr>
        <w:t>.</w:t>
      </w:r>
    </w:p>
  </w:footnote>
  <w:footnote w:id="37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70" w:history="1">
        <w:r w:rsidRPr="00E930E6">
          <w:rPr>
            <w:rStyle w:val="Hyperlink"/>
            <w:sz w:val="24"/>
            <w:lang w:val="fi-FI"/>
          </w:rPr>
          <w:t>http://data.europa.eu/eli/C/2024/6041/oj</w:t>
        </w:r>
      </w:hyperlink>
      <w:r w:rsidRPr="00E930E6">
        <w:rPr>
          <w:sz w:val="24"/>
          <w:lang w:val="fi-FI"/>
        </w:rPr>
        <w:t>.</w:t>
      </w:r>
    </w:p>
  </w:footnote>
  <w:footnote w:id="37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71" w:history="1">
        <w:r w:rsidRPr="00E930E6">
          <w:rPr>
            <w:rStyle w:val="Hyperlink"/>
            <w:sz w:val="24"/>
            <w:lang w:val="fi-FI"/>
          </w:rPr>
          <w:t>http://data.europa.eu/eli/reg/2018/1046/oj</w:t>
        </w:r>
      </w:hyperlink>
      <w:r w:rsidRPr="00E930E6">
        <w:rPr>
          <w:sz w:val="24"/>
          <w:lang w:val="fi-FI"/>
        </w:rPr>
        <w:t>.</w:t>
      </w:r>
    </w:p>
  </w:footnote>
  <w:footnote w:id="37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72" w:history="1">
        <w:r w:rsidRPr="00E930E6">
          <w:rPr>
            <w:rStyle w:val="Hyperlink"/>
            <w:sz w:val="24"/>
            <w:lang w:val="fi-FI"/>
          </w:rPr>
          <w:t>http://data.europa.eu/eli/reg/2024/2509/oj</w:t>
        </w:r>
      </w:hyperlink>
      <w:r w:rsidRPr="00E930E6">
        <w:rPr>
          <w:rStyle w:val="Hyperlink"/>
          <w:sz w:val="24"/>
          <w:lang w:val="fi-FI"/>
        </w:rPr>
        <w:t>.</w:t>
      </w:r>
    </w:p>
  </w:footnote>
  <w:footnote w:id="37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170 της 12.5.2021, σ. 69, ELI: </w:t>
      </w:r>
      <w:hyperlink r:id="rId373" w:history="1">
        <w:r w:rsidRPr="00FA711E">
          <w:rPr>
            <w:rStyle w:val="Hyperlink"/>
            <w:sz w:val="24"/>
            <w:lang w:val="el-GR"/>
          </w:rPr>
          <w:t>http://data.europa.eu/eli/reg/2021/696/oj</w:t>
        </w:r>
      </w:hyperlink>
      <w:r w:rsidRPr="00FA711E">
        <w:rPr>
          <w:sz w:val="24"/>
          <w:lang w:val="el-GR"/>
        </w:rPr>
        <w:t>.</w:t>
      </w:r>
    </w:p>
  </w:footnote>
  <w:footnote w:id="37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74" w:history="1">
        <w:r w:rsidRPr="00FA711E">
          <w:rPr>
            <w:rStyle w:val="Hyperlink"/>
            <w:sz w:val="24"/>
            <w:lang w:val="el-GR"/>
          </w:rPr>
          <w:t>http://data.europa.eu/eli/reg_del/2019/715/oj</w:t>
        </w:r>
      </w:hyperlink>
      <w:r w:rsidRPr="00FA711E">
        <w:rPr>
          <w:sz w:val="24"/>
          <w:lang w:val="el-GR"/>
        </w:rPr>
        <w:t>.</w:t>
      </w:r>
    </w:p>
  </w:footnote>
  <w:footnote w:id="37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75" w:history="1">
        <w:r w:rsidRPr="00E930E6">
          <w:rPr>
            <w:rStyle w:val="Hyperlink"/>
            <w:sz w:val="24"/>
            <w:lang w:val="fi-FI"/>
          </w:rPr>
          <w:t>http://data.europa.eu/eli/C/2024/6332/oj</w:t>
        </w:r>
      </w:hyperlink>
      <w:r w:rsidRPr="00E930E6">
        <w:rPr>
          <w:sz w:val="24"/>
          <w:lang w:val="fi-FI"/>
        </w:rPr>
        <w:t>.</w:t>
      </w:r>
    </w:p>
  </w:footnote>
  <w:footnote w:id="37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76" w:history="1">
        <w:r w:rsidRPr="00E930E6">
          <w:rPr>
            <w:rStyle w:val="Hyperlink"/>
            <w:sz w:val="24"/>
            <w:lang w:val="fi-FI"/>
          </w:rPr>
          <w:t>http://data.europa.eu/eli/C/2024/6041/oj</w:t>
        </w:r>
      </w:hyperlink>
      <w:r w:rsidRPr="00E930E6">
        <w:rPr>
          <w:sz w:val="24"/>
          <w:lang w:val="fi-FI"/>
        </w:rPr>
        <w:t>.</w:t>
      </w:r>
    </w:p>
  </w:footnote>
  <w:footnote w:id="37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77" w:history="1">
        <w:r w:rsidRPr="00E930E6">
          <w:rPr>
            <w:rStyle w:val="Hyperlink"/>
            <w:sz w:val="24"/>
            <w:lang w:val="fi-FI"/>
          </w:rPr>
          <w:t>http://data.europa.eu/eli/reg/2018/1046/oj</w:t>
        </w:r>
      </w:hyperlink>
      <w:r w:rsidRPr="00E930E6">
        <w:rPr>
          <w:sz w:val="24"/>
          <w:lang w:val="fi-FI"/>
        </w:rPr>
        <w:t>.</w:t>
      </w:r>
    </w:p>
  </w:footnote>
  <w:footnote w:id="37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78" w:history="1">
        <w:r w:rsidRPr="00E930E6">
          <w:rPr>
            <w:rStyle w:val="Hyperlink"/>
            <w:sz w:val="24"/>
            <w:lang w:val="fi-FI"/>
          </w:rPr>
          <w:t>http://data.europa.eu/eli/reg/2024/2509/oj</w:t>
        </w:r>
      </w:hyperlink>
      <w:r w:rsidRPr="00E930E6">
        <w:rPr>
          <w:rStyle w:val="Hyperlink"/>
          <w:sz w:val="24"/>
          <w:lang w:val="fi-FI"/>
        </w:rPr>
        <w:t>.</w:t>
      </w:r>
    </w:p>
  </w:footnote>
  <w:footnote w:id="37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53 της 22.2.2007, σ. 1, ELI: </w:t>
      </w:r>
      <w:hyperlink r:id="rId379" w:history="1">
        <w:r w:rsidRPr="00FA711E">
          <w:rPr>
            <w:rStyle w:val="Hyperlink"/>
            <w:sz w:val="24"/>
            <w:lang w:val="el-GR"/>
          </w:rPr>
          <w:t>http://data.europa.eu/eli/reg/2007/168/oj</w:t>
        </w:r>
      </w:hyperlink>
      <w:r w:rsidRPr="00FA711E">
        <w:rPr>
          <w:sz w:val="24"/>
          <w:lang w:val="el-GR"/>
        </w:rPr>
        <w:t>.</w:t>
      </w:r>
    </w:p>
  </w:footnote>
  <w:footnote w:id="38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80" w:history="1">
        <w:r w:rsidRPr="00FA711E">
          <w:rPr>
            <w:rStyle w:val="Hyperlink"/>
            <w:sz w:val="24"/>
            <w:lang w:val="el-GR"/>
          </w:rPr>
          <w:t>http://data.europa.eu/eli/reg_del/2019/715/oj</w:t>
        </w:r>
      </w:hyperlink>
      <w:r w:rsidRPr="00FA711E">
        <w:rPr>
          <w:sz w:val="24"/>
          <w:lang w:val="el-GR"/>
        </w:rPr>
        <w:t>.</w:t>
      </w:r>
    </w:p>
  </w:footnote>
  <w:footnote w:id="381">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81" w:history="1">
        <w:r w:rsidRPr="00E930E6">
          <w:rPr>
            <w:rStyle w:val="Hyperlink"/>
            <w:sz w:val="24"/>
            <w:lang w:val="fi-FI"/>
          </w:rPr>
          <w:t>http://data.europa.eu/eli/C/2024/6332/oj</w:t>
        </w:r>
      </w:hyperlink>
      <w:r w:rsidRPr="00E930E6">
        <w:rPr>
          <w:sz w:val="24"/>
          <w:lang w:val="fi-FI"/>
        </w:rPr>
        <w:t>.</w:t>
      </w:r>
    </w:p>
  </w:footnote>
  <w:footnote w:id="382">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82" w:history="1">
        <w:r w:rsidRPr="00E930E6">
          <w:rPr>
            <w:rStyle w:val="Hyperlink"/>
            <w:sz w:val="24"/>
            <w:lang w:val="fi-FI"/>
          </w:rPr>
          <w:t>http://data.europa.eu/eli/C/2024/6041/oj</w:t>
        </w:r>
      </w:hyperlink>
      <w:r w:rsidRPr="00E930E6">
        <w:rPr>
          <w:sz w:val="24"/>
          <w:lang w:val="fi-FI"/>
        </w:rPr>
        <w:t>.</w:t>
      </w:r>
    </w:p>
  </w:footnote>
  <w:footnote w:id="38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83" w:history="1">
        <w:r w:rsidRPr="00E930E6">
          <w:rPr>
            <w:rStyle w:val="Hyperlink"/>
            <w:sz w:val="24"/>
            <w:lang w:val="fi-FI"/>
          </w:rPr>
          <w:t>http://data.europa.eu/eli/reg/2018/1046/oj</w:t>
        </w:r>
      </w:hyperlink>
      <w:r w:rsidRPr="00E930E6">
        <w:rPr>
          <w:sz w:val="24"/>
          <w:lang w:val="fi-FI"/>
        </w:rPr>
        <w:t>.</w:t>
      </w:r>
    </w:p>
  </w:footnote>
  <w:footnote w:id="38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84" w:history="1">
        <w:r w:rsidRPr="00E930E6">
          <w:rPr>
            <w:rStyle w:val="Hyperlink"/>
            <w:sz w:val="24"/>
            <w:lang w:val="fi-FI"/>
          </w:rPr>
          <w:t>http://data.europa.eu/eli/reg/2024/2509/oj</w:t>
        </w:r>
      </w:hyperlink>
      <w:r w:rsidRPr="00E930E6">
        <w:rPr>
          <w:rStyle w:val="Hyperlink"/>
          <w:sz w:val="24"/>
          <w:lang w:val="fi-FI"/>
        </w:rPr>
        <w:t>.</w:t>
      </w:r>
    </w:p>
  </w:footnote>
  <w:footnote w:id="38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53 της 22.2.2007, σ. 1, ELI: </w:t>
      </w:r>
      <w:hyperlink r:id="rId385" w:history="1">
        <w:r w:rsidRPr="00FA711E">
          <w:rPr>
            <w:rStyle w:val="Hyperlink"/>
            <w:sz w:val="24"/>
            <w:lang w:val="el-GR"/>
          </w:rPr>
          <w:t>http://data.europa.eu/eli/reg/2007/168/oj</w:t>
        </w:r>
      </w:hyperlink>
      <w:r w:rsidRPr="00FA711E">
        <w:rPr>
          <w:sz w:val="24"/>
          <w:lang w:val="el-GR"/>
        </w:rPr>
        <w:t>.</w:t>
      </w:r>
    </w:p>
  </w:footnote>
  <w:footnote w:id="38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86" w:history="1">
        <w:r w:rsidRPr="00FA711E">
          <w:rPr>
            <w:rStyle w:val="Hyperlink"/>
            <w:sz w:val="24"/>
            <w:lang w:val="el-GR"/>
          </w:rPr>
          <w:t>http://data.europa.eu/eli/reg_del/2019/715/oj</w:t>
        </w:r>
      </w:hyperlink>
      <w:r w:rsidRPr="00FA711E">
        <w:rPr>
          <w:sz w:val="24"/>
          <w:lang w:val="el-GR"/>
        </w:rPr>
        <w:t>.</w:t>
      </w:r>
    </w:p>
  </w:footnote>
  <w:footnote w:id="387">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87" w:history="1">
        <w:r w:rsidRPr="00E930E6">
          <w:rPr>
            <w:rStyle w:val="Hyperlink"/>
            <w:sz w:val="24"/>
            <w:lang w:val="fi-FI"/>
          </w:rPr>
          <w:t>http://data.europa.eu/eli/C/2024/6332/oj</w:t>
        </w:r>
      </w:hyperlink>
      <w:r w:rsidRPr="00E930E6">
        <w:rPr>
          <w:sz w:val="24"/>
          <w:lang w:val="fi-FI"/>
        </w:rPr>
        <w:t>.</w:t>
      </w:r>
    </w:p>
  </w:footnote>
  <w:footnote w:id="388">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88" w:history="1">
        <w:r w:rsidRPr="00E930E6">
          <w:rPr>
            <w:rStyle w:val="Hyperlink"/>
            <w:sz w:val="24"/>
            <w:lang w:val="fi-FI"/>
          </w:rPr>
          <w:t>http://data.europa.eu/eli/C/2024/6041/oj</w:t>
        </w:r>
      </w:hyperlink>
      <w:r w:rsidRPr="00E930E6">
        <w:rPr>
          <w:sz w:val="24"/>
          <w:lang w:val="fi-FI"/>
        </w:rPr>
        <w:t>.</w:t>
      </w:r>
    </w:p>
  </w:footnote>
  <w:footnote w:id="389">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89" w:history="1">
        <w:r w:rsidRPr="00E930E6">
          <w:rPr>
            <w:rStyle w:val="Hyperlink"/>
            <w:sz w:val="24"/>
            <w:lang w:val="fi-FI"/>
          </w:rPr>
          <w:t>http://data.europa.eu/eli/reg/2018/1046/oj</w:t>
        </w:r>
      </w:hyperlink>
      <w:r w:rsidRPr="00E930E6">
        <w:rPr>
          <w:sz w:val="24"/>
          <w:lang w:val="fi-FI"/>
        </w:rPr>
        <w:t>.</w:t>
      </w:r>
    </w:p>
  </w:footnote>
  <w:footnote w:id="390">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90" w:history="1">
        <w:r w:rsidRPr="00E930E6">
          <w:rPr>
            <w:rStyle w:val="Hyperlink"/>
            <w:sz w:val="24"/>
            <w:lang w:val="fi-FI"/>
          </w:rPr>
          <w:t>http://data.europa.eu/eli/reg/2024/2509/oj</w:t>
        </w:r>
      </w:hyperlink>
      <w:r w:rsidRPr="00E930E6">
        <w:rPr>
          <w:rStyle w:val="Hyperlink"/>
          <w:sz w:val="24"/>
          <w:lang w:val="fi-FI"/>
        </w:rPr>
        <w:t>.</w:t>
      </w:r>
    </w:p>
  </w:footnote>
  <w:footnote w:id="39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295 της 14.11.2019, σ. 1, ELI: </w:t>
      </w:r>
      <w:hyperlink r:id="rId391" w:history="1">
        <w:r w:rsidRPr="00FA711E">
          <w:rPr>
            <w:rStyle w:val="Hyperlink"/>
            <w:sz w:val="24"/>
            <w:lang w:val="el-GR"/>
          </w:rPr>
          <w:t>http://data.europa.eu/eli/reg/2019/1896/oj</w:t>
        </w:r>
      </w:hyperlink>
      <w:r w:rsidRPr="00FA711E">
        <w:rPr>
          <w:sz w:val="24"/>
          <w:lang w:val="el-GR"/>
        </w:rPr>
        <w:t>.</w:t>
      </w:r>
    </w:p>
  </w:footnote>
  <w:footnote w:id="39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92" w:history="1">
        <w:r w:rsidRPr="00FA711E">
          <w:rPr>
            <w:rStyle w:val="Hyperlink"/>
            <w:sz w:val="24"/>
            <w:lang w:val="el-GR"/>
          </w:rPr>
          <w:t>http://data.europa.eu/eli/reg_del/2019/715/oj</w:t>
        </w:r>
      </w:hyperlink>
      <w:r w:rsidRPr="00FA711E">
        <w:rPr>
          <w:sz w:val="24"/>
          <w:lang w:val="el-GR"/>
        </w:rPr>
        <w:t>.</w:t>
      </w:r>
    </w:p>
  </w:footnote>
  <w:footnote w:id="393">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C/2024/6332, 24.10.2024, ELI: </w:t>
      </w:r>
      <w:hyperlink r:id="rId393" w:history="1">
        <w:r w:rsidRPr="00E930E6">
          <w:rPr>
            <w:rStyle w:val="Hyperlink"/>
            <w:sz w:val="24"/>
            <w:lang w:val="fi-FI"/>
          </w:rPr>
          <w:t>http://data.europa.eu/eli/C/2024/6332/oj</w:t>
        </w:r>
      </w:hyperlink>
      <w:r w:rsidRPr="00E930E6">
        <w:rPr>
          <w:sz w:val="24"/>
          <w:lang w:val="fi-FI"/>
        </w:rPr>
        <w:t>.</w:t>
      </w:r>
    </w:p>
  </w:footnote>
  <w:footnote w:id="394">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C, C/2024/6041, 10.10.2024, ELI: </w:t>
      </w:r>
      <w:hyperlink r:id="rId394" w:history="1">
        <w:r w:rsidRPr="00E930E6">
          <w:rPr>
            <w:rStyle w:val="Hyperlink"/>
            <w:sz w:val="24"/>
            <w:lang w:val="fi-FI"/>
          </w:rPr>
          <w:t>http://data.europa.eu/eli/C/2024/6041/oj</w:t>
        </w:r>
      </w:hyperlink>
      <w:r w:rsidRPr="00E930E6">
        <w:rPr>
          <w:sz w:val="24"/>
          <w:lang w:val="fi-FI"/>
        </w:rPr>
        <w:t>.</w:t>
      </w:r>
    </w:p>
  </w:footnote>
  <w:footnote w:id="395">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t xml:space="preserve">EE L 193 </w:t>
      </w:r>
      <w:r w:rsidRPr="00FA711E">
        <w:rPr>
          <w:sz w:val="24"/>
          <w:lang w:val="el-GR"/>
        </w:rPr>
        <w:t>της</w:t>
      </w:r>
      <w:r w:rsidRPr="00E930E6">
        <w:rPr>
          <w:sz w:val="24"/>
          <w:lang w:val="fi-FI"/>
        </w:rPr>
        <w:t xml:space="preserve"> 30.7.2018, </w:t>
      </w:r>
      <w:r w:rsidRPr="00FA711E">
        <w:rPr>
          <w:sz w:val="24"/>
          <w:lang w:val="el-GR"/>
        </w:rPr>
        <w:t>σ</w:t>
      </w:r>
      <w:r w:rsidRPr="00E930E6">
        <w:rPr>
          <w:sz w:val="24"/>
          <w:lang w:val="fi-FI"/>
        </w:rPr>
        <w:t xml:space="preserve">. 1, ELI: </w:t>
      </w:r>
      <w:hyperlink r:id="rId395" w:history="1">
        <w:r w:rsidRPr="00E930E6">
          <w:rPr>
            <w:rStyle w:val="Hyperlink"/>
            <w:sz w:val="24"/>
            <w:lang w:val="fi-FI"/>
          </w:rPr>
          <w:t>http://data.europa.eu/eli/reg/2018/1046/oj</w:t>
        </w:r>
      </w:hyperlink>
      <w:r w:rsidRPr="00E930E6">
        <w:rPr>
          <w:sz w:val="24"/>
          <w:lang w:val="fi-FI"/>
        </w:rPr>
        <w:t>.</w:t>
      </w:r>
    </w:p>
  </w:footnote>
  <w:footnote w:id="396">
    <w:p w:rsidR="00B275DA" w:rsidRPr="00E930E6" w:rsidRDefault="00B275DA" w:rsidP="00E930E6">
      <w:pPr>
        <w:pStyle w:val="FootnoteText"/>
        <w:spacing w:line="240" w:lineRule="auto"/>
        <w:ind w:left="567" w:hanging="567"/>
        <w:rPr>
          <w:sz w:val="24"/>
          <w:lang w:val="fi-FI"/>
        </w:rPr>
      </w:pPr>
      <w:r w:rsidRPr="00FA711E">
        <w:rPr>
          <w:rStyle w:val="FootnoteReference"/>
          <w:sz w:val="24"/>
          <w:lang w:val="el-GR"/>
        </w:rPr>
        <w:footnoteRef/>
      </w:r>
      <w:r w:rsidRPr="00E930E6">
        <w:rPr>
          <w:sz w:val="24"/>
          <w:lang w:val="fi-FI"/>
        </w:rPr>
        <w:t xml:space="preserve"> </w:t>
      </w:r>
      <w:r w:rsidRPr="00E930E6">
        <w:rPr>
          <w:sz w:val="24"/>
          <w:lang w:val="fi-FI"/>
        </w:rPr>
        <w:tab/>
      </w:r>
      <w:r w:rsidRPr="00FA711E">
        <w:rPr>
          <w:sz w:val="24"/>
          <w:lang w:val="el-GR"/>
        </w:rPr>
        <w:t>ΕΕ</w:t>
      </w:r>
      <w:r w:rsidRPr="00E930E6">
        <w:rPr>
          <w:sz w:val="24"/>
          <w:lang w:val="fi-FI"/>
        </w:rPr>
        <w:t xml:space="preserve"> L, 2024/2509, 26.9.2024, ELI: </w:t>
      </w:r>
      <w:hyperlink r:id="rId396" w:history="1">
        <w:r w:rsidRPr="00E930E6">
          <w:rPr>
            <w:rStyle w:val="Hyperlink"/>
            <w:sz w:val="24"/>
            <w:lang w:val="fi-FI"/>
          </w:rPr>
          <w:t>http://data.europa.eu/eli/reg/2024/2509/oj</w:t>
        </w:r>
      </w:hyperlink>
      <w:r w:rsidRPr="00E930E6">
        <w:rPr>
          <w:rStyle w:val="Hyperlink"/>
          <w:sz w:val="24"/>
          <w:lang w:val="fi-FI"/>
        </w:rPr>
        <w:t>.</w:t>
      </w:r>
    </w:p>
  </w:footnote>
  <w:footnote w:id="39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295 της 14.11.2019, σ. 1, ELI: </w:t>
      </w:r>
      <w:hyperlink r:id="rId397" w:history="1">
        <w:r w:rsidRPr="00FA711E">
          <w:rPr>
            <w:rStyle w:val="Hyperlink"/>
            <w:sz w:val="24"/>
            <w:lang w:val="el-GR"/>
          </w:rPr>
          <w:t>http://data.europa.eu/eli/reg/2019/1896/oj</w:t>
        </w:r>
      </w:hyperlink>
      <w:r w:rsidRPr="00FA711E">
        <w:rPr>
          <w:sz w:val="24"/>
          <w:lang w:val="el-GR"/>
        </w:rPr>
        <w:t>.</w:t>
      </w:r>
    </w:p>
  </w:footnote>
  <w:footnote w:id="39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ΕΕ L 122 της 10.5.2019, σ. 1, ELI: </w:t>
      </w:r>
      <w:hyperlink r:id="rId398" w:history="1">
        <w:r w:rsidRPr="00FA711E">
          <w:rPr>
            <w:rStyle w:val="Hyperlink"/>
            <w:sz w:val="24"/>
            <w:lang w:val="el-GR"/>
          </w:rPr>
          <w:t>http://data.europa.eu/eli/reg_del/2019/715/oj</w:t>
        </w:r>
      </w:hyperlink>
      <w:r w:rsidRPr="00FA711E">
        <w:rPr>
          <w:sz w:val="24"/>
          <w:lang w:val="el-GR"/>
        </w:rPr>
        <w:t>.</w:t>
      </w:r>
    </w:p>
  </w:footnote>
  <w:footnote w:id="39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Υπάρχουν τρία είδη οργανισμών της ΕΕ: αποκεντρωμένοι οργανισμοί, εκτελεστικοί οργανισμοί και άλλα όργανα.</w:t>
      </w:r>
    </w:p>
  </w:footnote>
  <w:footnote w:id="40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r>
      <w:hyperlink r:id="rId399" w:history="1">
        <w:r w:rsidRPr="00FA711E">
          <w:rPr>
            <w:rStyle w:val="Hyperlink"/>
            <w:sz w:val="24"/>
            <w:lang w:val="el-GR"/>
          </w:rPr>
          <w:t>Κοινή δήλωση</w:t>
        </w:r>
      </w:hyperlink>
      <w:r w:rsidRPr="00FA711E">
        <w:rPr>
          <w:sz w:val="24"/>
          <w:lang w:val="el-GR"/>
        </w:rPr>
        <w:t xml:space="preserve"> του Ευρωπαϊκού Κοινοβουλίου, του Συμβουλίου της ΕΕ και της Ευρωπαϊκής Επιτροπής για τους αποκεντρωμένους οργανισμούς, του Ιουλίου 2012.</w:t>
      </w:r>
    </w:p>
  </w:footnote>
  <w:footnote w:id="40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«Το μέλλον των οργανισμών της ΕΕ – </w:t>
      </w:r>
      <w:r w:rsidR="00B063F2">
        <w:rPr>
          <w:sz w:val="24"/>
          <w:lang w:val="el-GR"/>
        </w:rPr>
        <w:t>Π</w:t>
      </w:r>
      <w:r w:rsidRPr="00FA711E">
        <w:rPr>
          <w:sz w:val="24"/>
          <w:lang w:val="el-GR"/>
        </w:rPr>
        <w:t xml:space="preserve">εριθώριο για μεγαλύτερη ευελιξία και συνεργασία», </w:t>
      </w:r>
      <w:hyperlink r:id="rId400" w:history="1">
        <w:r w:rsidRPr="00FA711E">
          <w:rPr>
            <w:rStyle w:val="Hyperlink"/>
            <w:sz w:val="24"/>
            <w:lang w:val="el-GR"/>
          </w:rPr>
          <w:t>https://op.europa.eu/webpub/eca/special-reports/agencies-performance-audit-22-2020/el/</w:t>
        </w:r>
      </w:hyperlink>
      <w:r w:rsidRPr="00FA711E">
        <w:rPr>
          <w:rStyle w:val="Hyperlink"/>
          <w:sz w:val="24"/>
          <w:lang w:val="el-GR"/>
        </w:rPr>
        <w:t>.</w:t>
      </w:r>
    </w:p>
  </w:footnote>
  <w:footnote w:id="402">
    <w:p w:rsidR="00B275DA" w:rsidRPr="00FA711E" w:rsidRDefault="00B275DA">
      <w:pPr>
        <w:ind w:left="567" w:hanging="567"/>
      </w:pPr>
      <w:r w:rsidRPr="00FA711E">
        <w:rPr>
          <w:rStyle w:val="FootnoteReference"/>
        </w:rPr>
        <w:footnoteRef/>
      </w:r>
      <w:r w:rsidRPr="00FA711E">
        <w:t xml:space="preserve"> </w:t>
      </w:r>
      <w:r w:rsidRPr="00FA711E">
        <w:tab/>
        <w:t>Η κοινή προσέγγιση δεν είναι νομικά δεσμευτική, τα θεσμικά όργανα συμφώνησαν να την λάβουν υπόψη κατά τη λήψη αποφάσεων σχετικά με τους αποκεντρωμένους οργανισμούς.</w:t>
      </w:r>
    </w:p>
  </w:footnote>
  <w:footnote w:id="40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Ευρωπαϊκό Κέντρο για την Ανάπτυξη της Επαγγελματικής Κατάρτισης, Οργανισμός της Ευρωπαϊκής Ένωσης για τα Ναρκωτικά, Οργανισμός της Ευρωπαϊκής Ένωσης για την Κυβερνοασφάλεια, Οργανισμός Σιδηροδρόμων της Ευρωπαϊκής Ένωσης, Ευρωπαϊκός Οργανισμός για την Ασφάλεια και την Υγεία στην Εργασία, Ευρωπαϊκό Ίδρυμα για τη Βελτίωση των Συνθηκών Διαβίωσης και Εργασίας, Οργανισμός της Ευρωπαϊκής Ένωσης για τη Συνεργασία στον Τομέα της Ποινικής Δικαιοσύνης, Οργανισμός Θεμελιωδών Δικαιωμάτων της Ευρωπαϊκής Ένωσης, Ευρωπαϊκό Ινστιτούτο Καινοτομίας και Τεχνολογίας.</w:t>
      </w:r>
    </w:p>
  </w:footnote>
  <w:footnote w:id="40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Αξιολόγηση των οργανισμών: Eurofound, Cedefop, ETF και EU-OSHA SWD(2024)</w:t>
      </w:r>
      <w:r w:rsidR="00903C32">
        <w:rPr>
          <w:sz w:val="24"/>
          <w:lang w:val="el-GR"/>
        </w:rPr>
        <w:t>0</w:t>
      </w:r>
      <w:r w:rsidRPr="00FA711E">
        <w:rPr>
          <w:sz w:val="24"/>
          <w:lang w:val="el-GR"/>
        </w:rPr>
        <w:t xml:space="preserve">222, σ. 42, </w:t>
      </w:r>
      <w:hyperlink r:id="rId401" w:history="1">
        <w:r w:rsidRPr="00903C32">
          <w:rPr>
            <w:rStyle w:val="Hyperlink"/>
            <w:sz w:val="24"/>
            <w:lang w:val="el-GR"/>
          </w:rPr>
          <w:t>https://www.parlament.gv.at/dokument/XXVII/EU/198502/imfname_11414247.pdf</w:t>
        </w:r>
      </w:hyperlink>
      <w:r w:rsidRPr="00FA711E">
        <w:rPr>
          <w:sz w:val="24"/>
          <w:lang w:val="el-GR"/>
        </w:rPr>
        <w:t>.</w:t>
      </w:r>
    </w:p>
  </w:footnote>
  <w:footnote w:id="40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w:t>
      </w:r>
      <w:r w:rsidR="0089313D">
        <w:rPr>
          <w:sz w:val="24"/>
          <w:lang w:val="el-GR"/>
        </w:rPr>
        <w:t xml:space="preserve"> 295 της </w:t>
      </w:r>
      <w:r w:rsidRPr="00FA711E">
        <w:rPr>
          <w:sz w:val="24"/>
          <w:lang w:val="el-GR"/>
        </w:rPr>
        <w:t xml:space="preserve">14.11.2019, </w:t>
      </w:r>
      <w:r w:rsidR="0089313D">
        <w:rPr>
          <w:sz w:val="24"/>
          <w:lang w:val="el-GR"/>
        </w:rPr>
        <w:t xml:space="preserve">σ. 1, </w:t>
      </w:r>
      <w:r w:rsidRPr="00FA711E">
        <w:rPr>
          <w:color w:val="333333"/>
          <w:sz w:val="24"/>
          <w:shd w:val="clear" w:color="auto" w:fill="FFFFFF"/>
          <w:lang w:val="el-GR"/>
        </w:rPr>
        <w:t>ELI: </w:t>
      </w:r>
      <w:hyperlink r:id="rId402" w:tooltip="Επιτρέπει πρόσβαση στο έγγραφο μέσω του ELI URI." w:history="1">
        <w:r w:rsidRPr="00FA711E">
          <w:rPr>
            <w:rStyle w:val="Hyperlink"/>
            <w:color w:val="337AB7"/>
            <w:sz w:val="24"/>
            <w:shd w:val="clear" w:color="auto" w:fill="FFFFFF"/>
            <w:lang w:val="el-GR"/>
          </w:rPr>
          <w:t>http://data.europa.eu/eli/reg/</w:t>
        </w:r>
        <w:r w:rsidRPr="00FA711E">
          <w:rPr>
            <w:rStyle w:val="Hyperlink"/>
            <w:color w:val="337AB7"/>
            <w:sz w:val="24"/>
            <w:shd w:val="clear" w:color="auto" w:fill="FFFFFF"/>
            <w:lang w:val="el-GR"/>
          </w:rPr>
          <w:t>2</w:t>
        </w:r>
        <w:r w:rsidRPr="00FA711E">
          <w:rPr>
            <w:rStyle w:val="Hyperlink"/>
            <w:color w:val="337AB7"/>
            <w:sz w:val="24"/>
            <w:shd w:val="clear" w:color="auto" w:fill="FFFFFF"/>
            <w:lang w:val="el-GR"/>
          </w:rPr>
          <w:t>019/1896/oj</w:t>
        </w:r>
      </w:hyperlink>
      <w:r w:rsidRPr="00FA711E">
        <w:rPr>
          <w:sz w:val="24"/>
          <w:lang w:val="el-GR"/>
        </w:rPr>
        <w:t>).</w:t>
      </w:r>
    </w:p>
  </w:footnote>
  <w:footnote w:id="40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r>
      <w:hyperlink r:id="rId403" w:history="1">
        <w:r w:rsidRPr="00223FA0">
          <w:rPr>
            <w:rStyle w:val="Hyperlink"/>
            <w:sz w:val="24"/>
            <w:lang w:val="el-GR"/>
          </w:rPr>
          <w:t>https://eur-lex.europa.eu/legal-content/EL/TXT/HTML/?uri=CELEX:52024DC0075</w:t>
        </w:r>
      </w:hyperlink>
      <w:r w:rsidRPr="00FA711E">
        <w:rPr>
          <w:sz w:val="24"/>
          <w:lang w:val="el-GR"/>
        </w:rPr>
        <w:t xml:space="preserve"> – μέρος 3.</w:t>
      </w:r>
    </w:p>
  </w:footnote>
  <w:footnote w:id="40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Στοιχεία σχετικά με τις καταστάσεις εσόδων και δαπανών για το οικονομικό έτος 2023, όπως δημοσιεύθηκαν στην </w:t>
      </w:r>
      <w:r w:rsidRPr="00E930E6">
        <w:rPr>
          <w:i/>
          <w:sz w:val="24"/>
          <w:lang w:val="el-GR"/>
        </w:rPr>
        <w:t xml:space="preserve">Επίσημη Εφημερίδα της Ευρωπαϊκής Ένωσης </w:t>
      </w:r>
      <w:r w:rsidRPr="00FA711E">
        <w:rPr>
          <w:sz w:val="24"/>
          <w:lang w:val="el-GR"/>
        </w:rPr>
        <w:t>για κάθε επιμέρους οργανισμό.</w:t>
      </w:r>
    </w:p>
  </w:footnote>
  <w:footnote w:id="40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Αφαιρέθηκε το πλεόνασμα που μεταφέρθηκε από το προηγούμενο οικονομικό έτος.</w:t>
      </w:r>
    </w:p>
  </w:footnote>
  <w:footnote w:id="40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Δημοσιονομικές διορθώσεις που αντιστοιχούν στο σωρευτικό πλεόνασμα που αφαιρέθηκε.</w:t>
      </w:r>
    </w:p>
  </w:footnote>
  <w:footnote w:id="41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Έγγραφο εργασίας ΙΙΙ σχέδιο προϋπολογισμού 2023, σ. 24.</w:t>
      </w:r>
    </w:p>
  </w:footnote>
  <w:footnote w:id="41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Έγγραφο εργασίας ΙΙΙ σχέδιο προϋπολογισμού 2023, σ. 26.</w:t>
      </w:r>
    </w:p>
  </w:footnote>
  <w:footnote w:id="41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Έγγραφο εργασίας ΙΙΙ σχέδιο προϋπολογισμού 2023, σ. 21.</w:t>
      </w:r>
    </w:p>
  </w:footnote>
  <w:footnote w:id="41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Συνεδρίαση της επιτροπής CONT, 4 Δεκεμβρίου 2023.</w:t>
      </w:r>
    </w:p>
  </w:footnote>
  <w:footnote w:id="41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Το νέο δημοσιονομικό, λογιστικό και χρηματοοικονομικό σύστημα άρχισε να λειτουργεί πιλοτικά το 2022.</w:t>
      </w:r>
    </w:p>
  </w:footnote>
  <w:footnote w:id="41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r>
      <w:proofErr w:type="spellStart"/>
      <w:r w:rsidRPr="00FA711E">
        <w:rPr>
          <w:sz w:val="24"/>
          <w:lang w:val="el-GR"/>
        </w:rPr>
        <w:t>UniSystems</w:t>
      </w:r>
      <w:proofErr w:type="spellEnd"/>
      <w:r w:rsidRPr="00FA711E">
        <w:rPr>
          <w:sz w:val="24"/>
          <w:lang w:val="el-GR"/>
        </w:rPr>
        <w:t xml:space="preserve"> </w:t>
      </w:r>
      <w:proofErr w:type="spellStart"/>
      <w:r w:rsidRPr="00FA711E">
        <w:rPr>
          <w:sz w:val="24"/>
          <w:lang w:val="el-GR"/>
        </w:rPr>
        <w:t>Luxembourg</w:t>
      </w:r>
      <w:proofErr w:type="spellEnd"/>
      <w:r w:rsidRPr="00FA711E">
        <w:rPr>
          <w:sz w:val="24"/>
          <w:lang w:val="el-GR"/>
        </w:rPr>
        <w:t xml:space="preserve"> και Unisystems </w:t>
      </w:r>
      <w:proofErr w:type="spellStart"/>
      <w:r w:rsidRPr="00FA711E">
        <w:rPr>
          <w:sz w:val="24"/>
          <w:lang w:val="el-GR"/>
        </w:rPr>
        <w:t>systimata</w:t>
      </w:r>
      <w:proofErr w:type="spellEnd"/>
      <w:r w:rsidRPr="00FA711E">
        <w:rPr>
          <w:sz w:val="24"/>
          <w:lang w:val="el-GR"/>
        </w:rPr>
        <w:t xml:space="preserve"> </w:t>
      </w:r>
      <w:proofErr w:type="spellStart"/>
      <w:r w:rsidRPr="00FA711E">
        <w:rPr>
          <w:sz w:val="24"/>
          <w:lang w:val="el-GR"/>
        </w:rPr>
        <w:t>pliroforikis</w:t>
      </w:r>
      <w:proofErr w:type="spellEnd"/>
      <w:r w:rsidRPr="00FA711E">
        <w:rPr>
          <w:sz w:val="24"/>
          <w:lang w:val="el-GR"/>
        </w:rPr>
        <w:t xml:space="preserve"> κατά ESMA – υπόθεση T-750/22.</w:t>
      </w:r>
    </w:p>
  </w:footnote>
  <w:footnote w:id="41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Ετήσιοι λογαριασμοί της ΕΑΤ, σ. 26, και ΕΕΣ περί ΕΑΚΑΑ, σ. 139.</w:t>
      </w:r>
    </w:p>
  </w:footnote>
  <w:footnote w:id="41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Ετήσιοι λογαριασμοί του eu-LISA, σ. 25.</w:t>
      </w:r>
    </w:p>
  </w:footnote>
  <w:footnote w:id="41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Ετήσιοι λογαριασμοί του Frontex, σ. 37.</w:t>
      </w:r>
    </w:p>
  </w:footnote>
  <w:footnote w:id="41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r>
      <w:hyperlink r:id="rId404" w:history="1">
        <w:r w:rsidRPr="00FA711E">
          <w:rPr>
            <w:rStyle w:val="Hyperlink"/>
            <w:sz w:val="24"/>
            <w:lang w:val="el-GR"/>
          </w:rPr>
          <w:t>Χάρτης πορείας</w:t>
        </w:r>
      </w:hyperlink>
      <w:r w:rsidRPr="00FA711E">
        <w:rPr>
          <w:sz w:val="24"/>
          <w:lang w:val="el-GR"/>
        </w:rPr>
        <w:t xml:space="preserve"> για τη συνέχεια που θα δοθεί στην κοινή προσέγγιση για τους αποκεντρωμένους οργανισμούς της ΕΕ.</w:t>
      </w:r>
    </w:p>
  </w:footnote>
  <w:footnote w:id="42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Ευρωπαϊκή Επιτροπή, Έγγραφο των υπηρεσιών της Επιτροπής, </w:t>
      </w:r>
      <w:hyperlink r:id="rId405" w:history="1">
        <w:r w:rsidRPr="00FA711E">
          <w:rPr>
            <w:rStyle w:val="Hyperlink"/>
            <w:sz w:val="24"/>
            <w:lang w:val="el-GR"/>
          </w:rPr>
          <w:t>Κατευθυντήριες γραμμές σχετικά με τους βασικούς δείκτες επιδόσεων</w:t>
        </w:r>
      </w:hyperlink>
      <w:r w:rsidRPr="00FA711E">
        <w:rPr>
          <w:sz w:val="24"/>
          <w:lang w:val="el-GR"/>
        </w:rPr>
        <w:t xml:space="preserve"> (ΒΔΕ) για τους διευθυντές των αποκεντρωμένων οργανισμών της ΕΕ, 13.3.2015, σ. 3.</w:t>
      </w:r>
    </w:p>
  </w:footnote>
  <w:footnote w:id="42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r>
      <w:hyperlink r:id="rId406" w:history="1">
        <w:r w:rsidRPr="00FA711E">
          <w:rPr>
            <w:rStyle w:val="Hyperlink"/>
            <w:sz w:val="24"/>
            <w:lang w:val="el-GR"/>
          </w:rPr>
          <w:t>Ειδική έκθεση 22/2020 του ΕΕΣ Το μέλλον των οργανισμών της ΕΕ: περιθώριο για μεγαλύτερη ευελιξία και συνεργασία.</w:t>
        </w:r>
      </w:hyperlink>
    </w:p>
  </w:footnote>
  <w:footnote w:id="422">
    <w:p w:rsidR="00B275DA" w:rsidRPr="00FA711E" w:rsidRDefault="00B275DA" w:rsidP="00E930E6">
      <w:pPr>
        <w:pStyle w:val="FootnoteText"/>
        <w:spacing w:line="240" w:lineRule="auto"/>
        <w:ind w:left="567" w:hanging="567"/>
        <w:rPr>
          <w:rFonts w:eastAsiaTheme="minorHAnsi"/>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Κανονισμός (ΕΕ) 2023/2131 του Ευρωπαϊκού Κοινοβουλίου και του Συμβουλίου, της 4ης Οκτωβρίου 2023, για την τροποποίηση του κανονισμού (ΕΕ) 2018/1727 του Ευρωπαϊκού Κοινοβουλίου και του Συμβουλίου και της απόφασης 2005/671/ΔΕΥ του Συμβουλίου, όσον αφορά την ψηφιακή ανταλλαγή πληροφοριών σε υποθέσεις τρομοκρατίας. (ΕΕ L, 2023/2131, 11.10.2023, ELI: </w:t>
      </w:r>
      <w:hyperlink r:id="rId407" w:tgtFrame="_blank" w:tooltip="Επιτρέπει πρόσβαση στο έγγραφο μέσω του ELI URI." w:history="1">
        <w:r w:rsidRPr="00FA711E">
          <w:rPr>
            <w:rStyle w:val="Hyperlink"/>
            <w:sz w:val="24"/>
            <w:lang w:val="el-GR"/>
          </w:rPr>
          <w:t>http://data.europa.eu/eli/reg/2023/2131/oj</w:t>
        </w:r>
      </w:hyperlink>
      <w:r w:rsidRPr="00FA711E">
        <w:rPr>
          <w:sz w:val="24"/>
          <w:lang w:val="el-GR"/>
        </w:rPr>
        <w:t>).</w:t>
      </w:r>
    </w:p>
  </w:footnote>
  <w:footnote w:id="423">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Κανονισμός (ΕΕ) 2023/969 του Ευρωπαϊκού Κοινοβουλίου και του Συμβουλίου, της 10ης Μαΐου 2023, για τη δημιουργία πλατφόρμας συνεργασίας με σκοπό την υποστήριξη της λειτουργίας των κοινών ομάδων έρευνας και για την τροποποίηση του κανονισμού (ΕΕ) 2018/1726 (ΕΕ L</w:t>
      </w:r>
      <w:r w:rsidR="0089313D">
        <w:rPr>
          <w:sz w:val="24"/>
          <w:lang w:val="el-GR"/>
        </w:rPr>
        <w:t xml:space="preserve"> 132 της </w:t>
      </w:r>
      <w:r w:rsidRPr="00FA711E">
        <w:rPr>
          <w:sz w:val="24"/>
          <w:lang w:val="el-GR"/>
        </w:rPr>
        <w:t xml:space="preserve">17.5.2023, </w:t>
      </w:r>
      <w:r w:rsidR="0089313D">
        <w:rPr>
          <w:sz w:val="24"/>
          <w:lang w:val="el-GR"/>
        </w:rPr>
        <w:t xml:space="preserve">σ. 1, </w:t>
      </w:r>
      <w:r w:rsidRPr="00FA711E">
        <w:rPr>
          <w:color w:val="333333"/>
          <w:sz w:val="24"/>
          <w:shd w:val="clear" w:color="auto" w:fill="FFFFFF"/>
          <w:lang w:val="el-GR"/>
        </w:rPr>
        <w:t>ELI: </w:t>
      </w:r>
      <w:hyperlink r:id="rId408" w:tooltip="Επιτρέπει πρόσβαση στο έγγραφο μέσω του ELI URI." w:history="1">
        <w:r w:rsidRPr="00FA711E">
          <w:rPr>
            <w:rStyle w:val="Hyperlink"/>
            <w:color w:val="337AB7"/>
            <w:sz w:val="24"/>
            <w:shd w:val="clear" w:color="auto" w:fill="FFFFFF"/>
            <w:lang w:val="el-GR"/>
          </w:rPr>
          <w:t>http://data.europ</w:t>
        </w:r>
        <w:r w:rsidRPr="00FA711E">
          <w:rPr>
            <w:rStyle w:val="Hyperlink"/>
            <w:color w:val="337AB7"/>
            <w:sz w:val="24"/>
            <w:shd w:val="clear" w:color="auto" w:fill="FFFFFF"/>
            <w:lang w:val="el-GR"/>
          </w:rPr>
          <w:t>a</w:t>
        </w:r>
        <w:r w:rsidRPr="00FA711E">
          <w:rPr>
            <w:rStyle w:val="Hyperlink"/>
            <w:color w:val="337AB7"/>
            <w:sz w:val="24"/>
            <w:shd w:val="clear" w:color="auto" w:fill="FFFFFF"/>
            <w:lang w:val="el-GR"/>
          </w:rPr>
          <w:t>.eu/eli/reg/2023/969/oj</w:t>
        </w:r>
      </w:hyperlink>
      <w:r w:rsidRPr="00FA711E">
        <w:rPr>
          <w:sz w:val="24"/>
          <w:lang w:val="el-GR"/>
        </w:rPr>
        <w:t>).</w:t>
      </w:r>
    </w:p>
  </w:footnote>
  <w:footnote w:id="42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Κανονισμός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 (ΕΕ L</w:t>
      </w:r>
      <w:r w:rsidR="0089313D">
        <w:rPr>
          <w:sz w:val="24"/>
          <w:lang w:val="el-GR"/>
        </w:rPr>
        <w:t xml:space="preserve"> 135 της </w:t>
      </w:r>
      <w:r w:rsidRPr="00FA711E">
        <w:rPr>
          <w:sz w:val="24"/>
          <w:lang w:val="el-GR"/>
        </w:rPr>
        <w:t>24.5.2016,</w:t>
      </w:r>
      <w:r w:rsidR="0089313D">
        <w:rPr>
          <w:sz w:val="24"/>
          <w:lang w:val="el-GR"/>
        </w:rPr>
        <w:t xml:space="preserve"> σ. 53,</w:t>
      </w:r>
      <w:r w:rsidRPr="00FA711E">
        <w:rPr>
          <w:color w:val="333333"/>
          <w:sz w:val="24"/>
          <w:shd w:val="clear" w:color="auto" w:fill="FFFFFF"/>
          <w:lang w:val="el-GR"/>
        </w:rPr>
        <w:t xml:space="preserve"> ELI: </w:t>
      </w:r>
      <w:hyperlink r:id="rId409" w:tooltip="Επιτρέπει πρόσβαση στο έγγραφο μέσω του ELI URI." w:history="1">
        <w:r w:rsidRPr="00FA711E">
          <w:rPr>
            <w:rStyle w:val="Hyperlink"/>
            <w:color w:val="337AB7"/>
            <w:sz w:val="24"/>
            <w:shd w:val="clear" w:color="auto" w:fill="FFFFFF"/>
            <w:lang w:val="el-GR"/>
          </w:rPr>
          <w:t>http://data.europa.eu/eli/re</w:t>
        </w:r>
        <w:r w:rsidRPr="00FA711E">
          <w:rPr>
            <w:rStyle w:val="Hyperlink"/>
            <w:color w:val="337AB7"/>
            <w:sz w:val="24"/>
            <w:shd w:val="clear" w:color="auto" w:fill="FFFFFF"/>
            <w:lang w:val="el-GR"/>
          </w:rPr>
          <w:t>g</w:t>
        </w:r>
        <w:r w:rsidRPr="00FA711E">
          <w:rPr>
            <w:rStyle w:val="Hyperlink"/>
            <w:color w:val="337AB7"/>
            <w:sz w:val="24"/>
            <w:shd w:val="clear" w:color="auto" w:fill="FFFFFF"/>
            <w:lang w:val="el-GR"/>
          </w:rPr>
          <w:t>/2016/794/oj</w:t>
        </w:r>
      </w:hyperlink>
      <w:r w:rsidRPr="00FA711E">
        <w:rPr>
          <w:sz w:val="24"/>
          <w:lang w:val="el-GR"/>
        </w:rPr>
        <w:t>).</w:t>
      </w:r>
    </w:p>
  </w:footnote>
  <w:footnote w:id="425">
    <w:p w:rsidR="00B275DA" w:rsidRPr="00E930E6" w:rsidRDefault="00B275DA" w:rsidP="00E930E6">
      <w:pPr>
        <w:pStyle w:val="FootnoteText"/>
        <w:spacing w:line="240" w:lineRule="auto"/>
        <w:ind w:left="567" w:hanging="567"/>
        <w:rPr>
          <w:rStyle w:val="FootnoteReference"/>
          <w:sz w:val="24"/>
          <w:vertAlign w:val="baseline"/>
          <w:lang w:val="el-GR"/>
        </w:rPr>
      </w:pPr>
      <w:r w:rsidRPr="00FA711E">
        <w:rPr>
          <w:rStyle w:val="FootnoteReference"/>
          <w:sz w:val="24"/>
          <w:lang w:val="el-GR"/>
        </w:rPr>
        <w:footnoteRef/>
      </w:r>
      <w:r w:rsidRPr="00FA711E">
        <w:rPr>
          <w:sz w:val="24"/>
          <w:lang w:val="el-GR"/>
        </w:rPr>
        <w:t xml:space="preserve"> </w:t>
      </w:r>
      <w:r w:rsidRPr="00FA711E">
        <w:rPr>
          <w:sz w:val="24"/>
          <w:lang w:val="el-GR"/>
        </w:rPr>
        <w:tab/>
        <w:t>Έκθεση του ΕΕΣ, σ. 37. Μόνο παρατηρήσεις που αφορούν τους οργανισμούς που αποτελούν μέρος του παρόντος ψηφίσματος.</w:t>
      </w:r>
    </w:p>
  </w:footnote>
  <w:footnote w:id="42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Παρατηρήσεις προηγούμενων ετών που επηρέασαν τις πληρωμές το 2023: EASA 1,6</w:t>
      </w:r>
      <w:r w:rsidR="00903C32">
        <w:rPr>
          <w:sz w:val="24"/>
          <w:lang w:val="el-GR"/>
        </w:rPr>
        <w:t> </w:t>
      </w:r>
      <w:r w:rsidRPr="00FA711E">
        <w:rPr>
          <w:sz w:val="24"/>
          <w:lang w:val="el-GR"/>
        </w:rPr>
        <w:t xml:space="preserve">εκατ. EUR· EIGE 59 600 EUR· ELA 1,32 εκατ. EUR και βάση για την έκδοση γνώμης με επιφύλαξη· δύο παρατηρήσεις του ΕΙΕΕ 175 500 EUR και 300 600 EUR· Eurojust 59 300 EUR· EUAA 123 800 EUR· 3 παρατηρήσεις του </w:t>
      </w:r>
      <w:proofErr w:type="spellStart"/>
      <w:r w:rsidRPr="00FA711E">
        <w:rPr>
          <w:sz w:val="24"/>
          <w:lang w:val="el-GR"/>
        </w:rPr>
        <w:t>eu</w:t>
      </w:r>
      <w:proofErr w:type="spellEnd"/>
      <w:r w:rsidRPr="00FA711E">
        <w:rPr>
          <w:sz w:val="24"/>
          <w:lang w:val="el-GR"/>
        </w:rPr>
        <w:t>-LISA ύψους 7,7</w:t>
      </w:r>
      <w:r w:rsidR="00903C32">
        <w:rPr>
          <w:sz w:val="24"/>
          <w:lang w:val="el-GR"/>
        </w:rPr>
        <w:t> </w:t>
      </w:r>
      <w:r w:rsidRPr="00FA711E">
        <w:rPr>
          <w:sz w:val="24"/>
          <w:lang w:val="el-GR"/>
        </w:rPr>
        <w:t>εκατ. EUR, 1,8 εκατ. EUR, 0,4 εκατ. EUR, και βάση για την έκδοση γνώμης με επιφύλαξη· CEPOL 85 000 EUR· δύο παρατηρήσεις του CDT 17 300 EUR και 257 200 EUR.</w:t>
      </w:r>
    </w:p>
  </w:footnote>
  <w:footnote w:id="427">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Με 64 % άνδρες και 36 % γυναίκες (67 % και 33 % αντίστοιχα το 2022)· με 54 % άνδρες και 46 % γυναίκες (54 % και 46 % αντίστοιχα το 2022)</w:t>
      </w:r>
      <w:r w:rsidR="00903C32">
        <w:rPr>
          <w:sz w:val="24"/>
          <w:lang w:val="el-GR"/>
        </w:rPr>
        <w:t>.</w:t>
      </w:r>
    </w:p>
  </w:footnote>
  <w:footnote w:id="428">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Με 58 % άνδρες και 42 % γυναίκες (60 % και 40 % αντίστοιχα το 2022)</w:t>
      </w:r>
      <w:r w:rsidR="00903C32">
        <w:rPr>
          <w:sz w:val="24"/>
          <w:lang w:val="el-GR"/>
        </w:rPr>
        <w:t>.</w:t>
      </w:r>
    </w:p>
  </w:footnote>
  <w:footnote w:id="429">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Με 54 % άνδρες και 46 % γυναίκες (54 % και 46 % αντίστοιχα το 2022)</w:t>
      </w:r>
      <w:r w:rsidR="00903C32">
        <w:rPr>
          <w:sz w:val="24"/>
          <w:lang w:val="el-GR"/>
        </w:rPr>
        <w:t>.</w:t>
      </w:r>
    </w:p>
  </w:footnote>
  <w:footnote w:id="430">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 xml:space="preserve">Τα </w:t>
      </w:r>
      <w:hyperlink r:id="rId410" w:history="1">
        <w:r w:rsidRPr="00FA711E">
          <w:rPr>
            <w:rStyle w:val="Hyperlink"/>
            <w:sz w:val="24"/>
            <w:lang w:val="el-GR"/>
          </w:rPr>
          <w:t>ευρωπαϊκά θεματικά κέντρα</w:t>
        </w:r>
      </w:hyperlink>
      <w:r w:rsidRPr="00FA711E">
        <w:rPr>
          <w:sz w:val="24"/>
          <w:lang w:val="el-GR"/>
        </w:rPr>
        <w:t xml:space="preserve"> είναι κοινοπραξίες οργανισμών σε χώρες μέλη του ΕΟΧ με εμπειρογνωμοσύνη σε συγκεκριμένους περιβαλλοντικούς τομείς, οι οποίες ανατίθενται από τον ΕΟΠ για τη στήριξη της εφαρμογής των προγραμμάτων εργασίας του ΕΟΠ.</w:t>
      </w:r>
    </w:p>
  </w:footnote>
  <w:footnote w:id="431">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Παράδειγμα: Ευρωπαϊκή Αρχή Τραπεζών, (EΑΤ) – ΕΕΣ, σ. 97· Ευρωπαϊκός Οργανισμός για την Ασφάλεια στη Θάλασσα (EMSA) – ΕΕΣ, σ. 122· Ευρωπαϊκό Κέντρο Παρακολούθησης Ναρκωτικών και Τοξικομανίας (EMCDDA) – ΕΕΣ, σ. 287.</w:t>
      </w:r>
    </w:p>
  </w:footnote>
  <w:footnote w:id="432">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r>
      <w:hyperlink r:id="rId411" w:history="1">
        <w:r w:rsidRPr="00FA711E">
          <w:rPr>
            <w:rStyle w:val="Hyperlink"/>
            <w:sz w:val="24"/>
            <w:lang w:val="el-GR"/>
          </w:rPr>
          <w:t>Διοργανική συμφωνία της 20ής Μαΐου 2021</w:t>
        </w:r>
      </w:hyperlink>
      <w:r w:rsidRPr="00FA711E">
        <w:rPr>
          <w:sz w:val="24"/>
          <w:lang w:val="el-GR"/>
        </w:rPr>
        <w:t xml:space="preserve"> μεταξύ του Ευρωπαϊκού Κοινοβουλίου, του Συμβουλίου της Ευρωπαϊκής Ένωσης και της Ευρωπαϊκής Επιτροπής για ένα υποχρεωτικό Μητρώο Διαφάνειας.</w:t>
      </w:r>
    </w:p>
  </w:footnote>
  <w:footnote w:id="433">
    <w:p w:rsidR="00B275DA" w:rsidRPr="00FA711E" w:rsidRDefault="00B275DA">
      <w:pPr>
        <w:ind w:left="567" w:hanging="567"/>
      </w:pPr>
      <w:r w:rsidRPr="00FA711E">
        <w:rPr>
          <w:rStyle w:val="FootnoteReference"/>
        </w:rPr>
        <w:footnoteRef/>
      </w:r>
      <w:r w:rsidRPr="00FA711E">
        <w:t xml:space="preserve"> </w:t>
      </w:r>
      <w:r w:rsidRPr="00FA711E">
        <w:tab/>
        <w:t>Δίκτυο οργανισμών στον τομέα της δικαιοσύνης και των εσωτερικών υποθέσεων (ΔΕΥ) – το δίκτυο περιλαμβάνει εννέα οργανισμούς: ΕΑΑ, EASO, EIGE, EMCDDA, eu-LISA, Eurojust, Ευρωπόλ, FRA και Frontex.</w:t>
      </w:r>
    </w:p>
  </w:footnote>
  <w:footnote w:id="434">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ΕΑΤ, ECDC, ECHA, ΕΟΠ, EFSA, EAΑΕΣ, EMSA, Ευρωπόλ, Eurofound, ETF και ESMA.</w:t>
      </w:r>
    </w:p>
  </w:footnote>
  <w:footnote w:id="435">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Υπηρεσία του BEREC, Cedefop, eu-LISA, EUSPA και EMA.</w:t>
      </w:r>
    </w:p>
  </w:footnote>
  <w:footnote w:id="436">
    <w:p w:rsidR="00B275DA" w:rsidRPr="00FA711E" w:rsidRDefault="00B275DA" w:rsidP="00E930E6">
      <w:pPr>
        <w:pStyle w:val="FootnoteText"/>
        <w:spacing w:line="240" w:lineRule="auto"/>
        <w:ind w:left="567" w:hanging="567"/>
        <w:rPr>
          <w:sz w:val="24"/>
          <w:lang w:val="el-GR"/>
        </w:rPr>
      </w:pPr>
      <w:r w:rsidRPr="00FA711E">
        <w:rPr>
          <w:rStyle w:val="FootnoteReference"/>
          <w:sz w:val="24"/>
          <w:lang w:val="el-GR"/>
        </w:rPr>
        <w:footnoteRef/>
      </w:r>
      <w:r w:rsidRPr="00FA711E">
        <w:rPr>
          <w:sz w:val="24"/>
          <w:lang w:val="el-GR"/>
        </w:rPr>
        <w:t xml:space="preserve"> </w:t>
      </w:r>
      <w:r w:rsidRPr="00FA711E">
        <w:rPr>
          <w:sz w:val="24"/>
          <w:lang w:val="el-GR"/>
        </w:rPr>
        <w:tab/>
        <w:t>EIT, Frontex, EUAA και EASA.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5DA" w:rsidRPr="00FA711E" w:rsidRDefault="00B275D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54C60E2"/>
    <w:multiLevelType w:val="hybridMultilevel"/>
    <w:tmpl w:val="F2F0A2CE"/>
    <w:lvl w:ilvl="0" w:tplc="6D96912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69261365"/>
    <w:multiLevelType w:val="hybridMultilevel"/>
    <w:tmpl w:val="539C0506"/>
    <w:lvl w:ilvl="0" w:tplc="6D96912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F34A9E"/>
    <w:multiLevelType w:val="hybridMultilevel"/>
    <w:tmpl w:val="878EC43C"/>
    <w:lvl w:ilvl="0" w:tplc="6D96912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5/2025"/>
    <w:docVar w:name="dvlangue" w:val="EL"/>
    <w:docVar w:name="dvnumam" w:val="0"/>
    <w:docVar w:name="dvpe" w:val="765.000"/>
    <w:docVar w:name="dvrapporteur" w:val="Εισηγητής: "/>
    <w:docVar w:name="dvtitre" w:val="Απόφαση του Ευρωπαϊκού Κοινοβουλίου σχετικά με την απαλλαγή όσον αφορά την εκτέλεση του προϋπολογισμού των οργανισμών της Ευρωπαϊκής Ένωσης για το οικονομικό έτος 2023(2024/2030(DEC))"/>
  </w:docVars>
  <w:rsids>
    <w:rsidRoot w:val="0077060D"/>
    <w:rsid w:val="00002272"/>
    <w:rsid w:val="00017E00"/>
    <w:rsid w:val="00064002"/>
    <w:rsid w:val="00064818"/>
    <w:rsid w:val="000677B9"/>
    <w:rsid w:val="000831BA"/>
    <w:rsid w:val="000A42CC"/>
    <w:rsid w:val="000E7DD9"/>
    <w:rsid w:val="0010095E"/>
    <w:rsid w:val="00125B37"/>
    <w:rsid w:val="00187494"/>
    <w:rsid w:val="001F32AE"/>
    <w:rsid w:val="00223FA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2E4"/>
    <w:rsid w:val="0050519A"/>
    <w:rsid w:val="005072A1"/>
    <w:rsid w:val="00514517"/>
    <w:rsid w:val="00545827"/>
    <w:rsid w:val="00560270"/>
    <w:rsid w:val="00590362"/>
    <w:rsid w:val="005A7B78"/>
    <w:rsid w:val="005C2568"/>
    <w:rsid w:val="005E7790"/>
    <w:rsid w:val="005F1B17"/>
    <w:rsid w:val="006037C0"/>
    <w:rsid w:val="006069A9"/>
    <w:rsid w:val="00607F93"/>
    <w:rsid w:val="006216DF"/>
    <w:rsid w:val="00624912"/>
    <w:rsid w:val="006631B6"/>
    <w:rsid w:val="00680577"/>
    <w:rsid w:val="006D34B9"/>
    <w:rsid w:val="006F74FA"/>
    <w:rsid w:val="00731ADD"/>
    <w:rsid w:val="00734777"/>
    <w:rsid w:val="00747932"/>
    <w:rsid w:val="00751A4A"/>
    <w:rsid w:val="00756632"/>
    <w:rsid w:val="00762C74"/>
    <w:rsid w:val="0077060D"/>
    <w:rsid w:val="00786EC0"/>
    <w:rsid w:val="007D1690"/>
    <w:rsid w:val="007E22AD"/>
    <w:rsid w:val="00813C79"/>
    <w:rsid w:val="00817416"/>
    <w:rsid w:val="00835CF8"/>
    <w:rsid w:val="00842779"/>
    <w:rsid w:val="00865F67"/>
    <w:rsid w:val="00881A7B"/>
    <w:rsid w:val="008840E5"/>
    <w:rsid w:val="00887B3E"/>
    <w:rsid w:val="0089313D"/>
    <w:rsid w:val="008C2AC6"/>
    <w:rsid w:val="00903C32"/>
    <w:rsid w:val="00930C23"/>
    <w:rsid w:val="0093193B"/>
    <w:rsid w:val="009509D8"/>
    <w:rsid w:val="00950B64"/>
    <w:rsid w:val="00981893"/>
    <w:rsid w:val="009960D7"/>
    <w:rsid w:val="00A01FB5"/>
    <w:rsid w:val="00A1687D"/>
    <w:rsid w:val="00A43E52"/>
    <w:rsid w:val="00A4678D"/>
    <w:rsid w:val="00A5515A"/>
    <w:rsid w:val="00A778C7"/>
    <w:rsid w:val="00AB441E"/>
    <w:rsid w:val="00AB6293"/>
    <w:rsid w:val="00AE0928"/>
    <w:rsid w:val="00AF3B82"/>
    <w:rsid w:val="00B063F2"/>
    <w:rsid w:val="00B12E95"/>
    <w:rsid w:val="00B22876"/>
    <w:rsid w:val="00B275DA"/>
    <w:rsid w:val="00B558F0"/>
    <w:rsid w:val="00BD48FE"/>
    <w:rsid w:val="00BD7BD8"/>
    <w:rsid w:val="00BE6ADC"/>
    <w:rsid w:val="00C05BFE"/>
    <w:rsid w:val="00C22A10"/>
    <w:rsid w:val="00C23CD4"/>
    <w:rsid w:val="00C61C0C"/>
    <w:rsid w:val="00C941CB"/>
    <w:rsid w:val="00CB58BC"/>
    <w:rsid w:val="00CC2357"/>
    <w:rsid w:val="00CF071A"/>
    <w:rsid w:val="00D058B8"/>
    <w:rsid w:val="00D41A7D"/>
    <w:rsid w:val="00D56C11"/>
    <w:rsid w:val="00D66ACE"/>
    <w:rsid w:val="00D834A0"/>
    <w:rsid w:val="00D872DF"/>
    <w:rsid w:val="00D91E21"/>
    <w:rsid w:val="00DA7FCD"/>
    <w:rsid w:val="00DC280E"/>
    <w:rsid w:val="00E365E1"/>
    <w:rsid w:val="00E820A4"/>
    <w:rsid w:val="00E930E6"/>
    <w:rsid w:val="00EB006A"/>
    <w:rsid w:val="00EB4772"/>
    <w:rsid w:val="00EC7F74"/>
    <w:rsid w:val="00ED169E"/>
    <w:rsid w:val="00ED4235"/>
    <w:rsid w:val="00F04346"/>
    <w:rsid w:val="00F075DC"/>
    <w:rsid w:val="00F149E9"/>
    <w:rsid w:val="00F5134D"/>
    <w:rsid w:val="00F74202"/>
    <w:rsid w:val="00F87713"/>
    <w:rsid w:val="00F943AF"/>
    <w:rsid w:val="00FA711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5846C"/>
  <w15:chartTrackingRefBased/>
  <w15:docId w15:val="{57021C8C-DC16-48FA-95A8-D31C3926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66ACE"/>
    <w:rPr>
      <w:b/>
      <w:kern w:val="28"/>
      <w:sz w:val="28"/>
      <w:lang w:val="fr-FR" w:eastAsia="fr-FR"/>
    </w:rPr>
  </w:style>
  <w:style w:type="character" w:customStyle="1" w:styleId="Heading2Char">
    <w:name w:val="Heading 2 Char"/>
    <w:basedOn w:val="DefaultParagraphFont"/>
    <w:link w:val="Heading2"/>
    <w:semiHidden/>
    <w:rsid w:val="00D66ACE"/>
    <w:rPr>
      <w:sz w:val="24"/>
      <w:lang w:val="fr-FR" w:eastAsia="fr-FR"/>
    </w:rPr>
  </w:style>
  <w:style w:type="character" w:customStyle="1" w:styleId="Heading3Char">
    <w:name w:val="Heading 3 Char"/>
    <w:basedOn w:val="DefaultParagraphFont"/>
    <w:link w:val="Heading3"/>
    <w:semiHidden/>
    <w:rsid w:val="00D66ACE"/>
    <w:rPr>
      <w:rFonts w:ascii="Arial" w:hAnsi="Arial"/>
      <w:sz w:val="24"/>
      <w:lang w:val="fr-FR" w:eastAsia="fr-FR"/>
    </w:rPr>
  </w:style>
  <w:style w:type="character" w:customStyle="1" w:styleId="Heading4Char">
    <w:name w:val="Heading 4 Char"/>
    <w:basedOn w:val="DefaultParagraphFont"/>
    <w:link w:val="Heading4"/>
    <w:semiHidden/>
    <w:rsid w:val="00D66ACE"/>
    <w:rPr>
      <w:sz w:val="24"/>
      <w:lang w:val="en-US" w:eastAsia="fr-FR"/>
    </w:rPr>
  </w:style>
  <w:style w:type="character" w:customStyle="1" w:styleId="Heading5Char">
    <w:name w:val="Heading 5 Char"/>
    <w:basedOn w:val="DefaultParagraphFont"/>
    <w:link w:val="Heading5"/>
    <w:semiHidden/>
    <w:rsid w:val="00D66ACE"/>
    <w:rPr>
      <w:sz w:val="24"/>
      <w:lang w:val="en-US" w:eastAsia="fr-FR"/>
    </w:rPr>
  </w:style>
  <w:style w:type="character" w:customStyle="1" w:styleId="Heading6Char">
    <w:name w:val="Heading 6 Char"/>
    <w:basedOn w:val="DefaultParagraphFont"/>
    <w:link w:val="Heading6"/>
    <w:semiHidden/>
    <w:rsid w:val="00D66ACE"/>
    <w:rPr>
      <w:i/>
      <w:sz w:val="22"/>
      <w:lang w:val="el-GR"/>
    </w:rPr>
  </w:style>
  <w:style w:type="character" w:customStyle="1" w:styleId="Heading7Char">
    <w:name w:val="Heading 7 Char"/>
    <w:basedOn w:val="DefaultParagraphFont"/>
    <w:link w:val="Heading7"/>
    <w:semiHidden/>
    <w:rsid w:val="00D66ACE"/>
    <w:rPr>
      <w:rFonts w:ascii="Arial" w:hAnsi="Arial"/>
      <w:sz w:val="24"/>
      <w:lang w:val="el-GR"/>
    </w:rPr>
  </w:style>
  <w:style w:type="character" w:customStyle="1" w:styleId="Heading8Char">
    <w:name w:val="Heading 8 Char"/>
    <w:basedOn w:val="DefaultParagraphFont"/>
    <w:link w:val="Heading8"/>
    <w:semiHidden/>
    <w:rsid w:val="00D66ACE"/>
    <w:rPr>
      <w:rFonts w:ascii="Arial" w:hAnsi="Arial"/>
      <w:i/>
      <w:sz w:val="24"/>
      <w:lang w:val="el-GR"/>
    </w:rPr>
  </w:style>
  <w:style w:type="character" w:customStyle="1" w:styleId="Heading9Char">
    <w:name w:val="Heading 9 Char"/>
    <w:basedOn w:val="DefaultParagraphFont"/>
    <w:link w:val="Heading9"/>
    <w:semiHidden/>
    <w:rsid w:val="00D66ACE"/>
    <w:rPr>
      <w:rFonts w:ascii="Arial" w:hAnsi="Arial"/>
      <w:b/>
      <w:i/>
      <w:sz w:val="18"/>
      <w:lang w:val="el-GR"/>
    </w:rPr>
  </w:style>
  <w:style w:type="paragraph" w:styleId="TOCHeading">
    <w:name w:val="TOC Heading"/>
    <w:basedOn w:val="Normal"/>
    <w:next w:val="Normal"/>
    <w:uiPriority w:val="39"/>
    <w:unhideWhenUsed/>
    <w:qFormat/>
    <w:rsid w:val="00D66ACE"/>
    <w:pPr>
      <w:widowControl/>
      <w:spacing w:after="240"/>
    </w:pPr>
    <w:rPr>
      <w:lang w:val="en-GB"/>
    </w:rPr>
  </w:style>
  <w:style w:type="paragraph" w:customStyle="1" w:styleId="EPFooter2">
    <w:name w:val="EPFooter2"/>
    <w:basedOn w:val="Normal"/>
    <w:next w:val="Normal"/>
    <w:rsid w:val="00D66A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66ACE"/>
    <w:pPr>
      <w:spacing w:before="480" w:after="240"/>
    </w:pPr>
  </w:style>
  <w:style w:type="paragraph" w:customStyle="1" w:styleId="TOCPage">
    <w:name w:val="TOC Page"/>
    <w:basedOn w:val="Normal"/>
    <w:next w:val="TOC1"/>
    <w:rsid w:val="00D66ACE"/>
    <w:pPr>
      <w:keepNext/>
      <w:spacing w:after="240"/>
      <w:jc w:val="right"/>
    </w:pPr>
    <w:rPr>
      <w:rFonts w:ascii="Arial" w:hAnsi="Arial"/>
      <w:b/>
    </w:rPr>
  </w:style>
  <w:style w:type="paragraph" w:customStyle="1" w:styleId="PageHeading">
    <w:name w:val="PageHeading"/>
    <w:basedOn w:val="Normal"/>
    <w:link w:val="PageHeadingChar"/>
    <w:rsid w:val="00D66ACE"/>
    <w:pPr>
      <w:keepNext/>
      <w:spacing w:after="480"/>
      <w:jc w:val="center"/>
    </w:pPr>
    <w:rPr>
      <w:rFonts w:ascii="Arial" w:hAnsi="Arial" w:cs="Arial"/>
      <w:b/>
    </w:rPr>
  </w:style>
  <w:style w:type="paragraph" w:customStyle="1" w:styleId="NormalBold">
    <w:name w:val="NormalBold"/>
    <w:basedOn w:val="Normal"/>
    <w:rsid w:val="00D66ACE"/>
    <w:rPr>
      <w:b/>
    </w:rPr>
  </w:style>
  <w:style w:type="paragraph" w:customStyle="1" w:styleId="NormalHanging12a">
    <w:name w:val="NormalHanging12a"/>
    <w:basedOn w:val="Normal"/>
    <w:link w:val="NormalHanging12aChar"/>
    <w:rsid w:val="00D66ACE"/>
    <w:pPr>
      <w:spacing w:after="240"/>
      <w:ind w:left="567" w:hanging="567"/>
    </w:pPr>
  </w:style>
  <w:style w:type="paragraph" w:customStyle="1" w:styleId="CoverNormal24a">
    <w:name w:val="CoverNormal24a"/>
    <w:basedOn w:val="Normal"/>
    <w:rsid w:val="00D66ACE"/>
    <w:pPr>
      <w:spacing w:after="480"/>
      <w:ind w:left="1417"/>
    </w:pPr>
  </w:style>
  <w:style w:type="paragraph" w:customStyle="1" w:styleId="CoverNormal">
    <w:name w:val="CoverNormal"/>
    <w:basedOn w:val="Normal"/>
    <w:rsid w:val="00D66ACE"/>
    <w:pPr>
      <w:ind w:left="1418"/>
    </w:pPr>
  </w:style>
  <w:style w:type="paragraph" w:customStyle="1" w:styleId="NormalCenter12a">
    <w:name w:val="NormalCenter12a"/>
    <w:basedOn w:val="Normal"/>
    <w:rsid w:val="00D66ACE"/>
    <w:pPr>
      <w:spacing w:after="240"/>
      <w:jc w:val="center"/>
    </w:pPr>
  </w:style>
  <w:style w:type="paragraph" w:customStyle="1" w:styleId="CoverReference">
    <w:name w:val="CoverReference"/>
    <w:basedOn w:val="Normal"/>
    <w:rsid w:val="00D66ACE"/>
    <w:pPr>
      <w:spacing w:before="1080"/>
      <w:jc w:val="right"/>
    </w:pPr>
    <w:rPr>
      <w:rFonts w:ascii="Arial" w:hAnsi="Arial" w:cs="Arial"/>
      <w:b/>
    </w:rPr>
  </w:style>
  <w:style w:type="paragraph" w:customStyle="1" w:styleId="CoverDocType24a">
    <w:name w:val="CoverDocType24a"/>
    <w:basedOn w:val="Normal"/>
    <w:rsid w:val="00D66ACE"/>
    <w:pPr>
      <w:spacing w:after="480"/>
      <w:ind w:left="1418"/>
    </w:pPr>
    <w:rPr>
      <w:rFonts w:ascii="Arial" w:hAnsi="Arial"/>
      <w:b/>
      <w:sz w:val="48"/>
    </w:rPr>
  </w:style>
  <w:style w:type="paragraph" w:customStyle="1" w:styleId="CoverDate">
    <w:name w:val="CoverDate"/>
    <w:basedOn w:val="Normal"/>
    <w:rsid w:val="00D66ACE"/>
    <w:pPr>
      <w:spacing w:before="240" w:after="1200"/>
    </w:pPr>
  </w:style>
  <w:style w:type="paragraph" w:styleId="Header">
    <w:name w:val="header"/>
    <w:basedOn w:val="Normal"/>
    <w:link w:val="HeaderChar"/>
    <w:rsid w:val="00D66ACE"/>
    <w:pPr>
      <w:tabs>
        <w:tab w:val="center" w:pos="4513"/>
        <w:tab w:val="right" w:pos="9026"/>
      </w:tabs>
    </w:pPr>
  </w:style>
  <w:style w:type="character" w:customStyle="1" w:styleId="HeaderChar">
    <w:name w:val="Header Char"/>
    <w:basedOn w:val="DefaultParagraphFont"/>
    <w:link w:val="Header"/>
    <w:rsid w:val="00D66ACE"/>
    <w:rPr>
      <w:sz w:val="24"/>
      <w:lang w:val="el-GR"/>
    </w:rPr>
  </w:style>
  <w:style w:type="paragraph" w:customStyle="1" w:styleId="EPBody">
    <w:name w:val="EPBody"/>
    <w:basedOn w:val="Normal"/>
    <w:rsid w:val="00D66ACE"/>
    <w:pPr>
      <w:jc w:val="center"/>
    </w:pPr>
    <w:rPr>
      <w:rFonts w:ascii="Arial" w:hAnsi="Arial" w:cs="Arial"/>
      <w:i/>
      <w:sz w:val="22"/>
      <w:szCs w:val="22"/>
    </w:rPr>
  </w:style>
  <w:style w:type="paragraph" w:customStyle="1" w:styleId="EPFooter">
    <w:name w:val="EPFooter"/>
    <w:basedOn w:val="Normal"/>
    <w:rsid w:val="00D66AC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D66ACE"/>
    <w:rPr>
      <w:sz w:val="24"/>
      <w:lang w:val="el-GR"/>
    </w:rPr>
  </w:style>
  <w:style w:type="paragraph" w:customStyle="1" w:styleId="PageHeadingDec">
    <w:name w:val="PageHeadingDec"/>
    <w:basedOn w:val="PageHeading"/>
    <w:link w:val="PageHeadingDecChar"/>
    <w:qFormat/>
    <w:rsid w:val="00D66ACE"/>
  </w:style>
  <w:style w:type="character" w:customStyle="1" w:styleId="PageHeadingChar">
    <w:name w:val="PageHeading Char"/>
    <w:basedOn w:val="DefaultParagraphFont"/>
    <w:link w:val="PageHeading"/>
    <w:rsid w:val="00D66ACE"/>
    <w:rPr>
      <w:rFonts w:ascii="Arial" w:hAnsi="Arial" w:cs="Arial"/>
      <w:b/>
      <w:sz w:val="24"/>
      <w:lang w:val="el-GR"/>
    </w:rPr>
  </w:style>
  <w:style w:type="character" w:customStyle="1" w:styleId="PageHeadingDecChar">
    <w:name w:val="PageHeadingDec Char"/>
    <w:basedOn w:val="PageHeadingChar"/>
    <w:link w:val="PageHeadingDec"/>
    <w:rsid w:val="00D66ACE"/>
    <w:rPr>
      <w:rFonts w:ascii="Arial" w:hAnsi="Arial" w:cs="Arial"/>
      <w:b/>
      <w:sz w:val="24"/>
      <w:lang w:val="el-GR"/>
    </w:rPr>
  </w:style>
  <w:style w:type="paragraph" w:styleId="TOC9">
    <w:name w:val="toc 9"/>
    <w:basedOn w:val="Normal"/>
    <w:next w:val="Normal"/>
    <w:autoRedefine/>
    <w:uiPriority w:val="39"/>
    <w:rsid w:val="00D66ACE"/>
    <w:pPr>
      <w:spacing w:after="100"/>
      <w:jc w:val="center"/>
    </w:pPr>
  </w:style>
  <w:style w:type="paragraph" w:styleId="TOC8">
    <w:name w:val="toc 8"/>
    <w:basedOn w:val="Normal"/>
    <w:next w:val="Normal"/>
    <w:autoRedefine/>
    <w:uiPriority w:val="39"/>
    <w:rsid w:val="00D66ACE"/>
    <w:pPr>
      <w:tabs>
        <w:tab w:val="right" w:leader="dot" w:pos="9060"/>
      </w:tabs>
      <w:spacing w:after="240"/>
    </w:pPr>
    <w:rPr>
      <w:b/>
    </w:rPr>
  </w:style>
  <w:style w:type="paragraph" w:customStyle="1" w:styleId="PageHeadingNotTOC">
    <w:name w:val="PageHeadingNotTOC"/>
    <w:basedOn w:val="Normal"/>
    <w:link w:val="PageHeadingNotTOCChar"/>
    <w:rsid w:val="00D66ACE"/>
    <w:pPr>
      <w:keepNext/>
      <w:spacing w:after="480"/>
      <w:jc w:val="center"/>
    </w:pPr>
    <w:rPr>
      <w:rFonts w:ascii="Arial" w:hAnsi="Arial" w:cs="Arial"/>
      <w:b/>
    </w:rPr>
  </w:style>
  <w:style w:type="character" w:styleId="Hyperlink">
    <w:name w:val="Hyperlink"/>
    <w:basedOn w:val="DefaultParagraphFont"/>
    <w:uiPriority w:val="99"/>
    <w:rsid w:val="00D66ACE"/>
    <w:rPr>
      <w:color w:val="0563C1" w:themeColor="hyperlink"/>
      <w:u w:val="single"/>
    </w:rPr>
  </w:style>
  <w:style w:type="character" w:styleId="FollowedHyperlink">
    <w:name w:val="FollowedHyperlink"/>
    <w:basedOn w:val="DefaultParagraphFont"/>
    <w:rsid w:val="00D66ACE"/>
    <w:rPr>
      <w:color w:val="954F72" w:themeColor="followedHyperlink"/>
      <w:u w:val="single"/>
    </w:rPr>
  </w:style>
  <w:style w:type="paragraph" w:styleId="TOC7">
    <w:name w:val="toc 7"/>
    <w:basedOn w:val="Normal"/>
    <w:next w:val="Normal"/>
    <w:autoRedefine/>
    <w:uiPriority w:val="39"/>
    <w:rsid w:val="00D66ACE"/>
    <w:pPr>
      <w:spacing w:after="100"/>
      <w:ind w:left="720" w:hanging="720"/>
    </w:pPr>
  </w:style>
  <w:style w:type="character" w:styleId="CommentReference">
    <w:name w:val="annotation reference"/>
    <w:basedOn w:val="DefaultParagraphFont"/>
    <w:uiPriority w:val="99"/>
    <w:rsid w:val="00D66ACE"/>
    <w:rPr>
      <w:sz w:val="16"/>
      <w:szCs w:val="16"/>
    </w:rPr>
  </w:style>
  <w:style w:type="paragraph" w:styleId="CommentText">
    <w:name w:val="annotation text"/>
    <w:basedOn w:val="Normal"/>
    <w:link w:val="CommentTextChar"/>
    <w:uiPriority w:val="99"/>
    <w:rsid w:val="00D66ACE"/>
    <w:rPr>
      <w:sz w:val="20"/>
    </w:rPr>
  </w:style>
  <w:style w:type="character" w:customStyle="1" w:styleId="CommentTextChar">
    <w:name w:val="Comment Text Char"/>
    <w:basedOn w:val="DefaultParagraphFont"/>
    <w:link w:val="CommentText"/>
    <w:uiPriority w:val="99"/>
    <w:rsid w:val="00D66ACE"/>
    <w:rPr>
      <w:lang w:val="el-GR"/>
    </w:rPr>
  </w:style>
  <w:style w:type="paragraph" w:styleId="CommentSubject">
    <w:name w:val="annotation subject"/>
    <w:basedOn w:val="CommentText"/>
    <w:next w:val="CommentText"/>
    <w:link w:val="CommentSubjectChar"/>
    <w:unhideWhenUsed/>
    <w:rsid w:val="00D66ACE"/>
    <w:rPr>
      <w:b/>
      <w:bCs/>
    </w:rPr>
  </w:style>
  <w:style w:type="character" w:customStyle="1" w:styleId="CommentSubjectChar">
    <w:name w:val="Comment Subject Char"/>
    <w:basedOn w:val="CommentTextChar"/>
    <w:link w:val="CommentSubject"/>
    <w:rsid w:val="00D66ACE"/>
    <w:rPr>
      <w:b/>
      <w:bCs/>
      <w:lang w:val="el-GR"/>
    </w:rPr>
  </w:style>
  <w:style w:type="paragraph" w:styleId="BalloonText">
    <w:name w:val="Balloon Text"/>
    <w:basedOn w:val="Normal"/>
    <w:link w:val="BalloonTextChar"/>
    <w:unhideWhenUsed/>
    <w:rsid w:val="00D66ACE"/>
    <w:rPr>
      <w:rFonts w:ascii="Segoe UI" w:hAnsi="Segoe UI" w:cs="Segoe UI"/>
      <w:sz w:val="18"/>
      <w:szCs w:val="18"/>
    </w:rPr>
  </w:style>
  <w:style w:type="character" w:customStyle="1" w:styleId="BalloonTextChar">
    <w:name w:val="Balloon Text Char"/>
    <w:basedOn w:val="DefaultParagraphFont"/>
    <w:link w:val="BalloonText"/>
    <w:rsid w:val="00D66ACE"/>
    <w:rPr>
      <w:rFonts w:ascii="Segoe UI" w:hAnsi="Segoe UI" w:cs="Segoe UI"/>
      <w:sz w:val="18"/>
      <w:szCs w:val="18"/>
      <w:lang w:val="el-GR"/>
    </w:rPr>
  </w:style>
  <w:style w:type="paragraph" w:customStyle="1" w:styleId="Normal24a">
    <w:name w:val="Normal24a"/>
    <w:basedOn w:val="Normal"/>
    <w:rsid w:val="00D66ACE"/>
    <w:pPr>
      <w:spacing w:after="480"/>
    </w:pPr>
  </w:style>
  <w:style w:type="paragraph" w:customStyle="1" w:styleId="NormalBoldCenter">
    <w:name w:val="NormalBoldCenter"/>
    <w:basedOn w:val="Normal"/>
    <w:rsid w:val="00D66ACE"/>
    <w:pPr>
      <w:jc w:val="center"/>
    </w:pPr>
    <w:rPr>
      <w:b/>
    </w:rPr>
  </w:style>
  <w:style w:type="paragraph" w:customStyle="1" w:styleId="Footprint12b">
    <w:name w:val="Footprint12b"/>
    <w:basedOn w:val="Normal"/>
    <w:rsid w:val="00D66ACE"/>
    <w:pPr>
      <w:spacing w:before="240"/>
    </w:pPr>
    <w:rPr>
      <w:szCs w:val="24"/>
    </w:rPr>
  </w:style>
  <w:style w:type="paragraph" w:customStyle="1" w:styleId="NormalSingle">
    <w:name w:val="NormalSingle"/>
    <w:basedOn w:val="Normal"/>
    <w:qFormat/>
    <w:rsid w:val="00D66ACE"/>
    <w:rPr>
      <w:szCs w:val="24"/>
    </w:rPr>
  </w:style>
  <w:style w:type="paragraph" w:styleId="Revision">
    <w:name w:val="Revision"/>
    <w:hidden/>
    <w:uiPriority w:val="99"/>
    <w:semiHidden/>
    <w:rsid w:val="00D66ACE"/>
    <w:rPr>
      <w:sz w:val="24"/>
      <w:lang w:val="el-GR"/>
    </w:rPr>
  </w:style>
  <w:style w:type="paragraph" w:styleId="ListParagraph">
    <w:name w:val="List Paragraph"/>
    <w:basedOn w:val="Normal"/>
    <w:uiPriority w:val="34"/>
    <w:qFormat/>
    <w:rsid w:val="00D66ACE"/>
    <w:pPr>
      <w:widowControl/>
      <w:ind w:left="720"/>
      <w:contextualSpacing/>
      <w:jc w:val="both"/>
    </w:pPr>
    <w:rPr>
      <w:rFonts w:eastAsiaTheme="minorHAnsi"/>
      <w:szCs w:val="24"/>
      <w:lang w:eastAsia="en-US"/>
    </w:rPr>
  </w:style>
  <w:style w:type="paragraph" w:customStyle="1" w:styleId="Normal12Hanging">
    <w:name w:val="Normal12Hanging"/>
    <w:basedOn w:val="Normal"/>
    <w:rsid w:val="00D66ACE"/>
    <w:pPr>
      <w:spacing w:after="240"/>
      <w:ind w:left="567" w:hanging="567"/>
    </w:pPr>
  </w:style>
  <w:style w:type="paragraph" w:customStyle="1" w:styleId="Normal12a">
    <w:name w:val="Normal12a"/>
    <w:basedOn w:val="Normal"/>
    <w:rsid w:val="00D66ACE"/>
    <w:pPr>
      <w:spacing w:after="240"/>
    </w:pPr>
  </w:style>
  <w:style w:type="paragraph" w:customStyle="1" w:styleId="RollCallSymbols14pt">
    <w:name w:val="RollCallSymbols14pt"/>
    <w:basedOn w:val="Normal"/>
    <w:rsid w:val="00D66AC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66ACE"/>
    <w:pPr>
      <w:tabs>
        <w:tab w:val="center" w:pos="284"/>
        <w:tab w:val="left" w:pos="426"/>
      </w:tabs>
    </w:pPr>
    <w:rPr>
      <w:snapToGrid w:val="0"/>
      <w:lang w:eastAsia="en-US"/>
    </w:rPr>
  </w:style>
  <w:style w:type="paragraph" w:customStyle="1" w:styleId="RollCallVotes">
    <w:name w:val="RollCallVotes"/>
    <w:basedOn w:val="Normal"/>
    <w:rsid w:val="00D66ACE"/>
    <w:pPr>
      <w:spacing w:before="120" w:after="120"/>
      <w:jc w:val="center"/>
    </w:pPr>
    <w:rPr>
      <w:b/>
      <w:bCs/>
      <w:snapToGrid w:val="0"/>
      <w:sz w:val="16"/>
      <w:lang w:eastAsia="en-US"/>
    </w:rPr>
  </w:style>
  <w:style w:type="paragraph" w:customStyle="1" w:styleId="RollCallTable">
    <w:name w:val="RollCallTable"/>
    <w:basedOn w:val="Normal"/>
    <w:rsid w:val="00D66ACE"/>
    <w:pPr>
      <w:spacing w:before="120" w:after="120"/>
    </w:pPr>
    <w:rPr>
      <w:snapToGrid w:val="0"/>
      <w:sz w:val="16"/>
      <w:lang w:eastAsia="en-US"/>
    </w:rPr>
  </w:style>
  <w:style w:type="paragraph" w:customStyle="1" w:styleId="Visa">
    <w:name w:val="Visa"/>
    <w:basedOn w:val="Normal"/>
    <w:rsid w:val="00D66ACE"/>
    <w:pPr>
      <w:tabs>
        <w:tab w:val="left" w:pos="357"/>
      </w:tabs>
      <w:snapToGrid w:val="0"/>
      <w:spacing w:after="240"/>
      <w:ind w:left="357" w:hanging="357"/>
    </w:pPr>
    <w:rPr>
      <w:lang w:eastAsia="en-US"/>
    </w:rPr>
  </w:style>
  <w:style w:type="paragraph" w:customStyle="1" w:styleId="Normal6a">
    <w:name w:val="Normal6a"/>
    <w:basedOn w:val="Normal"/>
    <w:rsid w:val="00D66ACE"/>
    <w:pPr>
      <w:spacing w:after="120"/>
    </w:pPr>
  </w:style>
  <w:style w:type="paragraph" w:styleId="NormalWeb">
    <w:name w:val="Normal (Web)"/>
    <w:basedOn w:val="Normal"/>
    <w:uiPriority w:val="99"/>
    <w:unhideWhenUsed/>
    <w:rsid w:val="00D66ACE"/>
    <w:pPr>
      <w:widowControl/>
      <w:spacing w:before="100" w:beforeAutospacing="1" w:after="100" w:afterAutospacing="1"/>
    </w:pPr>
    <w:rPr>
      <w:szCs w:val="24"/>
    </w:rPr>
  </w:style>
  <w:style w:type="paragraph" w:customStyle="1" w:styleId="RollCallSubtitle">
    <w:name w:val="RollCallSubtitle"/>
    <w:basedOn w:val="Normal"/>
    <w:qFormat/>
    <w:rsid w:val="00D66ACE"/>
    <w:pPr>
      <w:snapToGrid w:val="0"/>
      <w:spacing w:after="240"/>
    </w:pPr>
    <w:rPr>
      <w:lang w:eastAsia="en-US"/>
    </w:rPr>
  </w:style>
  <w:style w:type="paragraph" w:customStyle="1" w:styleId="msonormal0">
    <w:name w:val="msonormal"/>
    <w:basedOn w:val="Normal"/>
    <w:rsid w:val="00D66ACE"/>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D66ACE"/>
    <w:rPr>
      <w:rFonts w:ascii="Arial" w:hAnsi="Arial" w:cs="Arial"/>
      <w:b/>
      <w:sz w:val="24"/>
      <w:lang w:val="el-GR"/>
    </w:rPr>
  </w:style>
  <w:style w:type="paragraph" w:styleId="Footer">
    <w:name w:val="footer"/>
    <w:basedOn w:val="Normal"/>
    <w:link w:val="FooterChar"/>
    <w:rsid w:val="00D66ACE"/>
    <w:pPr>
      <w:tabs>
        <w:tab w:val="center" w:pos="4513"/>
        <w:tab w:val="right" w:pos="9026"/>
      </w:tabs>
    </w:pPr>
  </w:style>
  <w:style w:type="character" w:customStyle="1" w:styleId="FooterChar">
    <w:name w:val="Footer Char"/>
    <w:basedOn w:val="DefaultParagraphFont"/>
    <w:link w:val="Footer"/>
    <w:rsid w:val="00D66AC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9" Type="http://schemas.openxmlformats.org/officeDocument/2006/relationships/footer" Target="footer31.xml"/><Relationship Id="rId21" Type="http://schemas.openxmlformats.org/officeDocument/2006/relationships/footer" Target="footer13.xml"/><Relationship Id="rId34" Type="http://schemas.openxmlformats.org/officeDocument/2006/relationships/footer" Target="footer26.xml"/><Relationship Id="rId42" Type="http://schemas.openxmlformats.org/officeDocument/2006/relationships/footer" Target="footer34.xml"/><Relationship Id="rId47" Type="http://schemas.openxmlformats.org/officeDocument/2006/relationships/footer" Target="footer39.xml"/><Relationship Id="rId50" Type="http://schemas.openxmlformats.org/officeDocument/2006/relationships/footer" Target="footer42.xml"/><Relationship Id="rId55" Type="http://schemas.openxmlformats.org/officeDocument/2006/relationships/footer" Target="footer47.xml"/><Relationship Id="rId63" Type="http://schemas.openxmlformats.org/officeDocument/2006/relationships/footer" Target="footer55.xml"/><Relationship Id="rId68" Type="http://schemas.openxmlformats.org/officeDocument/2006/relationships/footer" Target="footer60.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16" Type="http://schemas.openxmlformats.org/officeDocument/2006/relationships/footer" Target="footer8.xml"/><Relationship Id="rId29" Type="http://schemas.openxmlformats.org/officeDocument/2006/relationships/footer" Target="footer21.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4.xml"/><Relationship Id="rId37" Type="http://schemas.openxmlformats.org/officeDocument/2006/relationships/footer" Target="footer29.xml"/><Relationship Id="rId40" Type="http://schemas.openxmlformats.org/officeDocument/2006/relationships/footer" Target="footer32.xml"/><Relationship Id="rId45" Type="http://schemas.openxmlformats.org/officeDocument/2006/relationships/footer" Target="footer37.xml"/><Relationship Id="rId53" Type="http://schemas.openxmlformats.org/officeDocument/2006/relationships/footer" Target="footer45.xml"/><Relationship Id="rId58" Type="http://schemas.openxmlformats.org/officeDocument/2006/relationships/footer" Target="footer50.xml"/><Relationship Id="rId66" Type="http://schemas.openxmlformats.org/officeDocument/2006/relationships/footer" Target="footer58.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181" Type="http://schemas.openxmlformats.org/officeDocument/2006/relationships/hyperlink" Target="http://data.europa.eu/eli/C/2024/6332/oj" TargetMode="External"/><Relationship Id="rId216" Type="http://schemas.openxmlformats.org/officeDocument/2006/relationships/hyperlink" Target="https://eur-lex.europa.eu/eli/reg/2006/1920/oj" TargetMode="External"/><Relationship Id="rId237" Type="http://schemas.openxmlformats.org/officeDocument/2006/relationships/hyperlink" Target="http://data.europa.eu/eli/C/2024/6332/oj" TargetMode="External"/><Relationship Id="rId402" Type="http://schemas.openxmlformats.org/officeDocument/2006/relationships/hyperlink" Target="http://data.europa.eu/eli/reg/2019/1896/oj" TargetMode="External"/><Relationship Id="rId258" Type="http://schemas.openxmlformats.org/officeDocument/2006/relationships/hyperlink" Target="http://data.europa.eu/eli/reg/2024/2509/oj" TargetMode="External"/><Relationship Id="rId279" Type="http://schemas.openxmlformats.org/officeDocument/2006/relationships/hyperlink" Target="http://data.europa.eu/eli/reg/2018/1046/oj" TargetMode="External"/><Relationship Id="rId22" Type="http://schemas.openxmlformats.org/officeDocument/2006/relationships/hyperlink" Target="http://data.europa.eu/eli/reg/2024/2509/oj" TargetMode="External"/><Relationship Id="rId43" Type="http://schemas.openxmlformats.org/officeDocument/2006/relationships/hyperlink" Target="http://data.europa.eu/eli/C/2024/6332/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25" Type="http://schemas.openxmlformats.org/officeDocument/2006/relationships/hyperlink" Target="http://data.europa.eu/eli/reg/2019/126/oj" TargetMode="External"/><Relationship Id="rId346" Type="http://schemas.openxmlformats.org/officeDocument/2006/relationships/hyperlink" Target="http://data.europa.eu/eli/C/2024/6041/oj" TargetMode="External"/><Relationship Id="rId367" Type="http://schemas.openxmlformats.org/officeDocument/2006/relationships/hyperlink" Target="http://data.europa.eu/eli/reg/2021/696/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71" Type="http://schemas.openxmlformats.org/officeDocument/2006/relationships/hyperlink" Target="http://data.europa.eu/eli/reg/2018/1046/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227" Type="http://schemas.openxmlformats.org/officeDocument/2006/relationships/hyperlink" Target="http://data.europa.eu/eli/reg/2018/1046/oj" TargetMode="External"/><Relationship Id="rId248" Type="http://schemas.openxmlformats.org/officeDocument/2006/relationships/hyperlink" Target="http://data.europa.eu/eli/reg_del/2019/715/oj" TargetMode="External"/><Relationship Id="rId269" Type="http://schemas.openxmlformats.org/officeDocument/2006/relationships/hyperlink" Target="https://eur-lex.europa.eu/eli/reg/2010/1095/oj" TargetMode="External"/><Relationship Id="rId12" Type="http://schemas.openxmlformats.org/officeDocument/2006/relationships/hyperlink" Target="http://data.europa.eu/eli/reg_del/2019/715/oj" TargetMode="External"/><Relationship Id="rId33" Type="http://schemas.openxmlformats.org/officeDocument/2006/relationships/hyperlink" Target="http://data.europa.eu/eli/reg/2018/1046/oj" TargetMode="External"/><Relationship Id="rId108" Type="http://schemas.openxmlformats.org/officeDocument/2006/relationships/hyperlink" Target="http://data.europa.eu/eli/reg_del/2019/715/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15" Type="http://schemas.openxmlformats.org/officeDocument/2006/relationships/hyperlink" Target="http://data.europa.eu/eli/C/2024/6332/oj" TargetMode="External"/><Relationship Id="rId336" Type="http://schemas.openxmlformats.org/officeDocument/2006/relationships/hyperlink" Target="http://data.europa.eu/eli/reg/2024/2509/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96" Type="http://schemas.openxmlformats.org/officeDocument/2006/relationships/hyperlink" Target="http://data.europa.eu/eli/reg_del/2019/715/oj" TargetMode="External"/><Relationship Id="rId140" Type="http://schemas.openxmlformats.org/officeDocument/2006/relationships/hyperlink" Target="http://data.europa.eu/eli/C/2024/6041/oj" TargetMode="External"/><Relationship Id="rId161" Type="http://schemas.openxmlformats.org/officeDocument/2006/relationships/hyperlink" Target="https://eur-lex.europa.eu/eli/reg/2010/1094/oj" TargetMode="External"/><Relationship Id="rId182" Type="http://schemas.openxmlformats.org/officeDocument/2006/relationships/hyperlink" Target="http://data.europa.eu/eli/C/2024/6041/oj" TargetMode="External"/><Relationship Id="rId217" Type="http://schemas.openxmlformats.org/officeDocument/2006/relationships/hyperlink" Target="https://eur-lex.europa.eu/eli/reg/2023/1322/oj" TargetMode="External"/><Relationship Id="rId378" Type="http://schemas.openxmlformats.org/officeDocument/2006/relationships/hyperlink" Target="http://data.europa.eu/eli/reg/2024/2509/oj" TargetMode="External"/><Relationship Id="rId399" Type="http://schemas.openxmlformats.org/officeDocument/2006/relationships/hyperlink" Target="https://european-union.europa.eu/document/download/d4199ff4-1e3d-45e6-af7e-90cf1a7b10bc_en?filename=joint_statement_on_decentralised_agencies_en.pdf" TargetMode="External"/><Relationship Id="rId403" Type="http://schemas.openxmlformats.org/officeDocument/2006/relationships/hyperlink" Target="https://eur-lex.europa.eu/legal-content/EL/TXT/HTML/?uri=CELEX:52024DC0075"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59" Type="http://schemas.openxmlformats.org/officeDocument/2006/relationships/hyperlink" Target="https://eur-lex.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26" Type="http://schemas.openxmlformats.org/officeDocument/2006/relationships/hyperlink" Target="http://data.europa.eu/eli/reg_del/2019/715/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5" Type="http://schemas.openxmlformats.org/officeDocument/2006/relationships/hyperlink" Target="http://data.europa.eu/eli/reg/2018/1139/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reg/2024/2509/oj" TargetMode="External"/><Relationship Id="rId151" Type="http://schemas.openxmlformats.org/officeDocument/2006/relationships/hyperlink" Target="http://data.europa.eu/eli/C/2024/6332/oj" TargetMode="External"/><Relationship Id="rId368" Type="http://schemas.openxmlformats.org/officeDocument/2006/relationships/hyperlink" Target="http://data.europa.eu/eli/reg_del/2019/715/oj" TargetMode="External"/><Relationship Id="rId389" Type="http://schemas.openxmlformats.org/officeDocument/2006/relationships/hyperlink" Target="http://data.europa.eu/eli/reg/2018/1046/oj" TargetMode="External"/><Relationship Id="rId172" Type="http://schemas.openxmlformats.org/officeDocument/2006/relationships/hyperlink" Target="http://data.europa.eu/eli/reg/2024/2509/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28" Type="http://schemas.openxmlformats.org/officeDocument/2006/relationships/hyperlink" Target="http://data.europa.eu/eli/reg/2024/2509/oj" TargetMode="External"/><Relationship Id="rId249" Type="http://schemas.openxmlformats.org/officeDocument/2006/relationships/hyperlink" Target="http://data.europa.eu/eli/C/2024/6332/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281" Type="http://schemas.openxmlformats.org/officeDocument/2006/relationships/hyperlink" Target="https://eur-lex.europa.eu/eli/reg/2008/1339" TargetMode="External"/><Relationship Id="rId316" Type="http://schemas.openxmlformats.org/officeDocument/2006/relationships/hyperlink" Target="http://data.europa.eu/eli/C/2024/6041/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55" Type="http://schemas.openxmlformats.org/officeDocument/2006/relationships/hyperlink" Target="http://data.europa.eu/eli/C/2024/6332/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141" Type="http://schemas.openxmlformats.org/officeDocument/2006/relationships/hyperlink" Target="http://data.europa.eu/eli/reg/2018/1046/oj" TargetMode="External"/><Relationship Id="rId358" Type="http://schemas.openxmlformats.org/officeDocument/2006/relationships/hyperlink" Target="http://data.europa.eu/eli/C/2024/6041/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62" Type="http://schemas.openxmlformats.org/officeDocument/2006/relationships/hyperlink" Target="http://data.europa.eu/eli/reg_del/2019/715/oj" TargetMode="External"/><Relationship Id="rId183" Type="http://schemas.openxmlformats.org/officeDocument/2006/relationships/hyperlink" Target="http://data.europa.eu/eli/reg/2018/1046/oj" TargetMode="External"/><Relationship Id="rId218" Type="http://schemas.openxmlformats.org/officeDocument/2006/relationships/hyperlink" Target="http://data.europa.eu/eli/reg_del/2019/715/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50" Type="http://schemas.openxmlformats.org/officeDocument/2006/relationships/hyperlink" Target="http://data.europa.eu/eli/C/2024/6041/oj" TargetMode="External"/><Relationship Id="rId271" Type="http://schemas.openxmlformats.org/officeDocument/2006/relationships/hyperlink" Target="http://data.europa.eu/eli/C/2024/6332/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24"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48" Type="http://schemas.openxmlformats.org/officeDocument/2006/relationships/hyperlink" Target="http://data.europa.eu/eli/reg/2024/2509/oj" TargetMode="External"/><Relationship Id="rId369" Type="http://schemas.openxmlformats.org/officeDocument/2006/relationships/hyperlink" Target="http://data.europa.eu/eli/C/2024/6332/oj" TargetMode="External"/><Relationship Id="rId152" Type="http://schemas.openxmlformats.org/officeDocument/2006/relationships/hyperlink" Target="http://data.europa.eu/eli/C/2024/6041/oj" TargetMode="External"/><Relationship Id="rId173" Type="http://schemas.openxmlformats.org/officeDocument/2006/relationships/hyperlink" Target="https://eur-lex.europa.eu/eli/reg/2021/819/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229" Type="http://schemas.openxmlformats.org/officeDocument/2006/relationships/hyperlink" Target="https://eur-lex.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35" Type="http://schemas.openxmlformats.org/officeDocument/2006/relationships/hyperlink" Target="http://data.europa.eu/eli/reg/1994/296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17" Type="http://schemas.openxmlformats.org/officeDocument/2006/relationships/hyperlink" Target="http://data.europa.eu/eli/reg/2018/1046/oj" TargetMode="External"/><Relationship Id="rId338" Type="http://schemas.openxmlformats.org/officeDocument/2006/relationships/hyperlink" Target="http://data.europa.eu/eli/reg_del/2019/715/oj" TargetMode="External"/><Relationship Id="rId359" Type="http://schemas.openxmlformats.org/officeDocument/2006/relationships/hyperlink" Target="http://data.europa.eu/eli/reg/2018/1046/oj" TargetMode="External"/><Relationship Id="rId8" Type="http://schemas.openxmlformats.org/officeDocument/2006/relationships/hyperlink" Target="http://data.europa.eu/eli/C/2024/6041/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42" Type="http://schemas.openxmlformats.org/officeDocument/2006/relationships/hyperlink" Target="http://data.europa.eu/eli/reg/2024/2509/oj" TargetMode="External"/><Relationship Id="rId163" Type="http://schemas.openxmlformats.org/officeDocument/2006/relationships/hyperlink" Target="http://data.europa.eu/eli/C/2024/6332/oj" TargetMode="External"/><Relationship Id="rId184" Type="http://schemas.openxmlformats.org/officeDocument/2006/relationships/hyperlink" Target="http://data.europa.eu/eli/reg/2024/2509/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391" Type="http://schemas.openxmlformats.org/officeDocument/2006/relationships/hyperlink" Target="http://data.europa.eu/eli/reg/2019/1896/oj" TargetMode="External"/><Relationship Id="rId405" Type="http://schemas.openxmlformats.org/officeDocument/2006/relationships/hyperlink" Target="https://www.eumonitor.eu/9353000/1/j9vvik7m1c3gyxp/vjx64xley4zd" TargetMode="External"/><Relationship Id="rId230" Type="http://schemas.openxmlformats.org/officeDocument/2006/relationships/hyperlink" Target="http://data.europa.eu/eli/reg_del/2019/715/oj" TargetMode="External"/><Relationship Id="rId251" Type="http://schemas.openxmlformats.org/officeDocument/2006/relationships/hyperlink" Target="http://data.europa.eu/eli/reg/2018/1046/oj" TargetMode="External"/><Relationship Id="rId25" Type="http://schemas.openxmlformats.org/officeDocument/2006/relationships/hyperlink" Target="http://data.europa.eu/eli/C/2024/6332/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28" Type="http://schemas.openxmlformats.org/officeDocument/2006/relationships/hyperlink" Target="http://data.europa.eu/eli/C/2024/6041/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_del/2019/715/oj" TargetMode="External"/><Relationship Id="rId153" Type="http://schemas.openxmlformats.org/officeDocument/2006/relationships/hyperlink" Target="http://data.europa.eu/eli/reg/2018/1046/oj" TargetMode="External"/><Relationship Id="rId174" Type="http://schemas.openxmlformats.org/officeDocument/2006/relationships/hyperlink" Target="http://data.europa.eu/eli/reg_del/2019/715/oj" TargetMode="External"/><Relationship Id="rId195" Type="http://schemas.openxmlformats.org/officeDocument/2006/relationships/hyperlink" Target="http://data.europa.eu/eli/reg/2018/1046/oj" TargetMode="External"/><Relationship Id="rId209" Type="http://schemas.openxmlformats.org/officeDocument/2006/relationships/hyperlink" Target="https://eur-lex.europa.eu/eli/reg/2006/1920/oj" TargetMode="External"/><Relationship Id="rId360" Type="http://schemas.openxmlformats.org/officeDocument/2006/relationships/hyperlink" Target="http://data.europa.eu/eli/reg/2024/2509/oj" TargetMode="External"/><Relationship Id="rId381" Type="http://schemas.openxmlformats.org/officeDocument/2006/relationships/hyperlink" Target="http://data.europa.eu/eli/C/2024/6332/oj" TargetMode="External"/><Relationship Id="rId220" Type="http://schemas.openxmlformats.org/officeDocument/2006/relationships/hyperlink" Target="http://data.europa.eu/eli/C/2024/6041/oj" TargetMode="External"/><Relationship Id="rId241" Type="http://schemas.openxmlformats.org/officeDocument/2006/relationships/hyperlink" Target="https://eur-lex.europa.eu/eli/reg/2019/881/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715/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283" Type="http://schemas.openxmlformats.org/officeDocument/2006/relationships/hyperlink" Target="http://data.europa.eu/eli/C/2024/6332/oj" TargetMode="External"/><Relationship Id="rId318" Type="http://schemas.openxmlformats.org/officeDocument/2006/relationships/hyperlink" Target="http://data.europa.eu/eli/reg/2024/2509/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06/1907/oj" TargetMode="External"/><Relationship Id="rId122" Type="http://schemas.openxmlformats.org/officeDocument/2006/relationships/hyperlink" Target="http://data.europa.eu/eli/C/2024/6041/oj" TargetMode="External"/><Relationship Id="rId143" Type="http://schemas.openxmlformats.org/officeDocument/2006/relationships/hyperlink" Target="https://eur-lex.europa.eu/eli/reg/2002/178/oj" TargetMode="External"/><Relationship Id="rId164" Type="http://schemas.openxmlformats.org/officeDocument/2006/relationships/hyperlink" Target="http://data.europa.eu/eli/C/2024/6041/oj" TargetMode="External"/><Relationship Id="rId185" Type="http://schemas.openxmlformats.org/officeDocument/2006/relationships/hyperlink" Target="https://eur-lex.europa.eu/eli/reg/2019/1149/oj" TargetMode="External"/><Relationship Id="rId350" Type="http://schemas.openxmlformats.org/officeDocument/2006/relationships/hyperlink" Target="http://data.europa.eu/eli/reg_del/2019/715/oj" TargetMode="External"/><Relationship Id="rId371" Type="http://schemas.openxmlformats.org/officeDocument/2006/relationships/hyperlink" Target="http://data.europa.eu/eli/reg/2018/1046/oj" TargetMode="External"/><Relationship Id="rId406" Type="http://schemas.openxmlformats.org/officeDocument/2006/relationships/hyperlink" Target="https://www.eca.europa.eu/Lists/ECADocuments/SR20_22/SR_Future_of_EU_Agencies_EL.pdf" TargetMode="External"/><Relationship Id="rId9" Type="http://schemas.openxmlformats.org/officeDocument/2006/relationships/hyperlink" Target="http://data.europa.eu/eli/reg/2018/1046/oj" TargetMode="External"/><Relationship Id="rId210" Type="http://schemas.openxmlformats.org/officeDocument/2006/relationships/hyperlink" Target="https://eur-lex.europa.eu/eli/reg/2023/1322/oj" TargetMode="External"/><Relationship Id="rId392" Type="http://schemas.openxmlformats.org/officeDocument/2006/relationships/hyperlink" Target="http://data.europa.eu/eli/reg_del/2019/715/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52" Type="http://schemas.openxmlformats.org/officeDocument/2006/relationships/hyperlink" Target="http://data.europa.eu/eli/reg/2024/2509/oj" TargetMode="External"/><Relationship Id="rId273" Type="http://schemas.openxmlformats.org/officeDocument/2006/relationships/hyperlink" Target="http://data.europa.eu/eli/reg/2018/1046/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329" Type="http://schemas.openxmlformats.org/officeDocument/2006/relationships/hyperlink" Target="http://data.europa.eu/eli/reg/2018/1046/oj" TargetMode="External"/><Relationship Id="rId47" Type="http://schemas.openxmlformats.org/officeDocument/2006/relationships/hyperlink" Target="http://data.europa.eu/eli/reg/2019/128/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C/2024/6332/oj" TargetMode="External"/><Relationship Id="rId154" Type="http://schemas.openxmlformats.org/officeDocument/2006/relationships/hyperlink" Target="http://data.europa.eu/eli/reg/2024/2509/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42" Type="http://schemas.openxmlformats.org/officeDocument/2006/relationships/hyperlink" Target="http://data.europa.eu/eli/reg_del/2019/715/oj" TargetMode="External"/><Relationship Id="rId263" Type="http://schemas.openxmlformats.org/officeDocument/2006/relationships/hyperlink" Target="http://data.europa.eu/eli/reg/2024/2509/oj" TargetMode="External"/><Relationship Id="rId284" Type="http://schemas.openxmlformats.org/officeDocument/2006/relationships/hyperlink" Target="http://data.europa.eu/eli/C/2024/6041/oj" TargetMode="External"/><Relationship Id="rId319" Type="http://schemas.openxmlformats.org/officeDocument/2006/relationships/hyperlink" Target="http://data.europa.eu/eli/reg/2019/126/oj" TargetMode="External"/><Relationship Id="rId37" Type="http://schemas.openxmlformats.org/officeDocument/2006/relationships/hyperlink" Target="http://data.europa.eu/eli/C/2024/6332/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2024/2509/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72" Type="http://schemas.openxmlformats.org/officeDocument/2006/relationships/hyperlink" Target="http://data.europa.eu/eli/reg/2024/2509/oj" TargetMode="External"/><Relationship Id="rId393" Type="http://schemas.openxmlformats.org/officeDocument/2006/relationships/hyperlink" Target="http://data.europa.eu/eli/C/2024/6332/oj" TargetMode="External"/><Relationship Id="rId407" Type="http://schemas.openxmlformats.org/officeDocument/2006/relationships/hyperlink" Target="http://data.europa.eu/eli/reg/2023/2131/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4/6041/oj" TargetMode="External"/><Relationship Id="rId253" Type="http://schemas.openxmlformats.org/officeDocument/2006/relationships/hyperlink" Target="https://eur-lex.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09/401/oj" TargetMode="External"/><Relationship Id="rId134" Type="http://schemas.openxmlformats.org/officeDocument/2006/relationships/hyperlink" Target="http://data.europa.eu/eli/C/2024/6041/oj" TargetMode="External"/><Relationship Id="rId320" Type="http://schemas.openxmlformats.org/officeDocument/2006/relationships/hyperlink" Target="http://data.europa.eu/eli/reg_del/2019/715/oj" TargetMode="External"/><Relationship Id="rId80" Type="http://schemas.openxmlformats.org/officeDocument/2006/relationships/hyperlink" Target="http://data.europa.eu/eli/C/2024/6041/oj" TargetMode="External"/><Relationship Id="rId155" Type="http://schemas.openxmlformats.org/officeDocument/2006/relationships/hyperlink" Target="https://eur-lex.europa.eu/eli/reg/2006/1922/oj" TargetMode="External"/><Relationship Id="rId176" Type="http://schemas.openxmlformats.org/officeDocument/2006/relationships/hyperlink" Target="http://data.europa.eu/eli/C/2024/6041/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046/oj" TargetMode="External"/><Relationship Id="rId362" Type="http://schemas.openxmlformats.org/officeDocument/2006/relationships/hyperlink" Target="http://data.europa.eu/eli/reg_del/2019/715/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s://eur-lex.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data.europa.eu/eli/reg/2023/969/oj"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eur-lex.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202" Type="http://schemas.openxmlformats.org/officeDocument/2006/relationships/hyperlink" Target="http://data.europa.eu/eli/reg/2024/2509/oj" TargetMode="External"/><Relationship Id="rId223" Type="http://schemas.openxmlformats.org/officeDocument/2006/relationships/hyperlink" Target="https://eur-lex.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s://eur-lex.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data.europa.eu/eli/reg/2016/794/oj"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s://eur-lex.europa.eu/eli/reg/2008/1339" TargetMode="External"/><Relationship Id="rId410" Type="http://schemas.openxmlformats.org/officeDocument/2006/relationships/hyperlink" Target="https://www.eionet.europa.eu/etcs"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eur-lex.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op.europa.eu/webpub/eca/special-reports/agencies-performance-audit-22-2020/el/" TargetMode="External"/><Relationship Id="rId116" Type="http://schemas.openxmlformats.org/officeDocument/2006/relationships/hyperlink" Target="http://data.europa.eu/eli/C/2024/6041/oj" TargetMode="External"/><Relationship Id="rId137" Type="http://schemas.openxmlformats.org/officeDocument/2006/relationships/hyperlink" Target="https://eur-lex.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s://eur-lex.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eur-lex.europa.eu/legal-content/EL/TXT/HTML/?uri=CELEX:32021Q0611(01)"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www.parlament.gv.at/dokument/XXVII/EU/198502/imfname_11414247.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s://eur-lex.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s://eur-lex.europa.eu/eli/reg/2016/796/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s://eur-lex.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1587C-45BA-429A-AE0E-88B127623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172</Pages>
  <Words>53900</Words>
  <Characters>307232</Characters>
  <Application>Microsoft Office Word</Application>
  <DocSecurity>0</DocSecurity>
  <Lines>2560</Lines>
  <Paragraphs>720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2025-05-07T14:52:00Z</dcterms:created>
  <dcterms:modified xsi:type="dcterms:W3CDTF">2025-05-07T14:52:00Z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A10-0065/2025</vt:lpwstr>
  </property>
  <property fmtid="{D5CDD505-2E9C-101B-9397-08002B2CF9AE}" pid="4" name="&lt;Type&gt;">
    <vt:lpwstr>RR</vt:lpwstr>
  </property>
</Properties>
</file>