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802FC" w14:paraId="1A1EF441" w14:textId="77777777" w:rsidTr="0010095E">
        <w:trPr>
          <w:trHeight w:hRule="exact" w:val="1418"/>
        </w:trPr>
        <w:tc>
          <w:tcPr>
            <w:tcW w:w="6804" w:type="dxa"/>
            <w:shd w:val="clear" w:color="auto" w:fill="auto"/>
            <w:vAlign w:val="center"/>
          </w:tcPr>
          <w:p w14:paraId="49797B5B" w14:textId="77777777" w:rsidR="00751A4A" w:rsidRPr="00B802FC" w:rsidRDefault="00C04116" w:rsidP="0010095E">
            <w:pPr>
              <w:pStyle w:val="EPName"/>
            </w:pPr>
            <w:r w:rsidRPr="00B802FC">
              <w:t>Euroopa Parlament</w:t>
            </w:r>
          </w:p>
          <w:p w14:paraId="547E1E56" w14:textId="77777777" w:rsidR="00751A4A" w:rsidRPr="00B802FC" w:rsidRDefault="005F1B17" w:rsidP="005F1B17">
            <w:pPr>
              <w:pStyle w:val="EPTerm"/>
              <w:rPr>
                <w:rStyle w:val="HideTWBExt"/>
                <w:noProof w:val="0"/>
                <w:vanish w:val="0"/>
                <w:color w:val="auto"/>
              </w:rPr>
            </w:pPr>
            <w:r w:rsidRPr="00B802FC">
              <w:t>2024</w:t>
            </w:r>
            <w:r w:rsidR="00817416" w:rsidRPr="00B802FC">
              <w:t>-202</w:t>
            </w:r>
            <w:r w:rsidRPr="00B802FC">
              <w:t>9</w:t>
            </w:r>
          </w:p>
        </w:tc>
        <w:tc>
          <w:tcPr>
            <w:tcW w:w="2268" w:type="dxa"/>
            <w:shd w:val="clear" w:color="auto" w:fill="auto"/>
          </w:tcPr>
          <w:p w14:paraId="055E9FA3" w14:textId="77777777" w:rsidR="00751A4A" w:rsidRPr="00B802FC" w:rsidRDefault="00187494" w:rsidP="0010095E">
            <w:pPr>
              <w:pStyle w:val="EPLogo"/>
            </w:pPr>
            <w:r w:rsidRPr="00B802FC">
              <w:rPr>
                <w:noProof/>
                <w:lang w:val="en-GB"/>
              </w:rPr>
              <w:drawing>
                <wp:inline distT="0" distB="0" distL="0" distR="0" wp14:anchorId="25356A17" wp14:editId="0D33B85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08D1265" w14:textId="77777777" w:rsidR="00D058B8" w:rsidRPr="00B802FC" w:rsidRDefault="00D058B8" w:rsidP="004C5D52">
      <w:pPr>
        <w:pStyle w:val="LineTop"/>
      </w:pPr>
    </w:p>
    <w:p w14:paraId="2F0769AF" w14:textId="77777777" w:rsidR="00680577" w:rsidRPr="00B802FC" w:rsidRDefault="00C04116" w:rsidP="00680577">
      <w:pPr>
        <w:pStyle w:val="EPBodyTA1"/>
      </w:pPr>
      <w:r w:rsidRPr="00B802FC">
        <w:t>VASTUVÕETUD TEKSTID</w:t>
      </w:r>
    </w:p>
    <w:p w14:paraId="4A6E32DE" w14:textId="77777777" w:rsidR="00D058B8" w:rsidRPr="00B802FC" w:rsidRDefault="00D058B8" w:rsidP="00D058B8">
      <w:pPr>
        <w:pStyle w:val="LineBottom"/>
      </w:pPr>
    </w:p>
    <w:p w14:paraId="00A255C1" w14:textId="1EBF29EB" w:rsidR="00C04116" w:rsidRPr="00B802FC" w:rsidRDefault="00C04116" w:rsidP="00C04116">
      <w:pPr>
        <w:pStyle w:val="ATHeading1"/>
      </w:pPr>
      <w:bookmarkStart w:id="0" w:name="TANumber"/>
      <w:r w:rsidRPr="00B802FC">
        <w:t>P10_TA(2025)00</w:t>
      </w:r>
      <w:r w:rsidR="00D17429" w:rsidRPr="00B802FC">
        <w:t>88</w:t>
      </w:r>
      <w:bookmarkEnd w:id="0"/>
    </w:p>
    <w:p w14:paraId="6EC07E30" w14:textId="4C54982A" w:rsidR="00C04116" w:rsidRPr="00B802FC" w:rsidRDefault="003B3F2F" w:rsidP="00C04116">
      <w:pPr>
        <w:pStyle w:val="ATHeading2"/>
      </w:pPr>
      <w:bookmarkStart w:id="1" w:name="title"/>
      <w:r w:rsidRPr="00B802FC">
        <w:t>2023. </w:t>
      </w:r>
      <w:r w:rsidR="00C04116" w:rsidRPr="00B802FC">
        <w:t>aasta eelarve täitmisele heakskiidu</w:t>
      </w:r>
      <w:r w:rsidR="00704424" w:rsidRPr="00B802FC">
        <w:t xml:space="preserve"> andmine: asutused</w:t>
      </w:r>
      <w:bookmarkEnd w:id="1"/>
    </w:p>
    <w:p w14:paraId="69B5F6AA" w14:textId="77777777" w:rsidR="00C04116" w:rsidRPr="00B802FC" w:rsidRDefault="00C04116" w:rsidP="00ED1222">
      <w:pPr>
        <w:pStyle w:val="ATHeading3"/>
        <w:rPr>
          <w:vanish/>
        </w:rPr>
      </w:pPr>
      <w:r w:rsidRPr="00B802FC">
        <w:fldChar w:fldCharType="begin"/>
      </w:r>
      <w:r w:rsidRPr="00B802FC">
        <w:instrText xml:space="preserve"> TC"(</w:instrText>
      </w:r>
      <w:bookmarkStart w:id="2" w:name="DocNumber"/>
      <w:r w:rsidRPr="00B802FC">
        <w:instrText>A10-0065/2025</w:instrText>
      </w:r>
      <w:bookmarkEnd w:id="2"/>
      <w:r w:rsidRPr="00B802FC">
        <w:instrText xml:space="preserve"> - Raportöör: Erik Marquardt)"\l3 \n&gt; \* MERGEFORMAT </w:instrText>
      </w:r>
      <w:r w:rsidRPr="00B802FC">
        <w:fldChar w:fldCharType="end"/>
      </w:r>
    </w:p>
    <w:p w14:paraId="04C4CD79" w14:textId="77777777" w:rsidR="00C04116" w:rsidRPr="00B802FC" w:rsidRDefault="00C04116" w:rsidP="00ED1222">
      <w:pPr>
        <w:pStyle w:val="ATHeading3"/>
        <w:rPr>
          <w:vanish/>
        </w:rPr>
      </w:pPr>
      <w:bookmarkStart w:id="3" w:name="Commission"/>
      <w:r w:rsidRPr="00B802FC">
        <w:rPr>
          <w:vanish/>
        </w:rPr>
        <w:t>Eelarvekontrollikomisjon</w:t>
      </w:r>
      <w:bookmarkEnd w:id="3"/>
    </w:p>
    <w:p w14:paraId="0D0B5C26" w14:textId="77777777" w:rsidR="00C04116" w:rsidRPr="00B802FC" w:rsidRDefault="00C04116" w:rsidP="00ED1222">
      <w:pPr>
        <w:pStyle w:val="ATHeading3"/>
        <w:rPr>
          <w:vanish/>
        </w:rPr>
      </w:pPr>
      <w:bookmarkStart w:id="4" w:name="PE"/>
      <w:r w:rsidRPr="00B802FC">
        <w:rPr>
          <w:vanish/>
        </w:rPr>
        <w:t>PE765.000</w:t>
      </w:r>
      <w:bookmarkEnd w:id="4"/>
    </w:p>
    <w:p w14:paraId="6CB9572D" w14:textId="66C641D5" w:rsidR="00ED1222" w:rsidRPr="00ED1222" w:rsidRDefault="00ED1222" w:rsidP="00ED1222">
      <w:pPr>
        <w:pStyle w:val="ATHeading3"/>
        <w:rPr>
          <w:kern w:val="2"/>
          <w14:ligatures w14:val="standardContextual"/>
        </w:rPr>
      </w:pPr>
      <w:r w:rsidRPr="00ED1222">
        <w:rPr>
          <w:kern w:val="2"/>
          <w14:ligatures w14:val="standardContextual"/>
        </w:rPr>
        <w:t>1. Euroopa Parlamendi 7. mai 2025. aasta otsus Euroopa Liidu Energeetikasektorit Reguleerivate Asutuste Koostöö Ameti 2023. aasta eelarve täitmisele heakskiidu andmise kohta (2024/2030(DEC))</w:t>
      </w:r>
    </w:p>
    <w:p w14:paraId="1D5258CE" w14:textId="4DE23EEB" w:rsidR="00ED1222" w:rsidRPr="00ED1222" w:rsidRDefault="00ED1222" w:rsidP="00ED1222">
      <w:pPr>
        <w:spacing w:before="480" w:after="240"/>
        <w:rPr>
          <w:i/>
          <w:kern w:val="2"/>
          <w14:ligatures w14:val="standardContextual"/>
        </w:rPr>
      </w:pPr>
      <w:r w:rsidRPr="00ED1222">
        <w:rPr>
          <w:i/>
          <w:kern w:val="2"/>
          <w14:ligatures w14:val="standardContextual"/>
        </w:rPr>
        <w:t>Euroopa Parlament</w:t>
      </w:r>
      <w:r w:rsidRPr="00ED1222">
        <w:rPr>
          <w:i/>
          <w:kern w:val="2"/>
          <w14:ligatures w14:val="standardContextual"/>
        </w:rPr>
        <w:t>,</w:t>
      </w:r>
    </w:p>
    <w:p w14:paraId="7B258942"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Energeetikasektorit Reguleerivate Asutuste Koostöö Ameti 2023. aasta lõplikku raamatupidamisaruannet,</w:t>
      </w:r>
    </w:p>
    <w:p w14:paraId="6A0FB28B"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kontrollikoja aastaaruannet ELi asutuste eelarveaasta 2023 kohta koos asutuste vastustega</w:t>
      </w:r>
      <w:r w:rsidRPr="00ED1222">
        <w:rPr>
          <w:kern w:val="2"/>
          <w:vertAlign w:val="superscript"/>
          <w14:ligatures w14:val="standardContextual"/>
        </w:rPr>
        <w:footnoteReference w:id="1"/>
      </w:r>
      <w:r w:rsidRPr="00ED1222">
        <w:rPr>
          <w:kern w:val="2"/>
          <w14:ligatures w14:val="standardContextual"/>
        </w:rPr>
        <w:t>,</w:t>
      </w:r>
    </w:p>
    <w:p w14:paraId="77416B37"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vastavalt Euroopa Liidu toimimise lepingu artiklile 287 tehtud kontrollikoja kinnitavat avaldust</w:t>
      </w:r>
      <w:r w:rsidRPr="00ED1222">
        <w:rPr>
          <w:kern w:val="2"/>
          <w:vertAlign w:val="superscript"/>
          <w14:ligatures w14:val="standardContextual"/>
        </w:rPr>
        <w:footnoteReference w:id="2"/>
      </w:r>
      <w:r w:rsidRPr="00ED1222">
        <w:rPr>
          <w:kern w:val="2"/>
          <w14:ligatures w14:val="standardContextual"/>
        </w:rPr>
        <w:t xml:space="preserve"> 2023. aasta raamatupidamiskontode usaldatavuse ja nende aluseks olevate tehingute seaduslikkuse ja korrektsuse kohta,</w:t>
      </w:r>
    </w:p>
    <w:p w14:paraId="23BB0C53"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nõukogu 17. veebruari 2025. aasta soovitust ameti tegevusele heakskiidu andmise kohta 2023. aasta eelarve täitmisel (05755/2025 – C10</w:t>
      </w:r>
      <w:r w:rsidRPr="00ED1222">
        <w:rPr>
          <w:kern w:val="2"/>
          <w14:ligatures w14:val="standardContextual"/>
        </w:rPr>
        <w:noBreakHyphen/>
        <w:t>0024/2025),</w:t>
      </w:r>
    </w:p>
    <w:p w14:paraId="59D4A2FE"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toimimise lepingu artiklit 319,</w:t>
      </w:r>
    </w:p>
    <w:p w14:paraId="4D7DD81E"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18. juuli 2018. aasta määrust (EL, Euratom) 2018/1046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ED1222">
        <w:rPr>
          <w:kern w:val="2"/>
          <w:vertAlign w:val="superscript"/>
          <w14:ligatures w14:val="standardContextual"/>
        </w:rPr>
        <w:footnoteReference w:id="3"/>
      </w:r>
      <w:r w:rsidRPr="00ED1222">
        <w:rPr>
          <w:kern w:val="2"/>
          <w14:ligatures w14:val="standardContextual"/>
        </w:rPr>
        <w:t>, eriti selle artiklit 70,</w:t>
      </w:r>
    </w:p>
    <w:p w14:paraId="6FD8DBAD"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23. septembri 2024. aasta määrust (EL, Euratom) 2024/2509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w:t>
      </w:r>
      <w:r w:rsidRPr="00ED1222">
        <w:rPr>
          <w:kern w:val="2"/>
          <w:vertAlign w:val="superscript"/>
          <w14:ligatures w14:val="standardContextual"/>
        </w:rPr>
        <w:footnoteReference w:id="4"/>
      </w:r>
      <w:r w:rsidRPr="00ED1222">
        <w:rPr>
          <w:kern w:val="2"/>
          <w14:ligatures w14:val="standardContextual"/>
        </w:rPr>
        <w:t>, eriti selle artiklit 70,</w:t>
      </w:r>
    </w:p>
    <w:p w14:paraId="6D706173"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5. juuni 2019. aasta määrust </w:t>
      </w:r>
      <w:r w:rsidRPr="00ED1222">
        <w:rPr>
          <w:kern w:val="2"/>
          <w14:ligatures w14:val="standardContextual"/>
        </w:rPr>
        <w:lastRenderedPageBreak/>
        <w:t>(EL) 2019/942 (millega asutatakse Euroopa Liidu Energeetikasektorit Reguleerivate Asutuste Koostöö Amet)</w:t>
      </w:r>
      <w:r w:rsidRPr="00ED1222">
        <w:rPr>
          <w:kern w:val="2"/>
          <w:vertAlign w:val="superscript"/>
          <w14:ligatures w14:val="standardContextual"/>
        </w:rPr>
        <w:footnoteReference w:id="5"/>
      </w:r>
      <w:r w:rsidRPr="00ED1222">
        <w:rPr>
          <w:kern w:val="2"/>
          <w14:ligatures w14:val="standardContextual"/>
        </w:rPr>
        <w:t>, eriti selle artiklit 35,</w:t>
      </w:r>
    </w:p>
    <w:p w14:paraId="0B575E4F"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ED1222">
        <w:rPr>
          <w:kern w:val="2"/>
          <w:vertAlign w:val="superscript"/>
          <w14:ligatures w14:val="standardContextual"/>
        </w:rPr>
        <w:footnoteReference w:id="6"/>
      </w:r>
      <w:r w:rsidRPr="00ED1222">
        <w:rPr>
          <w:kern w:val="2"/>
          <w14:ligatures w14:val="standardContextual"/>
        </w:rPr>
        <w:t>, eriti selle artiklit 105,</w:t>
      </w:r>
    </w:p>
    <w:p w14:paraId="31C9B4F9"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kodukorra artiklit 102 ja V lisa,</w:t>
      </w:r>
    </w:p>
    <w:p w14:paraId="223077BF"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tööhõive- ja sotsiaalkomisjoni, keskkonna-, kliima- ja toiduohutuse komisjoni, transpordi- ja turismikomisjoni, kalanduskomisjoni, kultuuri- ja hariduskomisjoni, kodanikuvabaduste, justiits- ja siseasjade komisjoni ning naiste õiguste ja soolise võrdõiguslikkuse komisjoni arvamusi,</w:t>
      </w:r>
    </w:p>
    <w:p w14:paraId="386E923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eelarvekontrollikomisjoni raportit (A10</w:t>
      </w:r>
      <w:r w:rsidRPr="00ED1222">
        <w:rPr>
          <w:kern w:val="2"/>
          <w14:ligatures w14:val="standardContextual"/>
        </w:rPr>
        <w:noBreakHyphen/>
        <w:t>0065/2025),</w:t>
      </w:r>
    </w:p>
    <w:p w14:paraId="04EBE17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w:t>
      </w:r>
      <w:r w:rsidRPr="00ED1222">
        <w:rPr>
          <w:kern w:val="2"/>
          <w14:ligatures w14:val="standardContextual"/>
        </w:rPr>
        <w:tab/>
        <w:t>annab heakskiidu Euroopa Liidu Energeetikasektorit Reguleerivate Asutuste Koostöö Ameti direktori tegevusele ameti 2023. aasta eelarve täitmisel;</w:t>
      </w:r>
    </w:p>
    <w:p w14:paraId="6835160D"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2.</w:t>
      </w:r>
      <w:r w:rsidRPr="00ED1222">
        <w:rPr>
          <w:kern w:val="2"/>
          <w14:ligatures w14:val="standardContextual"/>
        </w:rPr>
        <w:tab/>
        <w:t>esitab oma tähelepanekud alltoodud resolutsioonis;</w:t>
      </w:r>
    </w:p>
    <w:p w14:paraId="579BD4AD"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3.</w:t>
      </w:r>
      <w:r w:rsidRPr="00ED1222">
        <w:rPr>
          <w:kern w:val="2"/>
          <w14:ligatures w14:val="standardContextual"/>
        </w:rPr>
        <w:tab/>
        <w:t xml:space="preserve">teeb presidendile ülesandeks edastada käesolev otsus ja resolutsioon, mis on selle lahutamatu osa, Euroopa Liidu Energeetikasektorit Reguleerivate Asutuste Koostöö Ameti direktorile, nõukogule, komisjonile ja kontrollikojale ning korraldada nende avaldamine </w:t>
      </w:r>
      <w:r w:rsidRPr="00ED1222">
        <w:rPr>
          <w:i/>
          <w:kern w:val="2"/>
          <w14:ligatures w14:val="standardContextual"/>
        </w:rPr>
        <w:t>Euroopa Liidu Teatajas</w:t>
      </w:r>
      <w:r w:rsidRPr="00ED1222">
        <w:rPr>
          <w:kern w:val="2"/>
          <w14:ligatures w14:val="standardContextual"/>
        </w:rPr>
        <w:t xml:space="preserve"> (L</w:t>
      </w:r>
      <w:r w:rsidRPr="00ED1222">
        <w:rPr>
          <w:kern w:val="2"/>
          <w14:ligatures w14:val="standardContextual"/>
        </w:rPr>
        <w:noBreakHyphen/>
        <w:t>seerias).</w:t>
      </w:r>
    </w:p>
    <w:p w14:paraId="103AD687" w14:textId="77777777" w:rsidR="00ED1222" w:rsidRPr="00ED1222" w:rsidRDefault="00ED1222" w:rsidP="00ED1222">
      <w:pPr>
        <w:widowControl/>
        <w:jc w:val="both"/>
        <w:rPr>
          <w:rFonts w:eastAsia="Aptos"/>
          <w:kern w:val="2"/>
          <w:szCs w:val="24"/>
          <w:lang w:eastAsia="en-US"/>
          <w14:ligatures w14:val="standardContextual"/>
        </w:rPr>
        <w:sectPr w:rsidR="00ED1222" w:rsidRPr="00ED1222" w:rsidSect="00ED1222">
          <w:footnotePr>
            <w:numRestart w:val="eachSect"/>
          </w:footnotePr>
          <w:pgSz w:w="11906" w:h="16838"/>
          <w:pgMar w:top="1440" w:right="1440" w:bottom="1440" w:left="1440" w:header="708" w:footer="708" w:gutter="0"/>
          <w:cols w:space="708"/>
          <w:docGrid w:linePitch="360"/>
        </w:sectPr>
      </w:pPr>
    </w:p>
    <w:p w14:paraId="3C44BF2D" w14:textId="5ED86A4F" w:rsidR="00ED1222" w:rsidRPr="00ED1222" w:rsidRDefault="00ED1222" w:rsidP="00ED1222">
      <w:pPr>
        <w:pStyle w:val="ATHeading3"/>
      </w:pPr>
      <w:r w:rsidRPr="00ED1222">
        <w:lastRenderedPageBreak/>
        <w:t>2. Euroopa Parlamendi 7. mai 2025. aasta otsus Euroopa Liidu Energeetikasektorit Reguleerivate Asutuste Koostöö Ameti 2023. aasta raamatupidamiskontode sulgemise kohta (2024/2030(DEC))</w:t>
      </w:r>
    </w:p>
    <w:p w14:paraId="7712718C" w14:textId="77777777" w:rsidR="00ED1222" w:rsidRPr="00ED1222" w:rsidRDefault="00ED1222" w:rsidP="00ED1222">
      <w:pPr>
        <w:spacing w:before="480" w:after="240"/>
        <w:rPr>
          <w:i/>
          <w:kern w:val="2"/>
          <w14:ligatures w14:val="standardContextual"/>
        </w:rPr>
      </w:pPr>
      <w:r w:rsidRPr="00ED1222">
        <w:rPr>
          <w:i/>
          <w:kern w:val="2"/>
          <w14:ligatures w14:val="standardContextual"/>
        </w:rPr>
        <w:t>Euroopa Parlament,</w:t>
      </w:r>
    </w:p>
    <w:p w14:paraId="6DD63112"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Energeetikasektorit Reguleerivate Asutuste Koostöö Ameti 2023. aasta lõplikku raamatupidamisaruannet,</w:t>
      </w:r>
    </w:p>
    <w:p w14:paraId="4D2584B0"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kontrollikoja aastaaruannet ELi asutuste eelarveaasta 2023 kohta koos asutuste vastustega</w:t>
      </w:r>
      <w:r w:rsidRPr="00ED1222">
        <w:rPr>
          <w:kern w:val="2"/>
          <w:vertAlign w:val="superscript"/>
          <w14:ligatures w14:val="standardContextual"/>
        </w:rPr>
        <w:footnoteReference w:id="7"/>
      </w:r>
      <w:r w:rsidRPr="00ED1222">
        <w:rPr>
          <w:kern w:val="2"/>
          <w14:ligatures w14:val="standardContextual"/>
        </w:rPr>
        <w:t>,</w:t>
      </w:r>
    </w:p>
    <w:p w14:paraId="3360253C"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vastavalt Euroopa Liidu toimimise lepingu artiklile 287 tehtud kontrollikoja kinnitavat avaldust</w:t>
      </w:r>
      <w:r w:rsidRPr="00ED1222">
        <w:rPr>
          <w:kern w:val="2"/>
          <w:vertAlign w:val="superscript"/>
          <w14:ligatures w14:val="standardContextual"/>
        </w:rPr>
        <w:footnoteReference w:id="8"/>
      </w:r>
      <w:r w:rsidRPr="00ED1222">
        <w:rPr>
          <w:kern w:val="2"/>
          <w14:ligatures w14:val="standardContextual"/>
        </w:rPr>
        <w:t xml:space="preserve"> 2023. aasta raamatupidamiskontode usaldatavuse ja nende aluseks olevate tehingute seaduslikkuse ja korrektsuse kohta,</w:t>
      </w:r>
    </w:p>
    <w:p w14:paraId="0A814BB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nõukogu 17. veebruari 2025. aasta soovitust ameti tegevusele heakskiidu andmise kohta 2023. aasta eelarve täitmisel (05755/2025 – C10</w:t>
      </w:r>
      <w:r w:rsidRPr="00ED1222">
        <w:rPr>
          <w:kern w:val="2"/>
          <w14:ligatures w14:val="standardContextual"/>
        </w:rPr>
        <w:noBreakHyphen/>
        <w:t>0024/2025),</w:t>
      </w:r>
    </w:p>
    <w:p w14:paraId="1D42419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toimimise lepingu artiklit 319,</w:t>
      </w:r>
    </w:p>
    <w:p w14:paraId="11DAE160"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18. juuli 2018. aasta määrust (EL, Euratom) 2018/1046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ED1222">
        <w:rPr>
          <w:kern w:val="2"/>
          <w:vertAlign w:val="superscript"/>
          <w14:ligatures w14:val="standardContextual"/>
        </w:rPr>
        <w:footnoteReference w:id="9"/>
      </w:r>
      <w:r w:rsidRPr="00ED1222">
        <w:rPr>
          <w:kern w:val="2"/>
          <w14:ligatures w14:val="standardContextual"/>
        </w:rPr>
        <w:t>, eriti selle artiklit 70,</w:t>
      </w:r>
    </w:p>
    <w:p w14:paraId="1504D71A"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23. septembri 2024. aasta määrust (EL, Euratom) 2024/2509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w:t>
      </w:r>
      <w:r w:rsidRPr="00ED1222">
        <w:rPr>
          <w:kern w:val="2"/>
          <w:vertAlign w:val="superscript"/>
          <w14:ligatures w14:val="standardContextual"/>
        </w:rPr>
        <w:footnoteReference w:id="10"/>
      </w:r>
      <w:r w:rsidRPr="00ED1222">
        <w:rPr>
          <w:kern w:val="2"/>
          <w14:ligatures w14:val="standardContextual"/>
        </w:rPr>
        <w:t>, eriti selle artiklit 70,</w:t>
      </w:r>
    </w:p>
    <w:p w14:paraId="75BCAEE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Parlamendi ja nõukogu 5. juuni 2019. aasta määrust (EL) 2019/942 (millega asutatakse Euroopa Liidu Energeetikasektorit Reguleerivate Asutuste Koostöö Amet)</w:t>
      </w:r>
      <w:r w:rsidRPr="00ED1222">
        <w:rPr>
          <w:kern w:val="2"/>
          <w:vertAlign w:val="superscript"/>
          <w14:ligatures w14:val="standardContextual"/>
        </w:rPr>
        <w:footnoteReference w:id="11"/>
      </w:r>
      <w:r w:rsidRPr="00ED1222">
        <w:rPr>
          <w:kern w:val="2"/>
          <w14:ligatures w14:val="standardContextual"/>
        </w:rPr>
        <w:t>, eriti selle artiklit 35,</w:t>
      </w:r>
    </w:p>
    <w:p w14:paraId="628E9F12"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ED1222">
        <w:rPr>
          <w:kern w:val="2"/>
          <w:vertAlign w:val="superscript"/>
          <w14:ligatures w14:val="standardContextual"/>
        </w:rPr>
        <w:footnoteReference w:id="12"/>
      </w:r>
      <w:r w:rsidRPr="00ED1222">
        <w:rPr>
          <w:kern w:val="2"/>
          <w14:ligatures w14:val="standardContextual"/>
        </w:rPr>
        <w:t>, eriti selle artiklit 105,</w:t>
      </w:r>
    </w:p>
    <w:p w14:paraId="14795693"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kodukorra artiklit 102 ja V lisa,</w:t>
      </w:r>
    </w:p>
    <w:p w14:paraId="0DFB0180"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lastRenderedPageBreak/>
        <w:t>–</w:t>
      </w:r>
      <w:r w:rsidRPr="00ED1222">
        <w:rPr>
          <w:kern w:val="2"/>
          <w14:ligatures w14:val="standardContextual"/>
        </w:rPr>
        <w:tab/>
        <w:t>võttes arvesse tööhõive- ja sotsiaalkomisjoni, keskkonna-, kliima- ja toiduohutuse komisjoni, transpordi- ja turismikomisjoni, kalanduskomisjoni, kultuuri- ja hariduskomisjoni, kodanikuvabaduste, justiits- ja siseasjade komisjoni ning naiste õiguste ja soolise võrdõiguslikkuse komisjoni arvamusi,</w:t>
      </w:r>
    </w:p>
    <w:p w14:paraId="71753289"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eelarvekontrollikomisjoni raportit (A10-0065/2025),</w:t>
      </w:r>
    </w:p>
    <w:p w14:paraId="3820A3F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w:t>
      </w:r>
      <w:r w:rsidRPr="00ED1222">
        <w:rPr>
          <w:kern w:val="2"/>
          <w14:ligatures w14:val="standardContextual"/>
        </w:rPr>
        <w:tab/>
        <w:t>annab heakskiidu Euroopa Liidu Energeetikasektorit Reguleerivate Asutuste Koostöö Ameti 2023. aasta raamatupidamiskontode sulgemisele;</w:t>
      </w:r>
    </w:p>
    <w:p w14:paraId="573EE750"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2.</w:t>
      </w:r>
      <w:r w:rsidRPr="00ED1222">
        <w:rPr>
          <w:kern w:val="2"/>
          <w14:ligatures w14:val="standardContextual"/>
        </w:rPr>
        <w:tab/>
        <w:t xml:space="preserve">teeb presidendile ülesandeks edastada käesolev otsus Euroopa Liidu Energeetikasektorit Reguleerivate Asutuste Koostöö Ameti direktorile, nõukogule, komisjonile ja kontrollikojale ning korraldada selle avaldamine </w:t>
      </w:r>
      <w:r w:rsidRPr="00ED1222">
        <w:rPr>
          <w:i/>
          <w:kern w:val="2"/>
          <w14:ligatures w14:val="standardContextual"/>
        </w:rPr>
        <w:t>Euroopa Liidu Teatajas</w:t>
      </w:r>
      <w:r w:rsidRPr="00ED1222">
        <w:rPr>
          <w:kern w:val="2"/>
          <w14:ligatures w14:val="standardContextual"/>
        </w:rPr>
        <w:t xml:space="preserve"> (L-seerias).</w:t>
      </w:r>
    </w:p>
    <w:p w14:paraId="233CC4D3" w14:textId="77777777" w:rsidR="00ED1222" w:rsidRPr="00ED1222" w:rsidRDefault="00ED1222" w:rsidP="00ED1222">
      <w:pPr>
        <w:widowControl/>
        <w:jc w:val="both"/>
        <w:rPr>
          <w:rFonts w:eastAsia="Aptos"/>
          <w:kern w:val="2"/>
          <w:szCs w:val="24"/>
          <w:lang w:eastAsia="en-US"/>
          <w14:ligatures w14:val="standardContextual"/>
        </w:rPr>
        <w:sectPr w:rsidR="00ED1222" w:rsidRPr="00ED1222" w:rsidSect="00ED1222">
          <w:footnotePr>
            <w:numRestart w:val="eachSect"/>
          </w:footnotePr>
          <w:pgSz w:w="11906" w:h="16838"/>
          <w:pgMar w:top="1440" w:right="1440" w:bottom="1440" w:left="1440" w:header="708" w:footer="708" w:gutter="0"/>
          <w:cols w:space="708"/>
          <w:docGrid w:linePitch="360"/>
        </w:sectPr>
      </w:pPr>
    </w:p>
    <w:p w14:paraId="6D57A78B" w14:textId="2F73420D" w:rsidR="00ED1222" w:rsidRPr="00ED1222" w:rsidRDefault="00ED1222" w:rsidP="00ED1222">
      <w:pPr>
        <w:pStyle w:val="ATHeading3"/>
      </w:pPr>
      <w:r w:rsidRPr="00ED1222">
        <w:lastRenderedPageBreak/>
        <w:t xml:space="preserve">3. Euroopa Parlamendi 7. mai 2025. aasta otsus </w:t>
      </w:r>
      <w:proofErr w:type="spellStart"/>
      <w:r w:rsidRPr="00ED1222">
        <w:t>BERECi</w:t>
      </w:r>
      <w:proofErr w:type="spellEnd"/>
      <w:r w:rsidRPr="00ED1222">
        <w:t xml:space="preserve"> Tugiameti 2023. aasta eelarve täitmisele heakskiidu andmise kohta (2024/2030(DEC))</w:t>
      </w:r>
    </w:p>
    <w:p w14:paraId="5333AE42" w14:textId="77777777" w:rsidR="00ED1222" w:rsidRPr="00ED1222" w:rsidRDefault="00ED1222" w:rsidP="00ED1222">
      <w:pPr>
        <w:spacing w:before="480" w:after="240"/>
        <w:rPr>
          <w:i/>
          <w:kern w:val="2"/>
          <w14:ligatures w14:val="standardContextual"/>
        </w:rPr>
      </w:pPr>
      <w:r w:rsidRPr="00ED1222">
        <w:rPr>
          <w:i/>
          <w:kern w:val="2"/>
          <w14:ligatures w14:val="standardContextual"/>
        </w:rPr>
        <w:t>Euroopa Parlament,</w:t>
      </w:r>
    </w:p>
    <w:p w14:paraId="23DEB50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w:t>
      </w:r>
      <w:proofErr w:type="spellStart"/>
      <w:r w:rsidRPr="00ED1222">
        <w:rPr>
          <w:kern w:val="2"/>
          <w14:ligatures w14:val="standardContextual"/>
        </w:rPr>
        <w:t>BERECi</w:t>
      </w:r>
      <w:proofErr w:type="spellEnd"/>
      <w:r w:rsidRPr="00ED1222">
        <w:rPr>
          <w:kern w:val="2"/>
          <w14:ligatures w14:val="standardContextual"/>
        </w:rPr>
        <w:t xml:space="preserve"> Tugiameti 2023. aasta lõplikku raamatupidamisaruannet,</w:t>
      </w:r>
    </w:p>
    <w:p w14:paraId="31D35CAE"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kontrollikoja aastaaruannet ELi asutuste eelarveaasta 2023 kohta koos asutuste vastustega</w:t>
      </w:r>
      <w:r w:rsidRPr="00ED1222">
        <w:rPr>
          <w:kern w:val="2"/>
          <w:vertAlign w:val="superscript"/>
          <w14:ligatures w14:val="standardContextual"/>
        </w:rPr>
        <w:footnoteReference w:id="13"/>
      </w:r>
      <w:r w:rsidRPr="00ED1222">
        <w:rPr>
          <w:kern w:val="2"/>
          <w14:ligatures w14:val="standardContextual"/>
        </w:rPr>
        <w:t>,</w:t>
      </w:r>
    </w:p>
    <w:p w14:paraId="14974D37"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vastavalt Euroopa Liidu toimimise lepingu artiklile 287 tehtud kontrollikoja kinnitavat avaldust</w:t>
      </w:r>
      <w:r w:rsidRPr="00ED1222">
        <w:rPr>
          <w:kern w:val="2"/>
          <w:vertAlign w:val="superscript"/>
          <w14:ligatures w14:val="standardContextual"/>
        </w:rPr>
        <w:footnoteReference w:id="14"/>
      </w:r>
      <w:r w:rsidRPr="00ED1222">
        <w:rPr>
          <w:kern w:val="2"/>
          <w14:ligatures w14:val="standardContextual"/>
        </w:rPr>
        <w:t xml:space="preserve"> 2023. aasta raamatupidamiskontode usaldatavuse ja nende aluseks olevate tehingute seaduslikkuse ja korrektsuse kohta,</w:t>
      </w:r>
    </w:p>
    <w:p w14:paraId="0B79EDD5"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nõukogu 17. veebruari 2025. aasta soovitust ameti tegevusele heakskiidu andmise kohta 2023. aasta eelarve täitmisel (05755/2025 – C10</w:t>
      </w:r>
      <w:r w:rsidRPr="00ED1222">
        <w:rPr>
          <w:kern w:val="2"/>
          <w14:ligatures w14:val="standardContextual"/>
        </w:rPr>
        <w:noBreakHyphen/>
        <w:t>0024/2025),</w:t>
      </w:r>
    </w:p>
    <w:p w14:paraId="5FA5B65B"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toimimise lepingu artiklit 319,</w:t>
      </w:r>
    </w:p>
    <w:p w14:paraId="7351A0D0"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18. juuli 2018. aasta määrust (EL, Euratom) 2018/1046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ED1222">
        <w:rPr>
          <w:kern w:val="2"/>
          <w:vertAlign w:val="superscript"/>
          <w14:ligatures w14:val="standardContextual"/>
        </w:rPr>
        <w:footnoteReference w:id="15"/>
      </w:r>
      <w:r w:rsidRPr="00ED1222">
        <w:rPr>
          <w:kern w:val="2"/>
          <w14:ligatures w14:val="standardContextual"/>
        </w:rPr>
        <w:t>, eriti selle artiklit 70,</w:t>
      </w:r>
    </w:p>
    <w:p w14:paraId="1D935103"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23. septembri 2024. aasta määrust (EL, Euratom) 2024/2509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w:t>
      </w:r>
      <w:r w:rsidRPr="00ED1222">
        <w:rPr>
          <w:kern w:val="2"/>
          <w:vertAlign w:val="superscript"/>
          <w14:ligatures w14:val="standardContextual"/>
        </w:rPr>
        <w:footnoteReference w:id="16"/>
      </w:r>
      <w:r w:rsidRPr="00ED1222">
        <w:rPr>
          <w:kern w:val="2"/>
          <w14:ligatures w14:val="standardContextual"/>
        </w:rPr>
        <w:t>, eriti selle artiklit 70,</w:t>
      </w:r>
    </w:p>
    <w:p w14:paraId="3797A6E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11. detsembri 2018. aasta määrust (EL) 2018/1971 (millega asutatakse elektroonilise side Euroopa reguleerivate asutuste amet (BEREC) ja </w:t>
      </w:r>
      <w:proofErr w:type="spellStart"/>
      <w:r w:rsidRPr="00ED1222">
        <w:rPr>
          <w:kern w:val="2"/>
          <w14:ligatures w14:val="standardContextual"/>
        </w:rPr>
        <w:t>BERECi</w:t>
      </w:r>
      <w:proofErr w:type="spellEnd"/>
      <w:r w:rsidRPr="00ED1222">
        <w:rPr>
          <w:kern w:val="2"/>
          <w14:ligatures w14:val="standardContextual"/>
        </w:rPr>
        <w:t xml:space="preserve"> tugiamet (</w:t>
      </w:r>
      <w:proofErr w:type="spellStart"/>
      <w:r w:rsidRPr="00ED1222">
        <w:rPr>
          <w:kern w:val="2"/>
          <w14:ligatures w14:val="standardContextual"/>
        </w:rPr>
        <w:t>BERECi</w:t>
      </w:r>
      <w:proofErr w:type="spellEnd"/>
      <w:r w:rsidRPr="00ED1222">
        <w:rPr>
          <w:kern w:val="2"/>
          <w14:ligatures w14:val="standardContextual"/>
        </w:rPr>
        <w:t xml:space="preserve"> büroo) ja muudetakse määrust (EL) 2015/2120 ning tunnistatakse kehtetuks määrus (EÜ) nr 1211/2009)</w:t>
      </w:r>
      <w:r w:rsidRPr="00ED1222">
        <w:rPr>
          <w:kern w:val="2"/>
          <w:vertAlign w:val="superscript"/>
          <w14:ligatures w14:val="standardContextual"/>
        </w:rPr>
        <w:footnoteReference w:id="17"/>
      </w:r>
      <w:r w:rsidRPr="00ED1222">
        <w:rPr>
          <w:kern w:val="2"/>
          <w14:ligatures w14:val="standardContextual"/>
        </w:rPr>
        <w:t>, eriti selle artiklit 28,</w:t>
      </w:r>
    </w:p>
    <w:p w14:paraId="4FEA91FB"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ED1222">
        <w:rPr>
          <w:kern w:val="2"/>
          <w:vertAlign w:val="superscript"/>
          <w14:ligatures w14:val="standardContextual"/>
        </w:rPr>
        <w:footnoteReference w:id="18"/>
      </w:r>
      <w:r w:rsidRPr="00ED1222">
        <w:rPr>
          <w:kern w:val="2"/>
          <w14:ligatures w14:val="standardContextual"/>
        </w:rPr>
        <w:t>, eriti selle artiklit 105,</w:t>
      </w:r>
    </w:p>
    <w:p w14:paraId="74EF2E82"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kodukorra artiklit 102 ja V lisa,</w:t>
      </w:r>
    </w:p>
    <w:p w14:paraId="16D839C0"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lastRenderedPageBreak/>
        <w:t>–</w:t>
      </w:r>
      <w:r w:rsidRPr="00ED1222">
        <w:rPr>
          <w:kern w:val="2"/>
          <w14:ligatures w14:val="standardContextual"/>
        </w:rPr>
        <w:tab/>
        <w:t>võttes arvesse tööhõive- ja sotsiaalkomisjoni, keskkonna-, kliima- ja toiduohutuse komisjoni, transpordi- ja turismikomisjoni, kalanduskomisjoni, kultuuri- ja hariduskomisjoni, kodanikuvabaduste, justiits- ja siseasjade komisjoni ning naiste õiguste ja soolise võrdõiguslikkuse komisjoni arvamusi,</w:t>
      </w:r>
    </w:p>
    <w:p w14:paraId="002C2C6F"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eelarvekontrollikomisjoni raportit (A10-0065/2025),</w:t>
      </w:r>
    </w:p>
    <w:p w14:paraId="39B13BD9"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w:t>
      </w:r>
      <w:r w:rsidRPr="00ED1222">
        <w:rPr>
          <w:kern w:val="2"/>
          <w14:ligatures w14:val="standardContextual"/>
        </w:rPr>
        <w:tab/>
        <w:t xml:space="preserve">annab heakskiidu </w:t>
      </w:r>
      <w:proofErr w:type="spellStart"/>
      <w:r w:rsidRPr="00ED1222">
        <w:rPr>
          <w:kern w:val="2"/>
          <w14:ligatures w14:val="standardContextual"/>
        </w:rPr>
        <w:t>BERECi</w:t>
      </w:r>
      <w:proofErr w:type="spellEnd"/>
      <w:r w:rsidRPr="00ED1222">
        <w:rPr>
          <w:kern w:val="2"/>
          <w14:ligatures w14:val="standardContextual"/>
        </w:rPr>
        <w:t xml:space="preserve"> Tugiameti direktori tegevusele ameti 2023. aasta eelarve täitmisel;</w:t>
      </w:r>
    </w:p>
    <w:p w14:paraId="5F51BD09"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2.</w:t>
      </w:r>
      <w:r w:rsidRPr="00ED1222">
        <w:rPr>
          <w:kern w:val="2"/>
          <w14:ligatures w14:val="standardContextual"/>
        </w:rPr>
        <w:tab/>
        <w:t>esitab oma tähelepanekud alltoodud resolutsioonis;</w:t>
      </w:r>
    </w:p>
    <w:p w14:paraId="5DCDFC40"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3.</w:t>
      </w:r>
      <w:r w:rsidRPr="00ED1222">
        <w:rPr>
          <w:kern w:val="2"/>
          <w14:ligatures w14:val="standardContextual"/>
        </w:rPr>
        <w:tab/>
        <w:t xml:space="preserve">teeb presidendile ülesandeks edastada käesolev otsus ja resolutsioon, mis on selle lahutamatu osa, </w:t>
      </w:r>
      <w:proofErr w:type="spellStart"/>
      <w:r w:rsidRPr="00ED1222">
        <w:rPr>
          <w:kern w:val="2"/>
          <w14:ligatures w14:val="standardContextual"/>
        </w:rPr>
        <w:t>BERECi</w:t>
      </w:r>
      <w:proofErr w:type="spellEnd"/>
      <w:r w:rsidRPr="00ED1222">
        <w:rPr>
          <w:kern w:val="2"/>
          <w14:ligatures w14:val="standardContextual"/>
        </w:rPr>
        <w:t xml:space="preserve"> Tugiameti direktorile, nõukogule, komisjonile ja kontrollikojale ning korraldada nende avaldamine </w:t>
      </w:r>
      <w:r w:rsidRPr="00ED1222">
        <w:rPr>
          <w:i/>
          <w:kern w:val="2"/>
          <w14:ligatures w14:val="standardContextual"/>
        </w:rPr>
        <w:t>Euroopa Liidu Teatajas</w:t>
      </w:r>
      <w:r w:rsidRPr="00ED1222">
        <w:rPr>
          <w:kern w:val="2"/>
          <w14:ligatures w14:val="standardContextual"/>
        </w:rPr>
        <w:t xml:space="preserve"> (L-seerias).</w:t>
      </w:r>
    </w:p>
    <w:p w14:paraId="4253185D" w14:textId="77777777" w:rsidR="00ED1222" w:rsidRPr="00ED1222" w:rsidRDefault="00ED1222" w:rsidP="00ED1222">
      <w:pPr>
        <w:widowControl/>
        <w:jc w:val="both"/>
        <w:rPr>
          <w:rFonts w:eastAsia="Aptos"/>
          <w:kern w:val="2"/>
          <w:szCs w:val="24"/>
          <w:lang w:eastAsia="en-US"/>
          <w14:ligatures w14:val="standardContextual"/>
        </w:rPr>
        <w:sectPr w:rsidR="00ED1222" w:rsidRPr="00ED1222" w:rsidSect="00ED1222">
          <w:footnotePr>
            <w:numRestart w:val="eachSect"/>
          </w:footnotePr>
          <w:pgSz w:w="11906" w:h="16838"/>
          <w:pgMar w:top="1440" w:right="1440" w:bottom="1440" w:left="1440" w:header="708" w:footer="708" w:gutter="0"/>
          <w:cols w:space="708"/>
          <w:docGrid w:linePitch="360"/>
        </w:sectPr>
      </w:pPr>
    </w:p>
    <w:p w14:paraId="08DA7DF5" w14:textId="690914E3" w:rsidR="00ED1222" w:rsidRPr="00ED1222" w:rsidRDefault="00ED1222" w:rsidP="00ED1222">
      <w:pPr>
        <w:pStyle w:val="ATHeading3"/>
      </w:pPr>
      <w:r w:rsidRPr="00ED1222">
        <w:lastRenderedPageBreak/>
        <w:t xml:space="preserve">4. Euroopa Parlamendi 7. mai 2025. aasta otsus </w:t>
      </w:r>
      <w:proofErr w:type="spellStart"/>
      <w:r w:rsidRPr="00ED1222">
        <w:t>BERECi</w:t>
      </w:r>
      <w:proofErr w:type="spellEnd"/>
      <w:r w:rsidRPr="00ED1222">
        <w:t xml:space="preserve"> Tugiameti 2023. aasta raamatupidamiskontode sulgemise kohta (2024/2030(DEC))</w:t>
      </w:r>
    </w:p>
    <w:p w14:paraId="1C73356A" w14:textId="77777777" w:rsidR="00ED1222" w:rsidRPr="00ED1222" w:rsidRDefault="00ED1222" w:rsidP="00ED1222">
      <w:pPr>
        <w:spacing w:before="480" w:after="240"/>
        <w:rPr>
          <w:i/>
          <w:kern w:val="2"/>
          <w14:ligatures w14:val="standardContextual"/>
        </w:rPr>
      </w:pPr>
      <w:r w:rsidRPr="00ED1222">
        <w:rPr>
          <w:i/>
          <w:kern w:val="2"/>
          <w14:ligatures w14:val="standardContextual"/>
        </w:rPr>
        <w:t>Euroopa Parlament,</w:t>
      </w:r>
    </w:p>
    <w:p w14:paraId="55FD2EDB"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w:t>
      </w:r>
      <w:proofErr w:type="spellStart"/>
      <w:r w:rsidRPr="00ED1222">
        <w:rPr>
          <w:kern w:val="2"/>
          <w14:ligatures w14:val="standardContextual"/>
        </w:rPr>
        <w:t>BERECi</w:t>
      </w:r>
      <w:proofErr w:type="spellEnd"/>
      <w:r w:rsidRPr="00ED1222">
        <w:rPr>
          <w:kern w:val="2"/>
          <w14:ligatures w14:val="standardContextual"/>
        </w:rPr>
        <w:t xml:space="preserve"> Tugiameti 2023. aasta lõplikku raamatupidamisaruannet,</w:t>
      </w:r>
    </w:p>
    <w:p w14:paraId="6CFB69CA"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kontrollikoja aastaaruannet ELi asutuste eelarveaasta 2023 kohta koos asutuste vastustega</w:t>
      </w:r>
      <w:r w:rsidRPr="00ED1222">
        <w:rPr>
          <w:kern w:val="2"/>
          <w:vertAlign w:val="superscript"/>
          <w14:ligatures w14:val="standardContextual"/>
        </w:rPr>
        <w:footnoteReference w:id="19"/>
      </w:r>
      <w:r w:rsidRPr="00ED1222">
        <w:rPr>
          <w:kern w:val="2"/>
          <w14:ligatures w14:val="standardContextual"/>
        </w:rPr>
        <w:t>,</w:t>
      </w:r>
    </w:p>
    <w:p w14:paraId="0416493F"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vastavalt Euroopa Liidu toimimise lepingu artiklile 287 tehtud kontrollikoja kinnitavat avaldust</w:t>
      </w:r>
      <w:r w:rsidRPr="00ED1222">
        <w:rPr>
          <w:kern w:val="2"/>
          <w:vertAlign w:val="superscript"/>
          <w14:ligatures w14:val="standardContextual"/>
        </w:rPr>
        <w:footnoteReference w:id="20"/>
      </w:r>
      <w:r w:rsidRPr="00ED1222">
        <w:rPr>
          <w:kern w:val="2"/>
          <w14:ligatures w14:val="standardContextual"/>
        </w:rPr>
        <w:t xml:space="preserve"> 2023. aasta raamatupidamiskontode usaldatavuse ja nende aluseks olevate tehingute seaduslikkuse ja korrektsuse kohta,</w:t>
      </w:r>
    </w:p>
    <w:p w14:paraId="6604A7DD"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nõukogu 17. veebruari 2025. aasta soovitust ameti tegevusele heakskiidu andmise kohta 2023. aasta eelarve täitmisel (05755/2025 – C10</w:t>
      </w:r>
      <w:r w:rsidRPr="00ED1222">
        <w:rPr>
          <w:kern w:val="2"/>
          <w14:ligatures w14:val="standardContextual"/>
        </w:rPr>
        <w:noBreakHyphen/>
        <w:t>0024/2025),</w:t>
      </w:r>
    </w:p>
    <w:p w14:paraId="5BA8A90B"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toimimise lepingu artiklit 319,</w:t>
      </w:r>
    </w:p>
    <w:p w14:paraId="7069EA14"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18. juuli 2018. aasta määrust (EL, Euratom) 2018/1046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ED1222">
        <w:rPr>
          <w:kern w:val="2"/>
          <w:vertAlign w:val="superscript"/>
          <w14:ligatures w14:val="standardContextual"/>
        </w:rPr>
        <w:footnoteReference w:id="21"/>
      </w:r>
      <w:r w:rsidRPr="00ED1222">
        <w:rPr>
          <w:kern w:val="2"/>
          <w14:ligatures w14:val="standardContextual"/>
        </w:rPr>
        <w:t>, eriti selle artiklit 70,</w:t>
      </w:r>
    </w:p>
    <w:p w14:paraId="2A45EE5D"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23. septembri 2024. aasta määrust (EL, Euratom) 2024/2509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w:t>
      </w:r>
      <w:r w:rsidRPr="00ED1222">
        <w:rPr>
          <w:kern w:val="2"/>
          <w:vertAlign w:val="superscript"/>
          <w14:ligatures w14:val="standardContextual"/>
        </w:rPr>
        <w:footnoteReference w:id="22"/>
      </w:r>
      <w:r w:rsidRPr="00ED1222">
        <w:rPr>
          <w:kern w:val="2"/>
          <w14:ligatures w14:val="standardContextual"/>
        </w:rPr>
        <w:t>, eriti selle artiklit 70,</w:t>
      </w:r>
    </w:p>
    <w:p w14:paraId="57D62B3E"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11. detsembri 2018. aasta määrust (EL) 2018/1971 (millega asutatakse elektroonilise side Euroopa reguleerivate asutuste amet (BEREC) ja </w:t>
      </w:r>
      <w:proofErr w:type="spellStart"/>
      <w:r w:rsidRPr="00ED1222">
        <w:rPr>
          <w:kern w:val="2"/>
          <w14:ligatures w14:val="standardContextual"/>
        </w:rPr>
        <w:t>BERECi</w:t>
      </w:r>
      <w:proofErr w:type="spellEnd"/>
      <w:r w:rsidRPr="00ED1222">
        <w:rPr>
          <w:kern w:val="2"/>
          <w14:ligatures w14:val="standardContextual"/>
        </w:rPr>
        <w:t xml:space="preserve"> tugiamet (</w:t>
      </w:r>
      <w:proofErr w:type="spellStart"/>
      <w:r w:rsidRPr="00ED1222">
        <w:rPr>
          <w:kern w:val="2"/>
          <w14:ligatures w14:val="standardContextual"/>
        </w:rPr>
        <w:t>BERECi</w:t>
      </w:r>
      <w:proofErr w:type="spellEnd"/>
      <w:r w:rsidRPr="00ED1222">
        <w:rPr>
          <w:kern w:val="2"/>
          <w14:ligatures w14:val="standardContextual"/>
        </w:rPr>
        <w:t xml:space="preserve"> büroo) ja muudetakse määrust (EL) 2015/2120 ning tunnistatakse kehtetuks määrus (EÜ) nr 1211/2009)</w:t>
      </w:r>
      <w:r w:rsidRPr="00ED1222">
        <w:rPr>
          <w:kern w:val="2"/>
          <w:vertAlign w:val="superscript"/>
          <w14:ligatures w14:val="standardContextual"/>
        </w:rPr>
        <w:footnoteReference w:id="23"/>
      </w:r>
      <w:r w:rsidRPr="00ED1222">
        <w:rPr>
          <w:kern w:val="2"/>
          <w14:ligatures w14:val="standardContextual"/>
        </w:rPr>
        <w:t>, eriti selle artiklit 28,</w:t>
      </w:r>
    </w:p>
    <w:p w14:paraId="4E45D1F9"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ED1222">
        <w:rPr>
          <w:kern w:val="2"/>
          <w:vertAlign w:val="superscript"/>
          <w14:ligatures w14:val="standardContextual"/>
        </w:rPr>
        <w:footnoteReference w:id="24"/>
      </w:r>
      <w:r w:rsidRPr="00ED1222">
        <w:rPr>
          <w:kern w:val="2"/>
          <w14:ligatures w14:val="standardContextual"/>
        </w:rPr>
        <w:t>, eriti selle artiklit 105,</w:t>
      </w:r>
    </w:p>
    <w:p w14:paraId="67951F3D"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kodukorra artiklit 102 ja V lisa,</w:t>
      </w:r>
    </w:p>
    <w:p w14:paraId="5EDC4292"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lastRenderedPageBreak/>
        <w:t>–</w:t>
      </w:r>
      <w:r w:rsidRPr="00ED1222">
        <w:rPr>
          <w:kern w:val="2"/>
          <w14:ligatures w14:val="standardContextual"/>
        </w:rPr>
        <w:tab/>
        <w:t>võttes arvesse tööhõive- ja sotsiaalkomisjoni, keskkonna-, kliima- ja toiduohutuse komisjoni, transpordi- ja turismikomisjoni, kalanduskomisjoni, kultuuri- ja hariduskomisjoni, kodanikuvabaduste, justiits- ja siseasjade komisjoni ning naiste õiguste ja soolise võrdõiguslikkuse komisjoni arvamusi,</w:t>
      </w:r>
    </w:p>
    <w:p w14:paraId="42F2CBF5"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eelarvekontrollikomisjoni raportit (A10-0065/2025),</w:t>
      </w:r>
    </w:p>
    <w:p w14:paraId="77874593"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w:t>
      </w:r>
      <w:r w:rsidRPr="00ED1222">
        <w:rPr>
          <w:kern w:val="2"/>
          <w14:ligatures w14:val="standardContextual"/>
        </w:rPr>
        <w:tab/>
        <w:t xml:space="preserve">annab heakskiidu </w:t>
      </w:r>
      <w:proofErr w:type="spellStart"/>
      <w:r w:rsidRPr="00ED1222">
        <w:rPr>
          <w:kern w:val="2"/>
          <w14:ligatures w14:val="standardContextual"/>
        </w:rPr>
        <w:t>BERECi</w:t>
      </w:r>
      <w:proofErr w:type="spellEnd"/>
      <w:r w:rsidRPr="00ED1222">
        <w:rPr>
          <w:kern w:val="2"/>
          <w14:ligatures w14:val="standardContextual"/>
        </w:rPr>
        <w:t xml:space="preserve"> Tugiameti 2023. aasta raamatupidamiskontode sulgemisele;</w:t>
      </w:r>
    </w:p>
    <w:p w14:paraId="1B8514DC"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2.</w:t>
      </w:r>
      <w:r w:rsidRPr="00ED1222">
        <w:rPr>
          <w:kern w:val="2"/>
          <w14:ligatures w14:val="standardContextual"/>
        </w:rPr>
        <w:tab/>
        <w:t xml:space="preserve">teeb presidendile ülesandeks edastada käesolev otsus </w:t>
      </w:r>
      <w:proofErr w:type="spellStart"/>
      <w:r w:rsidRPr="00ED1222">
        <w:rPr>
          <w:kern w:val="2"/>
          <w14:ligatures w14:val="standardContextual"/>
        </w:rPr>
        <w:t>BERECi</w:t>
      </w:r>
      <w:proofErr w:type="spellEnd"/>
      <w:r w:rsidRPr="00ED1222">
        <w:rPr>
          <w:kern w:val="2"/>
          <w14:ligatures w14:val="standardContextual"/>
        </w:rPr>
        <w:t xml:space="preserve"> Tugiameti direktorile, nõukogule, komisjonile ja kontrollikojale ning korraldada selle avaldamine </w:t>
      </w:r>
      <w:r w:rsidRPr="00ED1222">
        <w:rPr>
          <w:i/>
          <w:kern w:val="2"/>
          <w14:ligatures w14:val="standardContextual"/>
        </w:rPr>
        <w:t>Euroopa Liidu Teatajas</w:t>
      </w:r>
      <w:r w:rsidRPr="00ED1222">
        <w:rPr>
          <w:kern w:val="2"/>
          <w14:ligatures w14:val="standardContextual"/>
        </w:rPr>
        <w:t xml:space="preserve"> (L-seerias).</w:t>
      </w:r>
    </w:p>
    <w:p w14:paraId="5B7E0A85" w14:textId="77777777" w:rsidR="00ED1222" w:rsidRPr="00ED1222" w:rsidRDefault="00ED1222" w:rsidP="00ED1222">
      <w:pPr>
        <w:widowControl/>
        <w:jc w:val="both"/>
        <w:rPr>
          <w:rFonts w:eastAsia="Aptos"/>
          <w:kern w:val="2"/>
          <w:szCs w:val="24"/>
          <w:lang w:eastAsia="en-US"/>
          <w14:ligatures w14:val="standardContextual"/>
        </w:rPr>
        <w:sectPr w:rsidR="00ED1222" w:rsidRPr="00ED1222" w:rsidSect="00ED1222">
          <w:footnotePr>
            <w:numRestart w:val="eachSect"/>
          </w:footnotePr>
          <w:pgSz w:w="11906" w:h="16838"/>
          <w:pgMar w:top="1440" w:right="1440" w:bottom="1440" w:left="1440" w:header="708" w:footer="708" w:gutter="0"/>
          <w:cols w:space="708"/>
          <w:docGrid w:linePitch="360"/>
        </w:sectPr>
      </w:pPr>
    </w:p>
    <w:p w14:paraId="0D667EEA" w14:textId="72A62323" w:rsidR="00ED1222" w:rsidRPr="00ED1222" w:rsidRDefault="00ED1222" w:rsidP="00ED1222">
      <w:pPr>
        <w:pStyle w:val="ATHeading3"/>
      </w:pPr>
      <w:r w:rsidRPr="00ED1222">
        <w:lastRenderedPageBreak/>
        <w:t>5. Euroopa Parlamendi 7. mai 2025. aasta otsus Euroopa Liidu Asutuste Tõlkekeskuse 2023. aasta eelarve täitmisele heakskiidu andmise kohta</w:t>
      </w:r>
      <w:r w:rsidR="00A87338">
        <w:t xml:space="preserve"> </w:t>
      </w:r>
      <w:r w:rsidRPr="00ED1222">
        <w:t>(2024/2030(DEC))</w:t>
      </w:r>
    </w:p>
    <w:p w14:paraId="1C2546C5" w14:textId="77777777" w:rsidR="00ED1222" w:rsidRPr="00ED1222" w:rsidRDefault="00ED1222" w:rsidP="00ED1222">
      <w:pPr>
        <w:spacing w:before="480" w:after="240"/>
        <w:rPr>
          <w:i/>
          <w:kern w:val="2"/>
          <w14:ligatures w14:val="standardContextual"/>
        </w:rPr>
      </w:pPr>
      <w:r w:rsidRPr="00ED1222">
        <w:rPr>
          <w:i/>
          <w:kern w:val="2"/>
          <w14:ligatures w14:val="standardContextual"/>
        </w:rPr>
        <w:t>Euroopa Parlament,</w:t>
      </w:r>
    </w:p>
    <w:p w14:paraId="45A601FE"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Asutuste Tõlkekeskuse 2023. aasta lõplikku raamatupidamisaruannet,</w:t>
      </w:r>
    </w:p>
    <w:p w14:paraId="0CA7568D"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kontrollikoja aastaaruannet ELi asutuste eelarveaasta 2023 kohta koos asutuste vastustega</w:t>
      </w:r>
      <w:r w:rsidRPr="00ED1222">
        <w:rPr>
          <w:kern w:val="2"/>
          <w:vertAlign w:val="superscript"/>
          <w14:ligatures w14:val="standardContextual"/>
        </w:rPr>
        <w:footnoteReference w:id="25"/>
      </w:r>
      <w:r w:rsidRPr="00ED1222">
        <w:rPr>
          <w:kern w:val="2"/>
          <w14:ligatures w14:val="standardContextual"/>
        </w:rPr>
        <w:t>,</w:t>
      </w:r>
    </w:p>
    <w:p w14:paraId="0AB01A92"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vastavalt Euroopa Liidu toimimise lepingu artiklile 287 tehtud kontrollikoja kinnitavat avaldust</w:t>
      </w:r>
      <w:r w:rsidRPr="00ED1222">
        <w:rPr>
          <w:kern w:val="2"/>
          <w:vertAlign w:val="superscript"/>
          <w14:ligatures w14:val="standardContextual"/>
        </w:rPr>
        <w:footnoteReference w:id="26"/>
      </w:r>
      <w:r w:rsidRPr="00ED1222">
        <w:rPr>
          <w:kern w:val="2"/>
          <w14:ligatures w14:val="standardContextual"/>
        </w:rPr>
        <w:t xml:space="preserve"> 2023. aasta raamatupidamiskontode usaldatavuse ja nende aluseks olevate tehingute seaduslikkuse ja korrektsuse kohta,</w:t>
      </w:r>
    </w:p>
    <w:p w14:paraId="20F8011F"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nõukogu 17. veebruari 2025. aasta soovitust keskuse tegevusele heakskiidu andmise kohta 2023. aasta eelarve täitmisel (05755/2025 – C10</w:t>
      </w:r>
      <w:r w:rsidRPr="00ED1222">
        <w:rPr>
          <w:kern w:val="2"/>
          <w14:ligatures w14:val="standardContextual"/>
        </w:rPr>
        <w:noBreakHyphen/>
        <w:t>0024/2025),</w:t>
      </w:r>
    </w:p>
    <w:p w14:paraId="654FD0EF"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toimimise lepingu artiklit 319,</w:t>
      </w:r>
    </w:p>
    <w:p w14:paraId="420F5663"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18. juuli 2018. aasta määrust (EL, Euratom) 2018/1046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ED1222">
        <w:rPr>
          <w:kern w:val="2"/>
          <w:vertAlign w:val="superscript"/>
          <w14:ligatures w14:val="standardContextual"/>
        </w:rPr>
        <w:footnoteReference w:id="27"/>
      </w:r>
      <w:r w:rsidRPr="00ED1222">
        <w:rPr>
          <w:kern w:val="2"/>
          <w14:ligatures w14:val="standardContextual"/>
        </w:rPr>
        <w:t>, eriti selle artiklit 70,</w:t>
      </w:r>
    </w:p>
    <w:p w14:paraId="6171ED94"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23. septembri 2024. aasta määrust (EL, Euratom) 2024/2509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w:t>
      </w:r>
      <w:r w:rsidRPr="00ED1222">
        <w:rPr>
          <w:kern w:val="2"/>
          <w:vertAlign w:val="superscript"/>
          <w14:ligatures w14:val="standardContextual"/>
        </w:rPr>
        <w:footnoteReference w:id="28"/>
      </w:r>
      <w:r w:rsidRPr="00ED1222">
        <w:rPr>
          <w:kern w:val="2"/>
          <w14:ligatures w14:val="standardContextual"/>
        </w:rPr>
        <w:t>, eriti selle artiklit 70,</w:t>
      </w:r>
    </w:p>
    <w:p w14:paraId="6AB429E5"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nõukogu 28. novembri 1994. aasta määrust (EÜ) nr 2965/94 Euroopa Liidu asutuste tõlkekeskuse asutamise kohta</w:t>
      </w:r>
      <w:r w:rsidRPr="00ED1222">
        <w:rPr>
          <w:kern w:val="2"/>
          <w:vertAlign w:val="superscript"/>
          <w14:ligatures w14:val="standardContextual"/>
        </w:rPr>
        <w:footnoteReference w:id="29"/>
      </w:r>
      <w:r w:rsidRPr="00ED1222">
        <w:rPr>
          <w:kern w:val="2"/>
          <w14:ligatures w14:val="standardContextual"/>
        </w:rPr>
        <w:t>, eriti selle artiklit 14,</w:t>
      </w:r>
    </w:p>
    <w:p w14:paraId="1CB81BF2"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ED1222">
        <w:rPr>
          <w:kern w:val="2"/>
          <w:vertAlign w:val="superscript"/>
          <w14:ligatures w14:val="standardContextual"/>
        </w:rPr>
        <w:footnoteReference w:id="30"/>
      </w:r>
      <w:r w:rsidRPr="00ED1222">
        <w:rPr>
          <w:kern w:val="2"/>
          <w14:ligatures w14:val="standardContextual"/>
        </w:rPr>
        <w:t>, eriti selle artiklit 105,</w:t>
      </w:r>
    </w:p>
    <w:p w14:paraId="5E14E004"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kodukorra artiklit 102 ja V lisa,</w:t>
      </w:r>
    </w:p>
    <w:p w14:paraId="61E2CFC5"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tööhõive- ja sotsiaalkomisjoni, keskkonna-, kliima- ja toiduohutuse komisjoni, transpordi- ja turismikomisjoni, kalanduskomisjoni, kultuuri- ja </w:t>
      </w:r>
      <w:r w:rsidRPr="00ED1222">
        <w:rPr>
          <w:kern w:val="2"/>
          <w14:ligatures w14:val="standardContextual"/>
        </w:rPr>
        <w:lastRenderedPageBreak/>
        <w:t>hariduskomisjoni, kodanikuvabaduste, justiits- ja siseasjade komisjoni ning naiste õiguste ja soolise võrdõiguslikkuse komisjoni arvamusi,</w:t>
      </w:r>
    </w:p>
    <w:p w14:paraId="55499BFF"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eelarvekontrollikomisjoni raportit (A10-0065/2025),</w:t>
      </w:r>
    </w:p>
    <w:p w14:paraId="03F260E7"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w:t>
      </w:r>
      <w:r w:rsidRPr="00ED1222">
        <w:rPr>
          <w:kern w:val="2"/>
          <w14:ligatures w14:val="standardContextual"/>
        </w:rPr>
        <w:tab/>
        <w:t>annab heakskiidu Euroopa Liidu Asutuste Tõlkekeskuse direktori tegevusele keskuse 2023. aasta eelarve täitmisel;</w:t>
      </w:r>
    </w:p>
    <w:p w14:paraId="047C3A8A"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2.</w:t>
      </w:r>
      <w:r w:rsidRPr="00ED1222">
        <w:rPr>
          <w:kern w:val="2"/>
          <w14:ligatures w14:val="standardContextual"/>
        </w:rPr>
        <w:tab/>
        <w:t>esitab oma tähelepanekud alltoodud resolutsioonis;</w:t>
      </w:r>
    </w:p>
    <w:p w14:paraId="2CDE719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3.</w:t>
      </w:r>
      <w:r w:rsidRPr="00ED1222">
        <w:rPr>
          <w:kern w:val="2"/>
          <w14:ligatures w14:val="standardContextual"/>
        </w:rPr>
        <w:tab/>
        <w:t xml:space="preserve">teeb presidendile ülesandeks edastada käesolev otsus ja resolutsioon, mis on selle lahutamatu osa, Euroopa Liidu Asutuste Tõlkekeskuse direktorile, nõukogule, komisjonile ja kontrollikojale ning korraldada nende avaldamine </w:t>
      </w:r>
      <w:r w:rsidRPr="00ED1222">
        <w:rPr>
          <w:i/>
          <w:kern w:val="2"/>
          <w14:ligatures w14:val="standardContextual"/>
        </w:rPr>
        <w:t>Euroopa Liidu Teatajas</w:t>
      </w:r>
      <w:r w:rsidRPr="00ED1222">
        <w:rPr>
          <w:kern w:val="2"/>
          <w14:ligatures w14:val="standardContextual"/>
        </w:rPr>
        <w:t xml:space="preserve"> (L-seerias).</w:t>
      </w:r>
    </w:p>
    <w:p w14:paraId="6CB85CD5" w14:textId="77777777" w:rsidR="00ED1222" w:rsidRPr="00ED1222" w:rsidRDefault="00ED1222" w:rsidP="00ED1222">
      <w:pPr>
        <w:widowControl/>
        <w:jc w:val="both"/>
        <w:rPr>
          <w:rFonts w:eastAsia="Aptos"/>
          <w:kern w:val="2"/>
          <w:szCs w:val="24"/>
          <w:lang w:eastAsia="en-US"/>
          <w14:ligatures w14:val="standardContextual"/>
        </w:rPr>
        <w:sectPr w:rsidR="00ED1222" w:rsidRPr="00ED1222" w:rsidSect="00ED1222">
          <w:footnotePr>
            <w:numRestart w:val="eachSect"/>
          </w:footnotePr>
          <w:pgSz w:w="11906" w:h="16838"/>
          <w:pgMar w:top="1440" w:right="1440" w:bottom="1440" w:left="1440" w:header="708" w:footer="708" w:gutter="0"/>
          <w:cols w:space="708"/>
          <w:docGrid w:linePitch="360"/>
        </w:sectPr>
      </w:pPr>
    </w:p>
    <w:p w14:paraId="77CE534F" w14:textId="77777777" w:rsidR="00ED1222" w:rsidRPr="00ED1222" w:rsidRDefault="00ED1222" w:rsidP="00ED1222">
      <w:pPr>
        <w:pStyle w:val="ATHeading3"/>
      </w:pPr>
      <w:r w:rsidRPr="00ED1222">
        <w:lastRenderedPageBreak/>
        <w:t>6. Euroopa Parlamendi 7. mai 2025. aasta otsus Euroopa Liidu Asutuste Tõlkekeskuse 2023. aasta raamatupidamiskontode sulgemise kohta (2024/2030(DEC))</w:t>
      </w:r>
    </w:p>
    <w:p w14:paraId="6C21405A" w14:textId="77777777" w:rsidR="00ED1222" w:rsidRPr="00ED1222" w:rsidRDefault="00ED1222" w:rsidP="00ED1222">
      <w:pPr>
        <w:spacing w:before="480" w:after="240"/>
        <w:rPr>
          <w:i/>
          <w:kern w:val="2"/>
          <w14:ligatures w14:val="standardContextual"/>
        </w:rPr>
      </w:pPr>
      <w:r w:rsidRPr="00ED1222">
        <w:rPr>
          <w:i/>
          <w:kern w:val="2"/>
          <w14:ligatures w14:val="standardContextual"/>
        </w:rPr>
        <w:t>Euroopa Parlament,</w:t>
      </w:r>
    </w:p>
    <w:p w14:paraId="71037DE8"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Asutuste Tõlkekeskuse 2023. aasta lõplikku raamatupidamisaruannet,</w:t>
      </w:r>
    </w:p>
    <w:p w14:paraId="2E02319B"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kontrollikoja aastaaruannet ELi asutuste eelarveaasta 2023 kohta koos asutuste vastustega</w:t>
      </w:r>
      <w:r w:rsidRPr="00ED1222">
        <w:rPr>
          <w:kern w:val="2"/>
          <w:vertAlign w:val="superscript"/>
          <w14:ligatures w14:val="standardContextual"/>
        </w:rPr>
        <w:footnoteReference w:id="31"/>
      </w:r>
      <w:r w:rsidRPr="00ED1222">
        <w:rPr>
          <w:kern w:val="2"/>
          <w14:ligatures w14:val="standardContextual"/>
        </w:rPr>
        <w:t>,</w:t>
      </w:r>
    </w:p>
    <w:p w14:paraId="2535D8C2"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vastavalt Euroopa Liidu toimimise lepingu artiklile 287 tehtud kontrollikoja kinnitavat avaldust</w:t>
      </w:r>
      <w:r w:rsidRPr="00ED1222">
        <w:rPr>
          <w:kern w:val="2"/>
          <w:vertAlign w:val="superscript"/>
          <w14:ligatures w14:val="standardContextual"/>
        </w:rPr>
        <w:footnoteReference w:id="32"/>
      </w:r>
      <w:r w:rsidRPr="00ED1222">
        <w:rPr>
          <w:kern w:val="2"/>
          <w14:ligatures w14:val="standardContextual"/>
        </w:rPr>
        <w:t xml:space="preserve"> 2023. aasta raamatupidamiskontode usaldatavuse ja nende aluseks olevate tehingute seaduslikkuse ja korrektsuse kohta,</w:t>
      </w:r>
    </w:p>
    <w:p w14:paraId="1DC94EF7"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nõukogu 17. veebruari 2025. aasta soovitust keskuse tegevusele heakskiidu andmise kohta 2023. aasta eelarve täitmisel (05755/2025 – C10</w:t>
      </w:r>
      <w:r w:rsidRPr="00ED1222">
        <w:rPr>
          <w:kern w:val="2"/>
          <w14:ligatures w14:val="standardContextual"/>
        </w:rPr>
        <w:noBreakHyphen/>
        <w:t>0024/2025),</w:t>
      </w:r>
    </w:p>
    <w:p w14:paraId="4EE70DF4"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toimimise lepingu artiklit 319,</w:t>
      </w:r>
    </w:p>
    <w:p w14:paraId="110F3AA3"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18. juuli 2018. aasta määrust (EL, Euratom) 2018/1046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ED1222">
        <w:rPr>
          <w:kern w:val="2"/>
          <w:vertAlign w:val="superscript"/>
          <w14:ligatures w14:val="standardContextual"/>
        </w:rPr>
        <w:footnoteReference w:id="33"/>
      </w:r>
      <w:r w:rsidRPr="00ED1222">
        <w:rPr>
          <w:kern w:val="2"/>
          <w14:ligatures w14:val="standardContextual"/>
        </w:rPr>
        <w:t xml:space="preserve"> eriti selle artiklit 70,</w:t>
      </w:r>
    </w:p>
    <w:p w14:paraId="10492F6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23. septembri 2024. aasta määrust (EL, Euratom) 2024/2509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w:t>
      </w:r>
      <w:r w:rsidRPr="00ED1222">
        <w:rPr>
          <w:kern w:val="2"/>
          <w:vertAlign w:val="superscript"/>
          <w14:ligatures w14:val="standardContextual"/>
        </w:rPr>
        <w:footnoteReference w:id="34"/>
      </w:r>
      <w:r w:rsidRPr="00ED1222">
        <w:rPr>
          <w:kern w:val="2"/>
          <w14:ligatures w14:val="standardContextual"/>
        </w:rPr>
        <w:t>, eriti selle artiklit 70,</w:t>
      </w:r>
    </w:p>
    <w:p w14:paraId="62AC07A9"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nõukogu 28. novembri 1994. aasta määrust (EÜ) nr 2965/94 Euroopa Liidu asutuste tõlkekeskuse asutamise kohta,</w:t>
      </w:r>
      <w:r w:rsidRPr="00ED1222">
        <w:rPr>
          <w:kern w:val="2"/>
          <w:vertAlign w:val="superscript"/>
          <w14:ligatures w14:val="standardContextual"/>
        </w:rPr>
        <w:footnoteReference w:id="35"/>
      </w:r>
      <w:r w:rsidRPr="00ED1222">
        <w:rPr>
          <w:kern w:val="2"/>
          <w14:ligatures w14:val="standardContextual"/>
        </w:rPr>
        <w:t xml:space="preserve"> eriti selle artiklit 14,</w:t>
      </w:r>
    </w:p>
    <w:p w14:paraId="7CAED3A7"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ED1222">
        <w:rPr>
          <w:kern w:val="2"/>
          <w:vertAlign w:val="superscript"/>
          <w14:ligatures w14:val="standardContextual"/>
        </w:rPr>
        <w:footnoteReference w:id="36"/>
      </w:r>
      <w:r w:rsidRPr="00ED1222">
        <w:rPr>
          <w:kern w:val="2"/>
          <w14:ligatures w14:val="standardContextual"/>
        </w:rPr>
        <w:t xml:space="preserve"> eriti selle artiklit 105,</w:t>
      </w:r>
    </w:p>
    <w:p w14:paraId="59FAB822"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kodukorra artiklit 102 ja V lisa,</w:t>
      </w:r>
    </w:p>
    <w:p w14:paraId="0276E3F8"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tööhõive- ja sotsiaalkomisjoni, keskkonna-, kliima- ja toiduohutuse komisjoni, transpordi- ja turismikomisjoni, kalanduskomisjoni, kultuuri- ja </w:t>
      </w:r>
      <w:r w:rsidRPr="00ED1222">
        <w:rPr>
          <w:kern w:val="2"/>
          <w14:ligatures w14:val="standardContextual"/>
        </w:rPr>
        <w:lastRenderedPageBreak/>
        <w:t>hariduskomisjoni, kodanikuvabaduste, justiits- ja siseasjade komisjoni ning naiste õiguste ja soolise võrdõiguslikkuse komisjoni arvamusi,</w:t>
      </w:r>
    </w:p>
    <w:p w14:paraId="26145EFD"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eelarvekontrollikomisjoni raportit (A10-0065/2025),</w:t>
      </w:r>
    </w:p>
    <w:p w14:paraId="768CC4BC"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w:t>
      </w:r>
      <w:r w:rsidRPr="00ED1222">
        <w:rPr>
          <w:kern w:val="2"/>
          <w14:ligatures w14:val="standardContextual"/>
        </w:rPr>
        <w:tab/>
        <w:t>annab heakskiidu Euroopa Liidu Asutuste Tõlkekeskuse 2023. aasta raamatupidamiskontode sulgemisele;</w:t>
      </w:r>
    </w:p>
    <w:p w14:paraId="11645351"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2.</w:t>
      </w:r>
      <w:r w:rsidRPr="00ED1222">
        <w:rPr>
          <w:kern w:val="2"/>
          <w14:ligatures w14:val="standardContextual"/>
        </w:rPr>
        <w:tab/>
        <w:t xml:space="preserve">teeb presidendile ülesandeks edastada käesolev otsus Euroopa Liidu Asutuste Tõlkekeskuse direktorile, nõukogule, komisjonile ja kontrollikojale ning korraldada selle avaldamine </w:t>
      </w:r>
      <w:r w:rsidRPr="00ED1222">
        <w:rPr>
          <w:i/>
          <w:kern w:val="2"/>
          <w14:ligatures w14:val="standardContextual"/>
        </w:rPr>
        <w:t>Euroopa Liidu Teatajas</w:t>
      </w:r>
      <w:r w:rsidRPr="00ED1222">
        <w:rPr>
          <w:kern w:val="2"/>
          <w14:ligatures w14:val="standardContextual"/>
        </w:rPr>
        <w:t xml:space="preserve"> (L-seerias).</w:t>
      </w:r>
    </w:p>
    <w:p w14:paraId="50DCF702" w14:textId="77777777" w:rsidR="00ED1222" w:rsidRPr="00ED1222" w:rsidRDefault="00ED1222" w:rsidP="00ED1222">
      <w:pPr>
        <w:widowControl/>
        <w:jc w:val="both"/>
        <w:rPr>
          <w:rFonts w:eastAsia="Aptos"/>
          <w:kern w:val="2"/>
          <w:szCs w:val="24"/>
          <w:lang w:eastAsia="en-US"/>
          <w14:ligatures w14:val="standardContextual"/>
        </w:rPr>
        <w:sectPr w:rsidR="00ED1222" w:rsidRPr="00ED1222" w:rsidSect="00ED1222">
          <w:footnotePr>
            <w:numRestart w:val="eachSect"/>
          </w:footnotePr>
          <w:pgSz w:w="11906" w:h="16838"/>
          <w:pgMar w:top="1440" w:right="1440" w:bottom="1440" w:left="1440" w:header="708" w:footer="708" w:gutter="0"/>
          <w:cols w:space="708"/>
          <w:docGrid w:linePitch="360"/>
        </w:sectPr>
      </w:pPr>
    </w:p>
    <w:p w14:paraId="47FCE47D" w14:textId="77777777" w:rsidR="00ED1222" w:rsidRPr="00ED1222" w:rsidRDefault="00ED1222" w:rsidP="00ED1222">
      <w:pPr>
        <w:pStyle w:val="ATHeading3"/>
      </w:pPr>
      <w:r w:rsidRPr="00ED1222">
        <w:lastRenderedPageBreak/>
        <w:t>7. Euroopa Parlamendi 7. mai 2025. aasta otsus Euroopa Kutseõppe Arenduskeskuse 2023. aasta eelarve täitmisele heakskiidu andmise kohta (2024/2030(DEC))</w:t>
      </w:r>
    </w:p>
    <w:p w14:paraId="60F00161" w14:textId="77777777" w:rsidR="00ED1222" w:rsidRPr="00ED1222" w:rsidRDefault="00ED1222" w:rsidP="00ED1222">
      <w:pPr>
        <w:spacing w:before="480" w:after="240"/>
        <w:rPr>
          <w:i/>
          <w:kern w:val="2"/>
          <w14:ligatures w14:val="standardContextual"/>
        </w:rPr>
      </w:pPr>
      <w:r w:rsidRPr="00ED1222">
        <w:rPr>
          <w:i/>
          <w:kern w:val="2"/>
          <w14:ligatures w14:val="standardContextual"/>
        </w:rPr>
        <w:t>Euroopa Parlament,</w:t>
      </w:r>
    </w:p>
    <w:p w14:paraId="7AD2D674"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Kutseõppe Arenduskeskuse 2023. aasta lõplikku raamatupidamisaruannet,</w:t>
      </w:r>
    </w:p>
    <w:p w14:paraId="057A2358"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kontrollikoja aastaaruannet ELi asutuste eelarveaasta 2023 kohta koos asutuste vastustega</w:t>
      </w:r>
      <w:r w:rsidRPr="00ED1222">
        <w:rPr>
          <w:kern w:val="2"/>
          <w:vertAlign w:val="superscript"/>
          <w14:ligatures w14:val="standardContextual"/>
        </w:rPr>
        <w:footnoteReference w:id="37"/>
      </w:r>
      <w:r w:rsidRPr="00ED1222">
        <w:rPr>
          <w:kern w:val="2"/>
          <w14:ligatures w14:val="standardContextual"/>
        </w:rPr>
        <w:t>,</w:t>
      </w:r>
    </w:p>
    <w:p w14:paraId="39AA9C8B"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vastavalt Euroopa Liidu toimimise lepingu artiklile 287 tehtud kontrollikoja kinnitavat avaldust</w:t>
      </w:r>
      <w:r w:rsidRPr="00ED1222">
        <w:rPr>
          <w:kern w:val="2"/>
          <w:vertAlign w:val="superscript"/>
          <w14:ligatures w14:val="standardContextual"/>
        </w:rPr>
        <w:footnoteReference w:id="38"/>
      </w:r>
      <w:r w:rsidRPr="00ED1222">
        <w:rPr>
          <w:kern w:val="2"/>
          <w14:ligatures w14:val="standardContextual"/>
        </w:rPr>
        <w:t xml:space="preserve"> 2023. aasta raamatupidamiskontode usaldatavuse ja nende aluseks olevate tehingute seaduslikkuse ja korrektsuse kohta,</w:t>
      </w:r>
    </w:p>
    <w:p w14:paraId="61445577"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nõukogu 17. veebruari 2025. aasta soovitust keskuse tegevusele heakskiidu andmise kohta 2023. aasta eelarve täitmisel (05755/2025 – C10</w:t>
      </w:r>
      <w:r w:rsidRPr="00ED1222">
        <w:rPr>
          <w:kern w:val="2"/>
          <w14:ligatures w14:val="standardContextual"/>
        </w:rPr>
        <w:noBreakHyphen/>
        <w:t>0024/2025),</w:t>
      </w:r>
    </w:p>
    <w:p w14:paraId="158F8F53"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toimimise lepingu artiklit 319,</w:t>
      </w:r>
    </w:p>
    <w:p w14:paraId="3F7A1581"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18. juuli 2018. aasta määrust (EL, Euratom) 2018/1046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ED1222">
        <w:rPr>
          <w:kern w:val="2"/>
          <w:vertAlign w:val="superscript"/>
          <w14:ligatures w14:val="standardContextual"/>
        </w:rPr>
        <w:footnoteReference w:id="39"/>
      </w:r>
      <w:r w:rsidRPr="00ED1222">
        <w:rPr>
          <w:kern w:val="2"/>
          <w14:ligatures w14:val="standardContextual"/>
        </w:rPr>
        <w:t xml:space="preserve"> eriti selle artiklit 70,</w:t>
      </w:r>
    </w:p>
    <w:p w14:paraId="4997D21A"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23. septembri 2024. aasta määrust (EL, Euratom) 2024/2509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w:t>
      </w:r>
      <w:r w:rsidRPr="00ED1222">
        <w:rPr>
          <w:kern w:val="2"/>
          <w:vertAlign w:val="superscript"/>
          <w14:ligatures w14:val="standardContextual"/>
        </w:rPr>
        <w:footnoteReference w:id="40"/>
      </w:r>
      <w:r w:rsidRPr="00ED1222">
        <w:rPr>
          <w:kern w:val="2"/>
          <w14:ligatures w14:val="standardContextual"/>
        </w:rPr>
        <w:t xml:space="preserve"> eriti selle artiklit 70,</w:t>
      </w:r>
    </w:p>
    <w:p w14:paraId="6063F9EC"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Parlamendi ja nõukogu 16. jaanuari 2019. aasta määrust (EL) 2019/128 (millega asutatakse Euroopa Kutseõppe Arenduskeskus (</w:t>
      </w:r>
      <w:proofErr w:type="spellStart"/>
      <w:r w:rsidRPr="00ED1222">
        <w:rPr>
          <w:kern w:val="2"/>
          <w14:ligatures w14:val="standardContextual"/>
        </w:rPr>
        <w:t>Cedefop</w:t>
      </w:r>
      <w:proofErr w:type="spellEnd"/>
      <w:r w:rsidRPr="00ED1222">
        <w:rPr>
          <w:kern w:val="2"/>
          <w14:ligatures w14:val="standardContextual"/>
        </w:rPr>
        <w:t>) ja tunnistatakse kehtetuks nõukogu määrus (EMÜ) nr 337/75),</w:t>
      </w:r>
      <w:r w:rsidRPr="00ED1222">
        <w:rPr>
          <w:kern w:val="2"/>
          <w:vertAlign w:val="superscript"/>
          <w14:ligatures w14:val="standardContextual"/>
        </w:rPr>
        <w:footnoteReference w:id="41"/>
      </w:r>
      <w:r w:rsidRPr="00ED1222">
        <w:rPr>
          <w:kern w:val="2"/>
          <w14:ligatures w14:val="standardContextual"/>
        </w:rPr>
        <w:t xml:space="preserve"> eriti selle artiklit 15,</w:t>
      </w:r>
    </w:p>
    <w:p w14:paraId="7677C1B3"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ED1222">
        <w:rPr>
          <w:kern w:val="2"/>
          <w:vertAlign w:val="superscript"/>
          <w14:ligatures w14:val="standardContextual"/>
        </w:rPr>
        <w:footnoteReference w:id="42"/>
      </w:r>
      <w:r w:rsidRPr="00ED1222">
        <w:rPr>
          <w:kern w:val="2"/>
          <w14:ligatures w14:val="standardContextual"/>
        </w:rPr>
        <w:t xml:space="preserve"> eriti selle artiklit 105,</w:t>
      </w:r>
    </w:p>
    <w:p w14:paraId="6B4EF09A"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kodukorra artiklit 102 ja V lisa,</w:t>
      </w:r>
    </w:p>
    <w:p w14:paraId="4E713875"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lastRenderedPageBreak/>
        <w:t>–</w:t>
      </w:r>
      <w:r w:rsidRPr="00ED1222">
        <w:rPr>
          <w:kern w:val="2"/>
          <w14:ligatures w14:val="standardContextual"/>
        </w:rPr>
        <w:tab/>
        <w:t>võttes arvesse tööhõive- ja sotsiaalkomisjoni, keskkonna-, kliima- ja toiduohutuse komisjoni, transpordi- ja turismikomisjoni, kalanduskomisjoni, kultuuri- ja hariduskomisjoni, kodanikuvabaduste, justiits- ja siseasjade komisjoni ning naiste õiguste ja soolise võrdõiguslikkuse komisjoni arvamusi,</w:t>
      </w:r>
    </w:p>
    <w:p w14:paraId="688FCBB9"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eelarvekontrollikomisjoni raportit (A10-0065/2025),</w:t>
      </w:r>
    </w:p>
    <w:p w14:paraId="6F8775A2"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w:t>
      </w:r>
      <w:r w:rsidRPr="00ED1222">
        <w:rPr>
          <w:kern w:val="2"/>
          <w14:ligatures w14:val="standardContextual"/>
        </w:rPr>
        <w:tab/>
        <w:t>annab heakskiidu Euroopa Kutseõppe Arenduskeskuse tegevdirektori tegevusele keskuse 2023. aasta eelarve täitmisel;</w:t>
      </w:r>
    </w:p>
    <w:p w14:paraId="3AB8CA9A"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2.</w:t>
      </w:r>
      <w:r w:rsidRPr="00ED1222">
        <w:rPr>
          <w:kern w:val="2"/>
          <w14:ligatures w14:val="standardContextual"/>
        </w:rPr>
        <w:tab/>
        <w:t>esitab oma tähelepanekud alltoodud resolutsioonis;</w:t>
      </w:r>
    </w:p>
    <w:p w14:paraId="5E414E6F"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3.</w:t>
      </w:r>
      <w:r w:rsidRPr="00ED1222">
        <w:rPr>
          <w:kern w:val="2"/>
          <w14:ligatures w14:val="standardContextual"/>
        </w:rPr>
        <w:tab/>
        <w:t xml:space="preserve">teeb presidendile ülesandeks edastada käesolev otsus ja resolutsioon, mis on selle lahutamatu osa, Euroopa Kutseõppe Arenduskeskuse tegevdirektorile, nõukogule, komisjonile ja kontrollikojale ning korraldada nende avaldamine </w:t>
      </w:r>
      <w:r w:rsidRPr="00ED1222">
        <w:rPr>
          <w:i/>
          <w:kern w:val="2"/>
          <w14:ligatures w14:val="standardContextual"/>
        </w:rPr>
        <w:t>Euroopa Liidu Teatajas</w:t>
      </w:r>
      <w:r w:rsidRPr="00ED1222">
        <w:rPr>
          <w:kern w:val="2"/>
          <w14:ligatures w14:val="standardContextual"/>
        </w:rPr>
        <w:t xml:space="preserve"> (L-seerias).</w:t>
      </w:r>
    </w:p>
    <w:p w14:paraId="0A6AE606" w14:textId="77777777" w:rsidR="00ED1222" w:rsidRPr="00ED1222" w:rsidRDefault="00ED1222" w:rsidP="00ED1222">
      <w:pPr>
        <w:widowControl/>
        <w:jc w:val="both"/>
        <w:rPr>
          <w:rFonts w:eastAsia="Aptos"/>
          <w:kern w:val="2"/>
          <w:szCs w:val="24"/>
          <w:lang w:eastAsia="en-US"/>
          <w14:ligatures w14:val="standardContextual"/>
        </w:rPr>
        <w:sectPr w:rsidR="00ED1222" w:rsidRPr="00ED1222" w:rsidSect="00ED1222">
          <w:footnotePr>
            <w:numRestart w:val="eachSect"/>
          </w:footnotePr>
          <w:pgSz w:w="11906" w:h="16838"/>
          <w:pgMar w:top="1440" w:right="1440" w:bottom="1440" w:left="1440" w:header="708" w:footer="708" w:gutter="0"/>
          <w:cols w:space="708"/>
          <w:docGrid w:linePitch="360"/>
        </w:sectPr>
      </w:pPr>
    </w:p>
    <w:p w14:paraId="420724A9" w14:textId="77777777" w:rsidR="00ED1222" w:rsidRPr="00ED1222" w:rsidRDefault="00ED1222" w:rsidP="00ED1222">
      <w:pPr>
        <w:pStyle w:val="ATHeading3"/>
      </w:pPr>
      <w:r w:rsidRPr="00ED1222">
        <w:lastRenderedPageBreak/>
        <w:t>8. Euroopa Parlamendi 7. mai 2025. aasta otsus Euroopa Kutseõppe Arenduskeskuse 2023. aasta raamatupidamiskontode sulgemise kohta (2024/2030(DEC))</w:t>
      </w:r>
    </w:p>
    <w:p w14:paraId="35FD89A0" w14:textId="77777777" w:rsidR="00ED1222" w:rsidRPr="00ED1222" w:rsidRDefault="00ED1222" w:rsidP="00ED1222">
      <w:pPr>
        <w:spacing w:before="480" w:after="240"/>
        <w:rPr>
          <w:i/>
          <w:kern w:val="2"/>
          <w14:ligatures w14:val="standardContextual"/>
        </w:rPr>
      </w:pPr>
      <w:r w:rsidRPr="00ED1222">
        <w:rPr>
          <w:i/>
          <w:kern w:val="2"/>
          <w14:ligatures w14:val="standardContextual"/>
        </w:rPr>
        <w:t>Euroopa Parlament,</w:t>
      </w:r>
    </w:p>
    <w:p w14:paraId="19112C28"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Kutseõppe Arenduskeskuse 2023. aasta lõplikku raamatupidamisaruannet,</w:t>
      </w:r>
    </w:p>
    <w:p w14:paraId="42D7B9C5"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kontrollikoja aastaaruannet ELi asutuste eelarveaasta 2023 kohta koos asutuste vastustega</w:t>
      </w:r>
      <w:r w:rsidRPr="00ED1222">
        <w:rPr>
          <w:kern w:val="2"/>
          <w:vertAlign w:val="superscript"/>
          <w14:ligatures w14:val="standardContextual"/>
        </w:rPr>
        <w:footnoteReference w:id="43"/>
      </w:r>
      <w:r w:rsidRPr="00ED1222">
        <w:rPr>
          <w:kern w:val="2"/>
          <w14:ligatures w14:val="standardContextual"/>
        </w:rPr>
        <w:t>,</w:t>
      </w:r>
    </w:p>
    <w:p w14:paraId="68FEA018"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vastavalt Euroopa Liidu toimimise lepingu artiklile 287 tehtud kontrollikoja kinnitavat avaldust</w:t>
      </w:r>
      <w:r w:rsidRPr="00ED1222">
        <w:rPr>
          <w:kern w:val="2"/>
          <w:vertAlign w:val="superscript"/>
          <w14:ligatures w14:val="standardContextual"/>
        </w:rPr>
        <w:footnoteReference w:id="44"/>
      </w:r>
      <w:r w:rsidRPr="00ED1222">
        <w:rPr>
          <w:kern w:val="2"/>
          <w14:ligatures w14:val="standardContextual"/>
        </w:rPr>
        <w:t xml:space="preserve"> 2023. aasta raamatupidamiskontode usaldatavuse ja nende aluseks olevate tehingute seaduslikkuse ja korrektsuse kohta,</w:t>
      </w:r>
    </w:p>
    <w:p w14:paraId="0B509748"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nõukogu 17. veebruari 2025. aasta soovitust keskuse tegevusele heakskiidu andmise kohta 2023. aasta eelarve täitmisel (05755/2025 – C10</w:t>
      </w:r>
      <w:r w:rsidRPr="00ED1222">
        <w:rPr>
          <w:kern w:val="2"/>
          <w14:ligatures w14:val="standardContextual"/>
        </w:rPr>
        <w:noBreakHyphen/>
        <w:t>0024/2025),</w:t>
      </w:r>
    </w:p>
    <w:p w14:paraId="2DC8617A"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toimimise lepingu artiklit 319,</w:t>
      </w:r>
    </w:p>
    <w:p w14:paraId="7B504142"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18. juuli 2018. aasta määrust (EL, Euratom) 2018/1046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ED1222">
        <w:rPr>
          <w:kern w:val="2"/>
          <w:vertAlign w:val="superscript"/>
          <w14:ligatures w14:val="standardContextual"/>
        </w:rPr>
        <w:footnoteReference w:id="45"/>
      </w:r>
      <w:r w:rsidRPr="00ED1222">
        <w:rPr>
          <w:kern w:val="2"/>
          <w14:ligatures w14:val="standardContextual"/>
        </w:rPr>
        <w:t xml:space="preserve"> eriti selle artiklit 70,</w:t>
      </w:r>
    </w:p>
    <w:p w14:paraId="50E48D2B"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23. septembri 2024. aasta määrust (EL, Euratom) 2024/2509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w:t>
      </w:r>
      <w:r w:rsidRPr="00ED1222">
        <w:rPr>
          <w:kern w:val="2"/>
          <w:vertAlign w:val="superscript"/>
          <w14:ligatures w14:val="standardContextual"/>
        </w:rPr>
        <w:footnoteReference w:id="46"/>
      </w:r>
      <w:r w:rsidRPr="00ED1222">
        <w:rPr>
          <w:kern w:val="2"/>
          <w14:ligatures w14:val="standardContextual"/>
        </w:rPr>
        <w:t xml:space="preserve"> eriti selle artiklit 70,</w:t>
      </w:r>
    </w:p>
    <w:p w14:paraId="6B087EC3"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Parlamendi ja nõukogu 16. jaanuari 2019. aasta määrust (EL) 2019/128 (millega asutatakse Euroopa Kutseõppe Arenduskeskus (</w:t>
      </w:r>
      <w:proofErr w:type="spellStart"/>
      <w:r w:rsidRPr="00ED1222">
        <w:rPr>
          <w:kern w:val="2"/>
          <w14:ligatures w14:val="standardContextual"/>
        </w:rPr>
        <w:t>Cedefop</w:t>
      </w:r>
      <w:proofErr w:type="spellEnd"/>
      <w:r w:rsidRPr="00ED1222">
        <w:rPr>
          <w:kern w:val="2"/>
          <w14:ligatures w14:val="standardContextual"/>
        </w:rPr>
        <w:t>) ja tunnistatakse kehtetuks nõukogu määrus (EMÜ) nr 337/75),</w:t>
      </w:r>
      <w:r w:rsidRPr="00ED1222">
        <w:rPr>
          <w:kern w:val="2"/>
          <w:vertAlign w:val="superscript"/>
          <w14:ligatures w14:val="standardContextual"/>
        </w:rPr>
        <w:footnoteReference w:id="47"/>
      </w:r>
      <w:r w:rsidRPr="00ED1222">
        <w:rPr>
          <w:kern w:val="2"/>
          <w14:ligatures w14:val="standardContextual"/>
        </w:rPr>
        <w:t xml:space="preserve"> eriti selle artiklit 15,</w:t>
      </w:r>
    </w:p>
    <w:p w14:paraId="3FF3FE5E"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ED1222">
        <w:rPr>
          <w:kern w:val="2"/>
          <w:vertAlign w:val="superscript"/>
          <w14:ligatures w14:val="standardContextual"/>
        </w:rPr>
        <w:footnoteReference w:id="48"/>
      </w:r>
      <w:r w:rsidRPr="00ED1222">
        <w:rPr>
          <w:kern w:val="2"/>
          <w14:ligatures w14:val="standardContextual"/>
        </w:rPr>
        <w:t xml:space="preserve"> eriti selle artiklit 105,</w:t>
      </w:r>
    </w:p>
    <w:p w14:paraId="0E723BFC"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kodukorra artiklit 102 ja V lisa,</w:t>
      </w:r>
    </w:p>
    <w:p w14:paraId="4F73F23C"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lastRenderedPageBreak/>
        <w:t>–</w:t>
      </w:r>
      <w:r w:rsidRPr="00ED1222">
        <w:rPr>
          <w:kern w:val="2"/>
          <w14:ligatures w14:val="standardContextual"/>
        </w:rPr>
        <w:tab/>
        <w:t>võttes arvesse tööhõive- ja sotsiaalkomisjoni, keskkonna-, kliima- ja toiduohutuse komisjoni, transpordi- ja turismikomisjoni, kalanduskomisjoni, kultuuri- ja hariduskomisjoni, kodanikuvabaduste, justiits- ja siseasjade komisjoni ning naiste õiguste ja soolise võrdõiguslikkuse komisjoni arvamusi,</w:t>
      </w:r>
    </w:p>
    <w:p w14:paraId="2E20D0C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eelarvekontrollikomisjoni raportit (A10-0065/2025),</w:t>
      </w:r>
    </w:p>
    <w:p w14:paraId="3BF601C3"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w:t>
      </w:r>
      <w:r w:rsidRPr="00ED1222">
        <w:rPr>
          <w:kern w:val="2"/>
          <w14:ligatures w14:val="standardContextual"/>
        </w:rPr>
        <w:tab/>
        <w:t>annab heakskiidu Euroopa Kutseõppe Arenduskeskuse 2023. aasta raamatupidamiskontode sulgemisele;</w:t>
      </w:r>
    </w:p>
    <w:p w14:paraId="67AE7AC4"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2.</w:t>
      </w:r>
      <w:r w:rsidRPr="00ED1222">
        <w:rPr>
          <w:kern w:val="2"/>
          <w14:ligatures w14:val="standardContextual"/>
        </w:rPr>
        <w:tab/>
        <w:t xml:space="preserve">teeb presidendile ülesandeks edastada käesolev otsus Euroopa Kutseõppe Arenduskeskuse tegevdirektorile, nõukogule, komisjonile ja kontrollikojale ning korraldada selle avaldamine </w:t>
      </w:r>
      <w:r w:rsidRPr="00ED1222">
        <w:rPr>
          <w:i/>
          <w:kern w:val="2"/>
          <w14:ligatures w14:val="standardContextual"/>
        </w:rPr>
        <w:t>Euroopa Liidu Teatajas</w:t>
      </w:r>
      <w:r w:rsidRPr="00ED1222">
        <w:rPr>
          <w:kern w:val="2"/>
          <w14:ligatures w14:val="standardContextual"/>
        </w:rPr>
        <w:t xml:space="preserve"> (L-seerias).</w:t>
      </w:r>
    </w:p>
    <w:p w14:paraId="2BA8A4BE" w14:textId="77777777" w:rsidR="00ED1222" w:rsidRPr="00ED1222" w:rsidRDefault="00ED1222" w:rsidP="00ED1222">
      <w:pPr>
        <w:widowControl/>
        <w:jc w:val="both"/>
        <w:rPr>
          <w:rFonts w:eastAsia="Aptos"/>
          <w:kern w:val="2"/>
          <w:szCs w:val="24"/>
          <w:lang w:eastAsia="en-US"/>
          <w14:ligatures w14:val="standardContextual"/>
        </w:rPr>
        <w:sectPr w:rsidR="00ED1222" w:rsidRPr="00ED1222" w:rsidSect="00ED1222">
          <w:footnotePr>
            <w:numRestart w:val="eachSect"/>
          </w:footnotePr>
          <w:pgSz w:w="11906" w:h="16838"/>
          <w:pgMar w:top="1440" w:right="1440" w:bottom="1440" w:left="1440" w:header="708" w:footer="708" w:gutter="0"/>
          <w:cols w:space="708"/>
          <w:docGrid w:linePitch="360"/>
        </w:sectPr>
      </w:pPr>
    </w:p>
    <w:p w14:paraId="7FC4EA4E" w14:textId="77777777" w:rsidR="00ED1222" w:rsidRPr="00ED1222" w:rsidRDefault="00ED1222" w:rsidP="00ED1222">
      <w:pPr>
        <w:pStyle w:val="ATHeading3"/>
      </w:pPr>
      <w:r w:rsidRPr="00ED1222">
        <w:lastRenderedPageBreak/>
        <w:t>9. Euroopa Parlamendi 7. mai 2025. aasta otsus Euroopa Liidu Õiguskaitsekoolituse Ameti 2023. aasta eelarve täitmisele heakskiidu andmise kohta (2024/2030(DEC))</w:t>
      </w:r>
    </w:p>
    <w:p w14:paraId="312BE0D8" w14:textId="77777777" w:rsidR="00ED1222" w:rsidRPr="00ED1222" w:rsidRDefault="00ED1222" w:rsidP="00ED1222">
      <w:pPr>
        <w:spacing w:before="480" w:after="240"/>
        <w:rPr>
          <w:i/>
          <w:kern w:val="2"/>
          <w14:ligatures w14:val="standardContextual"/>
        </w:rPr>
      </w:pPr>
      <w:r w:rsidRPr="00ED1222">
        <w:rPr>
          <w:i/>
          <w:kern w:val="2"/>
          <w14:ligatures w14:val="standardContextual"/>
        </w:rPr>
        <w:t>Euroopa Parlament,</w:t>
      </w:r>
    </w:p>
    <w:p w14:paraId="6669005D"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Õiguskaitsekoolituse Ameti 2023. aasta lõplikku raamatupidamisaruannet,</w:t>
      </w:r>
    </w:p>
    <w:p w14:paraId="653FCF3E"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kontrollikoja aastaaruannet ELi asutuste eelarveaasta 2023 kohta koos asutuste vastustega</w:t>
      </w:r>
      <w:r w:rsidRPr="00ED1222">
        <w:rPr>
          <w:kern w:val="2"/>
          <w:vertAlign w:val="superscript"/>
          <w14:ligatures w14:val="standardContextual"/>
        </w:rPr>
        <w:footnoteReference w:id="49"/>
      </w:r>
      <w:r w:rsidRPr="00ED1222">
        <w:rPr>
          <w:kern w:val="2"/>
          <w14:ligatures w14:val="standardContextual"/>
        </w:rPr>
        <w:t>,</w:t>
      </w:r>
    </w:p>
    <w:p w14:paraId="5BFE6719"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vastavalt Euroopa Liidu toimimise lepingu artiklile 287 tehtud kontrollikoja kinnitavat avaldust</w:t>
      </w:r>
      <w:r w:rsidRPr="00ED1222">
        <w:rPr>
          <w:kern w:val="2"/>
          <w:vertAlign w:val="superscript"/>
          <w14:ligatures w14:val="standardContextual"/>
        </w:rPr>
        <w:footnoteReference w:id="50"/>
      </w:r>
      <w:r w:rsidRPr="00ED1222">
        <w:rPr>
          <w:kern w:val="2"/>
          <w14:ligatures w14:val="standardContextual"/>
        </w:rPr>
        <w:t xml:space="preserve"> 2023. aasta raamatupidamiskontode usaldatavuse ja nende aluseks olevate tehingute seaduslikkuse ja korrektsuse kohta,</w:t>
      </w:r>
    </w:p>
    <w:p w14:paraId="49C6014C"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nõukogu 17. veebruari 2025. aasta soovitust ameti tegevusele heakskiidu andmise kohta 2023. aasta eelarve täitmisel (05755/2025 – C10</w:t>
      </w:r>
      <w:r w:rsidRPr="00ED1222">
        <w:rPr>
          <w:kern w:val="2"/>
          <w14:ligatures w14:val="standardContextual"/>
        </w:rPr>
        <w:noBreakHyphen/>
        <w:t>0024/2025),</w:t>
      </w:r>
    </w:p>
    <w:p w14:paraId="4C2CAAEF"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toimimise lepingu artiklit 319,</w:t>
      </w:r>
    </w:p>
    <w:p w14:paraId="68A662FF"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18. juuli 2018. aasta määrust (EL, Euratom) 2018/1046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ED1222">
        <w:rPr>
          <w:kern w:val="2"/>
          <w:vertAlign w:val="superscript"/>
          <w14:ligatures w14:val="standardContextual"/>
        </w:rPr>
        <w:footnoteReference w:id="51"/>
      </w:r>
      <w:r w:rsidRPr="00ED1222">
        <w:rPr>
          <w:kern w:val="2"/>
          <w14:ligatures w14:val="standardContextual"/>
        </w:rPr>
        <w:t xml:space="preserve"> eriti selle artiklit 70,</w:t>
      </w:r>
    </w:p>
    <w:p w14:paraId="5230B81D"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23. septembri 2024. aasta määrust (EL, Euratom) 2024/2509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w:t>
      </w:r>
      <w:r w:rsidRPr="00ED1222">
        <w:rPr>
          <w:kern w:val="2"/>
          <w:vertAlign w:val="superscript"/>
          <w14:ligatures w14:val="standardContextual"/>
        </w:rPr>
        <w:footnoteReference w:id="52"/>
      </w:r>
      <w:r w:rsidRPr="00ED1222">
        <w:rPr>
          <w:kern w:val="2"/>
          <w14:ligatures w14:val="standardContextual"/>
        </w:rPr>
        <w:t xml:space="preserve"> eriti selle artiklit 70,</w:t>
      </w:r>
    </w:p>
    <w:p w14:paraId="32140475"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Parlamendi ja nõukogu 25. novembri 2015. aasta määrust (EL) 2015/2219 (mis käsitleb Euroopa Liidu Õiguskaitsekoolituse Ametit (CEPOL) ning millega asendatakse ja tunnistatakse kehtetuks nõukogu otsus 2005/681/JSK),</w:t>
      </w:r>
      <w:r w:rsidRPr="00ED1222">
        <w:rPr>
          <w:kern w:val="2"/>
          <w:vertAlign w:val="superscript"/>
          <w14:ligatures w14:val="standardContextual"/>
        </w:rPr>
        <w:footnoteReference w:id="53"/>
      </w:r>
      <w:r w:rsidRPr="00ED1222">
        <w:rPr>
          <w:kern w:val="2"/>
          <w14:ligatures w14:val="standardContextual"/>
        </w:rPr>
        <w:t xml:space="preserve"> eriti selle artiklit 20,</w:t>
      </w:r>
    </w:p>
    <w:p w14:paraId="44FBC0C3"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ED1222">
        <w:rPr>
          <w:kern w:val="2"/>
          <w:vertAlign w:val="superscript"/>
          <w14:ligatures w14:val="standardContextual"/>
        </w:rPr>
        <w:footnoteReference w:id="54"/>
      </w:r>
      <w:r w:rsidRPr="00ED1222">
        <w:rPr>
          <w:kern w:val="2"/>
          <w14:ligatures w14:val="standardContextual"/>
        </w:rPr>
        <w:t xml:space="preserve"> eriti selle artiklit 105,</w:t>
      </w:r>
    </w:p>
    <w:p w14:paraId="091EE4E4"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kodukorra artiklit 102 ja V lisa,</w:t>
      </w:r>
    </w:p>
    <w:p w14:paraId="013FAF7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lastRenderedPageBreak/>
        <w:t>–</w:t>
      </w:r>
      <w:r w:rsidRPr="00ED1222">
        <w:rPr>
          <w:kern w:val="2"/>
          <w14:ligatures w14:val="standardContextual"/>
        </w:rPr>
        <w:tab/>
        <w:t>võttes arvesse tööhõive- ja sotsiaalkomisjoni, keskkonna-, kliima- ja toiduohutuse komisjoni, transpordi- ja turismikomisjoni, kalanduskomisjoni, kultuuri- ja hariduskomisjoni, kodanikuvabaduste, justiits- ja siseasjade komisjoni ning naiste õiguste ja soolise võrdõiguslikkuse komisjoni arvamusi,</w:t>
      </w:r>
    </w:p>
    <w:p w14:paraId="033AF0ED"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eelarvekontrollikomisjoni raportit (A10-0065/2025),</w:t>
      </w:r>
    </w:p>
    <w:p w14:paraId="07396A47"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w:t>
      </w:r>
      <w:r w:rsidRPr="00ED1222">
        <w:rPr>
          <w:kern w:val="2"/>
          <w14:ligatures w14:val="standardContextual"/>
        </w:rPr>
        <w:tab/>
        <w:t>annab heakskiidu Euroopa Liidu Õiguskaitsekoolituse Ameti tegevdirektori tegevusele ameti 2023. aasta eelarve täitmisel;</w:t>
      </w:r>
    </w:p>
    <w:p w14:paraId="40AECAEB"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2.</w:t>
      </w:r>
      <w:r w:rsidRPr="00ED1222">
        <w:rPr>
          <w:kern w:val="2"/>
          <w14:ligatures w14:val="standardContextual"/>
        </w:rPr>
        <w:tab/>
        <w:t>esitab oma tähelepanekud alltoodud resolutsioonis;</w:t>
      </w:r>
    </w:p>
    <w:p w14:paraId="0CAB6F84"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3.</w:t>
      </w:r>
      <w:r w:rsidRPr="00ED1222">
        <w:rPr>
          <w:kern w:val="2"/>
          <w14:ligatures w14:val="standardContextual"/>
        </w:rPr>
        <w:tab/>
        <w:t xml:space="preserve">teeb presidendile ülesandeks edastada käesolev otsus ja resolutsioon, mis on selle lahutamatu osa, Euroopa Liidu Õiguskaitsekoolituse Ameti tegevdirektorile, nõukogule, komisjonile ja kontrollikojale ning korraldada nende avaldamine </w:t>
      </w:r>
      <w:r w:rsidRPr="00ED1222">
        <w:rPr>
          <w:i/>
          <w:kern w:val="2"/>
          <w14:ligatures w14:val="standardContextual"/>
        </w:rPr>
        <w:t>Euroopa Liidu Teatajas</w:t>
      </w:r>
      <w:r w:rsidRPr="00ED1222">
        <w:rPr>
          <w:kern w:val="2"/>
          <w14:ligatures w14:val="standardContextual"/>
        </w:rPr>
        <w:t xml:space="preserve"> (L-seerias).</w:t>
      </w:r>
    </w:p>
    <w:p w14:paraId="27E1C2AB" w14:textId="77777777" w:rsidR="00ED1222" w:rsidRPr="00ED1222" w:rsidRDefault="00ED1222" w:rsidP="00ED1222">
      <w:pPr>
        <w:widowControl/>
        <w:jc w:val="both"/>
        <w:rPr>
          <w:rFonts w:eastAsia="Aptos"/>
          <w:kern w:val="2"/>
          <w:szCs w:val="24"/>
          <w:lang w:eastAsia="en-US"/>
          <w14:ligatures w14:val="standardContextual"/>
        </w:rPr>
        <w:sectPr w:rsidR="00ED1222" w:rsidRPr="00ED1222" w:rsidSect="00ED1222">
          <w:footnotePr>
            <w:numRestart w:val="eachSect"/>
          </w:footnotePr>
          <w:pgSz w:w="11906" w:h="16838"/>
          <w:pgMar w:top="1440" w:right="1440" w:bottom="1440" w:left="1440" w:header="708" w:footer="708" w:gutter="0"/>
          <w:cols w:space="708"/>
          <w:docGrid w:linePitch="360"/>
        </w:sectPr>
      </w:pPr>
    </w:p>
    <w:p w14:paraId="1AF5D7F1" w14:textId="77777777" w:rsidR="00ED1222" w:rsidRPr="00ED1222" w:rsidRDefault="00ED1222" w:rsidP="00ED1222">
      <w:pPr>
        <w:pStyle w:val="ATHeading3"/>
      </w:pPr>
      <w:r w:rsidRPr="00ED1222">
        <w:lastRenderedPageBreak/>
        <w:t>10. Euroopa Parlamendi 7. mai 2025. aasta otsus Euroopa Liidu Õiguskaitsekoolituse Ameti 2023. aasta raamatupidamiskontode sulgemise kohta (2024/2030(DEC))</w:t>
      </w:r>
    </w:p>
    <w:p w14:paraId="6C88E33F" w14:textId="77777777" w:rsidR="00ED1222" w:rsidRPr="00ED1222" w:rsidRDefault="00ED1222" w:rsidP="00ED1222">
      <w:pPr>
        <w:spacing w:before="480" w:after="240"/>
        <w:rPr>
          <w:i/>
          <w:kern w:val="2"/>
          <w14:ligatures w14:val="standardContextual"/>
        </w:rPr>
      </w:pPr>
      <w:r w:rsidRPr="00ED1222">
        <w:rPr>
          <w:i/>
          <w:kern w:val="2"/>
          <w14:ligatures w14:val="standardContextual"/>
        </w:rPr>
        <w:t>Euroopa Parlament,</w:t>
      </w:r>
    </w:p>
    <w:p w14:paraId="4DB903EA"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Õiguskaitsekoolituse Ameti 2023. aasta lõplikku raamatupidamisaruannet,</w:t>
      </w:r>
    </w:p>
    <w:p w14:paraId="4DD80392"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kontrollikoja aastaaruannet ELi asutuste eelarveaasta 2023 kohta koos asutuste vastustega</w:t>
      </w:r>
      <w:r w:rsidRPr="00ED1222">
        <w:rPr>
          <w:kern w:val="2"/>
          <w:vertAlign w:val="superscript"/>
          <w14:ligatures w14:val="standardContextual"/>
        </w:rPr>
        <w:footnoteReference w:id="55"/>
      </w:r>
      <w:r w:rsidRPr="00ED1222">
        <w:rPr>
          <w:kern w:val="2"/>
          <w14:ligatures w14:val="standardContextual"/>
        </w:rPr>
        <w:t>,</w:t>
      </w:r>
    </w:p>
    <w:p w14:paraId="730DD087"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vastavalt Euroopa Liidu toimimise lepingu artiklile 287 tehtud kontrollikoja kinnitavat avaldust</w:t>
      </w:r>
      <w:r w:rsidRPr="00ED1222">
        <w:rPr>
          <w:kern w:val="2"/>
          <w:vertAlign w:val="superscript"/>
          <w14:ligatures w14:val="standardContextual"/>
        </w:rPr>
        <w:footnoteReference w:id="56"/>
      </w:r>
      <w:r w:rsidRPr="00ED1222">
        <w:rPr>
          <w:kern w:val="2"/>
          <w14:ligatures w14:val="standardContextual"/>
        </w:rPr>
        <w:t xml:space="preserve"> 2023. aasta raamatupidamiskontode usaldatavuse ja nende aluseks olevate tehingute seaduslikkuse ja korrektsuse kohta,</w:t>
      </w:r>
    </w:p>
    <w:p w14:paraId="7405B8BC"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nõukogu 17. veebruari 2025. aasta soovitust ameti tegevusele heakskiidu andmise kohta 2023. aasta eelarve täitmisel (05755/2025 – C10</w:t>
      </w:r>
      <w:r w:rsidRPr="00ED1222">
        <w:rPr>
          <w:kern w:val="2"/>
          <w14:ligatures w14:val="standardContextual"/>
        </w:rPr>
        <w:noBreakHyphen/>
        <w:t>0024/2025),</w:t>
      </w:r>
    </w:p>
    <w:p w14:paraId="1A8D0181"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toimimise lepingu artiklit 319,</w:t>
      </w:r>
    </w:p>
    <w:p w14:paraId="2E7F796C"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18. juuli 2018. aasta määrust (EL, Euratom) 2018/1046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ED1222">
        <w:rPr>
          <w:kern w:val="2"/>
          <w:vertAlign w:val="superscript"/>
          <w14:ligatures w14:val="standardContextual"/>
        </w:rPr>
        <w:footnoteReference w:id="57"/>
      </w:r>
      <w:r w:rsidRPr="00ED1222">
        <w:rPr>
          <w:kern w:val="2"/>
          <w14:ligatures w14:val="standardContextual"/>
        </w:rPr>
        <w:t xml:space="preserve"> eriti selle artiklit 70,</w:t>
      </w:r>
    </w:p>
    <w:p w14:paraId="6B61E99E"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23. septembri 2024. aasta määrust (EL, Euratom) 2024/2509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w:t>
      </w:r>
      <w:r w:rsidRPr="00ED1222">
        <w:rPr>
          <w:kern w:val="2"/>
          <w:vertAlign w:val="superscript"/>
          <w14:ligatures w14:val="standardContextual"/>
        </w:rPr>
        <w:footnoteReference w:id="58"/>
      </w:r>
      <w:r w:rsidRPr="00ED1222">
        <w:rPr>
          <w:kern w:val="2"/>
          <w14:ligatures w14:val="standardContextual"/>
        </w:rPr>
        <w:t xml:space="preserve"> eriti selle artiklit 70,</w:t>
      </w:r>
    </w:p>
    <w:p w14:paraId="264C33E2"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Parlamendi ja nõukogu 25. novembri 2015. aasta määrust (EL) 2015/2219 (mis käsitleb Euroopa Liidu Õiguskaitsekoolituse Ametit (CEPOL) ning millega asendatakse ja tunnistatakse kehtetuks nõukogu otsus 2005/681/JSK),</w:t>
      </w:r>
      <w:r w:rsidRPr="00ED1222">
        <w:rPr>
          <w:kern w:val="2"/>
          <w:vertAlign w:val="superscript"/>
          <w14:ligatures w14:val="standardContextual"/>
        </w:rPr>
        <w:footnoteReference w:id="59"/>
      </w:r>
      <w:r w:rsidRPr="00ED1222">
        <w:rPr>
          <w:kern w:val="2"/>
          <w14:ligatures w14:val="standardContextual"/>
        </w:rPr>
        <w:t xml:space="preserve"> eriti selle artiklit 20,</w:t>
      </w:r>
    </w:p>
    <w:p w14:paraId="546F24B7"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ED1222">
        <w:rPr>
          <w:kern w:val="2"/>
          <w:vertAlign w:val="superscript"/>
          <w14:ligatures w14:val="standardContextual"/>
        </w:rPr>
        <w:footnoteReference w:id="60"/>
      </w:r>
      <w:r w:rsidRPr="00ED1222">
        <w:rPr>
          <w:kern w:val="2"/>
          <w14:ligatures w14:val="standardContextual"/>
        </w:rPr>
        <w:t xml:space="preserve"> eriti selle artiklit 105,</w:t>
      </w:r>
    </w:p>
    <w:p w14:paraId="46E0627D"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kodukorra artiklit 102 ja V lisa,</w:t>
      </w:r>
    </w:p>
    <w:p w14:paraId="292F1F5E"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lastRenderedPageBreak/>
        <w:t>–</w:t>
      </w:r>
      <w:r w:rsidRPr="00ED1222">
        <w:rPr>
          <w:kern w:val="2"/>
          <w14:ligatures w14:val="standardContextual"/>
        </w:rPr>
        <w:tab/>
        <w:t>võttes arvesse tööhõive- ja sotsiaalkomisjoni, keskkonna-, kliima- ja toiduohutuse komisjoni, transpordi- ja turismikomisjoni, kalanduskomisjoni, kultuuri- ja hariduskomisjoni, kodanikuvabaduste, justiits- ja siseasjade komisjoni ning naiste õiguste ja soolise võrdõiguslikkuse komisjoni arvamusi,</w:t>
      </w:r>
    </w:p>
    <w:p w14:paraId="0FD31758"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eelarvekontrollikomisjoni raportit (A10-0065/2025),</w:t>
      </w:r>
    </w:p>
    <w:p w14:paraId="3033354E"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w:t>
      </w:r>
      <w:r w:rsidRPr="00ED1222">
        <w:rPr>
          <w:kern w:val="2"/>
          <w14:ligatures w14:val="standardContextual"/>
        </w:rPr>
        <w:tab/>
        <w:t>annab heakskiidu Euroopa Liidu Õiguskaitsekoolituse Ameti 2023. aasta raamatupidamiskontode sulgemisele;</w:t>
      </w:r>
    </w:p>
    <w:p w14:paraId="3790BCDD"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2.</w:t>
      </w:r>
      <w:r w:rsidRPr="00ED1222">
        <w:rPr>
          <w:kern w:val="2"/>
          <w14:ligatures w14:val="standardContextual"/>
        </w:rPr>
        <w:tab/>
        <w:t xml:space="preserve">teeb presidendile ülesandeks edastada käesolev otsus Euroopa Liidu Õiguskaitsekoolituse Ameti tegevdirektorile, nõukogule, komisjonile ja kontrollikojale ning korraldada selle avaldamine </w:t>
      </w:r>
      <w:r w:rsidRPr="00ED1222">
        <w:rPr>
          <w:i/>
          <w:kern w:val="2"/>
          <w14:ligatures w14:val="standardContextual"/>
        </w:rPr>
        <w:t>Euroopa Liidu Teatajas</w:t>
      </w:r>
      <w:r w:rsidRPr="00ED1222">
        <w:rPr>
          <w:kern w:val="2"/>
          <w14:ligatures w14:val="standardContextual"/>
        </w:rPr>
        <w:t xml:space="preserve"> (L-seerias).</w:t>
      </w:r>
    </w:p>
    <w:p w14:paraId="46AA47B8" w14:textId="77777777" w:rsidR="00ED1222" w:rsidRPr="00ED1222" w:rsidRDefault="00ED1222" w:rsidP="00ED1222">
      <w:pPr>
        <w:widowControl/>
        <w:jc w:val="both"/>
        <w:rPr>
          <w:rFonts w:eastAsia="Aptos"/>
          <w:kern w:val="2"/>
          <w:szCs w:val="24"/>
          <w:lang w:eastAsia="en-US"/>
          <w14:ligatures w14:val="standardContextual"/>
        </w:rPr>
        <w:sectPr w:rsidR="00ED1222" w:rsidRPr="00ED1222" w:rsidSect="00ED1222">
          <w:footnotePr>
            <w:numRestart w:val="eachSect"/>
          </w:footnotePr>
          <w:pgSz w:w="11906" w:h="16838"/>
          <w:pgMar w:top="1440" w:right="1440" w:bottom="1440" w:left="1440" w:header="708" w:footer="708" w:gutter="0"/>
          <w:cols w:space="708"/>
          <w:docGrid w:linePitch="360"/>
        </w:sectPr>
      </w:pPr>
    </w:p>
    <w:p w14:paraId="0D8E4B18" w14:textId="77777777" w:rsidR="00ED1222" w:rsidRPr="00ED1222" w:rsidRDefault="00ED1222" w:rsidP="0002762F">
      <w:pPr>
        <w:pStyle w:val="ATHeading3"/>
      </w:pPr>
      <w:r w:rsidRPr="00ED1222">
        <w:lastRenderedPageBreak/>
        <w:t>11. Euroopa Parlamendi 7. mai 2025. aasta otsus Euroopa Liidu Lennundusohutusameti 2023. aasta eelarve täitmisele heakskiidu andmise kohta (2024/2030(DEC))</w:t>
      </w:r>
    </w:p>
    <w:p w14:paraId="738F0F86" w14:textId="77777777" w:rsidR="0002762F" w:rsidRPr="00ED1222" w:rsidRDefault="0002762F" w:rsidP="0002762F">
      <w:pPr>
        <w:spacing w:before="480" w:after="240"/>
        <w:rPr>
          <w:i/>
          <w:kern w:val="2"/>
          <w14:ligatures w14:val="standardContextual"/>
        </w:rPr>
      </w:pPr>
      <w:r w:rsidRPr="00ED1222">
        <w:rPr>
          <w:i/>
          <w:kern w:val="2"/>
          <w14:ligatures w14:val="standardContextual"/>
        </w:rPr>
        <w:t>Euroopa Parlament,</w:t>
      </w:r>
    </w:p>
    <w:p w14:paraId="016899F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Lennundusohutusameti 2023. aasta lõplikku raamatupidamisaruannet,</w:t>
      </w:r>
    </w:p>
    <w:p w14:paraId="24E72E89"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kontrollikoja aastaaruannet ELi asutuste eelarveaasta 2023 kohta koos asutuste vastustega</w:t>
      </w:r>
      <w:r w:rsidRPr="00ED1222">
        <w:rPr>
          <w:kern w:val="2"/>
          <w:vertAlign w:val="superscript"/>
          <w14:ligatures w14:val="standardContextual"/>
        </w:rPr>
        <w:footnoteReference w:id="61"/>
      </w:r>
      <w:r w:rsidRPr="00ED1222">
        <w:rPr>
          <w:kern w:val="2"/>
          <w14:ligatures w14:val="standardContextual"/>
        </w:rPr>
        <w:t>,</w:t>
      </w:r>
    </w:p>
    <w:p w14:paraId="53F11224"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vastavalt Euroopa Liidu toimimise lepingu artiklile 287 tehtud kontrollikoja kinnitavat avaldust</w:t>
      </w:r>
      <w:r w:rsidRPr="00ED1222">
        <w:rPr>
          <w:kern w:val="2"/>
          <w:vertAlign w:val="superscript"/>
          <w14:ligatures w14:val="standardContextual"/>
        </w:rPr>
        <w:footnoteReference w:id="62"/>
      </w:r>
      <w:r w:rsidRPr="00ED1222">
        <w:rPr>
          <w:kern w:val="2"/>
          <w14:ligatures w14:val="standardContextual"/>
        </w:rPr>
        <w:t xml:space="preserve"> 2023. aasta raamatupidamiskontode usaldatavuse ja nende aluseks olevate tehingute seaduslikkuse ja korrektsuse kohta,</w:t>
      </w:r>
    </w:p>
    <w:p w14:paraId="6251C249"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nõukogu 17. veebruari 2025. aasta soovitust ameti tegevusele heakskiidu andmise kohta 2023. aasta eelarve täitmisel (05755/2025 – C10</w:t>
      </w:r>
      <w:r w:rsidRPr="00ED1222">
        <w:rPr>
          <w:kern w:val="2"/>
          <w14:ligatures w14:val="standardContextual"/>
        </w:rPr>
        <w:noBreakHyphen/>
        <w:t>0024/2025),</w:t>
      </w:r>
    </w:p>
    <w:p w14:paraId="75974C8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toimimise lepingu artiklit 319,</w:t>
      </w:r>
    </w:p>
    <w:p w14:paraId="485FA0FF"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18. juuli 2018. aasta määrust (EL, Euratom) 2018/1046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ED1222">
        <w:rPr>
          <w:kern w:val="2"/>
          <w:vertAlign w:val="superscript"/>
          <w14:ligatures w14:val="standardContextual"/>
        </w:rPr>
        <w:footnoteReference w:id="63"/>
      </w:r>
      <w:r w:rsidRPr="00ED1222">
        <w:rPr>
          <w:kern w:val="2"/>
          <w14:ligatures w14:val="standardContextual"/>
        </w:rPr>
        <w:t xml:space="preserve"> eriti selle artiklit 70,</w:t>
      </w:r>
    </w:p>
    <w:p w14:paraId="17B03B45"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23. septembri 2024. aasta määrust (EL, Euratom) 2024/2509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w:t>
      </w:r>
      <w:r w:rsidRPr="00ED1222">
        <w:rPr>
          <w:kern w:val="2"/>
          <w:vertAlign w:val="superscript"/>
          <w14:ligatures w14:val="standardContextual"/>
        </w:rPr>
        <w:footnoteReference w:id="64"/>
      </w:r>
      <w:r w:rsidRPr="00ED1222">
        <w:rPr>
          <w:kern w:val="2"/>
          <w14:ligatures w14:val="standardContextual"/>
        </w:rPr>
        <w:t xml:space="preserve"> eriti selle artiklit 70,</w:t>
      </w:r>
    </w:p>
    <w:p w14:paraId="5EDE775E"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4. juuli 2018. aasta määrust (EL) 2018/1139 (mis käsitleb tsiviillennunduse valdkonna </w:t>
      </w:r>
      <w:proofErr w:type="spellStart"/>
      <w:r w:rsidRPr="00ED1222">
        <w:rPr>
          <w:kern w:val="2"/>
          <w14:ligatures w14:val="standardContextual"/>
        </w:rPr>
        <w:t>ühisnorme</w:t>
      </w:r>
      <w:proofErr w:type="spellEnd"/>
      <w:r w:rsidRPr="00ED1222">
        <w:rPr>
          <w:kern w:val="2"/>
          <w14:ligatures w14:val="standardContextual"/>
        </w:rPr>
        <w:t xml:space="preserve"> ja millega luuakse Euroopa Liidu Lennundusohutusamet ning millega muudetakse Euroopa Parlamendi ja nõukogu määrusi (EÜ) nr 2111/2005, (EÜ) nr 1008/2008, (EL) nr 996/2010, (EL) nr 376/2014 ja Euroopa Parlamendi ja nõukogu direktiive 2014/30/EL ning 2014/53/EL ning tunnistatakse kehtetuks Euroopa Parlamendi ja nõukogu määrused (EÜ) nr 552/2004 ja (EÜ) nr 216/2008 ning nõukogu määrus (EMÜ) nr 3922/91),</w:t>
      </w:r>
      <w:r w:rsidRPr="00ED1222">
        <w:rPr>
          <w:kern w:val="2"/>
          <w:vertAlign w:val="superscript"/>
          <w14:ligatures w14:val="standardContextual"/>
        </w:rPr>
        <w:footnoteReference w:id="65"/>
      </w:r>
      <w:r w:rsidRPr="00ED1222">
        <w:rPr>
          <w:kern w:val="2"/>
          <w14:ligatures w14:val="standardContextual"/>
        </w:rPr>
        <w:t xml:space="preserve"> eriti selle artiklit 121,</w:t>
      </w:r>
    </w:p>
    <w:p w14:paraId="17963EEC"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komisjoni 18. detsembri 2018. aasta delegeeritud määrust (EL) 2019/715 raamfinantsmääruse kohta asutustele, mis on asutatud Euroopa Liidu toimimise lepingu ja Euroopa Aatomienergiaühenduse asutamislepingu alusel ning millele osutatakse </w:t>
      </w:r>
      <w:r w:rsidRPr="00ED1222">
        <w:rPr>
          <w:kern w:val="2"/>
          <w14:ligatures w14:val="standardContextual"/>
        </w:rPr>
        <w:lastRenderedPageBreak/>
        <w:t>Euroopa Parlamendi ja nõukogu määruse (EL, Euratom) 2018/1046 artiklis 70,</w:t>
      </w:r>
      <w:r w:rsidRPr="00ED1222">
        <w:rPr>
          <w:kern w:val="2"/>
          <w:vertAlign w:val="superscript"/>
          <w14:ligatures w14:val="standardContextual"/>
        </w:rPr>
        <w:footnoteReference w:id="66"/>
      </w:r>
      <w:r w:rsidRPr="00ED1222">
        <w:rPr>
          <w:kern w:val="2"/>
          <w14:ligatures w14:val="standardContextual"/>
        </w:rPr>
        <w:t xml:space="preserve"> eriti selle artiklit 105,</w:t>
      </w:r>
    </w:p>
    <w:p w14:paraId="79F89B2E"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kodukorra artiklit 102 ja V lisa,</w:t>
      </w:r>
    </w:p>
    <w:p w14:paraId="51661D6F"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tööhõive- ja sotsiaalkomisjoni, keskkonna-, kliima- ja toiduohutuse komisjoni, transpordi- ja turismikomisjoni, kalanduskomisjoni, kultuuri- ja hariduskomisjoni, kodanikuvabaduste, justiits- ja siseasjade komisjoni ning naiste õiguste ja soolise võrdõiguslikkuse komisjoni arvamusi,</w:t>
      </w:r>
    </w:p>
    <w:p w14:paraId="5584108D"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eelarvekontrollikomisjoni raportit (A10-0065/2025),</w:t>
      </w:r>
    </w:p>
    <w:p w14:paraId="467BDA4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w:t>
      </w:r>
      <w:r w:rsidRPr="00ED1222">
        <w:rPr>
          <w:kern w:val="2"/>
          <w14:ligatures w14:val="standardContextual"/>
        </w:rPr>
        <w:tab/>
        <w:t>annab heakskiidu Euroopa Liidu Lennundusohutusameti tegevdirektori tegevusele ameti 2023. aasta eelarve täitmisel;</w:t>
      </w:r>
    </w:p>
    <w:p w14:paraId="18717C3C"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2.</w:t>
      </w:r>
      <w:r w:rsidRPr="00ED1222">
        <w:rPr>
          <w:kern w:val="2"/>
          <w14:ligatures w14:val="standardContextual"/>
        </w:rPr>
        <w:tab/>
        <w:t>esitab oma tähelepanekud alltoodud resolutsioonis;</w:t>
      </w:r>
    </w:p>
    <w:p w14:paraId="54B7C43D"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3.</w:t>
      </w:r>
      <w:r w:rsidRPr="00ED1222">
        <w:rPr>
          <w:kern w:val="2"/>
          <w14:ligatures w14:val="standardContextual"/>
        </w:rPr>
        <w:tab/>
        <w:t xml:space="preserve">teeb presidendile ülesandeks edastada käesolev otsus ja resolutsioon, mis on selle lahutamatu osa, Euroopa Liidu Lennundusohutusameti tegevdirektorile, nõukogule, komisjonile ja kontrollikojale ning korraldada nende avaldamine </w:t>
      </w:r>
      <w:r w:rsidRPr="00ED1222">
        <w:rPr>
          <w:i/>
          <w:kern w:val="2"/>
          <w14:ligatures w14:val="standardContextual"/>
        </w:rPr>
        <w:t>Euroopa Liidu Teatajas</w:t>
      </w:r>
      <w:r w:rsidRPr="00ED1222">
        <w:rPr>
          <w:kern w:val="2"/>
          <w14:ligatures w14:val="standardContextual"/>
        </w:rPr>
        <w:t xml:space="preserve"> (L-seerias).</w:t>
      </w:r>
    </w:p>
    <w:p w14:paraId="28F04C13" w14:textId="77777777" w:rsidR="00ED1222" w:rsidRPr="00ED1222" w:rsidRDefault="00ED1222" w:rsidP="00ED1222">
      <w:pPr>
        <w:widowControl/>
        <w:jc w:val="both"/>
        <w:rPr>
          <w:rFonts w:eastAsia="Aptos"/>
          <w:kern w:val="2"/>
          <w:szCs w:val="24"/>
          <w:lang w:eastAsia="en-US"/>
          <w14:ligatures w14:val="standardContextual"/>
        </w:rPr>
        <w:sectPr w:rsidR="00ED1222" w:rsidRPr="00ED1222" w:rsidSect="00ED1222">
          <w:footnotePr>
            <w:numRestart w:val="eachSect"/>
          </w:footnotePr>
          <w:pgSz w:w="11906" w:h="16838"/>
          <w:pgMar w:top="1440" w:right="1440" w:bottom="1440" w:left="1440" w:header="708" w:footer="708" w:gutter="0"/>
          <w:cols w:space="708"/>
          <w:docGrid w:linePitch="360"/>
        </w:sectPr>
      </w:pPr>
    </w:p>
    <w:p w14:paraId="25A34EAB" w14:textId="77777777" w:rsidR="00ED1222" w:rsidRPr="00ED1222" w:rsidRDefault="00ED1222" w:rsidP="0002762F">
      <w:pPr>
        <w:pStyle w:val="ATHeading3"/>
      </w:pPr>
      <w:r w:rsidRPr="00ED1222">
        <w:lastRenderedPageBreak/>
        <w:t>12. Euroopa Parlamendi 7. mai 2025. aasta otsus Euroopa Liidu Lennundusohutusameti 2023. aasta raamatupidamiskontode sulgemise kohta (2024/2030(DEC))</w:t>
      </w:r>
    </w:p>
    <w:p w14:paraId="193B0FEC" w14:textId="77777777" w:rsidR="0002762F" w:rsidRPr="00ED1222" w:rsidRDefault="0002762F" w:rsidP="0002762F">
      <w:pPr>
        <w:spacing w:before="480" w:after="240"/>
        <w:rPr>
          <w:i/>
          <w:kern w:val="2"/>
          <w14:ligatures w14:val="standardContextual"/>
        </w:rPr>
      </w:pPr>
      <w:r w:rsidRPr="00ED1222">
        <w:rPr>
          <w:i/>
          <w:kern w:val="2"/>
          <w14:ligatures w14:val="standardContextual"/>
        </w:rPr>
        <w:t>Euroopa Parlament,</w:t>
      </w:r>
    </w:p>
    <w:p w14:paraId="7BAB3C29"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Lennundusohutusameti 2023. aasta lõplikku raamatupidamisaruannet,</w:t>
      </w:r>
    </w:p>
    <w:p w14:paraId="732FE51B"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kontrollikoja aastaaruannet ELi asutuste eelarveaasta 2023 kohta koos asutuste vastustega</w:t>
      </w:r>
      <w:r w:rsidRPr="00ED1222">
        <w:rPr>
          <w:kern w:val="2"/>
          <w:vertAlign w:val="superscript"/>
          <w14:ligatures w14:val="standardContextual"/>
        </w:rPr>
        <w:footnoteReference w:id="67"/>
      </w:r>
      <w:r w:rsidRPr="00ED1222">
        <w:rPr>
          <w:kern w:val="2"/>
          <w14:ligatures w14:val="standardContextual"/>
        </w:rPr>
        <w:t>,</w:t>
      </w:r>
    </w:p>
    <w:p w14:paraId="0F75328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vastavalt Euroopa Liidu toimimise lepingu artiklile 287 tehtud kontrollikoja kinnitavat avaldust</w:t>
      </w:r>
      <w:r w:rsidRPr="00ED1222">
        <w:rPr>
          <w:kern w:val="2"/>
          <w:vertAlign w:val="superscript"/>
          <w14:ligatures w14:val="standardContextual"/>
        </w:rPr>
        <w:footnoteReference w:id="68"/>
      </w:r>
      <w:r w:rsidRPr="00ED1222">
        <w:rPr>
          <w:kern w:val="2"/>
          <w14:ligatures w14:val="standardContextual"/>
        </w:rPr>
        <w:t xml:space="preserve"> 2023. aasta raamatupidamiskontode usaldatavuse ja nende aluseks olevate tehingute seaduslikkuse ja korrektsuse kohta,</w:t>
      </w:r>
    </w:p>
    <w:p w14:paraId="1E1FFFF2"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nõukogu 17. veebruari 2025. aasta soovitust ameti tegevusele heakskiidu andmise kohta 2023. aasta eelarve täitmisel (05755/2025 – C10</w:t>
      </w:r>
      <w:r w:rsidRPr="00ED1222">
        <w:rPr>
          <w:kern w:val="2"/>
          <w14:ligatures w14:val="standardContextual"/>
        </w:rPr>
        <w:noBreakHyphen/>
        <w:t>0024/2025),</w:t>
      </w:r>
    </w:p>
    <w:p w14:paraId="4CAAA268"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toimimise lepingu artiklit 319,</w:t>
      </w:r>
    </w:p>
    <w:p w14:paraId="49255229"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18. juuli 2018. aasta määrust (EL, Euratom) 2018/1046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ED1222">
        <w:rPr>
          <w:kern w:val="2"/>
          <w:vertAlign w:val="superscript"/>
          <w14:ligatures w14:val="standardContextual"/>
        </w:rPr>
        <w:footnoteReference w:id="69"/>
      </w:r>
      <w:r w:rsidRPr="00ED1222">
        <w:rPr>
          <w:kern w:val="2"/>
          <w14:ligatures w14:val="standardContextual"/>
        </w:rPr>
        <w:t xml:space="preserve"> eriti selle artiklit 70,</w:t>
      </w:r>
    </w:p>
    <w:p w14:paraId="37CDDBB1"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23. septembri 2024. aasta määrust (EL, Euratom) 2024/2509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w:t>
      </w:r>
      <w:r w:rsidRPr="00ED1222">
        <w:rPr>
          <w:kern w:val="2"/>
          <w:vertAlign w:val="superscript"/>
          <w14:ligatures w14:val="standardContextual"/>
        </w:rPr>
        <w:footnoteReference w:id="70"/>
      </w:r>
      <w:r w:rsidRPr="00ED1222">
        <w:rPr>
          <w:kern w:val="2"/>
          <w14:ligatures w14:val="standardContextual"/>
        </w:rPr>
        <w:t xml:space="preserve"> eriti selle artiklit 70,</w:t>
      </w:r>
    </w:p>
    <w:p w14:paraId="6F71E53F"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4. juuli 2018. aasta määrust (EL) 2018/1139 (mis käsitleb tsiviillennunduse valdkonna </w:t>
      </w:r>
      <w:proofErr w:type="spellStart"/>
      <w:r w:rsidRPr="00ED1222">
        <w:rPr>
          <w:kern w:val="2"/>
          <w14:ligatures w14:val="standardContextual"/>
        </w:rPr>
        <w:t>ühisnorme</w:t>
      </w:r>
      <w:proofErr w:type="spellEnd"/>
      <w:r w:rsidRPr="00ED1222">
        <w:rPr>
          <w:kern w:val="2"/>
          <w14:ligatures w14:val="standardContextual"/>
        </w:rPr>
        <w:t xml:space="preserve"> ja millega luuakse Euroopa Liidu Lennundusohutusamet ning millega muudetakse Euroopa Parlamendi ja nõukogu määrusi (EÜ) nr 2111/2005, (EÜ) nr 1008/2008, (EL) nr 996/2010, (EL) nr 376/2014 ja Euroopa Parlamendi ja nõukogu direktiive 2014/30/EL ning 2014/53/EL ning tunnistatakse kehtetuks Euroopa Parlamendi ja nõukogu määrused (EÜ) nr 552/2004 ja (EÜ) nr 216/2008 ning nõukogu määrus (EMÜ) nr 3922/91),</w:t>
      </w:r>
      <w:r w:rsidRPr="00ED1222">
        <w:rPr>
          <w:kern w:val="2"/>
          <w:vertAlign w:val="superscript"/>
          <w14:ligatures w14:val="standardContextual"/>
        </w:rPr>
        <w:footnoteReference w:id="71"/>
      </w:r>
      <w:r w:rsidRPr="00ED1222">
        <w:rPr>
          <w:kern w:val="2"/>
          <w14:ligatures w14:val="standardContextual"/>
        </w:rPr>
        <w:t xml:space="preserve"> eriti selle artiklit 121,</w:t>
      </w:r>
    </w:p>
    <w:p w14:paraId="7F749AD1"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komisjoni 18. detsembri 2018. aasta delegeeritud määrust (EL) 2019/715 raamfinantsmääruse kohta asutustele, mis on asutatud Euroopa Liidu toimimise lepingu ja Euroopa Aatomienergiaühenduse asutamislepingu alusel ning millele osutatakse </w:t>
      </w:r>
      <w:r w:rsidRPr="00ED1222">
        <w:rPr>
          <w:kern w:val="2"/>
          <w14:ligatures w14:val="standardContextual"/>
        </w:rPr>
        <w:lastRenderedPageBreak/>
        <w:t>Euroopa Parlamendi ja nõukogu määruse (EL, Euratom) 2018/1046 artiklis 70</w:t>
      </w:r>
      <w:r w:rsidRPr="00ED1222">
        <w:rPr>
          <w:kern w:val="2"/>
          <w:vertAlign w:val="superscript"/>
          <w14:ligatures w14:val="standardContextual"/>
        </w:rPr>
        <w:footnoteReference w:id="72"/>
      </w:r>
      <w:r w:rsidRPr="00ED1222">
        <w:rPr>
          <w:kern w:val="2"/>
          <w14:ligatures w14:val="standardContextual"/>
        </w:rPr>
        <w:t>, eriti selle artiklit 105,</w:t>
      </w:r>
    </w:p>
    <w:p w14:paraId="37644AB9"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kodukorra artiklit 102 ja V lisa,</w:t>
      </w:r>
    </w:p>
    <w:p w14:paraId="1D936C5B"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tööhõive- ja sotsiaalkomisjoni, keskkonna-, kliima- ja toiduohutuse komisjoni, transpordi- ja turismikomisjoni, kalanduskomisjoni, kultuuri- ja hariduskomisjoni, kodanikuvabaduste, justiits- ja siseasjade komisjoni ning naiste õiguste ja soolise võrdõiguslikkuse komisjoni arvamusi,</w:t>
      </w:r>
    </w:p>
    <w:p w14:paraId="3BB0AE09"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eelarvekontrollikomisjoni raportit (A10-0065/2025),</w:t>
      </w:r>
    </w:p>
    <w:p w14:paraId="041153FC"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w:t>
      </w:r>
      <w:r w:rsidRPr="00ED1222">
        <w:rPr>
          <w:kern w:val="2"/>
          <w14:ligatures w14:val="standardContextual"/>
        </w:rPr>
        <w:tab/>
        <w:t>annab heakskiidu Euroopa Liidu Lennundusohutusameti 2023. aasta raamatupidamiskontode sulgemisele;</w:t>
      </w:r>
    </w:p>
    <w:p w14:paraId="27CF8D51"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2.</w:t>
      </w:r>
      <w:r w:rsidRPr="00ED1222">
        <w:rPr>
          <w:kern w:val="2"/>
          <w14:ligatures w14:val="standardContextual"/>
        </w:rPr>
        <w:tab/>
        <w:t xml:space="preserve">teeb presidendile ülesandeks edastada käesolev otsus Euroopa Liidu Lennundusohutusameti tegevdirektorile, nõukogule, komisjonile ja kontrollikojale ning korraldada selle avaldamine </w:t>
      </w:r>
      <w:r w:rsidRPr="00ED1222">
        <w:rPr>
          <w:i/>
          <w:iCs/>
          <w:kern w:val="2"/>
          <w14:ligatures w14:val="standardContextual"/>
        </w:rPr>
        <w:t>Euroopa Liidu Teatajas</w:t>
      </w:r>
      <w:r w:rsidRPr="00ED1222">
        <w:rPr>
          <w:kern w:val="2"/>
          <w14:ligatures w14:val="standardContextual"/>
        </w:rPr>
        <w:t xml:space="preserve"> (L-seerias).</w:t>
      </w:r>
    </w:p>
    <w:p w14:paraId="606D1AB1" w14:textId="77777777" w:rsidR="00ED1222" w:rsidRPr="00ED1222" w:rsidRDefault="00ED1222" w:rsidP="00ED1222">
      <w:pPr>
        <w:widowControl/>
        <w:jc w:val="both"/>
        <w:rPr>
          <w:rFonts w:eastAsia="Aptos"/>
          <w:kern w:val="2"/>
          <w:szCs w:val="24"/>
          <w:lang w:eastAsia="en-US"/>
          <w14:ligatures w14:val="standardContextual"/>
        </w:rPr>
        <w:sectPr w:rsidR="00ED1222" w:rsidRPr="00ED1222" w:rsidSect="00ED1222">
          <w:footnotePr>
            <w:numRestart w:val="eachSect"/>
          </w:footnotePr>
          <w:pgSz w:w="11906" w:h="16838"/>
          <w:pgMar w:top="1440" w:right="1440" w:bottom="1440" w:left="1440" w:header="708" w:footer="708" w:gutter="0"/>
          <w:cols w:space="708"/>
          <w:docGrid w:linePitch="360"/>
        </w:sectPr>
      </w:pPr>
    </w:p>
    <w:p w14:paraId="54A5CFF7" w14:textId="77777777" w:rsidR="00ED1222" w:rsidRPr="00ED1222" w:rsidRDefault="00ED1222" w:rsidP="0002762F">
      <w:pPr>
        <w:pStyle w:val="ATHeading3"/>
      </w:pPr>
      <w:r w:rsidRPr="00ED1222">
        <w:lastRenderedPageBreak/>
        <w:t>13. Euroopa Parlamendi 7. mai 2025. aasta otsus Euroopa Pangandusjärelevalve 2023. aasta eelarve täitmisele heakskiidu andmise kohta (2024/2030(DEC))</w:t>
      </w:r>
    </w:p>
    <w:p w14:paraId="21B4F5C1" w14:textId="77777777" w:rsidR="0002762F" w:rsidRPr="00ED1222" w:rsidRDefault="0002762F" w:rsidP="0002762F">
      <w:pPr>
        <w:spacing w:before="480" w:after="240"/>
        <w:rPr>
          <w:i/>
          <w:kern w:val="2"/>
          <w14:ligatures w14:val="standardContextual"/>
        </w:rPr>
      </w:pPr>
      <w:r w:rsidRPr="00ED1222">
        <w:rPr>
          <w:i/>
          <w:kern w:val="2"/>
          <w14:ligatures w14:val="standardContextual"/>
        </w:rPr>
        <w:t>Euroopa Parlament,</w:t>
      </w:r>
    </w:p>
    <w:p w14:paraId="370D2050"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Pangandusjärelevalve 2023. aasta lõplikku raamatupidamisaruannet,</w:t>
      </w:r>
    </w:p>
    <w:p w14:paraId="0D9D606D"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kontrollikoja aastaaruannet ELi asutuste eelarveaasta 2023 kohta koos asutuste vastustega</w:t>
      </w:r>
      <w:r w:rsidRPr="00ED1222">
        <w:rPr>
          <w:kern w:val="2"/>
          <w:vertAlign w:val="superscript"/>
          <w14:ligatures w14:val="standardContextual"/>
        </w:rPr>
        <w:footnoteReference w:id="73"/>
      </w:r>
      <w:r w:rsidRPr="00ED1222">
        <w:rPr>
          <w:kern w:val="2"/>
          <w14:ligatures w14:val="standardContextual"/>
        </w:rPr>
        <w:t>,</w:t>
      </w:r>
    </w:p>
    <w:p w14:paraId="6988F463"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vastavalt Euroopa Liidu toimimise lepingu artiklile 287 tehtud kontrollikoja kinnitavat avaldust</w:t>
      </w:r>
      <w:r w:rsidRPr="00ED1222">
        <w:rPr>
          <w:kern w:val="2"/>
          <w:vertAlign w:val="superscript"/>
          <w14:ligatures w14:val="standardContextual"/>
        </w:rPr>
        <w:footnoteReference w:id="74"/>
      </w:r>
      <w:r w:rsidRPr="00ED1222">
        <w:rPr>
          <w:kern w:val="2"/>
          <w14:ligatures w14:val="standardContextual"/>
        </w:rPr>
        <w:t xml:space="preserve"> 2023. aasta raamatupidamiskontode usaldatavuse ja nende aluseks olevate tehingute seaduslikkuse ja korrektsuse kohta,</w:t>
      </w:r>
    </w:p>
    <w:p w14:paraId="46145C0C"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nõukogu 17. veebruari 2025. aasta soovitust asutuse tegevusele heakskiidu andmise kohta 2023. aasta eelarve täitmisel (05755/2025 – C10</w:t>
      </w:r>
      <w:r w:rsidRPr="00ED1222">
        <w:rPr>
          <w:kern w:val="2"/>
          <w14:ligatures w14:val="standardContextual"/>
        </w:rPr>
        <w:noBreakHyphen/>
        <w:t>0024/2025),</w:t>
      </w:r>
    </w:p>
    <w:p w14:paraId="161C0949"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toimimise lepingu artiklit 319,</w:t>
      </w:r>
    </w:p>
    <w:p w14:paraId="4C9CEF97"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18. juuli 2018. aasta määrust (EL, Euratom) 2018/1046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ED1222">
        <w:rPr>
          <w:kern w:val="2"/>
          <w:vertAlign w:val="superscript"/>
          <w14:ligatures w14:val="standardContextual"/>
        </w:rPr>
        <w:footnoteReference w:id="75"/>
      </w:r>
      <w:r w:rsidRPr="00ED1222">
        <w:rPr>
          <w:kern w:val="2"/>
          <w14:ligatures w14:val="standardContextual"/>
        </w:rPr>
        <w:t xml:space="preserve"> eriti selle artiklit 70,</w:t>
      </w:r>
    </w:p>
    <w:p w14:paraId="3BA044EE"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23. septembri 2024. aasta määrust (EL, Euratom) 2024/2509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w:t>
      </w:r>
      <w:r w:rsidRPr="00ED1222">
        <w:rPr>
          <w:kern w:val="2"/>
          <w:vertAlign w:val="superscript"/>
          <w14:ligatures w14:val="standardContextual"/>
        </w:rPr>
        <w:footnoteReference w:id="76"/>
      </w:r>
      <w:r w:rsidRPr="00ED1222">
        <w:rPr>
          <w:kern w:val="2"/>
          <w14:ligatures w14:val="standardContextual"/>
        </w:rPr>
        <w:t xml:space="preserve"> eriti selle artiklit 70,</w:t>
      </w:r>
    </w:p>
    <w:p w14:paraId="0E812678"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Parlamendi ja nõukogu 24. novembri 2010. aasta määrust (EL) nr 1093/2010 (millega asutatakse Euroopa Järelevalveasutus (Euroopa Pangandusjärelevalve), muudetakse otsust nr 716/2009/EÜ ning tunnistatakse kehtetuks komisjoni otsus 2009/78/EÜ),</w:t>
      </w:r>
      <w:r w:rsidRPr="00ED1222">
        <w:rPr>
          <w:kern w:val="2"/>
          <w:vertAlign w:val="superscript"/>
          <w14:ligatures w14:val="standardContextual"/>
        </w:rPr>
        <w:footnoteReference w:id="77"/>
      </w:r>
      <w:r w:rsidRPr="00ED1222">
        <w:rPr>
          <w:kern w:val="2"/>
          <w14:ligatures w14:val="standardContextual"/>
        </w:rPr>
        <w:t xml:space="preserve"> eriti selle artiklit 64,</w:t>
      </w:r>
    </w:p>
    <w:p w14:paraId="0BAD926D"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ED1222">
        <w:rPr>
          <w:kern w:val="2"/>
          <w:vertAlign w:val="superscript"/>
          <w14:ligatures w14:val="standardContextual"/>
        </w:rPr>
        <w:footnoteReference w:id="78"/>
      </w:r>
      <w:r w:rsidRPr="00ED1222">
        <w:rPr>
          <w:kern w:val="2"/>
          <w14:ligatures w14:val="standardContextual"/>
        </w:rPr>
        <w:t xml:space="preserve"> eriti selle artiklit 105,</w:t>
      </w:r>
    </w:p>
    <w:p w14:paraId="1CD7285B"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kodukorra artiklit 102 ja V lisa,</w:t>
      </w:r>
    </w:p>
    <w:p w14:paraId="0533ECD9"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lastRenderedPageBreak/>
        <w:t>–</w:t>
      </w:r>
      <w:r w:rsidRPr="00ED1222">
        <w:rPr>
          <w:kern w:val="2"/>
          <w14:ligatures w14:val="standardContextual"/>
        </w:rPr>
        <w:tab/>
        <w:t>võttes arvesse tööhõive- ja sotsiaalkomisjoni, keskkonna-, kliima- ja toiduohutuse komisjoni, transpordi- ja turismikomisjoni, kalanduskomisjoni, kultuuri- ja hariduskomisjoni, kodanikuvabaduste, justiits- ja siseasjade komisjoni ning naiste õiguste ja soolise võrdõiguslikkuse komisjoni arvamusi,</w:t>
      </w:r>
    </w:p>
    <w:p w14:paraId="341206BE"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eelarvekontrollikomisjoni raportit (A10-0065/2025),</w:t>
      </w:r>
    </w:p>
    <w:p w14:paraId="32996C8F"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w:t>
      </w:r>
      <w:r w:rsidRPr="00ED1222">
        <w:rPr>
          <w:kern w:val="2"/>
          <w14:ligatures w14:val="standardContextual"/>
        </w:rPr>
        <w:tab/>
        <w:t>annab heakskiidu Euroopa Pangandusjärelevalve tegevdirektori tegevusele asutuse 2023. aasta eelarve täitmisel;</w:t>
      </w:r>
    </w:p>
    <w:p w14:paraId="42E67301"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2.</w:t>
      </w:r>
      <w:r w:rsidRPr="00ED1222">
        <w:rPr>
          <w:kern w:val="2"/>
          <w14:ligatures w14:val="standardContextual"/>
        </w:rPr>
        <w:tab/>
        <w:t>esitab oma tähelepanekud alltoodud resolutsioonis;</w:t>
      </w:r>
    </w:p>
    <w:p w14:paraId="1DD6CB07"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3.</w:t>
      </w:r>
      <w:r w:rsidRPr="00ED1222">
        <w:rPr>
          <w:kern w:val="2"/>
          <w14:ligatures w14:val="standardContextual"/>
        </w:rPr>
        <w:tab/>
        <w:t xml:space="preserve">teeb presidendile ülesandeks edastada käesolev otsus ja resolutsioon, mis on selle lahutamatu osa, Euroopa Pangandusjärelevalve tegevdirektorile, nõukogule, komisjonile ja kontrollikojale ning korraldada nende avaldamine </w:t>
      </w:r>
      <w:r w:rsidRPr="00ED1222">
        <w:rPr>
          <w:i/>
          <w:kern w:val="2"/>
          <w14:ligatures w14:val="standardContextual"/>
        </w:rPr>
        <w:t>Euroopa Liidu Teatajas</w:t>
      </w:r>
      <w:r w:rsidRPr="00ED1222">
        <w:rPr>
          <w:kern w:val="2"/>
          <w14:ligatures w14:val="standardContextual"/>
        </w:rPr>
        <w:t xml:space="preserve"> (L-seerias).</w:t>
      </w:r>
    </w:p>
    <w:p w14:paraId="543780F7" w14:textId="77777777" w:rsidR="00ED1222" w:rsidRPr="00ED1222" w:rsidRDefault="00ED1222" w:rsidP="00ED1222">
      <w:pPr>
        <w:widowControl/>
        <w:jc w:val="both"/>
        <w:rPr>
          <w:rFonts w:eastAsia="Aptos"/>
          <w:kern w:val="2"/>
          <w:szCs w:val="24"/>
          <w:lang w:eastAsia="en-US"/>
          <w14:ligatures w14:val="standardContextual"/>
        </w:rPr>
        <w:sectPr w:rsidR="00ED1222" w:rsidRPr="00ED1222" w:rsidSect="00ED1222">
          <w:footnotePr>
            <w:numRestart w:val="eachSect"/>
          </w:footnotePr>
          <w:pgSz w:w="11906" w:h="16838"/>
          <w:pgMar w:top="1440" w:right="1440" w:bottom="1440" w:left="1440" w:header="708" w:footer="708" w:gutter="0"/>
          <w:cols w:space="708"/>
          <w:docGrid w:linePitch="360"/>
        </w:sectPr>
      </w:pPr>
    </w:p>
    <w:p w14:paraId="705B7120" w14:textId="77777777" w:rsidR="00ED1222" w:rsidRPr="00ED1222" w:rsidRDefault="00ED1222" w:rsidP="0002762F">
      <w:pPr>
        <w:pStyle w:val="ATHeading3"/>
      </w:pPr>
      <w:r w:rsidRPr="00ED1222">
        <w:lastRenderedPageBreak/>
        <w:t>14. Euroopa Parlamendi 7. mai 2025. aasta otsus Euroopa Pangandusjärelevalve 2023. aasta raamatupidamiskontode sulgemise kohta (2024/2030(DEC))</w:t>
      </w:r>
    </w:p>
    <w:p w14:paraId="37920358" w14:textId="77777777" w:rsidR="0002762F" w:rsidRPr="00ED1222" w:rsidRDefault="0002762F" w:rsidP="0002762F">
      <w:pPr>
        <w:spacing w:before="480" w:after="240"/>
        <w:rPr>
          <w:i/>
          <w:kern w:val="2"/>
          <w14:ligatures w14:val="standardContextual"/>
        </w:rPr>
      </w:pPr>
      <w:r w:rsidRPr="00ED1222">
        <w:rPr>
          <w:i/>
          <w:kern w:val="2"/>
          <w14:ligatures w14:val="standardContextual"/>
        </w:rPr>
        <w:t>Euroopa Parlament,</w:t>
      </w:r>
    </w:p>
    <w:p w14:paraId="195DC40C"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Pangandusjärelevalve 2023. aasta lõplikku raamatupidamisaruannet,</w:t>
      </w:r>
    </w:p>
    <w:p w14:paraId="3D36C452"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kontrollikoja aastaaruannet ELi asutuste eelarveaasta 2023 kohta koos asutuste vastustega</w:t>
      </w:r>
      <w:r w:rsidRPr="00ED1222">
        <w:rPr>
          <w:kern w:val="2"/>
          <w:vertAlign w:val="superscript"/>
          <w14:ligatures w14:val="standardContextual"/>
        </w:rPr>
        <w:footnoteReference w:id="79"/>
      </w:r>
      <w:r w:rsidRPr="00ED1222">
        <w:rPr>
          <w:kern w:val="2"/>
          <w14:ligatures w14:val="standardContextual"/>
        </w:rPr>
        <w:t>,</w:t>
      </w:r>
    </w:p>
    <w:p w14:paraId="79164DF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vastavalt Euroopa Liidu toimimise lepingu artiklile 287 tehtud kontrollikoja kinnitavat avaldust</w:t>
      </w:r>
      <w:r w:rsidRPr="00ED1222">
        <w:rPr>
          <w:kern w:val="2"/>
          <w:vertAlign w:val="superscript"/>
          <w14:ligatures w14:val="standardContextual"/>
        </w:rPr>
        <w:footnoteReference w:id="80"/>
      </w:r>
      <w:r w:rsidRPr="00ED1222">
        <w:rPr>
          <w:kern w:val="2"/>
          <w14:ligatures w14:val="standardContextual"/>
        </w:rPr>
        <w:t xml:space="preserve"> 2023. aasta raamatupidamiskontode usaldatavuse ja nende aluseks olevate tehingute seaduslikkuse ja korrektsuse kohta,</w:t>
      </w:r>
    </w:p>
    <w:p w14:paraId="67B9BDD7"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nõukogu 17. veebruari 2025. aasta soovitust asutuse tegevusele heakskiidu andmise kohta 2023. aasta eelarve täitmisel (05755/2025 – C10</w:t>
      </w:r>
      <w:r w:rsidRPr="00ED1222">
        <w:rPr>
          <w:kern w:val="2"/>
          <w14:ligatures w14:val="standardContextual"/>
        </w:rPr>
        <w:noBreakHyphen/>
        <w:t>0024/2025),</w:t>
      </w:r>
    </w:p>
    <w:p w14:paraId="5BB4DB7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toimimise lepingu artiklit 319,</w:t>
      </w:r>
    </w:p>
    <w:p w14:paraId="44542F75"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18. juuli 2018. aasta määrust (EL, Euratom) 2018/1046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ED1222">
        <w:rPr>
          <w:kern w:val="2"/>
          <w:vertAlign w:val="superscript"/>
          <w14:ligatures w14:val="standardContextual"/>
        </w:rPr>
        <w:footnoteReference w:id="81"/>
      </w:r>
      <w:r w:rsidRPr="00ED1222">
        <w:rPr>
          <w:kern w:val="2"/>
          <w14:ligatures w14:val="standardContextual"/>
        </w:rPr>
        <w:t xml:space="preserve"> eriti selle artiklit 70,</w:t>
      </w:r>
    </w:p>
    <w:p w14:paraId="6CAD836D"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23. septembri 2024. aasta määrust (EL, Euratom) 2024/2509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w:t>
      </w:r>
      <w:r w:rsidRPr="00ED1222">
        <w:rPr>
          <w:kern w:val="2"/>
          <w:vertAlign w:val="superscript"/>
          <w14:ligatures w14:val="standardContextual"/>
        </w:rPr>
        <w:footnoteReference w:id="82"/>
      </w:r>
      <w:r w:rsidRPr="00ED1222">
        <w:rPr>
          <w:kern w:val="2"/>
          <w14:ligatures w14:val="standardContextual"/>
        </w:rPr>
        <w:t xml:space="preserve"> eriti selle artiklit 70,</w:t>
      </w:r>
    </w:p>
    <w:p w14:paraId="5797EA54"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Parlamendi ja nõukogu 24. novembri 2010. aasta määrust (EL) nr 1093/2010 (millega asutatakse Euroopa Järelevalveasutus (Euroopa Pangandusjärelevalve), muudetakse otsust nr 716/2009/EÜ ning tunnistatakse kehtetuks komisjoni otsus 2009/78/EÜ),</w:t>
      </w:r>
      <w:r w:rsidRPr="00ED1222">
        <w:rPr>
          <w:kern w:val="2"/>
          <w:vertAlign w:val="superscript"/>
          <w14:ligatures w14:val="standardContextual"/>
        </w:rPr>
        <w:footnoteReference w:id="83"/>
      </w:r>
      <w:r w:rsidRPr="00ED1222">
        <w:rPr>
          <w:kern w:val="2"/>
          <w14:ligatures w14:val="standardContextual"/>
        </w:rPr>
        <w:t xml:space="preserve"> eriti selle artiklit 64,</w:t>
      </w:r>
    </w:p>
    <w:p w14:paraId="7A056A8F"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ED1222">
        <w:rPr>
          <w:kern w:val="2"/>
          <w:vertAlign w:val="superscript"/>
          <w14:ligatures w14:val="standardContextual"/>
        </w:rPr>
        <w:footnoteReference w:id="84"/>
      </w:r>
      <w:r w:rsidRPr="00ED1222">
        <w:rPr>
          <w:kern w:val="2"/>
          <w14:ligatures w14:val="standardContextual"/>
        </w:rPr>
        <w:t xml:space="preserve"> eriti selle artiklit 105,</w:t>
      </w:r>
    </w:p>
    <w:p w14:paraId="3CD5EC2E"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kodukorra artiklit 102 ja V lisa,</w:t>
      </w:r>
    </w:p>
    <w:p w14:paraId="75D280D7"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lastRenderedPageBreak/>
        <w:t>–</w:t>
      </w:r>
      <w:r w:rsidRPr="00ED1222">
        <w:rPr>
          <w:kern w:val="2"/>
          <w14:ligatures w14:val="standardContextual"/>
        </w:rPr>
        <w:tab/>
        <w:t>võttes arvesse tööhõive- ja sotsiaalkomisjoni, keskkonna-, kliima- ja toiduohutuse komisjoni, transpordi- ja turismikomisjoni, kalanduskomisjoni, kultuuri- ja hariduskomisjoni, kodanikuvabaduste, justiits- ja siseasjade komisjoni ning naiste õiguste ja soolise võrdõiguslikkuse komisjoni arvamusi,</w:t>
      </w:r>
    </w:p>
    <w:p w14:paraId="27A5BA08"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eelarvekontrollikomisjoni raportit (A10-0065/2025),</w:t>
      </w:r>
    </w:p>
    <w:p w14:paraId="1BDE9D8D"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w:t>
      </w:r>
      <w:r w:rsidRPr="00ED1222">
        <w:rPr>
          <w:kern w:val="2"/>
          <w14:ligatures w14:val="standardContextual"/>
        </w:rPr>
        <w:tab/>
        <w:t>annab heakskiidu Euroopa Pangandusjärelevalve 2023. aasta raamatupidamiskontode sulgemisele;</w:t>
      </w:r>
    </w:p>
    <w:p w14:paraId="464ED921"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2.</w:t>
      </w:r>
      <w:r w:rsidRPr="00ED1222">
        <w:rPr>
          <w:kern w:val="2"/>
          <w14:ligatures w14:val="standardContextual"/>
        </w:rPr>
        <w:tab/>
        <w:t xml:space="preserve">teeb presidendile ülesandeks edastada käesolev otsus Euroopa Pangandusjärelevalve tegevdirektorile, nõukogule, komisjonile ja kontrollikojale ning korraldada selle avaldamine </w:t>
      </w:r>
      <w:r w:rsidRPr="00ED1222">
        <w:rPr>
          <w:i/>
          <w:kern w:val="2"/>
          <w14:ligatures w14:val="standardContextual"/>
        </w:rPr>
        <w:t>Euroopa Liidu Teatajas</w:t>
      </w:r>
      <w:r w:rsidRPr="00ED1222">
        <w:rPr>
          <w:kern w:val="2"/>
          <w14:ligatures w14:val="standardContextual"/>
        </w:rPr>
        <w:t xml:space="preserve"> (L-seerias).</w:t>
      </w:r>
    </w:p>
    <w:p w14:paraId="59EC9596" w14:textId="77777777" w:rsidR="00ED1222" w:rsidRPr="00ED1222" w:rsidRDefault="00ED1222" w:rsidP="00ED1222">
      <w:pPr>
        <w:widowControl/>
        <w:jc w:val="both"/>
        <w:rPr>
          <w:rFonts w:eastAsia="Aptos"/>
          <w:kern w:val="2"/>
          <w:szCs w:val="24"/>
          <w:lang w:eastAsia="en-US"/>
          <w14:ligatures w14:val="standardContextual"/>
        </w:rPr>
        <w:sectPr w:rsidR="00ED1222" w:rsidRPr="00ED1222" w:rsidSect="00ED1222">
          <w:footnotePr>
            <w:numRestart w:val="eachSect"/>
          </w:footnotePr>
          <w:pgSz w:w="11906" w:h="16838"/>
          <w:pgMar w:top="1440" w:right="1440" w:bottom="1440" w:left="1440" w:header="708" w:footer="708" w:gutter="0"/>
          <w:cols w:space="708"/>
          <w:docGrid w:linePitch="360"/>
        </w:sectPr>
      </w:pPr>
    </w:p>
    <w:p w14:paraId="64338A16" w14:textId="3EA675E9" w:rsidR="00ED1222" w:rsidRPr="00ED1222" w:rsidRDefault="00ED1222" w:rsidP="0002762F">
      <w:pPr>
        <w:pStyle w:val="ATHeading3"/>
      </w:pPr>
      <w:r w:rsidRPr="00ED1222">
        <w:lastRenderedPageBreak/>
        <w:t>15. Euroopa Parlamendi 7. mai 2025. aasta otsus Haiguste Ennetamise ja Tõrje Euroopa Keskuse 2023. aasta eelarve täitmisele heakskiidu andmise kohta (2024/2030(DEC))</w:t>
      </w:r>
    </w:p>
    <w:p w14:paraId="130641AA" w14:textId="77777777" w:rsidR="0002762F" w:rsidRPr="00ED1222" w:rsidRDefault="0002762F" w:rsidP="0002762F">
      <w:pPr>
        <w:spacing w:before="480" w:after="240"/>
        <w:rPr>
          <w:i/>
          <w:kern w:val="2"/>
          <w14:ligatures w14:val="standardContextual"/>
        </w:rPr>
      </w:pPr>
      <w:r w:rsidRPr="00ED1222">
        <w:rPr>
          <w:i/>
          <w:kern w:val="2"/>
          <w14:ligatures w14:val="standardContextual"/>
        </w:rPr>
        <w:t>Euroopa Parlament,</w:t>
      </w:r>
    </w:p>
    <w:p w14:paraId="05770154"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Haiguste Ennetamise ja Tõrje Euroopa Keskuse 2023. aasta lõplikku raamatupidamisaruannet,</w:t>
      </w:r>
    </w:p>
    <w:p w14:paraId="417AB66D"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kontrollikoja aastaaruannet ELi asutuste eelarveaasta 2023 kohta koos asutuste vastustega</w:t>
      </w:r>
      <w:r w:rsidRPr="00ED1222">
        <w:rPr>
          <w:kern w:val="2"/>
          <w:vertAlign w:val="superscript"/>
          <w14:ligatures w14:val="standardContextual"/>
        </w:rPr>
        <w:footnoteReference w:id="85"/>
      </w:r>
      <w:r w:rsidRPr="00ED1222">
        <w:rPr>
          <w:kern w:val="2"/>
          <w14:ligatures w14:val="standardContextual"/>
        </w:rPr>
        <w:t>,</w:t>
      </w:r>
    </w:p>
    <w:p w14:paraId="1BB5554F"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vastavalt Euroopa Liidu toimimise lepingu artiklile 287 tehtud kontrollikoja kinnitavat avaldust</w:t>
      </w:r>
      <w:r w:rsidRPr="00ED1222">
        <w:rPr>
          <w:kern w:val="2"/>
          <w:vertAlign w:val="superscript"/>
          <w14:ligatures w14:val="standardContextual"/>
        </w:rPr>
        <w:footnoteReference w:id="86"/>
      </w:r>
      <w:r w:rsidRPr="00ED1222">
        <w:rPr>
          <w:kern w:val="2"/>
          <w14:ligatures w14:val="standardContextual"/>
        </w:rPr>
        <w:t xml:space="preserve"> 2023. aasta raamatupidamiskontode usaldatavuse ja nende aluseks olevate tehingute seaduslikkuse ja korrektsuse kohta,</w:t>
      </w:r>
    </w:p>
    <w:p w14:paraId="169665C8"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nõukogu 17. veebruari 2025. aasta soovitust keskuse tegevusele heakskiidu andmise kohta 2023. aasta eelarve täitmisel (05755/2025 – C10</w:t>
      </w:r>
      <w:r w:rsidRPr="00ED1222">
        <w:rPr>
          <w:kern w:val="2"/>
          <w14:ligatures w14:val="standardContextual"/>
        </w:rPr>
        <w:noBreakHyphen/>
        <w:t>0024/2025),</w:t>
      </w:r>
    </w:p>
    <w:p w14:paraId="22CB7855"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toimimise lepingu artiklit 319,</w:t>
      </w:r>
    </w:p>
    <w:p w14:paraId="72D42413"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18. juuli 2018. aasta määrust (EL, Euratom) 2018/1046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ED1222">
        <w:rPr>
          <w:kern w:val="2"/>
          <w:vertAlign w:val="superscript"/>
          <w14:ligatures w14:val="standardContextual"/>
        </w:rPr>
        <w:footnoteReference w:id="87"/>
      </w:r>
      <w:r w:rsidRPr="00ED1222">
        <w:rPr>
          <w:kern w:val="2"/>
          <w14:ligatures w14:val="standardContextual"/>
        </w:rPr>
        <w:t>, eriti selle artiklit 70,</w:t>
      </w:r>
    </w:p>
    <w:p w14:paraId="4F78ECE1"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23. septembri 2024. aasta määrust (EL, Euratom) 2024/2509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w:t>
      </w:r>
      <w:r w:rsidRPr="00ED1222">
        <w:rPr>
          <w:kern w:val="2"/>
          <w:vertAlign w:val="superscript"/>
          <w14:ligatures w14:val="standardContextual"/>
        </w:rPr>
        <w:footnoteReference w:id="88"/>
      </w:r>
      <w:r w:rsidRPr="00ED1222">
        <w:rPr>
          <w:kern w:val="2"/>
          <w14:ligatures w14:val="standardContextual"/>
        </w:rPr>
        <w:t>, eriti selle artiklit 70,</w:t>
      </w:r>
    </w:p>
    <w:p w14:paraId="6D2456DE"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Parlamendi ja nõukogu 21. aprilli 2004. aasta määrust (EÜ) nr 851/2004 (millega asutatakse haiguste ennetuse ja tõrje Euroopa keskus)</w:t>
      </w:r>
      <w:r w:rsidRPr="00ED1222">
        <w:rPr>
          <w:kern w:val="2"/>
          <w:vertAlign w:val="superscript"/>
          <w14:ligatures w14:val="standardContextual"/>
        </w:rPr>
        <w:footnoteReference w:id="89"/>
      </w:r>
      <w:r w:rsidRPr="00ED1222">
        <w:rPr>
          <w:kern w:val="2"/>
          <w14:ligatures w14:val="standardContextual"/>
        </w:rPr>
        <w:t>, eriti selle artiklit 23,</w:t>
      </w:r>
    </w:p>
    <w:p w14:paraId="26256867"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ED1222">
        <w:rPr>
          <w:kern w:val="2"/>
          <w:vertAlign w:val="superscript"/>
          <w14:ligatures w14:val="standardContextual"/>
        </w:rPr>
        <w:footnoteReference w:id="90"/>
      </w:r>
      <w:r w:rsidRPr="00ED1222">
        <w:rPr>
          <w:kern w:val="2"/>
          <w14:ligatures w14:val="standardContextual"/>
        </w:rPr>
        <w:t>, eriti selle artiklit 105,</w:t>
      </w:r>
    </w:p>
    <w:p w14:paraId="042304AC"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kodukorra artiklit 102 ja V lisa,</w:t>
      </w:r>
    </w:p>
    <w:p w14:paraId="4E76F860"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lastRenderedPageBreak/>
        <w:t>–</w:t>
      </w:r>
      <w:r w:rsidRPr="00ED1222">
        <w:rPr>
          <w:kern w:val="2"/>
          <w14:ligatures w14:val="standardContextual"/>
        </w:rPr>
        <w:tab/>
        <w:t>võttes arvesse tööhõive- ja sotsiaalkomisjoni, keskkonna-, kliima- ja toiduohutuse komisjoni, transpordi- ja turismikomisjoni, kalanduskomisjoni, kultuuri- ja hariduskomisjoni, kodanikuvabaduste, justiits- ja siseasjade komisjoni ning naiste õiguste ja soolise võrdõiguslikkuse komisjoni arvamusi,</w:t>
      </w:r>
    </w:p>
    <w:p w14:paraId="45235610"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eelarvekontrollikomisjoni raportit (A10-0065/2025),</w:t>
      </w:r>
    </w:p>
    <w:p w14:paraId="77A97FD2"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w:t>
      </w:r>
      <w:r w:rsidRPr="00ED1222">
        <w:rPr>
          <w:kern w:val="2"/>
          <w14:ligatures w14:val="standardContextual"/>
        </w:rPr>
        <w:tab/>
        <w:t>annab heakskiidu Haiguste Ennetamise ja Tõrje Euroopa Keskuse direktori tegevusele keskuse 2023. aasta eelarve täitmisel;</w:t>
      </w:r>
    </w:p>
    <w:p w14:paraId="3C999D97"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2.</w:t>
      </w:r>
      <w:r w:rsidRPr="00ED1222">
        <w:rPr>
          <w:kern w:val="2"/>
          <w14:ligatures w14:val="standardContextual"/>
        </w:rPr>
        <w:tab/>
        <w:t>esitab oma tähelepanekud alltoodud resolutsioonis;</w:t>
      </w:r>
    </w:p>
    <w:p w14:paraId="6C3F7EE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3.</w:t>
      </w:r>
      <w:r w:rsidRPr="00ED1222">
        <w:rPr>
          <w:kern w:val="2"/>
          <w14:ligatures w14:val="standardContextual"/>
        </w:rPr>
        <w:tab/>
        <w:t xml:space="preserve">teeb presidendile ülesandeks edastada käesolev otsus ja resolutsioon, mis on selle lahutamatu osa, Haiguste Ennetamise ja Tõrje Euroopa Keskuse direktorile, nõukogule, komisjonile ja kontrollikojale ning korraldada nende avaldamine </w:t>
      </w:r>
      <w:r w:rsidRPr="00ED1222">
        <w:rPr>
          <w:i/>
          <w:kern w:val="2"/>
          <w14:ligatures w14:val="standardContextual"/>
        </w:rPr>
        <w:t>Euroopa Liidu Teatajas</w:t>
      </w:r>
      <w:r w:rsidRPr="00ED1222">
        <w:rPr>
          <w:kern w:val="2"/>
          <w14:ligatures w14:val="standardContextual"/>
        </w:rPr>
        <w:t xml:space="preserve"> (L-seerias).</w:t>
      </w:r>
    </w:p>
    <w:p w14:paraId="5AF41D9D" w14:textId="77777777" w:rsidR="00ED1222" w:rsidRPr="00ED1222" w:rsidRDefault="00ED1222" w:rsidP="00ED1222">
      <w:pPr>
        <w:widowControl/>
        <w:jc w:val="both"/>
        <w:rPr>
          <w:rFonts w:eastAsia="Aptos"/>
          <w:kern w:val="2"/>
          <w:szCs w:val="24"/>
          <w:lang w:eastAsia="en-US"/>
          <w14:ligatures w14:val="standardContextual"/>
        </w:rPr>
        <w:sectPr w:rsidR="00ED1222" w:rsidRPr="00ED1222" w:rsidSect="00ED1222">
          <w:footnotePr>
            <w:numRestart w:val="eachSect"/>
          </w:footnotePr>
          <w:pgSz w:w="11906" w:h="16838"/>
          <w:pgMar w:top="1440" w:right="1440" w:bottom="1440" w:left="1440" w:header="708" w:footer="708" w:gutter="0"/>
          <w:cols w:space="708"/>
          <w:docGrid w:linePitch="360"/>
        </w:sectPr>
      </w:pPr>
    </w:p>
    <w:p w14:paraId="6220E4C7" w14:textId="6ECE8FCE" w:rsidR="00ED1222" w:rsidRPr="00ED1222" w:rsidRDefault="00ED1222" w:rsidP="0002762F">
      <w:pPr>
        <w:pStyle w:val="ATHeading3"/>
      </w:pPr>
      <w:r w:rsidRPr="00ED1222">
        <w:lastRenderedPageBreak/>
        <w:t>16. Euroopa Parlamendi 7. mai 2025. aasta otsus Haiguste Ennetamise ja Tõrje Euroopa Keskuse 2023. aasta raamatupidamiskontode sulgemise kohta</w:t>
      </w:r>
      <w:r w:rsidR="00A87338">
        <w:t xml:space="preserve"> </w:t>
      </w:r>
      <w:r w:rsidRPr="00ED1222">
        <w:t>(2024/2030(DEC))</w:t>
      </w:r>
    </w:p>
    <w:p w14:paraId="7605A19F" w14:textId="77777777" w:rsidR="0002762F" w:rsidRPr="00ED1222" w:rsidRDefault="0002762F" w:rsidP="0002762F">
      <w:pPr>
        <w:spacing w:before="480" w:after="240"/>
        <w:rPr>
          <w:i/>
          <w:kern w:val="2"/>
          <w14:ligatures w14:val="standardContextual"/>
        </w:rPr>
      </w:pPr>
      <w:r w:rsidRPr="00ED1222">
        <w:rPr>
          <w:i/>
          <w:kern w:val="2"/>
          <w14:ligatures w14:val="standardContextual"/>
        </w:rPr>
        <w:t>Euroopa Parlament,</w:t>
      </w:r>
    </w:p>
    <w:p w14:paraId="41C26D2F"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Haiguste Ennetamise ja Tõrje Euroopa Keskuse 2023. aasta lõplikku raamatupidamisaruannet,</w:t>
      </w:r>
    </w:p>
    <w:p w14:paraId="5AE37F30"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kontrollikoja aastaaruannet ELi asutuste eelarveaasta 2023 kohta koos asutuste vastustega</w:t>
      </w:r>
      <w:r w:rsidRPr="00ED1222">
        <w:rPr>
          <w:kern w:val="2"/>
          <w:vertAlign w:val="superscript"/>
          <w14:ligatures w14:val="standardContextual"/>
        </w:rPr>
        <w:footnoteReference w:id="91"/>
      </w:r>
      <w:r w:rsidRPr="00ED1222">
        <w:rPr>
          <w:kern w:val="2"/>
          <w14:ligatures w14:val="standardContextual"/>
        </w:rPr>
        <w:t>,</w:t>
      </w:r>
    </w:p>
    <w:p w14:paraId="6493297B"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vastavalt Euroopa Liidu toimimise lepingu artiklile 287 tehtud kontrollikoja kinnitavat avaldust</w:t>
      </w:r>
      <w:r w:rsidRPr="00ED1222">
        <w:rPr>
          <w:kern w:val="2"/>
          <w:vertAlign w:val="superscript"/>
          <w14:ligatures w14:val="standardContextual"/>
        </w:rPr>
        <w:footnoteReference w:id="92"/>
      </w:r>
      <w:r w:rsidRPr="00ED1222">
        <w:rPr>
          <w:kern w:val="2"/>
          <w14:ligatures w14:val="standardContextual"/>
        </w:rPr>
        <w:t xml:space="preserve"> 2023. aasta raamatupidamiskontode usaldatavuse ja nende aluseks olevate tehingute seaduslikkuse ja korrektsuse kohta,</w:t>
      </w:r>
    </w:p>
    <w:p w14:paraId="7CAB33BD"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nõukogu 17. veebruari 2025. aasta soovitust keskuse tegevusele heakskiidu andmise kohta 2023. aasta eelarve täitmisel (05755/2025 – C10</w:t>
      </w:r>
      <w:r w:rsidRPr="00ED1222">
        <w:rPr>
          <w:kern w:val="2"/>
          <w14:ligatures w14:val="standardContextual"/>
        </w:rPr>
        <w:noBreakHyphen/>
        <w:t>0024/2025),</w:t>
      </w:r>
    </w:p>
    <w:p w14:paraId="4EECD49E"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toimimise lepingu artiklit 319,</w:t>
      </w:r>
    </w:p>
    <w:p w14:paraId="6EA58E15"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18. juuli 2018. aasta määrust (EL, Euratom) 2018/1046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ED1222">
        <w:rPr>
          <w:kern w:val="2"/>
          <w:vertAlign w:val="superscript"/>
          <w14:ligatures w14:val="standardContextual"/>
        </w:rPr>
        <w:footnoteReference w:id="93"/>
      </w:r>
      <w:r w:rsidRPr="00ED1222">
        <w:rPr>
          <w:kern w:val="2"/>
          <w14:ligatures w14:val="standardContextual"/>
        </w:rPr>
        <w:t>, eriti selle artiklit 70,</w:t>
      </w:r>
    </w:p>
    <w:p w14:paraId="6048AFEA"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23. septembri 2024. aasta määrust (EL, Euratom) 2024/2509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w:t>
      </w:r>
      <w:r w:rsidRPr="00ED1222">
        <w:rPr>
          <w:kern w:val="2"/>
          <w:vertAlign w:val="superscript"/>
          <w14:ligatures w14:val="standardContextual"/>
        </w:rPr>
        <w:footnoteReference w:id="94"/>
      </w:r>
      <w:r w:rsidRPr="00ED1222">
        <w:rPr>
          <w:kern w:val="2"/>
          <w14:ligatures w14:val="standardContextual"/>
        </w:rPr>
        <w:t>, eriti selle artiklit 70,</w:t>
      </w:r>
    </w:p>
    <w:p w14:paraId="5F91A09D"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Parlamendi ja nõukogu 21. aprilli 2004. aasta määrust (EÜ) nr 851/2004 (millega asutatakse haiguste ennetuse ja tõrje Euroopa keskus)</w:t>
      </w:r>
      <w:r w:rsidRPr="00ED1222">
        <w:rPr>
          <w:kern w:val="2"/>
          <w:vertAlign w:val="superscript"/>
          <w14:ligatures w14:val="standardContextual"/>
        </w:rPr>
        <w:footnoteReference w:id="95"/>
      </w:r>
      <w:r w:rsidRPr="00ED1222">
        <w:rPr>
          <w:kern w:val="2"/>
          <w14:ligatures w14:val="standardContextual"/>
        </w:rPr>
        <w:t>, eriti selle artiklit 23,</w:t>
      </w:r>
    </w:p>
    <w:p w14:paraId="70CB837E"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ED1222">
        <w:rPr>
          <w:kern w:val="2"/>
          <w:vertAlign w:val="superscript"/>
          <w14:ligatures w14:val="standardContextual"/>
        </w:rPr>
        <w:footnoteReference w:id="96"/>
      </w:r>
      <w:r w:rsidRPr="00ED1222">
        <w:rPr>
          <w:kern w:val="2"/>
          <w14:ligatures w14:val="standardContextual"/>
        </w:rPr>
        <w:t>, eriti selle artiklit 105,</w:t>
      </w:r>
    </w:p>
    <w:p w14:paraId="4A807E85"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kodukorra artiklit 102 ja V lisa,</w:t>
      </w:r>
    </w:p>
    <w:p w14:paraId="3E8296FF"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lastRenderedPageBreak/>
        <w:t>–</w:t>
      </w:r>
      <w:r w:rsidRPr="00ED1222">
        <w:rPr>
          <w:kern w:val="2"/>
          <w14:ligatures w14:val="standardContextual"/>
        </w:rPr>
        <w:tab/>
        <w:t>võttes arvesse tööhõive- ja sotsiaalkomisjoni, keskkonna-, kliima- ja toiduohutuse komisjoni, transpordi- ja turismikomisjoni, kalanduskomisjoni, kultuuri- ja hariduskomisjoni, kodanikuvabaduste, justiits- ja siseasjade komisjoni ning naiste õiguste ja soolise võrdõiguslikkuse komisjoni arvamusi,</w:t>
      </w:r>
    </w:p>
    <w:p w14:paraId="32E796F2"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eelarvekontrollikomisjoni raportit (A10-0065/2025),</w:t>
      </w:r>
    </w:p>
    <w:p w14:paraId="79968160"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w:t>
      </w:r>
      <w:r w:rsidRPr="00ED1222">
        <w:rPr>
          <w:kern w:val="2"/>
          <w14:ligatures w14:val="standardContextual"/>
        </w:rPr>
        <w:tab/>
        <w:t>annab heakskiidu Haiguste Ennetamise ja Tõrje Euroopa Keskuse 2023. aasta raamatupidamiskontode sulgemisele;</w:t>
      </w:r>
    </w:p>
    <w:p w14:paraId="1DEE3A4F"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2.</w:t>
      </w:r>
      <w:r w:rsidRPr="00ED1222">
        <w:rPr>
          <w:kern w:val="2"/>
          <w14:ligatures w14:val="standardContextual"/>
        </w:rPr>
        <w:tab/>
        <w:t xml:space="preserve">teeb presidendile ülesandeks edastada käesolev otsus Haiguste Ennetamise ja Tõrje Euroopa Keskuse direktorile, nõukogule, komisjonile ja kontrollikojale ning korraldada selle avaldamine </w:t>
      </w:r>
      <w:r w:rsidRPr="00ED1222">
        <w:rPr>
          <w:i/>
          <w:kern w:val="2"/>
          <w14:ligatures w14:val="standardContextual"/>
        </w:rPr>
        <w:t>Euroopa Liidu Teatajas</w:t>
      </w:r>
      <w:r w:rsidRPr="00ED1222">
        <w:rPr>
          <w:kern w:val="2"/>
          <w14:ligatures w14:val="standardContextual"/>
        </w:rPr>
        <w:t xml:space="preserve"> (L-seerias).</w:t>
      </w:r>
    </w:p>
    <w:p w14:paraId="573FBB0B" w14:textId="77777777" w:rsidR="00ED1222" w:rsidRPr="00ED1222" w:rsidRDefault="00ED1222" w:rsidP="00ED1222">
      <w:pPr>
        <w:widowControl/>
        <w:jc w:val="both"/>
        <w:rPr>
          <w:rFonts w:eastAsia="Aptos"/>
          <w:kern w:val="2"/>
          <w:szCs w:val="24"/>
          <w:lang w:eastAsia="en-US"/>
          <w14:ligatures w14:val="standardContextual"/>
        </w:rPr>
        <w:sectPr w:rsidR="00ED1222" w:rsidRPr="00ED1222" w:rsidSect="00ED1222">
          <w:footnotePr>
            <w:numRestart w:val="eachSect"/>
          </w:footnotePr>
          <w:pgSz w:w="11906" w:h="16838"/>
          <w:pgMar w:top="1440" w:right="1440" w:bottom="1440" w:left="1440" w:header="708" w:footer="708" w:gutter="0"/>
          <w:cols w:space="708"/>
          <w:docGrid w:linePitch="360"/>
        </w:sectPr>
      </w:pPr>
    </w:p>
    <w:p w14:paraId="42F786BD" w14:textId="2D41424F" w:rsidR="00ED1222" w:rsidRPr="00ED1222" w:rsidRDefault="00ED1222" w:rsidP="0002762F">
      <w:pPr>
        <w:pStyle w:val="ATHeading3"/>
      </w:pPr>
      <w:r w:rsidRPr="00ED1222">
        <w:lastRenderedPageBreak/>
        <w:t>17. Euroopa Parlamendi 7. mai 2025. aasta otsus Euroopa Kemikaaliameti 2023. aasta eelarve täitmisele heakskiidu andmise kohta</w:t>
      </w:r>
      <w:r w:rsidR="00A87338">
        <w:t xml:space="preserve"> </w:t>
      </w:r>
      <w:r w:rsidRPr="00ED1222">
        <w:t>(2024/2030(DEC))</w:t>
      </w:r>
    </w:p>
    <w:p w14:paraId="7C653492" w14:textId="77777777" w:rsidR="0002762F" w:rsidRPr="00ED1222" w:rsidRDefault="0002762F" w:rsidP="0002762F">
      <w:pPr>
        <w:spacing w:before="480" w:after="240"/>
        <w:rPr>
          <w:i/>
          <w:kern w:val="2"/>
          <w14:ligatures w14:val="standardContextual"/>
        </w:rPr>
      </w:pPr>
      <w:r w:rsidRPr="00ED1222">
        <w:rPr>
          <w:i/>
          <w:kern w:val="2"/>
          <w14:ligatures w14:val="standardContextual"/>
        </w:rPr>
        <w:t>Euroopa Parlament,</w:t>
      </w:r>
    </w:p>
    <w:p w14:paraId="60568404"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Kemikaaliameti 2023. aasta lõplikku raamatupidamisaruannet,</w:t>
      </w:r>
    </w:p>
    <w:p w14:paraId="7213867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kontrollikoja aastaaruannet ELi asutuste eelarveaasta 2023 kohta koos asutuste vastustega</w:t>
      </w:r>
      <w:r w:rsidRPr="00ED1222">
        <w:rPr>
          <w:kern w:val="2"/>
          <w:vertAlign w:val="superscript"/>
          <w14:ligatures w14:val="standardContextual"/>
        </w:rPr>
        <w:footnoteReference w:id="97"/>
      </w:r>
      <w:r w:rsidRPr="00ED1222">
        <w:rPr>
          <w:kern w:val="2"/>
          <w14:ligatures w14:val="standardContextual"/>
        </w:rPr>
        <w:t>,</w:t>
      </w:r>
    </w:p>
    <w:p w14:paraId="721A441E"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vastavalt Euroopa Liidu toimimise lepingu artiklile 287 tehtud kontrollikoja kinnitavat avaldust</w:t>
      </w:r>
      <w:r w:rsidRPr="00ED1222">
        <w:rPr>
          <w:kern w:val="2"/>
          <w:vertAlign w:val="superscript"/>
          <w14:ligatures w14:val="standardContextual"/>
        </w:rPr>
        <w:footnoteReference w:id="98"/>
      </w:r>
      <w:r w:rsidRPr="00ED1222">
        <w:rPr>
          <w:kern w:val="2"/>
          <w14:ligatures w14:val="standardContextual"/>
        </w:rPr>
        <w:t xml:space="preserve"> 2023. aasta raamatupidamiskontode usaldatavuse ja nende aluseks olevate tehingute seaduslikkuse ja korrektsuse kohta,</w:t>
      </w:r>
    </w:p>
    <w:p w14:paraId="74B4186C"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nõukogu 17. veebruari 2025. aasta soovitust ameti tegevusele heakskiidu andmise kohta 2023. aasta eelarve täitmisel (05755/2025 – C10</w:t>
      </w:r>
      <w:r w:rsidRPr="00ED1222">
        <w:rPr>
          <w:kern w:val="2"/>
          <w14:ligatures w14:val="standardContextual"/>
        </w:rPr>
        <w:noBreakHyphen/>
        <w:t>0024/2025),</w:t>
      </w:r>
    </w:p>
    <w:p w14:paraId="3C19EC3C"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toimimise lepingu artiklit 319,</w:t>
      </w:r>
    </w:p>
    <w:p w14:paraId="49887D28"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18. juuli 2018. aasta määrust (EL, Euratom) 2018/1046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ED1222">
        <w:rPr>
          <w:kern w:val="2"/>
          <w:vertAlign w:val="superscript"/>
          <w14:ligatures w14:val="standardContextual"/>
        </w:rPr>
        <w:footnoteReference w:id="99"/>
      </w:r>
      <w:r w:rsidRPr="00ED1222">
        <w:rPr>
          <w:kern w:val="2"/>
          <w14:ligatures w14:val="standardContextual"/>
        </w:rPr>
        <w:t>, eriti selle artiklit 70,</w:t>
      </w:r>
    </w:p>
    <w:p w14:paraId="14364CB0"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23. septembri 2024. aasta määrust (EL, Euratom) 2024/2509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w:t>
      </w:r>
      <w:r w:rsidRPr="00ED1222">
        <w:rPr>
          <w:kern w:val="2"/>
          <w:vertAlign w:val="superscript"/>
          <w14:ligatures w14:val="standardContextual"/>
        </w:rPr>
        <w:footnoteReference w:id="100"/>
      </w:r>
      <w:r w:rsidRPr="00ED1222">
        <w:rPr>
          <w:kern w:val="2"/>
          <w14:ligatures w14:val="standardContextual"/>
        </w:rPr>
        <w:t>, eriti selle artiklit 70,</w:t>
      </w:r>
    </w:p>
    <w:p w14:paraId="0228B7A9"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Parlamendi ja nõukogu 18. detsembri 2006. aasta määrust (EÜ) nr 1907/2006 (mis käsitleb kemikaalide registreerimist, hindamist, autoriseerimist ja piiramist (REACH) ja millega asutatakse Euroopa Kemikaalide Agentuur ning muudetakse direktiivi 1999/45/EÜ ja tunnistatakse kehtetuks nõukogu määrus (EMÜ) nr 793/93, komisjoni määrus (EÜ) nr 1488/94 ning samuti nõukogu direktiiv 76/769/EMÜ ja komisjoni direktiivid 91/155/EMÜ, 93/67/EMÜ, 93/105/EÜ ja 2000/21/EÜ)</w:t>
      </w:r>
      <w:r w:rsidRPr="00ED1222">
        <w:rPr>
          <w:kern w:val="2"/>
          <w:vertAlign w:val="superscript"/>
          <w14:ligatures w14:val="standardContextual"/>
        </w:rPr>
        <w:footnoteReference w:id="101"/>
      </w:r>
      <w:r w:rsidRPr="00ED1222">
        <w:rPr>
          <w:kern w:val="2"/>
          <w14:ligatures w14:val="standardContextual"/>
        </w:rPr>
        <w:t>, eriti selle artiklit 97,</w:t>
      </w:r>
    </w:p>
    <w:p w14:paraId="6F1A78F4"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ED1222">
        <w:rPr>
          <w:kern w:val="2"/>
          <w:vertAlign w:val="superscript"/>
          <w14:ligatures w14:val="standardContextual"/>
        </w:rPr>
        <w:footnoteReference w:id="102"/>
      </w:r>
      <w:r w:rsidRPr="00ED1222">
        <w:rPr>
          <w:kern w:val="2"/>
          <w14:ligatures w14:val="standardContextual"/>
        </w:rPr>
        <w:t>, eriti selle artiklit 105,</w:t>
      </w:r>
    </w:p>
    <w:p w14:paraId="659F0913"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lastRenderedPageBreak/>
        <w:t>–</w:t>
      </w:r>
      <w:r w:rsidRPr="00ED1222">
        <w:rPr>
          <w:kern w:val="2"/>
          <w14:ligatures w14:val="standardContextual"/>
        </w:rPr>
        <w:tab/>
        <w:t>võttes arvesse kodukorra artiklit 102 ja V lisa,</w:t>
      </w:r>
    </w:p>
    <w:p w14:paraId="212C05FB"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tööhõive- ja sotsiaalkomisjoni, keskkonna-, kliima- ja toiduohutuse komisjoni, transpordi- ja turismikomisjoni, kalanduskomisjoni, kultuuri- ja hariduskomisjoni, kodanikuvabaduste, justiits- ja siseasjade komisjoni ning naiste õiguste ja soolise võrdõiguslikkuse komisjoni arvamusi,</w:t>
      </w:r>
    </w:p>
    <w:p w14:paraId="30EE2D20"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eelarvekontrollikomisjoni raportit (A10-0065/2025),</w:t>
      </w:r>
    </w:p>
    <w:p w14:paraId="3C45EE48"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w:t>
      </w:r>
      <w:r w:rsidRPr="00ED1222">
        <w:rPr>
          <w:kern w:val="2"/>
          <w14:ligatures w14:val="standardContextual"/>
        </w:rPr>
        <w:tab/>
        <w:t>annab heakskiidu Euroopa Kemikaaliameti tegevdirektori tegevusele ameti 2023. aasta eelarve täitmisel;</w:t>
      </w:r>
    </w:p>
    <w:p w14:paraId="61D308D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2.</w:t>
      </w:r>
      <w:r w:rsidRPr="00ED1222">
        <w:rPr>
          <w:kern w:val="2"/>
          <w14:ligatures w14:val="standardContextual"/>
        </w:rPr>
        <w:tab/>
        <w:t>esitab oma tähelepanekud alltoodud resolutsioonis;</w:t>
      </w:r>
    </w:p>
    <w:p w14:paraId="7806DAEC"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3.</w:t>
      </w:r>
      <w:r w:rsidRPr="00ED1222">
        <w:rPr>
          <w:kern w:val="2"/>
          <w14:ligatures w14:val="standardContextual"/>
        </w:rPr>
        <w:tab/>
        <w:t xml:space="preserve">teeb presidendile ülesandeks edastada käesolev otsus ja resolutsioon, mis on selle lahutamatu osa, Euroopa Kemikaaliameti tegevdirektorile, nõukogule, komisjonile ja kontrollikojale ning korraldada nende avaldamine </w:t>
      </w:r>
      <w:r w:rsidRPr="00ED1222">
        <w:rPr>
          <w:i/>
          <w:kern w:val="2"/>
          <w14:ligatures w14:val="standardContextual"/>
        </w:rPr>
        <w:t>Euroopa Liidu Teatajas</w:t>
      </w:r>
      <w:r w:rsidRPr="00ED1222">
        <w:rPr>
          <w:kern w:val="2"/>
          <w14:ligatures w14:val="standardContextual"/>
        </w:rPr>
        <w:t xml:space="preserve"> (L-seerias).</w:t>
      </w:r>
    </w:p>
    <w:p w14:paraId="3A098021" w14:textId="77777777" w:rsidR="00ED1222" w:rsidRPr="00ED1222" w:rsidRDefault="00ED1222" w:rsidP="00ED1222">
      <w:pPr>
        <w:widowControl/>
        <w:jc w:val="both"/>
        <w:rPr>
          <w:rFonts w:eastAsia="Aptos"/>
          <w:kern w:val="2"/>
          <w:szCs w:val="24"/>
          <w:lang w:eastAsia="en-US"/>
          <w14:ligatures w14:val="standardContextual"/>
        </w:rPr>
        <w:sectPr w:rsidR="00ED1222" w:rsidRPr="00ED1222" w:rsidSect="00ED1222">
          <w:footnotePr>
            <w:numRestart w:val="eachSect"/>
          </w:footnotePr>
          <w:pgSz w:w="11906" w:h="16838"/>
          <w:pgMar w:top="1440" w:right="1440" w:bottom="1440" w:left="1440" w:header="708" w:footer="708" w:gutter="0"/>
          <w:cols w:space="708"/>
          <w:docGrid w:linePitch="360"/>
        </w:sectPr>
      </w:pPr>
    </w:p>
    <w:p w14:paraId="19853726" w14:textId="11725ED5" w:rsidR="00ED1222" w:rsidRPr="00ED1222" w:rsidRDefault="00ED1222" w:rsidP="0002762F">
      <w:pPr>
        <w:pStyle w:val="ATHeading3"/>
      </w:pPr>
      <w:r w:rsidRPr="00ED1222">
        <w:lastRenderedPageBreak/>
        <w:t>18. Euroopa Parlamendi 7. mai 2025. aasta otsus Euroopa Kemikaaliameti 2023. aasta raamatupidamiskontode sulgemise kohta</w:t>
      </w:r>
      <w:r w:rsidR="00A87338">
        <w:t xml:space="preserve"> </w:t>
      </w:r>
      <w:r w:rsidRPr="00ED1222">
        <w:t>(2024/2030(DEC))</w:t>
      </w:r>
    </w:p>
    <w:p w14:paraId="5BD6FE03" w14:textId="77777777" w:rsidR="0002762F" w:rsidRPr="00ED1222" w:rsidRDefault="0002762F" w:rsidP="0002762F">
      <w:pPr>
        <w:spacing w:before="480" w:after="240"/>
        <w:rPr>
          <w:i/>
          <w:kern w:val="2"/>
          <w14:ligatures w14:val="standardContextual"/>
        </w:rPr>
      </w:pPr>
      <w:r w:rsidRPr="00ED1222">
        <w:rPr>
          <w:i/>
          <w:kern w:val="2"/>
          <w14:ligatures w14:val="standardContextual"/>
        </w:rPr>
        <w:t>Euroopa Parlament,</w:t>
      </w:r>
    </w:p>
    <w:p w14:paraId="1BBA7082"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Kemikaaliameti 2023. aasta lõplikku raamatupidamisaruannet,</w:t>
      </w:r>
    </w:p>
    <w:p w14:paraId="5A7ADEC7"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kontrollikoja aastaaruannet ELi asutuste eelarveaasta 2023 kohta koos asutuste vastustega</w:t>
      </w:r>
      <w:r w:rsidRPr="00ED1222">
        <w:rPr>
          <w:kern w:val="2"/>
          <w:vertAlign w:val="superscript"/>
          <w14:ligatures w14:val="standardContextual"/>
        </w:rPr>
        <w:footnoteReference w:id="103"/>
      </w:r>
      <w:r w:rsidRPr="00ED1222">
        <w:rPr>
          <w:kern w:val="2"/>
          <w14:ligatures w14:val="standardContextual"/>
        </w:rPr>
        <w:t>,</w:t>
      </w:r>
    </w:p>
    <w:p w14:paraId="36C150EF"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vastavalt Euroopa Liidu toimimise lepingu artiklile 287 tehtud kontrollikoja kinnitavat avaldust</w:t>
      </w:r>
      <w:r w:rsidRPr="00ED1222">
        <w:rPr>
          <w:kern w:val="2"/>
          <w:vertAlign w:val="superscript"/>
          <w14:ligatures w14:val="standardContextual"/>
        </w:rPr>
        <w:footnoteReference w:id="104"/>
      </w:r>
      <w:r w:rsidRPr="00ED1222">
        <w:rPr>
          <w:kern w:val="2"/>
          <w14:ligatures w14:val="standardContextual"/>
        </w:rPr>
        <w:t xml:space="preserve"> 2023. aasta raamatupidamiskontode usaldatavuse ja nende aluseks olevate tehingute seaduslikkuse ja korrektsuse kohta,</w:t>
      </w:r>
    </w:p>
    <w:p w14:paraId="314AB618"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nõukogu 17. veebruari 2025. aasta soovitust ameti tegevusele heakskiidu andmise kohta 2023. aasta eelarve täitmisel (05755/2025 – C10</w:t>
      </w:r>
      <w:r w:rsidRPr="00ED1222">
        <w:rPr>
          <w:kern w:val="2"/>
          <w14:ligatures w14:val="standardContextual"/>
        </w:rPr>
        <w:noBreakHyphen/>
        <w:t>0024/2025),</w:t>
      </w:r>
    </w:p>
    <w:p w14:paraId="1A388552"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toimimise lepingu artiklit 319,</w:t>
      </w:r>
    </w:p>
    <w:p w14:paraId="055F630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18. juuli 2018. aasta määrust (EL, Euratom) 2018/1046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ED1222">
        <w:rPr>
          <w:kern w:val="2"/>
          <w:vertAlign w:val="superscript"/>
          <w14:ligatures w14:val="standardContextual"/>
        </w:rPr>
        <w:footnoteReference w:id="105"/>
      </w:r>
      <w:r w:rsidRPr="00ED1222">
        <w:rPr>
          <w:kern w:val="2"/>
          <w14:ligatures w14:val="standardContextual"/>
        </w:rPr>
        <w:t>, eriti selle artiklit 70,</w:t>
      </w:r>
    </w:p>
    <w:p w14:paraId="3766948D"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23. septembri 2024. aasta määrust (EL, Euratom) 2024/2509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w:t>
      </w:r>
      <w:r w:rsidRPr="00ED1222">
        <w:rPr>
          <w:kern w:val="2"/>
          <w:vertAlign w:val="superscript"/>
          <w14:ligatures w14:val="standardContextual"/>
        </w:rPr>
        <w:footnoteReference w:id="106"/>
      </w:r>
      <w:r w:rsidRPr="00ED1222">
        <w:rPr>
          <w:kern w:val="2"/>
          <w14:ligatures w14:val="standardContextual"/>
        </w:rPr>
        <w:t>, eriti selle artiklit 70,</w:t>
      </w:r>
    </w:p>
    <w:p w14:paraId="755DC7FA"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Parlamendi ja nõukogu 18. detsembri 2006. aasta määrust (EÜ) nr 1907/2006 (mis käsitleb kemikaalide registreerimist, hindamist, autoriseerimist ja piiramist (REACH) ja millega asutatakse Euroopa Kemikaalide Agentuur ning muudetakse direktiivi 1999/45/EÜ ja tunnistatakse kehtetuks nõukogu määrus (EMÜ) nr 793/93, komisjoni määrus (EÜ) nr 1488/94 ning samuti nõukogu direktiiv 76/769/EMÜ ja komisjoni direktiivid 91/155/EMÜ, 93/67/EMÜ, 93/105/EÜ ja 2000/21/EÜ)</w:t>
      </w:r>
      <w:r w:rsidRPr="00ED1222">
        <w:rPr>
          <w:kern w:val="2"/>
          <w:vertAlign w:val="superscript"/>
          <w14:ligatures w14:val="standardContextual"/>
        </w:rPr>
        <w:footnoteReference w:id="107"/>
      </w:r>
      <w:r w:rsidRPr="00ED1222">
        <w:rPr>
          <w:kern w:val="2"/>
          <w14:ligatures w14:val="standardContextual"/>
        </w:rPr>
        <w:t>, eriti selle artiklit 97,</w:t>
      </w:r>
    </w:p>
    <w:p w14:paraId="29CDAB19"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ED1222">
        <w:rPr>
          <w:kern w:val="2"/>
          <w:vertAlign w:val="superscript"/>
          <w14:ligatures w14:val="standardContextual"/>
        </w:rPr>
        <w:footnoteReference w:id="108"/>
      </w:r>
      <w:r w:rsidRPr="00ED1222">
        <w:rPr>
          <w:kern w:val="2"/>
          <w14:ligatures w14:val="standardContextual"/>
        </w:rPr>
        <w:t>, eriti selle artiklit 105,</w:t>
      </w:r>
    </w:p>
    <w:p w14:paraId="52299980"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lastRenderedPageBreak/>
        <w:t>–</w:t>
      </w:r>
      <w:r w:rsidRPr="00ED1222">
        <w:rPr>
          <w:kern w:val="2"/>
          <w14:ligatures w14:val="standardContextual"/>
        </w:rPr>
        <w:tab/>
        <w:t>võttes arvesse kodukorra artiklit 102 ja V lisa,</w:t>
      </w:r>
    </w:p>
    <w:p w14:paraId="20F29EEA"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tööhõive- ja sotsiaalkomisjoni, keskkonna-, kliima- ja toiduohutuse komisjoni, transpordi- ja turismikomisjoni, kalanduskomisjoni, kultuuri- ja hariduskomisjoni, kodanikuvabaduste, justiits- ja siseasjade komisjoni ning naiste õiguste ja soolise võrdõiguslikkuse komisjoni arvamusi,</w:t>
      </w:r>
    </w:p>
    <w:p w14:paraId="16C74190"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eelarvekontrollikomisjoni raportit (A10-0065/2025),</w:t>
      </w:r>
    </w:p>
    <w:p w14:paraId="752B00E2"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w:t>
      </w:r>
      <w:r w:rsidRPr="00ED1222">
        <w:rPr>
          <w:kern w:val="2"/>
          <w14:ligatures w14:val="standardContextual"/>
        </w:rPr>
        <w:tab/>
        <w:t>annab heakskiidu Euroopa Kemikaaliameti 2023. aasta raamatupidamiskontode sulgemisele;</w:t>
      </w:r>
    </w:p>
    <w:p w14:paraId="0DCDDA90"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2.</w:t>
      </w:r>
      <w:r w:rsidRPr="00ED1222">
        <w:rPr>
          <w:kern w:val="2"/>
          <w14:ligatures w14:val="standardContextual"/>
        </w:rPr>
        <w:tab/>
        <w:t xml:space="preserve">teeb presidendile ülesandeks edastada käesolev otsus Euroopa Kemikaaliameti tegevdirektorile, nõukogule, komisjonile ja kontrollikojale ning korraldada selle avaldamine </w:t>
      </w:r>
      <w:r w:rsidRPr="00ED1222">
        <w:rPr>
          <w:i/>
          <w:kern w:val="2"/>
          <w14:ligatures w14:val="standardContextual"/>
        </w:rPr>
        <w:t>Euroopa Liidu Teatajas</w:t>
      </w:r>
      <w:r w:rsidRPr="00ED1222">
        <w:rPr>
          <w:kern w:val="2"/>
          <w14:ligatures w14:val="standardContextual"/>
        </w:rPr>
        <w:t xml:space="preserve"> (L-seerias).</w:t>
      </w:r>
    </w:p>
    <w:p w14:paraId="2D466E8D" w14:textId="77777777" w:rsidR="00ED1222" w:rsidRPr="00ED1222" w:rsidRDefault="00ED1222" w:rsidP="00ED1222">
      <w:pPr>
        <w:widowControl/>
        <w:jc w:val="both"/>
        <w:rPr>
          <w:rFonts w:eastAsia="Aptos"/>
          <w:kern w:val="2"/>
          <w:szCs w:val="24"/>
          <w:lang w:eastAsia="en-US"/>
          <w14:ligatures w14:val="standardContextual"/>
        </w:rPr>
        <w:sectPr w:rsidR="00ED1222" w:rsidRPr="00ED1222" w:rsidSect="00ED1222">
          <w:footnotePr>
            <w:numRestart w:val="eachSect"/>
          </w:footnotePr>
          <w:pgSz w:w="11906" w:h="16838"/>
          <w:pgMar w:top="1440" w:right="1440" w:bottom="1440" w:left="1440" w:header="708" w:footer="708" w:gutter="0"/>
          <w:cols w:space="708"/>
          <w:docGrid w:linePitch="360"/>
        </w:sectPr>
      </w:pPr>
    </w:p>
    <w:p w14:paraId="020BDF75" w14:textId="77777777" w:rsidR="00ED1222" w:rsidRPr="00ED1222" w:rsidRDefault="00ED1222" w:rsidP="0002762F">
      <w:pPr>
        <w:pStyle w:val="ATHeading3"/>
      </w:pPr>
      <w:r w:rsidRPr="00ED1222">
        <w:lastRenderedPageBreak/>
        <w:t>19. Euroopa Parlamendi 7. mai 2025. aasta otsus Euroopa Keskkonnaameti 2023. aasta eelarve täitmisele heakskiidu andmise kohta (2024/2030(DEC))</w:t>
      </w:r>
    </w:p>
    <w:p w14:paraId="6E915D54" w14:textId="77777777" w:rsidR="0002762F" w:rsidRPr="00ED1222" w:rsidRDefault="0002762F" w:rsidP="0002762F">
      <w:pPr>
        <w:spacing w:before="480" w:after="240"/>
        <w:rPr>
          <w:i/>
          <w:kern w:val="2"/>
          <w14:ligatures w14:val="standardContextual"/>
        </w:rPr>
      </w:pPr>
      <w:r w:rsidRPr="00ED1222">
        <w:rPr>
          <w:i/>
          <w:kern w:val="2"/>
          <w14:ligatures w14:val="standardContextual"/>
        </w:rPr>
        <w:t>Euroopa Parlament,</w:t>
      </w:r>
    </w:p>
    <w:p w14:paraId="327A6E22"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Keskkonnaameti 2023. aasta lõplikku raamatupidamisaruannet,</w:t>
      </w:r>
    </w:p>
    <w:p w14:paraId="1DDFE845"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kontrollikoja aastaaruannet ELi asutuste eelarveaasta 2023 kohta koos asutuste vastustega</w:t>
      </w:r>
      <w:r w:rsidRPr="00ED1222">
        <w:rPr>
          <w:kern w:val="2"/>
          <w:vertAlign w:val="superscript"/>
          <w14:ligatures w14:val="standardContextual"/>
        </w:rPr>
        <w:footnoteReference w:id="109"/>
      </w:r>
      <w:r w:rsidRPr="00ED1222">
        <w:rPr>
          <w:kern w:val="2"/>
          <w14:ligatures w14:val="standardContextual"/>
        </w:rPr>
        <w:t>,</w:t>
      </w:r>
    </w:p>
    <w:p w14:paraId="31DE5158"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vastavalt Euroopa Liidu toimimise lepingu artiklile 287 tehtud kontrollikoja kinnitavat avaldust</w:t>
      </w:r>
      <w:r w:rsidRPr="00ED1222">
        <w:rPr>
          <w:kern w:val="2"/>
          <w:vertAlign w:val="superscript"/>
          <w14:ligatures w14:val="standardContextual"/>
        </w:rPr>
        <w:footnoteReference w:id="110"/>
      </w:r>
      <w:r w:rsidRPr="00ED1222">
        <w:rPr>
          <w:kern w:val="2"/>
          <w14:ligatures w14:val="standardContextual"/>
        </w:rPr>
        <w:t xml:space="preserve"> 2023. aasta raamatupidamiskontode usaldatavuse ja nende aluseks olevate tehingute seaduslikkuse ja korrektsuse kohta,</w:t>
      </w:r>
    </w:p>
    <w:p w14:paraId="38E3723D"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nõukogu 17. veebruari 2025. aasta soovitust ameti tegevusele heakskiidu andmise kohta 2023. aasta eelarve täitmisel (05755/2025 – C10</w:t>
      </w:r>
      <w:r w:rsidRPr="00ED1222">
        <w:rPr>
          <w:kern w:val="2"/>
          <w14:ligatures w14:val="standardContextual"/>
        </w:rPr>
        <w:noBreakHyphen/>
        <w:t>0024/2025),</w:t>
      </w:r>
    </w:p>
    <w:p w14:paraId="08A25CC3"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toimimise lepingu artiklit 319,</w:t>
      </w:r>
    </w:p>
    <w:p w14:paraId="57CD6D12"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18. juuli 2018. aasta määrust (EL, Euratom) 2018/1046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ED1222">
        <w:rPr>
          <w:kern w:val="2"/>
          <w:vertAlign w:val="superscript"/>
          <w14:ligatures w14:val="standardContextual"/>
        </w:rPr>
        <w:footnoteReference w:id="111"/>
      </w:r>
      <w:r w:rsidRPr="00ED1222">
        <w:rPr>
          <w:kern w:val="2"/>
          <w14:ligatures w14:val="standardContextual"/>
        </w:rPr>
        <w:t xml:space="preserve"> eriti selle artiklit 70,</w:t>
      </w:r>
    </w:p>
    <w:p w14:paraId="7EDE2945"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23. septembri 2024. aasta määrust (EL, Euratom) 2024/2509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w:t>
      </w:r>
      <w:r w:rsidRPr="00ED1222">
        <w:rPr>
          <w:kern w:val="2"/>
          <w:vertAlign w:val="superscript"/>
          <w14:ligatures w14:val="standardContextual"/>
        </w:rPr>
        <w:footnoteReference w:id="112"/>
      </w:r>
      <w:r w:rsidRPr="00ED1222">
        <w:rPr>
          <w:kern w:val="2"/>
          <w14:ligatures w14:val="standardContextual"/>
        </w:rPr>
        <w:t xml:space="preserve"> eriti selle artiklit 70,</w:t>
      </w:r>
    </w:p>
    <w:p w14:paraId="2BE24530"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Parlamendi ja nõukogu 23. aprilli 2009. aasta määrust (EÜ) nr 401/2009 Euroopa Keskkonnaameti ja Euroopa keskkonnateabe- ja -vaatlusvõrgu kohta,</w:t>
      </w:r>
      <w:r w:rsidRPr="00ED1222">
        <w:rPr>
          <w:kern w:val="2"/>
          <w:vertAlign w:val="superscript"/>
          <w14:ligatures w14:val="standardContextual"/>
        </w:rPr>
        <w:footnoteReference w:id="113"/>
      </w:r>
      <w:r w:rsidRPr="00ED1222">
        <w:rPr>
          <w:kern w:val="2"/>
          <w14:ligatures w14:val="standardContextual"/>
        </w:rPr>
        <w:t xml:space="preserve"> eriti selle artiklit 13,</w:t>
      </w:r>
    </w:p>
    <w:p w14:paraId="22850580"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ED1222">
        <w:rPr>
          <w:kern w:val="2"/>
          <w:vertAlign w:val="superscript"/>
          <w14:ligatures w14:val="standardContextual"/>
        </w:rPr>
        <w:footnoteReference w:id="114"/>
      </w:r>
      <w:r w:rsidRPr="00ED1222">
        <w:rPr>
          <w:kern w:val="2"/>
          <w14:ligatures w14:val="standardContextual"/>
        </w:rPr>
        <w:t xml:space="preserve"> eriti selle artiklit 105,</w:t>
      </w:r>
    </w:p>
    <w:p w14:paraId="6430C8C7"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kodukorra artiklit 102 ja V lisa,</w:t>
      </w:r>
    </w:p>
    <w:p w14:paraId="3E936CDC"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tööhõive- ja sotsiaalkomisjoni, keskkonna-, kliima- ja toiduohutuse komisjoni, transpordi- ja turismikomisjoni, kalanduskomisjoni, kultuuri- ja </w:t>
      </w:r>
      <w:r w:rsidRPr="00ED1222">
        <w:rPr>
          <w:kern w:val="2"/>
          <w14:ligatures w14:val="standardContextual"/>
        </w:rPr>
        <w:lastRenderedPageBreak/>
        <w:t>hariduskomisjoni, kodanikuvabaduste, justiits- ja siseasjade komisjoni ning naiste õiguste ja soolise võrdõiguslikkuse komisjoni arvamusi,</w:t>
      </w:r>
    </w:p>
    <w:p w14:paraId="38C40359"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eelarvekontrollikomisjoni raportit (A10-0065/2025),</w:t>
      </w:r>
    </w:p>
    <w:p w14:paraId="52C1357D"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w:t>
      </w:r>
      <w:r w:rsidRPr="00ED1222">
        <w:rPr>
          <w:kern w:val="2"/>
          <w14:ligatures w14:val="standardContextual"/>
        </w:rPr>
        <w:tab/>
        <w:t>annab heakskiidu Euroopa Keskkonnaameti tegevdirektori tegevusele ameti 2023. aasta eelarve täitmisel;</w:t>
      </w:r>
    </w:p>
    <w:p w14:paraId="592DD32D"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2.</w:t>
      </w:r>
      <w:r w:rsidRPr="00ED1222">
        <w:rPr>
          <w:kern w:val="2"/>
          <w14:ligatures w14:val="standardContextual"/>
        </w:rPr>
        <w:tab/>
        <w:t>esitab oma tähelepanekud alltoodud resolutsioonis;</w:t>
      </w:r>
    </w:p>
    <w:p w14:paraId="4E0B4C39"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3.</w:t>
      </w:r>
      <w:r w:rsidRPr="00ED1222">
        <w:rPr>
          <w:kern w:val="2"/>
          <w14:ligatures w14:val="standardContextual"/>
        </w:rPr>
        <w:tab/>
        <w:t xml:space="preserve">teeb presidendile ülesandeks edastada käesolev otsus ja resolutsioon, mis on selle lahutamatu osa, Euroopa Keskkonnaameti tegevdirektorile, nõukogule, komisjonile ja kontrollikojale ning korraldada nende avaldamine </w:t>
      </w:r>
      <w:r w:rsidRPr="00ED1222">
        <w:rPr>
          <w:i/>
          <w:kern w:val="2"/>
          <w14:ligatures w14:val="standardContextual"/>
        </w:rPr>
        <w:t>Euroopa Liidu Teatajas</w:t>
      </w:r>
      <w:r w:rsidRPr="00ED1222">
        <w:rPr>
          <w:kern w:val="2"/>
          <w14:ligatures w14:val="standardContextual"/>
        </w:rPr>
        <w:t xml:space="preserve"> (L-seerias).</w:t>
      </w:r>
    </w:p>
    <w:p w14:paraId="22780F9C" w14:textId="77777777" w:rsidR="00ED1222" w:rsidRPr="00ED1222" w:rsidRDefault="00ED1222" w:rsidP="00ED1222">
      <w:pPr>
        <w:widowControl/>
        <w:jc w:val="both"/>
        <w:rPr>
          <w:rFonts w:eastAsia="Aptos"/>
          <w:kern w:val="2"/>
          <w:szCs w:val="24"/>
          <w:lang w:eastAsia="en-US"/>
          <w14:ligatures w14:val="standardContextual"/>
        </w:rPr>
        <w:sectPr w:rsidR="00ED1222" w:rsidRPr="00ED1222" w:rsidSect="00ED1222">
          <w:footnotePr>
            <w:numRestart w:val="eachSect"/>
          </w:footnotePr>
          <w:pgSz w:w="11906" w:h="16838"/>
          <w:pgMar w:top="1440" w:right="1440" w:bottom="1440" w:left="1440" w:header="708" w:footer="708" w:gutter="0"/>
          <w:cols w:space="708"/>
          <w:docGrid w:linePitch="360"/>
        </w:sectPr>
      </w:pPr>
    </w:p>
    <w:p w14:paraId="72FB9289" w14:textId="77777777" w:rsidR="00ED1222" w:rsidRPr="00ED1222" w:rsidRDefault="00ED1222" w:rsidP="0002762F">
      <w:pPr>
        <w:pStyle w:val="ATHeading3"/>
      </w:pPr>
      <w:r w:rsidRPr="00ED1222">
        <w:lastRenderedPageBreak/>
        <w:t>20. Euroopa Parlamendi 7. mai 2025. aasta otsus Euroopa Keskkonnaameti 2023. aasta raamatupidamiskontode sulgemise kohta (2024/2030(DEC))</w:t>
      </w:r>
    </w:p>
    <w:p w14:paraId="19335284" w14:textId="77777777" w:rsidR="0002762F" w:rsidRPr="00ED1222" w:rsidRDefault="0002762F" w:rsidP="0002762F">
      <w:pPr>
        <w:spacing w:before="480" w:after="240"/>
        <w:rPr>
          <w:i/>
          <w:kern w:val="2"/>
          <w14:ligatures w14:val="standardContextual"/>
        </w:rPr>
      </w:pPr>
      <w:r w:rsidRPr="00ED1222">
        <w:rPr>
          <w:i/>
          <w:kern w:val="2"/>
          <w14:ligatures w14:val="standardContextual"/>
        </w:rPr>
        <w:t>Euroopa Parlament,</w:t>
      </w:r>
    </w:p>
    <w:p w14:paraId="5D41973D"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Keskkonnaameti 2023. aasta lõplikku raamatupidamisaruannet,</w:t>
      </w:r>
    </w:p>
    <w:p w14:paraId="3853EDE8"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kontrollikoja aastaaruannet ELi asutuste eelarveaasta 2023 kohta koos asutuste vastustega</w:t>
      </w:r>
      <w:r w:rsidRPr="00ED1222">
        <w:rPr>
          <w:kern w:val="2"/>
          <w:vertAlign w:val="superscript"/>
          <w14:ligatures w14:val="standardContextual"/>
        </w:rPr>
        <w:footnoteReference w:id="115"/>
      </w:r>
      <w:r w:rsidRPr="00ED1222">
        <w:rPr>
          <w:kern w:val="2"/>
          <w14:ligatures w14:val="standardContextual"/>
        </w:rPr>
        <w:t>,</w:t>
      </w:r>
    </w:p>
    <w:p w14:paraId="06DAA298"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vastavalt Euroopa Liidu toimimise lepingu artiklile 287 tehtud kontrollikoja kinnitavat avaldust</w:t>
      </w:r>
      <w:r w:rsidRPr="00ED1222">
        <w:rPr>
          <w:kern w:val="2"/>
          <w:vertAlign w:val="superscript"/>
          <w14:ligatures w14:val="standardContextual"/>
        </w:rPr>
        <w:footnoteReference w:id="116"/>
      </w:r>
      <w:r w:rsidRPr="00ED1222">
        <w:rPr>
          <w:kern w:val="2"/>
          <w14:ligatures w14:val="standardContextual"/>
        </w:rPr>
        <w:t xml:space="preserve"> 2023. aasta raamatupidamiskontode usaldatavuse ja nende aluseks olevate tehingute seaduslikkuse ja korrektsuse kohta,</w:t>
      </w:r>
    </w:p>
    <w:p w14:paraId="0C9C555F"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nõukogu 17. veebruari 2025. aasta soovitust ameti tegevusele heakskiidu andmise kohta 2023. aasta eelarve täitmisel (05755/2025 – C10</w:t>
      </w:r>
      <w:r w:rsidRPr="00ED1222">
        <w:rPr>
          <w:kern w:val="2"/>
          <w14:ligatures w14:val="standardContextual"/>
        </w:rPr>
        <w:noBreakHyphen/>
        <w:t>0024/2025),</w:t>
      </w:r>
    </w:p>
    <w:p w14:paraId="6483E12C"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toimimise lepingu artiklit 319,</w:t>
      </w:r>
    </w:p>
    <w:p w14:paraId="32622FA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18. juuli 2018. aasta määrust (EL, Euratom) 2018/1046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ED1222">
        <w:rPr>
          <w:kern w:val="2"/>
          <w:vertAlign w:val="superscript"/>
          <w14:ligatures w14:val="standardContextual"/>
        </w:rPr>
        <w:footnoteReference w:id="117"/>
      </w:r>
      <w:r w:rsidRPr="00ED1222">
        <w:rPr>
          <w:kern w:val="2"/>
          <w14:ligatures w14:val="standardContextual"/>
        </w:rPr>
        <w:t xml:space="preserve"> eriti selle artiklit 70,</w:t>
      </w:r>
    </w:p>
    <w:p w14:paraId="7BCAC4E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23. septembri 2024. aasta määrust (EL, Euratom) 2024/2509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w:t>
      </w:r>
      <w:r w:rsidRPr="00ED1222">
        <w:rPr>
          <w:kern w:val="2"/>
          <w:vertAlign w:val="superscript"/>
          <w14:ligatures w14:val="standardContextual"/>
        </w:rPr>
        <w:footnoteReference w:id="118"/>
      </w:r>
      <w:r w:rsidRPr="00ED1222">
        <w:rPr>
          <w:kern w:val="2"/>
          <w14:ligatures w14:val="standardContextual"/>
        </w:rPr>
        <w:t xml:space="preserve"> eriti selle artiklit 70,</w:t>
      </w:r>
    </w:p>
    <w:p w14:paraId="2CF0A457"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Parlamendi ja nõukogu 23. aprilli 2009. aasta määrust (EÜ) nr 401/2009 Euroopa Keskkonnaameti ja Euroopa keskkonnateabe- ja -vaatlusvõrgu kohta,</w:t>
      </w:r>
      <w:r w:rsidRPr="00ED1222">
        <w:rPr>
          <w:kern w:val="2"/>
          <w:vertAlign w:val="superscript"/>
          <w14:ligatures w14:val="standardContextual"/>
        </w:rPr>
        <w:footnoteReference w:id="119"/>
      </w:r>
      <w:r w:rsidRPr="00ED1222">
        <w:rPr>
          <w:kern w:val="2"/>
          <w14:ligatures w14:val="standardContextual"/>
        </w:rPr>
        <w:t xml:space="preserve"> eriti selle artiklit 13,</w:t>
      </w:r>
    </w:p>
    <w:p w14:paraId="26DD6FF4"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ED1222">
        <w:rPr>
          <w:kern w:val="2"/>
          <w:vertAlign w:val="superscript"/>
          <w14:ligatures w14:val="standardContextual"/>
        </w:rPr>
        <w:footnoteReference w:id="120"/>
      </w:r>
      <w:r w:rsidRPr="00ED1222">
        <w:rPr>
          <w:kern w:val="2"/>
          <w14:ligatures w14:val="standardContextual"/>
        </w:rPr>
        <w:t xml:space="preserve"> eriti selle artiklit 105,</w:t>
      </w:r>
    </w:p>
    <w:p w14:paraId="181CAF05"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kodukorra artiklit 102 ja V lisa,</w:t>
      </w:r>
    </w:p>
    <w:p w14:paraId="1F732251"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tööhõive- ja sotsiaalkomisjoni, keskkonna-, kliima- ja toiduohutuse komisjoni, transpordi- ja turismikomisjoni, kalanduskomisjoni, kultuuri- ja </w:t>
      </w:r>
      <w:r w:rsidRPr="00ED1222">
        <w:rPr>
          <w:kern w:val="2"/>
          <w14:ligatures w14:val="standardContextual"/>
        </w:rPr>
        <w:lastRenderedPageBreak/>
        <w:t>hariduskomisjoni, kodanikuvabaduste, justiits- ja siseasjade komisjoni ning naiste õiguste ja soolise võrdõiguslikkuse komisjoni arvamusi,</w:t>
      </w:r>
    </w:p>
    <w:p w14:paraId="1EF84C8D"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eelarvekontrollikomisjoni raportit (A10-0065/2025),</w:t>
      </w:r>
    </w:p>
    <w:p w14:paraId="369D8FDF"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w:t>
      </w:r>
      <w:r w:rsidRPr="00ED1222">
        <w:rPr>
          <w:kern w:val="2"/>
          <w14:ligatures w14:val="standardContextual"/>
        </w:rPr>
        <w:tab/>
        <w:t>annab heakskiidu Euroopa Keskkonnaameti 2023. aasta raamatupidamiskontode sulgemisele;</w:t>
      </w:r>
    </w:p>
    <w:p w14:paraId="55A51EE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2.</w:t>
      </w:r>
      <w:r w:rsidRPr="00ED1222">
        <w:rPr>
          <w:kern w:val="2"/>
          <w14:ligatures w14:val="standardContextual"/>
        </w:rPr>
        <w:tab/>
        <w:t xml:space="preserve">teeb presidendile ülesandeks edastada käesolev otsus Euroopa Keskkonnaameti tegevdirektorile, nõukogule, komisjonile ja kontrollikojale ning korraldada selle avaldamine </w:t>
      </w:r>
      <w:r w:rsidRPr="00ED1222">
        <w:rPr>
          <w:i/>
          <w:kern w:val="2"/>
          <w14:ligatures w14:val="standardContextual"/>
        </w:rPr>
        <w:t>Euroopa Liidu Teatajas</w:t>
      </w:r>
      <w:r w:rsidRPr="00ED1222">
        <w:rPr>
          <w:kern w:val="2"/>
          <w14:ligatures w14:val="standardContextual"/>
        </w:rPr>
        <w:t xml:space="preserve"> (L-seerias).</w:t>
      </w:r>
    </w:p>
    <w:p w14:paraId="3A9F42EF" w14:textId="77777777" w:rsidR="00ED1222" w:rsidRPr="00ED1222" w:rsidRDefault="00ED1222" w:rsidP="00ED1222">
      <w:pPr>
        <w:widowControl/>
        <w:jc w:val="both"/>
        <w:rPr>
          <w:rFonts w:eastAsia="Aptos"/>
          <w:kern w:val="2"/>
          <w:szCs w:val="24"/>
          <w:lang w:eastAsia="en-US"/>
          <w14:ligatures w14:val="standardContextual"/>
        </w:rPr>
        <w:sectPr w:rsidR="00ED1222" w:rsidRPr="00ED1222" w:rsidSect="00ED1222">
          <w:footnotePr>
            <w:numRestart w:val="eachSect"/>
          </w:footnotePr>
          <w:pgSz w:w="11906" w:h="16838"/>
          <w:pgMar w:top="1440" w:right="1440" w:bottom="1440" w:left="1440" w:header="708" w:footer="708" w:gutter="0"/>
          <w:cols w:space="708"/>
          <w:docGrid w:linePitch="360"/>
        </w:sectPr>
      </w:pPr>
    </w:p>
    <w:p w14:paraId="0AD79B73" w14:textId="610294F5" w:rsidR="00ED1222" w:rsidRPr="00ED1222" w:rsidRDefault="00ED1222" w:rsidP="0002762F">
      <w:pPr>
        <w:pStyle w:val="ATHeading3"/>
      </w:pPr>
      <w:r w:rsidRPr="00ED1222">
        <w:lastRenderedPageBreak/>
        <w:t>21. Euroopa Parlamendi 7. mai 2025. aasta otsus Euroopa Kalanduskontrolli Ameti 2023. aasta eelarve täitmisele heakskiidu andmise kohta</w:t>
      </w:r>
      <w:r w:rsidR="00A87338">
        <w:t xml:space="preserve"> </w:t>
      </w:r>
      <w:r w:rsidRPr="00ED1222">
        <w:t>(2024/2030(DEC))</w:t>
      </w:r>
    </w:p>
    <w:p w14:paraId="15380F63" w14:textId="77777777" w:rsidR="0002762F" w:rsidRPr="00ED1222" w:rsidRDefault="0002762F" w:rsidP="0002762F">
      <w:pPr>
        <w:spacing w:before="480" w:after="240"/>
        <w:rPr>
          <w:i/>
          <w:kern w:val="2"/>
          <w14:ligatures w14:val="standardContextual"/>
        </w:rPr>
      </w:pPr>
      <w:r w:rsidRPr="00ED1222">
        <w:rPr>
          <w:i/>
          <w:kern w:val="2"/>
          <w14:ligatures w14:val="standardContextual"/>
        </w:rPr>
        <w:t>Euroopa Parlament,</w:t>
      </w:r>
    </w:p>
    <w:p w14:paraId="3EB777CD"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Kalanduskontrolli Ameti 2023. aasta lõplikku raamatupidamisaruannet,</w:t>
      </w:r>
    </w:p>
    <w:p w14:paraId="1F7BB9FC"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kontrollikoja aastaaruannet ELi asutuste eelarveaasta 2023 kohta koos asutuste vastustega</w:t>
      </w:r>
      <w:r w:rsidRPr="00ED1222">
        <w:rPr>
          <w:kern w:val="2"/>
          <w:vertAlign w:val="superscript"/>
          <w14:ligatures w14:val="standardContextual"/>
        </w:rPr>
        <w:footnoteReference w:id="121"/>
      </w:r>
      <w:r w:rsidRPr="00ED1222">
        <w:rPr>
          <w:kern w:val="2"/>
          <w14:ligatures w14:val="standardContextual"/>
        </w:rPr>
        <w:t>,</w:t>
      </w:r>
    </w:p>
    <w:p w14:paraId="689AA919"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vastavalt Euroopa Liidu toimimise lepingu artiklile 287 tehtud kontrollikoja kinnitavat avaldust</w:t>
      </w:r>
      <w:r w:rsidRPr="00ED1222">
        <w:rPr>
          <w:kern w:val="2"/>
          <w:vertAlign w:val="superscript"/>
          <w14:ligatures w14:val="standardContextual"/>
        </w:rPr>
        <w:footnoteReference w:id="122"/>
      </w:r>
      <w:r w:rsidRPr="00ED1222">
        <w:rPr>
          <w:kern w:val="2"/>
          <w14:ligatures w14:val="standardContextual"/>
        </w:rPr>
        <w:t xml:space="preserve"> 2023. aasta raamatupidamiskontode usaldatavuse ja nende aluseks olevate tehingute seaduslikkuse ja korrektsuse kohta,</w:t>
      </w:r>
    </w:p>
    <w:p w14:paraId="105618E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nõukogu 17. veebruari 2025. aasta soovitust ameti tegevusele heakskiidu andmise kohta 2023. aasta eelarve täitmisel (05755/2025 – C10</w:t>
      </w:r>
      <w:r w:rsidRPr="00ED1222">
        <w:rPr>
          <w:kern w:val="2"/>
          <w14:ligatures w14:val="standardContextual"/>
        </w:rPr>
        <w:noBreakHyphen/>
        <w:t>0024/2025),</w:t>
      </w:r>
    </w:p>
    <w:p w14:paraId="5205E9D9"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toimimise lepingu artiklit 319,</w:t>
      </w:r>
    </w:p>
    <w:p w14:paraId="47E90FCF"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18. juuli 2018. aasta määrust (EL, Euratom) 2018/1046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ED1222">
        <w:rPr>
          <w:kern w:val="2"/>
          <w:vertAlign w:val="superscript"/>
          <w14:ligatures w14:val="standardContextual"/>
        </w:rPr>
        <w:footnoteReference w:id="123"/>
      </w:r>
      <w:r w:rsidRPr="00ED1222">
        <w:rPr>
          <w:kern w:val="2"/>
          <w14:ligatures w14:val="standardContextual"/>
        </w:rPr>
        <w:t>, eriti selle artiklit 70,</w:t>
      </w:r>
    </w:p>
    <w:p w14:paraId="53105A34"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23. septembri 2024. aasta määrust (EL, Euratom) 2024/2509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w:t>
      </w:r>
      <w:r w:rsidRPr="00ED1222">
        <w:rPr>
          <w:kern w:val="2"/>
          <w:vertAlign w:val="superscript"/>
          <w14:ligatures w14:val="standardContextual"/>
        </w:rPr>
        <w:footnoteReference w:id="124"/>
      </w:r>
      <w:r w:rsidRPr="00ED1222">
        <w:rPr>
          <w:kern w:val="2"/>
          <w14:ligatures w14:val="standardContextual"/>
        </w:rPr>
        <w:t>, eriti selle artiklit 70,</w:t>
      </w:r>
    </w:p>
    <w:p w14:paraId="35616D3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Parlamendi ja nõukogu 19. märtsi 2019. aasta määrust (EL) 2019/473 Euroopa Kalanduskontrolli Ameti kohta</w:t>
      </w:r>
      <w:r w:rsidRPr="00ED1222">
        <w:rPr>
          <w:kern w:val="2"/>
          <w:vertAlign w:val="superscript"/>
          <w14:ligatures w14:val="standardContextual"/>
        </w:rPr>
        <w:footnoteReference w:id="125"/>
      </w:r>
      <w:r w:rsidRPr="00ED1222">
        <w:rPr>
          <w:kern w:val="2"/>
          <w14:ligatures w14:val="standardContextual"/>
        </w:rPr>
        <w:t>, eriti selle artiklit 45,</w:t>
      </w:r>
    </w:p>
    <w:p w14:paraId="75A76ECE"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ED1222">
        <w:rPr>
          <w:kern w:val="2"/>
          <w:vertAlign w:val="superscript"/>
          <w14:ligatures w14:val="standardContextual"/>
        </w:rPr>
        <w:footnoteReference w:id="126"/>
      </w:r>
      <w:r w:rsidRPr="00ED1222">
        <w:rPr>
          <w:kern w:val="2"/>
          <w14:ligatures w14:val="standardContextual"/>
        </w:rPr>
        <w:t>, eriti selle artiklit 105,</w:t>
      </w:r>
    </w:p>
    <w:p w14:paraId="3352CBE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kodukorra artiklit 102 ja V lisa,</w:t>
      </w:r>
    </w:p>
    <w:p w14:paraId="0A650229"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tööhõive- ja sotsiaalkomisjoni, keskkonna-, kliima- ja toiduohutuse komisjoni, transpordi- ja turismikomisjoni, kalanduskomisjoni, kultuuri- ja </w:t>
      </w:r>
      <w:r w:rsidRPr="00ED1222">
        <w:rPr>
          <w:kern w:val="2"/>
          <w14:ligatures w14:val="standardContextual"/>
        </w:rPr>
        <w:lastRenderedPageBreak/>
        <w:t>hariduskomisjoni, kodanikuvabaduste, justiits- ja siseasjade komisjoni ning naiste õiguste ja soolise võrdõiguslikkuse komisjoni arvamusi,</w:t>
      </w:r>
    </w:p>
    <w:p w14:paraId="60109CEF"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eelarvekontrollikomisjoni raportit (A10-0065/2025),</w:t>
      </w:r>
    </w:p>
    <w:p w14:paraId="786165F2"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w:t>
      </w:r>
      <w:r w:rsidRPr="00ED1222">
        <w:rPr>
          <w:kern w:val="2"/>
          <w14:ligatures w14:val="standardContextual"/>
        </w:rPr>
        <w:tab/>
        <w:t>annab heakskiidu Euroopa Kalanduskontrolli Ameti tegevdirektori tegevusele ameti 2023. aasta eelarve täitmisel;</w:t>
      </w:r>
    </w:p>
    <w:p w14:paraId="4B90EF0C"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2.</w:t>
      </w:r>
      <w:r w:rsidRPr="00ED1222">
        <w:rPr>
          <w:kern w:val="2"/>
          <w14:ligatures w14:val="standardContextual"/>
        </w:rPr>
        <w:tab/>
        <w:t>esitab oma tähelepanekud alltoodud resolutsioonis;</w:t>
      </w:r>
    </w:p>
    <w:p w14:paraId="122F7C33"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3.</w:t>
      </w:r>
      <w:r w:rsidRPr="00ED1222">
        <w:rPr>
          <w:kern w:val="2"/>
          <w14:ligatures w14:val="standardContextual"/>
        </w:rPr>
        <w:tab/>
        <w:t xml:space="preserve">teeb presidendile ülesandeks edastada käesolev otsus ja resolutsioon, mis on selle lahutamatu osa, Euroopa Kalanduskontrolli Ameti tegevdirektorile, nõukogule, komisjonile ja kontrollikojale ning korraldada nende avaldamine </w:t>
      </w:r>
      <w:r w:rsidRPr="00ED1222">
        <w:rPr>
          <w:i/>
          <w:kern w:val="2"/>
          <w14:ligatures w14:val="standardContextual"/>
        </w:rPr>
        <w:t>Euroopa Liidu Teatajas</w:t>
      </w:r>
      <w:r w:rsidRPr="00ED1222">
        <w:rPr>
          <w:kern w:val="2"/>
          <w14:ligatures w14:val="standardContextual"/>
        </w:rPr>
        <w:t xml:space="preserve"> (L-seerias).</w:t>
      </w:r>
    </w:p>
    <w:p w14:paraId="42BC6607" w14:textId="77777777" w:rsidR="00ED1222" w:rsidRPr="00ED1222" w:rsidRDefault="00ED1222" w:rsidP="00ED1222">
      <w:pPr>
        <w:widowControl/>
        <w:jc w:val="both"/>
        <w:rPr>
          <w:rFonts w:eastAsia="Aptos"/>
          <w:kern w:val="2"/>
          <w:szCs w:val="24"/>
          <w:lang w:eastAsia="en-US"/>
          <w14:ligatures w14:val="standardContextual"/>
        </w:rPr>
        <w:sectPr w:rsidR="00ED1222" w:rsidRPr="00ED1222" w:rsidSect="00ED1222">
          <w:footnotePr>
            <w:numRestart w:val="eachSect"/>
          </w:footnotePr>
          <w:pgSz w:w="11906" w:h="16838"/>
          <w:pgMar w:top="1440" w:right="1440" w:bottom="1440" w:left="1440" w:header="708" w:footer="708" w:gutter="0"/>
          <w:cols w:space="708"/>
          <w:docGrid w:linePitch="360"/>
        </w:sectPr>
      </w:pPr>
    </w:p>
    <w:p w14:paraId="50A2E88B" w14:textId="58DB117B" w:rsidR="00ED1222" w:rsidRPr="00ED1222" w:rsidRDefault="00ED1222" w:rsidP="0002762F">
      <w:pPr>
        <w:pStyle w:val="ATHeading3"/>
      </w:pPr>
      <w:r w:rsidRPr="00ED1222">
        <w:lastRenderedPageBreak/>
        <w:t>22. Euroopa Parlamendi 7. mai 2025. aasta otsus Euroopa Kalanduskontrolli Ameti 2023. aasta raamatupidamiskontode sulgemise kohta</w:t>
      </w:r>
      <w:r w:rsidR="00A87338">
        <w:t xml:space="preserve"> </w:t>
      </w:r>
      <w:r w:rsidRPr="00ED1222">
        <w:t>(2024/2030(DEC))</w:t>
      </w:r>
    </w:p>
    <w:p w14:paraId="20702542" w14:textId="77777777" w:rsidR="0002762F" w:rsidRPr="00ED1222" w:rsidRDefault="0002762F" w:rsidP="0002762F">
      <w:pPr>
        <w:spacing w:before="480" w:after="240"/>
        <w:rPr>
          <w:i/>
          <w:kern w:val="2"/>
          <w14:ligatures w14:val="standardContextual"/>
        </w:rPr>
      </w:pPr>
      <w:r w:rsidRPr="00ED1222">
        <w:rPr>
          <w:i/>
          <w:kern w:val="2"/>
          <w14:ligatures w14:val="standardContextual"/>
        </w:rPr>
        <w:t>Euroopa Parlament,</w:t>
      </w:r>
    </w:p>
    <w:p w14:paraId="23DB6D19"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Kalanduskontrolli Ameti 2023. aasta lõplikku raamatupidamisaruannet,</w:t>
      </w:r>
    </w:p>
    <w:p w14:paraId="33F5117A"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kontrollikoja aastaaruannet ELi asutuste eelarveaasta 2023 kohta koos asutuste vastustega</w:t>
      </w:r>
      <w:r w:rsidRPr="00ED1222">
        <w:rPr>
          <w:kern w:val="2"/>
          <w:vertAlign w:val="superscript"/>
          <w14:ligatures w14:val="standardContextual"/>
        </w:rPr>
        <w:footnoteReference w:id="127"/>
      </w:r>
      <w:r w:rsidRPr="00ED1222">
        <w:rPr>
          <w:kern w:val="2"/>
          <w14:ligatures w14:val="standardContextual"/>
        </w:rPr>
        <w:t>,</w:t>
      </w:r>
    </w:p>
    <w:p w14:paraId="5BAC5467"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vastavalt Euroopa Liidu toimimise lepingu artiklile 287 tehtud kontrollikoja kinnitavat avaldust</w:t>
      </w:r>
      <w:r w:rsidRPr="00ED1222">
        <w:rPr>
          <w:kern w:val="2"/>
          <w:vertAlign w:val="superscript"/>
          <w14:ligatures w14:val="standardContextual"/>
        </w:rPr>
        <w:footnoteReference w:id="128"/>
      </w:r>
      <w:r w:rsidRPr="00ED1222">
        <w:rPr>
          <w:kern w:val="2"/>
          <w14:ligatures w14:val="standardContextual"/>
        </w:rPr>
        <w:t xml:space="preserve"> 2023. aasta raamatupidamiskontode usaldatavuse ja nende aluseks olevate tehingute seaduslikkuse ja korrektsuse kohta,</w:t>
      </w:r>
    </w:p>
    <w:p w14:paraId="7D2EE083"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nõukogu 17. veebruari 2025. aasta soovitust ameti tegevusele heakskiidu andmise kohta 2023. aasta eelarve täitmisel (05755/2025 – C10</w:t>
      </w:r>
      <w:r w:rsidRPr="00ED1222">
        <w:rPr>
          <w:kern w:val="2"/>
          <w14:ligatures w14:val="standardContextual"/>
        </w:rPr>
        <w:noBreakHyphen/>
        <w:t>0024/2025),</w:t>
      </w:r>
    </w:p>
    <w:p w14:paraId="0A67ED6A"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toimimise lepingu artiklit 319,</w:t>
      </w:r>
    </w:p>
    <w:p w14:paraId="500BBDAB"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18. juuli 2018. aasta määrust (EL, Euratom) 2018/1046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ED1222">
        <w:rPr>
          <w:kern w:val="2"/>
          <w:vertAlign w:val="superscript"/>
          <w14:ligatures w14:val="standardContextual"/>
        </w:rPr>
        <w:footnoteReference w:id="129"/>
      </w:r>
      <w:r w:rsidRPr="00ED1222">
        <w:rPr>
          <w:kern w:val="2"/>
          <w14:ligatures w14:val="standardContextual"/>
        </w:rPr>
        <w:t>, eriti selle artiklit 70,</w:t>
      </w:r>
    </w:p>
    <w:p w14:paraId="6D7831DE"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23. septembri 2024. aasta määrust (EL, Euratom) 2024/2509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w:t>
      </w:r>
      <w:r w:rsidRPr="00ED1222">
        <w:rPr>
          <w:kern w:val="2"/>
          <w:vertAlign w:val="superscript"/>
          <w14:ligatures w14:val="standardContextual"/>
        </w:rPr>
        <w:footnoteReference w:id="130"/>
      </w:r>
      <w:r w:rsidRPr="00ED1222">
        <w:rPr>
          <w:kern w:val="2"/>
          <w14:ligatures w14:val="standardContextual"/>
        </w:rPr>
        <w:t>, eriti selle artiklit 70,</w:t>
      </w:r>
    </w:p>
    <w:p w14:paraId="371E0F4E"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Parlamendi ja nõukogu 19. märtsi 2019. aasta määrust (EL) 2019/473 Euroopa Kalanduskontrolli Ameti kohta</w:t>
      </w:r>
      <w:r w:rsidRPr="00ED1222">
        <w:rPr>
          <w:kern w:val="2"/>
          <w:vertAlign w:val="superscript"/>
          <w14:ligatures w14:val="standardContextual"/>
        </w:rPr>
        <w:footnoteReference w:id="131"/>
      </w:r>
      <w:r w:rsidRPr="00ED1222">
        <w:rPr>
          <w:kern w:val="2"/>
          <w14:ligatures w14:val="standardContextual"/>
        </w:rPr>
        <w:t>, eriti selle artiklit 45,</w:t>
      </w:r>
    </w:p>
    <w:p w14:paraId="173DEE58"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ED1222">
        <w:rPr>
          <w:kern w:val="2"/>
          <w:vertAlign w:val="superscript"/>
          <w14:ligatures w14:val="standardContextual"/>
        </w:rPr>
        <w:footnoteReference w:id="132"/>
      </w:r>
      <w:r w:rsidRPr="00ED1222">
        <w:rPr>
          <w:kern w:val="2"/>
          <w14:ligatures w14:val="standardContextual"/>
        </w:rPr>
        <w:t>, eriti selle artiklit 105,</w:t>
      </w:r>
    </w:p>
    <w:p w14:paraId="3DED52A0"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kodukorra artiklit 102 ja V lisa,</w:t>
      </w:r>
    </w:p>
    <w:p w14:paraId="5487A7DB"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tööhõive- ja sotsiaalkomisjoni, keskkonna-, kliima- ja toiduohutuse komisjoni, transpordi- ja turismikomisjoni, kalanduskomisjoni, kultuuri- ja </w:t>
      </w:r>
      <w:r w:rsidRPr="00ED1222">
        <w:rPr>
          <w:kern w:val="2"/>
          <w14:ligatures w14:val="standardContextual"/>
        </w:rPr>
        <w:lastRenderedPageBreak/>
        <w:t>hariduskomisjoni, kodanikuvabaduste, justiits- ja siseasjade komisjoni ning naiste õiguste ja soolise võrdõiguslikkuse komisjoni arvamusi,</w:t>
      </w:r>
    </w:p>
    <w:p w14:paraId="733F4D54"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eelarvekontrollikomisjoni raportit (A10-0065/2025),</w:t>
      </w:r>
    </w:p>
    <w:p w14:paraId="5E868860"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w:t>
      </w:r>
      <w:r w:rsidRPr="00ED1222">
        <w:rPr>
          <w:kern w:val="2"/>
          <w14:ligatures w14:val="standardContextual"/>
        </w:rPr>
        <w:tab/>
        <w:t>annab heakskiidu Euroopa Kalanduskontrolli Ameti 2023. aasta raamatupidamiskontode sulgemisele;</w:t>
      </w:r>
    </w:p>
    <w:p w14:paraId="6A2AA443"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2.</w:t>
      </w:r>
      <w:r w:rsidRPr="00ED1222">
        <w:rPr>
          <w:kern w:val="2"/>
          <w14:ligatures w14:val="standardContextual"/>
        </w:rPr>
        <w:tab/>
        <w:t xml:space="preserve">teeb presidendile ülesandeks edastada käesolev otsus Euroopa Kalanduskontrolli Ameti tegevdirektorile, nõukogule, komisjonile ja kontrollikojale ning korraldada selle avaldamine </w:t>
      </w:r>
      <w:r w:rsidRPr="00ED1222">
        <w:rPr>
          <w:i/>
          <w:kern w:val="2"/>
          <w14:ligatures w14:val="standardContextual"/>
        </w:rPr>
        <w:t>Euroopa Liidu Teatajas</w:t>
      </w:r>
      <w:r w:rsidRPr="00ED1222">
        <w:rPr>
          <w:kern w:val="2"/>
          <w14:ligatures w14:val="standardContextual"/>
        </w:rPr>
        <w:t xml:space="preserve"> (L-seerias).</w:t>
      </w:r>
    </w:p>
    <w:p w14:paraId="00EC92EF" w14:textId="77777777" w:rsidR="00ED1222" w:rsidRPr="00ED1222" w:rsidRDefault="00ED1222" w:rsidP="00ED1222">
      <w:pPr>
        <w:widowControl/>
        <w:jc w:val="both"/>
        <w:rPr>
          <w:rFonts w:eastAsia="Aptos"/>
          <w:kern w:val="2"/>
          <w:szCs w:val="24"/>
          <w:lang w:eastAsia="en-US"/>
          <w14:ligatures w14:val="standardContextual"/>
        </w:rPr>
        <w:sectPr w:rsidR="00ED1222" w:rsidRPr="00ED1222" w:rsidSect="00ED1222">
          <w:footnotePr>
            <w:numRestart w:val="eachSect"/>
          </w:footnotePr>
          <w:pgSz w:w="11906" w:h="16838"/>
          <w:pgMar w:top="1440" w:right="1440" w:bottom="1440" w:left="1440" w:header="708" w:footer="708" w:gutter="0"/>
          <w:cols w:space="708"/>
          <w:docGrid w:linePitch="360"/>
        </w:sectPr>
      </w:pPr>
    </w:p>
    <w:p w14:paraId="0ECD8037" w14:textId="49E09A29" w:rsidR="00ED1222" w:rsidRPr="00ED1222" w:rsidRDefault="00ED1222" w:rsidP="0002762F">
      <w:pPr>
        <w:pStyle w:val="ATHeading3"/>
      </w:pPr>
      <w:r w:rsidRPr="00ED1222">
        <w:lastRenderedPageBreak/>
        <w:t>23. Euroopa Parlamendi 7. mai 2025. aasta otsus Euroopa Toiduohutusameti 2023. aasta eelarve täitmisele heakskiidu andmise kohta</w:t>
      </w:r>
      <w:r w:rsidR="00A87338">
        <w:t xml:space="preserve"> </w:t>
      </w:r>
      <w:r w:rsidRPr="00ED1222">
        <w:t>(2024/2030(DEC))</w:t>
      </w:r>
    </w:p>
    <w:p w14:paraId="771404F2" w14:textId="77777777" w:rsidR="0002762F" w:rsidRPr="00ED1222" w:rsidRDefault="0002762F" w:rsidP="0002762F">
      <w:pPr>
        <w:spacing w:before="480" w:after="240"/>
        <w:rPr>
          <w:i/>
          <w:kern w:val="2"/>
          <w14:ligatures w14:val="standardContextual"/>
        </w:rPr>
      </w:pPr>
      <w:r w:rsidRPr="00ED1222">
        <w:rPr>
          <w:i/>
          <w:kern w:val="2"/>
          <w14:ligatures w14:val="standardContextual"/>
        </w:rPr>
        <w:t>Euroopa Parlament,</w:t>
      </w:r>
    </w:p>
    <w:p w14:paraId="68056863"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Toiduohutusameti 2023. aasta lõplikku raamatupidamisaruannet,</w:t>
      </w:r>
    </w:p>
    <w:p w14:paraId="3282813F"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kontrollikoja aastaaruannet ELi asutuste eelarveaasta 2023 kohta koos asutuste vastustega</w:t>
      </w:r>
      <w:r w:rsidRPr="00ED1222">
        <w:rPr>
          <w:kern w:val="2"/>
          <w:vertAlign w:val="superscript"/>
          <w14:ligatures w14:val="standardContextual"/>
        </w:rPr>
        <w:footnoteReference w:id="133"/>
      </w:r>
      <w:r w:rsidRPr="00ED1222">
        <w:rPr>
          <w:kern w:val="2"/>
          <w14:ligatures w14:val="standardContextual"/>
        </w:rPr>
        <w:t>,</w:t>
      </w:r>
    </w:p>
    <w:p w14:paraId="53A51B3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vastavalt Euroopa Liidu toimimise lepingu artiklile 287 tehtud kontrollikoja kinnitavat avaldust</w:t>
      </w:r>
      <w:r w:rsidRPr="00ED1222">
        <w:rPr>
          <w:kern w:val="2"/>
          <w:vertAlign w:val="superscript"/>
          <w14:ligatures w14:val="standardContextual"/>
        </w:rPr>
        <w:footnoteReference w:id="134"/>
      </w:r>
      <w:r w:rsidRPr="00ED1222">
        <w:rPr>
          <w:kern w:val="2"/>
          <w14:ligatures w14:val="standardContextual"/>
        </w:rPr>
        <w:t xml:space="preserve"> 2023. aasta raamatupidamiskontode usaldatavuse ja nende aluseks olevate tehingute seaduslikkuse ja korrektsuse kohta,</w:t>
      </w:r>
    </w:p>
    <w:p w14:paraId="0011D1D8"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nõukogu 17. veebruari 2025. aasta soovitust ameti tegevusele heakskiidu andmise kohta 2023. aasta eelarve täitmisel (05755/2025 – C10</w:t>
      </w:r>
      <w:r w:rsidRPr="00ED1222">
        <w:rPr>
          <w:kern w:val="2"/>
          <w14:ligatures w14:val="standardContextual"/>
        </w:rPr>
        <w:noBreakHyphen/>
        <w:t>0024/2025),</w:t>
      </w:r>
    </w:p>
    <w:p w14:paraId="46ABFC2C"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toimimise lepingu artiklit 319,</w:t>
      </w:r>
    </w:p>
    <w:p w14:paraId="4EF6005F"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18. juuli 2018. aasta määrust (EL, Euratom) 2018/1046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ED1222">
        <w:rPr>
          <w:kern w:val="2"/>
          <w:vertAlign w:val="superscript"/>
          <w14:ligatures w14:val="standardContextual"/>
        </w:rPr>
        <w:footnoteReference w:id="135"/>
      </w:r>
      <w:r w:rsidRPr="00ED1222">
        <w:rPr>
          <w:kern w:val="2"/>
          <w14:ligatures w14:val="standardContextual"/>
        </w:rPr>
        <w:t xml:space="preserve"> eriti selle artiklit 70,</w:t>
      </w:r>
    </w:p>
    <w:p w14:paraId="4E792290"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23. septembri 2024. aasta määrust (EL, Euratom) 2024/2509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w:t>
      </w:r>
      <w:r w:rsidRPr="00ED1222">
        <w:rPr>
          <w:kern w:val="2"/>
          <w:vertAlign w:val="superscript"/>
          <w14:ligatures w14:val="standardContextual"/>
        </w:rPr>
        <w:footnoteReference w:id="136"/>
      </w:r>
      <w:r w:rsidRPr="00ED1222">
        <w:rPr>
          <w:kern w:val="2"/>
          <w14:ligatures w14:val="standardContextual"/>
        </w:rPr>
        <w:t xml:space="preserve"> eriti selle artiklit 70,</w:t>
      </w:r>
    </w:p>
    <w:p w14:paraId="182FD74A"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Parlamendi ja nõukogu 28. jaanuari 2002. aasta määrust (EÜ) nr 178/2002 (millega sätestatakse toidualaste õigusnormide üldised põhimõtted ja nõuded, asutatakse Euroopa Toiduohutusamet ja kehtestatakse toidu ohutusega seotud menetlused),</w:t>
      </w:r>
      <w:r w:rsidRPr="00ED1222">
        <w:rPr>
          <w:kern w:val="2"/>
          <w:vertAlign w:val="superscript"/>
          <w14:ligatures w14:val="standardContextual"/>
        </w:rPr>
        <w:footnoteReference w:id="137"/>
      </w:r>
      <w:r w:rsidRPr="00ED1222">
        <w:rPr>
          <w:kern w:val="2"/>
          <w14:ligatures w14:val="standardContextual"/>
        </w:rPr>
        <w:t xml:space="preserve"> eriti selle artiklit 44,</w:t>
      </w:r>
    </w:p>
    <w:p w14:paraId="7E62F7B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ED1222">
        <w:rPr>
          <w:kern w:val="2"/>
          <w:vertAlign w:val="superscript"/>
          <w14:ligatures w14:val="standardContextual"/>
        </w:rPr>
        <w:footnoteReference w:id="138"/>
      </w:r>
      <w:r w:rsidRPr="00ED1222">
        <w:rPr>
          <w:kern w:val="2"/>
          <w14:ligatures w14:val="standardContextual"/>
        </w:rPr>
        <w:t xml:space="preserve"> eriti selle artiklit 105,</w:t>
      </w:r>
    </w:p>
    <w:p w14:paraId="35C60C69"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kodukorra artiklit 102 ja V lisa,</w:t>
      </w:r>
    </w:p>
    <w:p w14:paraId="09D6E56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lastRenderedPageBreak/>
        <w:t>–</w:t>
      </w:r>
      <w:r w:rsidRPr="00ED1222">
        <w:rPr>
          <w:kern w:val="2"/>
          <w14:ligatures w14:val="standardContextual"/>
        </w:rPr>
        <w:tab/>
        <w:t>võttes arvesse tööhõive- ja sotsiaalkomisjoni, keskkonna-, kliima- ja toiduohutuse komisjoni, transpordi- ja turismikomisjoni, kalanduskomisjoni, kultuuri- ja hariduskomisjoni, kodanikuvabaduste, justiits- ja siseasjade komisjoni ning naiste õiguste ja soolise võrdõiguslikkuse komisjoni arvamusi,</w:t>
      </w:r>
    </w:p>
    <w:p w14:paraId="142B37F3"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eelarvekontrollikomisjoni raportit (A10-0065/2025),</w:t>
      </w:r>
    </w:p>
    <w:p w14:paraId="590E1A1A"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w:t>
      </w:r>
      <w:r w:rsidRPr="00ED1222">
        <w:rPr>
          <w:kern w:val="2"/>
          <w14:ligatures w14:val="standardContextual"/>
        </w:rPr>
        <w:tab/>
        <w:t>annab heakskiidu Euroopa Toiduohutusameti tegevdirektori kohusetäitja tegevusele ameti 2023. aasta eelarve täitmisel;</w:t>
      </w:r>
    </w:p>
    <w:p w14:paraId="0D0C337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2.</w:t>
      </w:r>
      <w:r w:rsidRPr="00ED1222">
        <w:rPr>
          <w:kern w:val="2"/>
          <w14:ligatures w14:val="standardContextual"/>
        </w:rPr>
        <w:tab/>
        <w:t>esitab oma tähelepanekud alltoodud resolutsioonis;</w:t>
      </w:r>
    </w:p>
    <w:p w14:paraId="281EEB71"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3.</w:t>
      </w:r>
      <w:r w:rsidRPr="00ED1222">
        <w:rPr>
          <w:kern w:val="2"/>
          <w14:ligatures w14:val="standardContextual"/>
        </w:rPr>
        <w:tab/>
        <w:t xml:space="preserve">teeb presidendile ülesandeks edastada käesolev otsus ja resolutsioon, mis on selle lahutamatu osa, Euroopa Toiduohutusameti tegevdirektori kohusetäitjale, nõukogule, komisjonile ja kontrollikojale ning korraldada nende avaldamine </w:t>
      </w:r>
      <w:r w:rsidRPr="00ED1222">
        <w:rPr>
          <w:i/>
          <w:kern w:val="2"/>
          <w14:ligatures w14:val="standardContextual"/>
        </w:rPr>
        <w:t>Euroopa Liidu Teatajas</w:t>
      </w:r>
      <w:r w:rsidRPr="00ED1222">
        <w:rPr>
          <w:kern w:val="2"/>
          <w14:ligatures w14:val="standardContextual"/>
        </w:rPr>
        <w:t xml:space="preserve"> (L-seerias).</w:t>
      </w:r>
    </w:p>
    <w:p w14:paraId="453B2305" w14:textId="77777777" w:rsidR="00ED1222" w:rsidRPr="00ED1222" w:rsidRDefault="00ED1222" w:rsidP="00ED1222">
      <w:pPr>
        <w:widowControl/>
        <w:jc w:val="both"/>
        <w:rPr>
          <w:rFonts w:eastAsia="Aptos"/>
          <w:kern w:val="2"/>
          <w:szCs w:val="24"/>
          <w:lang w:eastAsia="en-US"/>
          <w14:ligatures w14:val="standardContextual"/>
        </w:rPr>
        <w:sectPr w:rsidR="00ED1222" w:rsidRPr="00ED1222" w:rsidSect="00ED1222">
          <w:footnotePr>
            <w:numRestart w:val="eachSect"/>
          </w:footnotePr>
          <w:pgSz w:w="11906" w:h="16838"/>
          <w:pgMar w:top="1440" w:right="1440" w:bottom="1440" w:left="1440" w:header="708" w:footer="708" w:gutter="0"/>
          <w:cols w:space="708"/>
          <w:docGrid w:linePitch="360"/>
        </w:sectPr>
      </w:pPr>
    </w:p>
    <w:p w14:paraId="08BB4FE9" w14:textId="7BFC2BE5" w:rsidR="00ED1222" w:rsidRPr="00ED1222" w:rsidRDefault="00ED1222" w:rsidP="0002762F">
      <w:pPr>
        <w:pStyle w:val="ATHeading3"/>
      </w:pPr>
      <w:r w:rsidRPr="00ED1222">
        <w:lastRenderedPageBreak/>
        <w:t>24. Euroopa Parlamendi 7. mai 2025. aasta otsus Euroopa Toiduohutusameti 2023. aasta raamatupidamiskontode sulgemise kohta</w:t>
      </w:r>
      <w:r w:rsidR="00A87338">
        <w:t xml:space="preserve"> </w:t>
      </w:r>
      <w:r w:rsidRPr="00ED1222">
        <w:t>(2024/2030(DEC))</w:t>
      </w:r>
    </w:p>
    <w:p w14:paraId="6222C4E3" w14:textId="77777777" w:rsidR="0002762F" w:rsidRPr="00ED1222" w:rsidRDefault="0002762F" w:rsidP="0002762F">
      <w:pPr>
        <w:spacing w:before="480" w:after="240"/>
        <w:rPr>
          <w:i/>
          <w:kern w:val="2"/>
          <w14:ligatures w14:val="standardContextual"/>
        </w:rPr>
      </w:pPr>
      <w:r w:rsidRPr="00ED1222">
        <w:rPr>
          <w:i/>
          <w:kern w:val="2"/>
          <w14:ligatures w14:val="standardContextual"/>
        </w:rPr>
        <w:t>Euroopa Parlament,</w:t>
      </w:r>
    </w:p>
    <w:p w14:paraId="220AC5E0"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Toiduohutusameti 2023. aasta lõplikku raamatupidamisaruannet,</w:t>
      </w:r>
    </w:p>
    <w:p w14:paraId="1255ECDB"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kontrollikoja aastaaruannet ELi asutuste eelarveaasta 2023 kohta koos asutuste vastustega</w:t>
      </w:r>
      <w:r w:rsidRPr="00ED1222">
        <w:rPr>
          <w:kern w:val="2"/>
          <w:vertAlign w:val="superscript"/>
          <w14:ligatures w14:val="standardContextual"/>
        </w:rPr>
        <w:footnoteReference w:id="139"/>
      </w:r>
      <w:r w:rsidRPr="00ED1222">
        <w:rPr>
          <w:kern w:val="2"/>
          <w14:ligatures w14:val="standardContextual"/>
        </w:rPr>
        <w:t>,</w:t>
      </w:r>
    </w:p>
    <w:p w14:paraId="056C562B"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vastavalt Euroopa Liidu toimimise lepingu artiklile 287 tehtud kontrollikoja kinnitavat avaldust</w:t>
      </w:r>
      <w:r w:rsidRPr="00ED1222">
        <w:rPr>
          <w:kern w:val="2"/>
          <w:vertAlign w:val="superscript"/>
          <w14:ligatures w14:val="standardContextual"/>
        </w:rPr>
        <w:footnoteReference w:id="140"/>
      </w:r>
      <w:r w:rsidRPr="00ED1222">
        <w:rPr>
          <w:kern w:val="2"/>
          <w14:ligatures w14:val="standardContextual"/>
        </w:rPr>
        <w:t xml:space="preserve"> 2023. aasta raamatupidamiskontode usaldatavuse ja nende aluseks olevate tehingute seaduslikkuse ja korrektsuse kohta,</w:t>
      </w:r>
    </w:p>
    <w:p w14:paraId="28326379"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nõukogu 17. veebruari 2025. aasta soovitust ameti tegevusele heakskiidu andmise kohta 2023. aasta eelarve täitmisel (05755/2025 – C10</w:t>
      </w:r>
      <w:r w:rsidRPr="00ED1222">
        <w:rPr>
          <w:kern w:val="2"/>
          <w14:ligatures w14:val="standardContextual"/>
        </w:rPr>
        <w:noBreakHyphen/>
        <w:t>0024/2025),</w:t>
      </w:r>
    </w:p>
    <w:p w14:paraId="301EE71C"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toimimise lepingu artiklit 319,</w:t>
      </w:r>
    </w:p>
    <w:p w14:paraId="2C94E1F5"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18. juuli 2018. aasta määrust (EL, Euratom) 2018/1046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ED1222">
        <w:rPr>
          <w:kern w:val="2"/>
          <w:vertAlign w:val="superscript"/>
          <w14:ligatures w14:val="standardContextual"/>
        </w:rPr>
        <w:footnoteReference w:id="141"/>
      </w:r>
      <w:r w:rsidRPr="00ED1222">
        <w:rPr>
          <w:kern w:val="2"/>
          <w14:ligatures w14:val="standardContextual"/>
        </w:rPr>
        <w:t xml:space="preserve"> eriti selle artiklit 70,</w:t>
      </w:r>
    </w:p>
    <w:p w14:paraId="66AD441A"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23. septembri 2024. aasta määrust (EL, Euratom) 2024/2509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w:t>
      </w:r>
      <w:r w:rsidRPr="00ED1222">
        <w:rPr>
          <w:kern w:val="2"/>
          <w:vertAlign w:val="superscript"/>
          <w14:ligatures w14:val="standardContextual"/>
        </w:rPr>
        <w:footnoteReference w:id="142"/>
      </w:r>
      <w:r w:rsidRPr="00ED1222">
        <w:rPr>
          <w:kern w:val="2"/>
          <w14:ligatures w14:val="standardContextual"/>
        </w:rPr>
        <w:t xml:space="preserve"> eriti selle artiklit 70,</w:t>
      </w:r>
    </w:p>
    <w:p w14:paraId="201A79F5"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Parlamendi ja nõukogu 28. jaanuari 2002. aasta määrust (EÜ) nr 178/2002 (millega sätestatakse toidualaste õigusnormide üldised põhimõtted ja nõuded, asutatakse Euroopa Toiduohutusamet ja kehtestatakse toidu ohutusega seotud menetlused),</w:t>
      </w:r>
      <w:r w:rsidRPr="00ED1222">
        <w:rPr>
          <w:kern w:val="2"/>
          <w:vertAlign w:val="superscript"/>
          <w14:ligatures w14:val="standardContextual"/>
        </w:rPr>
        <w:footnoteReference w:id="143"/>
      </w:r>
      <w:r w:rsidRPr="00ED1222">
        <w:rPr>
          <w:kern w:val="2"/>
          <w14:ligatures w14:val="standardContextual"/>
        </w:rPr>
        <w:t xml:space="preserve"> eriti selle artiklit 44,</w:t>
      </w:r>
    </w:p>
    <w:p w14:paraId="32C55DAF"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ED1222">
        <w:rPr>
          <w:kern w:val="2"/>
          <w:vertAlign w:val="superscript"/>
          <w14:ligatures w14:val="standardContextual"/>
        </w:rPr>
        <w:footnoteReference w:id="144"/>
      </w:r>
      <w:r w:rsidRPr="00ED1222">
        <w:rPr>
          <w:kern w:val="2"/>
          <w14:ligatures w14:val="standardContextual"/>
        </w:rPr>
        <w:t xml:space="preserve"> eriti selle artiklit 105,</w:t>
      </w:r>
    </w:p>
    <w:p w14:paraId="58A7C675"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kodukorra artiklit 102 ja V lisa,</w:t>
      </w:r>
    </w:p>
    <w:p w14:paraId="37756613"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lastRenderedPageBreak/>
        <w:t>–</w:t>
      </w:r>
      <w:r w:rsidRPr="00ED1222">
        <w:rPr>
          <w:kern w:val="2"/>
          <w14:ligatures w14:val="standardContextual"/>
        </w:rPr>
        <w:tab/>
        <w:t>võttes arvesse tööhõive- ja sotsiaalkomisjoni, keskkonna-, kliima- ja toiduohutuse komisjoni, transpordi- ja turismikomisjoni, kalanduskomisjoni, kultuuri- ja hariduskomisjoni, kodanikuvabaduste, justiits- ja siseasjade komisjoni ning naiste õiguste ja soolise võrdõiguslikkuse komisjoni arvamusi,</w:t>
      </w:r>
    </w:p>
    <w:p w14:paraId="2DD9AC23"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eelarvekontrollikomisjoni raportit (A10-0065/2025),</w:t>
      </w:r>
    </w:p>
    <w:p w14:paraId="12AD8E43"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w:t>
      </w:r>
      <w:r w:rsidRPr="00ED1222">
        <w:rPr>
          <w:kern w:val="2"/>
          <w14:ligatures w14:val="standardContextual"/>
        </w:rPr>
        <w:tab/>
        <w:t>annab heakskiidu Euroopa Toiduohutusameti 2023. aasta raamatupidamiskontode sulgemisele;</w:t>
      </w:r>
    </w:p>
    <w:p w14:paraId="2737681F"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2.</w:t>
      </w:r>
      <w:r w:rsidRPr="00ED1222">
        <w:rPr>
          <w:kern w:val="2"/>
          <w14:ligatures w14:val="standardContextual"/>
        </w:rPr>
        <w:tab/>
        <w:t xml:space="preserve">teeb presidendile ülesandeks edastada käesolev otsus Euroopa Toiduohutusameti tegevdirektori kohusetäitjale, nõukogule, komisjonile ja kontrollikojale ning korraldada selle avaldamine </w:t>
      </w:r>
      <w:r w:rsidRPr="00ED1222">
        <w:rPr>
          <w:i/>
          <w:kern w:val="2"/>
          <w14:ligatures w14:val="standardContextual"/>
        </w:rPr>
        <w:t>Euroopa Liidu Teatajas</w:t>
      </w:r>
      <w:r w:rsidRPr="00ED1222">
        <w:rPr>
          <w:kern w:val="2"/>
          <w14:ligatures w14:val="standardContextual"/>
        </w:rPr>
        <w:t xml:space="preserve"> (L-seerias).</w:t>
      </w:r>
    </w:p>
    <w:p w14:paraId="13A2478E" w14:textId="77777777" w:rsidR="00ED1222" w:rsidRPr="00ED1222" w:rsidRDefault="00ED1222" w:rsidP="00ED1222">
      <w:pPr>
        <w:widowControl/>
        <w:jc w:val="both"/>
        <w:rPr>
          <w:rFonts w:eastAsia="Aptos"/>
          <w:kern w:val="2"/>
          <w:szCs w:val="24"/>
          <w:lang w:eastAsia="en-US"/>
          <w14:ligatures w14:val="standardContextual"/>
        </w:rPr>
        <w:sectPr w:rsidR="00ED1222" w:rsidRPr="00ED1222" w:rsidSect="00ED1222">
          <w:footnotePr>
            <w:numRestart w:val="eachSect"/>
          </w:footnotePr>
          <w:pgSz w:w="11906" w:h="16838"/>
          <w:pgMar w:top="1440" w:right="1440" w:bottom="1440" w:left="1440" w:header="708" w:footer="708" w:gutter="0"/>
          <w:cols w:space="708"/>
          <w:docGrid w:linePitch="360"/>
        </w:sectPr>
      </w:pPr>
    </w:p>
    <w:p w14:paraId="539FC157" w14:textId="1C9BD298" w:rsidR="00ED1222" w:rsidRPr="00ED1222" w:rsidRDefault="00ED1222" w:rsidP="0002762F">
      <w:pPr>
        <w:pStyle w:val="ATHeading3"/>
      </w:pPr>
      <w:r w:rsidRPr="00ED1222">
        <w:lastRenderedPageBreak/>
        <w:t>25. Euroopa Parlamendi 7. mai 2025. aasta otsus Euroopa Soolise Võrdõiguslikkuse Instituudi 2023. aasta eelarve täitmisele heakskiidu andmise kohta</w:t>
      </w:r>
      <w:r w:rsidR="00A87338">
        <w:t xml:space="preserve"> </w:t>
      </w:r>
      <w:r w:rsidRPr="00ED1222">
        <w:t>(2024/2030(DEC))</w:t>
      </w:r>
    </w:p>
    <w:p w14:paraId="24EA87F6" w14:textId="77777777" w:rsidR="0002762F" w:rsidRPr="00ED1222" w:rsidRDefault="0002762F" w:rsidP="0002762F">
      <w:pPr>
        <w:spacing w:before="480" w:after="240"/>
        <w:rPr>
          <w:i/>
          <w:kern w:val="2"/>
          <w14:ligatures w14:val="standardContextual"/>
        </w:rPr>
      </w:pPr>
      <w:r w:rsidRPr="00ED1222">
        <w:rPr>
          <w:i/>
          <w:kern w:val="2"/>
          <w14:ligatures w14:val="standardContextual"/>
        </w:rPr>
        <w:t>Euroopa Parlament,</w:t>
      </w:r>
    </w:p>
    <w:p w14:paraId="661CD053"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Soolise Võrdõiguslikkuse Instituudi 2023. aasta lõplikku raamatupidamisaruannet,</w:t>
      </w:r>
    </w:p>
    <w:p w14:paraId="7A70DD23"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kontrollikoja aastaaruannet ELi asutuste eelarveaasta 2023 kohta koos asutuste vastustega</w:t>
      </w:r>
      <w:r w:rsidRPr="00ED1222">
        <w:rPr>
          <w:kern w:val="2"/>
          <w:vertAlign w:val="superscript"/>
          <w14:ligatures w14:val="standardContextual"/>
        </w:rPr>
        <w:footnoteReference w:id="145"/>
      </w:r>
      <w:r w:rsidRPr="00ED1222">
        <w:rPr>
          <w:kern w:val="2"/>
          <w14:ligatures w14:val="standardContextual"/>
        </w:rPr>
        <w:t>,</w:t>
      </w:r>
    </w:p>
    <w:p w14:paraId="56E07183"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vastavalt Euroopa Liidu toimimise lepingu artiklile 287 tehtud kontrollikoja kinnitavat avaldust</w:t>
      </w:r>
      <w:r w:rsidRPr="00ED1222">
        <w:rPr>
          <w:kern w:val="2"/>
          <w:vertAlign w:val="superscript"/>
          <w14:ligatures w14:val="standardContextual"/>
        </w:rPr>
        <w:footnoteReference w:id="146"/>
      </w:r>
      <w:r w:rsidRPr="00ED1222">
        <w:rPr>
          <w:kern w:val="2"/>
          <w14:ligatures w14:val="standardContextual"/>
        </w:rPr>
        <w:t xml:space="preserve"> 2023. aasta raamatupidamiskontode usaldatavuse ja nende aluseks olevate tehingute seaduslikkuse ja korrektsuse kohta,</w:t>
      </w:r>
    </w:p>
    <w:p w14:paraId="7B6F9AB5"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nõukogu 17. veebruari 2025. aasta soovitust instituudi tegevusele heakskiidu andmise kohta 2023. aasta eelarve täitmisel (05755/2025 – C10</w:t>
      </w:r>
      <w:r w:rsidRPr="00ED1222">
        <w:rPr>
          <w:kern w:val="2"/>
          <w14:ligatures w14:val="standardContextual"/>
        </w:rPr>
        <w:noBreakHyphen/>
        <w:t>0024/2025),</w:t>
      </w:r>
    </w:p>
    <w:p w14:paraId="038F1615"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toimimise lepingu artiklit 319,</w:t>
      </w:r>
    </w:p>
    <w:p w14:paraId="234ECEB7"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18. juuli 2018. aasta määrust (EL, Euratom) 2018/1046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ED1222">
        <w:rPr>
          <w:kern w:val="2"/>
          <w:vertAlign w:val="superscript"/>
          <w14:ligatures w14:val="standardContextual"/>
        </w:rPr>
        <w:footnoteReference w:id="147"/>
      </w:r>
      <w:r w:rsidRPr="00ED1222">
        <w:rPr>
          <w:kern w:val="2"/>
          <w14:ligatures w14:val="standardContextual"/>
        </w:rPr>
        <w:t xml:space="preserve"> eriti selle artiklit 70,</w:t>
      </w:r>
    </w:p>
    <w:p w14:paraId="215D06F8"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23. septembri 2024. aasta määrust (EL, Euratom) 2024/2509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w:t>
      </w:r>
      <w:r w:rsidRPr="00ED1222">
        <w:rPr>
          <w:kern w:val="2"/>
          <w:vertAlign w:val="superscript"/>
          <w14:ligatures w14:val="standardContextual"/>
        </w:rPr>
        <w:footnoteReference w:id="148"/>
      </w:r>
      <w:r w:rsidRPr="00ED1222">
        <w:rPr>
          <w:kern w:val="2"/>
          <w14:ligatures w14:val="standardContextual"/>
        </w:rPr>
        <w:t xml:space="preserve"> eriti selle artiklit 70,</w:t>
      </w:r>
    </w:p>
    <w:p w14:paraId="08E10C53"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Parlamendi ja nõukogu 20. detsembri 2006. aasta määrust (EÜ) nr 1922/2006 (millega luuakse Euroopa Soolise Võrdõiguslikkuse Instituut),</w:t>
      </w:r>
      <w:r w:rsidRPr="00ED1222">
        <w:rPr>
          <w:kern w:val="2"/>
          <w:vertAlign w:val="superscript"/>
          <w14:ligatures w14:val="standardContextual"/>
        </w:rPr>
        <w:footnoteReference w:id="149"/>
      </w:r>
      <w:r w:rsidRPr="00ED1222">
        <w:rPr>
          <w:kern w:val="2"/>
          <w14:ligatures w14:val="standardContextual"/>
        </w:rPr>
        <w:t xml:space="preserve"> eriti selle artiklit 15,</w:t>
      </w:r>
    </w:p>
    <w:p w14:paraId="3CA2706B"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ED1222">
        <w:rPr>
          <w:kern w:val="2"/>
          <w:vertAlign w:val="superscript"/>
          <w14:ligatures w14:val="standardContextual"/>
        </w:rPr>
        <w:footnoteReference w:id="150"/>
      </w:r>
      <w:r w:rsidRPr="00ED1222">
        <w:rPr>
          <w:kern w:val="2"/>
          <w14:ligatures w14:val="standardContextual"/>
        </w:rPr>
        <w:t xml:space="preserve"> eriti selle artiklit 105,</w:t>
      </w:r>
    </w:p>
    <w:p w14:paraId="3EBF8F6A"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kodukorra artiklit 102 ja V lisa,</w:t>
      </w:r>
    </w:p>
    <w:p w14:paraId="55EDA77A"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tööhõive- ja sotsiaalkomisjoni, keskkonna-, kliima- ja toiduohutuse </w:t>
      </w:r>
      <w:r w:rsidRPr="00ED1222">
        <w:rPr>
          <w:kern w:val="2"/>
          <w14:ligatures w14:val="standardContextual"/>
        </w:rPr>
        <w:lastRenderedPageBreak/>
        <w:t>komisjoni, transpordi- ja turismikomisjoni, kalanduskomisjoni, kultuuri- ja hariduskomisjoni, kodanikuvabaduste, justiits- ja siseasjade komisjoni ning naiste õiguste ja soolise võrdõiguslikkuse komisjoni arvamusi,</w:t>
      </w:r>
    </w:p>
    <w:p w14:paraId="193EE89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eelarvekontrollikomisjoni raportit (A10-0065/2025),</w:t>
      </w:r>
    </w:p>
    <w:p w14:paraId="1D6D803C"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w:t>
      </w:r>
      <w:r w:rsidRPr="00ED1222">
        <w:rPr>
          <w:kern w:val="2"/>
          <w14:ligatures w14:val="standardContextual"/>
        </w:rPr>
        <w:tab/>
        <w:t>annab heakskiidu Euroopa Soolise Võrdõiguslikkuse Instituudi direktori tegevusele instituudi 2023. aasta eelarve täitmisel;</w:t>
      </w:r>
    </w:p>
    <w:p w14:paraId="0CDD4B0D"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2.</w:t>
      </w:r>
      <w:r w:rsidRPr="00ED1222">
        <w:rPr>
          <w:kern w:val="2"/>
          <w14:ligatures w14:val="standardContextual"/>
        </w:rPr>
        <w:tab/>
        <w:t>esitab oma tähelepanekud alltoodud resolutsioonis;</w:t>
      </w:r>
    </w:p>
    <w:p w14:paraId="2094EF9E"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3.</w:t>
      </w:r>
      <w:r w:rsidRPr="00ED1222">
        <w:rPr>
          <w:kern w:val="2"/>
          <w14:ligatures w14:val="standardContextual"/>
        </w:rPr>
        <w:tab/>
        <w:t xml:space="preserve">teeb presidendile ülesandeks edastada käesolev otsus ja resolutsioon, mis on selle lahutamatu osa, Euroopa Soolise Võrdõiguslikkuse Instituudi direktorile, nõukogule, komisjonile ja kontrollikojale ning korraldada nende avaldamine </w:t>
      </w:r>
      <w:r w:rsidRPr="00ED1222">
        <w:rPr>
          <w:i/>
          <w:kern w:val="2"/>
          <w14:ligatures w14:val="standardContextual"/>
        </w:rPr>
        <w:t>Euroopa Liidu Teatajas</w:t>
      </w:r>
      <w:r w:rsidRPr="00ED1222">
        <w:rPr>
          <w:kern w:val="2"/>
          <w14:ligatures w14:val="standardContextual"/>
        </w:rPr>
        <w:t xml:space="preserve"> (L-seerias).</w:t>
      </w:r>
    </w:p>
    <w:p w14:paraId="0CB9353A" w14:textId="77777777" w:rsidR="00ED1222" w:rsidRPr="00ED1222" w:rsidRDefault="00ED1222" w:rsidP="00ED1222">
      <w:pPr>
        <w:widowControl/>
        <w:jc w:val="both"/>
        <w:rPr>
          <w:rFonts w:eastAsia="Aptos"/>
          <w:kern w:val="2"/>
          <w:szCs w:val="24"/>
          <w:lang w:eastAsia="en-US"/>
          <w14:ligatures w14:val="standardContextual"/>
        </w:rPr>
        <w:sectPr w:rsidR="00ED1222" w:rsidRPr="00ED1222" w:rsidSect="00ED1222">
          <w:footnotePr>
            <w:numRestart w:val="eachSect"/>
          </w:footnotePr>
          <w:pgSz w:w="11906" w:h="16838"/>
          <w:pgMar w:top="1440" w:right="1440" w:bottom="1440" w:left="1440" w:header="708" w:footer="708" w:gutter="0"/>
          <w:cols w:space="708"/>
          <w:docGrid w:linePitch="360"/>
        </w:sectPr>
      </w:pPr>
    </w:p>
    <w:p w14:paraId="383BA7B8" w14:textId="6B857B71" w:rsidR="00ED1222" w:rsidRPr="00ED1222" w:rsidRDefault="00ED1222" w:rsidP="0002762F">
      <w:pPr>
        <w:pStyle w:val="ATHeading3"/>
      </w:pPr>
      <w:r w:rsidRPr="00ED1222">
        <w:lastRenderedPageBreak/>
        <w:t>26. Euroopa Parlamendi 7. mai 2025. aasta otsus Euroopa Soolise Võrdõiguslikkuse Instituudi 2023. aasta raamatupidamiskontode sulgemise kohta</w:t>
      </w:r>
      <w:r w:rsidR="00A87338">
        <w:t xml:space="preserve"> </w:t>
      </w:r>
      <w:r w:rsidRPr="00ED1222">
        <w:t>(2024/2030(DEC))</w:t>
      </w:r>
    </w:p>
    <w:p w14:paraId="12DA6D7A" w14:textId="77777777" w:rsidR="0002762F" w:rsidRPr="00ED1222" w:rsidRDefault="0002762F" w:rsidP="0002762F">
      <w:pPr>
        <w:spacing w:before="480" w:after="240"/>
        <w:rPr>
          <w:i/>
          <w:kern w:val="2"/>
          <w14:ligatures w14:val="standardContextual"/>
        </w:rPr>
      </w:pPr>
      <w:r w:rsidRPr="00ED1222">
        <w:rPr>
          <w:i/>
          <w:kern w:val="2"/>
          <w14:ligatures w14:val="standardContextual"/>
        </w:rPr>
        <w:t>Euroopa Parlament,</w:t>
      </w:r>
    </w:p>
    <w:p w14:paraId="434FE2A0"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Soolise Võrdõiguslikkuse Instituudi 2023. aasta lõplikku raamatupidamisaruannet,</w:t>
      </w:r>
    </w:p>
    <w:p w14:paraId="6AB5ED3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kontrollikoja aastaaruannet ELi asutuste eelarveaasta 2023 kohta koos asutuste vastustega</w:t>
      </w:r>
      <w:r w:rsidRPr="00ED1222">
        <w:rPr>
          <w:kern w:val="2"/>
          <w:vertAlign w:val="superscript"/>
          <w14:ligatures w14:val="standardContextual"/>
        </w:rPr>
        <w:footnoteReference w:id="151"/>
      </w:r>
      <w:r w:rsidRPr="00ED1222">
        <w:rPr>
          <w:kern w:val="2"/>
          <w14:ligatures w14:val="standardContextual"/>
        </w:rPr>
        <w:t>,</w:t>
      </w:r>
    </w:p>
    <w:p w14:paraId="605A2FB2"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vastavalt Euroopa Liidu toimimise lepingu artiklile 287 tehtud kontrollikoja kinnitavat avaldust</w:t>
      </w:r>
      <w:r w:rsidRPr="00ED1222">
        <w:rPr>
          <w:kern w:val="2"/>
          <w:vertAlign w:val="superscript"/>
          <w14:ligatures w14:val="standardContextual"/>
        </w:rPr>
        <w:footnoteReference w:id="152"/>
      </w:r>
      <w:r w:rsidRPr="00ED1222">
        <w:rPr>
          <w:kern w:val="2"/>
          <w14:ligatures w14:val="standardContextual"/>
        </w:rPr>
        <w:t xml:space="preserve"> 2023. aasta raamatupidamiskontode usaldatavuse ja nende aluseks olevate tehingute seaduslikkuse ja korrektsuse kohta,</w:t>
      </w:r>
    </w:p>
    <w:p w14:paraId="7EE49BE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nõukogu 17. veebruari 2025. aasta soovitust instituudi tegevusele heakskiidu andmise kohta 2023. aasta eelarve täitmisel (05755/2025 – C10</w:t>
      </w:r>
      <w:r w:rsidRPr="00ED1222">
        <w:rPr>
          <w:kern w:val="2"/>
          <w14:ligatures w14:val="standardContextual"/>
        </w:rPr>
        <w:noBreakHyphen/>
        <w:t>0024/2025),</w:t>
      </w:r>
    </w:p>
    <w:p w14:paraId="233DB76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toimimise lepingu artiklit 319,</w:t>
      </w:r>
    </w:p>
    <w:p w14:paraId="11B18CD0"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18. juuli 2018. aasta määrust (EL, Euratom) 2018/1046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ED1222">
        <w:rPr>
          <w:kern w:val="2"/>
          <w:vertAlign w:val="superscript"/>
          <w14:ligatures w14:val="standardContextual"/>
        </w:rPr>
        <w:footnoteReference w:id="153"/>
      </w:r>
      <w:r w:rsidRPr="00ED1222">
        <w:rPr>
          <w:kern w:val="2"/>
          <w14:ligatures w14:val="standardContextual"/>
        </w:rPr>
        <w:t xml:space="preserve"> eriti selle artiklit 70,</w:t>
      </w:r>
    </w:p>
    <w:p w14:paraId="6373C959"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23. septembri 2024. aasta määrust (EL, Euratom) 2024/2509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w:t>
      </w:r>
      <w:r w:rsidRPr="00ED1222">
        <w:rPr>
          <w:kern w:val="2"/>
          <w:vertAlign w:val="superscript"/>
          <w14:ligatures w14:val="standardContextual"/>
        </w:rPr>
        <w:footnoteReference w:id="154"/>
      </w:r>
      <w:r w:rsidRPr="00ED1222">
        <w:rPr>
          <w:kern w:val="2"/>
          <w14:ligatures w14:val="standardContextual"/>
        </w:rPr>
        <w:t xml:space="preserve"> eriti selle artiklit 70,</w:t>
      </w:r>
    </w:p>
    <w:p w14:paraId="6C00479A"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Parlamendi ja nõukogu 20. detsembri 2006. aasta määrust (EÜ) nr 1922/2006 (millega luuakse Euroopa Soolise Võrdõiguslikkuse Instituut),</w:t>
      </w:r>
      <w:r w:rsidRPr="00ED1222">
        <w:rPr>
          <w:kern w:val="2"/>
          <w:vertAlign w:val="superscript"/>
          <w14:ligatures w14:val="standardContextual"/>
        </w:rPr>
        <w:footnoteReference w:id="155"/>
      </w:r>
      <w:r w:rsidRPr="00ED1222">
        <w:rPr>
          <w:kern w:val="2"/>
          <w14:ligatures w14:val="standardContextual"/>
        </w:rPr>
        <w:t xml:space="preserve"> eriti selle artiklit 15,</w:t>
      </w:r>
    </w:p>
    <w:p w14:paraId="61C7CAD7"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ED1222">
        <w:rPr>
          <w:kern w:val="2"/>
          <w:vertAlign w:val="superscript"/>
          <w14:ligatures w14:val="standardContextual"/>
        </w:rPr>
        <w:footnoteReference w:id="156"/>
      </w:r>
      <w:r w:rsidRPr="00ED1222">
        <w:rPr>
          <w:kern w:val="2"/>
          <w14:ligatures w14:val="standardContextual"/>
        </w:rPr>
        <w:t xml:space="preserve"> eriti selle artiklit 105,</w:t>
      </w:r>
    </w:p>
    <w:p w14:paraId="48BD898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kodukorra artiklit 102 ja V lisa,</w:t>
      </w:r>
    </w:p>
    <w:p w14:paraId="2A51B757"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tööhõive- ja sotsiaalkomisjoni, keskkonna-, kliima- ja toiduohutuse </w:t>
      </w:r>
      <w:r w:rsidRPr="00ED1222">
        <w:rPr>
          <w:kern w:val="2"/>
          <w14:ligatures w14:val="standardContextual"/>
        </w:rPr>
        <w:lastRenderedPageBreak/>
        <w:t>komisjoni, transpordi- ja turismikomisjoni, kalanduskomisjoni, kultuuri- ja hariduskomisjoni, kodanikuvabaduste, justiits- ja siseasjade komisjoni ning naiste õiguste ja soolise võrdõiguslikkuse komisjoni arvamusi,</w:t>
      </w:r>
    </w:p>
    <w:p w14:paraId="1BF36065"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eelarvekontrollikomisjoni raportit (A10-0065/2025),</w:t>
      </w:r>
    </w:p>
    <w:p w14:paraId="62C5C9B9"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w:t>
      </w:r>
      <w:r w:rsidRPr="00ED1222">
        <w:rPr>
          <w:kern w:val="2"/>
          <w14:ligatures w14:val="standardContextual"/>
        </w:rPr>
        <w:tab/>
        <w:t>annab heakskiidu Euroopa Soolise Võrdõiguslikkuse Instituudi 2023. aasta raamatupidamiskontode sulgemisele;</w:t>
      </w:r>
    </w:p>
    <w:p w14:paraId="58D89F8A"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2.</w:t>
      </w:r>
      <w:r w:rsidRPr="00ED1222">
        <w:rPr>
          <w:kern w:val="2"/>
          <w14:ligatures w14:val="standardContextual"/>
        </w:rPr>
        <w:tab/>
        <w:t xml:space="preserve">teeb presidendile ülesandeks edastada käesolev otsus Euroopa Soolise Võrdõiguslikkuse Instituudi direktorile, nõukogule, komisjonile ja kontrollikojale ning korraldada selle avaldamine </w:t>
      </w:r>
      <w:r w:rsidRPr="00ED1222">
        <w:rPr>
          <w:i/>
          <w:kern w:val="2"/>
          <w14:ligatures w14:val="standardContextual"/>
        </w:rPr>
        <w:t>Euroopa Liidu Teatajas</w:t>
      </w:r>
      <w:r w:rsidRPr="00ED1222">
        <w:rPr>
          <w:kern w:val="2"/>
          <w14:ligatures w14:val="standardContextual"/>
        </w:rPr>
        <w:t xml:space="preserve"> (L-seerias).</w:t>
      </w:r>
    </w:p>
    <w:p w14:paraId="096D491A" w14:textId="77777777" w:rsidR="00ED1222" w:rsidRPr="00ED1222" w:rsidRDefault="00ED1222" w:rsidP="00ED1222">
      <w:pPr>
        <w:widowControl/>
        <w:jc w:val="both"/>
        <w:rPr>
          <w:rFonts w:eastAsia="Aptos"/>
          <w:kern w:val="2"/>
          <w:szCs w:val="24"/>
          <w:lang w:eastAsia="en-US"/>
          <w14:ligatures w14:val="standardContextual"/>
        </w:rPr>
        <w:sectPr w:rsidR="00ED1222" w:rsidRPr="00ED1222" w:rsidSect="00ED1222">
          <w:footnotePr>
            <w:numRestart w:val="eachSect"/>
          </w:footnotePr>
          <w:pgSz w:w="11906" w:h="16838"/>
          <w:pgMar w:top="1440" w:right="1440" w:bottom="1440" w:left="1440" w:header="708" w:footer="708" w:gutter="0"/>
          <w:cols w:space="708"/>
          <w:docGrid w:linePitch="360"/>
        </w:sectPr>
      </w:pPr>
    </w:p>
    <w:p w14:paraId="409A275D" w14:textId="77777777" w:rsidR="00ED1222" w:rsidRPr="00ED1222" w:rsidRDefault="00ED1222" w:rsidP="0002762F">
      <w:pPr>
        <w:pStyle w:val="ATHeading3"/>
      </w:pPr>
      <w:r w:rsidRPr="00ED1222">
        <w:lastRenderedPageBreak/>
        <w:t>27. Euroopa Parlamendi 7. mai 2025. aasta otsus Euroopa Kindlustus- ja Tööandjapensionide Järelevalve 2023. aasta eelarve täitmisele heakskiidu andmise kohta (2024/2030(DEC))</w:t>
      </w:r>
    </w:p>
    <w:p w14:paraId="57AAE38B" w14:textId="77777777" w:rsidR="0002762F" w:rsidRPr="00ED1222" w:rsidRDefault="0002762F" w:rsidP="0002762F">
      <w:pPr>
        <w:spacing w:before="480" w:after="240"/>
        <w:rPr>
          <w:i/>
          <w:kern w:val="2"/>
          <w14:ligatures w14:val="standardContextual"/>
        </w:rPr>
      </w:pPr>
      <w:r w:rsidRPr="00ED1222">
        <w:rPr>
          <w:i/>
          <w:kern w:val="2"/>
          <w14:ligatures w14:val="standardContextual"/>
        </w:rPr>
        <w:t>Euroopa Parlament,</w:t>
      </w:r>
    </w:p>
    <w:p w14:paraId="0CA9656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Kindlustus- ja Tööandjapensionide Järelevalve 2023. aasta lõplikku raamatupidamisaruannet,</w:t>
      </w:r>
    </w:p>
    <w:p w14:paraId="59A3AAD5"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kontrollikoja aastaaruannet ELi asutuste eelarveaasta 2023 kohta koos asutuste vastustega</w:t>
      </w:r>
      <w:r w:rsidRPr="00ED1222">
        <w:rPr>
          <w:kern w:val="2"/>
          <w:vertAlign w:val="superscript"/>
          <w14:ligatures w14:val="standardContextual"/>
        </w:rPr>
        <w:footnoteReference w:id="157"/>
      </w:r>
      <w:r w:rsidRPr="00ED1222">
        <w:rPr>
          <w:kern w:val="2"/>
          <w14:ligatures w14:val="standardContextual"/>
        </w:rPr>
        <w:t>,</w:t>
      </w:r>
    </w:p>
    <w:p w14:paraId="76DD90BB"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vastavalt Euroopa Liidu toimimise lepingu artiklile 287 tehtud kontrollikoja kinnitavat avaldust</w:t>
      </w:r>
      <w:r w:rsidRPr="00ED1222">
        <w:rPr>
          <w:kern w:val="2"/>
          <w:vertAlign w:val="superscript"/>
          <w14:ligatures w14:val="standardContextual"/>
        </w:rPr>
        <w:footnoteReference w:id="158"/>
      </w:r>
      <w:r w:rsidRPr="00ED1222">
        <w:rPr>
          <w:kern w:val="2"/>
          <w14:ligatures w14:val="standardContextual"/>
        </w:rPr>
        <w:t xml:space="preserve"> 2023. aasta raamatupidamiskontode usaldatavuse ja nende aluseks olevate tehingute seaduslikkuse ja korrektsuse kohta,</w:t>
      </w:r>
    </w:p>
    <w:p w14:paraId="2D065098"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nõukogu 17. veebruari 2025. aasta soovitust asutuse tegevusele heakskiidu andmise kohta 2023. aasta eelarve täitmisel (05755/2025 – C10</w:t>
      </w:r>
      <w:r w:rsidRPr="00ED1222">
        <w:rPr>
          <w:kern w:val="2"/>
          <w14:ligatures w14:val="standardContextual"/>
        </w:rPr>
        <w:noBreakHyphen/>
        <w:t>0024/2025),</w:t>
      </w:r>
    </w:p>
    <w:p w14:paraId="664E9808"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toimimise lepingu artiklit 319,</w:t>
      </w:r>
    </w:p>
    <w:p w14:paraId="702B4950"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18. juuli 2018. aasta määrust (EL, Euratom) 2018/1046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ED1222">
        <w:rPr>
          <w:kern w:val="2"/>
          <w:vertAlign w:val="superscript"/>
          <w14:ligatures w14:val="standardContextual"/>
        </w:rPr>
        <w:footnoteReference w:id="159"/>
      </w:r>
      <w:r w:rsidRPr="00ED1222">
        <w:rPr>
          <w:kern w:val="2"/>
          <w14:ligatures w14:val="standardContextual"/>
        </w:rPr>
        <w:t xml:space="preserve"> eriti selle artiklit 70,</w:t>
      </w:r>
    </w:p>
    <w:p w14:paraId="47A87D2B"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23. septembri 2024. aasta määrust (EL, Euratom) 2024/2509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w:t>
      </w:r>
      <w:r w:rsidRPr="00ED1222">
        <w:rPr>
          <w:kern w:val="2"/>
          <w:vertAlign w:val="superscript"/>
          <w14:ligatures w14:val="standardContextual"/>
        </w:rPr>
        <w:footnoteReference w:id="160"/>
      </w:r>
      <w:r w:rsidRPr="00ED1222">
        <w:rPr>
          <w:kern w:val="2"/>
          <w14:ligatures w14:val="standardContextual"/>
        </w:rPr>
        <w:t xml:space="preserve"> eriti selle artiklit 70,</w:t>
      </w:r>
    </w:p>
    <w:p w14:paraId="25D6C53F"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Parlamendi ja nõukogu 24. novembri 2010. aasta määrust (EL) nr 1094/2010 (millega asutatakse Euroopa Järelevalveasutus (Euroopa Kindlustus- ja Tööandjapensionide Järelevalve), muudetakse otsust nr 716/2009/EÜ ning tunnistatakse kehtetuks komisjoni otsus 2009/79/EÜ),</w:t>
      </w:r>
      <w:r w:rsidRPr="00ED1222">
        <w:rPr>
          <w:kern w:val="2"/>
          <w:vertAlign w:val="superscript"/>
          <w14:ligatures w14:val="standardContextual"/>
        </w:rPr>
        <w:footnoteReference w:id="161"/>
      </w:r>
      <w:r w:rsidRPr="00ED1222">
        <w:rPr>
          <w:kern w:val="2"/>
          <w14:ligatures w14:val="standardContextual"/>
        </w:rPr>
        <w:t xml:space="preserve"> eriti selle artiklit 64,</w:t>
      </w:r>
    </w:p>
    <w:p w14:paraId="3B59C792"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ED1222">
        <w:rPr>
          <w:kern w:val="2"/>
          <w:vertAlign w:val="superscript"/>
          <w14:ligatures w14:val="standardContextual"/>
        </w:rPr>
        <w:footnoteReference w:id="162"/>
      </w:r>
      <w:r w:rsidRPr="00ED1222">
        <w:rPr>
          <w:kern w:val="2"/>
          <w14:ligatures w14:val="standardContextual"/>
        </w:rPr>
        <w:t xml:space="preserve"> eriti selle artiklit 105,</w:t>
      </w:r>
    </w:p>
    <w:p w14:paraId="7E4A0307"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lastRenderedPageBreak/>
        <w:t>–</w:t>
      </w:r>
      <w:r w:rsidRPr="00ED1222">
        <w:rPr>
          <w:kern w:val="2"/>
          <w14:ligatures w14:val="standardContextual"/>
        </w:rPr>
        <w:tab/>
        <w:t>võttes arvesse kodukorra artiklit 102 ja V lisa,</w:t>
      </w:r>
    </w:p>
    <w:p w14:paraId="78631F52"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tööhõive- ja sotsiaalkomisjoni, keskkonna-, kliima- ja toiduohutuse komisjoni, transpordi- ja turismikomisjoni, kalanduskomisjoni, kultuuri- ja hariduskomisjoni, kodanikuvabaduste, justiits- ja siseasjade komisjoni ning naiste õiguste ja soolise võrdõiguslikkuse komisjoni arvamusi,</w:t>
      </w:r>
    </w:p>
    <w:p w14:paraId="0DB58FB1"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eelarvekontrollikomisjoni raportit (A10-0065/2025),</w:t>
      </w:r>
    </w:p>
    <w:p w14:paraId="0956395E"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w:t>
      </w:r>
      <w:r w:rsidRPr="00ED1222">
        <w:rPr>
          <w:kern w:val="2"/>
          <w14:ligatures w14:val="standardContextual"/>
        </w:rPr>
        <w:tab/>
        <w:t>annab heakskiidu Euroopa Kindlustus- ja Tööandjapensionide Järelevalve tegevdirektori tegevusele asutuse 2023. aasta eelarve täitmisel;</w:t>
      </w:r>
    </w:p>
    <w:p w14:paraId="4BE38A3D"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2.</w:t>
      </w:r>
      <w:r w:rsidRPr="00ED1222">
        <w:rPr>
          <w:kern w:val="2"/>
          <w14:ligatures w14:val="standardContextual"/>
        </w:rPr>
        <w:tab/>
        <w:t>esitab oma tähelepanekud alltoodud resolutsioonis;</w:t>
      </w:r>
    </w:p>
    <w:p w14:paraId="733B1DC0"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3.</w:t>
      </w:r>
      <w:r w:rsidRPr="00ED1222">
        <w:rPr>
          <w:kern w:val="2"/>
          <w14:ligatures w14:val="standardContextual"/>
        </w:rPr>
        <w:tab/>
        <w:t xml:space="preserve">teeb presidendile ülesandeks edastada käesolev otsus ja resolutsioon, mis on selle lahutamatu osa, Euroopa Kindlustus- ja Tööandjapensionide Järelevalve tegevdirektorile, nõukogule, komisjonile ja kontrollikojale ning korraldada nende avaldamine </w:t>
      </w:r>
      <w:r w:rsidRPr="00ED1222">
        <w:rPr>
          <w:i/>
          <w:kern w:val="2"/>
          <w14:ligatures w14:val="standardContextual"/>
        </w:rPr>
        <w:t>Euroopa Liidu Teatajas</w:t>
      </w:r>
      <w:r w:rsidRPr="00ED1222">
        <w:rPr>
          <w:kern w:val="2"/>
          <w14:ligatures w14:val="standardContextual"/>
        </w:rPr>
        <w:t xml:space="preserve"> (L-seerias).</w:t>
      </w:r>
    </w:p>
    <w:p w14:paraId="3DF1358D" w14:textId="77777777" w:rsidR="00ED1222" w:rsidRPr="00ED1222" w:rsidRDefault="00ED1222" w:rsidP="00ED1222">
      <w:pPr>
        <w:widowControl/>
        <w:jc w:val="both"/>
        <w:rPr>
          <w:rFonts w:eastAsia="Aptos"/>
          <w:kern w:val="2"/>
          <w:szCs w:val="24"/>
          <w:lang w:eastAsia="en-US"/>
          <w14:ligatures w14:val="standardContextual"/>
        </w:rPr>
        <w:sectPr w:rsidR="00ED1222" w:rsidRPr="00ED1222" w:rsidSect="00ED1222">
          <w:footnotePr>
            <w:numRestart w:val="eachSect"/>
          </w:footnotePr>
          <w:pgSz w:w="11906" w:h="16838"/>
          <w:pgMar w:top="1440" w:right="1440" w:bottom="1440" w:left="1440" w:header="708" w:footer="708" w:gutter="0"/>
          <w:cols w:space="708"/>
          <w:docGrid w:linePitch="360"/>
        </w:sectPr>
      </w:pPr>
    </w:p>
    <w:p w14:paraId="69A04427" w14:textId="77777777" w:rsidR="00ED1222" w:rsidRPr="00ED1222" w:rsidRDefault="00ED1222" w:rsidP="0002762F">
      <w:pPr>
        <w:pStyle w:val="ATHeading3"/>
      </w:pPr>
      <w:r w:rsidRPr="00ED1222">
        <w:lastRenderedPageBreak/>
        <w:t>28. Euroopa Parlamendi 7. mai 2025. aasta otsus Euroopa Kindlustus- ja Tööandjapensionide Järelevalve 2023. aasta raamatupidamiskontode sulgemise kohta (2024/2030(DEC))</w:t>
      </w:r>
    </w:p>
    <w:p w14:paraId="0F3928BC" w14:textId="77777777" w:rsidR="0002762F" w:rsidRPr="00ED1222" w:rsidRDefault="0002762F" w:rsidP="0002762F">
      <w:pPr>
        <w:spacing w:before="480" w:after="240"/>
        <w:rPr>
          <w:i/>
          <w:kern w:val="2"/>
          <w14:ligatures w14:val="standardContextual"/>
        </w:rPr>
      </w:pPr>
      <w:r w:rsidRPr="00ED1222">
        <w:rPr>
          <w:i/>
          <w:kern w:val="2"/>
          <w14:ligatures w14:val="standardContextual"/>
        </w:rPr>
        <w:t>Euroopa Parlament,</w:t>
      </w:r>
    </w:p>
    <w:p w14:paraId="36A031A1"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Kindlustus- ja Tööandjapensionide Järelevalve 2023. aasta lõplikku raamatupidamisaruannet,</w:t>
      </w:r>
    </w:p>
    <w:p w14:paraId="3A9CBDD0"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kontrollikoja aastaaruannet ELi asutuste eelarveaasta 2023 kohta koos asutuste vastustega</w:t>
      </w:r>
      <w:r w:rsidRPr="00ED1222">
        <w:rPr>
          <w:kern w:val="2"/>
          <w:vertAlign w:val="superscript"/>
          <w14:ligatures w14:val="standardContextual"/>
        </w:rPr>
        <w:footnoteReference w:id="163"/>
      </w:r>
      <w:r w:rsidRPr="00ED1222">
        <w:rPr>
          <w:kern w:val="2"/>
          <w14:ligatures w14:val="standardContextual"/>
        </w:rPr>
        <w:t>,</w:t>
      </w:r>
    </w:p>
    <w:p w14:paraId="2A2AA39D"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vastavalt Euroopa Liidu toimimise lepingu artiklile 287 tehtud kontrollikoja kinnitavat avaldust</w:t>
      </w:r>
      <w:r w:rsidRPr="00ED1222">
        <w:rPr>
          <w:kern w:val="2"/>
          <w:vertAlign w:val="superscript"/>
          <w14:ligatures w14:val="standardContextual"/>
        </w:rPr>
        <w:footnoteReference w:id="164"/>
      </w:r>
      <w:r w:rsidRPr="00ED1222">
        <w:rPr>
          <w:kern w:val="2"/>
          <w14:ligatures w14:val="standardContextual"/>
        </w:rPr>
        <w:t xml:space="preserve"> 2023. aasta raamatupidamiskontode usaldatavuse ja nende aluseks olevate tehingute seaduslikkuse ja korrektsuse kohta,</w:t>
      </w:r>
    </w:p>
    <w:p w14:paraId="40D389B7"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nõukogu 17. veebruari 2025. aasta soovitust asutuse tegevusele heakskiidu andmise kohta 2023. aasta eelarve täitmisel (05755/2025 – C10</w:t>
      </w:r>
      <w:r w:rsidRPr="00ED1222">
        <w:rPr>
          <w:kern w:val="2"/>
          <w14:ligatures w14:val="standardContextual"/>
        </w:rPr>
        <w:noBreakHyphen/>
        <w:t>0024/2025),</w:t>
      </w:r>
    </w:p>
    <w:p w14:paraId="0E56F67E"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toimimise lepingu artiklit 319,</w:t>
      </w:r>
    </w:p>
    <w:p w14:paraId="393AFE6A"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18. juuli 2018. aasta määrust (EL, Euratom) 2018/1046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ED1222">
        <w:rPr>
          <w:kern w:val="2"/>
          <w:vertAlign w:val="superscript"/>
          <w14:ligatures w14:val="standardContextual"/>
        </w:rPr>
        <w:footnoteReference w:id="165"/>
      </w:r>
      <w:r w:rsidRPr="00ED1222">
        <w:rPr>
          <w:kern w:val="2"/>
          <w14:ligatures w14:val="standardContextual"/>
        </w:rPr>
        <w:t xml:space="preserve"> eriti selle artiklit 70,</w:t>
      </w:r>
    </w:p>
    <w:p w14:paraId="273EFCA7"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23. septembri 2024. aasta määrust (EL, Euratom) 2024/2509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w:t>
      </w:r>
      <w:r w:rsidRPr="00ED1222">
        <w:rPr>
          <w:kern w:val="2"/>
          <w:vertAlign w:val="superscript"/>
          <w14:ligatures w14:val="standardContextual"/>
        </w:rPr>
        <w:footnoteReference w:id="166"/>
      </w:r>
      <w:r w:rsidRPr="00ED1222">
        <w:rPr>
          <w:kern w:val="2"/>
          <w14:ligatures w14:val="standardContextual"/>
        </w:rPr>
        <w:t xml:space="preserve"> eriti selle artiklit 70,</w:t>
      </w:r>
    </w:p>
    <w:p w14:paraId="366F6BD5"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Parlamendi ja nõukogu 24. novembri 2010. aasta määrust (EL) nr 1094/2010 (millega asutatakse Euroopa Järelevalveasutus (Euroopa Kindlustus- ja Tööandjapensionide Järelevalve), muudetakse otsust nr 716/2009/EÜ ning tunnistatakse kehtetuks komisjoni otsus 2009/79/EÜ),</w:t>
      </w:r>
      <w:r w:rsidRPr="00ED1222">
        <w:rPr>
          <w:kern w:val="2"/>
          <w:vertAlign w:val="superscript"/>
          <w14:ligatures w14:val="standardContextual"/>
        </w:rPr>
        <w:footnoteReference w:id="167"/>
      </w:r>
      <w:r w:rsidRPr="00ED1222">
        <w:rPr>
          <w:kern w:val="2"/>
          <w14:ligatures w14:val="standardContextual"/>
        </w:rPr>
        <w:t xml:space="preserve"> eriti selle artiklit 64,</w:t>
      </w:r>
    </w:p>
    <w:p w14:paraId="6B88AA0F"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ED1222">
        <w:rPr>
          <w:kern w:val="2"/>
          <w:vertAlign w:val="superscript"/>
          <w14:ligatures w14:val="standardContextual"/>
        </w:rPr>
        <w:footnoteReference w:id="168"/>
      </w:r>
      <w:r w:rsidRPr="00ED1222">
        <w:rPr>
          <w:kern w:val="2"/>
          <w14:ligatures w14:val="standardContextual"/>
        </w:rPr>
        <w:t xml:space="preserve"> eriti selle artiklit 105,</w:t>
      </w:r>
    </w:p>
    <w:p w14:paraId="74F0FFED"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lastRenderedPageBreak/>
        <w:t>–</w:t>
      </w:r>
      <w:r w:rsidRPr="00ED1222">
        <w:rPr>
          <w:kern w:val="2"/>
          <w14:ligatures w14:val="standardContextual"/>
        </w:rPr>
        <w:tab/>
        <w:t>võttes arvesse kodukorra artiklit 102 ja V lisa,</w:t>
      </w:r>
    </w:p>
    <w:p w14:paraId="5C971850"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tööhõive- ja sotsiaalkomisjoni, keskkonna-, kliima- ja toiduohutuse komisjoni, transpordi- ja turismikomisjoni, kalanduskomisjoni, kultuuri- ja hariduskomisjoni, kodanikuvabaduste, justiits- ja siseasjade komisjoni ning naiste õiguste ja soolise võrdõiguslikkuse komisjoni arvamusi,</w:t>
      </w:r>
    </w:p>
    <w:p w14:paraId="2B8CA09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eelarvekontrollikomisjoni raportit (A10-0065/2025),</w:t>
      </w:r>
    </w:p>
    <w:p w14:paraId="4CF96712"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w:t>
      </w:r>
      <w:r w:rsidRPr="00ED1222">
        <w:rPr>
          <w:kern w:val="2"/>
          <w14:ligatures w14:val="standardContextual"/>
        </w:rPr>
        <w:tab/>
        <w:t>annab heakskiidu Euroopa Kindlustus- ja Tööandjapensionide Järelevalve 2023. aasta raamatupidamiskontode sulgemisele;</w:t>
      </w:r>
    </w:p>
    <w:p w14:paraId="16F3E972"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2.</w:t>
      </w:r>
      <w:r w:rsidRPr="00ED1222">
        <w:rPr>
          <w:kern w:val="2"/>
          <w14:ligatures w14:val="standardContextual"/>
        </w:rPr>
        <w:tab/>
        <w:t xml:space="preserve">teeb presidendile ülesandeks edastada käesolev otsus Euroopa Kindlustus- ja Tööandjapensionide Järelevalve tegevdirektorile, nõukogule, komisjonile ja kontrollikojale ning korraldada selle avaldamine </w:t>
      </w:r>
      <w:r w:rsidRPr="00ED1222">
        <w:rPr>
          <w:i/>
          <w:kern w:val="2"/>
          <w14:ligatures w14:val="standardContextual"/>
        </w:rPr>
        <w:t>Euroopa Liidu Teatajas</w:t>
      </w:r>
      <w:r w:rsidRPr="00ED1222">
        <w:rPr>
          <w:kern w:val="2"/>
          <w14:ligatures w14:val="standardContextual"/>
        </w:rPr>
        <w:t xml:space="preserve"> (L-seerias).</w:t>
      </w:r>
    </w:p>
    <w:p w14:paraId="264F6DF7" w14:textId="77777777" w:rsidR="00ED1222" w:rsidRPr="00ED1222" w:rsidRDefault="00ED1222" w:rsidP="00ED1222">
      <w:pPr>
        <w:widowControl/>
        <w:jc w:val="both"/>
        <w:rPr>
          <w:rFonts w:eastAsia="Aptos"/>
          <w:kern w:val="2"/>
          <w:szCs w:val="24"/>
          <w:lang w:eastAsia="en-US"/>
          <w14:ligatures w14:val="standardContextual"/>
        </w:rPr>
        <w:sectPr w:rsidR="00ED1222" w:rsidRPr="00ED1222" w:rsidSect="00ED1222">
          <w:footnotePr>
            <w:numRestart w:val="eachSect"/>
          </w:footnotePr>
          <w:pgSz w:w="11906" w:h="16838"/>
          <w:pgMar w:top="1440" w:right="1440" w:bottom="1440" w:left="1440" w:header="708" w:footer="708" w:gutter="0"/>
          <w:cols w:space="708"/>
          <w:docGrid w:linePitch="360"/>
        </w:sectPr>
      </w:pPr>
    </w:p>
    <w:p w14:paraId="503A755F" w14:textId="77777777" w:rsidR="00ED1222" w:rsidRPr="00ED1222" w:rsidRDefault="00ED1222" w:rsidP="0002762F">
      <w:pPr>
        <w:pStyle w:val="ATHeading3"/>
      </w:pPr>
      <w:r w:rsidRPr="00ED1222">
        <w:lastRenderedPageBreak/>
        <w:t>29. Euroopa Parlamendi 7. mai 2025. aasta otsus Euroopa Innovatsiooni- ja Tehnoloogiainstituudi 2023. aasta eelarve täitmisele heakskiidu andmise kohta (2024/2030(DEC))</w:t>
      </w:r>
    </w:p>
    <w:p w14:paraId="6DD6EBC9" w14:textId="77777777" w:rsidR="0002762F" w:rsidRPr="00ED1222" w:rsidRDefault="0002762F" w:rsidP="0002762F">
      <w:pPr>
        <w:spacing w:before="480" w:after="240"/>
        <w:rPr>
          <w:i/>
          <w:kern w:val="2"/>
          <w14:ligatures w14:val="standardContextual"/>
        </w:rPr>
      </w:pPr>
      <w:r w:rsidRPr="00ED1222">
        <w:rPr>
          <w:i/>
          <w:kern w:val="2"/>
          <w14:ligatures w14:val="standardContextual"/>
        </w:rPr>
        <w:t>Euroopa Parlament,</w:t>
      </w:r>
    </w:p>
    <w:p w14:paraId="69CCD141"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Innovatsiooni- ja Tehnoloogiainstituudi 2023. aasta lõplikku raamatupidamisaruannet,</w:t>
      </w:r>
    </w:p>
    <w:p w14:paraId="71849948"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kontrollikoja aastaaruannet ELi asutuste eelarveaasta 2023 kohta koos asutuste vastustega</w:t>
      </w:r>
      <w:r w:rsidRPr="00ED1222">
        <w:rPr>
          <w:kern w:val="2"/>
          <w:vertAlign w:val="superscript"/>
          <w14:ligatures w14:val="standardContextual"/>
        </w:rPr>
        <w:footnoteReference w:id="169"/>
      </w:r>
      <w:r w:rsidRPr="00ED1222">
        <w:rPr>
          <w:kern w:val="2"/>
          <w14:ligatures w14:val="standardContextual"/>
        </w:rPr>
        <w:t>,</w:t>
      </w:r>
    </w:p>
    <w:p w14:paraId="06F943DD"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vastavalt Euroopa Liidu toimimise lepingu artiklile 287 tehtud kontrollikoja kinnitavat avaldust</w:t>
      </w:r>
      <w:r w:rsidRPr="00ED1222">
        <w:rPr>
          <w:kern w:val="2"/>
          <w:vertAlign w:val="superscript"/>
          <w14:ligatures w14:val="standardContextual"/>
        </w:rPr>
        <w:footnoteReference w:id="170"/>
      </w:r>
      <w:r w:rsidRPr="00ED1222">
        <w:rPr>
          <w:kern w:val="2"/>
          <w14:ligatures w14:val="standardContextual"/>
        </w:rPr>
        <w:t xml:space="preserve"> 2023. aasta raamatupidamiskontode usaldatavuse ja nende aluseks olevate tehingute seaduslikkuse ja korrektsuse kohta,</w:t>
      </w:r>
    </w:p>
    <w:p w14:paraId="23AD2D8F"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nõukogu 17. veebruari 2025. aasta soovitust instituudi tegevusele heakskiidu andmise kohta 2023. aasta eelarve täitmisel (05755/2025 – C10</w:t>
      </w:r>
      <w:r w:rsidRPr="00ED1222">
        <w:rPr>
          <w:kern w:val="2"/>
          <w14:ligatures w14:val="standardContextual"/>
        </w:rPr>
        <w:noBreakHyphen/>
        <w:t>0024/2025),</w:t>
      </w:r>
    </w:p>
    <w:p w14:paraId="45B98A3C"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toimimise lepingu artiklit 319,</w:t>
      </w:r>
    </w:p>
    <w:p w14:paraId="79F8FDFB"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18. juuli 2018. aasta määrust (EL, Euratom) 2018/1046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ED1222">
        <w:rPr>
          <w:kern w:val="2"/>
          <w:vertAlign w:val="superscript"/>
          <w14:ligatures w14:val="standardContextual"/>
        </w:rPr>
        <w:footnoteReference w:id="171"/>
      </w:r>
      <w:r w:rsidRPr="00ED1222">
        <w:rPr>
          <w:kern w:val="2"/>
          <w14:ligatures w14:val="standardContextual"/>
        </w:rPr>
        <w:t xml:space="preserve"> eriti selle artiklit 70,</w:t>
      </w:r>
    </w:p>
    <w:p w14:paraId="60346C62"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23. septembri 2024. aasta määrust (EL, Euratom) 2024/2509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w:t>
      </w:r>
      <w:r w:rsidRPr="00ED1222">
        <w:rPr>
          <w:kern w:val="2"/>
          <w:vertAlign w:val="superscript"/>
          <w14:ligatures w14:val="standardContextual"/>
        </w:rPr>
        <w:footnoteReference w:id="172"/>
      </w:r>
      <w:r w:rsidRPr="00ED1222">
        <w:rPr>
          <w:kern w:val="2"/>
          <w14:ligatures w14:val="standardContextual"/>
        </w:rPr>
        <w:t xml:space="preserve"> eriti selle artiklit 70,</w:t>
      </w:r>
    </w:p>
    <w:p w14:paraId="562EE283"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Parlamendi ja nõukogu 20. mai 2021. aasta määrust (EL) 2021/819 Euroopa Innovatsiooni- ja Tehnoloogiainstituudi kohta,</w:t>
      </w:r>
      <w:r w:rsidRPr="00ED1222">
        <w:rPr>
          <w:kern w:val="2"/>
          <w:vertAlign w:val="superscript"/>
          <w14:ligatures w14:val="standardContextual"/>
        </w:rPr>
        <w:footnoteReference w:id="173"/>
      </w:r>
      <w:r w:rsidRPr="00ED1222">
        <w:rPr>
          <w:kern w:val="2"/>
          <w14:ligatures w14:val="standardContextual"/>
        </w:rPr>
        <w:t xml:space="preserve"> eriti selle artiklit 23,</w:t>
      </w:r>
    </w:p>
    <w:p w14:paraId="5FB49F8B"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ED1222">
        <w:rPr>
          <w:kern w:val="2"/>
          <w:vertAlign w:val="superscript"/>
          <w14:ligatures w14:val="standardContextual"/>
        </w:rPr>
        <w:footnoteReference w:id="174"/>
      </w:r>
      <w:r w:rsidRPr="00ED1222">
        <w:rPr>
          <w:kern w:val="2"/>
          <w14:ligatures w14:val="standardContextual"/>
        </w:rPr>
        <w:t xml:space="preserve"> eriti selle artiklit 105,</w:t>
      </w:r>
    </w:p>
    <w:p w14:paraId="2F597D2D"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kodukorra artiklit 102 ja V lisa,</w:t>
      </w:r>
    </w:p>
    <w:p w14:paraId="1723ED7C"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lastRenderedPageBreak/>
        <w:t>–</w:t>
      </w:r>
      <w:r w:rsidRPr="00ED1222">
        <w:rPr>
          <w:kern w:val="2"/>
          <w14:ligatures w14:val="standardContextual"/>
        </w:rPr>
        <w:tab/>
        <w:t>võttes arvesse tööhõive- ja sotsiaalkomisjoni, keskkonna-, kliima- ja toiduohutuse komisjoni, transpordi- ja turismikomisjoni, kalanduskomisjoni, kultuuri- ja hariduskomisjoni, kodanikuvabaduste, justiits- ja siseasjade komisjoni ning naiste õiguste ja soolise võrdõiguslikkuse komisjoni arvamusi,</w:t>
      </w:r>
    </w:p>
    <w:p w14:paraId="585A621F"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eelarvekontrollikomisjoni raportit (A10-0065/2025),</w:t>
      </w:r>
    </w:p>
    <w:p w14:paraId="1E732252"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w:t>
      </w:r>
      <w:r w:rsidRPr="00ED1222">
        <w:rPr>
          <w:kern w:val="2"/>
          <w14:ligatures w14:val="standardContextual"/>
        </w:rPr>
        <w:tab/>
        <w:t>annab heakskiidu Euroopa Innovatsiooni- ja Tehnoloogiainstituudi direktori tegevusele instituudi 2023. aasta eelarve täitmisel;</w:t>
      </w:r>
    </w:p>
    <w:p w14:paraId="41F85C3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2.</w:t>
      </w:r>
      <w:r w:rsidRPr="00ED1222">
        <w:rPr>
          <w:kern w:val="2"/>
          <w14:ligatures w14:val="standardContextual"/>
        </w:rPr>
        <w:tab/>
        <w:t>esitab oma tähelepanekud alltoodud resolutsioonis;</w:t>
      </w:r>
    </w:p>
    <w:p w14:paraId="6FF654D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3.</w:t>
      </w:r>
      <w:r w:rsidRPr="00ED1222">
        <w:rPr>
          <w:kern w:val="2"/>
          <w14:ligatures w14:val="standardContextual"/>
        </w:rPr>
        <w:tab/>
        <w:t xml:space="preserve">teeb presidendile ülesandeks edastada käesolev otsus ja resolutsioon, mis on selle lahutamatu osa, Euroopa Innovatsiooni- ja Tehnoloogiainstituudi direktorile, nõukogule, komisjonile ja kontrollikojale ning korraldada nende avaldamine </w:t>
      </w:r>
      <w:r w:rsidRPr="00ED1222">
        <w:rPr>
          <w:i/>
          <w:kern w:val="2"/>
          <w14:ligatures w14:val="standardContextual"/>
        </w:rPr>
        <w:t>Euroopa Liidu Teataja</w:t>
      </w:r>
      <w:r w:rsidRPr="00ED1222">
        <w:rPr>
          <w:kern w:val="2"/>
          <w14:ligatures w14:val="standardContextual"/>
        </w:rPr>
        <w:t>s (L-seerias).</w:t>
      </w:r>
    </w:p>
    <w:p w14:paraId="5821920C" w14:textId="77777777" w:rsidR="00ED1222" w:rsidRPr="00ED1222" w:rsidRDefault="00ED1222" w:rsidP="00ED1222">
      <w:pPr>
        <w:widowControl/>
        <w:jc w:val="both"/>
        <w:rPr>
          <w:rFonts w:eastAsia="Aptos"/>
          <w:kern w:val="2"/>
          <w:szCs w:val="24"/>
          <w:lang w:eastAsia="en-US"/>
          <w14:ligatures w14:val="standardContextual"/>
        </w:rPr>
        <w:sectPr w:rsidR="00ED1222" w:rsidRPr="00ED1222" w:rsidSect="00ED1222">
          <w:footnotePr>
            <w:numRestart w:val="eachSect"/>
          </w:footnotePr>
          <w:pgSz w:w="11906" w:h="16838"/>
          <w:pgMar w:top="1440" w:right="1440" w:bottom="1440" w:left="1440" w:header="708" w:footer="708" w:gutter="0"/>
          <w:cols w:space="708"/>
          <w:docGrid w:linePitch="360"/>
        </w:sectPr>
      </w:pPr>
    </w:p>
    <w:p w14:paraId="1AECBD63" w14:textId="77777777" w:rsidR="00ED1222" w:rsidRPr="00ED1222" w:rsidRDefault="00ED1222" w:rsidP="0002762F">
      <w:pPr>
        <w:pStyle w:val="ATHeading3"/>
      </w:pPr>
      <w:r w:rsidRPr="00ED1222">
        <w:lastRenderedPageBreak/>
        <w:t>30. Euroopa Parlamendi 7. mai 2025. aasta otsus Euroopa Innovatsiooni- ja Tehnoloogiainstituudi 2023. aasta raamatupidamiskontode sulgemise kohta (2024/2030(DEC))</w:t>
      </w:r>
    </w:p>
    <w:p w14:paraId="1F4E72C3" w14:textId="77777777" w:rsidR="0002762F" w:rsidRPr="00ED1222" w:rsidRDefault="0002762F" w:rsidP="0002762F">
      <w:pPr>
        <w:spacing w:before="480" w:after="240"/>
        <w:rPr>
          <w:i/>
          <w:kern w:val="2"/>
          <w14:ligatures w14:val="standardContextual"/>
        </w:rPr>
      </w:pPr>
      <w:r w:rsidRPr="00ED1222">
        <w:rPr>
          <w:i/>
          <w:kern w:val="2"/>
          <w14:ligatures w14:val="standardContextual"/>
        </w:rPr>
        <w:t>Euroopa Parlament,</w:t>
      </w:r>
    </w:p>
    <w:p w14:paraId="7D3658AC"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Innovatsiooni- ja Tehnoloogiainstituudi 2023. aasta lõplikku raamatupidamisaruannet,</w:t>
      </w:r>
    </w:p>
    <w:p w14:paraId="28F4A849"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kontrollikoja aastaaruannet ELi asutuste eelarveaasta 2023 kohta koos asutuste vastustega</w:t>
      </w:r>
      <w:r w:rsidRPr="00ED1222">
        <w:rPr>
          <w:kern w:val="2"/>
          <w:vertAlign w:val="superscript"/>
          <w14:ligatures w14:val="standardContextual"/>
        </w:rPr>
        <w:footnoteReference w:id="175"/>
      </w:r>
      <w:r w:rsidRPr="00ED1222">
        <w:rPr>
          <w:kern w:val="2"/>
          <w14:ligatures w14:val="standardContextual"/>
        </w:rPr>
        <w:t>,</w:t>
      </w:r>
    </w:p>
    <w:p w14:paraId="4CE8BE47"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vastavalt Euroopa Liidu toimimise lepingu artiklile 287 tehtud kontrollikoja kinnitavat avaldust</w:t>
      </w:r>
      <w:r w:rsidRPr="00ED1222">
        <w:rPr>
          <w:kern w:val="2"/>
          <w:vertAlign w:val="superscript"/>
          <w14:ligatures w14:val="standardContextual"/>
        </w:rPr>
        <w:footnoteReference w:id="176"/>
      </w:r>
      <w:r w:rsidRPr="00ED1222">
        <w:rPr>
          <w:kern w:val="2"/>
          <w14:ligatures w14:val="standardContextual"/>
        </w:rPr>
        <w:t xml:space="preserve"> 2023. aasta raamatupidamiskontode usaldatavuse ja nende aluseks olevate tehingute seaduslikkuse ja korrektsuse kohta,</w:t>
      </w:r>
    </w:p>
    <w:p w14:paraId="17D887C1"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nõukogu 17. veebruari 2025. aasta soovitust instituudi tegevusele heakskiidu andmise kohta 2023. aasta eelarve täitmisel (05755/2025 – C10</w:t>
      </w:r>
      <w:r w:rsidRPr="00ED1222">
        <w:rPr>
          <w:kern w:val="2"/>
          <w14:ligatures w14:val="standardContextual"/>
        </w:rPr>
        <w:noBreakHyphen/>
        <w:t>0024/2025),</w:t>
      </w:r>
    </w:p>
    <w:p w14:paraId="68DCC869"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toimimise lepingu artiklit 319,</w:t>
      </w:r>
    </w:p>
    <w:p w14:paraId="7901410D"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18. juuli 2018. aasta määrust (EL, Euratom) 2018/1046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ED1222">
        <w:rPr>
          <w:kern w:val="2"/>
          <w:vertAlign w:val="superscript"/>
          <w14:ligatures w14:val="standardContextual"/>
        </w:rPr>
        <w:footnoteReference w:id="177"/>
      </w:r>
      <w:r w:rsidRPr="00ED1222">
        <w:rPr>
          <w:kern w:val="2"/>
          <w14:ligatures w14:val="standardContextual"/>
        </w:rPr>
        <w:t xml:space="preserve"> eriti selle artiklit 70,</w:t>
      </w:r>
    </w:p>
    <w:p w14:paraId="402998EB"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23. septembri 2024. aasta määrust (EL, Euratom) 2024/2509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w:t>
      </w:r>
      <w:r w:rsidRPr="00ED1222">
        <w:rPr>
          <w:kern w:val="2"/>
          <w:vertAlign w:val="superscript"/>
          <w14:ligatures w14:val="standardContextual"/>
        </w:rPr>
        <w:footnoteReference w:id="178"/>
      </w:r>
      <w:r w:rsidRPr="00ED1222">
        <w:rPr>
          <w:kern w:val="2"/>
          <w14:ligatures w14:val="standardContextual"/>
        </w:rPr>
        <w:t xml:space="preserve"> eriti selle artiklit 70,</w:t>
      </w:r>
    </w:p>
    <w:p w14:paraId="16DC3954"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Parlamendi ja nõukogu 20. mai 2021. aasta määrust (EL) 2021/819 Euroopa Innovatsiooni- ja Tehnoloogiainstituudi kohta,</w:t>
      </w:r>
      <w:r w:rsidRPr="00ED1222">
        <w:rPr>
          <w:kern w:val="2"/>
          <w:vertAlign w:val="superscript"/>
          <w14:ligatures w14:val="standardContextual"/>
        </w:rPr>
        <w:footnoteReference w:id="179"/>
      </w:r>
      <w:r w:rsidRPr="00ED1222">
        <w:rPr>
          <w:kern w:val="2"/>
          <w14:ligatures w14:val="standardContextual"/>
        </w:rPr>
        <w:t xml:space="preserve"> eriti selle artiklit 23,</w:t>
      </w:r>
    </w:p>
    <w:p w14:paraId="199009B5"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ED1222">
        <w:rPr>
          <w:kern w:val="2"/>
          <w:vertAlign w:val="superscript"/>
          <w14:ligatures w14:val="standardContextual"/>
        </w:rPr>
        <w:footnoteReference w:id="180"/>
      </w:r>
      <w:r w:rsidRPr="00ED1222">
        <w:rPr>
          <w:kern w:val="2"/>
          <w14:ligatures w14:val="standardContextual"/>
        </w:rPr>
        <w:t xml:space="preserve"> eriti selle artiklit 105,</w:t>
      </w:r>
    </w:p>
    <w:p w14:paraId="45D13574"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kodukorra artiklit 102 ja V lisa,</w:t>
      </w:r>
    </w:p>
    <w:p w14:paraId="05FC6EAC"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lastRenderedPageBreak/>
        <w:t>–</w:t>
      </w:r>
      <w:r w:rsidRPr="00ED1222">
        <w:rPr>
          <w:kern w:val="2"/>
          <w14:ligatures w14:val="standardContextual"/>
        </w:rPr>
        <w:tab/>
        <w:t>võttes arvesse tööhõive- ja sotsiaalkomisjoni, keskkonna-, kliima- ja toiduohutuse komisjoni, transpordi- ja turismikomisjoni, kalanduskomisjoni, kultuuri- ja hariduskomisjoni, kodanikuvabaduste, justiits- ja siseasjade komisjoni ning naiste õiguste ja soolise võrdõiguslikkuse komisjoni arvamusi,</w:t>
      </w:r>
    </w:p>
    <w:p w14:paraId="402E738F"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eelarvekontrollikomisjoni raportit (A10-0065/2025),</w:t>
      </w:r>
    </w:p>
    <w:p w14:paraId="5113FBD5"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w:t>
      </w:r>
      <w:r w:rsidRPr="00ED1222">
        <w:rPr>
          <w:kern w:val="2"/>
          <w14:ligatures w14:val="standardContextual"/>
        </w:rPr>
        <w:tab/>
        <w:t>annab heakskiidu Euroopa Innovatsiooni- ja Tehnoloogiainstituudi 2023. aasta raamatupidamiskontode sulgemisele;</w:t>
      </w:r>
    </w:p>
    <w:p w14:paraId="06B0EDC7"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2.</w:t>
      </w:r>
      <w:r w:rsidRPr="00ED1222">
        <w:rPr>
          <w:kern w:val="2"/>
          <w14:ligatures w14:val="standardContextual"/>
        </w:rPr>
        <w:tab/>
        <w:t xml:space="preserve">teeb presidendile ülesandeks edastada käesolev otsus Euroopa Innovatsiooni- ja Tehnoloogiainstituudi direktorile, nõukogule, komisjonile ja kontrollikojale ning korraldada selle avaldamine </w:t>
      </w:r>
      <w:r w:rsidRPr="00ED1222">
        <w:rPr>
          <w:i/>
          <w:kern w:val="2"/>
          <w14:ligatures w14:val="standardContextual"/>
        </w:rPr>
        <w:t>Euroopa Liidu Teatajas</w:t>
      </w:r>
      <w:r w:rsidRPr="00ED1222">
        <w:rPr>
          <w:kern w:val="2"/>
          <w14:ligatures w14:val="standardContextual"/>
        </w:rPr>
        <w:t xml:space="preserve"> (L-seerias).</w:t>
      </w:r>
    </w:p>
    <w:p w14:paraId="4C9EA523" w14:textId="77777777" w:rsidR="00ED1222" w:rsidRPr="00ED1222" w:rsidRDefault="00ED1222" w:rsidP="00ED1222">
      <w:pPr>
        <w:widowControl/>
        <w:jc w:val="both"/>
        <w:rPr>
          <w:rFonts w:eastAsia="Aptos"/>
          <w:kern w:val="2"/>
          <w:szCs w:val="24"/>
          <w:lang w:eastAsia="en-US"/>
          <w14:ligatures w14:val="standardContextual"/>
        </w:rPr>
        <w:sectPr w:rsidR="00ED1222" w:rsidRPr="00ED1222" w:rsidSect="00ED1222">
          <w:footnotePr>
            <w:numRestart w:val="eachSect"/>
          </w:footnotePr>
          <w:pgSz w:w="11906" w:h="16838"/>
          <w:pgMar w:top="1440" w:right="1440" w:bottom="1440" w:left="1440" w:header="708" w:footer="708" w:gutter="0"/>
          <w:cols w:space="708"/>
          <w:docGrid w:linePitch="360"/>
        </w:sectPr>
      </w:pPr>
    </w:p>
    <w:p w14:paraId="7D32123E" w14:textId="22E7971E" w:rsidR="00ED1222" w:rsidRPr="00ED1222" w:rsidRDefault="00ED1222" w:rsidP="006F53D5">
      <w:pPr>
        <w:pStyle w:val="ATHeading3"/>
      </w:pPr>
      <w:r w:rsidRPr="00ED1222">
        <w:lastRenderedPageBreak/>
        <w:t>31. Euroopa Parlamendi 7. mai 2025. aasta otsus Euroopa Tööjõuameti 2023. aasta eelarve täitmisele heakskiidu andmise kohta</w:t>
      </w:r>
      <w:r w:rsidR="00A87338">
        <w:t xml:space="preserve"> </w:t>
      </w:r>
      <w:r w:rsidRPr="00ED1222">
        <w:t>(2024/2030(DEC))</w:t>
      </w:r>
    </w:p>
    <w:p w14:paraId="41134499" w14:textId="77777777" w:rsidR="006F53D5" w:rsidRPr="00ED1222" w:rsidRDefault="006F53D5" w:rsidP="006F53D5">
      <w:pPr>
        <w:spacing w:before="480" w:after="240"/>
        <w:rPr>
          <w:i/>
          <w:kern w:val="2"/>
          <w14:ligatures w14:val="standardContextual"/>
        </w:rPr>
      </w:pPr>
      <w:r w:rsidRPr="00ED1222">
        <w:rPr>
          <w:i/>
          <w:kern w:val="2"/>
          <w14:ligatures w14:val="standardContextual"/>
        </w:rPr>
        <w:t>Euroopa Parlament,</w:t>
      </w:r>
    </w:p>
    <w:p w14:paraId="7205DED4"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Tööjõuameti 2023. aasta lõplikku raamatupidamisaruannet,</w:t>
      </w:r>
    </w:p>
    <w:p w14:paraId="664272A2"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kontrollikoja aastaaruannet ELi asutuste eelarveaasta 2023 kohta koos asutuste vastustega</w:t>
      </w:r>
      <w:r w:rsidRPr="00ED1222">
        <w:rPr>
          <w:kern w:val="2"/>
          <w:vertAlign w:val="superscript"/>
          <w14:ligatures w14:val="standardContextual"/>
        </w:rPr>
        <w:footnoteReference w:id="181"/>
      </w:r>
      <w:r w:rsidRPr="00ED1222">
        <w:rPr>
          <w:kern w:val="2"/>
          <w14:ligatures w14:val="standardContextual"/>
        </w:rPr>
        <w:t>,</w:t>
      </w:r>
    </w:p>
    <w:p w14:paraId="1E34A85D"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vastavalt Euroopa Liidu toimimise lepingu artiklile 287 tehtud kontrollikoja kinnitavat avaldust</w:t>
      </w:r>
      <w:r w:rsidRPr="00ED1222">
        <w:rPr>
          <w:kern w:val="2"/>
          <w:vertAlign w:val="superscript"/>
          <w14:ligatures w14:val="standardContextual"/>
        </w:rPr>
        <w:footnoteReference w:id="182"/>
      </w:r>
      <w:r w:rsidRPr="00ED1222">
        <w:rPr>
          <w:kern w:val="2"/>
          <w14:ligatures w14:val="standardContextual"/>
        </w:rPr>
        <w:t xml:space="preserve"> 2023. aasta raamatupidamiskontode usaldatavuse ja nende aluseks olevate tehingute seaduslikkuse ja korrektsuse kohta,</w:t>
      </w:r>
    </w:p>
    <w:p w14:paraId="652BC6C2"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nõukogu 17. veebruari 2025. aasta soovitust ameti tegevusele heakskiidu andmise kohta 2023. aasta eelarve täitmisel (05755/2025 – C10</w:t>
      </w:r>
      <w:r w:rsidRPr="00ED1222">
        <w:rPr>
          <w:kern w:val="2"/>
          <w14:ligatures w14:val="standardContextual"/>
        </w:rPr>
        <w:noBreakHyphen/>
        <w:t>0024/2025),</w:t>
      </w:r>
    </w:p>
    <w:p w14:paraId="5B74EB8C"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toimimise lepingu artiklit 319,</w:t>
      </w:r>
    </w:p>
    <w:p w14:paraId="2F7D495B"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18. juuli 2018. aasta määrust (EL, Euratom) 2018/1046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ED1222">
        <w:rPr>
          <w:kern w:val="2"/>
          <w:vertAlign w:val="superscript"/>
          <w14:ligatures w14:val="standardContextual"/>
        </w:rPr>
        <w:footnoteReference w:id="183"/>
      </w:r>
      <w:r w:rsidRPr="00ED1222">
        <w:rPr>
          <w:kern w:val="2"/>
          <w14:ligatures w14:val="standardContextual"/>
        </w:rPr>
        <w:t xml:space="preserve"> eriti selle artiklit 70,</w:t>
      </w:r>
    </w:p>
    <w:p w14:paraId="7473E652"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23. septembri 2024. aasta määrust (EL, Euratom) 2024/2509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w:t>
      </w:r>
      <w:r w:rsidRPr="00ED1222">
        <w:rPr>
          <w:kern w:val="2"/>
          <w:vertAlign w:val="superscript"/>
          <w14:ligatures w14:val="standardContextual"/>
        </w:rPr>
        <w:footnoteReference w:id="184"/>
      </w:r>
      <w:r w:rsidRPr="00ED1222">
        <w:rPr>
          <w:kern w:val="2"/>
          <w14:ligatures w14:val="standardContextual"/>
        </w:rPr>
        <w:t xml:space="preserve"> eriti selle artiklit 70,</w:t>
      </w:r>
    </w:p>
    <w:p w14:paraId="1D57D5D2"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Parlamendi ja nõukogu 20. juuni 2019. aasta määrust (EL) 2019/1149 (millega asutatakse Euroopa Tööjõuamet, muudetakse määrusi (EÜ) nr 883/2004, (EL) nr 492/2011 ja (EL) 2016/589 ning tunnistatakse kehtetuks otsus (EL) 2016/344),</w:t>
      </w:r>
      <w:r w:rsidRPr="00ED1222">
        <w:rPr>
          <w:kern w:val="2"/>
          <w:vertAlign w:val="superscript"/>
          <w14:ligatures w14:val="standardContextual"/>
        </w:rPr>
        <w:footnoteReference w:id="185"/>
      </w:r>
      <w:r w:rsidRPr="00ED1222">
        <w:rPr>
          <w:kern w:val="2"/>
          <w14:ligatures w14:val="standardContextual"/>
        </w:rPr>
        <w:t xml:space="preserve"> eriti selle artiklit 28,</w:t>
      </w:r>
    </w:p>
    <w:p w14:paraId="4DB2A0D8"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ED1222">
        <w:rPr>
          <w:kern w:val="2"/>
          <w:vertAlign w:val="superscript"/>
          <w14:ligatures w14:val="standardContextual"/>
        </w:rPr>
        <w:footnoteReference w:id="186"/>
      </w:r>
      <w:r w:rsidRPr="00ED1222">
        <w:rPr>
          <w:kern w:val="2"/>
          <w14:ligatures w14:val="standardContextual"/>
        </w:rPr>
        <w:t xml:space="preserve"> eriti selle artiklit 105,</w:t>
      </w:r>
    </w:p>
    <w:p w14:paraId="58D16A37"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kodukorra artiklit 102 ja V lisa,</w:t>
      </w:r>
    </w:p>
    <w:p w14:paraId="74E4A17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tööhõive- ja sotsiaalkomisjoni, keskkonna-, kliima- ja toiduohutuse </w:t>
      </w:r>
      <w:r w:rsidRPr="00ED1222">
        <w:rPr>
          <w:kern w:val="2"/>
          <w14:ligatures w14:val="standardContextual"/>
        </w:rPr>
        <w:lastRenderedPageBreak/>
        <w:t>komisjoni, transpordi- ja turismikomisjoni, kalanduskomisjoni, kultuuri- ja hariduskomisjoni, kodanikuvabaduste, justiits- ja siseasjade komisjoni ning naiste õiguste ja soolise võrdõiguslikkuse komisjoni arvamusi,</w:t>
      </w:r>
    </w:p>
    <w:p w14:paraId="021311C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eelarvekontrollikomisjoni raportit (A10-0065/2025),</w:t>
      </w:r>
    </w:p>
    <w:p w14:paraId="309D8D9B"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w:t>
      </w:r>
      <w:r w:rsidRPr="00ED1222">
        <w:rPr>
          <w:kern w:val="2"/>
          <w14:ligatures w14:val="standardContextual"/>
        </w:rPr>
        <w:tab/>
        <w:t>annab heakskiidu Euroopa Tööjõuameti tegevdirektori tegevusele ameti 2023. aasta eelarve täitmisel;</w:t>
      </w:r>
    </w:p>
    <w:p w14:paraId="274E4163"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2.</w:t>
      </w:r>
      <w:r w:rsidRPr="00ED1222">
        <w:rPr>
          <w:kern w:val="2"/>
          <w14:ligatures w14:val="standardContextual"/>
        </w:rPr>
        <w:tab/>
        <w:t>esitab oma tähelepanekud alltoodud resolutsioonis;</w:t>
      </w:r>
    </w:p>
    <w:p w14:paraId="002F47CA"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3.</w:t>
      </w:r>
      <w:r w:rsidRPr="00ED1222">
        <w:rPr>
          <w:kern w:val="2"/>
          <w14:ligatures w14:val="standardContextual"/>
        </w:rPr>
        <w:tab/>
        <w:t xml:space="preserve">teeb presidendile ülesandeks edastada käesolev otsus ja resolutsioon, mis on selle lahutamatu osa, Euroopa Tööjõuameti tegevdirektorile, nõukogule, komisjonile ja kontrollikojale ning korraldada nende avaldamine </w:t>
      </w:r>
      <w:r w:rsidRPr="00ED1222">
        <w:rPr>
          <w:i/>
          <w:kern w:val="2"/>
          <w14:ligatures w14:val="standardContextual"/>
        </w:rPr>
        <w:t>Euroopa Liidu Teatajas</w:t>
      </w:r>
      <w:r w:rsidRPr="00ED1222">
        <w:rPr>
          <w:kern w:val="2"/>
          <w14:ligatures w14:val="standardContextual"/>
        </w:rPr>
        <w:t xml:space="preserve"> (L-seerias).</w:t>
      </w:r>
    </w:p>
    <w:p w14:paraId="30E1B52D" w14:textId="77777777" w:rsidR="00ED1222" w:rsidRPr="00ED1222" w:rsidRDefault="00ED1222" w:rsidP="00ED1222">
      <w:pPr>
        <w:widowControl/>
        <w:jc w:val="both"/>
        <w:rPr>
          <w:rFonts w:eastAsia="Aptos"/>
          <w:kern w:val="2"/>
          <w:szCs w:val="24"/>
          <w:lang w:eastAsia="en-US"/>
          <w14:ligatures w14:val="standardContextual"/>
        </w:rPr>
        <w:sectPr w:rsidR="00ED1222" w:rsidRPr="00ED1222" w:rsidSect="00ED1222">
          <w:footnotePr>
            <w:numRestart w:val="eachSect"/>
          </w:footnotePr>
          <w:pgSz w:w="11906" w:h="16838"/>
          <w:pgMar w:top="1440" w:right="1440" w:bottom="1440" w:left="1440" w:header="708" w:footer="708" w:gutter="0"/>
          <w:cols w:space="708"/>
          <w:docGrid w:linePitch="360"/>
        </w:sectPr>
      </w:pPr>
    </w:p>
    <w:p w14:paraId="5DF039F1" w14:textId="0D66BBE4" w:rsidR="00ED1222" w:rsidRPr="00ED1222" w:rsidRDefault="00ED1222" w:rsidP="006F53D5">
      <w:pPr>
        <w:pStyle w:val="ATHeading3"/>
      </w:pPr>
      <w:r w:rsidRPr="00ED1222">
        <w:lastRenderedPageBreak/>
        <w:t>32. Euroopa Parlamendi 7. mai 2025. aasta otsus Euroopa Tööjõuameti 2023. aasta raamatupidamiskontode sulgemise kohta</w:t>
      </w:r>
      <w:r w:rsidR="00A87338">
        <w:t xml:space="preserve"> </w:t>
      </w:r>
      <w:r w:rsidRPr="00ED1222">
        <w:t>(2024/2030(DEC))</w:t>
      </w:r>
    </w:p>
    <w:p w14:paraId="7F527D33" w14:textId="77777777" w:rsidR="006F53D5" w:rsidRPr="00ED1222" w:rsidRDefault="006F53D5" w:rsidP="006F53D5">
      <w:pPr>
        <w:spacing w:before="480" w:after="240"/>
        <w:rPr>
          <w:i/>
          <w:kern w:val="2"/>
          <w14:ligatures w14:val="standardContextual"/>
        </w:rPr>
      </w:pPr>
      <w:r w:rsidRPr="00ED1222">
        <w:rPr>
          <w:i/>
          <w:kern w:val="2"/>
          <w14:ligatures w14:val="standardContextual"/>
        </w:rPr>
        <w:t>Euroopa Parlament,</w:t>
      </w:r>
    </w:p>
    <w:p w14:paraId="65A86E52"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Tööjõuameti 2023. aasta lõplikku raamatupidamisaruannet,</w:t>
      </w:r>
    </w:p>
    <w:p w14:paraId="099D3FFF"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kontrollikoja aastaaruannet ELi asutuste eelarveaasta 2023 kohta koos asutuste vastustega</w:t>
      </w:r>
      <w:r w:rsidRPr="00ED1222">
        <w:rPr>
          <w:kern w:val="2"/>
          <w:vertAlign w:val="superscript"/>
          <w14:ligatures w14:val="standardContextual"/>
        </w:rPr>
        <w:footnoteReference w:id="187"/>
      </w:r>
      <w:r w:rsidRPr="00ED1222">
        <w:rPr>
          <w:kern w:val="2"/>
          <w14:ligatures w14:val="standardContextual"/>
        </w:rPr>
        <w:t>,</w:t>
      </w:r>
    </w:p>
    <w:p w14:paraId="70ACC4F1"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vastavalt Euroopa Liidu toimimise lepingu artiklile 287 tehtud kontrollikoja kinnitavat avaldust</w:t>
      </w:r>
      <w:r w:rsidRPr="00ED1222">
        <w:rPr>
          <w:kern w:val="2"/>
          <w:vertAlign w:val="superscript"/>
          <w14:ligatures w14:val="standardContextual"/>
        </w:rPr>
        <w:footnoteReference w:id="188"/>
      </w:r>
      <w:r w:rsidRPr="00ED1222">
        <w:rPr>
          <w:kern w:val="2"/>
          <w14:ligatures w14:val="standardContextual"/>
        </w:rPr>
        <w:t xml:space="preserve"> 2023. aasta raamatupidamiskontode usaldatavuse ja nende aluseks olevate tehingute seaduslikkuse ja korrektsuse kohta,</w:t>
      </w:r>
    </w:p>
    <w:p w14:paraId="2F0C514E"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nõukogu 17. veebruari 2025. aasta soovitust ameti tegevusele heakskiidu andmise kohta 2023. aasta eelarve täitmisel (05755/2025 – C10</w:t>
      </w:r>
      <w:r w:rsidRPr="00ED1222">
        <w:rPr>
          <w:kern w:val="2"/>
          <w14:ligatures w14:val="standardContextual"/>
        </w:rPr>
        <w:noBreakHyphen/>
        <w:t>0024/2025),</w:t>
      </w:r>
    </w:p>
    <w:p w14:paraId="0697EBA4"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toimimise lepingu artiklit 319,</w:t>
      </w:r>
    </w:p>
    <w:p w14:paraId="0D379EF0"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18. juuli 2018. aasta määrust (EL, Euratom) 2018/1046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ED1222">
        <w:rPr>
          <w:kern w:val="2"/>
          <w:vertAlign w:val="superscript"/>
          <w14:ligatures w14:val="standardContextual"/>
        </w:rPr>
        <w:footnoteReference w:id="189"/>
      </w:r>
      <w:r w:rsidRPr="00ED1222">
        <w:rPr>
          <w:kern w:val="2"/>
          <w14:ligatures w14:val="standardContextual"/>
        </w:rPr>
        <w:t xml:space="preserve"> eriti selle artiklit 70,</w:t>
      </w:r>
    </w:p>
    <w:p w14:paraId="29D9250C"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23. septembri 2024. aasta määrust (EL, Euratom) 2024/2509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w:t>
      </w:r>
      <w:r w:rsidRPr="00ED1222">
        <w:rPr>
          <w:kern w:val="2"/>
          <w:vertAlign w:val="superscript"/>
          <w14:ligatures w14:val="standardContextual"/>
        </w:rPr>
        <w:footnoteReference w:id="190"/>
      </w:r>
      <w:r w:rsidRPr="00ED1222">
        <w:rPr>
          <w:kern w:val="2"/>
          <w14:ligatures w14:val="standardContextual"/>
        </w:rPr>
        <w:t xml:space="preserve"> eriti selle artiklit 70,</w:t>
      </w:r>
    </w:p>
    <w:p w14:paraId="0A6EF842"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Parlamendi ja nõukogu 20. juuni 2019. aasta määrust (EL) 2019/1149 (millega asutatakse Euroopa Tööjõuamet, muudetakse määrusi (EÜ) nr 883/2004, (EL) nr 492/2011 ja (EL) 2016/589 ning tunnistatakse kehtetuks otsus (EL) 2016/344),</w:t>
      </w:r>
      <w:r w:rsidRPr="00ED1222">
        <w:rPr>
          <w:kern w:val="2"/>
          <w:vertAlign w:val="superscript"/>
          <w14:ligatures w14:val="standardContextual"/>
        </w:rPr>
        <w:footnoteReference w:id="191"/>
      </w:r>
      <w:r w:rsidRPr="00ED1222">
        <w:rPr>
          <w:kern w:val="2"/>
          <w14:ligatures w14:val="standardContextual"/>
        </w:rPr>
        <w:t xml:space="preserve"> eriti selle artiklit 28,</w:t>
      </w:r>
    </w:p>
    <w:p w14:paraId="5E36A69C"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ED1222">
        <w:rPr>
          <w:kern w:val="2"/>
          <w:vertAlign w:val="superscript"/>
          <w14:ligatures w14:val="standardContextual"/>
        </w:rPr>
        <w:footnoteReference w:id="192"/>
      </w:r>
      <w:r w:rsidRPr="00ED1222">
        <w:rPr>
          <w:kern w:val="2"/>
          <w14:ligatures w14:val="standardContextual"/>
        </w:rPr>
        <w:t xml:space="preserve"> eriti selle artiklit 105,</w:t>
      </w:r>
    </w:p>
    <w:p w14:paraId="71A29612"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kodukorra artiklit 102 ja V lisa,</w:t>
      </w:r>
    </w:p>
    <w:p w14:paraId="056423DC"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tööhõive- ja sotsiaalkomisjoni, keskkonna-, kliima- ja toiduohutuse </w:t>
      </w:r>
      <w:r w:rsidRPr="00ED1222">
        <w:rPr>
          <w:kern w:val="2"/>
          <w14:ligatures w14:val="standardContextual"/>
        </w:rPr>
        <w:lastRenderedPageBreak/>
        <w:t>komisjoni, transpordi- ja turismikomisjoni, kalanduskomisjoni, kultuuri- ja hariduskomisjoni, kodanikuvabaduste, justiits- ja siseasjade komisjoni ning naiste õiguste ja soolise võrdõiguslikkuse komisjoni arvamusi,</w:t>
      </w:r>
    </w:p>
    <w:p w14:paraId="6DC05103"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eelarvekontrollikomisjoni raportit (A10-0065/2025),</w:t>
      </w:r>
    </w:p>
    <w:p w14:paraId="05F0D2BC"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w:t>
      </w:r>
      <w:r w:rsidRPr="00ED1222">
        <w:rPr>
          <w:kern w:val="2"/>
          <w14:ligatures w14:val="standardContextual"/>
        </w:rPr>
        <w:tab/>
        <w:t>annab heakskiidu Euroopa Tööjõuameti 2023. aasta raamatupidamiskontode sulgemisele;</w:t>
      </w:r>
    </w:p>
    <w:p w14:paraId="02D1267B"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2.</w:t>
      </w:r>
      <w:r w:rsidRPr="00ED1222">
        <w:rPr>
          <w:kern w:val="2"/>
          <w14:ligatures w14:val="standardContextual"/>
        </w:rPr>
        <w:tab/>
        <w:t xml:space="preserve">teeb presidendile ülesandeks edastada käesolev otsus Euroopa Tööjõuameti tegevdirektorile, nõukogule, komisjonile ja kontrollikojale ning korraldada selle avaldamine </w:t>
      </w:r>
      <w:r w:rsidRPr="00ED1222">
        <w:rPr>
          <w:i/>
          <w:kern w:val="2"/>
          <w14:ligatures w14:val="standardContextual"/>
        </w:rPr>
        <w:t>Euroopa Liidu Teatajas</w:t>
      </w:r>
      <w:r w:rsidRPr="00ED1222">
        <w:rPr>
          <w:kern w:val="2"/>
          <w14:ligatures w14:val="standardContextual"/>
        </w:rPr>
        <w:t xml:space="preserve"> (L-seerias).</w:t>
      </w:r>
    </w:p>
    <w:p w14:paraId="2CBDE84B" w14:textId="77777777" w:rsidR="00ED1222" w:rsidRPr="00ED1222" w:rsidRDefault="00ED1222" w:rsidP="00ED1222">
      <w:pPr>
        <w:widowControl/>
        <w:jc w:val="both"/>
        <w:rPr>
          <w:rFonts w:eastAsia="Aptos"/>
          <w:kern w:val="2"/>
          <w:szCs w:val="24"/>
          <w:lang w:eastAsia="en-US"/>
          <w14:ligatures w14:val="standardContextual"/>
        </w:rPr>
        <w:sectPr w:rsidR="00ED1222" w:rsidRPr="00ED1222" w:rsidSect="00ED1222">
          <w:footnotePr>
            <w:numRestart w:val="eachSect"/>
          </w:footnotePr>
          <w:pgSz w:w="11906" w:h="16838"/>
          <w:pgMar w:top="1440" w:right="1440" w:bottom="1440" w:left="1440" w:header="708" w:footer="708" w:gutter="0"/>
          <w:cols w:space="708"/>
          <w:docGrid w:linePitch="360"/>
        </w:sectPr>
      </w:pPr>
    </w:p>
    <w:p w14:paraId="0C855427" w14:textId="5149CC56" w:rsidR="00ED1222" w:rsidRPr="00ED1222" w:rsidRDefault="00ED1222" w:rsidP="006F53D5">
      <w:pPr>
        <w:pStyle w:val="ATHeading3"/>
      </w:pPr>
      <w:r w:rsidRPr="00ED1222">
        <w:lastRenderedPageBreak/>
        <w:t>33. Euroopa Parlamendi 7. mai 2025. aasta otsus Euroopa Ravimiameti 2023. aasta eelarve täitmisele heakskiidu andmise kohta</w:t>
      </w:r>
      <w:r w:rsidR="00A87338">
        <w:t xml:space="preserve"> </w:t>
      </w:r>
      <w:r w:rsidRPr="00ED1222">
        <w:t>(2024/2030(DEC))</w:t>
      </w:r>
    </w:p>
    <w:p w14:paraId="71FA0A8C" w14:textId="77777777" w:rsidR="00ED1222" w:rsidRPr="00ED1222" w:rsidRDefault="00ED1222" w:rsidP="00ED1222">
      <w:pPr>
        <w:spacing w:before="480" w:after="240"/>
        <w:rPr>
          <w:i/>
          <w:kern w:val="2"/>
          <w14:ligatures w14:val="standardContextual"/>
        </w:rPr>
      </w:pPr>
      <w:r w:rsidRPr="00ED1222">
        <w:rPr>
          <w:i/>
          <w:kern w:val="2"/>
          <w14:ligatures w14:val="standardContextual"/>
        </w:rPr>
        <w:t>Euroopa Parlament,</w:t>
      </w:r>
    </w:p>
    <w:p w14:paraId="20738769"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Ravimiameti 2023. aasta lõplikku raamatupidamisaruannet,</w:t>
      </w:r>
    </w:p>
    <w:p w14:paraId="0B1E8603"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kontrollikoja aastaaruannet ELi asutuste eelarveaasta 2023 kohta koos asutuste vastustega</w:t>
      </w:r>
      <w:r w:rsidRPr="00ED1222">
        <w:rPr>
          <w:kern w:val="2"/>
          <w:vertAlign w:val="superscript"/>
          <w14:ligatures w14:val="standardContextual"/>
        </w:rPr>
        <w:footnoteReference w:id="193"/>
      </w:r>
      <w:r w:rsidRPr="00ED1222">
        <w:rPr>
          <w:kern w:val="2"/>
          <w14:ligatures w14:val="standardContextual"/>
        </w:rPr>
        <w:t>,</w:t>
      </w:r>
    </w:p>
    <w:p w14:paraId="2D07E3C7"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vastavalt Euroopa Liidu toimimise lepingu artiklile 287 tehtud kontrollikoja kinnitavat avaldust</w:t>
      </w:r>
      <w:r w:rsidRPr="00ED1222">
        <w:rPr>
          <w:kern w:val="2"/>
          <w:vertAlign w:val="superscript"/>
          <w14:ligatures w14:val="standardContextual"/>
        </w:rPr>
        <w:footnoteReference w:id="194"/>
      </w:r>
      <w:r w:rsidRPr="00ED1222">
        <w:rPr>
          <w:kern w:val="2"/>
          <w14:ligatures w14:val="standardContextual"/>
        </w:rPr>
        <w:t xml:space="preserve"> 2023. aasta raamatupidamiskontode usaldatavuse ja nende aluseks olevate tehingute seaduslikkuse ja korrektsuse kohta,</w:t>
      </w:r>
    </w:p>
    <w:p w14:paraId="22BA1619"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nõukogu 17. veebruari 2025. aasta soovitust ameti tegevusele heakskiidu andmise kohta 2023. aasta eelarve täitmisel (05755/2025 – C10</w:t>
      </w:r>
      <w:r w:rsidRPr="00ED1222">
        <w:rPr>
          <w:kern w:val="2"/>
          <w14:ligatures w14:val="standardContextual"/>
        </w:rPr>
        <w:noBreakHyphen/>
        <w:t>0024/2025),</w:t>
      </w:r>
    </w:p>
    <w:p w14:paraId="57EE778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toimimise lepingu artiklit 319,</w:t>
      </w:r>
    </w:p>
    <w:p w14:paraId="726C4397"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18. juuli 2018. aasta määrust (EL, Euratom) 2018/1046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ED1222">
        <w:rPr>
          <w:kern w:val="2"/>
          <w:vertAlign w:val="superscript"/>
          <w14:ligatures w14:val="standardContextual"/>
        </w:rPr>
        <w:footnoteReference w:id="195"/>
      </w:r>
      <w:r w:rsidRPr="00ED1222">
        <w:rPr>
          <w:kern w:val="2"/>
          <w14:ligatures w14:val="standardContextual"/>
        </w:rPr>
        <w:t>, eriti selle artiklit 70,</w:t>
      </w:r>
    </w:p>
    <w:p w14:paraId="3E69F7FC"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23. septembri 2024. aasta määrust (EL, Euratom) 2024/2509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w:t>
      </w:r>
      <w:r w:rsidRPr="00ED1222">
        <w:rPr>
          <w:kern w:val="2"/>
          <w:vertAlign w:val="superscript"/>
          <w14:ligatures w14:val="standardContextual"/>
        </w:rPr>
        <w:footnoteReference w:id="196"/>
      </w:r>
      <w:r w:rsidRPr="00ED1222">
        <w:rPr>
          <w:kern w:val="2"/>
          <w14:ligatures w14:val="standardContextual"/>
        </w:rPr>
        <w:t>, eriti selle artiklit 70,</w:t>
      </w:r>
    </w:p>
    <w:p w14:paraId="025B4968"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31. märtsi 2004. aasta määrust (EÜ) nr 726/2004 (milles sätestatakse liidu kord </w:t>
      </w:r>
      <w:proofErr w:type="spellStart"/>
      <w:r w:rsidRPr="00ED1222">
        <w:rPr>
          <w:kern w:val="2"/>
          <w14:ligatures w14:val="standardContextual"/>
        </w:rPr>
        <w:t>inimtervishoius</w:t>
      </w:r>
      <w:proofErr w:type="spellEnd"/>
      <w:r w:rsidRPr="00ED1222">
        <w:rPr>
          <w:kern w:val="2"/>
          <w14:ligatures w14:val="standardContextual"/>
        </w:rPr>
        <w:t xml:space="preserve"> kasutatavate ravimite müügilubade andmise ja järelevalve kohta ning millega asutatakse Euroopa Ravimiamet)</w:t>
      </w:r>
      <w:r w:rsidRPr="00ED1222">
        <w:rPr>
          <w:kern w:val="2"/>
          <w:vertAlign w:val="superscript"/>
          <w14:ligatures w14:val="standardContextual"/>
        </w:rPr>
        <w:footnoteReference w:id="197"/>
      </w:r>
      <w:r w:rsidRPr="00ED1222">
        <w:rPr>
          <w:kern w:val="2"/>
          <w14:ligatures w14:val="standardContextual"/>
        </w:rPr>
        <w:t>, eriti selle artiklit 68,</w:t>
      </w:r>
    </w:p>
    <w:p w14:paraId="031BB982"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ED1222">
        <w:rPr>
          <w:kern w:val="2"/>
          <w:vertAlign w:val="superscript"/>
          <w14:ligatures w14:val="standardContextual"/>
        </w:rPr>
        <w:footnoteReference w:id="198"/>
      </w:r>
      <w:r w:rsidRPr="00ED1222">
        <w:rPr>
          <w:kern w:val="2"/>
          <w14:ligatures w14:val="standardContextual"/>
        </w:rPr>
        <w:t>, eriti selle artiklit 105,</w:t>
      </w:r>
    </w:p>
    <w:p w14:paraId="59A84F79"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kodukorra artiklit 102 ja V lisa,</w:t>
      </w:r>
    </w:p>
    <w:p w14:paraId="28FDBBFB"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tööhõive- ja sotsiaalkomisjoni, keskkonna-, kliima- ja toiduohutuse </w:t>
      </w:r>
      <w:r w:rsidRPr="00ED1222">
        <w:rPr>
          <w:kern w:val="2"/>
          <w14:ligatures w14:val="standardContextual"/>
        </w:rPr>
        <w:lastRenderedPageBreak/>
        <w:t>komisjoni, transpordi- ja turismikomisjoni, kalanduskomisjoni, kultuuri- ja hariduskomisjoni, kodanikuvabaduste, justiits- ja siseasjade komisjoni ning naiste õiguste ja soolise võrdõiguslikkuse komisjoni arvamusi,</w:t>
      </w:r>
    </w:p>
    <w:p w14:paraId="29215504"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eelarvekontrollikomisjoni raportit (A10-0065/2025),</w:t>
      </w:r>
    </w:p>
    <w:p w14:paraId="7EC74334"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w:t>
      </w:r>
      <w:r w:rsidRPr="00ED1222">
        <w:rPr>
          <w:kern w:val="2"/>
          <w14:ligatures w14:val="standardContextual"/>
        </w:rPr>
        <w:tab/>
        <w:t>annab heakskiidu Euroopa Ravimiameti tegevdirektori tegevusele ameti 2023. aasta eelarve täitmisel;</w:t>
      </w:r>
    </w:p>
    <w:p w14:paraId="3D6A3068"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2.</w:t>
      </w:r>
      <w:r w:rsidRPr="00ED1222">
        <w:rPr>
          <w:kern w:val="2"/>
          <w14:ligatures w14:val="standardContextual"/>
        </w:rPr>
        <w:tab/>
        <w:t>esitab oma tähelepanekud alltoodud resolutsioonis;</w:t>
      </w:r>
    </w:p>
    <w:p w14:paraId="2DCFCBD7"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3.</w:t>
      </w:r>
      <w:r w:rsidRPr="00ED1222">
        <w:rPr>
          <w:kern w:val="2"/>
          <w14:ligatures w14:val="standardContextual"/>
        </w:rPr>
        <w:tab/>
        <w:t xml:space="preserve">teeb presidendile ülesandeks edastada käesolev otsus ja resolutsioon, mis on selle lahutamatu osa, Euroopa Ravimiameti tegevdirektorile, nõukogule, komisjonile ja kontrollikojale ning korraldada nende avaldamine </w:t>
      </w:r>
      <w:r w:rsidRPr="00ED1222">
        <w:rPr>
          <w:i/>
          <w:kern w:val="2"/>
          <w14:ligatures w14:val="standardContextual"/>
        </w:rPr>
        <w:t>Euroopa Liidu Teatajas</w:t>
      </w:r>
      <w:r w:rsidRPr="00ED1222">
        <w:rPr>
          <w:kern w:val="2"/>
          <w14:ligatures w14:val="standardContextual"/>
        </w:rPr>
        <w:t xml:space="preserve"> (L-seerias).</w:t>
      </w:r>
    </w:p>
    <w:p w14:paraId="17CBCA94" w14:textId="77777777" w:rsidR="00ED1222" w:rsidRPr="00ED1222" w:rsidRDefault="00ED1222" w:rsidP="00ED1222">
      <w:pPr>
        <w:widowControl/>
        <w:jc w:val="both"/>
        <w:rPr>
          <w:rFonts w:eastAsia="Aptos"/>
          <w:kern w:val="2"/>
          <w:szCs w:val="24"/>
          <w:lang w:eastAsia="en-US"/>
          <w14:ligatures w14:val="standardContextual"/>
        </w:rPr>
        <w:sectPr w:rsidR="00ED1222" w:rsidRPr="00ED1222" w:rsidSect="00ED1222">
          <w:footnotePr>
            <w:numRestart w:val="eachSect"/>
          </w:footnotePr>
          <w:pgSz w:w="11906" w:h="16838"/>
          <w:pgMar w:top="1440" w:right="1440" w:bottom="1440" w:left="1440" w:header="708" w:footer="708" w:gutter="0"/>
          <w:cols w:space="708"/>
          <w:docGrid w:linePitch="360"/>
        </w:sectPr>
      </w:pPr>
    </w:p>
    <w:p w14:paraId="00275095" w14:textId="4A3832F4" w:rsidR="00ED1222" w:rsidRPr="00ED1222" w:rsidRDefault="00ED1222" w:rsidP="006F53D5">
      <w:pPr>
        <w:pStyle w:val="ATHeading3"/>
      </w:pPr>
      <w:r w:rsidRPr="00ED1222">
        <w:lastRenderedPageBreak/>
        <w:t>34. Euroopa Parlamendi 7. mai 2025. aasta otsus Euroopa Ravimiameti 2023. aasta raamatupidamiskontode sulgemise kohta</w:t>
      </w:r>
      <w:r w:rsidR="00A87338">
        <w:t xml:space="preserve"> </w:t>
      </w:r>
      <w:r w:rsidRPr="00ED1222">
        <w:t>(2024/2030(DEC))</w:t>
      </w:r>
    </w:p>
    <w:p w14:paraId="0394CA12" w14:textId="77777777" w:rsidR="006F53D5" w:rsidRPr="00ED1222" w:rsidRDefault="006F53D5" w:rsidP="006F53D5">
      <w:pPr>
        <w:spacing w:before="480" w:after="240"/>
        <w:rPr>
          <w:i/>
          <w:kern w:val="2"/>
          <w14:ligatures w14:val="standardContextual"/>
        </w:rPr>
      </w:pPr>
      <w:r w:rsidRPr="00ED1222">
        <w:rPr>
          <w:i/>
          <w:kern w:val="2"/>
          <w14:ligatures w14:val="standardContextual"/>
        </w:rPr>
        <w:t>Euroopa Parlament,</w:t>
      </w:r>
    </w:p>
    <w:p w14:paraId="7F84BF17"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Ravimiameti 2023. aasta lõplikku raamatupidamisaruannet,</w:t>
      </w:r>
    </w:p>
    <w:p w14:paraId="22A3CE5E"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kontrollikoja aastaaruannet ELi asutuste eelarveaasta 2023 kohta koos asutuste vastustega</w:t>
      </w:r>
      <w:r w:rsidRPr="00ED1222">
        <w:rPr>
          <w:kern w:val="2"/>
          <w:vertAlign w:val="superscript"/>
          <w14:ligatures w14:val="standardContextual"/>
        </w:rPr>
        <w:footnoteReference w:id="199"/>
      </w:r>
      <w:r w:rsidRPr="00ED1222">
        <w:rPr>
          <w:kern w:val="2"/>
          <w14:ligatures w14:val="standardContextual"/>
        </w:rPr>
        <w:t>,</w:t>
      </w:r>
    </w:p>
    <w:p w14:paraId="0130AD1E"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vastavalt Euroopa Liidu toimimise lepingu artiklile 287 tehtud kontrollikoja kinnitavat avaldust</w:t>
      </w:r>
      <w:r w:rsidRPr="00ED1222">
        <w:rPr>
          <w:kern w:val="2"/>
          <w:vertAlign w:val="superscript"/>
          <w14:ligatures w14:val="standardContextual"/>
        </w:rPr>
        <w:footnoteReference w:id="200"/>
      </w:r>
      <w:r w:rsidRPr="00ED1222">
        <w:rPr>
          <w:kern w:val="2"/>
          <w14:ligatures w14:val="standardContextual"/>
        </w:rPr>
        <w:t xml:space="preserve"> 2023. aasta raamatupidamiskontode usaldatavuse ja nende aluseks olevate tehingute seaduslikkuse ja korrektsuse kohta,</w:t>
      </w:r>
    </w:p>
    <w:p w14:paraId="436DF785"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nõukogu 17. veebruari 2025. aasta soovitust ameti tegevusele heakskiidu andmise kohta 2023. aasta eelarve täitmisel (05755/2025 – C10</w:t>
      </w:r>
      <w:r w:rsidRPr="00ED1222">
        <w:rPr>
          <w:kern w:val="2"/>
          <w14:ligatures w14:val="standardContextual"/>
        </w:rPr>
        <w:noBreakHyphen/>
        <w:t>0024/2025),</w:t>
      </w:r>
    </w:p>
    <w:p w14:paraId="6CBD75D1"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toimimise lepingu artiklit 319,</w:t>
      </w:r>
    </w:p>
    <w:p w14:paraId="3B5DC9B0"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18. juuli 2018. aasta määrust (EL, Euratom) 2018/1046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ED1222">
        <w:rPr>
          <w:kern w:val="2"/>
          <w:vertAlign w:val="superscript"/>
          <w14:ligatures w14:val="standardContextual"/>
        </w:rPr>
        <w:footnoteReference w:id="201"/>
      </w:r>
      <w:r w:rsidRPr="00ED1222">
        <w:rPr>
          <w:kern w:val="2"/>
          <w14:ligatures w14:val="standardContextual"/>
        </w:rPr>
        <w:t>, eriti selle artiklit 70,</w:t>
      </w:r>
    </w:p>
    <w:p w14:paraId="180F3B08"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23. septembri 2024. aasta määrust (EL, Euratom) 2024/2509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w:t>
      </w:r>
      <w:r w:rsidRPr="00ED1222">
        <w:rPr>
          <w:kern w:val="2"/>
          <w:vertAlign w:val="superscript"/>
          <w14:ligatures w14:val="standardContextual"/>
        </w:rPr>
        <w:footnoteReference w:id="202"/>
      </w:r>
      <w:r w:rsidRPr="00ED1222">
        <w:rPr>
          <w:kern w:val="2"/>
          <w14:ligatures w14:val="standardContextual"/>
        </w:rPr>
        <w:t>, eriti selle artiklit 70,</w:t>
      </w:r>
    </w:p>
    <w:p w14:paraId="1B58706F"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31. märtsi 2004. aasta määrust (EÜ) nr 726/2004 (milles sätestatakse liidu kord </w:t>
      </w:r>
      <w:proofErr w:type="spellStart"/>
      <w:r w:rsidRPr="00ED1222">
        <w:rPr>
          <w:kern w:val="2"/>
          <w14:ligatures w14:val="standardContextual"/>
        </w:rPr>
        <w:t>inimtervishoius</w:t>
      </w:r>
      <w:proofErr w:type="spellEnd"/>
      <w:r w:rsidRPr="00ED1222">
        <w:rPr>
          <w:kern w:val="2"/>
          <w14:ligatures w14:val="standardContextual"/>
        </w:rPr>
        <w:t xml:space="preserve"> kasutatavate ravimite müügilubade andmise ja järelevalve kohta ning millega asutatakse Euroopa Ravimiamet)</w:t>
      </w:r>
      <w:r w:rsidRPr="00ED1222">
        <w:rPr>
          <w:kern w:val="2"/>
          <w:vertAlign w:val="superscript"/>
          <w14:ligatures w14:val="standardContextual"/>
        </w:rPr>
        <w:footnoteReference w:id="203"/>
      </w:r>
      <w:r w:rsidRPr="00ED1222">
        <w:rPr>
          <w:kern w:val="2"/>
          <w14:ligatures w14:val="standardContextual"/>
        </w:rPr>
        <w:t>, eriti selle artiklit 68,</w:t>
      </w:r>
    </w:p>
    <w:p w14:paraId="2ADE1397"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ED1222">
        <w:rPr>
          <w:kern w:val="2"/>
          <w:vertAlign w:val="superscript"/>
          <w14:ligatures w14:val="standardContextual"/>
        </w:rPr>
        <w:footnoteReference w:id="204"/>
      </w:r>
      <w:r w:rsidRPr="00ED1222">
        <w:rPr>
          <w:kern w:val="2"/>
          <w14:ligatures w14:val="standardContextual"/>
        </w:rPr>
        <w:t>, eriti selle artiklit 105,</w:t>
      </w:r>
    </w:p>
    <w:p w14:paraId="24A2435A"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kodukorra artiklit 102 ja V lisa,</w:t>
      </w:r>
    </w:p>
    <w:p w14:paraId="7FFE8FB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tööhõive- ja sotsiaalkomisjoni, keskkonna-, kliima- ja toiduohutuse </w:t>
      </w:r>
      <w:r w:rsidRPr="00ED1222">
        <w:rPr>
          <w:kern w:val="2"/>
          <w14:ligatures w14:val="standardContextual"/>
        </w:rPr>
        <w:lastRenderedPageBreak/>
        <w:t>komisjoni, transpordi- ja turismikomisjoni, kalanduskomisjoni, kultuuri- ja hariduskomisjoni, kodanikuvabaduste, justiits- ja siseasjade komisjoni ning naiste õiguste ja soolise võrdõiguslikkuse komisjoni arvamusi,</w:t>
      </w:r>
    </w:p>
    <w:p w14:paraId="63DC25E9"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eelarvekontrollikomisjoni raportit (A10-0065/2025),</w:t>
      </w:r>
    </w:p>
    <w:p w14:paraId="0FA751F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w:t>
      </w:r>
      <w:r w:rsidRPr="00ED1222">
        <w:rPr>
          <w:kern w:val="2"/>
          <w14:ligatures w14:val="standardContextual"/>
        </w:rPr>
        <w:tab/>
        <w:t>annab heakskiidu Euroopa Ravimiameti 2023. aasta raamatupidamiskontode sulgemisele;</w:t>
      </w:r>
    </w:p>
    <w:p w14:paraId="20FFF694"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2.</w:t>
      </w:r>
      <w:r w:rsidRPr="00ED1222">
        <w:rPr>
          <w:kern w:val="2"/>
          <w14:ligatures w14:val="standardContextual"/>
        </w:rPr>
        <w:tab/>
        <w:t xml:space="preserve">teeb presidendile ülesandeks edastada käesolev otsus Euroopa Ravimiameti tegevdirektorile, nõukogule, komisjonile ja kontrollikojale ning korraldada selle avaldamine </w:t>
      </w:r>
      <w:r w:rsidRPr="00ED1222">
        <w:rPr>
          <w:i/>
          <w:kern w:val="2"/>
          <w14:ligatures w14:val="standardContextual"/>
        </w:rPr>
        <w:t>Euroopa Liidu Teatajas</w:t>
      </w:r>
      <w:r w:rsidRPr="00ED1222">
        <w:rPr>
          <w:kern w:val="2"/>
          <w14:ligatures w14:val="standardContextual"/>
        </w:rPr>
        <w:t xml:space="preserve"> (L-seerias).</w:t>
      </w:r>
    </w:p>
    <w:p w14:paraId="16A345B0" w14:textId="77777777" w:rsidR="00ED1222" w:rsidRPr="00ED1222" w:rsidRDefault="00ED1222" w:rsidP="00ED1222">
      <w:pPr>
        <w:widowControl/>
        <w:jc w:val="both"/>
        <w:rPr>
          <w:rFonts w:eastAsia="Aptos"/>
          <w:kern w:val="2"/>
          <w:szCs w:val="24"/>
          <w:lang w:eastAsia="en-US"/>
          <w14:ligatures w14:val="standardContextual"/>
        </w:rPr>
        <w:sectPr w:rsidR="00ED1222" w:rsidRPr="00ED1222" w:rsidSect="00ED1222">
          <w:footnotePr>
            <w:numRestart w:val="eachSect"/>
          </w:footnotePr>
          <w:pgSz w:w="11906" w:h="16838"/>
          <w:pgMar w:top="1440" w:right="1440" w:bottom="1440" w:left="1440" w:header="708" w:footer="708" w:gutter="0"/>
          <w:cols w:space="708"/>
          <w:docGrid w:linePitch="360"/>
        </w:sectPr>
      </w:pPr>
    </w:p>
    <w:p w14:paraId="10B53414" w14:textId="627648C0" w:rsidR="00ED1222" w:rsidRPr="00ED1222" w:rsidRDefault="00ED1222" w:rsidP="006F53D5">
      <w:pPr>
        <w:pStyle w:val="ATHeading3"/>
      </w:pPr>
      <w:r w:rsidRPr="00ED1222">
        <w:lastRenderedPageBreak/>
        <w:t>35. Euroopa Parlamendi 7. mai 2025. aasta otsus Euroopa Narkootikumide ja Narkomaania Seirekeskuse (praegu Euroopa Liidu Uimastiamet) 2023. aasta eelarve täitmisele heakskiidu andmise kohta</w:t>
      </w:r>
      <w:r w:rsidR="00A87338">
        <w:t xml:space="preserve"> </w:t>
      </w:r>
      <w:r w:rsidRPr="00ED1222">
        <w:t>(2024/2030(DEC))</w:t>
      </w:r>
    </w:p>
    <w:p w14:paraId="4F5CBEC3" w14:textId="77777777" w:rsidR="006F53D5" w:rsidRPr="00ED1222" w:rsidRDefault="006F53D5" w:rsidP="006F53D5">
      <w:pPr>
        <w:spacing w:before="480" w:after="240"/>
        <w:rPr>
          <w:i/>
          <w:kern w:val="2"/>
          <w14:ligatures w14:val="standardContextual"/>
        </w:rPr>
      </w:pPr>
      <w:r w:rsidRPr="00ED1222">
        <w:rPr>
          <w:i/>
          <w:kern w:val="2"/>
          <w14:ligatures w14:val="standardContextual"/>
        </w:rPr>
        <w:t>Euroopa Parlament,</w:t>
      </w:r>
    </w:p>
    <w:p w14:paraId="7482D93F"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Narkootikumide ja Narkomaania Seirekeskuse 2023. aasta lõplikku raamatupidamisaruannet,</w:t>
      </w:r>
    </w:p>
    <w:p w14:paraId="5AD53C0C"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kontrollikoja aastaaruannet ELi asutuste eelarveaasta 2023 kohta koos asutuste vastustega</w:t>
      </w:r>
      <w:r w:rsidRPr="00ED1222">
        <w:rPr>
          <w:kern w:val="2"/>
          <w:vertAlign w:val="superscript"/>
          <w14:ligatures w14:val="standardContextual"/>
        </w:rPr>
        <w:footnoteReference w:id="205"/>
      </w:r>
      <w:r w:rsidRPr="00ED1222">
        <w:rPr>
          <w:kern w:val="2"/>
          <w14:ligatures w14:val="standardContextual"/>
        </w:rPr>
        <w:t>,</w:t>
      </w:r>
    </w:p>
    <w:p w14:paraId="416D836F"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vastavalt Euroopa Liidu toimimise lepingu artiklile 287 tehtud kontrollikoja kinnitavat avaldust</w:t>
      </w:r>
      <w:r w:rsidRPr="00ED1222">
        <w:rPr>
          <w:kern w:val="2"/>
          <w:vertAlign w:val="superscript"/>
          <w14:ligatures w14:val="standardContextual"/>
        </w:rPr>
        <w:footnoteReference w:id="206"/>
      </w:r>
      <w:r w:rsidRPr="00ED1222">
        <w:rPr>
          <w:kern w:val="2"/>
          <w14:ligatures w14:val="standardContextual"/>
        </w:rPr>
        <w:t xml:space="preserve"> 2023. aasta raamatupidamiskontode usaldatavuse ja nende aluseks olevate tehingute seaduslikkuse ja korrektsuse kohta,</w:t>
      </w:r>
    </w:p>
    <w:p w14:paraId="21580275"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nõukogu 17. veebruari 2025. aasta soovitust keskuse tegevusele heakskiidu andmise kohta 2023. aasta eelarve täitmisel (05755/2025 – C10</w:t>
      </w:r>
      <w:r w:rsidRPr="00ED1222">
        <w:rPr>
          <w:kern w:val="2"/>
          <w14:ligatures w14:val="standardContextual"/>
        </w:rPr>
        <w:noBreakHyphen/>
        <w:t>0024/2025),</w:t>
      </w:r>
    </w:p>
    <w:p w14:paraId="486300C5"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toimimise lepingu artiklit 319,</w:t>
      </w:r>
    </w:p>
    <w:p w14:paraId="19215D3C"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18. juuli 2018. aasta määrust (EL, Euratom) 2018/1046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ED1222">
        <w:rPr>
          <w:kern w:val="2"/>
          <w:vertAlign w:val="superscript"/>
          <w14:ligatures w14:val="standardContextual"/>
        </w:rPr>
        <w:footnoteReference w:id="207"/>
      </w:r>
      <w:r w:rsidRPr="00ED1222">
        <w:rPr>
          <w:kern w:val="2"/>
          <w14:ligatures w14:val="standardContextual"/>
        </w:rPr>
        <w:t>, eriti selle artiklit 70,</w:t>
      </w:r>
    </w:p>
    <w:p w14:paraId="30028E34"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23. septembri 2024. aasta määrust (EL, Euratom) 2024/2509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w:t>
      </w:r>
      <w:r w:rsidRPr="00ED1222">
        <w:rPr>
          <w:kern w:val="2"/>
          <w:vertAlign w:val="superscript"/>
          <w14:ligatures w14:val="standardContextual"/>
        </w:rPr>
        <w:footnoteReference w:id="208"/>
      </w:r>
      <w:r w:rsidRPr="00ED1222">
        <w:rPr>
          <w:kern w:val="2"/>
          <w14:ligatures w14:val="standardContextual"/>
        </w:rPr>
        <w:t>, eriti selle artiklit 70,</w:t>
      </w:r>
    </w:p>
    <w:p w14:paraId="6D163EB3"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Parlamendi ja nõukogu 12. detsembri 2006. aasta määrust (EÜ) nr 1920/2006 Euroopa Narkootikumide ja Narkomaania Seirekeskuse kohta</w:t>
      </w:r>
      <w:r w:rsidRPr="00ED1222">
        <w:rPr>
          <w:kern w:val="2"/>
          <w:vertAlign w:val="superscript"/>
          <w14:ligatures w14:val="standardContextual"/>
        </w:rPr>
        <w:footnoteReference w:id="209"/>
      </w:r>
      <w:r w:rsidRPr="00ED1222">
        <w:rPr>
          <w:kern w:val="2"/>
          <w14:ligatures w14:val="standardContextual"/>
        </w:rPr>
        <w:t>, eriti selle artiklit 15,</w:t>
      </w:r>
    </w:p>
    <w:p w14:paraId="097042C1"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Parlamendi ja nõukogu 27. juuni 2023. aasta määrust (EL) 2023/1322 (mis käsitleb Euroopa Liidu Uimastiametit (EUDA) ja millega tunnistatakse kehtetuks määrus (EÜ) nr 1920/2006)</w:t>
      </w:r>
      <w:r w:rsidRPr="00ED1222">
        <w:rPr>
          <w:kern w:val="2"/>
          <w:vertAlign w:val="superscript"/>
          <w14:ligatures w14:val="standardContextual"/>
        </w:rPr>
        <w:footnoteReference w:id="210"/>
      </w:r>
      <w:r w:rsidRPr="00ED1222">
        <w:rPr>
          <w:kern w:val="2"/>
          <w14:ligatures w14:val="standardContextual"/>
        </w:rPr>
        <w:t>, eriti selle artiklit 41,</w:t>
      </w:r>
    </w:p>
    <w:p w14:paraId="32BDA4FB"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komisjoni 18. detsembri 2018. aasta delegeeritud määrust (EL) 2019/715 raamfinantsmääruse kohta asutustele, mis on asutatud Euroopa Liidu toimimise lepingu ja Euroopa Aatomienergiaühenduse asutamislepingu alusel ning millele osutatakse </w:t>
      </w:r>
      <w:r w:rsidRPr="00ED1222">
        <w:rPr>
          <w:kern w:val="2"/>
          <w14:ligatures w14:val="standardContextual"/>
        </w:rPr>
        <w:lastRenderedPageBreak/>
        <w:t>Euroopa Parlamendi ja nõukogu määruse (EL, Euratom) 2018/1046 artiklis 70</w:t>
      </w:r>
      <w:r w:rsidRPr="00ED1222">
        <w:rPr>
          <w:kern w:val="2"/>
          <w:vertAlign w:val="superscript"/>
          <w14:ligatures w14:val="standardContextual"/>
        </w:rPr>
        <w:footnoteReference w:id="211"/>
      </w:r>
      <w:r w:rsidRPr="00ED1222">
        <w:rPr>
          <w:kern w:val="2"/>
          <w14:ligatures w14:val="standardContextual"/>
        </w:rPr>
        <w:t>, eriti selle artiklit 105,</w:t>
      </w:r>
    </w:p>
    <w:p w14:paraId="306EF3DF"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kodukorra artiklit 102 ja V lisa,</w:t>
      </w:r>
    </w:p>
    <w:p w14:paraId="2B8E7ED1"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tööhõive- ja sotsiaalkomisjoni, keskkonna-, kliima- ja toiduohutuse komisjoni, transpordi- ja turismikomisjoni, kalanduskomisjoni, kultuuri- ja hariduskomisjoni, kodanikuvabaduste, justiits- ja siseasjade komisjoni ning naiste õiguste ja soolise võrdõiguslikkuse komisjoni arvamusi,</w:t>
      </w:r>
    </w:p>
    <w:p w14:paraId="14A3D25F"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eelarvekontrollikomisjoni raportit (A10-0065/2025),</w:t>
      </w:r>
    </w:p>
    <w:p w14:paraId="6BCA540F"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w:t>
      </w:r>
      <w:r w:rsidRPr="00ED1222">
        <w:rPr>
          <w:kern w:val="2"/>
          <w14:ligatures w14:val="standardContextual"/>
        </w:rPr>
        <w:tab/>
        <w:t>annab heakskiidu Euroopa Liidu Uimastiameti tegevdirektori tegevusele keskuse 2023. aasta eelarve täitmisel;</w:t>
      </w:r>
    </w:p>
    <w:p w14:paraId="4C07C394"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2.</w:t>
      </w:r>
      <w:r w:rsidRPr="00ED1222">
        <w:rPr>
          <w:kern w:val="2"/>
          <w14:ligatures w14:val="standardContextual"/>
        </w:rPr>
        <w:tab/>
        <w:t>esitab oma tähelepanekud alltoodud resolutsioonis;</w:t>
      </w:r>
    </w:p>
    <w:p w14:paraId="60E6CF9E"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3.</w:t>
      </w:r>
      <w:r w:rsidRPr="00ED1222">
        <w:rPr>
          <w:kern w:val="2"/>
          <w14:ligatures w14:val="standardContextual"/>
        </w:rPr>
        <w:tab/>
        <w:t xml:space="preserve">teeb presidendile ülesandeks edastada käesolev otsus ja resolutsioon, mis on selle lahutamatu osa, Euroopa Liidu Uimastiameti direktorile, nõukogule, komisjonile ja kontrollikojale ning korraldada nende avaldamine </w:t>
      </w:r>
      <w:r w:rsidRPr="00ED1222">
        <w:rPr>
          <w:i/>
          <w:kern w:val="2"/>
          <w14:ligatures w14:val="standardContextual"/>
        </w:rPr>
        <w:t>Euroopa Liidu Teatajas</w:t>
      </w:r>
      <w:r w:rsidRPr="00ED1222">
        <w:rPr>
          <w:kern w:val="2"/>
          <w14:ligatures w14:val="standardContextual"/>
        </w:rPr>
        <w:t xml:space="preserve"> (L-seerias).</w:t>
      </w:r>
    </w:p>
    <w:p w14:paraId="11B7CBD9" w14:textId="77777777" w:rsidR="00ED1222" w:rsidRPr="00ED1222" w:rsidRDefault="00ED1222" w:rsidP="00ED1222">
      <w:pPr>
        <w:widowControl/>
        <w:jc w:val="both"/>
        <w:rPr>
          <w:rFonts w:eastAsia="Aptos"/>
          <w:kern w:val="2"/>
          <w:szCs w:val="24"/>
          <w:lang w:eastAsia="en-US"/>
          <w14:ligatures w14:val="standardContextual"/>
        </w:rPr>
        <w:sectPr w:rsidR="00ED1222" w:rsidRPr="00ED1222" w:rsidSect="00ED1222">
          <w:footnotePr>
            <w:numRestart w:val="eachSect"/>
          </w:footnotePr>
          <w:pgSz w:w="11906" w:h="16838"/>
          <w:pgMar w:top="1440" w:right="1440" w:bottom="1440" w:left="1440" w:header="708" w:footer="708" w:gutter="0"/>
          <w:cols w:space="708"/>
          <w:docGrid w:linePitch="360"/>
        </w:sectPr>
      </w:pPr>
    </w:p>
    <w:p w14:paraId="53140971" w14:textId="77777777" w:rsidR="00ED1222" w:rsidRPr="00ED1222" w:rsidRDefault="00ED1222" w:rsidP="006F53D5">
      <w:pPr>
        <w:pStyle w:val="ATHeading3"/>
      </w:pPr>
      <w:r w:rsidRPr="00ED1222">
        <w:lastRenderedPageBreak/>
        <w:t>36. Euroopa Parlamendi 7. mai 2025. aasta otsus Euroopa Narkootikumide ja Narkomaania Seirekeskuse (praegu Euroopa Liidu Uimastiamet) 2023. aasta raamatupidamiskontode sulgemise kohta (2024/2030(DEC))</w:t>
      </w:r>
    </w:p>
    <w:p w14:paraId="69AFBE41" w14:textId="77777777" w:rsidR="006F53D5" w:rsidRPr="00ED1222" w:rsidRDefault="006F53D5" w:rsidP="006F53D5">
      <w:pPr>
        <w:spacing w:before="480" w:after="240"/>
        <w:rPr>
          <w:i/>
          <w:kern w:val="2"/>
          <w14:ligatures w14:val="standardContextual"/>
        </w:rPr>
      </w:pPr>
      <w:r w:rsidRPr="00ED1222">
        <w:rPr>
          <w:i/>
          <w:kern w:val="2"/>
          <w14:ligatures w14:val="standardContextual"/>
        </w:rPr>
        <w:t>Euroopa Parlament,</w:t>
      </w:r>
    </w:p>
    <w:p w14:paraId="1B982672"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Narkootikumide ja Narkomaania Seirekeskuse 2023. aasta lõplikku raamatupidamisaruannet,</w:t>
      </w:r>
    </w:p>
    <w:p w14:paraId="37079937"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kontrollikoja aastaaruannet ELi asutuste eelarveaasta 2023 kohta koos asutuste vastustega</w:t>
      </w:r>
      <w:r w:rsidRPr="00ED1222">
        <w:rPr>
          <w:kern w:val="2"/>
          <w:vertAlign w:val="superscript"/>
          <w14:ligatures w14:val="standardContextual"/>
        </w:rPr>
        <w:footnoteReference w:id="212"/>
      </w:r>
      <w:r w:rsidRPr="00ED1222">
        <w:rPr>
          <w:kern w:val="2"/>
          <w14:ligatures w14:val="standardContextual"/>
        </w:rPr>
        <w:t>,</w:t>
      </w:r>
    </w:p>
    <w:p w14:paraId="398D967E"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vastavalt Euroopa Liidu toimimise lepingu artiklile 287 tehtud kontrollikoja kinnitavat avaldust</w:t>
      </w:r>
      <w:r w:rsidRPr="00ED1222">
        <w:rPr>
          <w:kern w:val="2"/>
          <w:vertAlign w:val="superscript"/>
          <w14:ligatures w14:val="standardContextual"/>
        </w:rPr>
        <w:footnoteReference w:id="213"/>
      </w:r>
      <w:r w:rsidRPr="00ED1222">
        <w:rPr>
          <w:kern w:val="2"/>
          <w14:ligatures w14:val="standardContextual"/>
        </w:rPr>
        <w:t xml:space="preserve"> 2023. aasta raamatupidamiskontode usaldatavuse ja nende aluseks olevate tehingute seaduslikkuse ja korrektsuse kohta,</w:t>
      </w:r>
    </w:p>
    <w:p w14:paraId="07D32C81"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nõukogu 17. veebruari 2025. aasta soovitust keskuse tegevusele heakskiidu andmise kohta 2023. aasta eelarve täitmisel (05755/2025 – C10</w:t>
      </w:r>
      <w:r w:rsidRPr="00ED1222">
        <w:rPr>
          <w:kern w:val="2"/>
          <w14:ligatures w14:val="standardContextual"/>
        </w:rPr>
        <w:noBreakHyphen/>
        <w:t>0024/2025),</w:t>
      </w:r>
    </w:p>
    <w:p w14:paraId="4B5F0457"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toimimise lepingu artiklit 319,</w:t>
      </w:r>
    </w:p>
    <w:p w14:paraId="17364F48"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18. juuli 2018. aasta määrust (EL, Euratom) 2018/1046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ED1222">
        <w:rPr>
          <w:kern w:val="2"/>
          <w:vertAlign w:val="superscript"/>
          <w14:ligatures w14:val="standardContextual"/>
        </w:rPr>
        <w:footnoteReference w:id="214"/>
      </w:r>
      <w:r w:rsidRPr="00ED1222">
        <w:rPr>
          <w:kern w:val="2"/>
          <w14:ligatures w14:val="standardContextual"/>
        </w:rPr>
        <w:t xml:space="preserve"> eriti selle artiklit 70,</w:t>
      </w:r>
    </w:p>
    <w:p w14:paraId="198C302F"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23. septembri 2024. aasta määrust (EL, Euratom) 2024/2509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w:t>
      </w:r>
      <w:r w:rsidRPr="00ED1222">
        <w:rPr>
          <w:kern w:val="2"/>
          <w:vertAlign w:val="superscript"/>
          <w14:ligatures w14:val="standardContextual"/>
        </w:rPr>
        <w:footnoteReference w:id="215"/>
      </w:r>
      <w:r w:rsidRPr="00ED1222">
        <w:rPr>
          <w:kern w:val="2"/>
          <w14:ligatures w14:val="standardContextual"/>
        </w:rPr>
        <w:t xml:space="preserve"> eriti selle artiklit 70,</w:t>
      </w:r>
    </w:p>
    <w:p w14:paraId="3221494D"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Parlamendi ja nõukogu 12. detsembri 2006. aasta määrust (EÜ) nr 1920/2006 Euroopa Narkootikumide ja Narkomaania Seirekeskuse kohta,</w:t>
      </w:r>
      <w:r w:rsidRPr="00ED1222">
        <w:rPr>
          <w:kern w:val="2"/>
          <w:vertAlign w:val="superscript"/>
          <w14:ligatures w14:val="standardContextual"/>
        </w:rPr>
        <w:footnoteReference w:id="216"/>
      </w:r>
      <w:r w:rsidRPr="00ED1222">
        <w:rPr>
          <w:kern w:val="2"/>
          <w14:ligatures w14:val="standardContextual"/>
        </w:rPr>
        <w:t xml:space="preserve"> eriti selle artiklit 15,</w:t>
      </w:r>
    </w:p>
    <w:p w14:paraId="4205DABA"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Parlamendi ja nõukogu 27. juuni 2023. aasta määrust (EL) 2023/1322 (mis käsitleb Euroopa Liidu Uimastiametit (EUDA) ja millega tunnistatakse kehtetuks määrus (EÜ) nr 1920/2006),</w:t>
      </w:r>
      <w:r w:rsidRPr="00ED1222">
        <w:rPr>
          <w:kern w:val="2"/>
          <w:vertAlign w:val="superscript"/>
          <w14:ligatures w14:val="standardContextual"/>
        </w:rPr>
        <w:footnoteReference w:id="217"/>
      </w:r>
      <w:r w:rsidRPr="00ED1222">
        <w:rPr>
          <w:kern w:val="2"/>
          <w14:ligatures w14:val="standardContextual"/>
        </w:rPr>
        <w:t xml:space="preserve"> eriti selle artiklit 41,</w:t>
      </w:r>
    </w:p>
    <w:p w14:paraId="75A4DD8B"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komisjoni 18. detsembri 2018. aasta delegeeritud määrust (EL) 2019/715 raamfinantsmääruse kohta asutustele, mis on asutatud Euroopa Liidu toimimise lepingu ja Euroopa Aatomienergiaühenduse asutamislepingu alusel ning millele osutatakse </w:t>
      </w:r>
      <w:r w:rsidRPr="00ED1222">
        <w:rPr>
          <w:kern w:val="2"/>
          <w14:ligatures w14:val="standardContextual"/>
        </w:rPr>
        <w:lastRenderedPageBreak/>
        <w:t>Euroopa Parlamendi ja nõukogu määruse (EL, Euratom) 2018/1046 artiklis 70,</w:t>
      </w:r>
      <w:r w:rsidRPr="00ED1222">
        <w:rPr>
          <w:kern w:val="2"/>
          <w:vertAlign w:val="superscript"/>
          <w14:ligatures w14:val="standardContextual"/>
        </w:rPr>
        <w:footnoteReference w:id="218"/>
      </w:r>
      <w:r w:rsidRPr="00ED1222">
        <w:rPr>
          <w:kern w:val="2"/>
          <w14:ligatures w14:val="standardContextual"/>
        </w:rPr>
        <w:t xml:space="preserve"> eriti selle artiklit 105,</w:t>
      </w:r>
    </w:p>
    <w:p w14:paraId="50D424BE"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kodukorra artiklit 102 ja V lisa,</w:t>
      </w:r>
    </w:p>
    <w:p w14:paraId="7592619D"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tööhõive- ja sotsiaalkomisjoni, keskkonna-, kliima- ja toiduohutuse komisjoni, transpordi- ja turismikomisjoni, kalanduskomisjoni, kultuuri- ja hariduskomisjoni, kodanikuvabaduste, justiits- ja siseasjade komisjoni ning naiste õiguste ja soolise võrdõiguslikkuse komisjoni arvamusi,</w:t>
      </w:r>
    </w:p>
    <w:p w14:paraId="0BB7C703"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eelarvekontrollikomisjoni raportit (A10-0065/2025),</w:t>
      </w:r>
    </w:p>
    <w:p w14:paraId="245A850D"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w:t>
      </w:r>
      <w:r w:rsidRPr="00ED1222">
        <w:rPr>
          <w:kern w:val="2"/>
          <w14:ligatures w14:val="standardContextual"/>
        </w:rPr>
        <w:tab/>
        <w:t>annab heakskiidu Euroopa Narkootikumide ja Narkomaania Seirekeskuse 2023. aasta raamatupidamiskontode sulgemisele;</w:t>
      </w:r>
    </w:p>
    <w:p w14:paraId="3FAEF7B9"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2.</w:t>
      </w:r>
      <w:r w:rsidRPr="00ED1222">
        <w:rPr>
          <w:kern w:val="2"/>
          <w14:ligatures w14:val="standardContextual"/>
        </w:rPr>
        <w:tab/>
        <w:t xml:space="preserve">teeb presidendile ülesandeks edastada käesolev otsus Euroopa Liidu Uimastiameti direktorile, nõukogule, komisjonile ja kontrollikojale ning korraldada selle avaldamine </w:t>
      </w:r>
      <w:r w:rsidRPr="00ED1222">
        <w:rPr>
          <w:i/>
          <w:kern w:val="2"/>
          <w14:ligatures w14:val="standardContextual"/>
        </w:rPr>
        <w:t>Euroopa Liidu Teatajas</w:t>
      </w:r>
      <w:r w:rsidRPr="00ED1222">
        <w:rPr>
          <w:kern w:val="2"/>
          <w14:ligatures w14:val="standardContextual"/>
        </w:rPr>
        <w:t xml:space="preserve"> (L-seerias).</w:t>
      </w:r>
    </w:p>
    <w:p w14:paraId="3662504B" w14:textId="77777777" w:rsidR="00ED1222" w:rsidRPr="00ED1222" w:rsidRDefault="00ED1222" w:rsidP="00ED1222">
      <w:pPr>
        <w:widowControl/>
        <w:jc w:val="both"/>
        <w:rPr>
          <w:rFonts w:eastAsia="Aptos"/>
          <w:kern w:val="2"/>
          <w:szCs w:val="24"/>
          <w:lang w:eastAsia="en-US"/>
          <w14:ligatures w14:val="standardContextual"/>
        </w:rPr>
        <w:sectPr w:rsidR="00ED1222" w:rsidRPr="00ED1222" w:rsidSect="00ED1222">
          <w:footnotePr>
            <w:numRestart w:val="eachSect"/>
          </w:footnotePr>
          <w:pgSz w:w="11906" w:h="16838"/>
          <w:pgMar w:top="1440" w:right="1440" w:bottom="1440" w:left="1440" w:header="708" w:footer="708" w:gutter="0"/>
          <w:cols w:space="708"/>
          <w:docGrid w:linePitch="360"/>
        </w:sectPr>
      </w:pPr>
    </w:p>
    <w:p w14:paraId="74AF3026" w14:textId="0491931D" w:rsidR="00ED1222" w:rsidRPr="00ED1222" w:rsidRDefault="00ED1222" w:rsidP="006F53D5">
      <w:pPr>
        <w:pStyle w:val="ATHeading3"/>
      </w:pPr>
      <w:r w:rsidRPr="00ED1222">
        <w:lastRenderedPageBreak/>
        <w:t>37. Euroopa Parlamendi 7. mai 2025. aasta otsus Euroopa Meresõiduohutuse Ameti 2023. aasta eelarve täitmisele heakskiidu andmise kohta</w:t>
      </w:r>
      <w:r w:rsidR="00A87338">
        <w:t xml:space="preserve"> </w:t>
      </w:r>
      <w:r w:rsidRPr="00ED1222">
        <w:t>(2024/2030(DEC))</w:t>
      </w:r>
    </w:p>
    <w:p w14:paraId="1C51E6BC" w14:textId="77777777" w:rsidR="006F53D5" w:rsidRPr="00ED1222" w:rsidRDefault="006F53D5" w:rsidP="006F53D5">
      <w:pPr>
        <w:spacing w:before="480" w:after="240"/>
        <w:rPr>
          <w:i/>
          <w:kern w:val="2"/>
          <w14:ligatures w14:val="standardContextual"/>
        </w:rPr>
      </w:pPr>
      <w:r w:rsidRPr="00ED1222">
        <w:rPr>
          <w:i/>
          <w:kern w:val="2"/>
          <w14:ligatures w14:val="standardContextual"/>
        </w:rPr>
        <w:t>Euroopa Parlament,</w:t>
      </w:r>
    </w:p>
    <w:p w14:paraId="79E787FD"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Meresõiduohutuse Ameti 2023. aasta lõplikku raamatupidamisaruannet,</w:t>
      </w:r>
    </w:p>
    <w:p w14:paraId="4258F783"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kontrollikoja aastaaruannet ELi asutuste eelarveaasta 2023 kohta koos asutuste vastustega</w:t>
      </w:r>
      <w:r w:rsidRPr="00ED1222">
        <w:rPr>
          <w:kern w:val="2"/>
          <w:vertAlign w:val="superscript"/>
          <w14:ligatures w14:val="standardContextual"/>
        </w:rPr>
        <w:footnoteReference w:id="219"/>
      </w:r>
      <w:r w:rsidRPr="00ED1222">
        <w:rPr>
          <w:kern w:val="2"/>
          <w14:ligatures w14:val="standardContextual"/>
        </w:rPr>
        <w:t>,</w:t>
      </w:r>
    </w:p>
    <w:p w14:paraId="6A1C2724"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vastavalt Euroopa Liidu toimimise lepingu artiklile 287 tehtud kontrollikoja kinnitavat avaldust</w:t>
      </w:r>
      <w:r w:rsidRPr="00ED1222">
        <w:rPr>
          <w:kern w:val="2"/>
          <w:vertAlign w:val="superscript"/>
          <w14:ligatures w14:val="standardContextual"/>
        </w:rPr>
        <w:footnoteReference w:id="220"/>
      </w:r>
      <w:r w:rsidRPr="00ED1222">
        <w:rPr>
          <w:kern w:val="2"/>
          <w14:ligatures w14:val="standardContextual"/>
        </w:rPr>
        <w:t xml:space="preserve"> 2023. aasta raamatupidamiskontode usaldatavuse ja nende aluseks olevate tehingute seaduslikkuse ja korrektsuse kohta,</w:t>
      </w:r>
    </w:p>
    <w:p w14:paraId="55168604"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nõukogu 17. veebruari 2025. aasta soovitust ameti tegevusele heakskiidu andmise kohta 2023. aasta eelarve täitmisel (05755/2025 – C10</w:t>
      </w:r>
      <w:r w:rsidRPr="00ED1222">
        <w:rPr>
          <w:kern w:val="2"/>
          <w14:ligatures w14:val="standardContextual"/>
        </w:rPr>
        <w:noBreakHyphen/>
        <w:t>0024/2025),</w:t>
      </w:r>
    </w:p>
    <w:p w14:paraId="5C201D8B"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toimimise lepingu artiklit 319,</w:t>
      </w:r>
    </w:p>
    <w:p w14:paraId="571A5262"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18. juuli 2018. aasta määrust (EL, Euratom) 2018/1046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ED1222">
        <w:rPr>
          <w:kern w:val="2"/>
          <w:vertAlign w:val="superscript"/>
          <w14:ligatures w14:val="standardContextual"/>
        </w:rPr>
        <w:footnoteReference w:id="221"/>
      </w:r>
      <w:r w:rsidRPr="00ED1222">
        <w:rPr>
          <w:kern w:val="2"/>
          <w14:ligatures w14:val="standardContextual"/>
        </w:rPr>
        <w:t>, eriti selle artiklit 70,</w:t>
      </w:r>
    </w:p>
    <w:p w14:paraId="27D7613B"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23. septembri 2024. aasta määrust (EL, Euratom) 2024/2509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w:t>
      </w:r>
      <w:r w:rsidRPr="00ED1222">
        <w:rPr>
          <w:kern w:val="2"/>
          <w:vertAlign w:val="superscript"/>
          <w14:ligatures w14:val="standardContextual"/>
        </w:rPr>
        <w:footnoteReference w:id="222"/>
      </w:r>
      <w:r w:rsidRPr="00ED1222">
        <w:rPr>
          <w:kern w:val="2"/>
          <w14:ligatures w14:val="standardContextual"/>
        </w:rPr>
        <w:t>, eriti selle artiklit 70,</w:t>
      </w:r>
    </w:p>
    <w:p w14:paraId="0CB9CFEE"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Parlamendi ja nõukogu 27. juuni 2002. aasta määrust (EÜ) nr 1406/2002 (millega luuakse Euroopa Meresõiduohutuse Amet)</w:t>
      </w:r>
      <w:r w:rsidRPr="00ED1222">
        <w:rPr>
          <w:kern w:val="2"/>
          <w:vertAlign w:val="superscript"/>
          <w14:ligatures w14:val="standardContextual"/>
        </w:rPr>
        <w:footnoteReference w:id="223"/>
      </w:r>
      <w:r w:rsidRPr="00ED1222">
        <w:rPr>
          <w:kern w:val="2"/>
          <w14:ligatures w14:val="standardContextual"/>
        </w:rPr>
        <w:t>, eriti selle artiklit 19,</w:t>
      </w:r>
    </w:p>
    <w:p w14:paraId="4F6A997A"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ED1222">
        <w:rPr>
          <w:kern w:val="2"/>
          <w:vertAlign w:val="superscript"/>
          <w14:ligatures w14:val="standardContextual"/>
        </w:rPr>
        <w:footnoteReference w:id="224"/>
      </w:r>
      <w:r w:rsidRPr="00ED1222">
        <w:rPr>
          <w:kern w:val="2"/>
          <w14:ligatures w14:val="standardContextual"/>
        </w:rPr>
        <w:t>, eriti selle artiklit 105,</w:t>
      </w:r>
    </w:p>
    <w:p w14:paraId="478ECA1E"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kodukorra artiklit 102 ja V lisa,</w:t>
      </w:r>
    </w:p>
    <w:p w14:paraId="4BECB0D9"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tööhõive- ja sotsiaalkomisjoni, keskkonna-, kliima- ja toiduohutuse </w:t>
      </w:r>
      <w:r w:rsidRPr="00ED1222">
        <w:rPr>
          <w:kern w:val="2"/>
          <w14:ligatures w14:val="standardContextual"/>
        </w:rPr>
        <w:lastRenderedPageBreak/>
        <w:t>komisjoni, transpordi- ja turismikomisjoni, kalanduskomisjoni, kultuuri- ja hariduskomisjoni, kodanikuvabaduste, justiits- ja siseasjade komisjoni ning naiste õiguste ja soolise võrdõiguslikkuse komisjoni arvamusi,</w:t>
      </w:r>
    </w:p>
    <w:p w14:paraId="52494767"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eelarvekontrollikomisjoni raportit (A10-0065/2025),</w:t>
      </w:r>
    </w:p>
    <w:p w14:paraId="60451AB3"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w:t>
      </w:r>
      <w:r w:rsidRPr="00ED1222">
        <w:rPr>
          <w:kern w:val="2"/>
          <w14:ligatures w14:val="standardContextual"/>
        </w:rPr>
        <w:tab/>
        <w:t>annab heakskiidu Euroopa Meresõiduohutuse Ameti tegevdirektori tegevusele ameti 2023. aasta eelarve täitmisel;</w:t>
      </w:r>
    </w:p>
    <w:p w14:paraId="561E2E8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2.</w:t>
      </w:r>
      <w:r w:rsidRPr="00ED1222">
        <w:rPr>
          <w:kern w:val="2"/>
          <w14:ligatures w14:val="standardContextual"/>
        </w:rPr>
        <w:tab/>
        <w:t>esitab oma tähelepanekud alltoodud resolutsioonis;</w:t>
      </w:r>
    </w:p>
    <w:p w14:paraId="5EEBC14A"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3.</w:t>
      </w:r>
      <w:r w:rsidRPr="00ED1222">
        <w:rPr>
          <w:kern w:val="2"/>
          <w14:ligatures w14:val="standardContextual"/>
        </w:rPr>
        <w:tab/>
        <w:t xml:space="preserve">teeb presidendile ülesandeks edastada käesolev otsus ja resolutsioon, mis on selle lahutamatu osa, Euroopa Meresõiduohutuse Ameti tegevdirektorile, nõukogule, komisjonile ja kontrollikojale ning korraldada nende avaldamine </w:t>
      </w:r>
      <w:r w:rsidRPr="00ED1222">
        <w:rPr>
          <w:i/>
          <w:kern w:val="2"/>
          <w14:ligatures w14:val="standardContextual"/>
        </w:rPr>
        <w:t>Euroopa Liidu Teatajas</w:t>
      </w:r>
      <w:r w:rsidRPr="00ED1222">
        <w:rPr>
          <w:kern w:val="2"/>
          <w14:ligatures w14:val="standardContextual"/>
        </w:rPr>
        <w:t xml:space="preserve"> (L-seerias).</w:t>
      </w:r>
    </w:p>
    <w:p w14:paraId="15632254" w14:textId="77777777" w:rsidR="00ED1222" w:rsidRPr="00ED1222" w:rsidRDefault="00ED1222" w:rsidP="00ED1222">
      <w:pPr>
        <w:widowControl/>
        <w:jc w:val="both"/>
        <w:rPr>
          <w:rFonts w:eastAsia="Aptos"/>
          <w:kern w:val="2"/>
          <w:szCs w:val="24"/>
          <w:lang w:eastAsia="en-US"/>
          <w14:ligatures w14:val="standardContextual"/>
        </w:rPr>
        <w:sectPr w:rsidR="00ED1222" w:rsidRPr="00ED1222" w:rsidSect="00ED1222">
          <w:footnotePr>
            <w:numRestart w:val="eachSect"/>
          </w:footnotePr>
          <w:pgSz w:w="11906" w:h="16838"/>
          <w:pgMar w:top="1440" w:right="1440" w:bottom="1440" w:left="1440" w:header="708" w:footer="708" w:gutter="0"/>
          <w:cols w:space="708"/>
          <w:docGrid w:linePitch="360"/>
        </w:sectPr>
      </w:pPr>
    </w:p>
    <w:p w14:paraId="1728C051" w14:textId="28625AB9" w:rsidR="00ED1222" w:rsidRPr="00ED1222" w:rsidRDefault="00ED1222" w:rsidP="006F53D5">
      <w:pPr>
        <w:pStyle w:val="ATHeading3"/>
      </w:pPr>
      <w:r w:rsidRPr="00ED1222">
        <w:lastRenderedPageBreak/>
        <w:t>38. Euroopa Parlamendi 7. mai 2025. aasta otsus Euroopa Meresõiduohutuse Ameti 2023. aasta raamatupidamiskontode sulgemise kohta</w:t>
      </w:r>
      <w:r w:rsidR="00A87338">
        <w:t xml:space="preserve"> </w:t>
      </w:r>
      <w:r w:rsidRPr="00ED1222">
        <w:t>(2024/2030(DEC))</w:t>
      </w:r>
    </w:p>
    <w:p w14:paraId="38E7F838" w14:textId="77777777" w:rsidR="006F53D5" w:rsidRPr="00ED1222" w:rsidRDefault="006F53D5" w:rsidP="006F53D5">
      <w:pPr>
        <w:spacing w:before="480" w:after="240"/>
        <w:rPr>
          <w:i/>
          <w:kern w:val="2"/>
          <w14:ligatures w14:val="standardContextual"/>
        </w:rPr>
      </w:pPr>
      <w:r w:rsidRPr="00ED1222">
        <w:rPr>
          <w:i/>
          <w:kern w:val="2"/>
          <w14:ligatures w14:val="standardContextual"/>
        </w:rPr>
        <w:t>Euroopa Parlament,</w:t>
      </w:r>
    </w:p>
    <w:p w14:paraId="2A4A2FFA"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Meresõiduohutuse Ameti 2023. aasta lõplikku raamatupidamisaruannet,</w:t>
      </w:r>
    </w:p>
    <w:p w14:paraId="7B1F4C34"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kontrollikoja aastaaruannet ELi asutuste eelarveaasta 2023 kohta koos asutuste vastustega</w:t>
      </w:r>
      <w:r w:rsidRPr="00ED1222">
        <w:rPr>
          <w:kern w:val="2"/>
          <w:vertAlign w:val="superscript"/>
          <w14:ligatures w14:val="standardContextual"/>
        </w:rPr>
        <w:footnoteReference w:id="225"/>
      </w:r>
      <w:r w:rsidRPr="00ED1222">
        <w:rPr>
          <w:kern w:val="2"/>
          <w14:ligatures w14:val="standardContextual"/>
        </w:rPr>
        <w:t>,</w:t>
      </w:r>
    </w:p>
    <w:p w14:paraId="7ABB648B"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vastavalt Euroopa Liidu toimimise lepingu artiklile 287 tehtud kontrollikoja kinnitavat avaldust</w:t>
      </w:r>
      <w:r w:rsidRPr="00ED1222">
        <w:rPr>
          <w:kern w:val="2"/>
          <w:vertAlign w:val="superscript"/>
          <w14:ligatures w14:val="standardContextual"/>
        </w:rPr>
        <w:footnoteReference w:id="226"/>
      </w:r>
      <w:r w:rsidRPr="00ED1222">
        <w:rPr>
          <w:kern w:val="2"/>
          <w14:ligatures w14:val="standardContextual"/>
        </w:rPr>
        <w:t xml:space="preserve"> 2023. aasta raamatupidamiskontode usaldatavuse ja nende aluseks olevate tehingute seaduslikkuse ja korrektsuse kohta,</w:t>
      </w:r>
    </w:p>
    <w:p w14:paraId="020D19DE"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nõukogu 17. veebruari 2025. aasta soovitust ameti tegevusele heakskiidu andmise kohta 2023. aasta eelarve täitmisel (05755/2025 – C10</w:t>
      </w:r>
      <w:r w:rsidRPr="00ED1222">
        <w:rPr>
          <w:kern w:val="2"/>
          <w14:ligatures w14:val="standardContextual"/>
        </w:rPr>
        <w:noBreakHyphen/>
        <w:t>0024/2025),</w:t>
      </w:r>
    </w:p>
    <w:p w14:paraId="4BA60661"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toimimise lepingu artiklit 319,</w:t>
      </w:r>
    </w:p>
    <w:p w14:paraId="3B4FA1F0"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18. juuli 2018. aasta määrust (EL, Euratom) 2018/1046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ED1222">
        <w:rPr>
          <w:kern w:val="2"/>
          <w:vertAlign w:val="superscript"/>
          <w14:ligatures w14:val="standardContextual"/>
        </w:rPr>
        <w:footnoteReference w:id="227"/>
      </w:r>
      <w:r w:rsidRPr="00ED1222">
        <w:rPr>
          <w:kern w:val="2"/>
          <w14:ligatures w14:val="standardContextual"/>
        </w:rPr>
        <w:t>, eriti selle artiklit 70,</w:t>
      </w:r>
    </w:p>
    <w:p w14:paraId="790457D7"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23. septembri 2024. aasta määrust (EL, Euratom) 2024/2509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w:t>
      </w:r>
      <w:r w:rsidRPr="00ED1222">
        <w:rPr>
          <w:kern w:val="2"/>
          <w:vertAlign w:val="superscript"/>
          <w14:ligatures w14:val="standardContextual"/>
        </w:rPr>
        <w:footnoteReference w:id="228"/>
      </w:r>
      <w:r w:rsidRPr="00ED1222">
        <w:rPr>
          <w:kern w:val="2"/>
          <w14:ligatures w14:val="standardContextual"/>
        </w:rPr>
        <w:t>, eriti selle artiklit 70,</w:t>
      </w:r>
    </w:p>
    <w:p w14:paraId="36AAC34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Parlamendi ja nõukogu 27. juuni 2002. aasta määrust (EÜ) nr 1406/2002 (millega luuakse Euroopa Meresõiduohutuse Amet)</w:t>
      </w:r>
      <w:r w:rsidRPr="00ED1222">
        <w:rPr>
          <w:kern w:val="2"/>
          <w:vertAlign w:val="superscript"/>
          <w14:ligatures w14:val="standardContextual"/>
        </w:rPr>
        <w:footnoteReference w:id="229"/>
      </w:r>
      <w:r w:rsidRPr="00ED1222">
        <w:rPr>
          <w:kern w:val="2"/>
          <w14:ligatures w14:val="standardContextual"/>
        </w:rPr>
        <w:t>, eriti selle artiklit 19,</w:t>
      </w:r>
    </w:p>
    <w:p w14:paraId="50122B1F"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ED1222">
        <w:rPr>
          <w:kern w:val="2"/>
          <w:vertAlign w:val="superscript"/>
          <w14:ligatures w14:val="standardContextual"/>
        </w:rPr>
        <w:footnoteReference w:id="230"/>
      </w:r>
      <w:r w:rsidRPr="00ED1222">
        <w:rPr>
          <w:kern w:val="2"/>
          <w14:ligatures w14:val="standardContextual"/>
        </w:rPr>
        <w:t>, eriti selle artiklit 105,</w:t>
      </w:r>
    </w:p>
    <w:p w14:paraId="640D242B"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kodukorra artiklit 102 ja V lisa,</w:t>
      </w:r>
    </w:p>
    <w:p w14:paraId="673172A4"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tööhõive- ja sotsiaalkomisjoni, keskkonna-, kliima- ja toiduohutuse </w:t>
      </w:r>
      <w:r w:rsidRPr="00ED1222">
        <w:rPr>
          <w:kern w:val="2"/>
          <w14:ligatures w14:val="standardContextual"/>
        </w:rPr>
        <w:lastRenderedPageBreak/>
        <w:t>komisjoni, transpordi- ja turismikomisjoni, kalanduskomisjoni, kultuuri- ja hariduskomisjoni, kodanikuvabaduste, justiits- ja siseasjade komisjoni ning naiste õiguste ja soolise võrdõiguslikkuse komisjoni arvamusi,</w:t>
      </w:r>
    </w:p>
    <w:p w14:paraId="6F07E26E"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eelarvekontrollikomisjoni raportit (A10-0065/2025),</w:t>
      </w:r>
    </w:p>
    <w:p w14:paraId="1C868289"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w:t>
      </w:r>
      <w:r w:rsidRPr="00ED1222">
        <w:rPr>
          <w:kern w:val="2"/>
          <w14:ligatures w14:val="standardContextual"/>
        </w:rPr>
        <w:tab/>
        <w:t>annab heakskiidu Euroopa Meresõiduohutuse Ameti 2023. aasta raamatupidamiskontode sulgemisele;</w:t>
      </w:r>
    </w:p>
    <w:p w14:paraId="6F4A7CE3"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2.</w:t>
      </w:r>
      <w:r w:rsidRPr="00ED1222">
        <w:rPr>
          <w:kern w:val="2"/>
          <w14:ligatures w14:val="standardContextual"/>
        </w:rPr>
        <w:tab/>
        <w:t xml:space="preserve">teeb presidendile ülesandeks edastada käesolev otsus Euroopa Meresõiduohutuse Ameti tegevdirektorile, nõukogule, komisjonile ja kontrollikojale ning korraldada selle avaldamine </w:t>
      </w:r>
      <w:r w:rsidRPr="00ED1222">
        <w:rPr>
          <w:i/>
          <w:kern w:val="2"/>
          <w14:ligatures w14:val="standardContextual"/>
        </w:rPr>
        <w:t>Euroopa Liidu Teatajas</w:t>
      </w:r>
      <w:r w:rsidRPr="00ED1222">
        <w:rPr>
          <w:kern w:val="2"/>
          <w14:ligatures w14:val="standardContextual"/>
        </w:rPr>
        <w:t xml:space="preserve"> (L-seerias).</w:t>
      </w:r>
    </w:p>
    <w:p w14:paraId="17A5F65F" w14:textId="77777777" w:rsidR="00ED1222" w:rsidRPr="00ED1222" w:rsidRDefault="00ED1222" w:rsidP="00ED1222">
      <w:pPr>
        <w:widowControl/>
        <w:jc w:val="both"/>
        <w:rPr>
          <w:rFonts w:eastAsia="Aptos"/>
          <w:kern w:val="2"/>
          <w:szCs w:val="24"/>
          <w:lang w:eastAsia="en-US"/>
          <w14:ligatures w14:val="standardContextual"/>
        </w:rPr>
        <w:sectPr w:rsidR="00ED1222" w:rsidRPr="00ED1222" w:rsidSect="00ED1222">
          <w:footnotePr>
            <w:numRestart w:val="eachSect"/>
          </w:footnotePr>
          <w:pgSz w:w="11906" w:h="16838"/>
          <w:pgMar w:top="1440" w:right="1440" w:bottom="1440" w:left="1440" w:header="708" w:footer="708" w:gutter="0"/>
          <w:cols w:space="708"/>
          <w:docGrid w:linePitch="360"/>
        </w:sectPr>
      </w:pPr>
    </w:p>
    <w:p w14:paraId="54E94F2F" w14:textId="77777777" w:rsidR="00ED1222" w:rsidRPr="00ED1222" w:rsidRDefault="00ED1222" w:rsidP="006F53D5">
      <w:pPr>
        <w:pStyle w:val="ATHeading3"/>
      </w:pPr>
      <w:r w:rsidRPr="00ED1222">
        <w:lastRenderedPageBreak/>
        <w:t>39. Euroopa Parlamendi 7. mai 2025. aasta otsus Euroopa Liidu Küberturvalisuse Ameti 2023. aasta eelarve täitmisele heakskiidu andmise kohta (2024/2030(DEC))</w:t>
      </w:r>
    </w:p>
    <w:p w14:paraId="663E0C96" w14:textId="77777777" w:rsidR="006F53D5" w:rsidRPr="00ED1222" w:rsidRDefault="006F53D5" w:rsidP="006F53D5">
      <w:pPr>
        <w:spacing w:before="480" w:after="240"/>
        <w:rPr>
          <w:i/>
          <w:kern w:val="2"/>
          <w14:ligatures w14:val="standardContextual"/>
        </w:rPr>
      </w:pPr>
      <w:r w:rsidRPr="00ED1222">
        <w:rPr>
          <w:i/>
          <w:kern w:val="2"/>
          <w14:ligatures w14:val="standardContextual"/>
        </w:rPr>
        <w:t>Euroopa Parlament,</w:t>
      </w:r>
    </w:p>
    <w:p w14:paraId="44C02FC5"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Küberturvalisuse Ameti 2023. aasta lõplikku raamatupidamisaruannet,</w:t>
      </w:r>
    </w:p>
    <w:p w14:paraId="1BF56CCA"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kontrollikoja aastaaruannet ELi asutuste eelarveaasta 2023 kohta koos asutuste vastustega</w:t>
      </w:r>
      <w:r w:rsidRPr="00ED1222">
        <w:rPr>
          <w:kern w:val="2"/>
          <w:vertAlign w:val="superscript"/>
          <w14:ligatures w14:val="standardContextual"/>
        </w:rPr>
        <w:footnoteReference w:id="231"/>
      </w:r>
      <w:r w:rsidRPr="00ED1222">
        <w:rPr>
          <w:kern w:val="2"/>
          <w14:ligatures w14:val="standardContextual"/>
        </w:rPr>
        <w:t>,</w:t>
      </w:r>
    </w:p>
    <w:p w14:paraId="315B3B27"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vastavalt Euroopa Liidu toimimise lepingu artiklile 287 tehtud kontrollikoja kinnitavat avaldust</w:t>
      </w:r>
      <w:r w:rsidRPr="00ED1222">
        <w:rPr>
          <w:kern w:val="2"/>
          <w:vertAlign w:val="superscript"/>
          <w14:ligatures w14:val="standardContextual"/>
        </w:rPr>
        <w:footnoteReference w:id="232"/>
      </w:r>
      <w:r w:rsidRPr="00ED1222">
        <w:rPr>
          <w:kern w:val="2"/>
          <w14:ligatures w14:val="standardContextual"/>
        </w:rPr>
        <w:t xml:space="preserve"> 2023. aasta raamatupidamiskontode usaldatavuse ja nende aluseks olevate tehingute seaduslikkuse ja korrektsuse kohta,</w:t>
      </w:r>
    </w:p>
    <w:p w14:paraId="13F922BC"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nõukogu 17. veebruari 2025. aasta soovitust ameti tegevusele heakskiidu andmise kohta 2023. aasta eelarve täitmisel (05755/2025 – C10</w:t>
      </w:r>
      <w:r w:rsidRPr="00ED1222">
        <w:rPr>
          <w:kern w:val="2"/>
          <w14:ligatures w14:val="standardContextual"/>
        </w:rPr>
        <w:noBreakHyphen/>
        <w:t>0024/2025),</w:t>
      </w:r>
    </w:p>
    <w:p w14:paraId="57B6386C"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toimimise lepingu artiklit 319,</w:t>
      </w:r>
    </w:p>
    <w:p w14:paraId="049F74EF"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18. juuli 2018. aasta määrust (EL, Euratom) 2018/1046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ED1222">
        <w:rPr>
          <w:kern w:val="2"/>
          <w:vertAlign w:val="superscript"/>
          <w14:ligatures w14:val="standardContextual"/>
        </w:rPr>
        <w:footnoteReference w:id="233"/>
      </w:r>
      <w:r w:rsidRPr="00ED1222">
        <w:rPr>
          <w:kern w:val="2"/>
          <w14:ligatures w14:val="standardContextual"/>
        </w:rPr>
        <w:t xml:space="preserve"> eriti selle artiklit 70,</w:t>
      </w:r>
    </w:p>
    <w:p w14:paraId="7455A54D"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23. septembri 2024. aasta määrust (EL, Euratom) 2024/2509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w:t>
      </w:r>
      <w:r w:rsidRPr="00ED1222">
        <w:rPr>
          <w:kern w:val="2"/>
          <w:vertAlign w:val="superscript"/>
          <w14:ligatures w14:val="standardContextual"/>
        </w:rPr>
        <w:footnoteReference w:id="234"/>
      </w:r>
      <w:r w:rsidRPr="00ED1222">
        <w:rPr>
          <w:kern w:val="2"/>
          <w14:ligatures w14:val="standardContextual"/>
        </w:rPr>
        <w:t xml:space="preserve"> eriti selle artiklit 70,</w:t>
      </w:r>
    </w:p>
    <w:p w14:paraId="14B368D2"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17. aprilli 2019. aasta määrust (EL) 2019/881 (mis käsitleb </w:t>
      </w:r>
      <w:proofErr w:type="spellStart"/>
      <w:r w:rsidRPr="00ED1222">
        <w:rPr>
          <w:kern w:val="2"/>
          <w14:ligatures w14:val="standardContextual"/>
        </w:rPr>
        <w:t>ENISAt</w:t>
      </w:r>
      <w:proofErr w:type="spellEnd"/>
      <w:r w:rsidRPr="00ED1222">
        <w:rPr>
          <w:kern w:val="2"/>
          <w14:ligatures w14:val="standardContextual"/>
        </w:rPr>
        <w:t xml:space="preserve"> (Euroopa Liidu Küberturvalisuse Amet) ning info- ja kommunikatsioonitehnoloogia küberturvalisuse sertifitseerimist ja millega tunnistatakse kehtetuks määrus (EL) nr 526/2013 (küberturvalisuse määrus)),</w:t>
      </w:r>
      <w:r w:rsidRPr="00ED1222">
        <w:rPr>
          <w:kern w:val="2"/>
          <w:vertAlign w:val="superscript"/>
          <w14:ligatures w14:val="standardContextual"/>
        </w:rPr>
        <w:footnoteReference w:id="235"/>
      </w:r>
      <w:r w:rsidRPr="00ED1222">
        <w:rPr>
          <w:kern w:val="2"/>
          <w14:ligatures w14:val="standardContextual"/>
        </w:rPr>
        <w:t xml:space="preserve"> eriti selle artiklit 31,</w:t>
      </w:r>
    </w:p>
    <w:p w14:paraId="41C8FEDB"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ED1222">
        <w:rPr>
          <w:kern w:val="2"/>
          <w:vertAlign w:val="superscript"/>
          <w14:ligatures w14:val="standardContextual"/>
        </w:rPr>
        <w:footnoteReference w:id="236"/>
      </w:r>
      <w:r w:rsidRPr="00ED1222">
        <w:rPr>
          <w:kern w:val="2"/>
          <w14:ligatures w14:val="standardContextual"/>
        </w:rPr>
        <w:t xml:space="preserve"> eriti selle artiklit 105,</w:t>
      </w:r>
    </w:p>
    <w:p w14:paraId="56E5E4BC"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lastRenderedPageBreak/>
        <w:t>–</w:t>
      </w:r>
      <w:r w:rsidRPr="00ED1222">
        <w:rPr>
          <w:kern w:val="2"/>
          <w14:ligatures w14:val="standardContextual"/>
        </w:rPr>
        <w:tab/>
        <w:t>võttes arvesse kodukorra artiklit 102 ja V lisa,</w:t>
      </w:r>
    </w:p>
    <w:p w14:paraId="4C84DD95"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tööhõive- ja sotsiaalkomisjoni, keskkonna-, kliima- ja toiduohutuse komisjoni, transpordi- ja turismikomisjoni, kalanduskomisjoni, kultuuri- ja hariduskomisjoni, kodanikuvabaduste, justiits- ja siseasjade komisjoni ning naiste õiguste ja soolise võrdõiguslikkuse komisjoni arvamusi,</w:t>
      </w:r>
    </w:p>
    <w:p w14:paraId="20357C71"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eelarvekontrollikomisjoni raportit (A10-0065/2025),</w:t>
      </w:r>
    </w:p>
    <w:p w14:paraId="3EF3B053"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w:t>
      </w:r>
      <w:r w:rsidRPr="00ED1222">
        <w:rPr>
          <w:kern w:val="2"/>
          <w14:ligatures w14:val="standardContextual"/>
        </w:rPr>
        <w:tab/>
        <w:t>annab heakskiidu Euroopa Liidu Küberturvalisuse Ameti tegevdirektori tegevusele ameti 2023. aasta eelarve täitmisel;</w:t>
      </w:r>
    </w:p>
    <w:p w14:paraId="25C03F9D"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2.</w:t>
      </w:r>
      <w:r w:rsidRPr="00ED1222">
        <w:rPr>
          <w:kern w:val="2"/>
          <w14:ligatures w14:val="standardContextual"/>
        </w:rPr>
        <w:tab/>
        <w:t>esitab oma tähelepanekud alltoodud resolutsioonis;</w:t>
      </w:r>
    </w:p>
    <w:p w14:paraId="5B552D3F"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3.</w:t>
      </w:r>
      <w:r w:rsidRPr="00ED1222">
        <w:rPr>
          <w:kern w:val="2"/>
          <w14:ligatures w14:val="standardContextual"/>
        </w:rPr>
        <w:tab/>
        <w:t xml:space="preserve">teeb presidendile ülesandeks edastada käesolev otsus ja resolutsioon, mis on selle lahutamatu osa, Euroopa Liidu Küberturvalisuse Ameti tegevdirektorile, nõukogule, komisjonile ja kontrollikojale ning korraldada nende avaldamine </w:t>
      </w:r>
      <w:r w:rsidRPr="00ED1222">
        <w:rPr>
          <w:i/>
          <w:kern w:val="2"/>
          <w14:ligatures w14:val="standardContextual"/>
        </w:rPr>
        <w:t>Euroopa Liidu Teatajas</w:t>
      </w:r>
      <w:r w:rsidRPr="00ED1222">
        <w:rPr>
          <w:kern w:val="2"/>
          <w14:ligatures w14:val="standardContextual"/>
        </w:rPr>
        <w:t xml:space="preserve"> (L-seerias).</w:t>
      </w:r>
    </w:p>
    <w:p w14:paraId="6DB5A11A" w14:textId="77777777" w:rsidR="00ED1222" w:rsidRPr="00ED1222" w:rsidRDefault="00ED1222" w:rsidP="00ED1222">
      <w:pPr>
        <w:widowControl/>
        <w:jc w:val="both"/>
        <w:rPr>
          <w:rFonts w:eastAsia="Aptos"/>
          <w:kern w:val="2"/>
          <w:szCs w:val="24"/>
          <w:lang w:eastAsia="en-US"/>
          <w14:ligatures w14:val="standardContextual"/>
        </w:rPr>
        <w:sectPr w:rsidR="00ED1222" w:rsidRPr="00ED1222" w:rsidSect="00ED1222">
          <w:footnotePr>
            <w:numRestart w:val="eachSect"/>
          </w:footnotePr>
          <w:pgSz w:w="11906" w:h="16838"/>
          <w:pgMar w:top="1440" w:right="1440" w:bottom="1440" w:left="1440" w:header="708" w:footer="708" w:gutter="0"/>
          <w:cols w:space="708"/>
          <w:docGrid w:linePitch="360"/>
        </w:sectPr>
      </w:pPr>
    </w:p>
    <w:p w14:paraId="6BF24CC4" w14:textId="77777777" w:rsidR="00ED1222" w:rsidRPr="00ED1222" w:rsidRDefault="00ED1222" w:rsidP="006F53D5">
      <w:pPr>
        <w:pStyle w:val="ATHeading3"/>
      </w:pPr>
      <w:r w:rsidRPr="00ED1222">
        <w:lastRenderedPageBreak/>
        <w:t>40. Euroopa Parlamendi 7. mai 2025. aasta otsus Euroopa Liidu Küberturvalisuse Ameti 2023. aasta raamatupidamiskontode sulgemise kohta (2024/2030(DEC))</w:t>
      </w:r>
    </w:p>
    <w:p w14:paraId="0E99915A" w14:textId="77777777" w:rsidR="006F53D5" w:rsidRPr="00ED1222" w:rsidRDefault="006F53D5" w:rsidP="006F53D5">
      <w:pPr>
        <w:spacing w:before="480" w:after="240"/>
        <w:rPr>
          <w:i/>
          <w:kern w:val="2"/>
          <w14:ligatures w14:val="standardContextual"/>
        </w:rPr>
      </w:pPr>
      <w:r w:rsidRPr="00ED1222">
        <w:rPr>
          <w:i/>
          <w:kern w:val="2"/>
          <w14:ligatures w14:val="standardContextual"/>
        </w:rPr>
        <w:t>Euroopa Parlament,</w:t>
      </w:r>
    </w:p>
    <w:p w14:paraId="1984A71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Küberturvalisuse Ameti 2023. aasta lõplikku raamatupidamisaruannet,</w:t>
      </w:r>
    </w:p>
    <w:p w14:paraId="110AA76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kontrollikoja aastaaruannet ELi asutuste eelarveaasta 2023 kohta koos asutuste vastustega</w:t>
      </w:r>
      <w:r w:rsidRPr="00ED1222">
        <w:rPr>
          <w:kern w:val="2"/>
          <w:vertAlign w:val="superscript"/>
          <w14:ligatures w14:val="standardContextual"/>
        </w:rPr>
        <w:footnoteReference w:id="237"/>
      </w:r>
      <w:r w:rsidRPr="00ED1222">
        <w:rPr>
          <w:kern w:val="2"/>
          <w14:ligatures w14:val="standardContextual"/>
        </w:rPr>
        <w:t>,</w:t>
      </w:r>
    </w:p>
    <w:p w14:paraId="60C4B491"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vastavalt Euroopa Liidu toimimise lepingu artiklile 287 tehtud kontrollikoja kinnitavat avaldust</w:t>
      </w:r>
      <w:r w:rsidRPr="00ED1222">
        <w:rPr>
          <w:kern w:val="2"/>
          <w:vertAlign w:val="superscript"/>
          <w14:ligatures w14:val="standardContextual"/>
        </w:rPr>
        <w:footnoteReference w:id="238"/>
      </w:r>
      <w:r w:rsidRPr="00ED1222">
        <w:rPr>
          <w:kern w:val="2"/>
          <w14:ligatures w14:val="standardContextual"/>
        </w:rPr>
        <w:t xml:space="preserve"> 2023. aasta raamatupidamiskontode usaldatavuse ja nende aluseks olevate tehingute seaduslikkuse ja korrektsuse kohta,</w:t>
      </w:r>
    </w:p>
    <w:p w14:paraId="75500793"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nõukogu 17. veebruari 2025. aasta soovitust ameti tegevusele heakskiidu andmise kohta 2023. aasta eelarve täitmisel (05755/2025 – C10</w:t>
      </w:r>
      <w:r w:rsidRPr="00ED1222">
        <w:rPr>
          <w:kern w:val="2"/>
          <w14:ligatures w14:val="standardContextual"/>
        </w:rPr>
        <w:noBreakHyphen/>
        <w:t>0024/2025),</w:t>
      </w:r>
    </w:p>
    <w:p w14:paraId="1A3F77A2"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toimimise lepingu artiklit 319,</w:t>
      </w:r>
    </w:p>
    <w:p w14:paraId="0FDD449E"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18. juuli 2018. aasta määrust (EL, Euratom) 2018/1046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ED1222">
        <w:rPr>
          <w:kern w:val="2"/>
          <w:vertAlign w:val="superscript"/>
          <w14:ligatures w14:val="standardContextual"/>
        </w:rPr>
        <w:footnoteReference w:id="239"/>
      </w:r>
      <w:r w:rsidRPr="00ED1222">
        <w:rPr>
          <w:kern w:val="2"/>
          <w14:ligatures w14:val="standardContextual"/>
        </w:rPr>
        <w:t xml:space="preserve"> eriti selle artiklit 70,</w:t>
      </w:r>
    </w:p>
    <w:p w14:paraId="369E0ECE"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23. septembri 2024. aasta määrust (EL, Euratom) 2024/2509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w:t>
      </w:r>
      <w:r w:rsidRPr="00ED1222">
        <w:rPr>
          <w:kern w:val="2"/>
          <w:vertAlign w:val="superscript"/>
          <w14:ligatures w14:val="standardContextual"/>
        </w:rPr>
        <w:footnoteReference w:id="240"/>
      </w:r>
      <w:r w:rsidRPr="00ED1222">
        <w:rPr>
          <w:kern w:val="2"/>
          <w14:ligatures w14:val="standardContextual"/>
        </w:rPr>
        <w:t xml:space="preserve"> eriti selle artiklit 70,</w:t>
      </w:r>
    </w:p>
    <w:p w14:paraId="68AAD185"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17. aprilli 2019. aasta määrust (EL) 2019/881 (mis käsitleb </w:t>
      </w:r>
      <w:proofErr w:type="spellStart"/>
      <w:r w:rsidRPr="00ED1222">
        <w:rPr>
          <w:kern w:val="2"/>
          <w14:ligatures w14:val="standardContextual"/>
        </w:rPr>
        <w:t>ENISAt</w:t>
      </w:r>
      <w:proofErr w:type="spellEnd"/>
      <w:r w:rsidRPr="00ED1222">
        <w:rPr>
          <w:kern w:val="2"/>
          <w14:ligatures w14:val="standardContextual"/>
        </w:rPr>
        <w:t xml:space="preserve"> (Euroopa Liidu Küberturvalisuse Amet) ning info- ja kommunikatsioonitehnoloogia küberturvalisuse sertifitseerimist ja millega tunnistatakse kehtetuks määrus (EL) nr 526/2013 (küberturvalisuse määrus)),</w:t>
      </w:r>
      <w:r w:rsidRPr="00ED1222">
        <w:rPr>
          <w:kern w:val="2"/>
          <w:vertAlign w:val="superscript"/>
          <w14:ligatures w14:val="standardContextual"/>
        </w:rPr>
        <w:footnoteReference w:id="241"/>
      </w:r>
      <w:r w:rsidRPr="00ED1222">
        <w:rPr>
          <w:kern w:val="2"/>
          <w14:ligatures w14:val="standardContextual"/>
        </w:rPr>
        <w:t xml:space="preserve"> eriti selle artiklit 31,</w:t>
      </w:r>
    </w:p>
    <w:p w14:paraId="7C34CF9A"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ED1222">
        <w:rPr>
          <w:kern w:val="2"/>
          <w:vertAlign w:val="superscript"/>
          <w14:ligatures w14:val="standardContextual"/>
        </w:rPr>
        <w:footnoteReference w:id="242"/>
      </w:r>
      <w:r w:rsidRPr="00ED1222">
        <w:rPr>
          <w:kern w:val="2"/>
          <w14:ligatures w14:val="standardContextual"/>
        </w:rPr>
        <w:t xml:space="preserve"> eriti selle artiklit 105,</w:t>
      </w:r>
    </w:p>
    <w:p w14:paraId="110D438E"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lastRenderedPageBreak/>
        <w:t>–</w:t>
      </w:r>
      <w:r w:rsidRPr="00ED1222">
        <w:rPr>
          <w:kern w:val="2"/>
          <w14:ligatures w14:val="standardContextual"/>
        </w:rPr>
        <w:tab/>
        <w:t>võttes arvesse kodukorra artiklit 102 ja V lisa,</w:t>
      </w:r>
    </w:p>
    <w:p w14:paraId="44E554C2"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tööhõive- ja sotsiaalkomisjoni, keskkonna-, kliima- ja toiduohutuse komisjoni, transpordi- ja turismikomisjoni, kalanduskomisjoni, kultuuri- ja hariduskomisjoni, kodanikuvabaduste, justiits- ja siseasjade komisjoni ning naiste õiguste ja soolise võrdõiguslikkuse komisjoni arvamusi,</w:t>
      </w:r>
    </w:p>
    <w:p w14:paraId="2CF17CD5"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eelarvekontrollikomisjoni raportit (A10-0065/2025),</w:t>
      </w:r>
    </w:p>
    <w:p w14:paraId="474EAF80"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w:t>
      </w:r>
      <w:r w:rsidRPr="00ED1222">
        <w:rPr>
          <w:kern w:val="2"/>
          <w14:ligatures w14:val="standardContextual"/>
        </w:rPr>
        <w:tab/>
        <w:t>annab heakskiidu Euroopa Liidu Küberturvalisuse Ameti 2023. aasta raamatupidamiskontode sulgemisele;</w:t>
      </w:r>
    </w:p>
    <w:p w14:paraId="30AF9D37"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2.</w:t>
      </w:r>
      <w:r w:rsidRPr="00ED1222">
        <w:rPr>
          <w:kern w:val="2"/>
          <w14:ligatures w14:val="standardContextual"/>
        </w:rPr>
        <w:tab/>
        <w:t xml:space="preserve">teeb presidendile ülesandeks edastada käesolev otsus Euroopa Liidu Küberturvalisuse Ameti tegevdirektorile, nõukogule, komisjonile ja kontrollikojale ning korraldada selle avaldamine </w:t>
      </w:r>
      <w:r w:rsidRPr="00ED1222">
        <w:rPr>
          <w:i/>
          <w:kern w:val="2"/>
          <w14:ligatures w14:val="standardContextual"/>
        </w:rPr>
        <w:t>Euroopa Liidu Teatajas</w:t>
      </w:r>
      <w:r w:rsidRPr="00ED1222">
        <w:rPr>
          <w:kern w:val="2"/>
          <w14:ligatures w14:val="standardContextual"/>
        </w:rPr>
        <w:t xml:space="preserve"> (L-seerias).</w:t>
      </w:r>
    </w:p>
    <w:p w14:paraId="5C2F070B" w14:textId="77777777" w:rsidR="00ED1222" w:rsidRPr="00ED1222" w:rsidRDefault="00ED1222" w:rsidP="00ED1222">
      <w:pPr>
        <w:widowControl/>
        <w:jc w:val="both"/>
        <w:rPr>
          <w:rFonts w:eastAsia="Aptos"/>
          <w:kern w:val="2"/>
          <w:szCs w:val="24"/>
          <w:lang w:eastAsia="en-US"/>
          <w14:ligatures w14:val="standardContextual"/>
        </w:rPr>
        <w:sectPr w:rsidR="00ED1222" w:rsidRPr="00ED1222" w:rsidSect="00ED1222">
          <w:footnotePr>
            <w:numRestart w:val="eachSect"/>
          </w:footnotePr>
          <w:pgSz w:w="11906" w:h="16838"/>
          <w:pgMar w:top="1440" w:right="1440" w:bottom="1440" w:left="1440" w:header="708" w:footer="708" w:gutter="0"/>
          <w:cols w:space="708"/>
          <w:docGrid w:linePitch="360"/>
        </w:sectPr>
      </w:pPr>
    </w:p>
    <w:p w14:paraId="132E1674" w14:textId="77777777" w:rsidR="00ED1222" w:rsidRPr="00ED1222" w:rsidRDefault="00ED1222" w:rsidP="006F53D5">
      <w:pPr>
        <w:pStyle w:val="ATHeading3"/>
      </w:pPr>
      <w:r w:rsidRPr="00ED1222">
        <w:lastRenderedPageBreak/>
        <w:t>41. Euroopa Parlamendi 7. mai 2025. aasta otsus Euroopa Liidu Raudteeameti 2023. aasta eelarve täitmisele heakskiidu andmise kohta (2024/2030(DEC))</w:t>
      </w:r>
    </w:p>
    <w:p w14:paraId="20F21168" w14:textId="77777777" w:rsidR="006F53D5" w:rsidRPr="00ED1222" w:rsidRDefault="006F53D5" w:rsidP="006F53D5">
      <w:pPr>
        <w:spacing w:before="480" w:after="240"/>
        <w:rPr>
          <w:i/>
          <w:kern w:val="2"/>
          <w14:ligatures w14:val="standardContextual"/>
        </w:rPr>
      </w:pPr>
      <w:r w:rsidRPr="00ED1222">
        <w:rPr>
          <w:i/>
          <w:kern w:val="2"/>
          <w14:ligatures w14:val="standardContextual"/>
        </w:rPr>
        <w:t>Euroopa Parlament,</w:t>
      </w:r>
    </w:p>
    <w:p w14:paraId="6B4729F3"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Raudteeameti 2023. aasta lõplikku raamatupidamisaruannet,</w:t>
      </w:r>
    </w:p>
    <w:p w14:paraId="2421313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kontrollikoja aastaaruannet ELi asutuste eelarveaasta 2023 kohta koos asutuste vastustega</w:t>
      </w:r>
      <w:r w:rsidRPr="00ED1222">
        <w:rPr>
          <w:kern w:val="2"/>
          <w:vertAlign w:val="superscript"/>
          <w14:ligatures w14:val="standardContextual"/>
        </w:rPr>
        <w:footnoteReference w:id="243"/>
      </w:r>
      <w:r w:rsidRPr="00ED1222">
        <w:rPr>
          <w:kern w:val="2"/>
          <w14:ligatures w14:val="standardContextual"/>
        </w:rPr>
        <w:t>,</w:t>
      </w:r>
    </w:p>
    <w:p w14:paraId="2869A7AE"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vastavalt Euroopa Liidu toimimise lepingu artiklile 287 tehtud kontrollikoja kinnitavat avaldust</w:t>
      </w:r>
      <w:r w:rsidRPr="00ED1222">
        <w:rPr>
          <w:kern w:val="2"/>
          <w:vertAlign w:val="superscript"/>
          <w14:ligatures w14:val="standardContextual"/>
        </w:rPr>
        <w:footnoteReference w:id="244"/>
      </w:r>
      <w:r w:rsidRPr="00ED1222">
        <w:rPr>
          <w:kern w:val="2"/>
          <w14:ligatures w14:val="standardContextual"/>
        </w:rPr>
        <w:t xml:space="preserve"> 2023. aasta raamatupidamiskontode usaldatavuse ja nende aluseks olevate tehingute seaduslikkuse ja korrektsuse kohta,</w:t>
      </w:r>
    </w:p>
    <w:p w14:paraId="7852877D"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nõukogu 17. veebruari 2025. aasta soovitust ameti tegevusele heakskiidu andmise kohta 2023. aasta eelarve täitmisel (05755/2025 – C10</w:t>
      </w:r>
      <w:r w:rsidRPr="00ED1222">
        <w:rPr>
          <w:kern w:val="2"/>
          <w14:ligatures w14:val="standardContextual"/>
        </w:rPr>
        <w:noBreakHyphen/>
        <w:t>0024/2025),</w:t>
      </w:r>
    </w:p>
    <w:p w14:paraId="1124B8FB"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toimimise lepingu artiklit 319,</w:t>
      </w:r>
    </w:p>
    <w:p w14:paraId="48D91E52"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18. juuli 2018. aasta määrust (EL, Euratom) 2018/1046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ED1222">
        <w:rPr>
          <w:kern w:val="2"/>
          <w:vertAlign w:val="superscript"/>
          <w14:ligatures w14:val="standardContextual"/>
        </w:rPr>
        <w:footnoteReference w:id="245"/>
      </w:r>
      <w:r w:rsidRPr="00ED1222">
        <w:rPr>
          <w:kern w:val="2"/>
          <w14:ligatures w14:val="standardContextual"/>
        </w:rPr>
        <w:t xml:space="preserve"> eriti selle artiklit 70,</w:t>
      </w:r>
    </w:p>
    <w:p w14:paraId="4C6CFEEA"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23. septembri 2024. aasta määrust (EL, Euratom) 2024/2509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w:t>
      </w:r>
      <w:r w:rsidRPr="00ED1222">
        <w:rPr>
          <w:kern w:val="2"/>
          <w:vertAlign w:val="superscript"/>
          <w14:ligatures w14:val="standardContextual"/>
        </w:rPr>
        <w:footnoteReference w:id="246"/>
      </w:r>
      <w:r w:rsidRPr="00ED1222">
        <w:rPr>
          <w:kern w:val="2"/>
          <w14:ligatures w14:val="standardContextual"/>
        </w:rPr>
        <w:t xml:space="preserve"> eriti selle artiklit 70,</w:t>
      </w:r>
    </w:p>
    <w:p w14:paraId="0C7C29A8"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Parlamendi ja nõukogu 11. mai 2016. aasta määrust (EL) 2016/796 (mis käsitleb Euroopa Liidu Raudteeametit ja millega tunnistatakse kehtetuks määrus (EÜ) nr 881/2004),</w:t>
      </w:r>
      <w:r w:rsidRPr="00ED1222">
        <w:rPr>
          <w:kern w:val="2"/>
          <w:vertAlign w:val="superscript"/>
          <w14:ligatures w14:val="standardContextual"/>
        </w:rPr>
        <w:footnoteReference w:id="247"/>
      </w:r>
      <w:r w:rsidRPr="00ED1222">
        <w:rPr>
          <w:kern w:val="2"/>
          <w14:ligatures w14:val="standardContextual"/>
        </w:rPr>
        <w:t xml:space="preserve"> eriti selle artiklit 65,</w:t>
      </w:r>
    </w:p>
    <w:p w14:paraId="1256D2EC"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ED1222">
        <w:rPr>
          <w:kern w:val="2"/>
          <w:vertAlign w:val="superscript"/>
          <w14:ligatures w14:val="standardContextual"/>
        </w:rPr>
        <w:footnoteReference w:id="248"/>
      </w:r>
      <w:r w:rsidRPr="00ED1222">
        <w:rPr>
          <w:kern w:val="2"/>
          <w14:ligatures w14:val="standardContextual"/>
        </w:rPr>
        <w:t xml:space="preserve"> eriti selle artiklit 105,</w:t>
      </w:r>
    </w:p>
    <w:p w14:paraId="27E666C0"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kodukorra artiklit 102 ja V lisa,</w:t>
      </w:r>
    </w:p>
    <w:p w14:paraId="4D00A45F"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tööhõive- ja sotsiaalkomisjoni, keskkonna-, kliima- ja toiduohutuse </w:t>
      </w:r>
      <w:r w:rsidRPr="00ED1222">
        <w:rPr>
          <w:kern w:val="2"/>
          <w14:ligatures w14:val="standardContextual"/>
        </w:rPr>
        <w:lastRenderedPageBreak/>
        <w:t>komisjoni, transpordi- ja turismikomisjoni, kalanduskomisjoni, kultuuri- ja hariduskomisjoni, kodanikuvabaduste, justiits- ja siseasjade komisjoni ning naiste õiguste ja soolise võrdõiguslikkuse komisjoni arvamusi,</w:t>
      </w:r>
    </w:p>
    <w:p w14:paraId="2CAEBB70"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eelarvekontrollikomisjoni raportit (A10-0065/2025),</w:t>
      </w:r>
    </w:p>
    <w:p w14:paraId="465972E1"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w:t>
      </w:r>
      <w:r w:rsidRPr="00ED1222">
        <w:rPr>
          <w:kern w:val="2"/>
          <w14:ligatures w14:val="standardContextual"/>
        </w:rPr>
        <w:tab/>
        <w:t>annab heakskiidu Euroopa Liidu Raudteeameti tegevdirektori kohusetäitja tegevusele ameti 2023. aasta eelarve täitmisel;</w:t>
      </w:r>
    </w:p>
    <w:p w14:paraId="70990E9B"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2.</w:t>
      </w:r>
      <w:r w:rsidRPr="00ED1222">
        <w:rPr>
          <w:kern w:val="2"/>
          <w14:ligatures w14:val="standardContextual"/>
        </w:rPr>
        <w:tab/>
        <w:t>esitab oma tähelepanekud alltoodud resolutsioonis;</w:t>
      </w:r>
    </w:p>
    <w:p w14:paraId="3AD24D97"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3.</w:t>
      </w:r>
      <w:r w:rsidRPr="00ED1222">
        <w:rPr>
          <w:kern w:val="2"/>
          <w14:ligatures w14:val="standardContextual"/>
        </w:rPr>
        <w:tab/>
        <w:t xml:space="preserve">teeb presidendile ülesandeks edastada käesolev otsus ja resolutsioon, mis on selle lahutamatu osa, Euroopa Liidu Raudteeameti tegevdirektori kohusetäitjale, nõukogule, komisjonile ja kontrollikojale ning korraldada nende avaldamine </w:t>
      </w:r>
      <w:r w:rsidRPr="00ED1222">
        <w:rPr>
          <w:i/>
          <w:kern w:val="2"/>
          <w14:ligatures w14:val="standardContextual"/>
        </w:rPr>
        <w:t>Euroopa Liidu Teatajas</w:t>
      </w:r>
      <w:r w:rsidRPr="00ED1222">
        <w:rPr>
          <w:kern w:val="2"/>
          <w14:ligatures w14:val="standardContextual"/>
        </w:rPr>
        <w:t xml:space="preserve"> (L-seerias).</w:t>
      </w:r>
    </w:p>
    <w:p w14:paraId="30F7684E" w14:textId="77777777" w:rsidR="00ED1222" w:rsidRPr="00ED1222" w:rsidRDefault="00ED1222" w:rsidP="00ED1222">
      <w:pPr>
        <w:widowControl/>
        <w:jc w:val="both"/>
        <w:rPr>
          <w:rFonts w:eastAsia="Aptos"/>
          <w:kern w:val="2"/>
          <w:szCs w:val="24"/>
          <w:lang w:eastAsia="en-US"/>
          <w14:ligatures w14:val="standardContextual"/>
        </w:rPr>
        <w:sectPr w:rsidR="00ED1222" w:rsidRPr="00ED1222" w:rsidSect="00ED1222">
          <w:footnotePr>
            <w:numRestart w:val="eachSect"/>
          </w:footnotePr>
          <w:pgSz w:w="11906" w:h="16838"/>
          <w:pgMar w:top="1440" w:right="1440" w:bottom="1440" w:left="1440" w:header="708" w:footer="708" w:gutter="0"/>
          <w:cols w:space="708"/>
          <w:docGrid w:linePitch="360"/>
        </w:sectPr>
      </w:pPr>
    </w:p>
    <w:p w14:paraId="1E6958FF" w14:textId="77777777" w:rsidR="00ED1222" w:rsidRPr="00ED1222" w:rsidRDefault="00ED1222" w:rsidP="006F53D5">
      <w:pPr>
        <w:pStyle w:val="ATHeading3"/>
      </w:pPr>
      <w:r w:rsidRPr="00ED1222">
        <w:lastRenderedPageBreak/>
        <w:t>42. Euroopa Parlamendi 7. mai 2025. aasta otsus Euroopa Liidu Raudteeameti 2023. aasta raamatupidamiskontode sulgemise kohta (2024/2030(DEC))</w:t>
      </w:r>
    </w:p>
    <w:p w14:paraId="08146B59" w14:textId="77777777" w:rsidR="006F53D5" w:rsidRPr="00ED1222" w:rsidRDefault="006F53D5" w:rsidP="006F53D5">
      <w:pPr>
        <w:spacing w:before="480" w:after="240"/>
        <w:rPr>
          <w:i/>
          <w:kern w:val="2"/>
          <w14:ligatures w14:val="standardContextual"/>
        </w:rPr>
      </w:pPr>
      <w:r w:rsidRPr="00ED1222">
        <w:rPr>
          <w:i/>
          <w:kern w:val="2"/>
          <w14:ligatures w14:val="standardContextual"/>
        </w:rPr>
        <w:t>Euroopa Parlament,</w:t>
      </w:r>
    </w:p>
    <w:p w14:paraId="5BCBEF41"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Raudteeameti 2023. aasta lõplikku raamatupidamisaruannet,</w:t>
      </w:r>
    </w:p>
    <w:p w14:paraId="39A680EE"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kontrollikoja aastaaruannet ELi asutuste eelarveaasta 2023 kohta koos asutuste vastustega</w:t>
      </w:r>
      <w:r w:rsidRPr="00ED1222">
        <w:rPr>
          <w:kern w:val="2"/>
          <w:vertAlign w:val="superscript"/>
          <w14:ligatures w14:val="standardContextual"/>
        </w:rPr>
        <w:footnoteReference w:id="249"/>
      </w:r>
      <w:r w:rsidRPr="00ED1222">
        <w:rPr>
          <w:kern w:val="2"/>
          <w14:ligatures w14:val="standardContextual"/>
        </w:rPr>
        <w:t>,</w:t>
      </w:r>
    </w:p>
    <w:p w14:paraId="43AD0F04"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vastavalt Euroopa Liidu toimimise lepingu artiklile 287 tehtud kontrollikoja kinnitavat avaldust</w:t>
      </w:r>
      <w:r w:rsidRPr="00ED1222">
        <w:rPr>
          <w:kern w:val="2"/>
          <w:vertAlign w:val="superscript"/>
          <w14:ligatures w14:val="standardContextual"/>
        </w:rPr>
        <w:footnoteReference w:id="250"/>
      </w:r>
      <w:r w:rsidRPr="00ED1222">
        <w:rPr>
          <w:kern w:val="2"/>
          <w14:ligatures w14:val="standardContextual"/>
        </w:rPr>
        <w:t xml:space="preserve"> 2023. aasta raamatupidamiskontode usaldatavuse ja nende aluseks olevate tehingute seaduslikkuse ja korrektsuse kohta,</w:t>
      </w:r>
    </w:p>
    <w:p w14:paraId="6125DD2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nõukogu 17. veebruari 2025. aasta soovitust ameti tegevusele heakskiidu andmise kohta 2023. aasta eelarve täitmisel (05755/2025 – C10</w:t>
      </w:r>
      <w:r w:rsidRPr="00ED1222">
        <w:rPr>
          <w:kern w:val="2"/>
          <w14:ligatures w14:val="standardContextual"/>
        </w:rPr>
        <w:noBreakHyphen/>
        <w:t>0024/2025),</w:t>
      </w:r>
    </w:p>
    <w:p w14:paraId="04A1ECB3"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toimimise lepingu artiklit 319,</w:t>
      </w:r>
    </w:p>
    <w:p w14:paraId="53024619"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18. juuli 2018. aasta määrust (EL, Euratom) 2018/1046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ED1222">
        <w:rPr>
          <w:kern w:val="2"/>
          <w:vertAlign w:val="superscript"/>
          <w14:ligatures w14:val="standardContextual"/>
        </w:rPr>
        <w:footnoteReference w:id="251"/>
      </w:r>
      <w:r w:rsidRPr="00ED1222">
        <w:rPr>
          <w:kern w:val="2"/>
          <w14:ligatures w14:val="standardContextual"/>
        </w:rPr>
        <w:t xml:space="preserve"> eriti selle artiklit 70,</w:t>
      </w:r>
    </w:p>
    <w:p w14:paraId="19481A55"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23. septembri 2024. aasta määrust (EL, Euratom) 2024/2509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w:t>
      </w:r>
      <w:r w:rsidRPr="00ED1222">
        <w:rPr>
          <w:kern w:val="2"/>
          <w:vertAlign w:val="superscript"/>
          <w14:ligatures w14:val="standardContextual"/>
        </w:rPr>
        <w:footnoteReference w:id="252"/>
      </w:r>
      <w:r w:rsidRPr="00ED1222">
        <w:rPr>
          <w:kern w:val="2"/>
          <w14:ligatures w14:val="standardContextual"/>
        </w:rPr>
        <w:t xml:space="preserve"> eriti selle artiklit 70,</w:t>
      </w:r>
    </w:p>
    <w:p w14:paraId="7E26DBE8"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Parlamendi ja nõukogu 11. mai 2016. aasta määrust (EL) 2016/796 (mis käsitleb Euroopa Liidu Raudteeametit ja millega tunnistatakse kehtetuks määrus (EÜ) nr 881/2004),</w:t>
      </w:r>
      <w:r w:rsidRPr="00ED1222">
        <w:rPr>
          <w:kern w:val="2"/>
          <w:vertAlign w:val="superscript"/>
          <w14:ligatures w14:val="standardContextual"/>
        </w:rPr>
        <w:footnoteReference w:id="253"/>
      </w:r>
      <w:r w:rsidRPr="00ED1222">
        <w:rPr>
          <w:kern w:val="2"/>
          <w14:ligatures w14:val="standardContextual"/>
        </w:rPr>
        <w:t xml:space="preserve"> eriti selle artiklit 65,</w:t>
      </w:r>
    </w:p>
    <w:p w14:paraId="33CF59DB"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ED1222">
        <w:rPr>
          <w:kern w:val="2"/>
          <w:vertAlign w:val="superscript"/>
          <w14:ligatures w14:val="standardContextual"/>
        </w:rPr>
        <w:footnoteReference w:id="254"/>
      </w:r>
      <w:r w:rsidRPr="00ED1222">
        <w:rPr>
          <w:kern w:val="2"/>
          <w14:ligatures w14:val="standardContextual"/>
        </w:rPr>
        <w:t xml:space="preserve"> eriti selle artiklit 105,</w:t>
      </w:r>
    </w:p>
    <w:p w14:paraId="34B6E2BA"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kodukorra artiklit 102 ja V lisa,</w:t>
      </w:r>
    </w:p>
    <w:p w14:paraId="6724CDF0"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tööhõive- ja sotsiaalkomisjoni, keskkonna-, kliima- ja toiduohutuse </w:t>
      </w:r>
      <w:r w:rsidRPr="00ED1222">
        <w:rPr>
          <w:kern w:val="2"/>
          <w14:ligatures w14:val="standardContextual"/>
        </w:rPr>
        <w:lastRenderedPageBreak/>
        <w:t>komisjoni, transpordi- ja turismikomisjoni, kalanduskomisjoni, kultuuri- ja hariduskomisjoni, kodanikuvabaduste, justiits- ja siseasjade komisjoni ning naiste õiguste ja soolise võrdõiguslikkuse komisjoni arvamusi,</w:t>
      </w:r>
    </w:p>
    <w:p w14:paraId="09FD5E43"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eelarvekontrollikomisjoni raportit (A10-0065/2025),</w:t>
      </w:r>
    </w:p>
    <w:p w14:paraId="5815DD4C"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w:t>
      </w:r>
      <w:r w:rsidRPr="00ED1222">
        <w:rPr>
          <w:kern w:val="2"/>
          <w14:ligatures w14:val="standardContextual"/>
        </w:rPr>
        <w:tab/>
        <w:t>annab heakskiidu Euroopa Liidu Raudteeameti 2023. aasta raamatupidamiskontode sulgemisele;</w:t>
      </w:r>
    </w:p>
    <w:p w14:paraId="59D785D9"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2.</w:t>
      </w:r>
      <w:r w:rsidRPr="00ED1222">
        <w:rPr>
          <w:kern w:val="2"/>
          <w14:ligatures w14:val="standardContextual"/>
        </w:rPr>
        <w:tab/>
        <w:t xml:space="preserve">teeb presidendile ülesandeks edastada käesolev otsus Euroopa Liidu Raudteeameti tegevdirektori kohusetäitjale, nõukogule, komisjonile ja kontrollikojale ning korraldada selle avaldamine </w:t>
      </w:r>
      <w:r w:rsidRPr="00ED1222">
        <w:rPr>
          <w:i/>
          <w:kern w:val="2"/>
          <w14:ligatures w14:val="standardContextual"/>
        </w:rPr>
        <w:t>Euroopa Liidu Teatajas</w:t>
      </w:r>
      <w:r w:rsidRPr="00ED1222">
        <w:rPr>
          <w:kern w:val="2"/>
          <w14:ligatures w14:val="standardContextual"/>
        </w:rPr>
        <w:t xml:space="preserve"> (L-seerias).</w:t>
      </w:r>
    </w:p>
    <w:p w14:paraId="3C36BC7C" w14:textId="77777777" w:rsidR="00ED1222" w:rsidRPr="00ED1222" w:rsidRDefault="00ED1222" w:rsidP="00ED1222">
      <w:pPr>
        <w:widowControl/>
        <w:jc w:val="both"/>
        <w:rPr>
          <w:rFonts w:eastAsia="Aptos"/>
          <w:kern w:val="2"/>
          <w:szCs w:val="24"/>
          <w:lang w:eastAsia="en-US"/>
          <w14:ligatures w14:val="standardContextual"/>
        </w:rPr>
        <w:sectPr w:rsidR="00ED1222" w:rsidRPr="00ED1222" w:rsidSect="00ED1222">
          <w:footnotePr>
            <w:numRestart w:val="eachSect"/>
          </w:footnotePr>
          <w:pgSz w:w="11906" w:h="16838"/>
          <w:pgMar w:top="1440" w:right="1440" w:bottom="1440" w:left="1440" w:header="708" w:footer="708" w:gutter="0"/>
          <w:cols w:space="708"/>
          <w:docGrid w:linePitch="360"/>
        </w:sectPr>
      </w:pPr>
    </w:p>
    <w:p w14:paraId="1AE9B50B" w14:textId="6484913C" w:rsidR="00ED1222" w:rsidRPr="00ED1222" w:rsidRDefault="00ED1222" w:rsidP="006F53D5">
      <w:pPr>
        <w:pStyle w:val="ATHeading3"/>
      </w:pPr>
      <w:r w:rsidRPr="00ED1222">
        <w:lastRenderedPageBreak/>
        <w:t>43. Euroopa Parlamendi 7. mai 2025. aasta otsus Euratomi Tarneagentuuri 2023. aasta eelarve täitmisele heakskiidu andmise kohta</w:t>
      </w:r>
      <w:r w:rsidR="00A87338">
        <w:t xml:space="preserve"> </w:t>
      </w:r>
      <w:r w:rsidRPr="00ED1222">
        <w:t>(2024/2030(DEC))</w:t>
      </w:r>
    </w:p>
    <w:p w14:paraId="5014B844" w14:textId="77777777" w:rsidR="006F53D5" w:rsidRPr="00ED1222" w:rsidRDefault="006F53D5" w:rsidP="006F53D5">
      <w:pPr>
        <w:spacing w:before="480" w:after="240"/>
        <w:rPr>
          <w:i/>
          <w:kern w:val="2"/>
          <w14:ligatures w14:val="standardContextual"/>
        </w:rPr>
      </w:pPr>
      <w:r w:rsidRPr="00ED1222">
        <w:rPr>
          <w:i/>
          <w:kern w:val="2"/>
          <w14:ligatures w14:val="standardContextual"/>
        </w:rPr>
        <w:t>Euroopa Parlament,</w:t>
      </w:r>
    </w:p>
    <w:p w14:paraId="4B3A9CA2"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Euratomi Tarneagentuuri 2023. aasta lõplikku raamatupidamisaruannet,</w:t>
      </w:r>
    </w:p>
    <w:p w14:paraId="2297CA38"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kontrollikoja aastaaruannet ELi asutuste eelarveaasta 2023 kohta koos asutuste vastustega</w:t>
      </w:r>
      <w:r w:rsidRPr="00ED1222">
        <w:rPr>
          <w:kern w:val="2"/>
          <w:vertAlign w:val="superscript"/>
          <w14:ligatures w14:val="standardContextual"/>
        </w:rPr>
        <w:footnoteReference w:id="255"/>
      </w:r>
      <w:r w:rsidRPr="00ED1222">
        <w:rPr>
          <w:kern w:val="2"/>
          <w14:ligatures w14:val="standardContextual"/>
        </w:rPr>
        <w:t>,</w:t>
      </w:r>
    </w:p>
    <w:p w14:paraId="3435983E"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vastavalt Euroopa Liidu toimimise lepingu artiklile 287 tehtud kontrollikoja kinnitavat avaldust</w:t>
      </w:r>
      <w:r w:rsidRPr="00ED1222">
        <w:rPr>
          <w:kern w:val="2"/>
          <w:vertAlign w:val="superscript"/>
          <w14:ligatures w14:val="standardContextual"/>
        </w:rPr>
        <w:footnoteReference w:id="256"/>
      </w:r>
      <w:r w:rsidRPr="00ED1222">
        <w:rPr>
          <w:kern w:val="2"/>
          <w14:ligatures w14:val="standardContextual"/>
        </w:rPr>
        <w:t xml:space="preserve"> 2023. aasta raamatupidamiskontode usaldatavuse ja nende aluseks olevate tehingute seaduslikkuse ja korrektsuse kohta,</w:t>
      </w:r>
    </w:p>
    <w:p w14:paraId="071E4A75"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nõukogu 17. veebruari 2025. aasta soovitust agentuuri tegevusele heakskiidu andmise kohta 2023. aasta eelarve täitmisel (05755/2025 – C10</w:t>
      </w:r>
      <w:r w:rsidRPr="00ED1222">
        <w:rPr>
          <w:kern w:val="2"/>
          <w14:ligatures w14:val="standardContextual"/>
        </w:rPr>
        <w:noBreakHyphen/>
        <w:t>0024/2025),</w:t>
      </w:r>
    </w:p>
    <w:p w14:paraId="301B2C5E"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toimimise lepingu artiklit 319,</w:t>
      </w:r>
    </w:p>
    <w:p w14:paraId="1D81DF07"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Aatomienergiaühenduse asutamislepingu artiklit 106a,</w:t>
      </w:r>
    </w:p>
    <w:p w14:paraId="1A55D0F5"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18. juuli 2018. aasta määrust (EL, Euratom) 2018/1046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ED1222">
        <w:rPr>
          <w:kern w:val="2"/>
          <w:vertAlign w:val="superscript"/>
          <w14:ligatures w14:val="standardContextual"/>
        </w:rPr>
        <w:footnoteReference w:id="257"/>
      </w:r>
      <w:r w:rsidRPr="00ED1222">
        <w:rPr>
          <w:kern w:val="2"/>
          <w14:ligatures w14:val="standardContextual"/>
        </w:rPr>
        <w:t>, eriti selle artiklit 68,</w:t>
      </w:r>
    </w:p>
    <w:p w14:paraId="693E106E"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23. septembri 2024. aasta määrust (EL, Euratom) 2024/2509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w:t>
      </w:r>
      <w:r w:rsidRPr="00ED1222">
        <w:rPr>
          <w:kern w:val="2"/>
          <w:vertAlign w:val="superscript"/>
          <w14:ligatures w14:val="standardContextual"/>
        </w:rPr>
        <w:footnoteReference w:id="258"/>
      </w:r>
      <w:r w:rsidRPr="00ED1222">
        <w:rPr>
          <w:kern w:val="2"/>
          <w14:ligatures w14:val="standardContextual"/>
        </w:rPr>
        <w:t>, eriti selle artiklit 68,</w:t>
      </w:r>
    </w:p>
    <w:p w14:paraId="0D094C77"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nõukogu 12. veebruari 2008. aasta otsust 2008/114/EÜ, Euratom (millega kehtestatakse Euratomi Tarneagentuuri põhikiri)</w:t>
      </w:r>
      <w:r w:rsidRPr="00ED1222">
        <w:rPr>
          <w:kern w:val="2"/>
          <w:vertAlign w:val="superscript"/>
          <w14:ligatures w14:val="standardContextual"/>
        </w:rPr>
        <w:footnoteReference w:id="259"/>
      </w:r>
      <w:r w:rsidRPr="00ED1222">
        <w:rPr>
          <w:kern w:val="2"/>
          <w14:ligatures w14:val="standardContextual"/>
        </w:rPr>
        <w:t>, eelkõige selle lisa artiklit 8,</w:t>
      </w:r>
    </w:p>
    <w:p w14:paraId="38C7386A"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kodukorra artiklit 102 ja V lisa,</w:t>
      </w:r>
    </w:p>
    <w:p w14:paraId="4DCC036A"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tööhõive- ja sotsiaalkomisjoni, keskkonna-, kliima- ja toiduohutuse komisjoni, transpordi- ja turismikomisjoni, kalanduskomisjoni, kultuuri- ja hariduskomisjoni, kodanikuvabaduste, justiits- ja siseasjade komisjoni ning naiste õiguste ja soolise võrdõiguslikkuse komisjoni arvamusi,</w:t>
      </w:r>
    </w:p>
    <w:p w14:paraId="26ABC93C"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eelarvekontrollikomisjoni raportit (A10-0065/2025),</w:t>
      </w:r>
    </w:p>
    <w:p w14:paraId="2753C077"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w:t>
      </w:r>
      <w:r w:rsidRPr="00ED1222">
        <w:rPr>
          <w:kern w:val="2"/>
          <w14:ligatures w14:val="standardContextual"/>
        </w:rPr>
        <w:tab/>
        <w:t xml:space="preserve">annab heakskiidu Euratomi Tarneagentuuri peadirektori tegevusele agentuuri </w:t>
      </w:r>
      <w:r w:rsidRPr="00ED1222">
        <w:rPr>
          <w:kern w:val="2"/>
          <w14:ligatures w14:val="standardContextual"/>
        </w:rPr>
        <w:lastRenderedPageBreak/>
        <w:t>2023. aasta eelarve täitmisel;</w:t>
      </w:r>
    </w:p>
    <w:p w14:paraId="530B5B83"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2.</w:t>
      </w:r>
      <w:r w:rsidRPr="00ED1222">
        <w:rPr>
          <w:kern w:val="2"/>
          <w14:ligatures w14:val="standardContextual"/>
        </w:rPr>
        <w:tab/>
        <w:t>esitab oma tähelepanekud alltoodud resolutsioonis;</w:t>
      </w:r>
    </w:p>
    <w:p w14:paraId="75C298F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3.</w:t>
      </w:r>
      <w:r w:rsidRPr="00ED1222">
        <w:rPr>
          <w:kern w:val="2"/>
          <w14:ligatures w14:val="standardContextual"/>
        </w:rPr>
        <w:tab/>
        <w:t xml:space="preserve">teeb presidendile ülesandeks edastada käesolev otsus ja resolutsioon, mis on selle lahutamatu osa, Euratomi Tarneagentuuri peadirektorile, nõukogule, komisjonile ja kontrollikojale ning korraldada nende avaldamine </w:t>
      </w:r>
      <w:r w:rsidRPr="00ED1222">
        <w:rPr>
          <w:i/>
          <w:kern w:val="2"/>
          <w14:ligatures w14:val="standardContextual"/>
        </w:rPr>
        <w:t>Euroopa Liidu Teatajas</w:t>
      </w:r>
      <w:r w:rsidRPr="00ED1222">
        <w:rPr>
          <w:kern w:val="2"/>
          <w14:ligatures w14:val="standardContextual"/>
        </w:rPr>
        <w:t xml:space="preserve"> (L-seerias).</w:t>
      </w:r>
    </w:p>
    <w:p w14:paraId="4573168B" w14:textId="77777777" w:rsidR="00ED1222" w:rsidRPr="00ED1222" w:rsidRDefault="00ED1222" w:rsidP="00ED1222">
      <w:pPr>
        <w:widowControl/>
        <w:jc w:val="both"/>
        <w:rPr>
          <w:rFonts w:eastAsia="Aptos"/>
          <w:kern w:val="2"/>
          <w:szCs w:val="24"/>
          <w:lang w:eastAsia="en-US"/>
          <w14:ligatures w14:val="standardContextual"/>
        </w:rPr>
        <w:sectPr w:rsidR="00ED1222" w:rsidRPr="00ED1222" w:rsidSect="00ED1222">
          <w:footnotePr>
            <w:numRestart w:val="eachSect"/>
          </w:footnotePr>
          <w:pgSz w:w="11906" w:h="16838"/>
          <w:pgMar w:top="1440" w:right="1440" w:bottom="1440" w:left="1440" w:header="708" w:footer="708" w:gutter="0"/>
          <w:cols w:space="708"/>
          <w:docGrid w:linePitch="360"/>
        </w:sectPr>
      </w:pPr>
    </w:p>
    <w:p w14:paraId="6B34B207" w14:textId="2B9CA1D1" w:rsidR="00ED1222" w:rsidRPr="00ED1222" w:rsidRDefault="00ED1222" w:rsidP="006F53D5">
      <w:pPr>
        <w:pStyle w:val="ATHeading3"/>
      </w:pPr>
      <w:r w:rsidRPr="00ED1222">
        <w:lastRenderedPageBreak/>
        <w:t>44. Euroopa Parlamendi 7. mai 2025. aasta otsus Euratomi Tarneagentuuri 2023. aasta raamatupidamiskontode sulgemise kohta</w:t>
      </w:r>
      <w:r w:rsidR="00A87338">
        <w:t xml:space="preserve"> </w:t>
      </w:r>
      <w:r w:rsidRPr="00ED1222">
        <w:t>(2024/2030(DEC))</w:t>
      </w:r>
    </w:p>
    <w:p w14:paraId="6F35A5F3" w14:textId="77777777" w:rsidR="006F53D5" w:rsidRPr="00ED1222" w:rsidRDefault="006F53D5" w:rsidP="006F53D5">
      <w:pPr>
        <w:spacing w:before="480" w:after="240"/>
        <w:rPr>
          <w:i/>
          <w:kern w:val="2"/>
          <w14:ligatures w14:val="standardContextual"/>
        </w:rPr>
      </w:pPr>
      <w:r w:rsidRPr="00ED1222">
        <w:rPr>
          <w:i/>
          <w:kern w:val="2"/>
          <w14:ligatures w14:val="standardContextual"/>
        </w:rPr>
        <w:t>Euroopa Parlament,</w:t>
      </w:r>
    </w:p>
    <w:p w14:paraId="647CCA3C"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Euratomi Tarneagentuuri 2023. aasta lõplikku raamatupidamisaruannet,</w:t>
      </w:r>
    </w:p>
    <w:p w14:paraId="2267586F"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kontrollikoja aastaaruannet ELi asutuste eelarveaasta 2023 kohta koos asutuste vastustega</w:t>
      </w:r>
      <w:r w:rsidRPr="00ED1222">
        <w:rPr>
          <w:kern w:val="2"/>
          <w:vertAlign w:val="superscript"/>
          <w14:ligatures w14:val="standardContextual"/>
        </w:rPr>
        <w:footnoteReference w:id="260"/>
      </w:r>
      <w:r w:rsidRPr="00ED1222">
        <w:rPr>
          <w:kern w:val="2"/>
          <w14:ligatures w14:val="standardContextual"/>
        </w:rPr>
        <w:t>,</w:t>
      </w:r>
    </w:p>
    <w:p w14:paraId="71B85EBB"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vastavalt Euroopa Liidu toimimise lepingu artiklile 287 tehtud kontrollikoja kinnitavat avaldust</w:t>
      </w:r>
      <w:r w:rsidRPr="00ED1222">
        <w:rPr>
          <w:kern w:val="2"/>
          <w:vertAlign w:val="superscript"/>
          <w14:ligatures w14:val="standardContextual"/>
        </w:rPr>
        <w:footnoteReference w:id="261"/>
      </w:r>
      <w:r w:rsidRPr="00ED1222">
        <w:rPr>
          <w:kern w:val="2"/>
          <w14:ligatures w14:val="standardContextual"/>
        </w:rPr>
        <w:t xml:space="preserve"> 2023. aasta raamatupidamiskontode usaldatavuse ja nende aluseks olevate tehingute seaduslikkuse ja korrektsuse kohta,</w:t>
      </w:r>
    </w:p>
    <w:p w14:paraId="491725EB"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nõukogu 17. veebruari 2025. aasta soovitust agentuuri tegevusele heakskiidu andmise kohta 2023. aasta eelarve täitmisel (05755/2025 – C10</w:t>
      </w:r>
      <w:r w:rsidRPr="00ED1222">
        <w:rPr>
          <w:kern w:val="2"/>
          <w14:ligatures w14:val="standardContextual"/>
        </w:rPr>
        <w:noBreakHyphen/>
        <w:t>0024/2025),</w:t>
      </w:r>
    </w:p>
    <w:p w14:paraId="18167720"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toimimise lepingu artiklit 319,</w:t>
      </w:r>
    </w:p>
    <w:p w14:paraId="30E4B66E"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Aatomienergiaühenduse asutamislepingu artiklit 106a,</w:t>
      </w:r>
    </w:p>
    <w:p w14:paraId="51376F74"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18. juuli 2018. aasta määrust (EL, Euratom) 2018/1046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ED1222">
        <w:rPr>
          <w:kern w:val="2"/>
          <w:vertAlign w:val="superscript"/>
          <w14:ligatures w14:val="standardContextual"/>
        </w:rPr>
        <w:footnoteReference w:id="262"/>
      </w:r>
      <w:r w:rsidRPr="00ED1222">
        <w:rPr>
          <w:kern w:val="2"/>
          <w14:ligatures w14:val="standardContextual"/>
        </w:rPr>
        <w:t>, eriti selle artiklit 68,</w:t>
      </w:r>
    </w:p>
    <w:p w14:paraId="56BB98A5"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23. septembri 2024. aasta määrust (EL, Euratom) 2024/2509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w:t>
      </w:r>
      <w:r w:rsidRPr="00ED1222">
        <w:rPr>
          <w:kern w:val="2"/>
          <w:vertAlign w:val="superscript"/>
          <w14:ligatures w14:val="standardContextual"/>
        </w:rPr>
        <w:footnoteReference w:id="263"/>
      </w:r>
      <w:r w:rsidRPr="00ED1222">
        <w:rPr>
          <w:kern w:val="2"/>
          <w14:ligatures w14:val="standardContextual"/>
        </w:rPr>
        <w:t>, eriti selle artiklit 68,</w:t>
      </w:r>
    </w:p>
    <w:p w14:paraId="75DBD42B"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nõukogu 12. veebruari 2008. aasta otsust 2008/114/EÜ, Euratom (millega kehtestatakse Euratomi Tarneagentuuri põhikiri)</w:t>
      </w:r>
      <w:r w:rsidRPr="00ED1222">
        <w:rPr>
          <w:kern w:val="2"/>
          <w:vertAlign w:val="superscript"/>
          <w14:ligatures w14:val="standardContextual"/>
        </w:rPr>
        <w:footnoteReference w:id="264"/>
      </w:r>
      <w:r w:rsidRPr="00ED1222">
        <w:rPr>
          <w:kern w:val="2"/>
          <w14:ligatures w14:val="standardContextual"/>
        </w:rPr>
        <w:t>, eelkõige selle lisa artiklit 8,</w:t>
      </w:r>
    </w:p>
    <w:p w14:paraId="0D677AD9"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kodukorra artiklit 102 ja V lisa,</w:t>
      </w:r>
    </w:p>
    <w:p w14:paraId="55E088CF"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tööhõive- ja sotsiaalkomisjoni, keskkonna-, kliima- ja toiduohutuse komisjoni, transpordi- ja turismikomisjoni, kalanduskomisjoni, kultuuri- ja hariduskomisjoni, kodanikuvabaduste, justiits- ja siseasjade komisjoni ning naiste õiguste ja soolise võrdõiguslikkuse komisjoni arvamusi,</w:t>
      </w:r>
    </w:p>
    <w:p w14:paraId="21ED4CF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eelarvekontrollikomisjoni raportit (A10-0065/2025),</w:t>
      </w:r>
    </w:p>
    <w:p w14:paraId="27AE3217"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w:t>
      </w:r>
      <w:r w:rsidRPr="00ED1222">
        <w:rPr>
          <w:kern w:val="2"/>
          <w14:ligatures w14:val="standardContextual"/>
        </w:rPr>
        <w:tab/>
        <w:t xml:space="preserve">annab heakskiidu Euratomi Tarneagentuuri 2023. aasta raamatupidamiskontode </w:t>
      </w:r>
      <w:r w:rsidRPr="00ED1222">
        <w:rPr>
          <w:kern w:val="2"/>
          <w14:ligatures w14:val="standardContextual"/>
        </w:rPr>
        <w:lastRenderedPageBreak/>
        <w:t>sulgemisele;</w:t>
      </w:r>
    </w:p>
    <w:p w14:paraId="60C4631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2.</w:t>
      </w:r>
      <w:r w:rsidRPr="00ED1222">
        <w:rPr>
          <w:kern w:val="2"/>
          <w14:ligatures w14:val="standardContextual"/>
        </w:rPr>
        <w:tab/>
        <w:t xml:space="preserve">teeb presidendile ülesandeks edastada käesolev otsus Euratomi Tarneagentuuri peadirektorile, nõukogule, komisjonile ja kontrollikojale ning korraldada selle avaldamine </w:t>
      </w:r>
      <w:r w:rsidRPr="00ED1222">
        <w:rPr>
          <w:i/>
          <w:kern w:val="2"/>
          <w14:ligatures w14:val="standardContextual"/>
        </w:rPr>
        <w:t>Euroopa Liidu Teatajas</w:t>
      </w:r>
      <w:r w:rsidRPr="00ED1222">
        <w:rPr>
          <w:kern w:val="2"/>
          <w14:ligatures w14:val="standardContextual"/>
        </w:rPr>
        <w:t xml:space="preserve"> (L-seerias).</w:t>
      </w:r>
    </w:p>
    <w:p w14:paraId="691A2ED0" w14:textId="77777777" w:rsidR="00ED1222" w:rsidRPr="00ED1222" w:rsidRDefault="00ED1222" w:rsidP="00ED1222">
      <w:pPr>
        <w:widowControl/>
        <w:jc w:val="both"/>
        <w:rPr>
          <w:rFonts w:eastAsia="Aptos"/>
          <w:kern w:val="2"/>
          <w:szCs w:val="24"/>
          <w:lang w:eastAsia="en-US"/>
          <w14:ligatures w14:val="standardContextual"/>
        </w:rPr>
        <w:sectPr w:rsidR="00ED1222" w:rsidRPr="00ED1222" w:rsidSect="00ED1222">
          <w:footnotePr>
            <w:numRestart w:val="eachSect"/>
          </w:footnotePr>
          <w:pgSz w:w="11906" w:h="16838"/>
          <w:pgMar w:top="1440" w:right="1440" w:bottom="1440" w:left="1440" w:header="708" w:footer="708" w:gutter="0"/>
          <w:cols w:space="708"/>
          <w:docGrid w:linePitch="360"/>
        </w:sectPr>
      </w:pPr>
    </w:p>
    <w:p w14:paraId="2C82CA04" w14:textId="0755858D" w:rsidR="00ED1222" w:rsidRPr="00ED1222" w:rsidRDefault="00ED1222" w:rsidP="00F7467E">
      <w:pPr>
        <w:pStyle w:val="ATHeading3"/>
      </w:pPr>
      <w:r w:rsidRPr="00ED1222">
        <w:lastRenderedPageBreak/>
        <w:t>45. Euroopa Parlamendi 7. mai 2025. aasta otsus Euroopa Väärtpaberiturujärelevalve 2023. aasta eelarve täitmisele heakskiidu andmise kohta</w:t>
      </w:r>
      <w:r w:rsidR="00A87338">
        <w:t xml:space="preserve"> </w:t>
      </w:r>
      <w:r w:rsidRPr="00ED1222">
        <w:t>(2024/2030(DEC))</w:t>
      </w:r>
    </w:p>
    <w:p w14:paraId="3F7F3D4F" w14:textId="77777777" w:rsidR="00F7467E" w:rsidRPr="00ED1222" w:rsidRDefault="00F7467E" w:rsidP="00F7467E">
      <w:pPr>
        <w:spacing w:before="480" w:after="240"/>
        <w:rPr>
          <w:i/>
          <w:kern w:val="2"/>
          <w14:ligatures w14:val="standardContextual"/>
        </w:rPr>
      </w:pPr>
      <w:r w:rsidRPr="00ED1222">
        <w:rPr>
          <w:i/>
          <w:kern w:val="2"/>
          <w14:ligatures w14:val="standardContextual"/>
        </w:rPr>
        <w:t>Euroopa Parlament,</w:t>
      </w:r>
    </w:p>
    <w:p w14:paraId="2150646D"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Väärtpaberiturujärelevalve 2023. aasta lõplikku raamatupidamisaruannet,</w:t>
      </w:r>
    </w:p>
    <w:p w14:paraId="24297427"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kontrollikoja aastaaruannet ELi asutuste eelarveaasta 2023 kohta koos asutuste vastustega</w:t>
      </w:r>
      <w:r w:rsidRPr="00ED1222">
        <w:rPr>
          <w:kern w:val="2"/>
          <w:vertAlign w:val="superscript"/>
          <w14:ligatures w14:val="standardContextual"/>
        </w:rPr>
        <w:footnoteReference w:id="265"/>
      </w:r>
      <w:r w:rsidRPr="00ED1222">
        <w:rPr>
          <w:kern w:val="2"/>
          <w14:ligatures w14:val="standardContextual"/>
        </w:rPr>
        <w:t>,</w:t>
      </w:r>
    </w:p>
    <w:p w14:paraId="6559CBBD"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vastavalt Euroopa Liidu toimimise lepingu artiklile 287 tehtud kontrollikoja kinnitavat avaldust</w:t>
      </w:r>
      <w:r w:rsidRPr="00ED1222">
        <w:rPr>
          <w:kern w:val="2"/>
          <w:vertAlign w:val="superscript"/>
          <w14:ligatures w14:val="standardContextual"/>
        </w:rPr>
        <w:footnoteReference w:id="266"/>
      </w:r>
      <w:r w:rsidRPr="00ED1222">
        <w:rPr>
          <w:kern w:val="2"/>
          <w14:ligatures w14:val="standardContextual"/>
        </w:rPr>
        <w:t xml:space="preserve"> 2023. aasta raamatupidamiskontode usaldatavuse ja nende aluseks olevate tehingute seaduslikkuse ja korrektsuse kohta,</w:t>
      </w:r>
    </w:p>
    <w:p w14:paraId="40EA0E1E"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nõukogu 17. veebruari 2025. aasta soovitust asutuse tegevusele heakskiidu andmise kohta 2023. aasta eelarve täitmisel (05755/2025 – C10</w:t>
      </w:r>
      <w:r w:rsidRPr="00ED1222">
        <w:rPr>
          <w:kern w:val="2"/>
          <w14:ligatures w14:val="standardContextual"/>
        </w:rPr>
        <w:noBreakHyphen/>
        <w:t>0024/2025),</w:t>
      </w:r>
    </w:p>
    <w:p w14:paraId="6E2C636C"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toimimise lepingu artiklit 319,</w:t>
      </w:r>
    </w:p>
    <w:p w14:paraId="37EF0DDC"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18. juuli 2018. aasta määrust (EL, Euratom) 2018/1046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ED1222">
        <w:rPr>
          <w:kern w:val="2"/>
          <w:vertAlign w:val="superscript"/>
          <w14:ligatures w14:val="standardContextual"/>
        </w:rPr>
        <w:footnoteReference w:id="267"/>
      </w:r>
      <w:r w:rsidRPr="00ED1222">
        <w:rPr>
          <w:kern w:val="2"/>
          <w14:ligatures w14:val="standardContextual"/>
        </w:rPr>
        <w:t xml:space="preserve"> eriti selle artiklit 70,</w:t>
      </w:r>
    </w:p>
    <w:p w14:paraId="68F392DA"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23. septembri 2024. aasta määrust (EL, Euratom) 2024/2509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w:t>
      </w:r>
      <w:r w:rsidRPr="00ED1222">
        <w:rPr>
          <w:kern w:val="2"/>
          <w:vertAlign w:val="superscript"/>
          <w14:ligatures w14:val="standardContextual"/>
        </w:rPr>
        <w:footnoteReference w:id="268"/>
      </w:r>
      <w:r w:rsidRPr="00ED1222">
        <w:rPr>
          <w:kern w:val="2"/>
          <w14:ligatures w14:val="standardContextual"/>
        </w:rPr>
        <w:t xml:space="preserve"> eriti selle artiklit 70,</w:t>
      </w:r>
    </w:p>
    <w:p w14:paraId="63559E8B"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Parlamendi ja nõukogu 24. novembri 2010. aasta määrust (EL) nr 1095/2010 (millega asutatakse Euroopa Järelevalveasutus (Euroopa Väärtpaberijärelevalve), muudetakse otsust nr 716/2009/EÜ ning tunnistatakse kehtetuks komisjoni otsus 2009/77/EÜ),</w:t>
      </w:r>
      <w:r w:rsidRPr="00ED1222">
        <w:rPr>
          <w:kern w:val="2"/>
          <w:vertAlign w:val="superscript"/>
          <w14:ligatures w14:val="standardContextual"/>
        </w:rPr>
        <w:footnoteReference w:id="269"/>
      </w:r>
      <w:r w:rsidRPr="00ED1222">
        <w:rPr>
          <w:kern w:val="2"/>
          <w14:ligatures w14:val="standardContextual"/>
        </w:rPr>
        <w:t xml:space="preserve"> eriti selle artiklit 64,</w:t>
      </w:r>
    </w:p>
    <w:p w14:paraId="66B0232B"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ED1222">
        <w:rPr>
          <w:kern w:val="2"/>
          <w:vertAlign w:val="superscript"/>
          <w14:ligatures w14:val="standardContextual"/>
        </w:rPr>
        <w:footnoteReference w:id="270"/>
      </w:r>
      <w:r w:rsidRPr="00ED1222">
        <w:rPr>
          <w:kern w:val="2"/>
          <w14:ligatures w14:val="standardContextual"/>
        </w:rPr>
        <w:t xml:space="preserve"> eriti selle artiklit 105,</w:t>
      </w:r>
    </w:p>
    <w:p w14:paraId="0E421F50"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kodukorra artiklit 102 ja V lisa,</w:t>
      </w:r>
    </w:p>
    <w:p w14:paraId="19B7E8C0"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lastRenderedPageBreak/>
        <w:t>–</w:t>
      </w:r>
      <w:r w:rsidRPr="00ED1222">
        <w:rPr>
          <w:kern w:val="2"/>
          <w14:ligatures w14:val="standardContextual"/>
        </w:rPr>
        <w:tab/>
        <w:t>võttes arvesse tööhõive- ja sotsiaalkomisjoni, keskkonna-, kliima- ja toiduohutuse komisjoni, transpordi- ja turismikomisjoni, kalanduskomisjoni, kultuuri- ja hariduskomisjoni, kodanikuvabaduste, justiits- ja siseasjade komisjoni ning naiste õiguste ja soolise võrdõiguslikkuse komisjoni arvamusi,</w:t>
      </w:r>
    </w:p>
    <w:p w14:paraId="3F68D96E"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eelarvekontrollikomisjoni raportit (A10-0065/2025),</w:t>
      </w:r>
    </w:p>
    <w:p w14:paraId="346A15F9"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w:t>
      </w:r>
      <w:r w:rsidRPr="00ED1222">
        <w:rPr>
          <w:kern w:val="2"/>
          <w14:ligatures w14:val="standardContextual"/>
        </w:rPr>
        <w:tab/>
        <w:t>annab heakskiidu Euroopa Väärtpaberiturujärelevalve tegevdirektori tegevusele asutuse 2023. aasta eelarve täitmisel;</w:t>
      </w:r>
    </w:p>
    <w:p w14:paraId="64D9B018"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2.</w:t>
      </w:r>
      <w:r w:rsidRPr="00ED1222">
        <w:rPr>
          <w:kern w:val="2"/>
          <w14:ligatures w14:val="standardContextual"/>
        </w:rPr>
        <w:tab/>
        <w:t>esitab oma tähelepanekud alltoodud resolutsioonis;</w:t>
      </w:r>
    </w:p>
    <w:p w14:paraId="0E45833B"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3.</w:t>
      </w:r>
      <w:r w:rsidRPr="00ED1222">
        <w:rPr>
          <w:kern w:val="2"/>
          <w14:ligatures w14:val="standardContextual"/>
        </w:rPr>
        <w:tab/>
        <w:t xml:space="preserve">teeb presidendile ülesandeks edastada käesolev otsus ja resolutsioon, mis on selle lahutamatu osa, Euroopa Väärtpaberiturujärelevalve tegevdirektorile, nõukogule, komisjonile ja kontrollikojale ning korraldada nende avaldamine </w:t>
      </w:r>
      <w:r w:rsidRPr="00ED1222">
        <w:rPr>
          <w:i/>
          <w:kern w:val="2"/>
          <w14:ligatures w14:val="standardContextual"/>
        </w:rPr>
        <w:t>Euroopa Liidu Teatajas</w:t>
      </w:r>
      <w:r w:rsidRPr="00ED1222">
        <w:rPr>
          <w:kern w:val="2"/>
          <w14:ligatures w14:val="standardContextual"/>
        </w:rPr>
        <w:t xml:space="preserve"> (L-seerias).</w:t>
      </w:r>
    </w:p>
    <w:p w14:paraId="1BC8213D" w14:textId="77777777" w:rsidR="00ED1222" w:rsidRPr="00ED1222" w:rsidRDefault="00ED1222" w:rsidP="00ED1222">
      <w:pPr>
        <w:widowControl/>
        <w:jc w:val="both"/>
        <w:rPr>
          <w:rFonts w:eastAsia="Aptos"/>
          <w:kern w:val="2"/>
          <w:szCs w:val="24"/>
          <w:lang w:eastAsia="en-US"/>
          <w14:ligatures w14:val="standardContextual"/>
        </w:rPr>
        <w:sectPr w:rsidR="00ED1222" w:rsidRPr="00ED1222" w:rsidSect="00ED1222">
          <w:footnotePr>
            <w:numRestart w:val="eachSect"/>
          </w:footnotePr>
          <w:pgSz w:w="11906" w:h="16838"/>
          <w:pgMar w:top="1440" w:right="1440" w:bottom="1440" w:left="1440" w:header="708" w:footer="708" w:gutter="0"/>
          <w:cols w:space="708"/>
          <w:docGrid w:linePitch="360"/>
        </w:sectPr>
      </w:pPr>
    </w:p>
    <w:p w14:paraId="67AFDA7A" w14:textId="1F36F38F" w:rsidR="00ED1222" w:rsidRPr="00ED1222" w:rsidRDefault="00ED1222" w:rsidP="00F7467E">
      <w:pPr>
        <w:pStyle w:val="ATHeading3"/>
      </w:pPr>
      <w:r w:rsidRPr="00ED1222">
        <w:lastRenderedPageBreak/>
        <w:t>46. Euroopa Parlamendi 7. mai 2025. aasta otsus Euroopa Väärtpaberiturujärelevalve 2023. aasta raamatupidamiskontode sulgemise kohta</w:t>
      </w:r>
      <w:r w:rsidR="00A87338">
        <w:t xml:space="preserve"> </w:t>
      </w:r>
      <w:r w:rsidRPr="00ED1222">
        <w:t>(2024/2030(DEC))</w:t>
      </w:r>
    </w:p>
    <w:p w14:paraId="5B8D8A42" w14:textId="77777777" w:rsidR="00F7467E" w:rsidRPr="00ED1222" w:rsidRDefault="00F7467E" w:rsidP="00F7467E">
      <w:pPr>
        <w:spacing w:before="480" w:after="240"/>
        <w:rPr>
          <w:i/>
          <w:kern w:val="2"/>
          <w14:ligatures w14:val="standardContextual"/>
        </w:rPr>
      </w:pPr>
      <w:r w:rsidRPr="00ED1222">
        <w:rPr>
          <w:i/>
          <w:kern w:val="2"/>
          <w14:ligatures w14:val="standardContextual"/>
        </w:rPr>
        <w:t>Euroopa Parlament,</w:t>
      </w:r>
    </w:p>
    <w:p w14:paraId="7CF01B53"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Väärtpaberiturujärelevalve 2023. aasta lõplikku raamatupidamisaruannet,</w:t>
      </w:r>
    </w:p>
    <w:p w14:paraId="22552A9A"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kontrollikoja aastaaruannet ELi asutuste eelarveaasta 2023 kohta koos asutuste vastustega</w:t>
      </w:r>
      <w:r w:rsidRPr="00ED1222">
        <w:rPr>
          <w:kern w:val="2"/>
          <w:vertAlign w:val="superscript"/>
          <w14:ligatures w14:val="standardContextual"/>
        </w:rPr>
        <w:footnoteReference w:id="271"/>
      </w:r>
      <w:r w:rsidRPr="00ED1222">
        <w:rPr>
          <w:kern w:val="2"/>
          <w14:ligatures w14:val="standardContextual"/>
        </w:rPr>
        <w:t>,</w:t>
      </w:r>
    </w:p>
    <w:p w14:paraId="38501BB4"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vastavalt Euroopa Liidu toimimise lepingu artiklile 287 tehtud kontrollikoja kinnitavat avaldust</w:t>
      </w:r>
      <w:r w:rsidRPr="00ED1222">
        <w:rPr>
          <w:kern w:val="2"/>
          <w:vertAlign w:val="superscript"/>
          <w14:ligatures w14:val="standardContextual"/>
        </w:rPr>
        <w:footnoteReference w:id="272"/>
      </w:r>
      <w:r w:rsidRPr="00ED1222">
        <w:rPr>
          <w:kern w:val="2"/>
          <w14:ligatures w14:val="standardContextual"/>
        </w:rPr>
        <w:t xml:space="preserve"> 2023. aasta raamatupidamiskontode usaldatavuse ja nende aluseks olevate tehingute seaduslikkuse ja korrektsuse kohta,</w:t>
      </w:r>
    </w:p>
    <w:p w14:paraId="7443A659"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nõukogu 17. veebruari 2025. aasta soovitust asutuse tegevusele heakskiidu andmise kohta 2023. aasta eelarve täitmisel (05755/2025 – C10</w:t>
      </w:r>
      <w:r w:rsidRPr="00ED1222">
        <w:rPr>
          <w:kern w:val="2"/>
          <w14:ligatures w14:val="standardContextual"/>
        </w:rPr>
        <w:noBreakHyphen/>
        <w:t>0024/2025),</w:t>
      </w:r>
    </w:p>
    <w:p w14:paraId="62519BFE"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toimimise lepingu artiklit 319,</w:t>
      </w:r>
    </w:p>
    <w:p w14:paraId="6FDA3C42"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18. juuli 2018. aasta määrust (EL, Euratom) 2018/1046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ED1222">
        <w:rPr>
          <w:kern w:val="2"/>
          <w:vertAlign w:val="superscript"/>
          <w14:ligatures w14:val="standardContextual"/>
        </w:rPr>
        <w:footnoteReference w:id="273"/>
      </w:r>
      <w:r w:rsidRPr="00ED1222">
        <w:rPr>
          <w:kern w:val="2"/>
          <w14:ligatures w14:val="standardContextual"/>
        </w:rPr>
        <w:t>, eriti selle artiklit 70,</w:t>
      </w:r>
    </w:p>
    <w:p w14:paraId="224699C7"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23. septembri 2024. aasta määrust (EL, Euratom) 2024/2509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w:t>
      </w:r>
      <w:r w:rsidRPr="00ED1222">
        <w:rPr>
          <w:kern w:val="2"/>
          <w:vertAlign w:val="superscript"/>
          <w14:ligatures w14:val="standardContextual"/>
        </w:rPr>
        <w:footnoteReference w:id="274"/>
      </w:r>
      <w:r w:rsidRPr="00ED1222">
        <w:rPr>
          <w:kern w:val="2"/>
          <w14:ligatures w14:val="standardContextual"/>
        </w:rPr>
        <w:t>, eriti selle artiklit 70,</w:t>
      </w:r>
    </w:p>
    <w:p w14:paraId="09862D0E"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Parlamendi ja nõukogu 24. novembri 2010. aasta määrust (EL) nr 1095/2010 (millega asutatakse Euroopa Järelevalveasutus (Euroopa Väärtpaberijärelevalve), muudetakse otsust nr 716/2009/EÜ ning tunnistatakse kehtetuks komisjoni otsus 2009/77/EÜ)</w:t>
      </w:r>
      <w:r w:rsidRPr="00ED1222">
        <w:rPr>
          <w:kern w:val="2"/>
          <w:vertAlign w:val="superscript"/>
          <w14:ligatures w14:val="standardContextual"/>
        </w:rPr>
        <w:footnoteReference w:id="275"/>
      </w:r>
      <w:r w:rsidRPr="00ED1222">
        <w:rPr>
          <w:kern w:val="2"/>
          <w14:ligatures w14:val="standardContextual"/>
        </w:rPr>
        <w:t>, eriti selle artiklit 64,</w:t>
      </w:r>
    </w:p>
    <w:p w14:paraId="7B7B29AE"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ED1222">
        <w:rPr>
          <w:kern w:val="2"/>
          <w:vertAlign w:val="superscript"/>
          <w14:ligatures w14:val="standardContextual"/>
        </w:rPr>
        <w:footnoteReference w:id="276"/>
      </w:r>
      <w:r w:rsidRPr="00ED1222">
        <w:rPr>
          <w:kern w:val="2"/>
          <w14:ligatures w14:val="standardContextual"/>
        </w:rPr>
        <w:t>, eriti selle artiklit 105,</w:t>
      </w:r>
    </w:p>
    <w:p w14:paraId="3EFAEFDF"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kodukorra artiklit 102 ja V lisa,</w:t>
      </w:r>
    </w:p>
    <w:p w14:paraId="3BD11B00"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lastRenderedPageBreak/>
        <w:t>–</w:t>
      </w:r>
      <w:r w:rsidRPr="00ED1222">
        <w:rPr>
          <w:kern w:val="2"/>
          <w14:ligatures w14:val="standardContextual"/>
        </w:rPr>
        <w:tab/>
        <w:t>võttes arvesse tööhõive- ja sotsiaalkomisjoni, keskkonna-, kliima- ja toiduohutuse komisjoni, transpordi- ja turismikomisjoni, kalanduskomisjoni, kultuuri- ja hariduskomisjoni, kodanikuvabaduste, justiits- ja siseasjade komisjoni ning naiste õiguste ja soolise võrdõiguslikkuse komisjoni arvamusi,</w:t>
      </w:r>
    </w:p>
    <w:p w14:paraId="6005926F"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eelarvekontrollikomisjoni raportit (A10-0065/2025),</w:t>
      </w:r>
    </w:p>
    <w:p w14:paraId="50CF9872"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w:t>
      </w:r>
      <w:r w:rsidRPr="00ED1222">
        <w:rPr>
          <w:kern w:val="2"/>
          <w14:ligatures w14:val="standardContextual"/>
        </w:rPr>
        <w:tab/>
        <w:t>annab heakskiidu Euroopa Väärtpaberiturujärelevalve 2023. aasta raamatupidamiskontode sulgemisele;</w:t>
      </w:r>
    </w:p>
    <w:p w14:paraId="47182B60"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2.</w:t>
      </w:r>
      <w:r w:rsidRPr="00ED1222">
        <w:rPr>
          <w:kern w:val="2"/>
          <w14:ligatures w14:val="standardContextual"/>
        </w:rPr>
        <w:tab/>
        <w:t xml:space="preserve">teeb presidendile ülesandeks edastada käesolev otsus Euroopa Väärtpaberiturujärelevalve tegevdirektorile, nõukogule, komisjonile ja kontrollikojale ning korraldada selle avaldamine </w:t>
      </w:r>
      <w:r w:rsidRPr="00ED1222">
        <w:rPr>
          <w:i/>
          <w:kern w:val="2"/>
          <w14:ligatures w14:val="standardContextual"/>
        </w:rPr>
        <w:t>Euroopa Liidu Teatajas</w:t>
      </w:r>
      <w:r w:rsidRPr="00ED1222">
        <w:rPr>
          <w:kern w:val="2"/>
          <w14:ligatures w14:val="standardContextual"/>
        </w:rPr>
        <w:t xml:space="preserve"> (L-seerias).</w:t>
      </w:r>
    </w:p>
    <w:p w14:paraId="0544D32D" w14:textId="77777777" w:rsidR="00ED1222" w:rsidRPr="00ED1222" w:rsidRDefault="00ED1222" w:rsidP="00ED1222">
      <w:pPr>
        <w:widowControl/>
        <w:jc w:val="both"/>
        <w:rPr>
          <w:rFonts w:eastAsia="Aptos"/>
          <w:kern w:val="2"/>
          <w:szCs w:val="24"/>
          <w:lang w:eastAsia="en-US"/>
          <w14:ligatures w14:val="standardContextual"/>
        </w:rPr>
        <w:sectPr w:rsidR="00ED1222" w:rsidRPr="00ED1222" w:rsidSect="00ED1222">
          <w:footnotePr>
            <w:numRestart w:val="eachSect"/>
          </w:footnotePr>
          <w:pgSz w:w="11906" w:h="16838"/>
          <w:pgMar w:top="1440" w:right="1440" w:bottom="1440" w:left="1440" w:header="708" w:footer="708" w:gutter="0"/>
          <w:cols w:space="708"/>
          <w:docGrid w:linePitch="360"/>
        </w:sectPr>
      </w:pPr>
    </w:p>
    <w:p w14:paraId="3C661BE5" w14:textId="6B98455E" w:rsidR="00ED1222" w:rsidRPr="00ED1222" w:rsidRDefault="00ED1222" w:rsidP="00F7467E">
      <w:pPr>
        <w:pStyle w:val="ATHeading3"/>
      </w:pPr>
      <w:r w:rsidRPr="00ED1222">
        <w:lastRenderedPageBreak/>
        <w:t>47. Euroopa Parlamendi 7. mai 2025. aasta otsus Euroopa Koolitusfondi 2023. aasta eelarve täitmisele heakskiidu andmise kohta</w:t>
      </w:r>
      <w:r w:rsidR="00A87338">
        <w:t xml:space="preserve"> </w:t>
      </w:r>
      <w:r w:rsidRPr="00ED1222">
        <w:t>(2024/2030(DEC))</w:t>
      </w:r>
    </w:p>
    <w:p w14:paraId="375B7257" w14:textId="77777777" w:rsidR="00F7467E" w:rsidRPr="00ED1222" w:rsidRDefault="00F7467E" w:rsidP="00F7467E">
      <w:pPr>
        <w:spacing w:before="480" w:after="240"/>
        <w:rPr>
          <w:i/>
          <w:kern w:val="2"/>
          <w14:ligatures w14:val="standardContextual"/>
        </w:rPr>
      </w:pPr>
      <w:r w:rsidRPr="00ED1222">
        <w:rPr>
          <w:i/>
          <w:kern w:val="2"/>
          <w14:ligatures w14:val="standardContextual"/>
        </w:rPr>
        <w:t>Euroopa Parlament,</w:t>
      </w:r>
    </w:p>
    <w:p w14:paraId="7005C70E"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Koolitusfondi 2023. aasta lõplikku raamatupidamisaruannet,</w:t>
      </w:r>
    </w:p>
    <w:p w14:paraId="28B26809"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kontrollikoja aastaaruannet ELi asutuste eelarveaasta 2023 kohta koos asutuste vastustega</w:t>
      </w:r>
      <w:r w:rsidRPr="00ED1222">
        <w:rPr>
          <w:kern w:val="2"/>
          <w:vertAlign w:val="superscript"/>
          <w14:ligatures w14:val="standardContextual"/>
        </w:rPr>
        <w:footnoteReference w:id="277"/>
      </w:r>
      <w:r w:rsidRPr="00ED1222">
        <w:rPr>
          <w:kern w:val="2"/>
          <w14:ligatures w14:val="standardContextual"/>
        </w:rPr>
        <w:t>,</w:t>
      </w:r>
    </w:p>
    <w:p w14:paraId="5F4DF629"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vastavalt Euroopa Liidu toimimise lepingu artiklile 287 tehtud kontrollikoja kinnitavat avaldust</w:t>
      </w:r>
      <w:r w:rsidRPr="00ED1222">
        <w:rPr>
          <w:kern w:val="2"/>
          <w:vertAlign w:val="superscript"/>
          <w14:ligatures w14:val="standardContextual"/>
        </w:rPr>
        <w:footnoteReference w:id="278"/>
      </w:r>
      <w:r w:rsidRPr="00ED1222">
        <w:rPr>
          <w:kern w:val="2"/>
          <w14:ligatures w14:val="standardContextual"/>
        </w:rPr>
        <w:t xml:space="preserve"> 2023. aasta raamatupidamiskontode usaldatavuse ja nende aluseks olevate tehingute seaduslikkuse ja korrektsuse kohta,</w:t>
      </w:r>
    </w:p>
    <w:p w14:paraId="4CE97B61"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nõukogu 17. veebruari 2025. aasta soovitust fondi tegevusele heakskiidu andmise kohta 2023. aasta eelarve täitmisel (05755/2025 – C10</w:t>
      </w:r>
      <w:r w:rsidRPr="00ED1222">
        <w:rPr>
          <w:kern w:val="2"/>
          <w14:ligatures w14:val="standardContextual"/>
        </w:rPr>
        <w:noBreakHyphen/>
        <w:t>0024/2025),</w:t>
      </w:r>
    </w:p>
    <w:p w14:paraId="342F1513"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toimimise lepingu artiklit 319,</w:t>
      </w:r>
    </w:p>
    <w:p w14:paraId="0D4855C5"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18. juuli 2018. aasta määrust (EL, Euratom) 2018/1046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ED1222">
        <w:rPr>
          <w:kern w:val="2"/>
          <w:vertAlign w:val="superscript"/>
          <w14:ligatures w14:val="standardContextual"/>
        </w:rPr>
        <w:footnoteReference w:id="279"/>
      </w:r>
      <w:r w:rsidRPr="00ED1222">
        <w:rPr>
          <w:kern w:val="2"/>
          <w14:ligatures w14:val="standardContextual"/>
        </w:rPr>
        <w:t xml:space="preserve"> eriti selle artiklit 70,</w:t>
      </w:r>
    </w:p>
    <w:p w14:paraId="2B0F0E35"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23. septembri 2024. aasta määrust (EL, Euratom) 2024/2509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w:t>
      </w:r>
      <w:r w:rsidRPr="00ED1222">
        <w:rPr>
          <w:kern w:val="2"/>
          <w:vertAlign w:val="superscript"/>
          <w14:ligatures w14:val="standardContextual"/>
        </w:rPr>
        <w:footnoteReference w:id="280"/>
      </w:r>
      <w:r w:rsidRPr="00ED1222">
        <w:rPr>
          <w:kern w:val="2"/>
          <w14:ligatures w14:val="standardContextual"/>
        </w:rPr>
        <w:t xml:space="preserve"> eriti selle artiklit 70,</w:t>
      </w:r>
    </w:p>
    <w:p w14:paraId="7BA0BE19"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Parlamendi ja nõukogu 16. detsembri 2008. aasta määrust (EÜ) nr 1339/2008 (millega luuakse Euroopa Koolitusfond),</w:t>
      </w:r>
      <w:r w:rsidRPr="00ED1222">
        <w:rPr>
          <w:kern w:val="2"/>
          <w:vertAlign w:val="superscript"/>
          <w14:ligatures w14:val="standardContextual"/>
        </w:rPr>
        <w:footnoteReference w:id="281"/>
      </w:r>
      <w:r w:rsidRPr="00ED1222">
        <w:rPr>
          <w:kern w:val="2"/>
          <w14:ligatures w14:val="standardContextual"/>
        </w:rPr>
        <w:t xml:space="preserve"> eriti selle artiklit 17,</w:t>
      </w:r>
    </w:p>
    <w:p w14:paraId="60A9C3C9"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ED1222">
        <w:rPr>
          <w:kern w:val="2"/>
          <w:vertAlign w:val="superscript"/>
          <w14:ligatures w14:val="standardContextual"/>
        </w:rPr>
        <w:footnoteReference w:id="282"/>
      </w:r>
      <w:r w:rsidRPr="00ED1222">
        <w:rPr>
          <w:kern w:val="2"/>
          <w14:ligatures w14:val="standardContextual"/>
        </w:rPr>
        <w:t xml:space="preserve"> eriti selle artiklit 105,</w:t>
      </w:r>
    </w:p>
    <w:p w14:paraId="6BC8D5DA"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kodukorra artiklit 102 ja V lisa,</w:t>
      </w:r>
    </w:p>
    <w:p w14:paraId="12C0F240"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tööhõive- ja sotsiaalkomisjoni, keskkonna-, kliima- ja toiduohutuse komisjoni, transpordi- ja turismikomisjoni, kalanduskomisjoni, kultuuri- ja </w:t>
      </w:r>
      <w:r w:rsidRPr="00ED1222">
        <w:rPr>
          <w:kern w:val="2"/>
          <w14:ligatures w14:val="standardContextual"/>
        </w:rPr>
        <w:lastRenderedPageBreak/>
        <w:t>hariduskomisjoni, kodanikuvabaduste, justiits- ja siseasjade komisjoni ning naiste õiguste ja soolise võrdõiguslikkuse komisjoni arvamusi,</w:t>
      </w:r>
    </w:p>
    <w:p w14:paraId="0F1A4404"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eelarvekontrollikomisjoni raportit (A10-0065/2025),</w:t>
      </w:r>
    </w:p>
    <w:p w14:paraId="7DAFFADB"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w:t>
      </w:r>
      <w:r w:rsidRPr="00ED1222">
        <w:rPr>
          <w:kern w:val="2"/>
          <w14:ligatures w14:val="standardContextual"/>
        </w:rPr>
        <w:tab/>
        <w:t>annab heakskiidu Euroopa Koolitusfondi direktori tegevusele fondi 2023. aasta eelarve täitmisel;</w:t>
      </w:r>
    </w:p>
    <w:p w14:paraId="6337A69B"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2.</w:t>
      </w:r>
      <w:r w:rsidRPr="00ED1222">
        <w:rPr>
          <w:kern w:val="2"/>
          <w14:ligatures w14:val="standardContextual"/>
        </w:rPr>
        <w:tab/>
        <w:t>esitab oma tähelepanekud alltoodud resolutsioonis;</w:t>
      </w:r>
    </w:p>
    <w:p w14:paraId="68FF7CAC"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3.</w:t>
      </w:r>
      <w:r w:rsidRPr="00ED1222">
        <w:rPr>
          <w:kern w:val="2"/>
          <w14:ligatures w14:val="standardContextual"/>
        </w:rPr>
        <w:tab/>
        <w:t xml:space="preserve">teeb presidendile ülesandeks edastada käesolev otsus ja resolutsioon, mis on selle lahutamatu osa, Euroopa Koolitusfondi direktorile, nõukogule, komisjonile ja kontrollikojale ning korraldada nende avaldamine </w:t>
      </w:r>
      <w:r w:rsidRPr="00ED1222">
        <w:rPr>
          <w:i/>
          <w:kern w:val="2"/>
          <w14:ligatures w14:val="standardContextual"/>
        </w:rPr>
        <w:t>Euroopa Liidu Teatajas</w:t>
      </w:r>
      <w:r w:rsidRPr="00ED1222">
        <w:rPr>
          <w:kern w:val="2"/>
          <w14:ligatures w14:val="standardContextual"/>
        </w:rPr>
        <w:t xml:space="preserve"> (L-seerias).</w:t>
      </w:r>
    </w:p>
    <w:p w14:paraId="2C5EAFB2" w14:textId="77777777" w:rsidR="00ED1222" w:rsidRPr="00ED1222" w:rsidRDefault="00ED1222" w:rsidP="00ED1222">
      <w:pPr>
        <w:widowControl/>
        <w:jc w:val="both"/>
        <w:rPr>
          <w:rFonts w:eastAsia="Aptos"/>
          <w:kern w:val="2"/>
          <w:szCs w:val="24"/>
          <w:lang w:eastAsia="en-US"/>
          <w14:ligatures w14:val="standardContextual"/>
        </w:rPr>
        <w:sectPr w:rsidR="00ED1222" w:rsidRPr="00ED1222" w:rsidSect="00ED1222">
          <w:footnotePr>
            <w:numRestart w:val="eachSect"/>
          </w:footnotePr>
          <w:pgSz w:w="11906" w:h="16838"/>
          <w:pgMar w:top="1440" w:right="1440" w:bottom="1440" w:left="1440" w:header="708" w:footer="708" w:gutter="0"/>
          <w:cols w:space="708"/>
          <w:docGrid w:linePitch="360"/>
        </w:sectPr>
      </w:pPr>
    </w:p>
    <w:p w14:paraId="47871801" w14:textId="5502EF80" w:rsidR="00ED1222" w:rsidRPr="00ED1222" w:rsidRDefault="00ED1222" w:rsidP="00F7467E">
      <w:pPr>
        <w:pStyle w:val="ATHeading3"/>
      </w:pPr>
      <w:r w:rsidRPr="00ED1222">
        <w:lastRenderedPageBreak/>
        <w:t>48. Euroopa Parlamendi 7. mai 2025. aasta otsus Euroopa Koolitusfondi 2023. aasta raamatupidamiskontode sulgemise kohta</w:t>
      </w:r>
      <w:r w:rsidR="00A87338">
        <w:t xml:space="preserve"> </w:t>
      </w:r>
      <w:r w:rsidRPr="00ED1222">
        <w:t>(2024/2030(DEC))</w:t>
      </w:r>
    </w:p>
    <w:p w14:paraId="431F4E03" w14:textId="77777777" w:rsidR="00F7467E" w:rsidRPr="00ED1222" w:rsidRDefault="00F7467E" w:rsidP="00F7467E">
      <w:pPr>
        <w:spacing w:before="480" w:after="240"/>
        <w:rPr>
          <w:i/>
          <w:kern w:val="2"/>
          <w14:ligatures w14:val="standardContextual"/>
        </w:rPr>
      </w:pPr>
      <w:r w:rsidRPr="00ED1222">
        <w:rPr>
          <w:i/>
          <w:kern w:val="2"/>
          <w14:ligatures w14:val="standardContextual"/>
        </w:rPr>
        <w:t>Euroopa Parlament,</w:t>
      </w:r>
    </w:p>
    <w:p w14:paraId="2B7A8A59"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Koolitusfondi 2023. aasta lõplikku raamatupidamisaruannet,</w:t>
      </w:r>
    </w:p>
    <w:p w14:paraId="171A3F11"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kontrollikoja aastaaruannet ELi asutuste eelarveaasta 2023 kohta koos asutuste vastustega</w:t>
      </w:r>
      <w:r w:rsidRPr="00ED1222">
        <w:rPr>
          <w:kern w:val="2"/>
          <w:vertAlign w:val="superscript"/>
          <w14:ligatures w14:val="standardContextual"/>
        </w:rPr>
        <w:footnoteReference w:id="283"/>
      </w:r>
      <w:r w:rsidRPr="00ED1222">
        <w:rPr>
          <w:kern w:val="2"/>
          <w14:ligatures w14:val="standardContextual"/>
        </w:rPr>
        <w:t>,</w:t>
      </w:r>
    </w:p>
    <w:p w14:paraId="64F234A2"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vastavalt Euroopa Liidu toimimise lepingu artiklile 287 tehtud kontrollikoja kinnitavat avaldust</w:t>
      </w:r>
      <w:r w:rsidRPr="00ED1222">
        <w:rPr>
          <w:kern w:val="2"/>
          <w:vertAlign w:val="superscript"/>
          <w14:ligatures w14:val="standardContextual"/>
        </w:rPr>
        <w:footnoteReference w:id="284"/>
      </w:r>
      <w:r w:rsidRPr="00ED1222">
        <w:rPr>
          <w:kern w:val="2"/>
          <w14:ligatures w14:val="standardContextual"/>
        </w:rPr>
        <w:t xml:space="preserve"> 2023. aasta raamatupidamiskontode usaldatavuse ja nende aluseks olevate tehingute seaduslikkuse ja korrektsuse kohta,</w:t>
      </w:r>
    </w:p>
    <w:p w14:paraId="3ADA134D"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nõukogu 17. veebruari 2025. aasta soovitust fondi tegevusele heakskiidu andmise kohta 2023. aasta eelarve täitmisel (05755/2025 – C10</w:t>
      </w:r>
      <w:r w:rsidRPr="00ED1222">
        <w:rPr>
          <w:kern w:val="2"/>
          <w14:ligatures w14:val="standardContextual"/>
        </w:rPr>
        <w:noBreakHyphen/>
        <w:t>0024/2025),</w:t>
      </w:r>
    </w:p>
    <w:p w14:paraId="5B2352C1"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toimimise lepingu artiklit 319,</w:t>
      </w:r>
    </w:p>
    <w:p w14:paraId="752A918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18. juuli 2018. aasta määrust (EL, Euratom) 2018/1046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ED1222">
        <w:rPr>
          <w:kern w:val="2"/>
          <w:vertAlign w:val="superscript"/>
          <w14:ligatures w14:val="standardContextual"/>
        </w:rPr>
        <w:footnoteReference w:id="285"/>
      </w:r>
      <w:r w:rsidRPr="00ED1222">
        <w:rPr>
          <w:kern w:val="2"/>
          <w14:ligatures w14:val="standardContextual"/>
        </w:rPr>
        <w:t xml:space="preserve"> eriti selle artiklit 70,</w:t>
      </w:r>
    </w:p>
    <w:p w14:paraId="7D1DB298"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23. septembri 2024. aasta määrust (EL, Euratom) 2024/2509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w:t>
      </w:r>
      <w:r w:rsidRPr="00ED1222">
        <w:rPr>
          <w:kern w:val="2"/>
          <w:vertAlign w:val="superscript"/>
          <w14:ligatures w14:val="standardContextual"/>
        </w:rPr>
        <w:footnoteReference w:id="286"/>
      </w:r>
      <w:r w:rsidRPr="00ED1222">
        <w:rPr>
          <w:kern w:val="2"/>
          <w14:ligatures w14:val="standardContextual"/>
        </w:rPr>
        <w:t xml:space="preserve"> eriti selle artiklit 70,</w:t>
      </w:r>
    </w:p>
    <w:p w14:paraId="7759673A"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Parlamendi ja nõukogu 16. detsembri 2008. aasta määrust (EÜ) nr 1339/2008 (millega luuakse Euroopa Koolitusfond),</w:t>
      </w:r>
      <w:r w:rsidRPr="00ED1222">
        <w:rPr>
          <w:kern w:val="2"/>
          <w:vertAlign w:val="superscript"/>
          <w14:ligatures w14:val="standardContextual"/>
        </w:rPr>
        <w:footnoteReference w:id="287"/>
      </w:r>
      <w:r w:rsidRPr="00ED1222">
        <w:rPr>
          <w:kern w:val="2"/>
          <w14:ligatures w14:val="standardContextual"/>
        </w:rPr>
        <w:t xml:space="preserve"> eriti selle artiklit 17,</w:t>
      </w:r>
    </w:p>
    <w:p w14:paraId="3BDA1F92"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ED1222">
        <w:rPr>
          <w:kern w:val="2"/>
          <w:vertAlign w:val="superscript"/>
          <w14:ligatures w14:val="standardContextual"/>
        </w:rPr>
        <w:footnoteReference w:id="288"/>
      </w:r>
      <w:r w:rsidRPr="00ED1222">
        <w:rPr>
          <w:kern w:val="2"/>
          <w14:ligatures w14:val="standardContextual"/>
        </w:rPr>
        <w:t xml:space="preserve"> eriti selle artiklit 105,</w:t>
      </w:r>
    </w:p>
    <w:p w14:paraId="39F9F57D"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kodukorra artiklit 102 ja V lisa,</w:t>
      </w:r>
    </w:p>
    <w:p w14:paraId="454B80E5"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tööhõive- ja sotsiaalkomisjoni, keskkonna-, kliima- ja toiduohutuse komisjoni, transpordi- ja turismikomisjoni, kalanduskomisjoni, kultuuri- ja </w:t>
      </w:r>
      <w:r w:rsidRPr="00ED1222">
        <w:rPr>
          <w:kern w:val="2"/>
          <w14:ligatures w14:val="standardContextual"/>
        </w:rPr>
        <w:lastRenderedPageBreak/>
        <w:t>hariduskomisjoni, kodanikuvabaduste, justiits- ja siseasjade komisjoni ning naiste õiguste ja soolise võrdõiguslikkuse komisjoni arvamusi,</w:t>
      </w:r>
    </w:p>
    <w:p w14:paraId="7C9CABC7"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eelarvekontrollikomisjoni raportit (A10-0065/2025),</w:t>
      </w:r>
    </w:p>
    <w:p w14:paraId="2176E249"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w:t>
      </w:r>
      <w:r w:rsidRPr="00ED1222">
        <w:rPr>
          <w:kern w:val="2"/>
          <w14:ligatures w14:val="standardContextual"/>
        </w:rPr>
        <w:tab/>
        <w:t>annab heakskiidu Euroopa Koolitusfondi 2023. aasta raamatupidamiskontode sulgemisele;</w:t>
      </w:r>
    </w:p>
    <w:p w14:paraId="68D3E10F"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2.</w:t>
      </w:r>
      <w:r w:rsidRPr="00ED1222">
        <w:rPr>
          <w:kern w:val="2"/>
          <w14:ligatures w14:val="standardContextual"/>
        </w:rPr>
        <w:tab/>
        <w:t xml:space="preserve">teeb presidendile ülesandeks edastada käesolev otsus Euroopa Koolitusfondi direktorile, nõukogule, komisjonile ja kontrollikojale ning korraldada selle avaldamine </w:t>
      </w:r>
      <w:r w:rsidRPr="00ED1222">
        <w:rPr>
          <w:i/>
          <w:kern w:val="2"/>
          <w14:ligatures w14:val="standardContextual"/>
        </w:rPr>
        <w:t>Euroopa Liidu Teatajas</w:t>
      </w:r>
      <w:r w:rsidRPr="00ED1222">
        <w:rPr>
          <w:kern w:val="2"/>
          <w14:ligatures w14:val="standardContextual"/>
        </w:rPr>
        <w:t xml:space="preserve"> (L-seerias).</w:t>
      </w:r>
    </w:p>
    <w:p w14:paraId="236DF4C9" w14:textId="77777777" w:rsidR="00ED1222" w:rsidRPr="00ED1222" w:rsidRDefault="00ED1222" w:rsidP="00ED1222">
      <w:pPr>
        <w:widowControl/>
        <w:jc w:val="both"/>
        <w:rPr>
          <w:rFonts w:eastAsia="Aptos"/>
          <w:kern w:val="2"/>
          <w:szCs w:val="24"/>
          <w:lang w:eastAsia="en-US"/>
          <w14:ligatures w14:val="standardContextual"/>
        </w:rPr>
        <w:sectPr w:rsidR="00ED1222" w:rsidRPr="00ED1222" w:rsidSect="00ED1222">
          <w:footnotePr>
            <w:numRestart w:val="eachSect"/>
          </w:footnotePr>
          <w:pgSz w:w="11906" w:h="16838"/>
          <w:pgMar w:top="1440" w:right="1440" w:bottom="1440" w:left="1440" w:header="708" w:footer="708" w:gutter="0"/>
          <w:cols w:space="708"/>
          <w:docGrid w:linePitch="360"/>
        </w:sectPr>
      </w:pPr>
    </w:p>
    <w:p w14:paraId="4C5491EB" w14:textId="7217C57D" w:rsidR="00ED1222" w:rsidRPr="00ED1222" w:rsidRDefault="00ED1222" w:rsidP="00F7467E">
      <w:pPr>
        <w:pStyle w:val="ATHeading3"/>
      </w:pPr>
      <w:r w:rsidRPr="00ED1222">
        <w:lastRenderedPageBreak/>
        <w:t>49. Euroopa Parlamendi 7. mai 2025. aasta otsus Euroopa Liidu Varjupaigaameti 2023. aasta eelarve täitmisele heakskiidu andmise kohta</w:t>
      </w:r>
      <w:r w:rsidR="00A87338">
        <w:t xml:space="preserve"> </w:t>
      </w:r>
      <w:r w:rsidRPr="00ED1222">
        <w:t>(2024/2030(DEC))</w:t>
      </w:r>
    </w:p>
    <w:p w14:paraId="5512DEC7" w14:textId="77777777" w:rsidR="00F7467E" w:rsidRPr="00ED1222" w:rsidRDefault="00F7467E" w:rsidP="00F7467E">
      <w:pPr>
        <w:spacing w:before="480" w:after="240"/>
        <w:rPr>
          <w:i/>
          <w:kern w:val="2"/>
          <w14:ligatures w14:val="standardContextual"/>
        </w:rPr>
      </w:pPr>
      <w:r w:rsidRPr="00ED1222">
        <w:rPr>
          <w:i/>
          <w:kern w:val="2"/>
          <w14:ligatures w14:val="standardContextual"/>
        </w:rPr>
        <w:t>Euroopa Parlament,</w:t>
      </w:r>
    </w:p>
    <w:p w14:paraId="2C0DBD93"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Varjupaigaameti 2023. aasta lõplikku raamatupidamisaruannet,</w:t>
      </w:r>
    </w:p>
    <w:p w14:paraId="262E6E4C"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kontrollikoja aastaaruannet ELi asutuste eelarveaasta 2023 kohta koos asutuste vastustega</w:t>
      </w:r>
      <w:r w:rsidRPr="00ED1222">
        <w:rPr>
          <w:kern w:val="2"/>
          <w:vertAlign w:val="superscript"/>
          <w14:ligatures w14:val="standardContextual"/>
        </w:rPr>
        <w:footnoteReference w:id="289"/>
      </w:r>
      <w:r w:rsidRPr="00ED1222">
        <w:rPr>
          <w:kern w:val="2"/>
          <w14:ligatures w14:val="standardContextual"/>
        </w:rPr>
        <w:t>,</w:t>
      </w:r>
    </w:p>
    <w:p w14:paraId="5E4A0E6F"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vastavalt Euroopa Liidu toimimise lepingu artiklile 287 tehtud kontrollikoja kinnitavat avaldust</w:t>
      </w:r>
      <w:r w:rsidRPr="00ED1222">
        <w:rPr>
          <w:kern w:val="2"/>
          <w:vertAlign w:val="superscript"/>
          <w14:ligatures w14:val="standardContextual"/>
        </w:rPr>
        <w:footnoteReference w:id="290"/>
      </w:r>
      <w:r w:rsidRPr="00ED1222">
        <w:rPr>
          <w:kern w:val="2"/>
          <w14:ligatures w14:val="standardContextual"/>
        </w:rPr>
        <w:t xml:space="preserve"> 2023. aasta raamatupidamiskontode usaldatavuse ja nende aluseks olevate tehingute seaduslikkuse ja korrektsuse kohta,</w:t>
      </w:r>
    </w:p>
    <w:p w14:paraId="5A18945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nõukogu 17. veebruari 2025. aasta soovitust ameti tegevusele heakskiidu andmise kohta 2023. aasta eelarve täitmisel (05755/2025 – C10</w:t>
      </w:r>
      <w:r w:rsidRPr="00ED1222">
        <w:rPr>
          <w:kern w:val="2"/>
          <w14:ligatures w14:val="standardContextual"/>
        </w:rPr>
        <w:noBreakHyphen/>
        <w:t>0024/2025),</w:t>
      </w:r>
    </w:p>
    <w:p w14:paraId="7BFF832D"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toimimise lepingu artiklit 319,</w:t>
      </w:r>
    </w:p>
    <w:p w14:paraId="145850AF"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18. juuli 2018. aasta määrust (EL, Euratom) 2018/1046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ED1222">
        <w:rPr>
          <w:kern w:val="2"/>
          <w:vertAlign w:val="superscript"/>
          <w14:ligatures w14:val="standardContextual"/>
        </w:rPr>
        <w:footnoteReference w:id="291"/>
      </w:r>
      <w:r w:rsidRPr="00ED1222">
        <w:rPr>
          <w:kern w:val="2"/>
          <w14:ligatures w14:val="standardContextual"/>
        </w:rPr>
        <w:t>, eriti selle artiklit 70,</w:t>
      </w:r>
    </w:p>
    <w:p w14:paraId="1B1BFC74"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23. septembri 2024. aasta määrust (EL, Euratom) 2024/2509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w:t>
      </w:r>
      <w:r w:rsidRPr="00ED1222">
        <w:rPr>
          <w:kern w:val="2"/>
          <w:vertAlign w:val="superscript"/>
          <w14:ligatures w14:val="standardContextual"/>
        </w:rPr>
        <w:footnoteReference w:id="292"/>
      </w:r>
      <w:r w:rsidRPr="00ED1222">
        <w:rPr>
          <w:kern w:val="2"/>
          <w14:ligatures w14:val="standardContextual"/>
        </w:rPr>
        <w:t>, eriti selle artiklit 70,</w:t>
      </w:r>
    </w:p>
    <w:p w14:paraId="1BB0AE6F"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Parlamendi ja nõukogu 19. mai 2010. aasta määrust (EL) nr 439/2010 (millega luuakse Euroopa Varjupaigaküsimuste Tugiamet)</w:t>
      </w:r>
      <w:r w:rsidRPr="00ED1222">
        <w:rPr>
          <w:kern w:val="2"/>
          <w:vertAlign w:val="superscript"/>
          <w14:ligatures w14:val="standardContextual"/>
        </w:rPr>
        <w:footnoteReference w:id="293"/>
      </w:r>
      <w:r w:rsidRPr="00ED1222">
        <w:rPr>
          <w:kern w:val="2"/>
          <w14:ligatures w14:val="standardContextual"/>
        </w:rPr>
        <w:t>, eriti selle artiklit 36,</w:t>
      </w:r>
    </w:p>
    <w:p w14:paraId="642085F4"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Parlamendi ja nõukogu 15. detsembri 2021. aasta määrust (EL) 2021/2303 (mis käsitleb Euroopa Liidu Varjupaigaametit ja millega tunnistatakse kehtetuks määrus (EL) nr 439/2010)</w:t>
      </w:r>
      <w:r w:rsidRPr="00ED1222">
        <w:rPr>
          <w:kern w:val="2"/>
          <w:vertAlign w:val="superscript"/>
          <w14:ligatures w14:val="standardContextual"/>
        </w:rPr>
        <w:footnoteReference w:id="294"/>
      </w:r>
      <w:r w:rsidRPr="00ED1222">
        <w:rPr>
          <w:kern w:val="2"/>
          <w14:ligatures w14:val="standardContextual"/>
        </w:rPr>
        <w:t>, eriti selle artiklit 55,</w:t>
      </w:r>
    </w:p>
    <w:p w14:paraId="4EBFD33B"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ED1222">
        <w:rPr>
          <w:kern w:val="2"/>
          <w:vertAlign w:val="superscript"/>
          <w14:ligatures w14:val="standardContextual"/>
        </w:rPr>
        <w:footnoteReference w:id="295"/>
      </w:r>
      <w:r w:rsidRPr="00ED1222">
        <w:rPr>
          <w:kern w:val="2"/>
          <w14:ligatures w14:val="standardContextual"/>
        </w:rPr>
        <w:t xml:space="preserve">, eriti </w:t>
      </w:r>
      <w:r w:rsidRPr="00ED1222">
        <w:rPr>
          <w:kern w:val="2"/>
          <w14:ligatures w14:val="standardContextual"/>
        </w:rPr>
        <w:lastRenderedPageBreak/>
        <w:t>selle artiklit 105,</w:t>
      </w:r>
    </w:p>
    <w:p w14:paraId="3017665C"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kodukorra artiklit 102 ja V lisa,</w:t>
      </w:r>
    </w:p>
    <w:p w14:paraId="0CBEAECB"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tööhõive- ja sotsiaalkomisjoni, keskkonna-, kliima- ja toiduohutuse komisjoni, transpordi- ja turismikomisjoni, kalanduskomisjoni, kultuuri- ja hariduskomisjoni, kodanikuvabaduste, justiits- ja siseasjade komisjoni ning naiste õiguste ja soolise võrdõiguslikkuse komisjoni arvamusi,</w:t>
      </w:r>
    </w:p>
    <w:p w14:paraId="0A444D48"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eelarvekontrollikomisjoni raportit (A10-0065/2025),</w:t>
      </w:r>
    </w:p>
    <w:p w14:paraId="79558B1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w:t>
      </w:r>
      <w:r w:rsidRPr="00ED1222">
        <w:rPr>
          <w:kern w:val="2"/>
          <w14:ligatures w14:val="standardContextual"/>
        </w:rPr>
        <w:tab/>
        <w:t>lükkab edasi otsuse tegemise heakskiidu andmise kohta Euroopa Liidu Varjupaigaameti tegevdirektori tegevusele ameti 2023. aasta eelarve täitmisel;</w:t>
      </w:r>
    </w:p>
    <w:p w14:paraId="61C5B337"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2.</w:t>
      </w:r>
      <w:r w:rsidRPr="00ED1222">
        <w:rPr>
          <w:kern w:val="2"/>
          <w14:ligatures w14:val="standardContextual"/>
        </w:rPr>
        <w:tab/>
        <w:t>esitab oma tähelepanekud alltoodud resolutsioonis;</w:t>
      </w:r>
    </w:p>
    <w:p w14:paraId="7879384B"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3.</w:t>
      </w:r>
      <w:r w:rsidRPr="00ED1222">
        <w:rPr>
          <w:kern w:val="2"/>
          <w14:ligatures w14:val="standardContextual"/>
        </w:rPr>
        <w:tab/>
        <w:t xml:space="preserve">teeb presidendile ülesandeks edastada käesolev otsus ja resolutsioon, mis on selle lahutamatu osa, Euroopa Liidu Varjupaigaameti tegevdirektorile, nõukogule, komisjonile ja kontrollikojale ning korraldada nende avaldamine </w:t>
      </w:r>
      <w:r w:rsidRPr="00ED1222">
        <w:rPr>
          <w:i/>
          <w:kern w:val="2"/>
          <w14:ligatures w14:val="standardContextual"/>
        </w:rPr>
        <w:t>Euroopa Liidu Teatajas</w:t>
      </w:r>
      <w:r w:rsidRPr="00ED1222">
        <w:rPr>
          <w:kern w:val="2"/>
          <w14:ligatures w14:val="standardContextual"/>
        </w:rPr>
        <w:t xml:space="preserve"> (L-seerias).</w:t>
      </w:r>
    </w:p>
    <w:p w14:paraId="5D7183FD" w14:textId="77777777" w:rsidR="00ED1222" w:rsidRPr="00ED1222" w:rsidRDefault="00ED1222" w:rsidP="00ED1222">
      <w:pPr>
        <w:widowControl/>
        <w:jc w:val="both"/>
        <w:rPr>
          <w:rFonts w:eastAsia="Aptos"/>
          <w:kern w:val="2"/>
          <w:szCs w:val="24"/>
          <w:lang w:eastAsia="en-US"/>
          <w14:ligatures w14:val="standardContextual"/>
        </w:rPr>
        <w:sectPr w:rsidR="00ED1222" w:rsidRPr="00ED1222" w:rsidSect="00ED1222">
          <w:footnotePr>
            <w:numRestart w:val="eachSect"/>
          </w:footnotePr>
          <w:pgSz w:w="11906" w:h="16838"/>
          <w:pgMar w:top="1440" w:right="1440" w:bottom="1440" w:left="1440" w:header="708" w:footer="708" w:gutter="0"/>
          <w:cols w:space="708"/>
          <w:docGrid w:linePitch="360"/>
        </w:sectPr>
      </w:pPr>
    </w:p>
    <w:p w14:paraId="66E16CBB" w14:textId="77777777" w:rsidR="00ED1222" w:rsidRPr="00ED1222" w:rsidRDefault="00ED1222" w:rsidP="00F7467E">
      <w:pPr>
        <w:pStyle w:val="ATHeading3"/>
      </w:pPr>
      <w:r w:rsidRPr="00ED1222">
        <w:lastRenderedPageBreak/>
        <w:t>50. Euroopa Parlamendi 7. mai 2025. aasta otsus Euroopa Liidu Varjupaigaameti 2023. aasta raamatupidamiskontode sulgemise kohta (2024/2030(DEC))</w:t>
      </w:r>
    </w:p>
    <w:p w14:paraId="60FEEC09" w14:textId="77777777" w:rsidR="00F7467E" w:rsidRPr="00ED1222" w:rsidRDefault="00F7467E" w:rsidP="00F7467E">
      <w:pPr>
        <w:spacing w:before="480" w:after="240"/>
        <w:rPr>
          <w:i/>
          <w:kern w:val="2"/>
          <w14:ligatures w14:val="standardContextual"/>
        </w:rPr>
      </w:pPr>
      <w:r w:rsidRPr="00ED1222">
        <w:rPr>
          <w:i/>
          <w:kern w:val="2"/>
          <w14:ligatures w14:val="standardContextual"/>
        </w:rPr>
        <w:t>Euroopa Parlament,</w:t>
      </w:r>
    </w:p>
    <w:p w14:paraId="5407D362"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Varjupaigaameti 2023. aasta lõplikku raamatupidamisaruannet,</w:t>
      </w:r>
    </w:p>
    <w:p w14:paraId="4B453217"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kontrollikoja aastaaruannet ELi asutuste eelarveaasta 2023 kohta koos asutuste vastustega</w:t>
      </w:r>
      <w:r w:rsidRPr="00ED1222">
        <w:rPr>
          <w:kern w:val="2"/>
          <w:vertAlign w:val="superscript"/>
          <w14:ligatures w14:val="standardContextual"/>
        </w:rPr>
        <w:footnoteReference w:id="296"/>
      </w:r>
      <w:r w:rsidRPr="00ED1222">
        <w:rPr>
          <w:kern w:val="2"/>
          <w14:ligatures w14:val="standardContextual"/>
        </w:rPr>
        <w:t>,</w:t>
      </w:r>
    </w:p>
    <w:p w14:paraId="389F6DE1"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vastavalt Euroopa Liidu toimimise lepingu artiklile 287 tehtud kontrollikoja kinnitavat avaldust</w:t>
      </w:r>
      <w:r w:rsidRPr="00ED1222">
        <w:rPr>
          <w:kern w:val="2"/>
          <w:vertAlign w:val="superscript"/>
          <w14:ligatures w14:val="standardContextual"/>
        </w:rPr>
        <w:footnoteReference w:id="297"/>
      </w:r>
      <w:r w:rsidRPr="00ED1222">
        <w:rPr>
          <w:kern w:val="2"/>
          <w14:ligatures w14:val="standardContextual"/>
        </w:rPr>
        <w:t xml:space="preserve"> 2023. aasta raamatupidamiskontode usaldatavuse ja nende aluseks olevate tehingute seaduslikkuse ja korrektsuse kohta,</w:t>
      </w:r>
    </w:p>
    <w:p w14:paraId="57471C31"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nõukogu 17. veebruari 2025. aasta soovitust ameti tegevusele heakskiidu andmise kohta 2023. aasta eelarve täitmisel (05755/2025 – C10</w:t>
      </w:r>
      <w:r w:rsidRPr="00ED1222">
        <w:rPr>
          <w:kern w:val="2"/>
          <w14:ligatures w14:val="standardContextual"/>
        </w:rPr>
        <w:noBreakHyphen/>
        <w:t>0024/2025),</w:t>
      </w:r>
    </w:p>
    <w:p w14:paraId="5E115A44"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toimimise lepingu artiklit 319,</w:t>
      </w:r>
    </w:p>
    <w:p w14:paraId="5AC0D411"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18. juuli 2018. aasta määrust (EL, Euratom) 2018/1046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ED1222">
        <w:rPr>
          <w:kern w:val="2"/>
          <w:vertAlign w:val="superscript"/>
          <w14:ligatures w14:val="standardContextual"/>
        </w:rPr>
        <w:footnoteReference w:id="298"/>
      </w:r>
      <w:r w:rsidRPr="00ED1222">
        <w:rPr>
          <w:kern w:val="2"/>
          <w14:ligatures w14:val="standardContextual"/>
        </w:rPr>
        <w:t xml:space="preserve"> eriti selle artiklit 70,</w:t>
      </w:r>
    </w:p>
    <w:p w14:paraId="32948990"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23. septembri 2024. aasta määrust (EL, Euratom) 2024/2509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w:t>
      </w:r>
      <w:r w:rsidRPr="00ED1222">
        <w:rPr>
          <w:kern w:val="2"/>
          <w:vertAlign w:val="superscript"/>
          <w14:ligatures w14:val="standardContextual"/>
        </w:rPr>
        <w:footnoteReference w:id="299"/>
      </w:r>
      <w:r w:rsidRPr="00ED1222">
        <w:rPr>
          <w:kern w:val="2"/>
          <w14:ligatures w14:val="standardContextual"/>
        </w:rPr>
        <w:t xml:space="preserve"> eriti selle artiklit 70,</w:t>
      </w:r>
    </w:p>
    <w:p w14:paraId="076E16AF"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Parlamendi ja nõukogu 19. mai 2010. aasta määrust (EL) nr 439/2010 (millega luuakse Euroopa Varjupaigaküsimuste Tugiamet),</w:t>
      </w:r>
      <w:r w:rsidRPr="00ED1222">
        <w:rPr>
          <w:kern w:val="2"/>
          <w:vertAlign w:val="superscript"/>
          <w14:ligatures w14:val="standardContextual"/>
        </w:rPr>
        <w:footnoteReference w:id="300"/>
      </w:r>
      <w:r w:rsidRPr="00ED1222">
        <w:rPr>
          <w:kern w:val="2"/>
          <w14:ligatures w14:val="standardContextual"/>
        </w:rPr>
        <w:t xml:space="preserve"> eriti selle artiklit 36,</w:t>
      </w:r>
    </w:p>
    <w:p w14:paraId="2568E1FC"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Parlamendi ja nõukogu 15. detsembri 2021. aasta määrust (EL) 2021/2303 (mis käsitleb Euroopa Liidu Varjupaigaametit ja millega tunnistatakse kehtetuks määrus (EL) nr 439/2010),</w:t>
      </w:r>
      <w:r w:rsidRPr="00ED1222">
        <w:rPr>
          <w:kern w:val="2"/>
          <w:vertAlign w:val="superscript"/>
          <w14:ligatures w14:val="standardContextual"/>
        </w:rPr>
        <w:footnoteReference w:id="301"/>
      </w:r>
      <w:r w:rsidRPr="00ED1222">
        <w:rPr>
          <w:kern w:val="2"/>
          <w14:ligatures w14:val="standardContextual"/>
        </w:rPr>
        <w:t xml:space="preserve"> eriti selle artiklit 55,</w:t>
      </w:r>
    </w:p>
    <w:p w14:paraId="43B2530B"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ED1222">
        <w:rPr>
          <w:kern w:val="2"/>
          <w:vertAlign w:val="superscript"/>
          <w14:ligatures w14:val="standardContextual"/>
        </w:rPr>
        <w:footnoteReference w:id="302"/>
      </w:r>
      <w:r w:rsidRPr="00ED1222">
        <w:rPr>
          <w:kern w:val="2"/>
          <w14:ligatures w14:val="standardContextual"/>
        </w:rPr>
        <w:t xml:space="preserve"> eriti </w:t>
      </w:r>
      <w:r w:rsidRPr="00ED1222">
        <w:rPr>
          <w:kern w:val="2"/>
          <w14:ligatures w14:val="standardContextual"/>
        </w:rPr>
        <w:lastRenderedPageBreak/>
        <w:t>selle artiklit 105,</w:t>
      </w:r>
    </w:p>
    <w:p w14:paraId="2B28A650"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kodukorra artiklit 102 ja V lisa,</w:t>
      </w:r>
    </w:p>
    <w:p w14:paraId="51811252"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tööhõive- ja sotsiaalkomisjoni, keskkonna-, kliima- ja toiduohutuse komisjoni, transpordi- ja turismikomisjoni, kalanduskomisjoni, kultuuri- ja hariduskomisjoni, kodanikuvabaduste, justiits- ja siseasjade komisjoni ning naiste õiguste ja soolise võrdõiguslikkuse komisjoni arvamusi,</w:t>
      </w:r>
    </w:p>
    <w:p w14:paraId="5FA8A3A9"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eelarvekontrollikomisjoni raportit (A10-0065/2025),</w:t>
      </w:r>
    </w:p>
    <w:p w14:paraId="639B7C5C"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w:t>
      </w:r>
      <w:r w:rsidRPr="00ED1222">
        <w:rPr>
          <w:kern w:val="2"/>
          <w14:ligatures w14:val="standardContextual"/>
        </w:rPr>
        <w:tab/>
        <w:t>lükkab edasi Euroopa Liidu Varjupaigaameti 2023. aasta raamatupidamiskontode sulgemise;</w:t>
      </w:r>
    </w:p>
    <w:p w14:paraId="5EFEB9D3"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2.</w:t>
      </w:r>
      <w:r w:rsidRPr="00ED1222">
        <w:rPr>
          <w:kern w:val="2"/>
          <w14:ligatures w14:val="standardContextual"/>
        </w:rPr>
        <w:tab/>
        <w:t xml:space="preserve">teeb presidendile ülesandeks edastada käesolev otsus Euroopa Liidu Varjupaigaameti tegevdirektorile, nõukogule, komisjonile ja kontrollikojale ning korraldada selle avaldamine </w:t>
      </w:r>
      <w:r w:rsidRPr="00ED1222">
        <w:rPr>
          <w:i/>
          <w:kern w:val="2"/>
          <w14:ligatures w14:val="standardContextual"/>
        </w:rPr>
        <w:t>Euroopa Liidu Teatajas</w:t>
      </w:r>
      <w:r w:rsidRPr="00ED1222">
        <w:rPr>
          <w:kern w:val="2"/>
          <w14:ligatures w14:val="standardContextual"/>
        </w:rPr>
        <w:t xml:space="preserve"> (L-seerias).</w:t>
      </w:r>
    </w:p>
    <w:p w14:paraId="6D2BBCC6" w14:textId="77777777" w:rsidR="00ED1222" w:rsidRPr="00ED1222" w:rsidRDefault="00ED1222" w:rsidP="00ED1222">
      <w:pPr>
        <w:widowControl/>
        <w:jc w:val="both"/>
        <w:rPr>
          <w:rFonts w:eastAsia="Aptos"/>
          <w:kern w:val="2"/>
          <w:szCs w:val="24"/>
          <w:lang w:eastAsia="en-US"/>
          <w14:ligatures w14:val="standardContextual"/>
        </w:rPr>
        <w:sectPr w:rsidR="00ED1222" w:rsidRPr="00ED1222" w:rsidSect="00ED1222">
          <w:footnotePr>
            <w:numRestart w:val="eachSect"/>
          </w:footnotePr>
          <w:pgSz w:w="11906" w:h="16838"/>
          <w:pgMar w:top="1440" w:right="1440" w:bottom="1440" w:left="1440" w:header="708" w:footer="708" w:gutter="0"/>
          <w:cols w:space="708"/>
          <w:docGrid w:linePitch="360"/>
        </w:sectPr>
      </w:pPr>
    </w:p>
    <w:p w14:paraId="41F5F210" w14:textId="77777777" w:rsidR="00ED1222" w:rsidRPr="00ED1222" w:rsidRDefault="00ED1222" w:rsidP="00F7467E">
      <w:pPr>
        <w:pStyle w:val="ATHeading3"/>
      </w:pPr>
      <w:r w:rsidRPr="00ED1222">
        <w:lastRenderedPageBreak/>
        <w:t>51. Euroopa Parlamendi 7. mai 2025. aasta otsus Vabadusel, Turvalisusel ja Õigusel Rajaneva Ala Suuremahuliste IT-süsteemide Operatiivjuhtimise Euroopa Liidu Ameti 2023. aasta eelarve täitmisele heakskiidu andmise kohta (2024/2030(DEC))</w:t>
      </w:r>
    </w:p>
    <w:p w14:paraId="3282C69F" w14:textId="77777777" w:rsidR="00F7467E" w:rsidRPr="00ED1222" w:rsidRDefault="00F7467E" w:rsidP="00F7467E">
      <w:pPr>
        <w:spacing w:before="480" w:after="240"/>
        <w:rPr>
          <w:i/>
          <w:kern w:val="2"/>
          <w14:ligatures w14:val="standardContextual"/>
        </w:rPr>
      </w:pPr>
      <w:r w:rsidRPr="00ED1222">
        <w:rPr>
          <w:i/>
          <w:kern w:val="2"/>
          <w14:ligatures w14:val="standardContextual"/>
        </w:rPr>
        <w:t>Euroopa Parlament,</w:t>
      </w:r>
    </w:p>
    <w:p w14:paraId="1F41B82B"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Vabadusel, Turvalisusel ja Õigusel Rajaneva Ala Suuremahuliste IT-süsteemide Operatiivjuhtimise Euroopa Liidu Ameti 2023. aasta lõplikku raamatupidamisaruannet,</w:t>
      </w:r>
    </w:p>
    <w:p w14:paraId="3743179F"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kontrollikoja aastaaruannet ELi asutuste eelarveaasta 2023 kohta koos asutuste vastustega</w:t>
      </w:r>
      <w:r w:rsidRPr="00ED1222">
        <w:rPr>
          <w:kern w:val="2"/>
          <w:vertAlign w:val="superscript"/>
          <w14:ligatures w14:val="standardContextual"/>
        </w:rPr>
        <w:footnoteReference w:id="303"/>
      </w:r>
      <w:r w:rsidRPr="00ED1222">
        <w:rPr>
          <w:kern w:val="2"/>
          <w14:ligatures w14:val="standardContextual"/>
        </w:rPr>
        <w:t>,</w:t>
      </w:r>
    </w:p>
    <w:p w14:paraId="23EE0BF9"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vastavalt Euroopa Liidu toimimise lepingu artiklile 287 tehtud kontrollikoja kinnitavat avaldust</w:t>
      </w:r>
      <w:r w:rsidRPr="00ED1222">
        <w:rPr>
          <w:kern w:val="2"/>
          <w:vertAlign w:val="superscript"/>
          <w14:ligatures w14:val="standardContextual"/>
        </w:rPr>
        <w:footnoteReference w:id="304"/>
      </w:r>
      <w:r w:rsidRPr="00ED1222">
        <w:rPr>
          <w:kern w:val="2"/>
          <w14:ligatures w14:val="standardContextual"/>
        </w:rPr>
        <w:t xml:space="preserve"> 2023. aasta raamatupidamiskontode usaldatavuse ja nende aluseks olevate tehingute seaduslikkuse ja korrektsuse kohta,</w:t>
      </w:r>
    </w:p>
    <w:p w14:paraId="7E4E27CB"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nõukogu 17. veebruari 2025. aasta soovitust ameti tegevusele heakskiidu andmise kohta 2023. aasta eelarve täitmisel (05755/2025 – C10</w:t>
      </w:r>
      <w:r w:rsidRPr="00ED1222">
        <w:rPr>
          <w:kern w:val="2"/>
          <w14:ligatures w14:val="standardContextual"/>
        </w:rPr>
        <w:noBreakHyphen/>
        <w:t>0024/2025),</w:t>
      </w:r>
    </w:p>
    <w:p w14:paraId="17599CDF"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toimimise lepingu artiklit 319,</w:t>
      </w:r>
    </w:p>
    <w:p w14:paraId="63E3CFE1"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18. juuli 2018. aasta määrust (EL, Euratom) 2018/1046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ED1222">
        <w:rPr>
          <w:kern w:val="2"/>
          <w:vertAlign w:val="superscript"/>
          <w14:ligatures w14:val="standardContextual"/>
        </w:rPr>
        <w:footnoteReference w:id="305"/>
      </w:r>
      <w:r w:rsidRPr="00ED1222">
        <w:rPr>
          <w:kern w:val="2"/>
          <w14:ligatures w14:val="standardContextual"/>
        </w:rPr>
        <w:t xml:space="preserve"> eriti selle artiklit 70,</w:t>
      </w:r>
    </w:p>
    <w:p w14:paraId="35AAE5C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23. septembri 2024. aasta määrust (EL, Euratom) 2024/2509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w:t>
      </w:r>
      <w:r w:rsidRPr="00ED1222">
        <w:rPr>
          <w:kern w:val="2"/>
          <w:vertAlign w:val="superscript"/>
          <w14:ligatures w14:val="standardContextual"/>
        </w:rPr>
        <w:footnoteReference w:id="306"/>
      </w:r>
      <w:r w:rsidRPr="00ED1222">
        <w:rPr>
          <w:kern w:val="2"/>
          <w14:ligatures w14:val="standardContextual"/>
        </w:rPr>
        <w:t xml:space="preserve"> eriti selle artiklit 70,</w:t>
      </w:r>
    </w:p>
    <w:p w14:paraId="783D9A25"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Parlamendi ja nõukogu 14. novembri 2018. aasta määrust (EL) 2018/1726 (mis käsitleb Vabadusel, Turvalisusel ja Õigusel Rajaneva Ala Suuremahuliste IT-süsteemide Operatiivjuhtimise Euroopa Ametit (</w:t>
      </w:r>
      <w:proofErr w:type="spellStart"/>
      <w:r w:rsidRPr="00ED1222">
        <w:rPr>
          <w:kern w:val="2"/>
          <w14:ligatures w14:val="standardContextual"/>
        </w:rPr>
        <w:t>eu</w:t>
      </w:r>
      <w:proofErr w:type="spellEnd"/>
      <w:r w:rsidRPr="00ED1222">
        <w:rPr>
          <w:kern w:val="2"/>
          <w14:ligatures w14:val="standardContextual"/>
        </w:rPr>
        <w:t>-LISA) ning millega muudetakse määrust (EÜ) nr 1987/2006 ja nõukogu otsust 2007/533/JSK ja tunnistatakse kehtetuks määrus (EL) nr 1077/2011),</w:t>
      </w:r>
      <w:r w:rsidRPr="00ED1222">
        <w:rPr>
          <w:kern w:val="2"/>
          <w:vertAlign w:val="superscript"/>
          <w14:ligatures w14:val="standardContextual"/>
        </w:rPr>
        <w:footnoteReference w:id="307"/>
      </w:r>
      <w:r w:rsidRPr="00ED1222">
        <w:rPr>
          <w:kern w:val="2"/>
          <w14:ligatures w14:val="standardContextual"/>
        </w:rPr>
        <w:t xml:space="preserve"> eriti selle artiklit 47,</w:t>
      </w:r>
    </w:p>
    <w:p w14:paraId="6E4F66A3"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ED1222">
        <w:rPr>
          <w:kern w:val="2"/>
          <w:vertAlign w:val="superscript"/>
          <w14:ligatures w14:val="standardContextual"/>
        </w:rPr>
        <w:footnoteReference w:id="308"/>
      </w:r>
      <w:r w:rsidRPr="00ED1222">
        <w:rPr>
          <w:kern w:val="2"/>
          <w14:ligatures w14:val="standardContextual"/>
        </w:rPr>
        <w:t xml:space="preserve"> eriti </w:t>
      </w:r>
      <w:r w:rsidRPr="00ED1222">
        <w:rPr>
          <w:kern w:val="2"/>
          <w14:ligatures w14:val="standardContextual"/>
        </w:rPr>
        <w:lastRenderedPageBreak/>
        <w:t>selle artiklit 105,</w:t>
      </w:r>
    </w:p>
    <w:p w14:paraId="77217C50"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kodukorra artiklit 102 ja V lisa,</w:t>
      </w:r>
    </w:p>
    <w:p w14:paraId="5AAB0811"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tööhõive- ja sotsiaalkomisjoni, keskkonna-, kliima- ja toiduohutuse komisjoni, transpordi- ja turismikomisjoni, kalanduskomisjoni, kultuuri- ja hariduskomisjoni, kodanikuvabaduste, justiits- ja siseasjade komisjoni ning naiste õiguste ja soolise võrdõiguslikkuse komisjoni arvamusi,</w:t>
      </w:r>
    </w:p>
    <w:p w14:paraId="6E614984"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eelarvekontrollikomisjoni raportit (A10-0065/2025),</w:t>
      </w:r>
    </w:p>
    <w:p w14:paraId="254E48E3"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w:t>
      </w:r>
      <w:r w:rsidRPr="00ED1222">
        <w:rPr>
          <w:kern w:val="2"/>
          <w14:ligatures w14:val="standardContextual"/>
        </w:rPr>
        <w:tab/>
        <w:t>annab heakskiidu Vabadusel, Turvalisusel ja Õigusel Rajaneva Ala Suuremahuliste IT</w:t>
      </w:r>
      <w:r w:rsidRPr="00ED1222">
        <w:rPr>
          <w:kern w:val="2"/>
          <w14:ligatures w14:val="standardContextual"/>
        </w:rPr>
        <w:noBreakHyphen/>
        <w:t>süsteemide Operatiivjuhtimise Euroopa Liidu Ameti tegevdirektori kohusetäitja tegevusele ameti 2023. aasta eelarve täitmisel;</w:t>
      </w:r>
    </w:p>
    <w:p w14:paraId="474EF0B9"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2.</w:t>
      </w:r>
      <w:r w:rsidRPr="00ED1222">
        <w:rPr>
          <w:kern w:val="2"/>
          <w14:ligatures w14:val="standardContextual"/>
        </w:rPr>
        <w:tab/>
        <w:t>esitab oma tähelepanekud alltoodud resolutsioonis;</w:t>
      </w:r>
    </w:p>
    <w:p w14:paraId="3A75D541"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3.</w:t>
      </w:r>
      <w:r w:rsidRPr="00ED1222">
        <w:rPr>
          <w:kern w:val="2"/>
          <w14:ligatures w14:val="standardContextual"/>
        </w:rPr>
        <w:tab/>
        <w:t>teeb presidendile ülesandeks edastada käesolev otsus ja resolutsioon, mis on selle lahutamatu osa, Vabadusel, Turvalisusel ja Õigusel Rajaneva Ala Suuremahuliste IT</w:t>
      </w:r>
      <w:r w:rsidRPr="00ED1222">
        <w:rPr>
          <w:kern w:val="2"/>
          <w14:ligatures w14:val="standardContextual"/>
        </w:rPr>
        <w:noBreakHyphen/>
        <w:t xml:space="preserve">süsteemide Operatiivjuhtimise Euroopa Liidu Ameti tegevdirektori kohusetäitjale, nõukogule, komisjonile ja kontrollikojale ning korraldada nende avaldamine </w:t>
      </w:r>
      <w:r w:rsidRPr="00ED1222">
        <w:rPr>
          <w:i/>
          <w:kern w:val="2"/>
          <w14:ligatures w14:val="standardContextual"/>
        </w:rPr>
        <w:t>Euroopa Liidu Teatajas</w:t>
      </w:r>
      <w:r w:rsidRPr="00ED1222">
        <w:rPr>
          <w:kern w:val="2"/>
          <w14:ligatures w14:val="standardContextual"/>
        </w:rPr>
        <w:t xml:space="preserve"> (L-seerias).</w:t>
      </w:r>
    </w:p>
    <w:p w14:paraId="5582F59B" w14:textId="77777777" w:rsidR="00ED1222" w:rsidRPr="00ED1222" w:rsidRDefault="00ED1222" w:rsidP="00ED1222">
      <w:pPr>
        <w:widowControl/>
        <w:jc w:val="both"/>
        <w:rPr>
          <w:rFonts w:eastAsia="Aptos"/>
          <w:kern w:val="2"/>
          <w:szCs w:val="24"/>
          <w:lang w:eastAsia="en-US"/>
          <w14:ligatures w14:val="standardContextual"/>
        </w:rPr>
        <w:sectPr w:rsidR="00ED1222" w:rsidRPr="00ED1222" w:rsidSect="00ED1222">
          <w:footnotePr>
            <w:numRestart w:val="eachSect"/>
          </w:footnotePr>
          <w:pgSz w:w="11906" w:h="16838"/>
          <w:pgMar w:top="1440" w:right="1440" w:bottom="1440" w:left="1440" w:header="708" w:footer="708" w:gutter="0"/>
          <w:cols w:space="708"/>
          <w:docGrid w:linePitch="360"/>
        </w:sectPr>
      </w:pPr>
    </w:p>
    <w:p w14:paraId="1C1510BB" w14:textId="77777777" w:rsidR="00ED1222" w:rsidRPr="00ED1222" w:rsidRDefault="00ED1222" w:rsidP="00F7467E">
      <w:pPr>
        <w:pStyle w:val="ATHeading3"/>
      </w:pPr>
      <w:r w:rsidRPr="00ED1222">
        <w:lastRenderedPageBreak/>
        <w:t>52. Euroopa Parlamendi 7. mai 2025. aasta otsus Vabadusel, Turvalisusel ja Õigusel Rajaneva Ala Suuremahuliste IT-süsteemide Operatiivjuhtimise Euroopa Liidu Ameti 2023. aasta raamatupidamiskontode sulgemise kohta (2024/2030(DEC))</w:t>
      </w:r>
    </w:p>
    <w:p w14:paraId="4383329D" w14:textId="77777777" w:rsidR="00F7467E" w:rsidRPr="00ED1222" w:rsidRDefault="00F7467E" w:rsidP="00F7467E">
      <w:pPr>
        <w:spacing w:before="480" w:after="240"/>
        <w:rPr>
          <w:i/>
          <w:kern w:val="2"/>
          <w14:ligatures w14:val="standardContextual"/>
        </w:rPr>
      </w:pPr>
      <w:r w:rsidRPr="00ED1222">
        <w:rPr>
          <w:i/>
          <w:kern w:val="2"/>
          <w14:ligatures w14:val="standardContextual"/>
        </w:rPr>
        <w:t>Euroopa Parlament,</w:t>
      </w:r>
    </w:p>
    <w:p w14:paraId="0E1ECE2A"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Vabadusel, Turvalisusel ja Õigusel Rajaneva Ala Suuremahuliste IT-süsteemide Operatiivjuhtimise Euroopa Liidu Ameti 2023. aasta lõplikku raamatupidamisaruannet,</w:t>
      </w:r>
    </w:p>
    <w:p w14:paraId="4ED7D987"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kontrollikoja aastaaruannet ELi asutuste eelarveaasta 2023 kohta koos asutuste vastustega</w:t>
      </w:r>
      <w:r w:rsidRPr="00ED1222">
        <w:rPr>
          <w:kern w:val="2"/>
          <w:vertAlign w:val="superscript"/>
          <w14:ligatures w14:val="standardContextual"/>
        </w:rPr>
        <w:footnoteReference w:id="309"/>
      </w:r>
      <w:r w:rsidRPr="00ED1222">
        <w:rPr>
          <w:kern w:val="2"/>
          <w14:ligatures w14:val="standardContextual"/>
        </w:rPr>
        <w:t>,</w:t>
      </w:r>
    </w:p>
    <w:p w14:paraId="49C0F9B1"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vastavalt Euroopa Liidu toimimise lepingu artiklile 287 tehtud kontrollikoja kinnitavat avaldust</w:t>
      </w:r>
      <w:r w:rsidRPr="00ED1222">
        <w:rPr>
          <w:kern w:val="2"/>
          <w:vertAlign w:val="superscript"/>
          <w14:ligatures w14:val="standardContextual"/>
        </w:rPr>
        <w:footnoteReference w:id="310"/>
      </w:r>
      <w:r w:rsidRPr="00ED1222">
        <w:rPr>
          <w:kern w:val="2"/>
          <w14:ligatures w14:val="standardContextual"/>
        </w:rPr>
        <w:t xml:space="preserve"> 2023. aasta raamatupidamiskontode usaldatavuse ja nende aluseks olevate tehingute seaduslikkuse ja korrektsuse kohta,</w:t>
      </w:r>
    </w:p>
    <w:p w14:paraId="0B37D97D"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nõukogu 17. veebruari 2025. aasta soovitust ameti tegevusele heakskiidu andmise kohta 2023. aasta eelarve täitmisel (05755/2025 – C10</w:t>
      </w:r>
      <w:r w:rsidRPr="00ED1222">
        <w:rPr>
          <w:kern w:val="2"/>
          <w14:ligatures w14:val="standardContextual"/>
        </w:rPr>
        <w:noBreakHyphen/>
        <w:t>0024/2025),</w:t>
      </w:r>
    </w:p>
    <w:p w14:paraId="789F503F"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toimimise lepingu artiklit 319,</w:t>
      </w:r>
    </w:p>
    <w:p w14:paraId="12D677CD"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18. juuli 2018. aasta määrust (EL, Euratom) 2018/1046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ED1222">
        <w:rPr>
          <w:kern w:val="2"/>
          <w:vertAlign w:val="superscript"/>
          <w14:ligatures w14:val="standardContextual"/>
        </w:rPr>
        <w:footnoteReference w:id="311"/>
      </w:r>
      <w:r w:rsidRPr="00ED1222">
        <w:rPr>
          <w:kern w:val="2"/>
          <w14:ligatures w14:val="standardContextual"/>
        </w:rPr>
        <w:t xml:space="preserve"> eriti selle artiklit 70,</w:t>
      </w:r>
    </w:p>
    <w:p w14:paraId="48BEB123"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23. septembri 2024. aasta määrust (EL, Euratom) 2024/2509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w:t>
      </w:r>
      <w:r w:rsidRPr="00ED1222">
        <w:rPr>
          <w:kern w:val="2"/>
          <w:vertAlign w:val="superscript"/>
          <w14:ligatures w14:val="standardContextual"/>
        </w:rPr>
        <w:footnoteReference w:id="312"/>
      </w:r>
      <w:r w:rsidRPr="00ED1222">
        <w:rPr>
          <w:kern w:val="2"/>
          <w14:ligatures w14:val="standardContextual"/>
        </w:rPr>
        <w:t xml:space="preserve"> eriti selle artiklit 70,</w:t>
      </w:r>
    </w:p>
    <w:p w14:paraId="569E785C"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Parlamendi ja nõukogu 14. novembri 2018. aasta määrust (EL) 2018/1726 (mis käsitleb Vabadusel, Turvalisusel ja Õigusel Rajaneva Ala Suuremahuliste IT-süsteemide Operatiivjuhtimise Euroopa Ametit (</w:t>
      </w:r>
      <w:proofErr w:type="spellStart"/>
      <w:r w:rsidRPr="00ED1222">
        <w:rPr>
          <w:kern w:val="2"/>
          <w14:ligatures w14:val="standardContextual"/>
        </w:rPr>
        <w:t>eu</w:t>
      </w:r>
      <w:proofErr w:type="spellEnd"/>
      <w:r w:rsidRPr="00ED1222">
        <w:rPr>
          <w:kern w:val="2"/>
          <w14:ligatures w14:val="standardContextual"/>
        </w:rPr>
        <w:t>-LISA) ning millega muudetakse määrust (EÜ) nr 1987/2006 ja nõukogu otsust 2007/533/JSK ja tunnistatakse kehtetuks määrus (EL) nr 1077/2011),</w:t>
      </w:r>
      <w:r w:rsidRPr="00ED1222">
        <w:rPr>
          <w:kern w:val="2"/>
          <w:vertAlign w:val="superscript"/>
          <w14:ligatures w14:val="standardContextual"/>
        </w:rPr>
        <w:footnoteReference w:id="313"/>
      </w:r>
      <w:r w:rsidRPr="00ED1222">
        <w:rPr>
          <w:kern w:val="2"/>
          <w14:ligatures w14:val="standardContextual"/>
        </w:rPr>
        <w:t xml:space="preserve"> eriti selle artiklit 47,</w:t>
      </w:r>
    </w:p>
    <w:p w14:paraId="187C49CD"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ED1222">
        <w:rPr>
          <w:kern w:val="2"/>
          <w:vertAlign w:val="superscript"/>
          <w14:ligatures w14:val="standardContextual"/>
        </w:rPr>
        <w:footnoteReference w:id="314"/>
      </w:r>
      <w:r w:rsidRPr="00ED1222">
        <w:rPr>
          <w:kern w:val="2"/>
          <w14:ligatures w14:val="standardContextual"/>
        </w:rPr>
        <w:t xml:space="preserve"> eriti </w:t>
      </w:r>
      <w:r w:rsidRPr="00ED1222">
        <w:rPr>
          <w:kern w:val="2"/>
          <w14:ligatures w14:val="standardContextual"/>
        </w:rPr>
        <w:lastRenderedPageBreak/>
        <w:t>selle artiklit 105,</w:t>
      </w:r>
    </w:p>
    <w:p w14:paraId="7327F1EB"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kodukorra artiklit 102 ja V lisa,</w:t>
      </w:r>
    </w:p>
    <w:p w14:paraId="5E78CA44"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tööhõive- ja sotsiaalkomisjoni, keskkonna-, kliima- ja toiduohutuse komisjoni, transpordi- ja turismikomisjoni, kalanduskomisjoni, kultuuri- ja hariduskomisjoni, kodanikuvabaduste, justiits- ja siseasjade komisjoni ning naiste õiguste ja soolise võrdõiguslikkuse komisjoni arvamusi,</w:t>
      </w:r>
    </w:p>
    <w:p w14:paraId="5AF48352"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eelarvekontrollikomisjoni raportit (A10-0065/2025),</w:t>
      </w:r>
    </w:p>
    <w:p w14:paraId="715EBADA"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w:t>
      </w:r>
      <w:r w:rsidRPr="00ED1222">
        <w:rPr>
          <w:kern w:val="2"/>
          <w14:ligatures w14:val="standardContextual"/>
        </w:rPr>
        <w:tab/>
        <w:t>annab heakskiidu Vabadusel, Turvalisusel ja Õigusel Rajaneva Ala Suuremahuliste IT</w:t>
      </w:r>
      <w:r w:rsidRPr="00ED1222">
        <w:rPr>
          <w:kern w:val="2"/>
          <w14:ligatures w14:val="standardContextual"/>
        </w:rPr>
        <w:noBreakHyphen/>
        <w:t>süsteemide Operatiivjuhtimise Euroopa Liidu Ameti 2023. aasta raamatupidamiskontode sulgemisele;</w:t>
      </w:r>
    </w:p>
    <w:p w14:paraId="5A3323C5"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2.</w:t>
      </w:r>
      <w:r w:rsidRPr="00ED1222">
        <w:rPr>
          <w:kern w:val="2"/>
          <w14:ligatures w14:val="standardContextual"/>
        </w:rPr>
        <w:tab/>
        <w:t>teeb presidendile ülesandeks edastada käesolev otsus Vabadusel, Turvalisusel ja Õigusel Rajaneva Ala Suuremahuliste IT</w:t>
      </w:r>
      <w:r w:rsidRPr="00ED1222">
        <w:rPr>
          <w:kern w:val="2"/>
          <w14:ligatures w14:val="standardContextual"/>
        </w:rPr>
        <w:noBreakHyphen/>
        <w:t xml:space="preserve">süsteemide Operatiivjuhtimise Euroopa Liidu Ameti tegevdirektori kohusetäitjale, nõukogule, komisjonile ja kontrollikojale ning korraldada selle avaldamine </w:t>
      </w:r>
      <w:r w:rsidRPr="00ED1222">
        <w:rPr>
          <w:i/>
          <w:kern w:val="2"/>
          <w14:ligatures w14:val="standardContextual"/>
        </w:rPr>
        <w:t>Euroopa Liidu Teatajas</w:t>
      </w:r>
      <w:r w:rsidRPr="00ED1222">
        <w:rPr>
          <w:kern w:val="2"/>
          <w14:ligatures w14:val="standardContextual"/>
        </w:rPr>
        <w:t xml:space="preserve"> (L-seerias).</w:t>
      </w:r>
    </w:p>
    <w:p w14:paraId="76F03007" w14:textId="77777777" w:rsidR="00ED1222" w:rsidRPr="00ED1222" w:rsidRDefault="00ED1222" w:rsidP="00ED1222">
      <w:pPr>
        <w:widowControl/>
        <w:jc w:val="both"/>
        <w:rPr>
          <w:rFonts w:eastAsia="Aptos"/>
          <w:kern w:val="2"/>
          <w:szCs w:val="24"/>
          <w:lang w:eastAsia="en-US"/>
          <w14:ligatures w14:val="standardContextual"/>
        </w:rPr>
        <w:sectPr w:rsidR="00ED1222" w:rsidRPr="00ED1222" w:rsidSect="00ED1222">
          <w:footnotePr>
            <w:numRestart w:val="eachSect"/>
          </w:footnotePr>
          <w:pgSz w:w="11906" w:h="16838"/>
          <w:pgMar w:top="1440" w:right="1440" w:bottom="1440" w:left="1440" w:header="708" w:footer="708" w:gutter="0"/>
          <w:cols w:space="708"/>
          <w:docGrid w:linePitch="360"/>
        </w:sectPr>
      </w:pPr>
    </w:p>
    <w:p w14:paraId="776F7938" w14:textId="77777777" w:rsidR="00ED1222" w:rsidRPr="00ED1222" w:rsidRDefault="00ED1222" w:rsidP="00F7467E">
      <w:pPr>
        <w:pStyle w:val="ATHeading3"/>
      </w:pPr>
      <w:r w:rsidRPr="00ED1222">
        <w:lastRenderedPageBreak/>
        <w:t>53. Euroopa Parlamendi 7. mai 2025. aasta otsus Euroopa Tööohutuse ja Töötervishoiu Ameti 2023. aasta eelarve täitmisele heakskiidu andmise kohta (2024/2030(DEC))</w:t>
      </w:r>
    </w:p>
    <w:p w14:paraId="57BD4058" w14:textId="77777777" w:rsidR="00F7467E" w:rsidRPr="00ED1222" w:rsidRDefault="00F7467E" w:rsidP="00F7467E">
      <w:pPr>
        <w:spacing w:before="480" w:after="240"/>
        <w:rPr>
          <w:i/>
          <w:kern w:val="2"/>
          <w14:ligatures w14:val="standardContextual"/>
        </w:rPr>
      </w:pPr>
      <w:r w:rsidRPr="00ED1222">
        <w:rPr>
          <w:i/>
          <w:kern w:val="2"/>
          <w14:ligatures w14:val="standardContextual"/>
        </w:rPr>
        <w:t>Euroopa Parlament,</w:t>
      </w:r>
    </w:p>
    <w:p w14:paraId="7A0A110D"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Tööohutuse ja Töötervishoiu Ameti 2023. aasta lõplikku raamatupidamisaruannet,</w:t>
      </w:r>
    </w:p>
    <w:p w14:paraId="6F3D09AB"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kontrollikoja aastaaruannet ELi asutuste eelarveaasta 2023 kohta koos asutuste vastustega</w:t>
      </w:r>
      <w:r w:rsidRPr="00ED1222">
        <w:rPr>
          <w:kern w:val="2"/>
          <w:vertAlign w:val="superscript"/>
          <w14:ligatures w14:val="standardContextual"/>
        </w:rPr>
        <w:footnoteReference w:id="315"/>
      </w:r>
      <w:r w:rsidRPr="00ED1222">
        <w:rPr>
          <w:kern w:val="2"/>
          <w14:ligatures w14:val="standardContextual"/>
        </w:rPr>
        <w:t>,</w:t>
      </w:r>
    </w:p>
    <w:p w14:paraId="13A8DF55"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vastavalt Euroopa Liidu toimimise lepingu artiklile 287 tehtud kontrollikoja kinnitavat avaldust</w:t>
      </w:r>
      <w:r w:rsidRPr="00ED1222">
        <w:rPr>
          <w:kern w:val="2"/>
          <w:vertAlign w:val="superscript"/>
          <w14:ligatures w14:val="standardContextual"/>
        </w:rPr>
        <w:footnoteReference w:id="316"/>
      </w:r>
      <w:r w:rsidRPr="00ED1222">
        <w:rPr>
          <w:kern w:val="2"/>
          <w14:ligatures w14:val="standardContextual"/>
        </w:rPr>
        <w:t xml:space="preserve"> 2023. aasta raamatupidamiskontode usaldatavuse ja nende aluseks olevate tehingute seaduslikkuse ja korrektsuse kohta,</w:t>
      </w:r>
    </w:p>
    <w:p w14:paraId="508C7D3F"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nõukogu 17. veebruari 2025. aasta soovitust ameti tegevusele heakskiidu andmise kohta 2023. aasta eelarve täitmisel (05755/2025 – C10</w:t>
      </w:r>
      <w:r w:rsidRPr="00ED1222">
        <w:rPr>
          <w:kern w:val="2"/>
          <w14:ligatures w14:val="standardContextual"/>
        </w:rPr>
        <w:noBreakHyphen/>
        <w:t>0024/2025),</w:t>
      </w:r>
    </w:p>
    <w:p w14:paraId="38ADAAA9"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toimimise lepingu artiklit 319,</w:t>
      </w:r>
    </w:p>
    <w:p w14:paraId="7978E7E3"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18. juuli 2018. aasta määrust (EL, Euratom) 2018/1046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ED1222">
        <w:rPr>
          <w:kern w:val="2"/>
          <w:vertAlign w:val="superscript"/>
          <w14:ligatures w14:val="standardContextual"/>
        </w:rPr>
        <w:footnoteReference w:id="317"/>
      </w:r>
      <w:r w:rsidRPr="00ED1222">
        <w:rPr>
          <w:kern w:val="2"/>
          <w14:ligatures w14:val="standardContextual"/>
        </w:rPr>
        <w:t xml:space="preserve"> eriti selle artiklit 70,</w:t>
      </w:r>
    </w:p>
    <w:p w14:paraId="2E64EF25"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23. septembri 2024. aasta määrust (EL, Euratom) 2024/2509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w:t>
      </w:r>
      <w:r w:rsidRPr="00ED1222">
        <w:rPr>
          <w:kern w:val="2"/>
          <w:vertAlign w:val="superscript"/>
          <w14:ligatures w14:val="standardContextual"/>
        </w:rPr>
        <w:footnoteReference w:id="318"/>
      </w:r>
      <w:r w:rsidRPr="00ED1222">
        <w:rPr>
          <w:kern w:val="2"/>
          <w14:ligatures w14:val="standardContextual"/>
        </w:rPr>
        <w:t xml:space="preserve"> eriti selle artiklit 70,</w:t>
      </w:r>
    </w:p>
    <w:p w14:paraId="713725B2"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Parlamendi ja nõukogu 16. jaanuari 2019. aasta määrust (EL) 2019/126 (millega asutatakse Euroopa Tööohutuse ja Töötervishoiu Amet (EU-OSHA) ning tunnistatakse kehtetuks nõukogu määrus (EÜ) nr 2062/94),</w:t>
      </w:r>
      <w:r w:rsidRPr="00ED1222">
        <w:rPr>
          <w:kern w:val="2"/>
          <w:vertAlign w:val="superscript"/>
          <w14:ligatures w14:val="standardContextual"/>
        </w:rPr>
        <w:footnoteReference w:id="319"/>
      </w:r>
      <w:r w:rsidRPr="00ED1222">
        <w:rPr>
          <w:kern w:val="2"/>
          <w14:ligatures w14:val="standardContextual"/>
        </w:rPr>
        <w:t xml:space="preserve"> eriti selle artiklit 16,</w:t>
      </w:r>
    </w:p>
    <w:p w14:paraId="6BAE13E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ED1222">
        <w:rPr>
          <w:kern w:val="2"/>
          <w:vertAlign w:val="superscript"/>
          <w14:ligatures w14:val="standardContextual"/>
        </w:rPr>
        <w:footnoteReference w:id="320"/>
      </w:r>
      <w:r w:rsidRPr="00ED1222">
        <w:rPr>
          <w:kern w:val="2"/>
          <w14:ligatures w14:val="standardContextual"/>
        </w:rPr>
        <w:t xml:space="preserve"> eriti selle artiklit 105,</w:t>
      </w:r>
    </w:p>
    <w:p w14:paraId="103E50AC"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kodukorra artiklit 102 ja V lisa,</w:t>
      </w:r>
    </w:p>
    <w:p w14:paraId="41A9A289"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lastRenderedPageBreak/>
        <w:t>–</w:t>
      </w:r>
      <w:r w:rsidRPr="00ED1222">
        <w:rPr>
          <w:kern w:val="2"/>
          <w14:ligatures w14:val="standardContextual"/>
        </w:rPr>
        <w:tab/>
        <w:t>võttes arvesse tööhõive- ja sotsiaalkomisjoni, keskkonna-, kliima- ja toiduohutuse komisjoni, transpordi- ja turismikomisjoni, kalanduskomisjoni, kultuuri- ja hariduskomisjoni, kodanikuvabaduste, justiits- ja siseasjade komisjoni ning naiste õiguste ja soolise võrdõiguslikkuse komisjoni arvamusi,</w:t>
      </w:r>
    </w:p>
    <w:p w14:paraId="23CD499F"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eelarvekontrollikomisjoni raportit (A10-0065/2025),</w:t>
      </w:r>
    </w:p>
    <w:p w14:paraId="158E292A"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w:t>
      </w:r>
      <w:r w:rsidRPr="00ED1222">
        <w:rPr>
          <w:kern w:val="2"/>
          <w14:ligatures w14:val="standardContextual"/>
        </w:rPr>
        <w:tab/>
        <w:t>annab heakskiidu Euroopa Tööohutuse ja Töötervishoiu Ameti tegevdirektori tegevusele ameti 2023. aasta eelarve täitmisel;</w:t>
      </w:r>
    </w:p>
    <w:p w14:paraId="09CDDFEA"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2.</w:t>
      </w:r>
      <w:r w:rsidRPr="00ED1222">
        <w:rPr>
          <w:kern w:val="2"/>
          <w14:ligatures w14:val="standardContextual"/>
        </w:rPr>
        <w:tab/>
        <w:t>esitab oma tähelepanekud alltoodud resolutsioonis;</w:t>
      </w:r>
    </w:p>
    <w:p w14:paraId="3A13DB91"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3.</w:t>
      </w:r>
      <w:r w:rsidRPr="00ED1222">
        <w:rPr>
          <w:kern w:val="2"/>
          <w14:ligatures w14:val="standardContextual"/>
        </w:rPr>
        <w:tab/>
        <w:t xml:space="preserve">teeb presidendile ülesandeks edastada käesolev otsus ja resolutsioon, mis on selle lahutamatu osa, Euroopa Tööohutuse ja Töötervishoiu Ameti tegevdirektorile, nõukogule, komisjonile ja kontrollikojale ning korraldada nende avaldamine </w:t>
      </w:r>
      <w:r w:rsidRPr="00ED1222">
        <w:rPr>
          <w:i/>
          <w:kern w:val="2"/>
          <w14:ligatures w14:val="standardContextual"/>
        </w:rPr>
        <w:t>Euroopa Liidu Teatajas</w:t>
      </w:r>
      <w:r w:rsidRPr="00ED1222">
        <w:rPr>
          <w:kern w:val="2"/>
          <w14:ligatures w14:val="standardContextual"/>
        </w:rPr>
        <w:t xml:space="preserve"> (L-seerias).</w:t>
      </w:r>
    </w:p>
    <w:p w14:paraId="26DB0F10" w14:textId="77777777" w:rsidR="00ED1222" w:rsidRPr="00ED1222" w:rsidRDefault="00ED1222" w:rsidP="00ED1222">
      <w:pPr>
        <w:widowControl/>
        <w:jc w:val="both"/>
        <w:rPr>
          <w:rFonts w:eastAsia="Aptos"/>
          <w:kern w:val="2"/>
          <w:szCs w:val="24"/>
          <w:lang w:eastAsia="en-US"/>
          <w14:ligatures w14:val="standardContextual"/>
        </w:rPr>
        <w:sectPr w:rsidR="00ED1222" w:rsidRPr="00ED1222" w:rsidSect="00ED1222">
          <w:footnotePr>
            <w:numRestart w:val="eachSect"/>
          </w:footnotePr>
          <w:pgSz w:w="11906" w:h="16838"/>
          <w:pgMar w:top="1440" w:right="1440" w:bottom="1440" w:left="1440" w:header="708" w:footer="708" w:gutter="0"/>
          <w:cols w:space="708"/>
          <w:docGrid w:linePitch="360"/>
        </w:sectPr>
      </w:pPr>
    </w:p>
    <w:p w14:paraId="3CDD93EE" w14:textId="479EF3BF" w:rsidR="00ED1222" w:rsidRPr="00ED1222" w:rsidRDefault="00ED1222" w:rsidP="00F7467E">
      <w:pPr>
        <w:pStyle w:val="ATHeading3"/>
      </w:pPr>
      <w:r w:rsidRPr="00ED1222">
        <w:lastRenderedPageBreak/>
        <w:t>54. Euroopa Parlamendi 7. mai 2025. aasta otsus Euroopa Tööohutuse ja Töötervishoiu Ameti 2023. aasta raamatupidamiskontode sulgemise kohta</w:t>
      </w:r>
      <w:r w:rsidR="00A87338">
        <w:t xml:space="preserve"> </w:t>
      </w:r>
      <w:r w:rsidRPr="00ED1222">
        <w:t>(2024/2030(DEC))</w:t>
      </w:r>
    </w:p>
    <w:p w14:paraId="03FBBD80" w14:textId="77777777" w:rsidR="00F7467E" w:rsidRPr="00ED1222" w:rsidRDefault="00F7467E" w:rsidP="00F7467E">
      <w:pPr>
        <w:spacing w:before="480" w:after="240"/>
        <w:rPr>
          <w:i/>
          <w:kern w:val="2"/>
          <w14:ligatures w14:val="standardContextual"/>
        </w:rPr>
      </w:pPr>
      <w:r w:rsidRPr="00ED1222">
        <w:rPr>
          <w:i/>
          <w:kern w:val="2"/>
          <w14:ligatures w14:val="standardContextual"/>
        </w:rPr>
        <w:t>Euroopa Parlament,</w:t>
      </w:r>
    </w:p>
    <w:p w14:paraId="3D9E85D3"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Tööohutuse ja Töötervishoiu Ameti 2023. aasta lõplikku raamatupidamisaruannet,</w:t>
      </w:r>
    </w:p>
    <w:p w14:paraId="0580BDBB"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kontrollikoja aastaaruannet ELi asutuste eelarveaasta 2023 kohta koos asutuste vastustega</w:t>
      </w:r>
      <w:r w:rsidRPr="00ED1222">
        <w:rPr>
          <w:kern w:val="2"/>
          <w:vertAlign w:val="superscript"/>
          <w14:ligatures w14:val="standardContextual"/>
        </w:rPr>
        <w:footnoteReference w:id="321"/>
      </w:r>
      <w:r w:rsidRPr="00ED1222">
        <w:rPr>
          <w:kern w:val="2"/>
          <w14:ligatures w14:val="standardContextual"/>
        </w:rPr>
        <w:t>,</w:t>
      </w:r>
    </w:p>
    <w:p w14:paraId="36FB6CC0"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vastavalt Euroopa Liidu toimimise lepingu artiklile 287 tehtud kontrollikoja kinnitavat avaldust</w:t>
      </w:r>
      <w:r w:rsidRPr="00ED1222">
        <w:rPr>
          <w:kern w:val="2"/>
          <w:vertAlign w:val="superscript"/>
          <w14:ligatures w14:val="standardContextual"/>
        </w:rPr>
        <w:footnoteReference w:id="322"/>
      </w:r>
      <w:r w:rsidRPr="00ED1222">
        <w:rPr>
          <w:kern w:val="2"/>
          <w14:ligatures w14:val="standardContextual"/>
        </w:rPr>
        <w:t xml:space="preserve"> 2023. aasta raamatupidamiskontode usaldatavuse ja nende aluseks olevate tehingute seaduslikkuse ja korrektsuse kohta,</w:t>
      </w:r>
    </w:p>
    <w:p w14:paraId="6687D5F8"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nõukogu 17. veebruari 2025. aasta soovitust ameti tegevusele heakskiidu andmise kohta 2023. aasta eelarve täitmisel (05755/2025 – C10</w:t>
      </w:r>
      <w:r w:rsidRPr="00ED1222">
        <w:rPr>
          <w:kern w:val="2"/>
          <w14:ligatures w14:val="standardContextual"/>
        </w:rPr>
        <w:noBreakHyphen/>
        <w:t>0024/2025),</w:t>
      </w:r>
    </w:p>
    <w:p w14:paraId="04286B3B"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toimimise lepingu artiklit 319,</w:t>
      </w:r>
    </w:p>
    <w:p w14:paraId="1DA66BA3"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18. juuli 2018. aasta määrust (EL, Euratom) 2018/1046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ED1222">
        <w:rPr>
          <w:kern w:val="2"/>
          <w:vertAlign w:val="superscript"/>
          <w14:ligatures w14:val="standardContextual"/>
        </w:rPr>
        <w:footnoteReference w:id="323"/>
      </w:r>
      <w:r w:rsidRPr="00ED1222">
        <w:rPr>
          <w:kern w:val="2"/>
          <w14:ligatures w14:val="standardContextual"/>
        </w:rPr>
        <w:t>, eriti selle artiklit 70,</w:t>
      </w:r>
    </w:p>
    <w:p w14:paraId="147BFE58"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23. septembri 2024. aasta määrust (EL, Euratom) 2024/2509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w:t>
      </w:r>
      <w:r w:rsidRPr="00ED1222">
        <w:rPr>
          <w:kern w:val="2"/>
          <w:vertAlign w:val="superscript"/>
          <w14:ligatures w14:val="standardContextual"/>
        </w:rPr>
        <w:footnoteReference w:id="324"/>
      </w:r>
      <w:r w:rsidRPr="00ED1222">
        <w:rPr>
          <w:kern w:val="2"/>
          <w14:ligatures w14:val="standardContextual"/>
        </w:rPr>
        <w:t>, eriti selle artiklit 70,</w:t>
      </w:r>
    </w:p>
    <w:p w14:paraId="73D93D4C"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Parlamendi ja nõukogu 16. jaanuari 2019. aasta määrust (EL) 2019/126 (millega asutatakse Euroopa Tööohutuse ja Töötervishoiu Amet (EU-OSHA) ning tunnistatakse kehtetuks nõukogu määrus (EÜ) nr 2062/94)</w:t>
      </w:r>
      <w:r w:rsidRPr="00ED1222">
        <w:rPr>
          <w:kern w:val="2"/>
          <w:vertAlign w:val="superscript"/>
          <w14:ligatures w14:val="standardContextual"/>
        </w:rPr>
        <w:footnoteReference w:id="325"/>
      </w:r>
      <w:r w:rsidRPr="00ED1222">
        <w:rPr>
          <w:kern w:val="2"/>
          <w14:ligatures w14:val="standardContextual"/>
        </w:rPr>
        <w:t>, eriti selle artiklit 16,</w:t>
      </w:r>
    </w:p>
    <w:p w14:paraId="701189D0"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ED1222">
        <w:rPr>
          <w:kern w:val="2"/>
          <w:vertAlign w:val="superscript"/>
          <w14:ligatures w14:val="standardContextual"/>
        </w:rPr>
        <w:footnoteReference w:id="326"/>
      </w:r>
      <w:r w:rsidRPr="00ED1222">
        <w:rPr>
          <w:kern w:val="2"/>
          <w14:ligatures w14:val="standardContextual"/>
        </w:rPr>
        <w:t>, eriti selle artiklit 105,</w:t>
      </w:r>
    </w:p>
    <w:p w14:paraId="6BE0DE7B"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kodukorra artiklit 102 ja V lisa,</w:t>
      </w:r>
    </w:p>
    <w:p w14:paraId="2CC40082"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lastRenderedPageBreak/>
        <w:t>–</w:t>
      </w:r>
      <w:r w:rsidRPr="00ED1222">
        <w:rPr>
          <w:kern w:val="2"/>
          <w14:ligatures w14:val="standardContextual"/>
        </w:rPr>
        <w:tab/>
        <w:t>võttes arvesse tööhõive- ja sotsiaalkomisjoni, keskkonna-, kliima- ja toiduohutuse komisjoni, transpordi- ja turismikomisjoni, kalanduskomisjoni, kultuuri- ja hariduskomisjoni, kodanikuvabaduste, justiits- ja siseasjade komisjoni ning naiste õiguste ja soolise võrdõiguslikkuse komisjoni arvamusi,</w:t>
      </w:r>
    </w:p>
    <w:p w14:paraId="76543D63"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eelarvekontrollikomisjoni raportit (A10-0065/2025),</w:t>
      </w:r>
    </w:p>
    <w:p w14:paraId="18C3E7B8"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w:t>
      </w:r>
      <w:r w:rsidRPr="00ED1222">
        <w:rPr>
          <w:kern w:val="2"/>
          <w14:ligatures w14:val="standardContextual"/>
        </w:rPr>
        <w:tab/>
        <w:t>annab heakskiidu Euroopa Tööohutuse ja Töötervishoiu Ameti 2023. aasta raamatupidamiskontode sulgemisele;</w:t>
      </w:r>
    </w:p>
    <w:p w14:paraId="2E9D2EEC"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2.</w:t>
      </w:r>
      <w:r w:rsidRPr="00ED1222">
        <w:rPr>
          <w:kern w:val="2"/>
          <w14:ligatures w14:val="standardContextual"/>
        </w:rPr>
        <w:tab/>
        <w:t xml:space="preserve">teeb presidendile ülesandeks edastada käesolev otsus Euroopa Tööohutuse ja Töötervishoiu Ameti tegevdirektorile, nõukogule, komisjonile ja kontrollikojale ning korraldada selle avaldamine </w:t>
      </w:r>
      <w:r w:rsidRPr="00ED1222">
        <w:rPr>
          <w:i/>
          <w:kern w:val="2"/>
          <w14:ligatures w14:val="standardContextual"/>
        </w:rPr>
        <w:t>Euroopa Liidu Teatajas</w:t>
      </w:r>
      <w:r w:rsidRPr="00ED1222">
        <w:rPr>
          <w:kern w:val="2"/>
          <w14:ligatures w14:val="standardContextual"/>
        </w:rPr>
        <w:t xml:space="preserve"> (L-seerias).</w:t>
      </w:r>
    </w:p>
    <w:p w14:paraId="5F1DEC99" w14:textId="77777777" w:rsidR="00ED1222" w:rsidRPr="00ED1222" w:rsidRDefault="00ED1222" w:rsidP="00ED1222">
      <w:pPr>
        <w:widowControl/>
        <w:jc w:val="both"/>
        <w:rPr>
          <w:rFonts w:eastAsia="Aptos"/>
          <w:kern w:val="2"/>
          <w:szCs w:val="24"/>
          <w:lang w:eastAsia="en-US"/>
          <w14:ligatures w14:val="standardContextual"/>
        </w:rPr>
        <w:sectPr w:rsidR="00ED1222" w:rsidRPr="00ED1222" w:rsidSect="00ED1222">
          <w:footnotePr>
            <w:numRestart w:val="eachSect"/>
          </w:footnotePr>
          <w:pgSz w:w="11906" w:h="16838"/>
          <w:pgMar w:top="1440" w:right="1440" w:bottom="1440" w:left="1440" w:header="708" w:footer="708" w:gutter="0"/>
          <w:cols w:space="708"/>
          <w:docGrid w:linePitch="360"/>
        </w:sectPr>
      </w:pPr>
    </w:p>
    <w:p w14:paraId="1A0A93C2" w14:textId="05194E2F" w:rsidR="00ED1222" w:rsidRPr="00ED1222" w:rsidRDefault="00ED1222" w:rsidP="00F7467E">
      <w:pPr>
        <w:pStyle w:val="ATHeading3"/>
      </w:pPr>
      <w:r w:rsidRPr="00ED1222">
        <w:lastRenderedPageBreak/>
        <w:t>55. Euroopa Parlamendi 7. mai 2025. aasta otsus Euroopa Elu- ja Töötingimuste Parandamise Sihtasutuse 2023. aasta eelarve täitmisele heakskiidu andmise kohta</w:t>
      </w:r>
      <w:r w:rsidR="00A87338">
        <w:t xml:space="preserve"> </w:t>
      </w:r>
      <w:r w:rsidRPr="00ED1222">
        <w:t>(2024/2030(DEC))</w:t>
      </w:r>
    </w:p>
    <w:p w14:paraId="1F20E873" w14:textId="77777777" w:rsidR="00F7467E" w:rsidRPr="00ED1222" w:rsidRDefault="00F7467E" w:rsidP="00F7467E">
      <w:pPr>
        <w:spacing w:before="480" w:after="240"/>
        <w:rPr>
          <w:i/>
          <w:kern w:val="2"/>
          <w14:ligatures w14:val="standardContextual"/>
        </w:rPr>
      </w:pPr>
      <w:r w:rsidRPr="00ED1222">
        <w:rPr>
          <w:i/>
          <w:kern w:val="2"/>
          <w14:ligatures w14:val="standardContextual"/>
        </w:rPr>
        <w:t>Euroopa Parlament,</w:t>
      </w:r>
    </w:p>
    <w:p w14:paraId="1CA6A4D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Elu- ja Töötingimuste Parandamise Sihtasutuse 2023. aasta lõplikku raamatupidamisaruannet,</w:t>
      </w:r>
    </w:p>
    <w:p w14:paraId="400E78EA"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kontrollikoja aastaaruannet ELi asutuste eelarveaasta 2023 kohta koos asutuste vastustega</w:t>
      </w:r>
      <w:r w:rsidRPr="00ED1222">
        <w:rPr>
          <w:kern w:val="2"/>
          <w:vertAlign w:val="superscript"/>
          <w14:ligatures w14:val="standardContextual"/>
        </w:rPr>
        <w:footnoteReference w:id="327"/>
      </w:r>
      <w:r w:rsidRPr="00ED1222">
        <w:rPr>
          <w:kern w:val="2"/>
          <w14:ligatures w14:val="standardContextual"/>
        </w:rPr>
        <w:t>,</w:t>
      </w:r>
    </w:p>
    <w:p w14:paraId="06417451"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vastavalt Euroopa Liidu toimimise lepingu artiklile 287 tehtud kontrollikoja kinnitavat avaldust</w:t>
      </w:r>
      <w:r w:rsidRPr="00ED1222">
        <w:rPr>
          <w:kern w:val="2"/>
          <w:vertAlign w:val="superscript"/>
          <w14:ligatures w14:val="standardContextual"/>
        </w:rPr>
        <w:footnoteReference w:id="328"/>
      </w:r>
      <w:r w:rsidRPr="00ED1222">
        <w:rPr>
          <w:kern w:val="2"/>
          <w14:ligatures w14:val="standardContextual"/>
        </w:rPr>
        <w:t xml:space="preserve"> 2023. aasta raamatupidamiskontode usaldatavuse ja nende aluseks olevate tehingute seaduslikkuse ja korrektsuse kohta,</w:t>
      </w:r>
    </w:p>
    <w:p w14:paraId="1817E999"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nõukogu 17. veebruari 2025. aasta soovitust sihtasutuse tegevusele heakskiidu andmise kohta 2023. aasta eelarve täitmisel (05755/2025 – C10</w:t>
      </w:r>
      <w:r w:rsidRPr="00ED1222">
        <w:rPr>
          <w:kern w:val="2"/>
          <w14:ligatures w14:val="standardContextual"/>
        </w:rPr>
        <w:noBreakHyphen/>
        <w:t>0024/2025),</w:t>
      </w:r>
    </w:p>
    <w:p w14:paraId="68693F7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toimimise lepingu artiklit 319,</w:t>
      </w:r>
    </w:p>
    <w:p w14:paraId="28B48A81"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18. juuli 2018. aasta määrust (EL, Euratom) 2018/1046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ED1222">
        <w:rPr>
          <w:kern w:val="2"/>
          <w:vertAlign w:val="superscript"/>
          <w14:ligatures w14:val="standardContextual"/>
        </w:rPr>
        <w:footnoteReference w:id="329"/>
      </w:r>
      <w:r w:rsidRPr="00ED1222">
        <w:rPr>
          <w:kern w:val="2"/>
          <w14:ligatures w14:val="standardContextual"/>
        </w:rPr>
        <w:t>, eriti selle artiklit 70,</w:t>
      </w:r>
    </w:p>
    <w:p w14:paraId="31323B4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23. septembri 2024. aasta määrust (EL, Euratom) 2024/2509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w:t>
      </w:r>
      <w:r w:rsidRPr="00ED1222">
        <w:rPr>
          <w:kern w:val="2"/>
          <w:vertAlign w:val="superscript"/>
          <w14:ligatures w14:val="standardContextual"/>
        </w:rPr>
        <w:footnoteReference w:id="330"/>
      </w:r>
      <w:r w:rsidRPr="00ED1222">
        <w:rPr>
          <w:kern w:val="2"/>
          <w14:ligatures w14:val="standardContextual"/>
        </w:rPr>
        <w:t>, eriti selle artiklit 70,</w:t>
      </w:r>
    </w:p>
    <w:p w14:paraId="6F18C00C"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Parlamendi ja nõukogu 16. jaanuari 2019. aasta määrust (EL) 2019/127 (millega asutatakse Euroopa Elu- ja Töötingimuste Parandamise Sihtasutus (</w:t>
      </w:r>
      <w:proofErr w:type="spellStart"/>
      <w:r w:rsidRPr="00ED1222">
        <w:rPr>
          <w:kern w:val="2"/>
          <w14:ligatures w14:val="standardContextual"/>
        </w:rPr>
        <w:t>Eurofound</w:t>
      </w:r>
      <w:proofErr w:type="spellEnd"/>
      <w:r w:rsidRPr="00ED1222">
        <w:rPr>
          <w:kern w:val="2"/>
          <w14:ligatures w14:val="standardContextual"/>
        </w:rPr>
        <w:t>) ning tunnistatakse kehtetuks nõukogu määrus (EMÜ) nr 1365/75)</w:t>
      </w:r>
      <w:r w:rsidRPr="00ED1222">
        <w:rPr>
          <w:kern w:val="2"/>
          <w:vertAlign w:val="superscript"/>
          <w14:ligatures w14:val="standardContextual"/>
        </w:rPr>
        <w:footnoteReference w:id="331"/>
      </w:r>
      <w:r w:rsidRPr="00ED1222">
        <w:rPr>
          <w:kern w:val="2"/>
          <w14:ligatures w14:val="standardContextual"/>
        </w:rPr>
        <w:t>, eriti selle artiklit 16,</w:t>
      </w:r>
    </w:p>
    <w:p w14:paraId="238C8179"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ED1222">
        <w:rPr>
          <w:kern w:val="2"/>
          <w:vertAlign w:val="superscript"/>
          <w14:ligatures w14:val="standardContextual"/>
        </w:rPr>
        <w:footnoteReference w:id="332"/>
      </w:r>
      <w:r w:rsidRPr="00ED1222">
        <w:rPr>
          <w:kern w:val="2"/>
          <w14:ligatures w14:val="standardContextual"/>
        </w:rPr>
        <w:t>, eriti selle artiklit 105,</w:t>
      </w:r>
    </w:p>
    <w:p w14:paraId="604FD533"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lastRenderedPageBreak/>
        <w:t>–</w:t>
      </w:r>
      <w:r w:rsidRPr="00ED1222">
        <w:rPr>
          <w:kern w:val="2"/>
          <w14:ligatures w14:val="standardContextual"/>
        </w:rPr>
        <w:tab/>
        <w:t>võttes arvesse kodukorra artiklit 102 ja V lisa,</w:t>
      </w:r>
    </w:p>
    <w:p w14:paraId="71B2E1FC"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tööhõive- ja sotsiaalkomisjoni, keskkonna-, kliima- ja toiduohutuse komisjoni, transpordi- ja turismikomisjoni, kalanduskomisjoni, kultuuri- ja hariduskomisjoni, kodanikuvabaduste, justiits- ja siseasjade komisjoni ning naiste õiguste ja soolise võrdõiguslikkuse komisjoni arvamusi,</w:t>
      </w:r>
    </w:p>
    <w:p w14:paraId="7694864A"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eelarvekontrollikomisjoni raportit (A10-0065/2025),</w:t>
      </w:r>
    </w:p>
    <w:p w14:paraId="3AF0CDED"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w:t>
      </w:r>
      <w:r w:rsidRPr="00ED1222">
        <w:rPr>
          <w:kern w:val="2"/>
          <w14:ligatures w14:val="standardContextual"/>
        </w:rPr>
        <w:tab/>
        <w:t>annab heakskiidu Euroopa Elu- ja Töötingimuste Parandamise Sihtasutuse tegevdirektori tegevusele sihtasutuse 2023. aasta eelarve täitmisel;</w:t>
      </w:r>
    </w:p>
    <w:p w14:paraId="4318DF7B"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2.</w:t>
      </w:r>
      <w:r w:rsidRPr="00ED1222">
        <w:rPr>
          <w:kern w:val="2"/>
          <w14:ligatures w14:val="standardContextual"/>
        </w:rPr>
        <w:tab/>
        <w:t>esitab oma tähelepanekud alltoodud resolutsioonis;</w:t>
      </w:r>
    </w:p>
    <w:p w14:paraId="2C42381E"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3.</w:t>
      </w:r>
      <w:r w:rsidRPr="00ED1222">
        <w:rPr>
          <w:kern w:val="2"/>
          <w14:ligatures w14:val="standardContextual"/>
        </w:rPr>
        <w:tab/>
        <w:t xml:space="preserve">teeb presidendile ülesandeks edastada käesolev otsus ja resolutsioon, mis on selle lahutamatu osa, Euroopa Elu- ja Töötingimuste Parandamise Sihtasutuse tegevdirektorile, nõukogule, komisjonile ja kontrollikojale ning korraldada nende avaldamine </w:t>
      </w:r>
      <w:r w:rsidRPr="00ED1222">
        <w:rPr>
          <w:i/>
          <w:kern w:val="2"/>
          <w14:ligatures w14:val="standardContextual"/>
        </w:rPr>
        <w:t>Euroopa Liidu Teatajas</w:t>
      </w:r>
      <w:r w:rsidRPr="00ED1222">
        <w:rPr>
          <w:kern w:val="2"/>
          <w14:ligatures w14:val="standardContextual"/>
        </w:rPr>
        <w:t xml:space="preserve"> (L-seerias).</w:t>
      </w:r>
    </w:p>
    <w:p w14:paraId="036FA6DA" w14:textId="77777777" w:rsidR="00ED1222" w:rsidRPr="00ED1222" w:rsidRDefault="00ED1222" w:rsidP="00ED1222">
      <w:pPr>
        <w:widowControl/>
        <w:jc w:val="both"/>
        <w:rPr>
          <w:rFonts w:eastAsia="Aptos"/>
          <w:kern w:val="2"/>
          <w:szCs w:val="24"/>
          <w:lang w:eastAsia="en-US"/>
          <w14:ligatures w14:val="standardContextual"/>
        </w:rPr>
        <w:sectPr w:rsidR="00ED1222" w:rsidRPr="00ED1222" w:rsidSect="00ED1222">
          <w:footnotePr>
            <w:numRestart w:val="eachSect"/>
          </w:footnotePr>
          <w:pgSz w:w="11906" w:h="16838"/>
          <w:pgMar w:top="1440" w:right="1440" w:bottom="1440" w:left="1440" w:header="708" w:footer="708" w:gutter="0"/>
          <w:cols w:space="708"/>
          <w:docGrid w:linePitch="360"/>
        </w:sectPr>
      </w:pPr>
    </w:p>
    <w:p w14:paraId="6D60A567" w14:textId="406F1CF9" w:rsidR="00ED1222" w:rsidRPr="00ED1222" w:rsidRDefault="00ED1222" w:rsidP="00F7467E">
      <w:pPr>
        <w:pStyle w:val="ATHeading3"/>
      </w:pPr>
      <w:r w:rsidRPr="00ED1222">
        <w:lastRenderedPageBreak/>
        <w:t>56. Euroopa Parlamendi 7. mai 2025. aasta otsus Euroopa Elu- ja Töötingimuste Parandamise Sihtasutuse 2023. aasta raamatupidamiskontode sulgemise kohta</w:t>
      </w:r>
      <w:r w:rsidR="00A87338">
        <w:t xml:space="preserve"> </w:t>
      </w:r>
      <w:r w:rsidRPr="00ED1222">
        <w:t>(2024/2030(DEC))</w:t>
      </w:r>
    </w:p>
    <w:p w14:paraId="436AD8B9" w14:textId="77777777" w:rsidR="00F7467E" w:rsidRPr="00ED1222" w:rsidRDefault="00F7467E" w:rsidP="00F7467E">
      <w:pPr>
        <w:spacing w:before="480" w:after="240"/>
        <w:rPr>
          <w:i/>
          <w:kern w:val="2"/>
          <w14:ligatures w14:val="standardContextual"/>
        </w:rPr>
      </w:pPr>
      <w:r w:rsidRPr="00ED1222">
        <w:rPr>
          <w:i/>
          <w:kern w:val="2"/>
          <w14:ligatures w14:val="standardContextual"/>
        </w:rPr>
        <w:t>Euroopa Parlament,</w:t>
      </w:r>
    </w:p>
    <w:p w14:paraId="7DDCFC99"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Elu- ja Töötingimuste Parandamise Sihtasutuse 2023. aasta lõplikku raamatupidamisaruannet,</w:t>
      </w:r>
    </w:p>
    <w:p w14:paraId="21D3772A"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kontrollikoja aastaaruannet ELi asutuste eelarveaasta 2023 kohta koos asutuste vastustega</w:t>
      </w:r>
      <w:r w:rsidRPr="00ED1222">
        <w:rPr>
          <w:kern w:val="2"/>
          <w:vertAlign w:val="superscript"/>
          <w14:ligatures w14:val="standardContextual"/>
        </w:rPr>
        <w:footnoteReference w:id="333"/>
      </w:r>
      <w:r w:rsidRPr="00ED1222">
        <w:rPr>
          <w:kern w:val="2"/>
          <w14:ligatures w14:val="standardContextual"/>
        </w:rPr>
        <w:t>,</w:t>
      </w:r>
    </w:p>
    <w:p w14:paraId="488F4A38"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vastavalt Euroopa Liidu toimimise lepingu artiklile 287 tehtud kontrollikoja kinnitavat avaldust</w:t>
      </w:r>
      <w:r w:rsidRPr="00ED1222">
        <w:rPr>
          <w:kern w:val="2"/>
          <w:vertAlign w:val="superscript"/>
          <w14:ligatures w14:val="standardContextual"/>
        </w:rPr>
        <w:footnoteReference w:id="334"/>
      </w:r>
      <w:r w:rsidRPr="00ED1222">
        <w:rPr>
          <w:kern w:val="2"/>
          <w14:ligatures w14:val="standardContextual"/>
        </w:rPr>
        <w:t xml:space="preserve"> 2023. aasta raamatupidamiskontode usaldatavuse ja nende aluseks olevate tehingute seaduslikkuse ja korrektsuse kohta,</w:t>
      </w:r>
    </w:p>
    <w:p w14:paraId="3C1F1685"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nõukogu 17. veebruari 2025. aasta soovitust sihtasutuse tegevusele heakskiidu andmise kohta 2023. aasta eelarve täitmisel (05755/2025 – C10</w:t>
      </w:r>
      <w:r w:rsidRPr="00ED1222">
        <w:rPr>
          <w:kern w:val="2"/>
          <w14:ligatures w14:val="standardContextual"/>
        </w:rPr>
        <w:noBreakHyphen/>
        <w:t>0024/2025),</w:t>
      </w:r>
    </w:p>
    <w:p w14:paraId="0FAFAD6F"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toimimise lepingu artiklit 319,</w:t>
      </w:r>
    </w:p>
    <w:p w14:paraId="619D28E1"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18. juuli 2018. aasta määrust (EL, Euratom) 2018/1046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ED1222">
        <w:rPr>
          <w:kern w:val="2"/>
          <w:vertAlign w:val="superscript"/>
          <w14:ligatures w14:val="standardContextual"/>
        </w:rPr>
        <w:footnoteReference w:id="335"/>
      </w:r>
      <w:r w:rsidRPr="00ED1222">
        <w:rPr>
          <w:kern w:val="2"/>
          <w14:ligatures w14:val="standardContextual"/>
        </w:rPr>
        <w:t>, eriti selle artiklit 70,</w:t>
      </w:r>
    </w:p>
    <w:p w14:paraId="65362A5C"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23. septembri 2024. aasta määrust (EL, Euratom) 2024/2509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w:t>
      </w:r>
      <w:r w:rsidRPr="00ED1222">
        <w:rPr>
          <w:kern w:val="2"/>
          <w:vertAlign w:val="superscript"/>
          <w14:ligatures w14:val="standardContextual"/>
        </w:rPr>
        <w:footnoteReference w:id="336"/>
      </w:r>
      <w:r w:rsidRPr="00ED1222">
        <w:rPr>
          <w:kern w:val="2"/>
          <w14:ligatures w14:val="standardContextual"/>
        </w:rPr>
        <w:t>, eriti selle artiklit 70,</w:t>
      </w:r>
    </w:p>
    <w:p w14:paraId="6A03F777"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Parlamendi ja nõukogu 16. jaanuari 2019. aasta määrust (EL) 2019/127 (millega asutatakse Euroopa Elu- ja Töötingimuste Parandamise Sihtasutus (</w:t>
      </w:r>
      <w:proofErr w:type="spellStart"/>
      <w:r w:rsidRPr="00ED1222">
        <w:rPr>
          <w:kern w:val="2"/>
          <w14:ligatures w14:val="standardContextual"/>
        </w:rPr>
        <w:t>Eurofound</w:t>
      </w:r>
      <w:proofErr w:type="spellEnd"/>
      <w:r w:rsidRPr="00ED1222">
        <w:rPr>
          <w:kern w:val="2"/>
          <w14:ligatures w14:val="standardContextual"/>
        </w:rPr>
        <w:t>) ning tunnistatakse kehtetuks nõukogu määrus (EMÜ) nr 1365/75)</w:t>
      </w:r>
      <w:r w:rsidRPr="00ED1222">
        <w:rPr>
          <w:kern w:val="2"/>
          <w:vertAlign w:val="superscript"/>
          <w14:ligatures w14:val="standardContextual"/>
        </w:rPr>
        <w:footnoteReference w:id="337"/>
      </w:r>
      <w:r w:rsidRPr="00ED1222">
        <w:rPr>
          <w:kern w:val="2"/>
          <w14:ligatures w14:val="standardContextual"/>
        </w:rPr>
        <w:t>, eriti selle artiklit 16,</w:t>
      </w:r>
    </w:p>
    <w:p w14:paraId="35398D9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ED1222">
        <w:rPr>
          <w:kern w:val="2"/>
          <w:vertAlign w:val="superscript"/>
          <w14:ligatures w14:val="standardContextual"/>
        </w:rPr>
        <w:footnoteReference w:id="338"/>
      </w:r>
      <w:r w:rsidRPr="00ED1222">
        <w:rPr>
          <w:kern w:val="2"/>
          <w14:ligatures w14:val="standardContextual"/>
        </w:rPr>
        <w:t>, eriti selle artiklit 105,</w:t>
      </w:r>
    </w:p>
    <w:p w14:paraId="7BF988E8"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lastRenderedPageBreak/>
        <w:t>–</w:t>
      </w:r>
      <w:r w:rsidRPr="00ED1222">
        <w:rPr>
          <w:kern w:val="2"/>
          <w14:ligatures w14:val="standardContextual"/>
        </w:rPr>
        <w:tab/>
        <w:t>võttes arvesse kodukorra artiklit 102 ja V lisa,</w:t>
      </w:r>
    </w:p>
    <w:p w14:paraId="2F062F2F"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tööhõive- ja sotsiaalkomisjoni, keskkonna-, kliima- ja toiduohutuse komisjoni, transpordi- ja turismikomisjoni, kalanduskomisjoni, kultuuri- ja hariduskomisjoni, kodanikuvabaduste, justiits- ja siseasjade komisjoni ning naiste õiguste ja soolise võrdõiguslikkuse komisjoni arvamusi,</w:t>
      </w:r>
    </w:p>
    <w:p w14:paraId="1B4CDE24"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eelarvekontrollikomisjoni raportit (A10-0065/2025),</w:t>
      </w:r>
    </w:p>
    <w:p w14:paraId="6EF2CA2A"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w:t>
      </w:r>
      <w:r w:rsidRPr="00ED1222">
        <w:rPr>
          <w:kern w:val="2"/>
          <w14:ligatures w14:val="standardContextual"/>
        </w:rPr>
        <w:tab/>
        <w:t>annab heakskiidu Euroopa Elu- ja Töötingimuste Parandamise Sihtasutuse 2023. aasta raamatupidamiskontode sulgemisele;</w:t>
      </w:r>
    </w:p>
    <w:p w14:paraId="7342AB3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2.</w:t>
      </w:r>
      <w:r w:rsidRPr="00ED1222">
        <w:rPr>
          <w:kern w:val="2"/>
          <w14:ligatures w14:val="standardContextual"/>
        </w:rPr>
        <w:tab/>
        <w:t xml:space="preserve">teeb presidendile ülesandeks edastada käesolev otsus Euroopa Elu- ja Töötingimuste Parandamise Sihtasutuse tegevdirektorile, nõukogule, komisjonile ja kontrollikojale ning korraldada selle avaldamine </w:t>
      </w:r>
      <w:r w:rsidRPr="00ED1222">
        <w:rPr>
          <w:i/>
          <w:kern w:val="2"/>
          <w14:ligatures w14:val="standardContextual"/>
        </w:rPr>
        <w:t>Euroopa Liidu Teatajas</w:t>
      </w:r>
      <w:r w:rsidRPr="00ED1222">
        <w:rPr>
          <w:kern w:val="2"/>
          <w14:ligatures w14:val="standardContextual"/>
        </w:rPr>
        <w:t xml:space="preserve"> (L-seerias).</w:t>
      </w:r>
    </w:p>
    <w:p w14:paraId="5FAF1D7E" w14:textId="77777777" w:rsidR="00ED1222" w:rsidRPr="00ED1222" w:rsidRDefault="00ED1222" w:rsidP="00ED1222">
      <w:pPr>
        <w:widowControl/>
        <w:jc w:val="both"/>
        <w:rPr>
          <w:rFonts w:eastAsia="Aptos"/>
          <w:kern w:val="2"/>
          <w:szCs w:val="24"/>
          <w:lang w:eastAsia="en-US"/>
          <w14:ligatures w14:val="standardContextual"/>
        </w:rPr>
        <w:sectPr w:rsidR="00ED1222" w:rsidRPr="00ED1222" w:rsidSect="00ED1222">
          <w:footnotePr>
            <w:numRestart w:val="eachSect"/>
          </w:footnotePr>
          <w:pgSz w:w="11906" w:h="16838"/>
          <w:pgMar w:top="1440" w:right="1440" w:bottom="1440" w:left="1440" w:header="708" w:footer="708" w:gutter="0"/>
          <w:cols w:space="708"/>
          <w:docGrid w:linePitch="360"/>
        </w:sectPr>
      </w:pPr>
    </w:p>
    <w:p w14:paraId="5C0B53BF" w14:textId="71AD10D2" w:rsidR="00ED1222" w:rsidRPr="00ED1222" w:rsidRDefault="00ED1222" w:rsidP="00F7467E">
      <w:pPr>
        <w:pStyle w:val="ATHeading3"/>
      </w:pPr>
      <w:r w:rsidRPr="00ED1222">
        <w:lastRenderedPageBreak/>
        <w:t>57. Euroopa Parlamendi 7. mai 2025. aasta otsus Euroopa Liidu Kriminaalõigusalase Koostöö Ameti 2023. aasta eelarve täitmisele heakskiidu andmise kohta</w:t>
      </w:r>
      <w:r w:rsidR="00A87338">
        <w:t xml:space="preserve"> </w:t>
      </w:r>
      <w:r w:rsidRPr="00ED1222">
        <w:t>(2024/2030(DEC))</w:t>
      </w:r>
    </w:p>
    <w:p w14:paraId="36C6C824" w14:textId="77777777" w:rsidR="00F7467E" w:rsidRPr="00ED1222" w:rsidRDefault="00F7467E" w:rsidP="00F7467E">
      <w:pPr>
        <w:spacing w:before="480" w:after="240"/>
        <w:rPr>
          <w:i/>
          <w:kern w:val="2"/>
          <w14:ligatures w14:val="standardContextual"/>
        </w:rPr>
      </w:pPr>
      <w:r w:rsidRPr="00ED1222">
        <w:rPr>
          <w:i/>
          <w:kern w:val="2"/>
          <w14:ligatures w14:val="standardContextual"/>
        </w:rPr>
        <w:t>Euroopa Parlament,</w:t>
      </w:r>
    </w:p>
    <w:p w14:paraId="3207E30F"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Kriminaalõigusalase Koostöö Ameti 2023. aasta lõplikku raamatupidamisaruannet,</w:t>
      </w:r>
    </w:p>
    <w:p w14:paraId="739E839F"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kontrollikoja aastaaruannet ELi asutuste eelarveaasta 2023 kohta koos asutuste vastustega</w:t>
      </w:r>
      <w:r w:rsidRPr="00ED1222">
        <w:rPr>
          <w:kern w:val="2"/>
          <w:vertAlign w:val="superscript"/>
          <w14:ligatures w14:val="standardContextual"/>
        </w:rPr>
        <w:footnoteReference w:id="339"/>
      </w:r>
      <w:r w:rsidRPr="00ED1222">
        <w:rPr>
          <w:kern w:val="2"/>
          <w14:ligatures w14:val="standardContextual"/>
        </w:rPr>
        <w:t>,</w:t>
      </w:r>
    </w:p>
    <w:p w14:paraId="232C6E6A"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vastavalt Euroopa Liidu toimimise lepingu artiklile 287 tehtud kontrollikoja kinnitavat avaldust</w:t>
      </w:r>
      <w:r w:rsidRPr="00ED1222">
        <w:rPr>
          <w:kern w:val="2"/>
          <w:vertAlign w:val="superscript"/>
          <w14:ligatures w14:val="standardContextual"/>
        </w:rPr>
        <w:footnoteReference w:id="340"/>
      </w:r>
      <w:r w:rsidRPr="00ED1222">
        <w:rPr>
          <w:kern w:val="2"/>
          <w14:ligatures w14:val="standardContextual"/>
        </w:rPr>
        <w:t xml:space="preserve"> 2023. aasta raamatupidamiskontode usaldatavuse ja nende aluseks olevate tehingute seaduslikkuse ja korrektsuse kohta,</w:t>
      </w:r>
    </w:p>
    <w:p w14:paraId="7A94918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nõukogu 17. veebruari 2025. aasta soovitust ameti tegevusele heakskiidu andmise kohta 2023. aasta eelarve täitmisel (05755/2025 – C10</w:t>
      </w:r>
      <w:r w:rsidRPr="00ED1222">
        <w:rPr>
          <w:kern w:val="2"/>
          <w14:ligatures w14:val="standardContextual"/>
        </w:rPr>
        <w:noBreakHyphen/>
        <w:t>0024/2025),</w:t>
      </w:r>
    </w:p>
    <w:p w14:paraId="309FCAA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toimimise lepingu artiklit 319,</w:t>
      </w:r>
    </w:p>
    <w:p w14:paraId="7D2E1DA4"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18. juuli 2018. aasta määrust (EL, Euratom) 2018/1046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ED1222">
        <w:rPr>
          <w:kern w:val="2"/>
          <w:vertAlign w:val="superscript"/>
          <w14:ligatures w14:val="standardContextual"/>
        </w:rPr>
        <w:footnoteReference w:id="341"/>
      </w:r>
      <w:r w:rsidRPr="00ED1222">
        <w:rPr>
          <w:kern w:val="2"/>
          <w14:ligatures w14:val="standardContextual"/>
        </w:rPr>
        <w:t>, eriti selle artiklit 70,</w:t>
      </w:r>
    </w:p>
    <w:p w14:paraId="6D34068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23. septembri 2024. aasta määrust (EL, Euratom) 2024/2509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w:t>
      </w:r>
      <w:r w:rsidRPr="00ED1222">
        <w:rPr>
          <w:kern w:val="2"/>
          <w:vertAlign w:val="superscript"/>
          <w14:ligatures w14:val="standardContextual"/>
        </w:rPr>
        <w:footnoteReference w:id="342"/>
      </w:r>
      <w:r w:rsidRPr="00ED1222">
        <w:rPr>
          <w:kern w:val="2"/>
          <w14:ligatures w14:val="standardContextual"/>
        </w:rPr>
        <w:t>, eriti selle artiklit 70,</w:t>
      </w:r>
    </w:p>
    <w:p w14:paraId="7FEB3CE2"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Parlamendi ja nõukogu 14. novembri 2018. aasta määrust (EL) 2018/1727 Euroopa Liidu Kriminaalõigusalase Koostöö Ameti (</w:t>
      </w:r>
      <w:proofErr w:type="spellStart"/>
      <w:r w:rsidRPr="00ED1222">
        <w:rPr>
          <w:kern w:val="2"/>
          <w14:ligatures w14:val="standardContextual"/>
        </w:rPr>
        <w:t>Eurojust</w:t>
      </w:r>
      <w:proofErr w:type="spellEnd"/>
      <w:r w:rsidRPr="00ED1222">
        <w:rPr>
          <w:kern w:val="2"/>
          <w14:ligatures w14:val="standardContextual"/>
        </w:rPr>
        <w:t>) kohta ning millega asendatakse ja tunnistatakse kehtetuks nõukogu otsus 2002/187/JSK</w:t>
      </w:r>
      <w:r w:rsidRPr="00ED1222">
        <w:rPr>
          <w:kern w:val="2"/>
          <w:vertAlign w:val="superscript"/>
          <w14:ligatures w14:val="standardContextual"/>
        </w:rPr>
        <w:footnoteReference w:id="343"/>
      </w:r>
      <w:r w:rsidRPr="00ED1222">
        <w:rPr>
          <w:kern w:val="2"/>
          <w14:ligatures w14:val="standardContextual"/>
        </w:rPr>
        <w:t>, eriti selle artiklit 63,</w:t>
      </w:r>
    </w:p>
    <w:p w14:paraId="7E8BB431"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ED1222">
        <w:rPr>
          <w:kern w:val="2"/>
          <w:vertAlign w:val="superscript"/>
          <w14:ligatures w14:val="standardContextual"/>
        </w:rPr>
        <w:footnoteReference w:id="344"/>
      </w:r>
      <w:r w:rsidRPr="00ED1222">
        <w:rPr>
          <w:kern w:val="2"/>
          <w14:ligatures w14:val="standardContextual"/>
        </w:rPr>
        <w:t>, eriti selle artiklit 105,</w:t>
      </w:r>
    </w:p>
    <w:p w14:paraId="508CB303"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lastRenderedPageBreak/>
        <w:t>–</w:t>
      </w:r>
      <w:r w:rsidRPr="00ED1222">
        <w:rPr>
          <w:kern w:val="2"/>
          <w14:ligatures w14:val="standardContextual"/>
        </w:rPr>
        <w:tab/>
        <w:t>võttes arvesse kodukorra artiklit 102 ja V lisa,</w:t>
      </w:r>
    </w:p>
    <w:p w14:paraId="40BC53A1"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tööhõive- ja sotsiaalkomisjoni, keskkonna-, kliima- ja toiduohutuse komisjoni, transpordi- ja turismikomisjoni, kalanduskomisjoni, kultuuri- ja hariduskomisjoni, kodanikuvabaduste, justiits- ja siseasjade komisjoni ning naiste õiguste ja soolise võrdõiguslikkuse komisjoni arvamusi,</w:t>
      </w:r>
    </w:p>
    <w:p w14:paraId="13E123A7"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eelarvekontrollikomisjoni raportit (A10-0065/2025),</w:t>
      </w:r>
    </w:p>
    <w:p w14:paraId="3F21812E"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w:t>
      </w:r>
      <w:r w:rsidRPr="00ED1222">
        <w:rPr>
          <w:kern w:val="2"/>
          <w14:ligatures w14:val="standardContextual"/>
        </w:rPr>
        <w:tab/>
        <w:t>annab heakskiidu Euroopa Liidu Kriminaalõigusalase Koostöö Ameti haldusdirektori tegevusele ameti 2023. aasta eelarve täitmisel;</w:t>
      </w:r>
    </w:p>
    <w:p w14:paraId="03658E71"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2.</w:t>
      </w:r>
      <w:r w:rsidRPr="00ED1222">
        <w:rPr>
          <w:kern w:val="2"/>
          <w14:ligatures w14:val="standardContextual"/>
        </w:rPr>
        <w:tab/>
        <w:t>esitab oma tähelepanekud alltoodud resolutsioonis;</w:t>
      </w:r>
    </w:p>
    <w:p w14:paraId="6A16388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3.</w:t>
      </w:r>
      <w:r w:rsidRPr="00ED1222">
        <w:rPr>
          <w:kern w:val="2"/>
          <w14:ligatures w14:val="standardContextual"/>
        </w:rPr>
        <w:tab/>
        <w:t xml:space="preserve">teeb presidendile ülesandeks edastada käesolev otsus ja resolutsioon, mis on selle lahutamatu osa, Euroopa Liidu Kriminaalõigusalase Koostöö Ameti haldusdirektorile, nõukogule, komisjonile ja kontrollikojale ning korraldada nende avaldamine </w:t>
      </w:r>
      <w:r w:rsidRPr="00ED1222">
        <w:rPr>
          <w:i/>
          <w:kern w:val="2"/>
          <w14:ligatures w14:val="standardContextual"/>
        </w:rPr>
        <w:t>Euroopa Liidu Teatajas</w:t>
      </w:r>
      <w:r w:rsidRPr="00ED1222">
        <w:rPr>
          <w:kern w:val="2"/>
          <w14:ligatures w14:val="standardContextual"/>
        </w:rPr>
        <w:t xml:space="preserve"> (L-seerias).</w:t>
      </w:r>
    </w:p>
    <w:p w14:paraId="718364B6" w14:textId="77777777" w:rsidR="00ED1222" w:rsidRPr="00ED1222" w:rsidRDefault="00ED1222" w:rsidP="00ED1222">
      <w:pPr>
        <w:widowControl/>
        <w:jc w:val="both"/>
        <w:rPr>
          <w:rFonts w:eastAsia="Aptos"/>
          <w:kern w:val="2"/>
          <w:szCs w:val="24"/>
          <w:lang w:eastAsia="en-US"/>
          <w14:ligatures w14:val="standardContextual"/>
        </w:rPr>
        <w:sectPr w:rsidR="00ED1222" w:rsidRPr="00ED1222" w:rsidSect="00ED1222">
          <w:footnotePr>
            <w:numRestart w:val="eachSect"/>
          </w:footnotePr>
          <w:pgSz w:w="11906" w:h="16838"/>
          <w:pgMar w:top="1440" w:right="1440" w:bottom="1440" w:left="1440" w:header="708" w:footer="708" w:gutter="0"/>
          <w:cols w:space="708"/>
          <w:docGrid w:linePitch="360"/>
        </w:sectPr>
      </w:pPr>
    </w:p>
    <w:p w14:paraId="58BB99DE" w14:textId="097B5605" w:rsidR="00ED1222" w:rsidRPr="00ED1222" w:rsidRDefault="00ED1222" w:rsidP="00F7467E">
      <w:pPr>
        <w:pStyle w:val="ATHeading3"/>
      </w:pPr>
      <w:r w:rsidRPr="00ED1222">
        <w:lastRenderedPageBreak/>
        <w:t>58. Euroopa Parlamendi 7. mai 2025. aasta otsus Euroopa Liidu Kriminaalõigusalase Koostöö Ameti 2023. aasta raamatupidamiskontode sulgemise kohta</w:t>
      </w:r>
      <w:r w:rsidR="00A87338">
        <w:t xml:space="preserve"> </w:t>
      </w:r>
      <w:r w:rsidRPr="00ED1222">
        <w:t>(2024/2030(DEC))</w:t>
      </w:r>
    </w:p>
    <w:p w14:paraId="5EF7DD67" w14:textId="77777777" w:rsidR="00F7467E" w:rsidRPr="00ED1222" w:rsidRDefault="00F7467E" w:rsidP="00F7467E">
      <w:pPr>
        <w:spacing w:before="480" w:after="240"/>
        <w:rPr>
          <w:i/>
          <w:kern w:val="2"/>
          <w14:ligatures w14:val="standardContextual"/>
        </w:rPr>
      </w:pPr>
      <w:r w:rsidRPr="00ED1222">
        <w:rPr>
          <w:i/>
          <w:kern w:val="2"/>
          <w14:ligatures w14:val="standardContextual"/>
        </w:rPr>
        <w:t>Euroopa Parlament,</w:t>
      </w:r>
    </w:p>
    <w:p w14:paraId="2999A5C9"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Kriminaalõigusalase Koostöö Ameti 2023. aasta lõplikku raamatupidamisaruannet,</w:t>
      </w:r>
    </w:p>
    <w:p w14:paraId="0679D7E1"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kontrollikoja aastaaruannet ELi asutuste eelarveaasta 2023 kohta koos asutuste vastustega</w:t>
      </w:r>
      <w:r w:rsidRPr="00ED1222">
        <w:rPr>
          <w:kern w:val="2"/>
          <w:vertAlign w:val="superscript"/>
          <w14:ligatures w14:val="standardContextual"/>
        </w:rPr>
        <w:footnoteReference w:id="345"/>
      </w:r>
      <w:r w:rsidRPr="00ED1222">
        <w:rPr>
          <w:kern w:val="2"/>
          <w14:ligatures w14:val="standardContextual"/>
        </w:rPr>
        <w:t>,</w:t>
      </w:r>
    </w:p>
    <w:p w14:paraId="0B5B8DA3"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vastavalt Euroopa Liidu toimimise lepingu artiklile 287 tehtud kontrollikoja kinnitavat avaldust</w:t>
      </w:r>
      <w:r w:rsidRPr="00ED1222">
        <w:rPr>
          <w:kern w:val="2"/>
          <w:vertAlign w:val="superscript"/>
          <w14:ligatures w14:val="standardContextual"/>
        </w:rPr>
        <w:footnoteReference w:id="346"/>
      </w:r>
      <w:r w:rsidRPr="00ED1222">
        <w:rPr>
          <w:kern w:val="2"/>
          <w14:ligatures w14:val="standardContextual"/>
        </w:rPr>
        <w:t xml:space="preserve"> 2023. aasta raamatupidamiskontode usaldatavuse ja nende aluseks olevate tehingute seaduslikkuse ja korrektsuse kohta,</w:t>
      </w:r>
    </w:p>
    <w:p w14:paraId="525550D9"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nõukogu 17. veebruari 2025. aasta soovitust ameti tegevusele heakskiidu andmise kohta 2023. aasta eelarve täitmisel (05755/2025 – C10</w:t>
      </w:r>
      <w:r w:rsidRPr="00ED1222">
        <w:rPr>
          <w:kern w:val="2"/>
          <w14:ligatures w14:val="standardContextual"/>
        </w:rPr>
        <w:noBreakHyphen/>
        <w:t>0024/2025),</w:t>
      </w:r>
    </w:p>
    <w:p w14:paraId="2E0B7C3C"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toimimise lepingu artiklit 319,</w:t>
      </w:r>
    </w:p>
    <w:p w14:paraId="09A9D6C0"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18. juuli 2018. aasta määrust (EL, Euratom) 2018/1046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ED1222">
        <w:rPr>
          <w:kern w:val="2"/>
          <w:vertAlign w:val="superscript"/>
          <w14:ligatures w14:val="standardContextual"/>
        </w:rPr>
        <w:footnoteReference w:id="347"/>
      </w:r>
      <w:r w:rsidRPr="00ED1222">
        <w:rPr>
          <w:kern w:val="2"/>
          <w14:ligatures w14:val="standardContextual"/>
        </w:rPr>
        <w:t>, eriti selle artiklit 70,</w:t>
      </w:r>
    </w:p>
    <w:p w14:paraId="53A04C21"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23. septembri 2024. aasta määrust (EL, Euratom) 2024/2509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w:t>
      </w:r>
      <w:r w:rsidRPr="00ED1222">
        <w:rPr>
          <w:kern w:val="2"/>
          <w:vertAlign w:val="superscript"/>
          <w14:ligatures w14:val="standardContextual"/>
        </w:rPr>
        <w:footnoteReference w:id="348"/>
      </w:r>
      <w:r w:rsidRPr="00ED1222">
        <w:rPr>
          <w:kern w:val="2"/>
          <w14:ligatures w14:val="standardContextual"/>
        </w:rPr>
        <w:t>, eriti selle artiklit 70,</w:t>
      </w:r>
    </w:p>
    <w:p w14:paraId="479579A9"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Parlamendi ja nõukogu 14. novembri 2018. aasta määrust (EL) 2018/1727 Euroopa Liidu Kriminaalõigusalase Koostöö Ameti (</w:t>
      </w:r>
      <w:proofErr w:type="spellStart"/>
      <w:r w:rsidRPr="00ED1222">
        <w:rPr>
          <w:kern w:val="2"/>
          <w14:ligatures w14:val="standardContextual"/>
        </w:rPr>
        <w:t>Eurojust</w:t>
      </w:r>
      <w:proofErr w:type="spellEnd"/>
      <w:r w:rsidRPr="00ED1222">
        <w:rPr>
          <w:kern w:val="2"/>
          <w14:ligatures w14:val="standardContextual"/>
        </w:rPr>
        <w:t>) kohta ning millega asendatakse ja tunnistatakse kehtetuks nõukogu otsus 2002/187/JSK</w:t>
      </w:r>
      <w:r w:rsidRPr="00ED1222">
        <w:rPr>
          <w:kern w:val="2"/>
          <w:vertAlign w:val="superscript"/>
          <w14:ligatures w14:val="standardContextual"/>
        </w:rPr>
        <w:footnoteReference w:id="349"/>
      </w:r>
      <w:r w:rsidRPr="00ED1222">
        <w:rPr>
          <w:kern w:val="2"/>
          <w14:ligatures w14:val="standardContextual"/>
        </w:rPr>
        <w:t>, eriti selle artiklit 63,</w:t>
      </w:r>
    </w:p>
    <w:p w14:paraId="4C6922E8"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ED1222">
        <w:rPr>
          <w:kern w:val="2"/>
          <w:vertAlign w:val="superscript"/>
          <w14:ligatures w14:val="standardContextual"/>
        </w:rPr>
        <w:footnoteReference w:id="350"/>
      </w:r>
      <w:r w:rsidRPr="00ED1222">
        <w:rPr>
          <w:kern w:val="2"/>
          <w14:ligatures w14:val="standardContextual"/>
        </w:rPr>
        <w:t>, eriti selle artiklit 105,</w:t>
      </w:r>
    </w:p>
    <w:p w14:paraId="786D084D"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kodukorra artiklit 102 ja V lisa,</w:t>
      </w:r>
    </w:p>
    <w:p w14:paraId="09E47301"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lastRenderedPageBreak/>
        <w:t>–</w:t>
      </w:r>
      <w:r w:rsidRPr="00ED1222">
        <w:rPr>
          <w:kern w:val="2"/>
          <w14:ligatures w14:val="standardContextual"/>
        </w:rPr>
        <w:tab/>
        <w:t>võttes arvesse tööhõive- ja sotsiaalkomisjoni, keskkonna-, kliima- ja toiduohutuse komisjoni, transpordi- ja turismikomisjoni, kalanduskomisjoni, kultuuri- ja hariduskomisjoni, kodanikuvabaduste, justiits- ja siseasjade komisjoni ning naiste õiguste ja soolise võrdõiguslikkuse komisjoni arvamusi,</w:t>
      </w:r>
    </w:p>
    <w:p w14:paraId="1C1C98C0"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eelarvekontrollikomisjoni raportit (A10-0065/2025),</w:t>
      </w:r>
    </w:p>
    <w:p w14:paraId="101CB7BF"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w:t>
      </w:r>
      <w:r w:rsidRPr="00ED1222">
        <w:rPr>
          <w:kern w:val="2"/>
          <w14:ligatures w14:val="standardContextual"/>
        </w:rPr>
        <w:tab/>
        <w:t>annab heakskiidu Euroopa Liidu Kriminaalõigusalase Koostöö Ameti 2023. aasta raamatupidamiskontode sulgemisele;</w:t>
      </w:r>
    </w:p>
    <w:p w14:paraId="38C1E47E"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2.</w:t>
      </w:r>
      <w:r w:rsidRPr="00ED1222">
        <w:rPr>
          <w:kern w:val="2"/>
          <w14:ligatures w14:val="standardContextual"/>
        </w:rPr>
        <w:tab/>
        <w:t xml:space="preserve">teeb presidendile ülesandeks edastada käesolev otsus Euroopa Liidu Kriminaalõigusalase Koostöö Ameti haldusdirektorile, nõukogule, komisjonile ja kontrollikojale ning korraldada selle avaldamine </w:t>
      </w:r>
      <w:r w:rsidRPr="00ED1222">
        <w:rPr>
          <w:i/>
          <w:kern w:val="2"/>
          <w14:ligatures w14:val="standardContextual"/>
        </w:rPr>
        <w:t>Euroopa Liidu Teatajas</w:t>
      </w:r>
      <w:r w:rsidRPr="00ED1222">
        <w:rPr>
          <w:kern w:val="2"/>
          <w14:ligatures w14:val="standardContextual"/>
        </w:rPr>
        <w:t xml:space="preserve"> (L-seerias).</w:t>
      </w:r>
    </w:p>
    <w:p w14:paraId="016781E8" w14:textId="77777777" w:rsidR="00ED1222" w:rsidRPr="00ED1222" w:rsidRDefault="00ED1222" w:rsidP="00ED1222">
      <w:pPr>
        <w:widowControl/>
        <w:jc w:val="both"/>
        <w:rPr>
          <w:rFonts w:eastAsia="Aptos"/>
          <w:kern w:val="2"/>
          <w:szCs w:val="24"/>
          <w:lang w:eastAsia="en-US"/>
          <w14:ligatures w14:val="standardContextual"/>
        </w:rPr>
        <w:sectPr w:rsidR="00ED1222" w:rsidRPr="00ED1222" w:rsidSect="00ED1222">
          <w:footnotePr>
            <w:numRestart w:val="eachSect"/>
          </w:footnotePr>
          <w:pgSz w:w="11906" w:h="16838"/>
          <w:pgMar w:top="1440" w:right="1440" w:bottom="1440" w:left="1440" w:header="708" w:footer="708" w:gutter="0"/>
          <w:cols w:space="708"/>
          <w:docGrid w:linePitch="360"/>
        </w:sectPr>
      </w:pPr>
    </w:p>
    <w:p w14:paraId="7AEF435F" w14:textId="176D06EA" w:rsidR="00ED1222" w:rsidRPr="00ED1222" w:rsidRDefault="00ED1222" w:rsidP="00F7467E">
      <w:pPr>
        <w:pStyle w:val="ATHeading3"/>
      </w:pPr>
      <w:r w:rsidRPr="00ED1222">
        <w:lastRenderedPageBreak/>
        <w:t>59. Euroopa Parlamendi 7. mai 2025. aasta otsus Euroopa Liidu Õiguskaitsekoostöö Ameti 2023. aasta eelarve täitmisele heakskiidu andmise kohta</w:t>
      </w:r>
      <w:r w:rsidR="00A87338">
        <w:t xml:space="preserve"> </w:t>
      </w:r>
      <w:r w:rsidRPr="00ED1222">
        <w:t>(2024/2030(DEC))</w:t>
      </w:r>
    </w:p>
    <w:p w14:paraId="2E4D6B81" w14:textId="77777777" w:rsidR="00F7467E" w:rsidRPr="00ED1222" w:rsidRDefault="00F7467E" w:rsidP="00F7467E">
      <w:pPr>
        <w:spacing w:before="480" w:after="240"/>
        <w:rPr>
          <w:i/>
          <w:kern w:val="2"/>
          <w14:ligatures w14:val="standardContextual"/>
        </w:rPr>
      </w:pPr>
      <w:r w:rsidRPr="00ED1222">
        <w:rPr>
          <w:i/>
          <w:kern w:val="2"/>
          <w14:ligatures w14:val="standardContextual"/>
        </w:rPr>
        <w:t>Euroopa Parlament,</w:t>
      </w:r>
    </w:p>
    <w:p w14:paraId="243F681A"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Õiguskaitsekoostöö Ameti 2023. aasta lõplikku raamatupidamisaruannet,</w:t>
      </w:r>
    </w:p>
    <w:p w14:paraId="2F89706F"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kontrollikoja aastaaruannet ELi asutuste eelarveaasta 2023 kohta koos asutuste vastustega</w:t>
      </w:r>
      <w:r w:rsidRPr="00ED1222">
        <w:rPr>
          <w:kern w:val="2"/>
          <w:vertAlign w:val="superscript"/>
          <w14:ligatures w14:val="standardContextual"/>
        </w:rPr>
        <w:footnoteReference w:id="351"/>
      </w:r>
      <w:r w:rsidRPr="00ED1222">
        <w:rPr>
          <w:kern w:val="2"/>
          <w14:ligatures w14:val="standardContextual"/>
        </w:rPr>
        <w:t>,</w:t>
      </w:r>
    </w:p>
    <w:p w14:paraId="46AB14A3"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vastavalt Euroopa Liidu toimimise lepingu artiklile 287 tehtud kontrollikoja kinnitavat avaldust</w:t>
      </w:r>
      <w:r w:rsidRPr="00ED1222">
        <w:rPr>
          <w:kern w:val="2"/>
          <w:vertAlign w:val="superscript"/>
          <w14:ligatures w14:val="standardContextual"/>
        </w:rPr>
        <w:footnoteReference w:id="352"/>
      </w:r>
      <w:r w:rsidRPr="00ED1222">
        <w:rPr>
          <w:kern w:val="2"/>
          <w14:ligatures w14:val="standardContextual"/>
        </w:rPr>
        <w:t xml:space="preserve"> 2023. aasta raamatupidamiskontode usaldatavuse ja nende aluseks olevate tehingute seaduslikkuse ja korrektsuse kohta,</w:t>
      </w:r>
    </w:p>
    <w:p w14:paraId="2C43818A"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nõukogu 17. veebruari 2025. aasta soovitust ameti tegevusele heakskiidu andmise kohta 2023. aasta eelarve täitmisel (05755/2025 – C10</w:t>
      </w:r>
      <w:r w:rsidRPr="00ED1222">
        <w:rPr>
          <w:kern w:val="2"/>
          <w14:ligatures w14:val="standardContextual"/>
        </w:rPr>
        <w:noBreakHyphen/>
        <w:t>0024/2025),</w:t>
      </w:r>
    </w:p>
    <w:p w14:paraId="34CD5A2F"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toimimise lepingu artiklit 319,</w:t>
      </w:r>
    </w:p>
    <w:p w14:paraId="450988C0"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18. juuli 2018. aasta määrust (EL, Euratom) 2018/1046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ED1222">
        <w:rPr>
          <w:kern w:val="2"/>
          <w:vertAlign w:val="superscript"/>
          <w14:ligatures w14:val="standardContextual"/>
        </w:rPr>
        <w:footnoteReference w:id="353"/>
      </w:r>
      <w:r w:rsidRPr="00ED1222">
        <w:rPr>
          <w:kern w:val="2"/>
          <w14:ligatures w14:val="standardContextual"/>
        </w:rPr>
        <w:t>, eriti selle artiklit 70,</w:t>
      </w:r>
    </w:p>
    <w:p w14:paraId="19D01920"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23. septembri 2024. aasta määrust (EL, Euratom) 2024/2509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w:t>
      </w:r>
      <w:r w:rsidRPr="00ED1222">
        <w:rPr>
          <w:kern w:val="2"/>
          <w:vertAlign w:val="superscript"/>
          <w14:ligatures w14:val="standardContextual"/>
        </w:rPr>
        <w:footnoteReference w:id="354"/>
      </w:r>
      <w:r w:rsidRPr="00ED1222">
        <w:rPr>
          <w:kern w:val="2"/>
          <w14:ligatures w14:val="standardContextual"/>
        </w:rPr>
        <w:t>, eriti selle artiklit 70,</w:t>
      </w:r>
    </w:p>
    <w:p w14:paraId="5F609F43"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Parlamendi ja nõukogu 11. mai 2016. aasta määrust (EL) 2016/794 (mis käsitleb Euroopa Liidu Õiguskaitsekoostöö Ametit (Europol) ning millega asendatakse ja tunnistatakse kehtetuks nõukogu otsused 2009/371/JSK, 2009/934/JSK, 2009/935/JSK, 2009/936/JSK ja 2009/968/JSK)</w:t>
      </w:r>
      <w:r w:rsidRPr="00ED1222">
        <w:rPr>
          <w:kern w:val="2"/>
          <w:vertAlign w:val="superscript"/>
          <w14:ligatures w14:val="standardContextual"/>
        </w:rPr>
        <w:footnoteReference w:id="355"/>
      </w:r>
      <w:r w:rsidRPr="00ED1222">
        <w:rPr>
          <w:kern w:val="2"/>
          <w14:ligatures w14:val="standardContextual"/>
        </w:rPr>
        <w:t>, eriti selle artiklit 60,</w:t>
      </w:r>
    </w:p>
    <w:p w14:paraId="18CAC7DA"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ED1222">
        <w:rPr>
          <w:kern w:val="2"/>
          <w:vertAlign w:val="superscript"/>
          <w14:ligatures w14:val="standardContextual"/>
        </w:rPr>
        <w:footnoteReference w:id="356"/>
      </w:r>
      <w:r w:rsidRPr="00ED1222">
        <w:rPr>
          <w:kern w:val="2"/>
          <w14:ligatures w14:val="standardContextual"/>
        </w:rPr>
        <w:t>, eriti selle artiklit 105,</w:t>
      </w:r>
    </w:p>
    <w:p w14:paraId="3661A8FF"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lastRenderedPageBreak/>
        <w:t>–</w:t>
      </w:r>
      <w:r w:rsidRPr="00ED1222">
        <w:rPr>
          <w:kern w:val="2"/>
          <w14:ligatures w14:val="standardContextual"/>
        </w:rPr>
        <w:tab/>
        <w:t>võttes arvesse kodukorra artiklit 102 ja V lisa,</w:t>
      </w:r>
    </w:p>
    <w:p w14:paraId="5B9D1E52"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tööhõive- ja sotsiaalkomisjoni, keskkonna-, kliima- ja toiduohutuse komisjoni, transpordi- ja turismikomisjoni, kalanduskomisjoni, kultuuri- ja hariduskomisjoni, kodanikuvabaduste, justiits- ja siseasjade komisjoni ning naiste õiguste ja soolise võrdõiguslikkuse komisjoni arvamusi,</w:t>
      </w:r>
    </w:p>
    <w:p w14:paraId="35A107E8"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eelarvekontrollikomisjoni raportit (A10-0065/2025),</w:t>
      </w:r>
    </w:p>
    <w:p w14:paraId="7DB91A22"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w:t>
      </w:r>
      <w:r w:rsidRPr="00ED1222">
        <w:rPr>
          <w:kern w:val="2"/>
          <w14:ligatures w14:val="standardContextual"/>
        </w:rPr>
        <w:tab/>
        <w:t>annab heakskiidu Euroopa Liidu Õiguskaitsekoostöö Ameti tegevdirektori tegevusele ameti 2023. aasta eelarve täitmisel;</w:t>
      </w:r>
    </w:p>
    <w:p w14:paraId="412C75CD"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2.</w:t>
      </w:r>
      <w:r w:rsidRPr="00ED1222">
        <w:rPr>
          <w:kern w:val="2"/>
          <w14:ligatures w14:val="standardContextual"/>
        </w:rPr>
        <w:tab/>
        <w:t>esitab oma tähelepanekud alltoodud resolutsioonis;</w:t>
      </w:r>
    </w:p>
    <w:p w14:paraId="61AFFF3B"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3.</w:t>
      </w:r>
      <w:r w:rsidRPr="00ED1222">
        <w:rPr>
          <w:kern w:val="2"/>
          <w14:ligatures w14:val="standardContextual"/>
        </w:rPr>
        <w:tab/>
        <w:t xml:space="preserve">teeb presidendile ülesandeks edastada käesolev otsus ja resolutsioon, mis on selle lahutamatu osa, Euroopa Liidu Õiguskaitsekoostöö Ameti tegevdirektorile, nõukogule, komisjonile ja kontrollikojale ning korraldada nende avaldamine </w:t>
      </w:r>
      <w:r w:rsidRPr="00ED1222">
        <w:rPr>
          <w:i/>
          <w:kern w:val="2"/>
          <w14:ligatures w14:val="standardContextual"/>
        </w:rPr>
        <w:t>Euroopa Liidu Teatajas</w:t>
      </w:r>
      <w:r w:rsidRPr="00ED1222">
        <w:rPr>
          <w:kern w:val="2"/>
          <w14:ligatures w14:val="standardContextual"/>
        </w:rPr>
        <w:t xml:space="preserve"> (L-seerias).</w:t>
      </w:r>
    </w:p>
    <w:p w14:paraId="37DF5865" w14:textId="77777777" w:rsidR="00ED1222" w:rsidRPr="00ED1222" w:rsidRDefault="00ED1222" w:rsidP="00ED1222">
      <w:pPr>
        <w:widowControl/>
        <w:jc w:val="both"/>
        <w:rPr>
          <w:rFonts w:eastAsia="Aptos"/>
          <w:kern w:val="2"/>
          <w:szCs w:val="24"/>
          <w:lang w:eastAsia="en-US"/>
          <w14:ligatures w14:val="standardContextual"/>
        </w:rPr>
        <w:sectPr w:rsidR="00ED1222" w:rsidRPr="00ED1222" w:rsidSect="00ED1222">
          <w:footnotePr>
            <w:numRestart w:val="eachSect"/>
          </w:footnotePr>
          <w:pgSz w:w="11906" w:h="16838"/>
          <w:pgMar w:top="1440" w:right="1440" w:bottom="1440" w:left="1440" w:header="708" w:footer="708" w:gutter="0"/>
          <w:cols w:space="708"/>
          <w:docGrid w:linePitch="360"/>
        </w:sectPr>
      </w:pPr>
    </w:p>
    <w:p w14:paraId="0E4EEBFE" w14:textId="6F48A8D4" w:rsidR="00ED1222" w:rsidRPr="00ED1222" w:rsidRDefault="00ED1222" w:rsidP="00F7467E">
      <w:pPr>
        <w:pStyle w:val="ATHeading3"/>
      </w:pPr>
      <w:r w:rsidRPr="00ED1222">
        <w:lastRenderedPageBreak/>
        <w:t>60. Euroopa Parlamendi 7. mai 2025. aasta otsus Euroopa Liidu Õiguskaitsekoostöö Ameti 2023. aasta raamatupidamiskontode sulgemise kohta</w:t>
      </w:r>
      <w:r w:rsidR="00A87338">
        <w:t xml:space="preserve"> </w:t>
      </w:r>
      <w:r w:rsidRPr="00ED1222">
        <w:t>(2024/2030(DEC))</w:t>
      </w:r>
    </w:p>
    <w:p w14:paraId="243CDB68" w14:textId="77777777" w:rsidR="00F7467E" w:rsidRPr="00ED1222" w:rsidRDefault="00F7467E" w:rsidP="00F7467E">
      <w:pPr>
        <w:spacing w:before="480" w:after="240"/>
        <w:rPr>
          <w:i/>
          <w:kern w:val="2"/>
          <w14:ligatures w14:val="standardContextual"/>
        </w:rPr>
      </w:pPr>
      <w:r w:rsidRPr="00ED1222">
        <w:rPr>
          <w:i/>
          <w:kern w:val="2"/>
          <w14:ligatures w14:val="standardContextual"/>
        </w:rPr>
        <w:t>Euroopa Parlament,</w:t>
      </w:r>
    </w:p>
    <w:p w14:paraId="5A77CC1E"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Õiguskaitsekoostöö Ameti 2023. aasta lõplikku raamatupidamisaruannet,</w:t>
      </w:r>
    </w:p>
    <w:p w14:paraId="40DE8B24"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kontrollikoja aastaaruannet ELi asutuste eelarveaasta 2023 kohta koos asutuste vastustega</w:t>
      </w:r>
      <w:r w:rsidRPr="00ED1222">
        <w:rPr>
          <w:kern w:val="2"/>
          <w:vertAlign w:val="superscript"/>
          <w14:ligatures w14:val="standardContextual"/>
        </w:rPr>
        <w:footnoteReference w:id="357"/>
      </w:r>
      <w:r w:rsidRPr="00ED1222">
        <w:rPr>
          <w:kern w:val="2"/>
          <w14:ligatures w14:val="standardContextual"/>
        </w:rPr>
        <w:t>,</w:t>
      </w:r>
    </w:p>
    <w:p w14:paraId="348CC1AA"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vastavalt Euroopa Liidu toimimise lepingu artiklile 287 tehtud kontrollikoja kinnitavat avaldust</w:t>
      </w:r>
      <w:r w:rsidRPr="00ED1222">
        <w:rPr>
          <w:kern w:val="2"/>
          <w:vertAlign w:val="superscript"/>
          <w14:ligatures w14:val="standardContextual"/>
        </w:rPr>
        <w:footnoteReference w:id="358"/>
      </w:r>
      <w:r w:rsidRPr="00ED1222">
        <w:rPr>
          <w:kern w:val="2"/>
          <w14:ligatures w14:val="standardContextual"/>
        </w:rPr>
        <w:t xml:space="preserve"> 2023. aasta raamatupidamiskontode usaldatavuse ja nende aluseks olevate tehingute seaduslikkuse ja korrektsuse kohta,</w:t>
      </w:r>
    </w:p>
    <w:p w14:paraId="16EE6B94"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nõukogu 17. veebruari 2025. aasta soovitust ameti tegevusele heakskiidu andmise kohta 2023. aasta eelarve täitmisel (05755/2025 – C10</w:t>
      </w:r>
      <w:r w:rsidRPr="00ED1222">
        <w:rPr>
          <w:kern w:val="2"/>
          <w14:ligatures w14:val="standardContextual"/>
        </w:rPr>
        <w:noBreakHyphen/>
        <w:t>0024/2025),</w:t>
      </w:r>
    </w:p>
    <w:p w14:paraId="53A1D7EB"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toimimise lepingu artiklit 319,</w:t>
      </w:r>
    </w:p>
    <w:p w14:paraId="02E53355"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18. juuli 2018. aasta määrust (EL, Euratom) 2018/1046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ED1222">
        <w:rPr>
          <w:kern w:val="2"/>
          <w:vertAlign w:val="superscript"/>
          <w14:ligatures w14:val="standardContextual"/>
        </w:rPr>
        <w:footnoteReference w:id="359"/>
      </w:r>
      <w:r w:rsidRPr="00ED1222">
        <w:rPr>
          <w:kern w:val="2"/>
          <w14:ligatures w14:val="standardContextual"/>
        </w:rPr>
        <w:t>, eriti selle artiklit 70,</w:t>
      </w:r>
    </w:p>
    <w:p w14:paraId="2DEEF901"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23. septembri 2024. aasta määrust (EL, Euratom) 2024/2509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w:t>
      </w:r>
      <w:r w:rsidRPr="00ED1222">
        <w:rPr>
          <w:kern w:val="2"/>
          <w:vertAlign w:val="superscript"/>
          <w14:ligatures w14:val="standardContextual"/>
        </w:rPr>
        <w:footnoteReference w:id="360"/>
      </w:r>
      <w:r w:rsidRPr="00ED1222">
        <w:rPr>
          <w:kern w:val="2"/>
          <w14:ligatures w14:val="standardContextual"/>
        </w:rPr>
        <w:t>, eriti selle artiklit 70,</w:t>
      </w:r>
    </w:p>
    <w:p w14:paraId="43D36CE3"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Parlamendi ja nõukogu 11. mai 2016. aasta määrust (EL) 2016/794 (mis käsitleb Euroopa Liidu Õiguskaitsekoostöö Ametit (Europol) ning millega asendatakse ja tunnistatakse kehtetuks nõukogu otsused 2009/371/JSK, 2009/934/JSK, 2009/935/JSK, 2009/936/JSK ja 2009/968/JSK)</w:t>
      </w:r>
      <w:r w:rsidRPr="00ED1222">
        <w:rPr>
          <w:kern w:val="2"/>
          <w:vertAlign w:val="superscript"/>
          <w14:ligatures w14:val="standardContextual"/>
        </w:rPr>
        <w:footnoteReference w:id="361"/>
      </w:r>
      <w:r w:rsidRPr="00ED1222">
        <w:rPr>
          <w:kern w:val="2"/>
          <w14:ligatures w14:val="standardContextual"/>
        </w:rPr>
        <w:t>, eriti selle artiklit 60,</w:t>
      </w:r>
    </w:p>
    <w:p w14:paraId="210522EC"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ED1222">
        <w:rPr>
          <w:kern w:val="2"/>
          <w:vertAlign w:val="superscript"/>
          <w14:ligatures w14:val="standardContextual"/>
        </w:rPr>
        <w:footnoteReference w:id="362"/>
      </w:r>
      <w:r w:rsidRPr="00ED1222">
        <w:rPr>
          <w:kern w:val="2"/>
          <w14:ligatures w14:val="standardContextual"/>
        </w:rPr>
        <w:t>, eriti selle artiklit 105,</w:t>
      </w:r>
    </w:p>
    <w:p w14:paraId="5D198522"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lastRenderedPageBreak/>
        <w:t>–</w:t>
      </w:r>
      <w:r w:rsidRPr="00ED1222">
        <w:rPr>
          <w:kern w:val="2"/>
          <w14:ligatures w14:val="standardContextual"/>
        </w:rPr>
        <w:tab/>
        <w:t>võttes arvesse kodukorra artiklit 102 ja V lisa,</w:t>
      </w:r>
    </w:p>
    <w:p w14:paraId="37155B8B"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tööhõive- ja sotsiaalkomisjoni, keskkonna-, kliima- ja toiduohutuse komisjoni, transpordi- ja turismikomisjoni, kalanduskomisjoni, kultuuri- ja hariduskomisjoni, kodanikuvabaduste, justiits- ja siseasjade komisjoni ning naiste õiguste ja soolise võrdõiguslikkuse komisjoni arvamusi,</w:t>
      </w:r>
    </w:p>
    <w:p w14:paraId="4965B671"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eelarvekontrollikomisjoni raportit (A10-0065/2025),</w:t>
      </w:r>
    </w:p>
    <w:p w14:paraId="5E14E9CF"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w:t>
      </w:r>
      <w:r w:rsidRPr="00ED1222">
        <w:rPr>
          <w:kern w:val="2"/>
          <w14:ligatures w14:val="standardContextual"/>
        </w:rPr>
        <w:tab/>
        <w:t>annab heakskiidu Euroopa Liidu Õiguskaitsekoostöö Ameti 2023. aasta raamatupidamiskontode sulgemisele;</w:t>
      </w:r>
    </w:p>
    <w:p w14:paraId="635AA574"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2.</w:t>
      </w:r>
      <w:r w:rsidRPr="00ED1222">
        <w:rPr>
          <w:kern w:val="2"/>
          <w14:ligatures w14:val="standardContextual"/>
        </w:rPr>
        <w:tab/>
        <w:t xml:space="preserve">teeb presidendile ülesandeks edastada käesolev otsus Euroopa Liidu Õiguskaitsekoostöö Ameti tegevdirektorile, nõukogule, komisjonile ja kontrollikojale ning korraldada selle avaldamine </w:t>
      </w:r>
      <w:r w:rsidRPr="00ED1222">
        <w:rPr>
          <w:i/>
          <w:kern w:val="2"/>
          <w14:ligatures w14:val="standardContextual"/>
        </w:rPr>
        <w:t>Euroopa Liidu Teatajas</w:t>
      </w:r>
      <w:r w:rsidRPr="00ED1222">
        <w:rPr>
          <w:kern w:val="2"/>
          <w14:ligatures w14:val="standardContextual"/>
        </w:rPr>
        <w:t xml:space="preserve"> (L-seerias).</w:t>
      </w:r>
    </w:p>
    <w:p w14:paraId="278A4BA1" w14:textId="77777777" w:rsidR="00ED1222" w:rsidRPr="00ED1222" w:rsidRDefault="00ED1222" w:rsidP="00ED1222">
      <w:pPr>
        <w:widowControl/>
        <w:jc w:val="both"/>
        <w:rPr>
          <w:rFonts w:eastAsia="Aptos"/>
          <w:kern w:val="2"/>
          <w:szCs w:val="24"/>
          <w:lang w:eastAsia="en-US"/>
          <w14:ligatures w14:val="standardContextual"/>
        </w:rPr>
        <w:sectPr w:rsidR="00ED1222" w:rsidRPr="00ED1222" w:rsidSect="00ED1222">
          <w:footnotePr>
            <w:numRestart w:val="eachSect"/>
          </w:footnotePr>
          <w:pgSz w:w="11906" w:h="16838"/>
          <w:pgMar w:top="1440" w:right="1440" w:bottom="1440" w:left="1440" w:header="708" w:footer="708" w:gutter="0"/>
          <w:cols w:space="708"/>
          <w:docGrid w:linePitch="360"/>
        </w:sectPr>
      </w:pPr>
    </w:p>
    <w:p w14:paraId="7F8415F5" w14:textId="786BF48A" w:rsidR="00ED1222" w:rsidRPr="00ED1222" w:rsidRDefault="00ED1222" w:rsidP="005F2094">
      <w:pPr>
        <w:pStyle w:val="ATHeading3"/>
      </w:pPr>
      <w:r w:rsidRPr="00ED1222">
        <w:lastRenderedPageBreak/>
        <w:t>61. Euroopa Parlamendi 7. mai 2025. aasta otsus Euroopa Liidu Kosmoseprogrammi Ameti 2023. aasta eelarve täitmisele heakskiidu andmise kohta</w:t>
      </w:r>
      <w:r w:rsidR="00A87338">
        <w:t xml:space="preserve"> </w:t>
      </w:r>
      <w:r w:rsidRPr="00ED1222">
        <w:t>(2024/2030(DEC))</w:t>
      </w:r>
    </w:p>
    <w:p w14:paraId="079464D8" w14:textId="77777777" w:rsidR="005F2094" w:rsidRPr="00ED1222" w:rsidRDefault="005F2094" w:rsidP="005F2094">
      <w:pPr>
        <w:spacing w:before="480" w:after="240"/>
        <w:rPr>
          <w:i/>
          <w:kern w:val="2"/>
          <w14:ligatures w14:val="standardContextual"/>
        </w:rPr>
      </w:pPr>
      <w:r w:rsidRPr="00ED1222">
        <w:rPr>
          <w:i/>
          <w:kern w:val="2"/>
          <w14:ligatures w14:val="standardContextual"/>
        </w:rPr>
        <w:t>Euroopa Parlament,</w:t>
      </w:r>
    </w:p>
    <w:p w14:paraId="2AD1579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Kosmoseprogrammi Ameti 2023. aasta lõplikku raamatupidamisaruannet,</w:t>
      </w:r>
    </w:p>
    <w:p w14:paraId="3C19DA47"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kontrollikoja aastaaruannet ELi asutuste eelarveaasta 2023 kohta koos asutuste vastustega</w:t>
      </w:r>
      <w:r w:rsidRPr="00ED1222">
        <w:rPr>
          <w:kern w:val="2"/>
          <w:vertAlign w:val="superscript"/>
          <w14:ligatures w14:val="standardContextual"/>
        </w:rPr>
        <w:footnoteReference w:id="363"/>
      </w:r>
      <w:r w:rsidRPr="00ED1222">
        <w:rPr>
          <w:kern w:val="2"/>
          <w14:ligatures w14:val="standardContextual"/>
        </w:rPr>
        <w:t>,</w:t>
      </w:r>
    </w:p>
    <w:p w14:paraId="46D7A5E4"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vastavalt Euroopa Liidu toimimise lepingu artiklile 287 tehtud kontrollikoja kinnitavat avaldust</w:t>
      </w:r>
      <w:r w:rsidRPr="00ED1222">
        <w:rPr>
          <w:kern w:val="2"/>
          <w:vertAlign w:val="superscript"/>
          <w14:ligatures w14:val="standardContextual"/>
        </w:rPr>
        <w:footnoteReference w:id="364"/>
      </w:r>
      <w:r w:rsidRPr="00ED1222">
        <w:rPr>
          <w:kern w:val="2"/>
          <w14:ligatures w14:val="standardContextual"/>
        </w:rPr>
        <w:t xml:space="preserve"> 2023. aasta raamatupidamiskontode usaldatavuse ja nende aluseks olevate tehingute seaduslikkuse ja korrektsuse kohta,</w:t>
      </w:r>
    </w:p>
    <w:p w14:paraId="5A03FC5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nõukogu 17. veebruari 2025. aasta soovitust ameti tegevusele heakskiidu andmise kohta 2023. aasta eelarve täitmisel (05755/2025 – C10</w:t>
      </w:r>
      <w:r w:rsidRPr="00ED1222">
        <w:rPr>
          <w:kern w:val="2"/>
          <w14:ligatures w14:val="standardContextual"/>
        </w:rPr>
        <w:noBreakHyphen/>
        <w:t>0024/2025),</w:t>
      </w:r>
    </w:p>
    <w:p w14:paraId="65F44748"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toimimise lepingu artiklit 319,</w:t>
      </w:r>
    </w:p>
    <w:p w14:paraId="675F7F67"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18. juuli 2018. aasta määrust (EL, Euratom) 2018/1046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ED1222">
        <w:rPr>
          <w:kern w:val="2"/>
          <w:vertAlign w:val="superscript"/>
          <w14:ligatures w14:val="standardContextual"/>
        </w:rPr>
        <w:footnoteReference w:id="365"/>
      </w:r>
      <w:r w:rsidRPr="00ED1222">
        <w:rPr>
          <w:kern w:val="2"/>
          <w14:ligatures w14:val="standardContextual"/>
        </w:rPr>
        <w:t>, eriti selle artiklit 70,</w:t>
      </w:r>
    </w:p>
    <w:p w14:paraId="55A781FC"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23. septembri 2024. aasta määrust (EL, Euratom) 2024/2509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w:t>
      </w:r>
      <w:r w:rsidRPr="00ED1222">
        <w:rPr>
          <w:kern w:val="2"/>
          <w:vertAlign w:val="superscript"/>
          <w14:ligatures w14:val="standardContextual"/>
        </w:rPr>
        <w:footnoteReference w:id="366"/>
      </w:r>
      <w:r w:rsidRPr="00ED1222">
        <w:rPr>
          <w:kern w:val="2"/>
          <w14:ligatures w14:val="standardContextual"/>
        </w:rPr>
        <w:t>, eriti selle artiklit 70,</w:t>
      </w:r>
    </w:p>
    <w:p w14:paraId="16328C2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Parlamendi ja nõukogu 28. aprilli 2021. aasta määrust (EL) 2021/696 (millega luuakse liidu kosmoseprogramm ja Euroopa Liidu Kosmoseprogrammi Amet ning tunnistatakse kehtetuks määrused (EL) nr 912/2010, (EL) nr 1285/2013 ja (EL) nr 377/2014 ning otsus nr 541/2014/EL)</w:t>
      </w:r>
      <w:r w:rsidRPr="00ED1222">
        <w:rPr>
          <w:kern w:val="2"/>
          <w:vertAlign w:val="superscript"/>
          <w14:ligatures w14:val="standardContextual"/>
        </w:rPr>
        <w:footnoteReference w:id="367"/>
      </w:r>
      <w:r w:rsidRPr="00ED1222">
        <w:rPr>
          <w:kern w:val="2"/>
          <w14:ligatures w14:val="standardContextual"/>
        </w:rPr>
        <w:t>, eriti selle artikleid 85 ja 86,</w:t>
      </w:r>
    </w:p>
    <w:p w14:paraId="2C373AFD"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ED1222">
        <w:rPr>
          <w:kern w:val="2"/>
          <w:vertAlign w:val="superscript"/>
          <w14:ligatures w14:val="standardContextual"/>
        </w:rPr>
        <w:footnoteReference w:id="368"/>
      </w:r>
      <w:r w:rsidRPr="00ED1222">
        <w:rPr>
          <w:kern w:val="2"/>
          <w14:ligatures w14:val="standardContextual"/>
        </w:rPr>
        <w:t>, eriti selle artiklit 105,</w:t>
      </w:r>
    </w:p>
    <w:p w14:paraId="5DDEC3B1"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lastRenderedPageBreak/>
        <w:t>–</w:t>
      </w:r>
      <w:r w:rsidRPr="00ED1222">
        <w:rPr>
          <w:kern w:val="2"/>
          <w14:ligatures w14:val="standardContextual"/>
        </w:rPr>
        <w:tab/>
        <w:t>võttes arvesse kodukorra artiklit 102 ja V lisa,</w:t>
      </w:r>
    </w:p>
    <w:p w14:paraId="46063797"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tööhõive- ja sotsiaalkomisjoni, keskkonna-, kliima- ja toiduohutuse komisjoni, transpordi- ja turismikomisjoni, kalanduskomisjoni, kultuuri- ja hariduskomisjoni, kodanikuvabaduste, justiits- ja siseasjade komisjoni ning naiste õiguste ja soolise võrdõiguslikkuse komisjoni arvamusi,</w:t>
      </w:r>
    </w:p>
    <w:p w14:paraId="778F70F9"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eelarvekontrollikomisjoni raportit (A10-0065/2025),</w:t>
      </w:r>
    </w:p>
    <w:p w14:paraId="54EDE77C"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w:t>
      </w:r>
      <w:r w:rsidRPr="00ED1222">
        <w:rPr>
          <w:kern w:val="2"/>
          <w14:ligatures w14:val="standardContextual"/>
        </w:rPr>
        <w:tab/>
        <w:t>annab heakskiidu Euroopa Liidu Kosmoseprogrammi Ameti tegevdirektori tegevusele ameti 2023. aasta eelarve täitmisel;</w:t>
      </w:r>
    </w:p>
    <w:p w14:paraId="45D65098"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2.</w:t>
      </w:r>
      <w:r w:rsidRPr="00ED1222">
        <w:rPr>
          <w:kern w:val="2"/>
          <w14:ligatures w14:val="standardContextual"/>
        </w:rPr>
        <w:tab/>
        <w:t>esitab oma tähelepanekud alltoodud resolutsioonis;</w:t>
      </w:r>
    </w:p>
    <w:p w14:paraId="49DEBB2C"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3.</w:t>
      </w:r>
      <w:r w:rsidRPr="00ED1222">
        <w:rPr>
          <w:kern w:val="2"/>
          <w14:ligatures w14:val="standardContextual"/>
        </w:rPr>
        <w:tab/>
        <w:t xml:space="preserve">teeb presidendile ülesandeks edastada käesolev otsus ja resolutsioon, mis on selle lahutamatu osa, Euroopa Liidu Kosmoseprogrammi Ameti tegevdirektorile, nõukogule, komisjonile ja kontrollikojale ning korraldada nende avaldamine </w:t>
      </w:r>
      <w:r w:rsidRPr="00ED1222">
        <w:rPr>
          <w:i/>
          <w:kern w:val="2"/>
          <w14:ligatures w14:val="standardContextual"/>
        </w:rPr>
        <w:t>Euroopa Liidu Teatajas</w:t>
      </w:r>
      <w:r w:rsidRPr="00ED1222">
        <w:rPr>
          <w:kern w:val="2"/>
          <w14:ligatures w14:val="standardContextual"/>
        </w:rPr>
        <w:t xml:space="preserve"> (L-seerias).</w:t>
      </w:r>
    </w:p>
    <w:p w14:paraId="00BF6CAB" w14:textId="77777777" w:rsidR="00ED1222" w:rsidRPr="00ED1222" w:rsidRDefault="00ED1222" w:rsidP="00ED1222">
      <w:pPr>
        <w:widowControl/>
        <w:jc w:val="both"/>
        <w:rPr>
          <w:rFonts w:eastAsia="Aptos"/>
          <w:kern w:val="2"/>
          <w:szCs w:val="24"/>
          <w:lang w:eastAsia="en-US"/>
          <w14:ligatures w14:val="standardContextual"/>
        </w:rPr>
        <w:sectPr w:rsidR="00ED1222" w:rsidRPr="00ED1222" w:rsidSect="00ED1222">
          <w:footnotePr>
            <w:numRestart w:val="eachSect"/>
          </w:footnotePr>
          <w:pgSz w:w="11906" w:h="16838"/>
          <w:pgMar w:top="1440" w:right="1440" w:bottom="1440" w:left="1440" w:header="708" w:footer="708" w:gutter="0"/>
          <w:cols w:space="708"/>
          <w:docGrid w:linePitch="360"/>
        </w:sectPr>
      </w:pPr>
    </w:p>
    <w:p w14:paraId="4AB87BE4" w14:textId="3E984707" w:rsidR="00ED1222" w:rsidRPr="00ED1222" w:rsidRDefault="00ED1222" w:rsidP="005F2094">
      <w:pPr>
        <w:pStyle w:val="ATHeading3"/>
      </w:pPr>
      <w:r w:rsidRPr="00ED1222">
        <w:lastRenderedPageBreak/>
        <w:t>62. Euroopa Parlamendi 7. mai 2025. aasta otsus Euroopa Liidu Kosmoseprogrammi Ameti 2023. aasta raamatupidamiskontode sulgemise kohta</w:t>
      </w:r>
      <w:r w:rsidR="00A87338">
        <w:t xml:space="preserve"> </w:t>
      </w:r>
      <w:r w:rsidRPr="00ED1222">
        <w:t>(2024/2030(DEC))</w:t>
      </w:r>
    </w:p>
    <w:p w14:paraId="574CA01D" w14:textId="77777777" w:rsidR="005F2094" w:rsidRPr="00ED1222" w:rsidRDefault="005F2094" w:rsidP="005F2094">
      <w:pPr>
        <w:spacing w:before="480" w:after="240"/>
        <w:rPr>
          <w:i/>
          <w:kern w:val="2"/>
          <w14:ligatures w14:val="standardContextual"/>
        </w:rPr>
      </w:pPr>
      <w:r w:rsidRPr="00ED1222">
        <w:rPr>
          <w:i/>
          <w:kern w:val="2"/>
          <w14:ligatures w14:val="standardContextual"/>
        </w:rPr>
        <w:t>Euroopa Parlament,</w:t>
      </w:r>
    </w:p>
    <w:p w14:paraId="1891833A"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Kosmoseprogrammi Ameti 2023. aasta lõplikku raamatupidamisaruannet,</w:t>
      </w:r>
    </w:p>
    <w:p w14:paraId="2163F87A"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kontrollikoja aastaaruannet ELi asutuste eelarveaasta 2023 kohta koos asutuste vastustega</w:t>
      </w:r>
      <w:r w:rsidRPr="00ED1222">
        <w:rPr>
          <w:kern w:val="2"/>
          <w:vertAlign w:val="superscript"/>
          <w14:ligatures w14:val="standardContextual"/>
        </w:rPr>
        <w:footnoteReference w:id="369"/>
      </w:r>
      <w:r w:rsidRPr="00ED1222">
        <w:rPr>
          <w:kern w:val="2"/>
          <w14:ligatures w14:val="standardContextual"/>
        </w:rPr>
        <w:t>,</w:t>
      </w:r>
    </w:p>
    <w:p w14:paraId="134020D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vastavalt Euroopa Liidu toimimise lepingu artiklile 287 tehtud kontrollikoja kinnitavat avaldust</w:t>
      </w:r>
      <w:r w:rsidRPr="00ED1222">
        <w:rPr>
          <w:kern w:val="2"/>
          <w:vertAlign w:val="superscript"/>
          <w14:ligatures w14:val="standardContextual"/>
        </w:rPr>
        <w:footnoteReference w:id="370"/>
      </w:r>
      <w:r w:rsidRPr="00ED1222">
        <w:rPr>
          <w:kern w:val="2"/>
          <w14:ligatures w14:val="standardContextual"/>
        </w:rPr>
        <w:t xml:space="preserve"> 2023. aasta raamatupidamiskontode usaldatavuse ja nende aluseks olevate tehingute seaduslikkuse ja korrektsuse kohta,</w:t>
      </w:r>
    </w:p>
    <w:p w14:paraId="1E387448"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nõukogu 17. veebruari 2025. aasta soovitust ameti tegevusele heakskiidu andmise kohta 2023. aasta eelarve täitmisel (05755/2025 – C10</w:t>
      </w:r>
      <w:r w:rsidRPr="00ED1222">
        <w:rPr>
          <w:kern w:val="2"/>
          <w14:ligatures w14:val="standardContextual"/>
        </w:rPr>
        <w:noBreakHyphen/>
        <w:t>0024/2025),</w:t>
      </w:r>
    </w:p>
    <w:p w14:paraId="76D1AD05"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toimimise lepingu artiklit 319,</w:t>
      </w:r>
    </w:p>
    <w:p w14:paraId="64E781DD"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18. juuli 2018. aasta määrust (EL, Euratom) 2018/1046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ED1222">
        <w:rPr>
          <w:kern w:val="2"/>
          <w:vertAlign w:val="superscript"/>
          <w14:ligatures w14:val="standardContextual"/>
        </w:rPr>
        <w:footnoteReference w:id="371"/>
      </w:r>
      <w:r w:rsidRPr="00ED1222">
        <w:rPr>
          <w:kern w:val="2"/>
          <w14:ligatures w14:val="standardContextual"/>
        </w:rPr>
        <w:t>, eriti selle artiklit 70,</w:t>
      </w:r>
    </w:p>
    <w:p w14:paraId="206DEE9A"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23. septembri 2024. aasta määrust (EL, Euratom) 2024/2509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w:t>
      </w:r>
      <w:r w:rsidRPr="00ED1222">
        <w:rPr>
          <w:kern w:val="2"/>
          <w:vertAlign w:val="superscript"/>
          <w14:ligatures w14:val="standardContextual"/>
        </w:rPr>
        <w:footnoteReference w:id="372"/>
      </w:r>
      <w:r w:rsidRPr="00ED1222">
        <w:rPr>
          <w:kern w:val="2"/>
          <w14:ligatures w14:val="standardContextual"/>
        </w:rPr>
        <w:t>, eriti selle artiklit 70,</w:t>
      </w:r>
    </w:p>
    <w:p w14:paraId="34675254"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Parlamendi ja nõukogu 28. aprilli 2021. aasta määrust (EL) 2021/696 (millega luuakse liidu kosmoseprogramm ja Euroopa Liidu Kosmoseprogrammi Amet ning tunnistatakse kehtetuks määrused (EL) nr 912/2010, (EL) nr 1285/2013 ja (EL) nr 377/2014 ning otsus nr 541/2014/EL)</w:t>
      </w:r>
      <w:r w:rsidRPr="00ED1222">
        <w:rPr>
          <w:kern w:val="2"/>
          <w:vertAlign w:val="superscript"/>
          <w14:ligatures w14:val="standardContextual"/>
        </w:rPr>
        <w:footnoteReference w:id="373"/>
      </w:r>
      <w:r w:rsidRPr="00ED1222">
        <w:rPr>
          <w:kern w:val="2"/>
          <w14:ligatures w14:val="standardContextual"/>
        </w:rPr>
        <w:t>, eriti selle artikleid 85 ja 86,</w:t>
      </w:r>
    </w:p>
    <w:p w14:paraId="7ACE25D2"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ED1222">
        <w:rPr>
          <w:kern w:val="2"/>
          <w:vertAlign w:val="superscript"/>
          <w14:ligatures w14:val="standardContextual"/>
        </w:rPr>
        <w:footnoteReference w:id="374"/>
      </w:r>
      <w:r w:rsidRPr="00ED1222">
        <w:rPr>
          <w:kern w:val="2"/>
          <w14:ligatures w14:val="standardContextual"/>
        </w:rPr>
        <w:t>, eriti selle artiklit 105,</w:t>
      </w:r>
    </w:p>
    <w:p w14:paraId="518DEA2A"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lastRenderedPageBreak/>
        <w:t>–</w:t>
      </w:r>
      <w:r w:rsidRPr="00ED1222">
        <w:rPr>
          <w:kern w:val="2"/>
          <w14:ligatures w14:val="standardContextual"/>
        </w:rPr>
        <w:tab/>
        <w:t>võttes arvesse kodukorra artiklit 102 ja V lisa,</w:t>
      </w:r>
    </w:p>
    <w:p w14:paraId="4C5D3748"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tööhõive- ja sotsiaalkomisjoni, keskkonna-, kliima- ja toiduohutuse komisjoni, transpordi- ja turismikomisjoni, kalanduskomisjoni, kultuuri- ja hariduskomisjoni, kodanikuvabaduste, justiits- ja siseasjade komisjoni ning naiste õiguste ja soolise võrdõiguslikkuse komisjoni arvamusi,</w:t>
      </w:r>
    </w:p>
    <w:p w14:paraId="2F1E9FD2"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eelarvekontrollikomisjoni raportit (A10-0065/2025),</w:t>
      </w:r>
    </w:p>
    <w:p w14:paraId="44E60CE3"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w:t>
      </w:r>
      <w:r w:rsidRPr="00ED1222">
        <w:rPr>
          <w:kern w:val="2"/>
          <w14:ligatures w14:val="standardContextual"/>
        </w:rPr>
        <w:tab/>
        <w:t>annab heakskiidu Euroopa Liidu Kosmoseprogrammi Ameti 2023. aasta raamatupidamiskontode sulgemisele;</w:t>
      </w:r>
    </w:p>
    <w:p w14:paraId="488932E3"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2.</w:t>
      </w:r>
      <w:r w:rsidRPr="00ED1222">
        <w:rPr>
          <w:kern w:val="2"/>
          <w14:ligatures w14:val="standardContextual"/>
        </w:rPr>
        <w:tab/>
        <w:t xml:space="preserve">teeb presidendile ülesandeks edastada käesolev otsus Euroopa Liidu Kosmoseprogrammi Ameti tegevdirektorile, nõukogule, komisjonile ja kontrollikojale ning korraldada selle avaldamine </w:t>
      </w:r>
      <w:r w:rsidRPr="00ED1222">
        <w:rPr>
          <w:i/>
          <w:kern w:val="2"/>
          <w14:ligatures w14:val="standardContextual"/>
        </w:rPr>
        <w:t>Euroopa Liidu Teatajas</w:t>
      </w:r>
      <w:r w:rsidRPr="00ED1222">
        <w:rPr>
          <w:kern w:val="2"/>
          <w14:ligatures w14:val="standardContextual"/>
        </w:rPr>
        <w:t xml:space="preserve"> (L-seerias).</w:t>
      </w:r>
    </w:p>
    <w:p w14:paraId="527200CF" w14:textId="77777777" w:rsidR="00ED1222" w:rsidRPr="00ED1222" w:rsidRDefault="00ED1222" w:rsidP="00ED1222">
      <w:pPr>
        <w:widowControl/>
        <w:jc w:val="both"/>
        <w:rPr>
          <w:rFonts w:eastAsia="Aptos"/>
          <w:kern w:val="2"/>
          <w:szCs w:val="24"/>
          <w:lang w:eastAsia="en-US"/>
          <w14:ligatures w14:val="standardContextual"/>
        </w:rPr>
        <w:sectPr w:rsidR="00ED1222" w:rsidRPr="00ED1222" w:rsidSect="00ED1222">
          <w:footnotePr>
            <w:numRestart w:val="eachSect"/>
          </w:footnotePr>
          <w:pgSz w:w="11906" w:h="16838"/>
          <w:pgMar w:top="1440" w:right="1440" w:bottom="1440" w:left="1440" w:header="708" w:footer="708" w:gutter="0"/>
          <w:cols w:space="708"/>
          <w:docGrid w:linePitch="360"/>
        </w:sectPr>
      </w:pPr>
    </w:p>
    <w:p w14:paraId="7A95F6F0" w14:textId="77777777" w:rsidR="00ED1222" w:rsidRPr="00ED1222" w:rsidRDefault="00ED1222" w:rsidP="005F2094">
      <w:pPr>
        <w:pStyle w:val="ATHeading3"/>
      </w:pPr>
      <w:r w:rsidRPr="00ED1222">
        <w:lastRenderedPageBreak/>
        <w:t>63. Euroopa Parlamendi 7. mai 2025. aasta otsus Euroopa Liidu Põhiõiguste Ameti 2023. aasta eelarve täitmisele heakskiidu andmise kohta (2024/2030(DEC))</w:t>
      </w:r>
    </w:p>
    <w:p w14:paraId="20287E03" w14:textId="77777777" w:rsidR="005F2094" w:rsidRPr="00ED1222" w:rsidRDefault="005F2094" w:rsidP="005F2094">
      <w:pPr>
        <w:spacing w:before="480" w:after="240"/>
        <w:rPr>
          <w:i/>
          <w:kern w:val="2"/>
          <w14:ligatures w14:val="standardContextual"/>
        </w:rPr>
      </w:pPr>
      <w:r w:rsidRPr="00ED1222">
        <w:rPr>
          <w:i/>
          <w:kern w:val="2"/>
          <w14:ligatures w14:val="standardContextual"/>
        </w:rPr>
        <w:t>Euroopa Parlament,</w:t>
      </w:r>
    </w:p>
    <w:p w14:paraId="3F5F00EC"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Põhiõiguste Ameti 2023. aasta lõplikku raamatupidamisaruannet,</w:t>
      </w:r>
    </w:p>
    <w:p w14:paraId="3AB33759"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kontrollikoja aastaaruannet ELi asutuste eelarveaasta 2023 kohta koos asutuste vastustega</w:t>
      </w:r>
      <w:r w:rsidRPr="00ED1222">
        <w:rPr>
          <w:kern w:val="2"/>
          <w:vertAlign w:val="superscript"/>
          <w14:ligatures w14:val="standardContextual"/>
        </w:rPr>
        <w:footnoteReference w:id="375"/>
      </w:r>
      <w:r w:rsidRPr="00ED1222">
        <w:rPr>
          <w:kern w:val="2"/>
          <w14:ligatures w14:val="standardContextual"/>
        </w:rPr>
        <w:t>,</w:t>
      </w:r>
    </w:p>
    <w:p w14:paraId="085F3477"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vastavalt Euroopa Liidu toimimise lepingu artiklile 287 tehtud kontrollikoja kinnitavat avaldust</w:t>
      </w:r>
      <w:r w:rsidRPr="00ED1222">
        <w:rPr>
          <w:kern w:val="2"/>
          <w:vertAlign w:val="superscript"/>
          <w14:ligatures w14:val="standardContextual"/>
        </w:rPr>
        <w:footnoteReference w:id="376"/>
      </w:r>
      <w:r w:rsidRPr="00ED1222">
        <w:rPr>
          <w:kern w:val="2"/>
          <w14:ligatures w14:val="standardContextual"/>
        </w:rPr>
        <w:t xml:space="preserve"> 2023. aasta raamatupidamiskontode usaldatavuse ja nende aluseks olevate tehingute seaduslikkuse ja korrektsuse kohta,</w:t>
      </w:r>
    </w:p>
    <w:p w14:paraId="476C789F"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nõukogu 17. veebruari 2025. aasta soovitust ameti tegevusele heakskiidu andmise kohta 2023. aasta eelarve täitmisel (05755/2025 – C10</w:t>
      </w:r>
      <w:r w:rsidRPr="00ED1222">
        <w:rPr>
          <w:kern w:val="2"/>
          <w14:ligatures w14:val="standardContextual"/>
        </w:rPr>
        <w:noBreakHyphen/>
        <w:t>0024/2025),</w:t>
      </w:r>
    </w:p>
    <w:p w14:paraId="275C38DD"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toimimise lepingu artiklit 319,</w:t>
      </w:r>
    </w:p>
    <w:p w14:paraId="17FE4C9B"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18. juuli 2018. aasta määrust (EL, Euratom) 2018/1046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ED1222">
        <w:rPr>
          <w:kern w:val="2"/>
          <w:vertAlign w:val="superscript"/>
          <w14:ligatures w14:val="standardContextual"/>
        </w:rPr>
        <w:footnoteReference w:id="377"/>
      </w:r>
      <w:r w:rsidRPr="00ED1222">
        <w:rPr>
          <w:kern w:val="2"/>
          <w14:ligatures w14:val="standardContextual"/>
        </w:rPr>
        <w:t xml:space="preserve"> eriti selle artiklit 70,</w:t>
      </w:r>
    </w:p>
    <w:p w14:paraId="11CD9361"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23. septembri 2024. aasta määrust (EL, Euratom) 2024/2509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w:t>
      </w:r>
      <w:r w:rsidRPr="00ED1222">
        <w:rPr>
          <w:kern w:val="2"/>
          <w:vertAlign w:val="superscript"/>
          <w14:ligatures w14:val="standardContextual"/>
        </w:rPr>
        <w:footnoteReference w:id="378"/>
      </w:r>
      <w:r w:rsidRPr="00ED1222">
        <w:rPr>
          <w:kern w:val="2"/>
          <w14:ligatures w14:val="standardContextual"/>
        </w:rPr>
        <w:t xml:space="preserve"> eriti selle artiklit 70,</w:t>
      </w:r>
    </w:p>
    <w:p w14:paraId="169BA524"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nõukogu 15. veebruari 2007. aasta määrust (EÜ) nr 168/2007 (millega asutatakse Euroopa Liidu Põhiõiguste Amet),</w:t>
      </w:r>
      <w:r w:rsidRPr="00ED1222">
        <w:rPr>
          <w:kern w:val="2"/>
          <w:vertAlign w:val="superscript"/>
          <w14:ligatures w14:val="standardContextual"/>
        </w:rPr>
        <w:footnoteReference w:id="379"/>
      </w:r>
      <w:r w:rsidRPr="00ED1222">
        <w:rPr>
          <w:kern w:val="2"/>
          <w14:ligatures w14:val="standardContextual"/>
        </w:rPr>
        <w:t xml:space="preserve"> eriti selle artiklit 21,</w:t>
      </w:r>
    </w:p>
    <w:p w14:paraId="6C1B12B1"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ED1222">
        <w:rPr>
          <w:kern w:val="2"/>
          <w:vertAlign w:val="superscript"/>
          <w14:ligatures w14:val="standardContextual"/>
        </w:rPr>
        <w:footnoteReference w:id="380"/>
      </w:r>
      <w:r w:rsidRPr="00ED1222">
        <w:rPr>
          <w:kern w:val="2"/>
          <w14:ligatures w14:val="standardContextual"/>
        </w:rPr>
        <w:t xml:space="preserve"> eriti selle artiklit 105,</w:t>
      </w:r>
    </w:p>
    <w:p w14:paraId="65A90E7A"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kodukorra artiklit 102 ja V lisa,</w:t>
      </w:r>
    </w:p>
    <w:p w14:paraId="219D5A07"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tööhõive- ja sotsiaalkomisjoni, keskkonna-, kliima- ja toiduohutuse komisjoni, transpordi- ja turismikomisjoni, kalanduskomisjoni, kultuuri- ja </w:t>
      </w:r>
      <w:r w:rsidRPr="00ED1222">
        <w:rPr>
          <w:kern w:val="2"/>
          <w14:ligatures w14:val="standardContextual"/>
        </w:rPr>
        <w:lastRenderedPageBreak/>
        <w:t>hariduskomisjoni, kodanikuvabaduste, justiits- ja siseasjade komisjoni ning naiste õiguste ja soolise võrdõiguslikkuse komisjoni arvamusi,</w:t>
      </w:r>
    </w:p>
    <w:p w14:paraId="2C93941D"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eelarvekontrollikomisjoni raportit (A10-0065/2025),</w:t>
      </w:r>
    </w:p>
    <w:p w14:paraId="34A5E0A5"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w:t>
      </w:r>
      <w:r w:rsidRPr="00ED1222">
        <w:rPr>
          <w:kern w:val="2"/>
          <w14:ligatures w14:val="standardContextual"/>
        </w:rPr>
        <w:tab/>
        <w:t>annab heakskiidu Euroopa Liidu Põhiõiguste Ameti direktori tegevusele ameti 2023. aasta eelarve täitmisel;</w:t>
      </w:r>
    </w:p>
    <w:p w14:paraId="5AA7F80D"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2.</w:t>
      </w:r>
      <w:r w:rsidRPr="00ED1222">
        <w:rPr>
          <w:kern w:val="2"/>
          <w14:ligatures w14:val="standardContextual"/>
        </w:rPr>
        <w:tab/>
        <w:t>esitab oma tähelepanekud alltoodud resolutsioonis;</w:t>
      </w:r>
    </w:p>
    <w:p w14:paraId="78E3E9F4"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3.</w:t>
      </w:r>
      <w:r w:rsidRPr="00ED1222">
        <w:rPr>
          <w:kern w:val="2"/>
          <w14:ligatures w14:val="standardContextual"/>
        </w:rPr>
        <w:tab/>
        <w:t xml:space="preserve">teeb presidendile ülesandeks edastada käesolev otsus ja resolutsioon, mis on selle lahutamatu osa, Euroopa Liidu Põhiõiguste Ameti direktorile, nõukogule, komisjonile ja kontrollikojale ning korraldada nende avaldamine </w:t>
      </w:r>
      <w:r w:rsidRPr="00ED1222">
        <w:rPr>
          <w:i/>
          <w:kern w:val="2"/>
          <w14:ligatures w14:val="standardContextual"/>
        </w:rPr>
        <w:t>Euroopa Liidu Teatajas</w:t>
      </w:r>
      <w:r w:rsidRPr="00ED1222">
        <w:rPr>
          <w:kern w:val="2"/>
          <w14:ligatures w14:val="standardContextual"/>
        </w:rPr>
        <w:t xml:space="preserve"> (L-seerias).</w:t>
      </w:r>
    </w:p>
    <w:p w14:paraId="5A9330AC" w14:textId="77777777" w:rsidR="00ED1222" w:rsidRPr="00ED1222" w:rsidRDefault="00ED1222" w:rsidP="00ED1222">
      <w:pPr>
        <w:widowControl/>
        <w:jc w:val="both"/>
        <w:rPr>
          <w:rFonts w:eastAsia="Aptos"/>
          <w:kern w:val="2"/>
          <w:szCs w:val="24"/>
          <w:lang w:eastAsia="en-US"/>
          <w14:ligatures w14:val="standardContextual"/>
        </w:rPr>
        <w:sectPr w:rsidR="00ED1222" w:rsidRPr="00ED1222" w:rsidSect="00ED1222">
          <w:footnotePr>
            <w:numRestart w:val="eachSect"/>
          </w:footnotePr>
          <w:pgSz w:w="11906" w:h="16838"/>
          <w:pgMar w:top="1440" w:right="1440" w:bottom="1440" w:left="1440" w:header="708" w:footer="708" w:gutter="0"/>
          <w:cols w:space="708"/>
          <w:docGrid w:linePitch="360"/>
        </w:sectPr>
      </w:pPr>
    </w:p>
    <w:p w14:paraId="5BBF1A36" w14:textId="77777777" w:rsidR="00ED1222" w:rsidRPr="00ED1222" w:rsidRDefault="00ED1222" w:rsidP="005F2094">
      <w:pPr>
        <w:pStyle w:val="ATHeading3"/>
      </w:pPr>
      <w:r w:rsidRPr="00ED1222">
        <w:lastRenderedPageBreak/>
        <w:t>64. Euroopa Parlamendi 7. mai 2025. aasta otsus Euroopa Liidu Põhiõiguste Ameti 2023. aasta raamatupidamiskontode sulgemise kohta (2024/2030(DEC))</w:t>
      </w:r>
    </w:p>
    <w:p w14:paraId="30E5095A" w14:textId="77777777" w:rsidR="005F2094" w:rsidRPr="00ED1222" w:rsidRDefault="005F2094" w:rsidP="005F2094">
      <w:pPr>
        <w:spacing w:before="480" w:after="240"/>
        <w:rPr>
          <w:i/>
          <w:kern w:val="2"/>
          <w14:ligatures w14:val="standardContextual"/>
        </w:rPr>
      </w:pPr>
      <w:r w:rsidRPr="00ED1222">
        <w:rPr>
          <w:i/>
          <w:kern w:val="2"/>
          <w14:ligatures w14:val="standardContextual"/>
        </w:rPr>
        <w:t>Euroopa Parlament,</w:t>
      </w:r>
    </w:p>
    <w:p w14:paraId="17213E9D"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Põhiõiguste Ameti 2023. aasta lõplikku raamatupidamisaruannet,</w:t>
      </w:r>
    </w:p>
    <w:p w14:paraId="716BBFFC"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kontrollikoja aastaaruannet ELi asutuste eelarveaasta 2023 kohta koos asutuste vastustega</w:t>
      </w:r>
      <w:r w:rsidRPr="00ED1222">
        <w:rPr>
          <w:kern w:val="2"/>
          <w:vertAlign w:val="superscript"/>
          <w14:ligatures w14:val="standardContextual"/>
        </w:rPr>
        <w:footnoteReference w:id="381"/>
      </w:r>
      <w:r w:rsidRPr="00ED1222">
        <w:rPr>
          <w:kern w:val="2"/>
          <w14:ligatures w14:val="standardContextual"/>
        </w:rPr>
        <w:t>,</w:t>
      </w:r>
    </w:p>
    <w:p w14:paraId="4DB1142B"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vastavalt Euroopa Liidu toimimise lepingu artiklile 287 tehtud kontrollikoja kinnitavat avaldust</w:t>
      </w:r>
      <w:r w:rsidRPr="00ED1222">
        <w:rPr>
          <w:kern w:val="2"/>
          <w:vertAlign w:val="superscript"/>
          <w14:ligatures w14:val="standardContextual"/>
        </w:rPr>
        <w:footnoteReference w:id="382"/>
      </w:r>
      <w:r w:rsidRPr="00ED1222">
        <w:rPr>
          <w:kern w:val="2"/>
          <w14:ligatures w14:val="standardContextual"/>
        </w:rPr>
        <w:t xml:space="preserve"> 2023. aasta raamatupidamiskontode usaldatavuse ja nende aluseks olevate tehingute seaduslikkuse ja korrektsuse kohta,</w:t>
      </w:r>
    </w:p>
    <w:p w14:paraId="1D5F8592"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nõukogu 17. veebruari 2025. aasta soovitust ameti tegevusele heakskiidu andmise kohta 2023. aasta eelarve täitmisel (05755/2025 – C10</w:t>
      </w:r>
      <w:r w:rsidRPr="00ED1222">
        <w:rPr>
          <w:kern w:val="2"/>
          <w14:ligatures w14:val="standardContextual"/>
        </w:rPr>
        <w:noBreakHyphen/>
        <w:t>0024/2025),</w:t>
      </w:r>
    </w:p>
    <w:p w14:paraId="7494049B"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toimimise lepingu artiklit 319,</w:t>
      </w:r>
    </w:p>
    <w:p w14:paraId="6D81B4F4"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18. juuli 2018. aasta määrust (EL, Euratom) 2018/1046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ED1222">
        <w:rPr>
          <w:kern w:val="2"/>
          <w:vertAlign w:val="superscript"/>
          <w14:ligatures w14:val="standardContextual"/>
        </w:rPr>
        <w:footnoteReference w:id="383"/>
      </w:r>
      <w:r w:rsidRPr="00ED1222">
        <w:rPr>
          <w:kern w:val="2"/>
          <w14:ligatures w14:val="standardContextual"/>
        </w:rPr>
        <w:t xml:space="preserve"> eriti selle artiklit 70,</w:t>
      </w:r>
    </w:p>
    <w:p w14:paraId="2407DE37"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23. septembri 2024. aasta määrust (EL, Euratom) 2024/2509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w:t>
      </w:r>
      <w:r w:rsidRPr="00ED1222">
        <w:rPr>
          <w:kern w:val="2"/>
          <w:vertAlign w:val="superscript"/>
          <w14:ligatures w14:val="standardContextual"/>
        </w:rPr>
        <w:footnoteReference w:id="384"/>
      </w:r>
      <w:r w:rsidRPr="00ED1222">
        <w:rPr>
          <w:kern w:val="2"/>
          <w14:ligatures w14:val="standardContextual"/>
        </w:rPr>
        <w:t xml:space="preserve"> eriti selle artiklit 70,</w:t>
      </w:r>
    </w:p>
    <w:p w14:paraId="5CE4BB45"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nõukogu 15. veebruari 2007. aasta määrust (EÜ) nr 168/2007 (millega asutatakse Euroopa Liidu Põhiõiguste Amet),</w:t>
      </w:r>
      <w:r w:rsidRPr="00ED1222">
        <w:rPr>
          <w:kern w:val="2"/>
          <w:vertAlign w:val="superscript"/>
          <w14:ligatures w14:val="standardContextual"/>
        </w:rPr>
        <w:footnoteReference w:id="385"/>
      </w:r>
      <w:r w:rsidRPr="00ED1222">
        <w:rPr>
          <w:kern w:val="2"/>
          <w14:ligatures w14:val="standardContextual"/>
        </w:rPr>
        <w:t xml:space="preserve"> eriti selle artiklit 21,</w:t>
      </w:r>
    </w:p>
    <w:p w14:paraId="4DF1375C"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ED1222">
        <w:rPr>
          <w:kern w:val="2"/>
          <w:vertAlign w:val="superscript"/>
          <w14:ligatures w14:val="standardContextual"/>
        </w:rPr>
        <w:footnoteReference w:id="386"/>
      </w:r>
      <w:r w:rsidRPr="00ED1222">
        <w:rPr>
          <w:kern w:val="2"/>
          <w14:ligatures w14:val="standardContextual"/>
        </w:rPr>
        <w:t xml:space="preserve"> eriti selle artiklit 105,</w:t>
      </w:r>
    </w:p>
    <w:p w14:paraId="39E5907A"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kodukorra artiklit 102 ja V lisa,</w:t>
      </w:r>
    </w:p>
    <w:p w14:paraId="36E459CF"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tööhõive- ja sotsiaalkomisjoni, keskkonna-, kliima- ja toiduohutuse komisjoni, transpordi- ja turismikomisjoni, kalanduskomisjoni, kultuuri- ja </w:t>
      </w:r>
      <w:r w:rsidRPr="00ED1222">
        <w:rPr>
          <w:kern w:val="2"/>
          <w14:ligatures w14:val="standardContextual"/>
        </w:rPr>
        <w:lastRenderedPageBreak/>
        <w:t>hariduskomisjoni, kodanikuvabaduste, justiits- ja siseasjade komisjoni ning naiste õiguste ja soolise võrdõiguslikkuse komisjoni arvamusi,</w:t>
      </w:r>
    </w:p>
    <w:p w14:paraId="71562A98"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eelarvekontrollikomisjoni raportit (A10-0065/2025),</w:t>
      </w:r>
    </w:p>
    <w:p w14:paraId="11AD059A"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w:t>
      </w:r>
      <w:r w:rsidRPr="00ED1222">
        <w:rPr>
          <w:kern w:val="2"/>
          <w14:ligatures w14:val="standardContextual"/>
        </w:rPr>
        <w:tab/>
        <w:t>annab heakskiidu Euroopa Liidu Põhiõiguste Ameti 2023. aasta raamatupidamiskontode sulgemisele;</w:t>
      </w:r>
    </w:p>
    <w:p w14:paraId="35BCAC81"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2.</w:t>
      </w:r>
      <w:r w:rsidRPr="00ED1222">
        <w:rPr>
          <w:kern w:val="2"/>
          <w14:ligatures w14:val="standardContextual"/>
        </w:rPr>
        <w:tab/>
        <w:t xml:space="preserve">teeb presidendile ülesandeks edastada käesolev otsus Euroopa Liidu Põhiõiguste Ameti direktorile, nõukogule, komisjonile ja kontrollikojale ning korraldada selle avaldamine </w:t>
      </w:r>
      <w:r w:rsidRPr="00ED1222">
        <w:rPr>
          <w:i/>
          <w:kern w:val="2"/>
          <w14:ligatures w14:val="standardContextual"/>
        </w:rPr>
        <w:t>Euroopa Liidu Teatajas</w:t>
      </w:r>
      <w:r w:rsidRPr="00ED1222">
        <w:rPr>
          <w:kern w:val="2"/>
          <w14:ligatures w14:val="standardContextual"/>
        </w:rPr>
        <w:t xml:space="preserve"> (L-seerias).</w:t>
      </w:r>
    </w:p>
    <w:p w14:paraId="22329640" w14:textId="77777777" w:rsidR="00ED1222" w:rsidRPr="00ED1222" w:rsidRDefault="00ED1222" w:rsidP="00ED1222">
      <w:pPr>
        <w:widowControl/>
        <w:jc w:val="both"/>
        <w:rPr>
          <w:rFonts w:eastAsia="Aptos"/>
          <w:kern w:val="2"/>
          <w:szCs w:val="24"/>
          <w:lang w:eastAsia="en-US"/>
          <w14:ligatures w14:val="standardContextual"/>
        </w:rPr>
        <w:sectPr w:rsidR="00ED1222" w:rsidRPr="00ED1222" w:rsidSect="00ED1222">
          <w:footnotePr>
            <w:numRestart w:val="eachSect"/>
          </w:footnotePr>
          <w:pgSz w:w="11906" w:h="16838"/>
          <w:pgMar w:top="1440" w:right="1440" w:bottom="1440" w:left="1440" w:header="708" w:footer="708" w:gutter="0"/>
          <w:cols w:space="708"/>
          <w:docGrid w:linePitch="360"/>
        </w:sectPr>
      </w:pPr>
    </w:p>
    <w:p w14:paraId="09BAD05F" w14:textId="77777777" w:rsidR="00ED1222" w:rsidRPr="00ED1222" w:rsidRDefault="00ED1222" w:rsidP="005F2094">
      <w:pPr>
        <w:pStyle w:val="ATHeading3"/>
      </w:pPr>
      <w:r w:rsidRPr="00ED1222">
        <w:lastRenderedPageBreak/>
        <w:t>65. Euroopa Parlamendi 7. mai 2025. aasta otsus Euroopa Piiri- ja Rannikuvalve Ameti 2023. aasta eelarve täitmisele heakskiidu andmise kohta (2024/2030(DEC))</w:t>
      </w:r>
    </w:p>
    <w:p w14:paraId="3DB155E3" w14:textId="77777777" w:rsidR="005F2094" w:rsidRPr="00ED1222" w:rsidRDefault="005F2094" w:rsidP="005F2094">
      <w:pPr>
        <w:spacing w:before="480" w:after="240"/>
        <w:rPr>
          <w:i/>
          <w:kern w:val="2"/>
          <w14:ligatures w14:val="standardContextual"/>
        </w:rPr>
      </w:pPr>
      <w:r w:rsidRPr="00ED1222">
        <w:rPr>
          <w:i/>
          <w:kern w:val="2"/>
          <w14:ligatures w14:val="standardContextual"/>
        </w:rPr>
        <w:t>Euroopa Parlament,</w:t>
      </w:r>
    </w:p>
    <w:p w14:paraId="3481A9C3"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Piiri- ja Rannikuvalve Ameti 2023. aasta lõplikku raamatupidamisaruannet,</w:t>
      </w:r>
    </w:p>
    <w:p w14:paraId="6D5A6BEA"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kontrollikoja aastaaruannet ELi asutuste eelarveaasta 2023 kohta koos asutuste vastustega</w:t>
      </w:r>
      <w:r w:rsidRPr="00ED1222">
        <w:rPr>
          <w:kern w:val="2"/>
          <w:vertAlign w:val="superscript"/>
          <w14:ligatures w14:val="standardContextual"/>
        </w:rPr>
        <w:footnoteReference w:id="387"/>
      </w:r>
      <w:r w:rsidRPr="00ED1222">
        <w:rPr>
          <w:kern w:val="2"/>
          <w14:ligatures w14:val="standardContextual"/>
        </w:rPr>
        <w:t>,</w:t>
      </w:r>
    </w:p>
    <w:p w14:paraId="40EAD430"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vastavalt Euroopa Liidu toimimise lepingu artiklile 287 tehtud kontrollikoja kinnitavat avaldust</w:t>
      </w:r>
      <w:r w:rsidRPr="00ED1222">
        <w:rPr>
          <w:kern w:val="2"/>
          <w:vertAlign w:val="superscript"/>
          <w14:ligatures w14:val="standardContextual"/>
        </w:rPr>
        <w:footnoteReference w:id="388"/>
      </w:r>
      <w:r w:rsidRPr="00ED1222">
        <w:rPr>
          <w:kern w:val="2"/>
          <w14:ligatures w14:val="standardContextual"/>
        </w:rPr>
        <w:t xml:space="preserve"> 2023. aasta raamatupidamiskontode usaldatavuse ja nende aluseks olevate tehingute seaduslikkuse ja korrektsuse kohta,</w:t>
      </w:r>
    </w:p>
    <w:p w14:paraId="0BDB09BC"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nõukogu 17. veebruari 2025. aasta soovitust ameti tegevusele heakskiidu andmise kohta 2023. aasta eelarve täitmisel (05755/2025 – C10</w:t>
      </w:r>
      <w:r w:rsidRPr="00ED1222">
        <w:rPr>
          <w:kern w:val="2"/>
          <w14:ligatures w14:val="standardContextual"/>
        </w:rPr>
        <w:noBreakHyphen/>
        <w:t>0024/2025),</w:t>
      </w:r>
    </w:p>
    <w:p w14:paraId="6D113208"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toimimise lepingu artiklit 319,</w:t>
      </w:r>
    </w:p>
    <w:p w14:paraId="47B95AB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18. juuli 2018. aasta määrust (EL, Euratom) 2018/1046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ED1222">
        <w:rPr>
          <w:kern w:val="2"/>
          <w:vertAlign w:val="superscript"/>
          <w14:ligatures w14:val="standardContextual"/>
        </w:rPr>
        <w:footnoteReference w:id="389"/>
      </w:r>
      <w:r w:rsidRPr="00ED1222">
        <w:rPr>
          <w:kern w:val="2"/>
          <w14:ligatures w14:val="standardContextual"/>
        </w:rPr>
        <w:t xml:space="preserve"> eriti selle artiklit 70,</w:t>
      </w:r>
    </w:p>
    <w:p w14:paraId="2CD9D10F"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23. septembri 2024. aasta määrust (EL, Euratom) 2024/2509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w:t>
      </w:r>
      <w:r w:rsidRPr="00ED1222">
        <w:rPr>
          <w:kern w:val="2"/>
          <w:vertAlign w:val="superscript"/>
          <w14:ligatures w14:val="standardContextual"/>
        </w:rPr>
        <w:footnoteReference w:id="390"/>
      </w:r>
      <w:r w:rsidRPr="00ED1222">
        <w:rPr>
          <w:kern w:val="2"/>
          <w14:ligatures w14:val="standardContextual"/>
        </w:rPr>
        <w:t xml:space="preserve"> eriti selle artiklit 70,</w:t>
      </w:r>
    </w:p>
    <w:p w14:paraId="3B35F73A"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Parlamendi ja nõukogu 13. novembri 2019. aasta määrust (EL) 2019/1896 (mis käsitleb Euroopa piiri- ja rannikuvalvet ning millega tunnistatakse kehtetuks määrused (EL) nr 1052/2013 ning (EL) 2016/1624),</w:t>
      </w:r>
      <w:r w:rsidRPr="00ED1222">
        <w:rPr>
          <w:kern w:val="2"/>
          <w:vertAlign w:val="superscript"/>
          <w14:ligatures w14:val="standardContextual"/>
        </w:rPr>
        <w:footnoteReference w:id="391"/>
      </w:r>
      <w:r w:rsidRPr="00ED1222">
        <w:rPr>
          <w:kern w:val="2"/>
          <w14:ligatures w14:val="standardContextual"/>
        </w:rPr>
        <w:t xml:space="preserve"> eriti selle artiklit 116,</w:t>
      </w:r>
    </w:p>
    <w:p w14:paraId="205A508D"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ED1222">
        <w:rPr>
          <w:kern w:val="2"/>
          <w:vertAlign w:val="superscript"/>
          <w14:ligatures w14:val="standardContextual"/>
        </w:rPr>
        <w:footnoteReference w:id="392"/>
      </w:r>
      <w:r w:rsidRPr="00ED1222">
        <w:rPr>
          <w:kern w:val="2"/>
          <w14:ligatures w14:val="standardContextual"/>
        </w:rPr>
        <w:t xml:space="preserve"> eriti selle artiklit 105,</w:t>
      </w:r>
    </w:p>
    <w:p w14:paraId="43D0FAF4"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kodukorra artiklit 102 ja V lisa,</w:t>
      </w:r>
    </w:p>
    <w:p w14:paraId="4338324A"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lastRenderedPageBreak/>
        <w:t>–</w:t>
      </w:r>
      <w:r w:rsidRPr="00ED1222">
        <w:rPr>
          <w:kern w:val="2"/>
          <w14:ligatures w14:val="standardContextual"/>
        </w:rPr>
        <w:tab/>
        <w:t>võttes arvesse tööhõive- ja sotsiaalkomisjoni, keskkonna-, kliima- ja toiduohutuse komisjoni, transpordi- ja turismikomisjoni, kalanduskomisjoni, kultuuri- ja hariduskomisjoni, kodanikuvabaduste, justiits- ja siseasjade komisjoni ning naiste õiguste ja soolise võrdõiguslikkuse komisjoni arvamusi,</w:t>
      </w:r>
    </w:p>
    <w:p w14:paraId="5DEE1DF1"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eelarvekontrollikomisjoni raportit (A10-0065/2025),</w:t>
      </w:r>
    </w:p>
    <w:p w14:paraId="12FF9752"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w:t>
      </w:r>
      <w:r w:rsidRPr="00ED1222">
        <w:rPr>
          <w:kern w:val="2"/>
          <w14:ligatures w14:val="standardContextual"/>
        </w:rPr>
        <w:tab/>
        <w:t>annab heakskiidu Euroopa Piiri- ja Rannikuvalve Ameti tegevdirektori tegevusele ameti 2023. aasta eelarve täitmisel;</w:t>
      </w:r>
    </w:p>
    <w:p w14:paraId="725CE66C"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2.</w:t>
      </w:r>
      <w:r w:rsidRPr="00ED1222">
        <w:rPr>
          <w:kern w:val="2"/>
          <w14:ligatures w14:val="standardContextual"/>
        </w:rPr>
        <w:tab/>
        <w:t>esitab oma tähelepanekud alltoodud resolutsioonis;</w:t>
      </w:r>
    </w:p>
    <w:p w14:paraId="7100C1EE"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3.</w:t>
      </w:r>
      <w:r w:rsidRPr="00ED1222">
        <w:rPr>
          <w:kern w:val="2"/>
          <w14:ligatures w14:val="standardContextual"/>
        </w:rPr>
        <w:tab/>
        <w:t xml:space="preserve">teeb presidendile ülesandeks edastada käesolev otsus ja resolutsioon, mis on selle lahutamatu osa, Euroopa Piiri- ja Rannikuvalve Ameti tegevdirektorile, nõukogule, komisjonile ja kontrollikojale ning korraldada nende avaldamine </w:t>
      </w:r>
      <w:r w:rsidRPr="00ED1222">
        <w:rPr>
          <w:i/>
          <w:kern w:val="2"/>
          <w14:ligatures w14:val="standardContextual"/>
        </w:rPr>
        <w:t>Euroopa Liidu Teatajas</w:t>
      </w:r>
      <w:r w:rsidRPr="00ED1222">
        <w:rPr>
          <w:kern w:val="2"/>
          <w14:ligatures w14:val="standardContextual"/>
        </w:rPr>
        <w:t xml:space="preserve"> (L-seerias).</w:t>
      </w:r>
    </w:p>
    <w:p w14:paraId="451CBBAD" w14:textId="77777777" w:rsidR="00ED1222" w:rsidRPr="00ED1222" w:rsidRDefault="00ED1222" w:rsidP="00ED1222">
      <w:pPr>
        <w:widowControl/>
        <w:jc w:val="both"/>
        <w:rPr>
          <w:rFonts w:eastAsia="Aptos"/>
          <w:kern w:val="2"/>
          <w:szCs w:val="24"/>
          <w:lang w:eastAsia="en-US"/>
          <w14:ligatures w14:val="standardContextual"/>
        </w:rPr>
        <w:sectPr w:rsidR="00ED1222" w:rsidRPr="00ED1222" w:rsidSect="00ED1222">
          <w:footnotePr>
            <w:numRestart w:val="eachSect"/>
          </w:footnotePr>
          <w:pgSz w:w="11906" w:h="16838"/>
          <w:pgMar w:top="1440" w:right="1440" w:bottom="1440" w:left="1440" w:header="708" w:footer="708" w:gutter="0"/>
          <w:cols w:space="708"/>
          <w:docGrid w:linePitch="360"/>
        </w:sectPr>
      </w:pPr>
    </w:p>
    <w:p w14:paraId="7A58AB32" w14:textId="07A90C69" w:rsidR="00ED1222" w:rsidRPr="00ED1222" w:rsidRDefault="00ED1222" w:rsidP="005F2094">
      <w:pPr>
        <w:pStyle w:val="ATHeading3"/>
      </w:pPr>
      <w:r w:rsidRPr="00ED1222">
        <w:lastRenderedPageBreak/>
        <w:t>66. Euroopa Parlamendi 7. mai 2025. aasta otsus Euroopa Piiri- ja Rannikuvalve Ameti 2023. aasta raamatupidamiskontode sulgemise kohta</w:t>
      </w:r>
      <w:r w:rsidR="00A87338">
        <w:t xml:space="preserve"> </w:t>
      </w:r>
      <w:r w:rsidRPr="00ED1222">
        <w:t>(2024/2030(DEC))</w:t>
      </w:r>
    </w:p>
    <w:p w14:paraId="630C8CAD" w14:textId="77777777" w:rsidR="005F2094" w:rsidRPr="00ED1222" w:rsidRDefault="005F2094" w:rsidP="005F2094">
      <w:pPr>
        <w:spacing w:before="480" w:after="240"/>
        <w:rPr>
          <w:i/>
          <w:kern w:val="2"/>
          <w14:ligatures w14:val="standardContextual"/>
        </w:rPr>
      </w:pPr>
      <w:r w:rsidRPr="00ED1222">
        <w:rPr>
          <w:i/>
          <w:kern w:val="2"/>
          <w14:ligatures w14:val="standardContextual"/>
        </w:rPr>
        <w:t>Euroopa Parlament,</w:t>
      </w:r>
    </w:p>
    <w:p w14:paraId="136C3B85"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Piiri- ja Rannikuvalve Ameti 2023. aasta lõplikku raamatupidamisaruannet,</w:t>
      </w:r>
    </w:p>
    <w:p w14:paraId="3A342B64"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kontrollikoja aastaaruannet ELi asutuste eelarveaasta 2023 kohta koos asutuste vastustega</w:t>
      </w:r>
      <w:r w:rsidRPr="00ED1222">
        <w:rPr>
          <w:kern w:val="2"/>
          <w:vertAlign w:val="superscript"/>
          <w14:ligatures w14:val="standardContextual"/>
        </w:rPr>
        <w:footnoteReference w:id="393"/>
      </w:r>
      <w:r w:rsidRPr="00ED1222">
        <w:rPr>
          <w:kern w:val="2"/>
          <w14:ligatures w14:val="standardContextual"/>
        </w:rPr>
        <w:t>,</w:t>
      </w:r>
    </w:p>
    <w:p w14:paraId="7E717F81"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vastavalt Euroopa Liidu toimimise lepingu artiklile 287 tehtud kontrollikoja kinnitavat avaldust</w:t>
      </w:r>
      <w:r w:rsidRPr="00ED1222">
        <w:rPr>
          <w:kern w:val="2"/>
          <w:vertAlign w:val="superscript"/>
          <w14:ligatures w14:val="standardContextual"/>
        </w:rPr>
        <w:footnoteReference w:id="394"/>
      </w:r>
      <w:r w:rsidRPr="00ED1222">
        <w:rPr>
          <w:kern w:val="2"/>
          <w14:ligatures w14:val="standardContextual"/>
        </w:rPr>
        <w:t xml:space="preserve"> 2023. aasta raamatupidamiskontode usaldatavuse ja nende aluseks olevate tehingute seaduslikkuse ja korrektsuse kohta,</w:t>
      </w:r>
    </w:p>
    <w:p w14:paraId="63357272"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nõukogu 17. veebruari 2025. aasta soovitust ameti tegevusele heakskiidu andmise kohta 2023. aasta eelarve täitmisel (05755/2025 – C10</w:t>
      </w:r>
      <w:r w:rsidRPr="00ED1222">
        <w:rPr>
          <w:kern w:val="2"/>
          <w14:ligatures w14:val="standardContextual"/>
        </w:rPr>
        <w:noBreakHyphen/>
        <w:t>0024/2025),</w:t>
      </w:r>
    </w:p>
    <w:p w14:paraId="14745F8D"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Liidu toimimise lepingu artiklit 319,</w:t>
      </w:r>
    </w:p>
    <w:p w14:paraId="4F82596C"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18. juuli 2018. aasta määrust (EL, Euratom) 2018/1046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ED1222">
        <w:rPr>
          <w:kern w:val="2"/>
          <w:vertAlign w:val="superscript"/>
          <w14:ligatures w14:val="standardContextual"/>
        </w:rPr>
        <w:footnoteReference w:id="395"/>
      </w:r>
      <w:r w:rsidRPr="00ED1222">
        <w:rPr>
          <w:kern w:val="2"/>
          <w14:ligatures w14:val="standardContextual"/>
        </w:rPr>
        <w:t>, eriti selle artiklit 70,</w:t>
      </w:r>
    </w:p>
    <w:p w14:paraId="56AD5CB9"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 xml:space="preserve">võttes arvesse Euroopa Parlamendi ja nõukogu 23. septembri 2024. aasta määrust (EL, Euratom) 2024/2509 (mis käsitleb liidu </w:t>
      </w:r>
      <w:proofErr w:type="spellStart"/>
      <w:r w:rsidRPr="00ED1222">
        <w:rPr>
          <w:kern w:val="2"/>
          <w14:ligatures w14:val="standardContextual"/>
        </w:rPr>
        <w:t>üldeelarve</w:t>
      </w:r>
      <w:proofErr w:type="spellEnd"/>
      <w:r w:rsidRPr="00ED1222">
        <w:rPr>
          <w:kern w:val="2"/>
          <w14:ligatures w14:val="standardContextual"/>
        </w:rPr>
        <w:t xml:space="preserve"> suhtes kohaldatavaid finantsreegleid)</w:t>
      </w:r>
      <w:r w:rsidRPr="00ED1222">
        <w:rPr>
          <w:kern w:val="2"/>
          <w:vertAlign w:val="superscript"/>
          <w14:ligatures w14:val="standardContextual"/>
        </w:rPr>
        <w:footnoteReference w:id="396"/>
      </w:r>
      <w:r w:rsidRPr="00ED1222">
        <w:rPr>
          <w:kern w:val="2"/>
          <w14:ligatures w14:val="standardContextual"/>
        </w:rPr>
        <w:t>, eriti selle artiklit 70,</w:t>
      </w:r>
    </w:p>
    <w:p w14:paraId="53CB12E7"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Euroopa Parlamendi ja nõukogu 13. novembri 2019. aasta määrust (EL) 2019/1896 (mis käsitleb Euroopa piiri- ja rannikuvalvet ning millega tunnistatakse kehtetuks määrused (EL) nr 1052/2013 ning (EL) 2016/1624)</w:t>
      </w:r>
      <w:r w:rsidRPr="00ED1222">
        <w:rPr>
          <w:kern w:val="2"/>
          <w:vertAlign w:val="superscript"/>
          <w14:ligatures w14:val="standardContextual"/>
        </w:rPr>
        <w:footnoteReference w:id="397"/>
      </w:r>
      <w:r w:rsidRPr="00ED1222">
        <w:rPr>
          <w:kern w:val="2"/>
          <w14:ligatures w14:val="standardContextual"/>
        </w:rPr>
        <w:t>, eriti selle artiklit 116,</w:t>
      </w:r>
    </w:p>
    <w:p w14:paraId="30A0FEC3"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ED1222">
        <w:rPr>
          <w:kern w:val="2"/>
          <w:vertAlign w:val="superscript"/>
          <w14:ligatures w14:val="standardContextual"/>
        </w:rPr>
        <w:footnoteReference w:id="398"/>
      </w:r>
      <w:r w:rsidRPr="00ED1222">
        <w:rPr>
          <w:kern w:val="2"/>
          <w14:ligatures w14:val="standardContextual"/>
        </w:rPr>
        <w:t>, eriti selle artiklit 105,</w:t>
      </w:r>
    </w:p>
    <w:p w14:paraId="2B5A4653"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kodukorra artiklit 102 ja V lisa,</w:t>
      </w:r>
    </w:p>
    <w:p w14:paraId="41489C91"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lastRenderedPageBreak/>
        <w:t>–</w:t>
      </w:r>
      <w:r w:rsidRPr="00ED1222">
        <w:rPr>
          <w:kern w:val="2"/>
          <w14:ligatures w14:val="standardContextual"/>
        </w:rPr>
        <w:tab/>
        <w:t>võttes arvesse tööhõive- ja sotsiaalkomisjoni, keskkonna-, kliima- ja toiduohutuse komisjoni, transpordi- ja turismikomisjoni, kalanduskomisjoni, kultuuri- ja hariduskomisjoni, kodanikuvabaduste, justiits- ja siseasjade komisjoni ning naiste õiguste ja soolise võrdõiguslikkuse komisjoni arvamusi,</w:t>
      </w:r>
    </w:p>
    <w:p w14:paraId="19AB4C48"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w:t>
      </w:r>
      <w:r w:rsidRPr="00ED1222">
        <w:rPr>
          <w:kern w:val="2"/>
          <w14:ligatures w14:val="standardContextual"/>
        </w:rPr>
        <w:tab/>
        <w:t>võttes arvesse eelarvekontrollikomisjoni raportit (A10-0065/2025),</w:t>
      </w:r>
    </w:p>
    <w:p w14:paraId="5B9A2552"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w:t>
      </w:r>
      <w:r w:rsidRPr="00ED1222">
        <w:rPr>
          <w:kern w:val="2"/>
          <w14:ligatures w14:val="standardContextual"/>
        </w:rPr>
        <w:tab/>
        <w:t>annab heakskiidu Euroopa Piiri- ja Rannikuvalve Ameti 2023. aasta raamatupidamiskontode sulgemisele;</w:t>
      </w:r>
    </w:p>
    <w:p w14:paraId="43969959"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2.</w:t>
      </w:r>
      <w:r w:rsidRPr="00ED1222">
        <w:rPr>
          <w:kern w:val="2"/>
          <w14:ligatures w14:val="standardContextual"/>
        </w:rPr>
        <w:tab/>
        <w:t xml:space="preserve">teeb presidendile ülesandeks edastada käesolev otsus Euroopa Piiri- ja Rannikuvalve Ameti tegevdirektorile, nõukogule, komisjonile ja kontrollikojale ning korraldada selle avaldamine </w:t>
      </w:r>
      <w:r w:rsidRPr="00ED1222">
        <w:rPr>
          <w:i/>
          <w:kern w:val="2"/>
          <w14:ligatures w14:val="standardContextual"/>
        </w:rPr>
        <w:t>Euroopa Liidu Teatajas</w:t>
      </w:r>
      <w:r w:rsidRPr="00ED1222">
        <w:rPr>
          <w:kern w:val="2"/>
          <w14:ligatures w14:val="standardContextual"/>
        </w:rPr>
        <w:t xml:space="preserve"> (L-seerias).</w:t>
      </w:r>
    </w:p>
    <w:p w14:paraId="0385CE04" w14:textId="77777777" w:rsidR="00ED1222" w:rsidRPr="00ED1222" w:rsidRDefault="00ED1222" w:rsidP="00ED1222">
      <w:pPr>
        <w:widowControl/>
        <w:jc w:val="both"/>
        <w:rPr>
          <w:rFonts w:eastAsia="Aptos"/>
          <w:kern w:val="2"/>
          <w:szCs w:val="24"/>
          <w:lang w:eastAsia="en-US"/>
          <w14:ligatures w14:val="standardContextual"/>
        </w:rPr>
        <w:sectPr w:rsidR="00ED1222" w:rsidRPr="00ED1222" w:rsidSect="00ED1222">
          <w:footnotePr>
            <w:numRestart w:val="eachSect"/>
          </w:footnotePr>
          <w:pgSz w:w="11906" w:h="16838"/>
          <w:pgMar w:top="1440" w:right="1440" w:bottom="1440" w:left="1440" w:header="708" w:footer="708" w:gutter="0"/>
          <w:cols w:space="708"/>
          <w:docGrid w:linePitch="360"/>
        </w:sectPr>
      </w:pPr>
    </w:p>
    <w:p w14:paraId="3F3D2B65" w14:textId="77777777" w:rsidR="00ED1222" w:rsidRPr="00ED1222" w:rsidRDefault="00ED1222" w:rsidP="00ED1222">
      <w:pPr>
        <w:pStyle w:val="ATHeading3"/>
      </w:pPr>
      <w:r w:rsidRPr="00ED1222">
        <w:lastRenderedPageBreak/>
        <w:t>67. Euroopa Parlamendi 7. mai 2025. aasta resolutsioon tähelepanekutega, mis on Euroopa Liidu asutuste 2023. aasta eelarve täitmisele heakskiidu andmist käsitlevate otsuste lahutamatu osa (2024/2030(DEC))</w:t>
      </w:r>
    </w:p>
    <w:p w14:paraId="737DA874" w14:textId="77777777" w:rsidR="005F2094" w:rsidRPr="00ED1222" w:rsidRDefault="005F2094" w:rsidP="005F2094">
      <w:pPr>
        <w:spacing w:before="480" w:after="240"/>
        <w:rPr>
          <w:i/>
          <w:kern w:val="2"/>
          <w14:ligatures w14:val="standardContextual"/>
        </w:rPr>
      </w:pPr>
      <w:r w:rsidRPr="00ED1222">
        <w:rPr>
          <w:i/>
          <w:kern w:val="2"/>
          <w14:ligatures w14:val="standardContextual"/>
        </w:rPr>
        <w:t>Euroopa Parlament,</w:t>
      </w:r>
    </w:p>
    <w:p w14:paraId="02456D64" w14:textId="41E6C6CA" w:rsidR="00ED1222" w:rsidRPr="00ED1222" w:rsidRDefault="00A87338" w:rsidP="00ED1222">
      <w:pPr>
        <w:spacing w:after="240"/>
        <w:ind w:left="567" w:hanging="567"/>
        <w:rPr>
          <w:kern w:val="2"/>
          <w14:ligatures w14:val="standardContextual"/>
        </w:rPr>
      </w:pPr>
      <w:r w:rsidRPr="00ED1222">
        <w:rPr>
          <w:kern w:val="2"/>
          <w14:ligatures w14:val="standardContextual"/>
        </w:rPr>
        <w:t>–</w:t>
      </w:r>
      <w:r w:rsidR="00ED1222" w:rsidRPr="00ED1222">
        <w:rPr>
          <w:kern w:val="2"/>
          <w14:ligatures w14:val="standardContextual"/>
        </w:rPr>
        <w:tab/>
        <w:t>võttes arvesse oma otsust Euroopa Liidu Energeetikasektorit Reguleerivate Asutuste Koostöö Ameti 2023. aasta eelarve täitmisele heakskiidu andmise kohta,</w:t>
      </w:r>
    </w:p>
    <w:p w14:paraId="3C824129" w14:textId="35C51764" w:rsidR="00ED1222" w:rsidRPr="00ED1222" w:rsidRDefault="00A87338" w:rsidP="00ED1222">
      <w:pPr>
        <w:spacing w:after="240"/>
        <w:ind w:left="567" w:hanging="567"/>
        <w:rPr>
          <w:kern w:val="2"/>
          <w14:ligatures w14:val="standardContextual"/>
        </w:rPr>
      </w:pPr>
      <w:r w:rsidRPr="00ED1222">
        <w:rPr>
          <w:kern w:val="2"/>
          <w14:ligatures w14:val="standardContextual"/>
        </w:rPr>
        <w:t>–</w:t>
      </w:r>
      <w:r w:rsidR="00ED1222" w:rsidRPr="00ED1222">
        <w:rPr>
          <w:kern w:val="2"/>
          <w14:ligatures w14:val="standardContextual"/>
        </w:rPr>
        <w:tab/>
        <w:t xml:space="preserve">võttes arvesse oma otsust </w:t>
      </w:r>
      <w:proofErr w:type="spellStart"/>
      <w:r w:rsidR="00ED1222" w:rsidRPr="00ED1222">
        <w:rPr>
          <w:kern w:val="2"/>
          <w14:ligatures w14:val="standardContextual"/>
        </w:rPr>
        <w:t>BERECi</w:t>
      </w:r>
      <w:proofErr w:type="spellEnd"/>
      <w:r w:rsidR="00ED1222" w:rsidRPr="00ED1222">
        <w:rPr>
          <w:kern w:val="2"/>
          <w14:ligatures w14:val="standardContextual"/>
        </w:rPr>
        <w:t xml:space="preserve"> Tugiameti 2023. aasta eelarve täitmisele heakskiidu andmise kohta,</w:t>
      </w:r>
    </w:p>
    <w:p w14:paraId="6C0AA5B3" w14:textId="7A0FA062" w:rsidR="00ED1222" w:rsidRPr="00ED1222" w:rsidRDefault="00A87338" w:rsidP="00ED1222">
      <w:pPr>
        <w:spacing w:after="240"/>
        <w:ind w:left="567" w:hanging="567"/>
        <w:rPr>
          <w:kern w:val="2"/>
          <w14:ligatures w14:val="standardContextual"/>
        </w:rPr>
      </w:pPr>
      <w:r w:rsidRPr="00ED1222">
        <w:rPr>
          <w:kern w:val="2"/>
          <w14:ligatures w14:val="standardContextual"/>
        </w:rPr>
        <w:t>–</w:t>
      </w:r>
      <w:r w:rsidR="00ED1222" w:rsidRPr="00ED1222">
        <w:rPr>
          <w:kern w:val="2"/>
          <w14:ligatures w14:val="standardContextual"/>
        </w:rPr>
        <w:tab/>
        <w:t>võttes arvesse oma otsust Euroopa Liidu Asutuste Tõlkekeskuse 2023. aasta eelarve täitmisele heakskiidu andmise kohta,</w:t>
      </w:r>
    </w:p>
    <w:p w14:paraId="6F83B2C5" w14:textId="4E4E5261" w:rsidR="00ED1222" w:rsidRPr="00ED1222" w:rsidRDefault="00A87338" w:rsidP="00ED1222">
      <w:pPr>
        <w:spacing w:after="240"/>
        <w:ind w:left="567" w:hanging="567"/>
        <w:rPr>
          <w:kern w:val="2"/>
          <w14:ligatures w14:val="standardContextual"/>
        </w:rPr>
      </w:pPr>
      <w:r w:rsidRPr="00ED1222">
        <w:rPr>
          <w:kern w:val="2"/>
          <w14:ligatures w14:val="standardContextual"/>
        </w:rPr>
        <w:t>–</w:t>
      </w:r>
      <w:r w:rsidR="00ED1222" w:rsidRPr="00ED1222">
        <w:rPr>
          <w:kern w:val="2"/>
          <w14:ligatures w14:val="standardContextual"/>
        </w:rPr>
        <w:tab/>
        <w:t>võttes arvesse oma otsust Euroopa Kutseõppe Arenduskeskuse 2023. aasta eelarve täitmisele heakskiidu andmise kohta,</w:t>
      </w:r>
    </w:p>
    <w:p w14:paraId="2A6E1B64" w14:textId="02B4334F" w:rsidR="00ED1222" w:rsidRPr="00ED1222" w:rsidRDefault="00A87338" w:rsidP="00ED1222">
      <w:pPr>
        <w:spacing w:after="240"/>
        <w:ind w:left="567" w:hanging="567"/>
        <w:rPr>
          <w:kern w:val="2"/>
          <w14:ligatures w14:val="standardContextual"/>
        </w:rPr>
      </w:pPr>
      <w:r w:rsidRPr="00ED1222">
        <w:rPr>
          <w:kern w:val="2"/>
          <w14:ligatures w14:val="standardContextual"/>
        </w:rPr>
        <w:t>–</w:t>
      </w:r>
      <w:r w:rsidR="00ED1222" w:rsidRPr="00ED1222">
        <w:rPr>
          <w:kern w:val="2"/>
          <w14:ligatures w14:val="standardContextual"/>
        </w:rPr>
        <w:tab/>
        <w:t>võttes arvesse oma otsust Euroopa Liidu Õiguskaitsekoolituse Ameti 2023. aasta eelarve täitmisele heakskiidu andmise kohta,</w:t>
      </w:r>
    </w:p>
    <w:p w14:paraId="5D1D8D7D" w14:textId="4EB3907A" w:rsidR="00ED1222" w:rsidRPr="00ED1222" w:rsidRDefault="00A87338" w:rsidP="00ED1222">
      <w:pPr>
        <w:spacing w:after="240"/>
        <w:ind w:left="567" w:hanging="567"/>
        <w:rPr>
          <w:kern w:val="2"/>
          <w14:ligatures w14:val="standardContextual"/>
        </w:rPr>
      </w:pPr>
      <w:r w:rsidRPr="00ED1222">
        <w:rPr>
          <w:kern w:val="2"/>
          <w14:ligatures w14:val="standardContextual"/>
        </w:rPr>
        <w:t>–</w:t>
      </w:r>
      <w:r w:rsidR="00ED1222" w:rsidRPr="00ED1222">
        <w:rPr>
          <w:kern w:val="2"/>
          <w14:ligatures w14:val="standardContextual"/>
        </w:rPr>
        <w:tab/>
        <w:t>võttes arvesse oma otsust Euroopa Liidu Lennundusohutusameti 2023. aasta eelarve täitmisele heakskiidu andmise kohta,</w:t>
      </w:r>
    </w:p>
    <w:p w14:paraId="51C9DD29" w14:textId="61B19571" w:rsidR="00ED1222" w:rsidRPr="00ED1222" w:rsidRDefault="00A87338" w:rsidP="00ED1222">
      <w:pPr>
        <w:spacing w:after="240"/>
        <w:ind w:left="567" w:hanging="567"/>
        <w:rPr>
          <w:kern w:val="2"/>
          <w14:ligatures w14:val="standardContextual"/>
        </w:rPr>
      </w:pPr>
      <w:r w:rsidRPr="00ED1222">
        <w:rPr>
          <w:kern w:val="2"/>
          <w14:ligatures w14:val="standardContextual"/>
        </w:rPr>
        <w:t>–</w:t>
      </w:r>
      <w:r w:rsidR="00ED1222" w:rsidRPr="00ED1222">
        <w:rPr>
          <w:kern w:val="2"/>
          <w14:ligatures w14:val="standardContextual"/>
        </w:rPr>
        <w:tab/>
        <w:t>võttes arvesse oma otsust Euroopa Pangandusjärelevalve 2023. aasta eelarve täitmisele heakskiidu andmise kohta,</w:t>
      </w:r>
    </w:p>
    <w:p w14:paraId="48364530" w14:textId="5F6F6FD6" w:rsidR="00ED1222" w:rsidRPr="00ED1222" w:rsidRDefault="00A87338" w:rsidP="00ED1222">
      <w:pPr>
        <w:spacing w:after="240"/>
        <w:ind w:left="567" w:hanging="567"/>
        <w:rPr>
          <w:kern w:val="2"/>
          <w14:ligatures w14:val="standardContextual"/>
        </w:rPr>
      </w:pPr>
      <w:r w:rsidRPr="00ED1222">
        <w:rPr>
          <w:kern w:val="2"/>
          <w14:ligatures w14:val="standardContextual"/>
        </w:rPr>
        <w:t>–</w:t>
      </w:r>
      <w:r w:rsidR="00ED1222" w:rsidRPr="00ED1222">
        <w:rPr>
          <w:kern w:val="2"/>
          <w14:ligatures w14:val="standardContextual"/>
        </w:rPr>
        <w:tab/>
        <w:t>võttes arvesse oma otsust Haiguste Ennetamise ja Tõrje Euroopa Keskuse 2023. aasta eelarve täitmisele heakskiidu andmise kohta,</w:t>
      </w:r>
    </w:p>
    <w:p w14:paraId="65090D5D" w14:textId="22D2E990" w:rsidR="00ED1222" w:rsidRPr="00ED1222" w:rsidRDefault="00A87338" w:rsidP="00ED1222">
      <w:pPr>
        <w:spacing w:after="240"/>
        <w:ind w:left="567" w:hanging="567"/>
        <w:rPr>
          <w:kern w:val="2"/>
          <w14:ligatures w14:val="standardContextual"/>
        </w:rPr>
      </w:pPr>
      <w:r w:rsidRPr="00ED1222">
        <w:rPr>
          <w:kern w:val="2"/>
          <w14:ligatures w14:val="standardContextual"/>
        </w:rPr>
        <w:t>–</w:t>
      </w:r>
      <w:r w:rsidR="00ED1222" w:rsidRPr="00ED1222">
        <w:rPr>
          <w:kern w:val="2"/>
          <w14:ligatures w14:val="standardContextual"/>
        </w:rPr>
        <w:tab/>
        <w:t>võttes arvesse oma otsust Euroopa Kemikaaliameti 2023. aasta eelarve täitmisele heakskiidu andmise kohta,</w:t>
      </w:r>
    </w:p>
    <w:p w14:paraId="27529B34" w14:textId="7616A164" w:rsidR="00ED1222" w:rsidRPr="00ED1222" w:rsidRDefault="00A87338" w:rsidP="00ED1222">
      <w:pPr>
        <w:spacing w:after="240"/>
        <w:ind w:left="567" w:hanging="567"/>
        <w:rPr>
          <w:kern w:val="2"/>
          <w14:ligatures w14:val="standardContextual"/>
        </w:rPr>
      </w:pPr>
      <w:r w:rsidRPr="00ED1222">
        <w:rPr>
          <w:kern w:val="2"/>
          <w14:ligatures w14:val="standardContextual"/>
        </w:rPr>
        <w:t>–</w:t>
      </w:r>
      <w:r w:rsidR="00ED1222" w:rsidRPr="00ED1222">
        <w:rPr>
          <w:kern w:val="2"/>
          <w14:ligatures w14:val="standardContextual"/>
        </w:rPr>
        <w:tab/>
        <w:t>võttes arvesse oma otsust Euroopa Keskkonnaameti 2023. aasta eelarve täitmisele heakskiidu andmise kohta,</w:t>
      </w:r>
    </w:p>
    <w:p w14:paraId="2718DB61" w14:textId="25D3F97C" w:rsidR="00ED1222" w:rsidRPr="00ED1222" w:rsidRDefault="00A87338" w:rsidP="00ED1222">
      <w:pPr>
        <w:spacing w:after="240"/>
        <w:ind w:left="567" w:hanging="567"/>
        <w:rPr>
          <w:kern w:val="2"/>
          <w14:ligatures w14:val="standardContextual"/>
        </w:rPr>
      </w:pPr>
      <w:r w:rsidRPr="00ED1222">
        <w:rPr>
          <w:kern w:val="2"/>
          <w14:ligatures w14:val="standardContextual"/>
        </w:rPr>
        <w:t>–</w:t>
      </w:r>
      <w:r w:rsidR="00ED1222" w:rsidRPr="00ED1222">
        <w:rPr>
          <w:kern w:val="2"/>
          <w14:ligatures w14:val="standardContextual"/>
        </w:rPr>
        <w:tab/>
        <w:t>võttes arvesse oma otsust Euroopa Kalanduskontrolli Ameti 2023. aasta eelarve täitmisele heakskiidu andmise kohta,</w:t>
      </w:r>
    </w:p>
    <w:p w14:paraId="7FA4E8A2" w14:textId="16B049FB" w:rsidR="00ED1222" w:rsidRPr="00ED1222" w:rsidRDefault="00A87338" w:rsidP="00ED1222">
      <w:pPr>
        <w:spacing w:after="240"/>
        <w:ind w:left="567" w:hanging="567"/>
        <w:rPr>
          <w:kern w:val="2"/>
          <w14:ligatures w14:val="standardContextual"/>
        </w:rPr>
      </w:pPr>
      <w:r w:rsidRPr="00ED1222">
        <w:rPr>
          <w:kern w:val="2"/>
          <w14:ligatures w14:val="standardContextual"/>
        </w:rPr>
        <w:t>–</w:t>
      </w:r>
      <w:r w:rsidR="00ED1222" w:rsidRPr="00ED1222">
        <w:rPr>
          <w:kern w:val="2"/>
          <w14:ligatures w14:val="standardContextual"/>
        </w:rPr>
        <w:tab/>
        <w:t>võttes arvesse oma otsust Euroopa Toiduohutusameti 2023. aasta eelarve täitmisele heakskiidu andmise kohta,</w:t>
      </w:r>
    </w:p>
    <w:p w14:paraId="747D8B3B" w14:textId="614829D1" w:rsidR="00ED1222" w:rsidRPr="00ED1222" w:rsidRDefault="00A87338" w:rsidP="00ED1222">
      <w:pPr>
        <w:spacing w:after="240"/>
        <w:ind w:left="567" w:hanging="567"/>
        <w:rPr>
          <w:kern w:val="2"/>
          <w14:ligatures w14:val="standardContextual"/>
        </w:rPr>
      </w:pPr>
      <w:r w:rsidRPr="00ED1222">
        <w:rPr>
          <w:kern w:val="2"/>
          <w14:ligatures w14:val="standardContextual"/>
        </w:rPr>
        <w:t>–</w:t>
      </w:r>
      <w:r w:rsidR="00ED1222" w:rsidRPr="00ED1222">
        <w:rPr>
          <w:kern w:val="2"/>
          <w14:ligatures w14:val="standardContextual"/>
        </w:rPr>
        <w:tab/>
        <w:t>võttes arvesse oma otsust Euroopa Soolise Võrdõiguslikkuse Instituudi 2023. aasta eelarve täitmisele heakskiidu andmise kohta,</w:t>
      </w:r>
    </w:p>
    <w:p w14:paraId="0F53445B" w14:textId="481D5A05" w:rsidR="00ED1222" w:rsidRPr="00ED1222" w:rsidRDefault="00A87338" w:rsidP="00ED1222">
      <w:pPr>
        <w:spacing w:after="240"/>
        <w:ind w:left="567" w:hanging="567"/>
        <w:rPr>
          <w:kern w:val="2"/>
          <w14:ligatures w14:val="standardContextual"/>
        </w:rPr>
      </w:pPr>
      <w:r w:rsidRPr="00ED1222">
        <w:rPr>
          <w:kern w:val="2"/>
          <w14:ligatures w14:val="standardContextual"/>
        </w:rPr>
        <w:t>–</w:t>
      </w:r>
      <w:r w:rsidR="00ED1222" w:rsidRPr="00ED1222">
        <w:rPr>
          <w:kern w:val="2"/>
          <w14:ligatures w14:val="standardContextual"/>
        </w:rPr>
        <w:tab/>
        <w:t>võttes arvesse oma otsust Euroopa Kindlustus- ja Tööandjapensionide Järelevalve 2023. aasta eelarve täitmisele heakskiidu andmise kohta,</w:t>
      </w:r>
    </w:p>
    <w:p w14:paraId="08721C85" w14:textId="65FC4A2C" w:rsidR="00ED1222" w:rsidRPr="00ED1222" w:rsidRDefault="00A87338" w:rsidP="00ED1222">
      <w:pPr>
        <w:spacing w:after="240"/>
        <w:ind w:left="567" w:hanging="567"/>
        <w:rPr>
          <w:kern w:val="2"/>
          <w14:ligatures w14:val="standardContextual"/>
        </w:rPr>
      </w:pPr>
      <w:r w:rsidRPr="00ED1222">
        <w:rPr>
          <w:kern w:val="2"/>
          <w14:ligatures w14:val="standardContextual"/>
        </w:rPr>
        <w:t>–</w:t>
      </w:r>
      <w:r w:rsidR="00ED1222" w:rsidRPr="00ED1222">
        <w:rPr>
          <w:kern w:val="2"/>
          <w14:ligatures w14:val="standardContextual"/>
        </w:rPr>
        <w:tab/>
        <w:t>võttes arvesse oma otsust Euroopa Innovatsiooni- ja Tehnoloogiainstituudi 2023. aasta eelarve täitmisele heakskiidu andmise kohta,</w:t>
      </w:r>
    </w:p>
    <w:p w14:paraId="1CBCDC68" w14:textId="6424447F" w:rsidR="00ED1222" w:rsidRPr="00ED1222" w:rsidRDefault="00A87338" w:rsidP="00ED1222">
      <w:pPr>
        <w:spacing w:after="240"/>
        <w:ind w:left="567" w:hanging="567"/>
        <w:rPr>
          <w:kern w:val="2"/>
          <w14:ligatures w14:val="standardContextual"/>
        </w:rPr>
      </w:pPr>
      <w:r w:rsidRPr="00ED1222">
        <w:rPr>
          <w:kern w:val="2"/>
          <w14:ligatures w14:val="standardContextual"/>
        </w:rPr>
        <w:lastRenderedPageBreak/>
        <w:t>–</w:t>
      </w:r>
      <w:r w:rsidR="00ED1222" w:rsidRPr="00ED1222">
        <w:rPr>
          <w:kern w:val="2"/>
          <w14:ligatures w14:val="standardContextual"/>
        </w:rPr>
        <w:tab/>
        <w:t>võttes arvesse oma otsust Euroopa Tööjõuameti 2023. aasta eelarve täitmisele heakskiidu andmise kohta,</w:t>
      </w:r>
    </w:p>
    <w:p w14:paraId="14603D34" w14:textId="5849D668" w:rsidR="00ED1222" w:rsidRPr="00ED1222" w:rsidRDefault="00A87338" w:rsidP="00ED1222">
      <w:pPr>
        <w:spacing w:after="240"/>
        <w:ind w:left="567" w:hanging="567"/>
        <w:rPr>
          <w:kern w:val="2"/>
          <w14:ligatures w14:val="standardContextual"/>
        </w:rPr>
      </w:pPr>
      <w:r w:rsidRPr="00ED1222">
        <w:rPr>
          <w:kern w:val="2"/>
          <w14:ligatures w14:val="standardContextual"/>
        </w:rPr>
        <w:t>–</w:t>
      </w:r>
      <w:r w:rsidR="00ED1222" w:rsidRPr="00ED1222">
        <w:rPr>
          <w:kern w:val="2"/>
          <w14:ligatures w14:val="standardContextual"/>
        </w:rPr>
        <w:tab/>
        <w:t>võttes arvesse oma otsust Euroopa Ravimiameti 2023. aasta eelarve täitmisele heakskiidu andmise kohta,</w:t>
      </w:r>
    </w:p>
    <w:p w14:paraId="4B18A8F1" w14:textId="3E53A17F" w:rsidR="00ED1222" w:rsidRPr="00ED1222" w:rsidRDefault="00A87338" w:rsidP="00ED1222">
      <w:pPr>
        <w:spacing w:after="240"/>
        <w:ind w:left="567" w:hanging="567"/>
        <w:rPr>
          <w:kern w:val="2"/>
          <w14:ligatures w14:val="standardContextual"/>
        </w:rPr>
      </w:pPr>
      <w:r w:rsidRPr="00ED1222">
        <w:rPr>
          <w:kern w:val="2"/>
          <w14:ligatures w14:val="standardContextual"/>
        </w:rPr>
        <w:t>–</w:t>
      </w:r>
      <w:r w:rsidR="00ED1222" w:rsidRPr="00ED1222">
        <w:rPr>
          <w:kern w:val="2"/>
          <w14:ligatures w14:val="standardContextual"/>
        </w:rPr>
        <w:tab/>
        <w:t>võttes arvesse oma otsust Euroopa Narkootikumide ja Narkomaania Seirekeskuse 2023. aasta eelarve täitmisele heakskiidu andmise kohta,</w:t>
      </w:r>
    </w:p>
    <w:p w14:paraId="0C15F01C" w14:textId="7AA87189" w:rsidR="00ED1222" w:rsidRPr="00ED1222" w:rsidRDefault="00A87338" w:rsidP="00ED1222">
      <w:pPr>
        <w:spacing w:after="240"/>
        <w:ind w:left="567" w:hanging="567"/>
        <w:rPr>
          <w:kern w:val="2"/>
          <w14:ligatures w14:val="standardContextual"/>
        </w:rPr>
      </w:pPr>
      <w:r w:rsidRPr="00ED1222">
        <w:rPr>
          <w:kern w:val="2"/>
          <w14:ligatures w14:val="standardContextual"/>
        </w:rPr>
        <w:t>–</w:t>
      </w:r>
      <w:r w:rsidR="00ED1222" w:rsidRPr="00ED1222">
        <w:rPr>
          <w:kern w:val="2"/>
          <w14:ligatures w14:val="standardContextual"/>
        </w:rPr>
        <w:tab/>
        <w:t>võttes arvesse oma otsust Euroopa Meresõiduohutuse Ameti 2023. aasta eelarve täitmisele heakskiidu andmise kohta,</w:t>
      </w:r>
    </w:p>
    <w:p w14:paraId="40A90B62" w14:textId="69AA7FAE" w:rsidR="00ED1222" w:rsidRPr="00ED1222" w:rsidRDefault="00A87338" w:rsidP="00ED1222">
      <w:pPr>
        <w:spacing w:after="240"/>
        <w:ind w:left="567" w:hanging="567"/>
        <w:rPr>
          <w:kern w:val="2"/>
          <w14:ligatures w14:val="standardContextual"/>
        </w:rPr>
      </w:pPr>
      <w:r w:rsidRPr="00ED1222">
        <w:rPr>
          <w:kern w:val="2"/>
          <w14:ligatures w14:val="standardContextual"/>
        </w:rPr>
        <w:t>–</w:t>
      </w:r>
      <w:r w:rsidR="00ED1222" w:rsidRPr="00ED1222">
        <w:rPr>
          <w:kern w:val="2"/>
          <w14:ligatures w14:val="standardContextual"/>
        </w:rPr>
        <w:tab/>
        <w:t>võttes arvesse oma otsust Euroopa Liidu Küberturvalisuse Ameti 2023. aasta eelarve täitmisele heakskiidu andmise kohta,</w:t>
      </w:r>
    </w:p>
    <w:p w14:paraId="302684B2" w14:textId="5C067A96" w:rsidR="00ED1222" w:rsidRPr="00ED1222" w:rsidRDefault="00A87338" w:rsidP="00ED1222">
      <w:pPr>
        <w:spacing w:after="240"/>
        <w:ind w:left="567" w:hanging="567"/>
        <w:rPr>
          <w:kern w:val="2"/>
          <w14:ligatures w14:val="standardContextual"/>
        </w:rPr>
      </w:pPr>
      <w:r w:rsidRPr="00ED1222">
        <w:rPr>
          <w:kern w:val="2"/>
          <w14:ligatures w14:val="standardContextual"/>
        </w:rPr>
        <w:t>–</w:t>
      </w:r>
      <w:r w:rsidR="00ED1222" w:rsidRPr="00ED1222">
        <w:rPr>
          <w:kern w:val="2"/>
          <w14:ligatures w14:val="standardContextual"/>
        </w:rPr>
        <w:tab/>
        <w:t>võttes arvesse oma otsust Euroopa Liidu Raudteeameti 2023. aasta eelarve täitmisele heakskiidu andmise kohta,</w:t>
      </w:r>
    </w:p>
    <w:p w14:paraId="50BD6F30" w14:textId="4463BE7E" w:rsidR="00ED1222" w:rsidRPr="00ED1222" w:rsidRDefault="00A87338" w:rsidP="00ED1222">
      <w:pPr>
        <w:spacing w:after="240"/>
        <w:ind w:left="567" w:hanging="567"/>
        <w:rPr>
          <w:kern w:val="2"/>
          <w14:ligatures w14:val="standardContextual"/>
        </w:rPr>
      </w:pPr>
      <w:r w:rsidRPr="00ED1222">
        <w:rPr>
          <w:kern w:val="2"/>
          <w14:ligatures w14:val="standardContextual"/>
        </w:rPr>
        <w:t>–</w:t>
      </w:r>
      <w:r w:rsidR="00ED1222" w:rsidRPr="00ED1222">
        <w:rPr>
          <w:kern w:val="2"/>
          <w14:ligatures w14:val="standardContextual"/>
        </w:rPr>
        <w:tab/>
        <w:t>võttes arvesse oma otsust Euratomi Tarneagentuuri 2023. aasta eelarve täitmisele heakskiidu andmise kohta,</w:t>
      </w:r>
    </w:p>
    <w:p w14:paraId="0E5F6C11" w14:textId="40B91017" w:rsidR="00ED1222" w:rsidRPr="00ED1222" w:rsidRDefault="00A87338" w:rsidP="00ED1222">
      <w:pPr>
        <w:spacing w:after="240"/>
        <w:ind w:left="567" w:hanging="567"/>
        <w:rPr>
          <w:kern w:val="2"/>
          <w14:ligatures w14:val="standardContextual"/>
        </w:rPr>
      </w:pPr>
      <w:r w:rsidRPr="00ED1222">
        <w:rPr>
          <w:kern w:val="2"/>
          <w14:ligatures w14:val="standardContextual"/>
        </w:rPr>
        <w:t>–</w:t>
      </w:r>
      <w:r w:rsidR="00ED1222" w:rsidRPr="00ED1222">
        <w:rPr>
          <w:kern w:val="2"/>
          <w14:ligatures w14:val="standardContextual"/>
        </w:rPr>
        <w:tab/>
        <w:t>võttes arvesse oma otsust Euroopa Väärtpaberiturujärelevalve 2023. aasta eelarve täitmisele heakskiidu andmise kohta,</w:t>
      </w:r>
    </w:p>
    <w:p w14:paraId="7DC183AA" w14:textId="3CD5C24D" w:rsidR="00ED1222" w:rsidRPr="00ED1222" w:rsidRDefault="00A87338" w:rsidP="00ED1222">
      <w:pPr>
        <w:spacing w:after="240"/>
        <w:ind w:left="567" w:hanging="567"/>
        <w:rPr>
          <w:kern w:val="2"/>
          <w14:ligatures w14:val="standardContextual"/>
        </w:rPr>
      </w:pPr>
      <w:r w:rsidRPr="00ED1222">
        <w:rPr>
          <w:kern w:val="2"/>
          <w14:ligatures w14:val="standardContextual"/>
        </w:rPr>
        <w:t>–</w:t>
      </w:r>
      <w:r w:rsidR="00ED1222" w:rsidRPr="00ED1222">
        <w:rPr>
          <w:kern w:val="2"/>
          <w14:ligatures w14:val="standardContextual"/>
        </w:rPr>
        <w:tab/>
        <w:t>võttes arvesse oma otsust Euroopa Koolitusfondi 2023. aasta eelarve täitmisele heakskiidu andmise kohta,</w:t>
      </w:r>
    </w:p>
    <w:p w14:paraId="03E51982" w14:textId="65DA2E70" w:rsidR="00ED1222" w:rsidRPr="00ED1222" w:rsidRDefault="00A87338" w:rsidP="00ED1222">
      <w:pPr>
        <w:spacing w:after="240"/>
        <w:ind w:left="567" w:hanging="567"/>
        <w:rPr>
          <w:kern w:val="2"/>
          <w14:ligatures w14:val="standardContextual"/>
        </w:rPr>
      </w:pPr>
      <w:r w:rsidRPr="00ED1222">
        <w:rPr>
          <w:kern w:val="2"/>
          <w14:ligatures w14:val="standardContextual"/>
        </w:rPr>
        <w:t>–</w:t>
      </w:r>
      <w:r w:rsidR="00ED1222" w:rsidRPr="00ED1222">
        <w:rPr>
          <w:kern w:val="2"/>
          <w14:ligatures w14:val="standardContextual"/>
        </w:rPr>
        <w:tab/>
        <w:t>võttes arvesse oma otsust Euroopa Liidu Varjupaigaameti 2023. aasta eelarve täitmisele heakskiidu andmise kohta,</w:t>
      </w:r>
    </w:p>
    <w:p w14:paraId="07103060" w14:textId="3A8275B7" w:rsidR="00ED1222" w:rsidRPr="00ED1222" w:rsidRDefault="00A87338" w:rsidP="00ED1222">
      <w:pPr>
        <w:spacing w:after="240"/>
        <w:ind w:left="567" w:hanging="567"/>
        <w:rPr>
          <w:kern w:val="2"/>
          <w14:ligatures w14:val="standardContextual"/>
        </w:rPr>
      </w:pPr>
      <w:r w:rsidRPr="00ED1222">
        <w:rPr>
          <w:kern w:val="2"/>
          <w14:ligatures w14:val="standardContextual"/>
        </w:rPr>
        <w:t>–</w:t>
      </w:r>
      <w:r w:rsidR="00ED1222" w:rsidRPr="00ED1222">
        <w:rPr>
          <w:kern w:val="2"/>
          <w14:ligatures w14:val="standardContextual"/>
        </w:rPr>
        <w:tab/>
        <w:t>võttes arvesse oma otsust Vabadusel, Turvalisusel ja Õigusel Rajaneva Ala Suuremahuliste IT-süsteemide Operatiivjuhtimise Euroopa Liidu Ameti 2023. aasta eelarve täitmisele heakskiidu andmise kohta,</w:t>
      </w:r>
    </w:p>
    <w:p w14:paraId="131C836E" w14:textId="7C3B857F" w:rsidR="00ED1222" w:rsidRPr="00ED1222" w:rsidRDefault="00A87338" w:rsidP="00ED1222">
      <w:pPr>
        <w:spacing w:after="240"/>
        <w:ind w:left="567" w:hanging="567"/>
        <w:rPr>
          <w:kern w:val="2"/>
          <w14:ligatures w14:val="standardContextual"/>
        </w:rPr>
      </w:pPr>
      <w:r w:rsidRPr="00ED1222">
        <w:rPr>
          <w:kern w:val="2"/>
          <w14:ligatures w14:val="standardContextual"/>
        </w:rPr>
        <w:t>–</w:t>
      </w:r>
      <w:r w:rsidR="00ED1222" w:rsidRPr="00ED1222">
        <w:rPr>
          <w:kern w:val="2"/>
          <w14:ligatures w14:val="standardContextual"/>
        </w:rPr>
        <w:tab/>
        <w:t>võttes arvesse oma otsust Euroopa Tööohutuse ja Töötervishoiu Ameti 2023. aasta eelarve täitmisele heakskiidu andmise kohta,</w:t>
      </w:r>
    </w:p>
    <w:p w14:paraId="47EAE169" w14:textId="6C85FF9C" w:rsidR="00ED1222" w:rsidRPr="00ED1222" w:rsidRDefault="00A87338" w:rsidP="00ED1222">
      <w:pPr>
        <w:spacing w:after="240"/>
        <w:ind w:left="567" w:hanging="567"/>
        <w:rPr>
          <w:kern w:val="2"/>
          <w14:ligatures w14:val="standardContextual"/>
        </w:rPr>
      </w:pPr>
      <w:r w:rsidRPr="00ED1222">
        <w:rPr>
          <w:kern w:val="2"/>
          <w14:ligatures w14:val="standardContextual"/>
        </w:rPr>
        <w:t>–</w:t>
      </w:r>
      <w:r w:rsidR="00ED1222" w:rsidRPr="00ED1222">
        <w:rPr>
          <w:kern w:val="2"/>
          <w14:ligatures w14:val="standardContextual"/>
        </w:rPr>
        <w:tab/>
        <w:t>võttes arvesse oma otsust Euroopa Elu- ja Töötingimuste Parandamise Sihtasutuse 2023. aasta eelarve täitmisele heakskiidu andmise kohta,</w:t>
      </w:r>
    </w:p>
    <w:p w14:paraId="18D659CE" w14:textId="403A6444" w:rsidR="00ED1222" w:rsidRPr="00ED1222" w:rsidRDefault="00A87338" w:rsidP="00ED1222">
      <w:pPr>
        <w:spacing w:after="240"/>
        <w:ind w:left="567" w:hanging="567"/>
        <w:rPr>
          <w:kern w:val="2"/>
          <w14:ligatures w14:val="standardContextual"/>
        </w:rPr>
      </w:pPr>
      <w:r w:rsidRPr="00ED1222">
        <w:rPr>
          <w:kern w:val="2"/>
          <w14:ligatures w14:val="standardContextual"/>
        </w:rPr>
        <w:t>–</w:t>
      </w:r>
      <w:r w:rsidR="00ED1222" w:rsidRPr="00ED1222">
        <w:rPr>
          <w:kern w:val="2"/>
          <w14:ligatures w14:val="standardContextual"/>
        </w:rPr>
        <w:tab/>
        <w:t>võttes arvesse oma otsust Euroopa Liidu Kriminaalõigusalase Koostöö Ameti 2023. aasta eelarve täitmisele heakskiidu andmise kohta,</w:t>
      </w:r>
    </w:p>
    <w:p w14:paraId="723FF373" w14:textId="00A66ED5" w:rsidR="00ED1222" w:rsidRPr="00ED1222" w:rsidRDefault="00A87338" w:rsidP="00ED1222">
      <w:pPr>
        <w:spacing w:after="240"/>
        <w:ind w:left="567" w:hanging="567"/>
        <w:rPr>
          <w:kern w:val="2"/>
          <w14:ligatures w14:val="standardContextual"/>
        </w:rPr>
      </w:pPr>
      <w:r w:rsidRPr="00ED1222">
        <w:rPr>
          <w:kern w:val="2"/>
          <w14:ligatures w14:val="standardContextual"/>
        </w:rPr>
        <w:t>–</w:t>
      </w:r>
      <w:r w:rsidR="00ED1222" w:rsidRPr="00ED1222">
        <w:rPr>
          <w:kern w:val="2"/>
          <w14:ligatures w14:val="standardContextual"/>
        </w:rPr>
        <w:tab/>
        <w:t>võttes arvesse oma otsust Euroopa Liidu Õiguskaitsekoolituse Ameti 2023. aasta eelarve täitmisele heakskiidu andmise kohta,</w:t>
      </w:r>
    </w:p>
    <w:p w14:paraId="1A6B64C9" w14:textId="0C71B5FA" w:rsidR="00ED1222" w:rsidRPr="00ED1222" w:rsidRDefault="00A87338" w:rsidP="00ED1222">
      <w:pPr>
        <w:spacing w:after="240"/>
        <w:ind w:left="567" w:hanging="567"/>
        <w:rPr>
          <w:kern w:val="2"/>
          <w14:ligatures w14:val="standardContextual"/>
        </w:rPr>
      </w:pPr>
      <w:r w:rsidRPr="00ED1222">
        <w:rPr>
          <w:kern w:val="2"/>
          <w14:ligatures w14:val="standardContextual"/>
        </w:rPr>
        <w:t>–</w:t>
      </w:r>
      <w:r w:rsidR="00ED1222" w:rsidRPr="00ED1222">
        <w:rPr>
          <w:kern w:val="2"/>
          <w14:ligatures w14:val="standardContextual"/>
        </w:rPr>
        <w:tab/>
        <w:t>võttes arvesse oma otsust Euroopa Liidu Kosmoseprogrammi Ameti 2023. aasta eelarve täitmisele heakskiidu andmise kohta,</w:t>
      </w:r>
    </w:p>
    <w:p w14:paraId="25063CFA" w14:textId="3487C0E9" w:rsidR="00ED1222" w:rsidRPr="00ED1222" w:rsidRDefault="00A87338" w:rsidP="00ED1222">
      <w:pPr>
        <w:spacing w:after="240"/>
        <w:ind w:left="567" w:hanging="567"/>
        <w:rPr>
          <w:kern w:val="2"/>
          <w14:ligatures w14:val="standardContextual"/>
        </w:rPr>
      </w:pPr>
      <w:r w:rsidRPr="00ED1222">
        <w:rPr>
          <w:kern w:val="2"/>
          <w14:ligatures w14:val="standardContextual"/>
        </w:rPr>
        <w:t>–</w:t>
      </w:r>
      <w:r w:rsidR="00ED1222" w:rsidRPr="00ED1222">
        <w:rPr>
          <w:kern w:val="2"/>
          <w14:ligatures w14:val="standardContextual"/>
        </w:rPr>
        <w:tab/>
        <w:t>võttes arvesse oma otsust Euroopa Liidu Põhiõiguste Ameti 2023. aasta eelarve täitmisele heakskiidu andmise kohta,</w:t>
      </w:r>
    </w:p>
    <w:p w14:paraId="7B5E0102" w14:textId="4A86EF0B" w:rsidR="00ED1222" w:rsidRPr="00ED1222" w:rsidRDefault="00A87338" w:rsidP="00ED1222">
      <w:pPr>
        <w:spacing w:after="240"/>
        <w:ind w:left="567" w:hanging="567"/>
        <w:rPr>
          <w:kern w:val="2"/>
          <w14:ligatures w14:val="standardContextual"/>
        </w:rPr>
      </w:pPr>
      <w:r w:rsidRPr="00ED1222">
        <w:rPr>
          <w:kern w:val="2"/>
          <w14:ligatures w14:val="standardContextual"/>
        </w:rPr>
        <w:lastRenderedPageBreak/>
        <w:t>–</w:t>
      </w:r>
      <w:r w:rsidR="00ED1222" w:rsidRPr="00ED1222">
        <w:rPr>
          <w:kern w:val="2"/>
          <w14:ligatures w14:val="standardContextual"/>
        </w:rPr>
        <w:tab/>
        <w:t>võttes arvesse oma otsust Euroopa Piiri- ja Rannikuvalve Ameti 2023. aasta eelarve täitmisele heakskiidu andmise kohta,</w:t>
      </w:r>
    </w:p>
    <w:p w14:paraId="6059A0C9" w14:textId="0928937F" w:rsidR="00ED1222" w:rsidRPr="00ED1222" w:rsidRDefault="00A87338" w:rsidP="00ED1222">
      <w:pPr>
        <w:spacing w:after="240"/>
        <w:ind w:left="567" w:hanging="567"/>
        <w:rPr>
          <w:kern w:val="2"/>
          <w14:ligatures w14:val="standardContextual"/>
        </w:rPr>
      </w:pPr>
      <w:r w:rsidRPr="00ED1222">
        <w:rPr>
          <w:kern w:val="2"/>
          <w14:ligatures w14:val="standardContextual"/>
        </w:rPr>
        <w:t>–</w:t>
      </w:r>
      <w:r w:rsidR="00ED1222" w:rsidRPr="00ED1222">
        <w:rPr>
          <w:kern w:val="2"/>
          <w14:ligatures w14:val="standardContextual"/>
        </w:rPr>
        <w:tab/>
        <w:t>võttes arvesse kodukorra artiklit 102 ja V lisa,</w:t>
      </w:r>
    </w:p>
    <w:p w14:paraId="697A30FC" w14:textId="7E06503F" w:rsidR="00ED1222" w:rsidRPr="00ED1222" w:rsidRDefault="00A87338" w:rsidP="00ED1222">
      <w:pPr>
        <w:spacing w:after="240"/>
        <w:ind w:left="567" w:hanging="567"/>
        <w:rPr>
          <w:kern w:val="2"/>
          <w14:ligatures w14:val="standardContextual"/>
        </w:rPr>
      </w:pPr>
      <w:r w:rsidRPr="00ED1222">
        <w:rPr>
          <w:kern w:val="2"/>
          <w14:ligatures w14:val="standardContextual"/>
        </w:rPr>
        <w:t>–</w:t>
      </w:r>
      <w:r w:rsidR="00ED1222" w:rsidRPr="00ED1222">
        <w:rPr>
          <w:kern w:val="2"/>
          <w14:ligatures w14:val="standardContextual"/>
        </w:rPr>
        <w:tab/>
        <w:t>võttes arvesse tööhõive- ja sotsiaalkomisjoni, keskkonna-, kliima- ja toiduohutuse komisjoni, transpordi- ja turismikomisjoni, kalanduskomisjoni, kultuuri- ja hariduskomisjoni, kodanikuvabaduste, justiits- ja siseasjade komisjoni ning naiste õiguste ja soolise võrdõiguslikkuse komisjoni arvamusi,</w:t>
      </w:r>
    </w:p>
    <w:p w14:paraId="0FB617F4" w14:textId="12B76478" w:rsidR="00ED1222" w:rsidRPr="00ED1222" w:rsidRDefault="00A87338" w:rsidP="00ED1222">
      <w:pPr>
        <w:spacing w:after="240"/>
        <w:ind w:left="567" w:hanging="567"/>
        <w:rPr>
          <w:kern w:val="2"/>
          <w14:ligatures w14:val="standardContextual"/>
        </w:rPr>
      </w:pPr>
      <w:r w:rsidRPr="00ED1222">
        <w:rPr>
          <w:kern w:val="2"/>
          <w14:ligatures w14:val="standardContextual"/>
        </w:rPr>
        <w:t>–</w:t>
      </w:r>
      <w:r w:rsidR="00ED1222" w:rsidRPr="00ED1222">
        <w:rPr>
          <w:kern w:val="2"/>
          <w14:ligatures w14:val="standardContextual"/>
        </w:rPr>
        <w:tab/>
        <w:t>võttes arvesse eelarvekontrollikomisjoni raportit (A10-0065/2025),</w:t>
      </w:r>
    </w:p>
    <w:p w14:paraId="57C1AE67"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A.</w:t>
      </w:r>
      <w:r w:rsidRPr="00ED1222">
        <w:rPr>
          <w:kern w:val="2"/>
          <w14:ligatures w14:val="standardContextual"/>
        </w:rPr>
        <w:tab/>
        <w:t>arvestades, et ELi asutused </w:t>
      </w:r>
      <w:r w:rsidRPr="00ED1222">
        <w:rPr>
          <w:kern w:val="2"/>
          <w:vertAlign w:val="superscript"/>
          <w14:ligatures w14:val="standardContextual"/>
        </w:rPr>
        <w:footnoteReference w:id="399"/>
      </w:r>
      <w:r w:rsidRPr="00ED1222">
        <w:rPr>
          <w:kern w:val="2"/>
          <w14:ligatures w14:val="standardContextual"/>
        </w:rPr>
        <w:t xml:space="preserve"> on eraldi juriidilised isikud, mis on loodud selleks, et täita konkreetseid tehnilisi, teaduslikke või juhtimisülesandeid, mis aitavad liidu institutsioonidel poliitikat kavandada ja ellu viia; arvestades, et asutused paiknevad eri liikmesriikides ja neil võib olla oluline mõju Euroopa kodanike igapäevaelu jaoks keskse tähtsusega valdkondadele (nt tervishoid, ohutus, turvalisus, vabadus ja õigus);</w:t>
      </w:r>
    </w:p>
    <w:p w14:paraId="3C4C7930"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B.</w:t>
      </w:r>
      <w:r w:rsidRPr="00ED1222">
        <w:rPr>
          <w:kern w:val="2"/>
          <w14:ligatures w14:val="standardContextual"/>
        </w:rPr>
        <w:tab/>
        <w:t>arvestades, et käesolev resolutsioon sisaldab iga määruse (EL, Euratom) 2024/2509 artikli 70 kohase asutuse ja Euratomi Tarneagentuuri kohta horisontaalseid tähelepanekuid, mis on lisatud eelarve täitmisele heakskiidu andmise otsustele vastavalt Euroopa Parlamendi ja nõukogu määruse (EL, Euratom) 2024/2509</w:t>
      </w:r>
      <w:r w:rsidRPr="00ED1222">
        <w:rPr>
          <w:kern w:val="2"/>
          <w:vertAlign w:val="superscript"/>
          <w14:ligatures w14:val="standardContextual"/>
        </w:rPr>
        <w:footnoteReference w:id="400"/>
      </w:r>
      <w:r w:rsidRPr="00ED1222">
        <w:rPr>
          <w:kern w:val="2"/>
          <w14:ligatures w14:val="standardContextual"/>
        </w:rPr>
        <w:t xml:space="preserve"> artiklile 268 ja Euroopa Parlamendi kodukorra V lisa artiklile 3;</w:t>
      </w:r>
    </w:p>
    <w:p w14:paraId="5CD2031F"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C.</w:t>
      </w:r>
      <w:r w:rsidRPr="00ED1222">
        <w:rPr>
          <w:kern w:val="2"/>
          <w14:ligatures w14:val="standardContextual"/>
        </w:rPr>
        <w:tab/>
        <w:t>arvestades, et liidu detsentraliseeritud asutused ja Euratomi Tarneagentuur peaksid eelkõige täitma selge Euroopa lisaväärtusega ülesandeid, mis peaksid olema korraldatud võimalikult optimaalselt, et vältida liidu maksumaksja huvides kattumisi;</w:t>
      </w:r>
    </w:p>
    <w:p w14:paraId="7FCEB08C"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D.</w:t>
      </w:r>
      <w:r w:rsidRPr="00ED1222">
        <w:rPr>
          <w:kern w:val="2"/>
          <w14:ligatures w14:val="standardContextual"/>
        </w:rPr>
        <w:tab/>
        <w:t>arvestades, et eelarve täitmisele heakskiidu andmise menetluse raames püüab eelarve täitmisele heakskiidu andmise eest vastutav institutsioon rõhutada, kui oluline on suurendada liidu institutsioonide demokraatlikku legitiimsust; arvestades, et see hõlmab läbipaistvuse ja aruandekohustuse suurendamist ning tulemuspõhise eelarvestamise ja personalijuhtimise hea tava rakendamist;</w:t>
      </w:r>
    </w:p>
    <w:p w14:paraId="3757E777"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E.</w:t>
      </w:r>
      <w:r w:rsidRPr="00ED1222">
        <w:rPr>
          <w:kern w:val="2"/>
          <w14:ligatures w14:val="standardContextual"/>
        </w:rPr>
        <w:tab/>
        <w:t>arvestades, et Euroopa Liidu eelarvekontrollitegevus tugineb kahele põhimõttele: ühelt poolt tagada liidu eelarve korrektne ja läbipaistev kasutamine ning teiselt poolt kaitsta liidu finantshuve ja võidelda pettuse vastu;</w:t>
      </w:r>
    </w:p>
    <w:p w14:paraId="42579CC4"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F.</w:t>
      </w:r>
      <w:r w:rsidRPr="00ED1222">
        <w:rPr>
          <w:kern w:val="2"/>
          <w14:ligatures w14:val="standardContextual"/>
        </w:rPr>
        <w:tab/>
        <w:t>arvestades, et 2012. aastal võtsid Euroopa Parlament, Euroopa Liidu Nõukogu ja Euroopa Komisjon vastu ühisavalduse </w:t>
      </w:r>
      <w:r w:rsidRPr="00ED1222">
        <w:rPr>
          <w:rFonts w:eastAsia="Calibri"/>
          <w:kern w:val="2"/>
          <w:vertAlign w:val="superscript"/>
          <w14:ligatures w14:val="standardContextual"/>
        </w:rPr>
        <w:footnoteReference w:id="401"/>
      </w:r>
      <w:r w:rsidRPr="00ED1222">
        <w:rPr>
          <w:kern w:val="2"/>
          <w14:ligatures w14:val="standardContextual"/>
        </w:rPr>
        <w:t xml:space="preserve"> ja tervikliku juhtpõhimõtete kogumi – ühise lähenemisviisi –, et muuta asutused sidusamaks, tulemuslikumaks ja vastutustundlikumaks; arvestades, et komisjon kohustus võtma selle kokkuleppega </w:t>
      </w:r>
      <w:r w:rsidRPr="00ED1222">
        <w:rPr>
          <w:kern w:val="2"/>
          <w14:ligatures w14:val="standardContextual"/>
        </w:rPr>
        <w:lastRenderedPageBreak/>
        <w:t>seoses järelmeetmeid, vajaduse korral koostöös asutustega;</w:t>
      </w:r>
    </w:p>
    <w:p w14:paraId="3625F18E"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G.</w:t>
      </w:r>
      <w:r w:rsidRPr="00ED1222">
        <w:rPr>
          <w:kern w:val="2"/>
          <w14:ligatures w14:val="standardContextual"/>
        </w:rPr>
        <w:tab/>
        <w:t>arvestades, et tunnistades ühisavalduse ja selle lisas esitatud ühise lähenemisviisi õiguslikult mittesiduvat iseloomu ning ilma et see piiraks nende mõju seadusandlikes ja iga-aastastes eelarvemenetlustes, võtavad institutsioonid seda ühist lähenemisviisi pärast juhtumipõhist analüüsi arvesse kõigi oma tulevaste, liidu detsentraliseeritud asutusi käsitlevate otsuste kontekstis;</w:t>
      </w:r>
    </w:p>
    <w:p w14:paraId="68B0B311" w14:textId="77777777" w:rsidR="00ED1222" w:rsidRPr="00ED1222" w:rsidRDefault="00ED1222" w:rsidP="00ED1222">
      <w:pPr>
        <w:keepNext/>
        <w:keepLines/>
        <w:spacing w:after="240"/>
        <w:rPr>
          <w:b/>
          <w:i/>
          <w:kern w:val="2"/>
          <w:szCs w:val="24"/>
          <w14:ligatures w14:val="standardContextual"/>
        </w:rPr>
      </w:pPr>
      <w:r w:rsidRPr="00ED1222">
        <w:rPr>
          <w:b/>
          <w:i/>
          <w:kern w:val="2"/>
          <w14:ligatures w14:val="standardContextual"/>
        </w:rPr>
        <w:t>Üldine teave</w:t>
      </w:r>
    </w:p>
    <w:p w14:paraId="5DD29540"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w:t>
      </w:r>
      <w:r w:rsidRPr="00ED1222">
        <w:rPr>
          <w:kern w:val="2"/>
          <w14:ligatures w14:val="standardContextual"/>
        </w:rPr>
        <w:tab/>
        <w:t>märgib, et asutusi on kolme liiki: detsentraliseeritud asutused, rakendusametid ja muud organid;</w:t>
      </w:r>
    </w:p>
    <w:p w14:paraId="72B49EAD" w14:textId="77777777" w:rsidR="00ED1222" w:rsidRPr="00ED1222" w:rsidRDefault="00ED1222" w:rsidP="00ED1222">
      <w:pPr>
        <w:spacing w:after="240"/>
        <w:ind w:left="567" w:hanging="567"/>
        <w:rPr>
          <w:kern w:val="2"/>
          <w:szCs w:val="24"/>
          <w14:ligatures w14:val="standardContextual"/>
        </w:rPr>
      </w:pPr>
      <w:r w:rsidRPr="00ED1222">
        <w:rPr>
          <w:kern w:val="2"/>
          <w14:ligatures w14:val="standardContextual"/>
        </w:rPr>
        <w:t>2.</w:t>
      </w:r>
      <w:r w:rsidRPr="00ED1222">
        <w:rPr>
          <w:kern w:val="2"/>
          <w14:ligatures w14:val="standardContextual"/>
        </w:rPr>
        <w:tab/>
        <w:t>tuletab meelde, et käesolev resolutsioon hõlmab 33 detsentraliseeritud asutusest 31 ja ülejäänud neljast asutusest kahte (Euroopa Innovatsiooni- ja Tehnoloogiainstituut (EIT) ning Euratomi Tarneagentuur); rõhutab, et kahe täielikult isemajandava detsentraliseeritud asutuse, nimelt Ühenduse Sordiameti (CPVO) ja Euroopa Liidu Intellektuaalomandi Ameti (EUIPO) eelarve- ja eelarve täitmisele heakskiidu andmise menetlusi haldavad vastavalt CPVO haldusnõukogu ja EUIPO eelarvekomitee ning need ei ole käesoleva resolutsiooni osa; märgib, et samuti kuuluvad Ühtse Kriisilahendusnõukogu (SRB) iga-aastane eelarvemenetlus ja eelarve täitmisele heakskiidu andmise menetlus üksnes kriisilahendusnõukogu vastutusalasse; rõhutab vajadust tagada Euroopa ressursside tõhus kasutamine; nõuab kooskõlas kontrollikojaga detsentraliseeritud asutuste põhjalikku hindamist, et hinnata võimalikke reforme, kaotada liiasus, suurendada tõhusust ja saavutada kulude kokkuhoid; tuletab meelde, kui oluline on tugevdada juhtimisstruktuure, tagades samal ajal, et asutused jäävad tulemuslikuks ja reageerivad muutuvatele vajadustele;</w:t>
      </w:r>
    </w:p>
    <w:p w14:paraId="1638384E"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3.</w:t>
      </w:r>
      <w:r w:rsidRPr="00ED1222">
        <w:rPr>
          <w:kern w:val="2"/>
          <w14:ligatures w14:val="standardContextual"/>
        </w:rPr>
        <w:tab/>
        <w:t>rõhutab eelarve täitmisele heakskiidu andmise menetluse tähtsust, kuna see ei ole mitte ainult aluslepingul põhinev kohustus, vaid edendab ja püüab tagada ka läbipaistvust, aruandekohustust ja avatud dialoogi liidu rahanduse üle; märgib, et see annab asutustele ka võimaluse tutvustada oma tööd ja näidata oma lisaväärtust liidu ja selle kodanike jaoks; rõhutab lisaks, et asutused vastavad Euroopa Parlamendi saadetud küsimustikele ja kutsutakse eelarve täitmisele heakskiidu andmise eest vastutava institutsiooni avalikele kuulamistele ning et see annab kodanikele, ettevõtetele, valitsusvälistele organisatsioonidele ja teistele sidusrühmadele võimaluse kohtumisi jälgida ja saada kindlustunne, et tulud ja kulud on kooskõlas usaldusväärse finantsjuhtimise põhimõtetega;</w:t>
      </w:r>
    </w:p>
    <w:p w14:paraId="05D4B9B8"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4.</w:t>
      </w:r>
      <w:r w:rsidRPr="00ED1222">
        <w:rPr>
          <w:kern w:val="2"/>
          <w14:ligatures w14:val="standardContextual"/>
        </w:rPr>
        <w:tab/>
        <w:t>on seisukohal, et selline eelarve täitmisele heakskiidu andmise kontseptsioon, kus asutuse eelarve täitmisele antakse heakskiit asutusesiseselt, nagu EUIPO, CPVO ja SRB puhul, võib põhjustada huvide konflikti; on veendunud, et eelarve täitmisele heakskiidu andmine Euroopa Parlamendi poolt väldib võimalikku huvide konflikti ning aitab suurendada asutuste läbipaistvust ja avalikku mainet;</w:t>
      </w:r>
    </w:p>
    <w:p w14:paraId="4CE56FDB"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5.</w:t>
      </w:r>
      <w:r w:rsidRPr="00ED1222">
        <w:rPr>
          <w:kern w:val="2"/>
          <w14:ligatures w14:val="standardContextual"/>
        </w:rPr>
        <w:tab/>
        <w:t>on arvamusel, et olenemata õigusraamistikust tuleks kõigi ELiga seotud organite suhtes kohaldada samu vastutuse ja läbipaistvuse põhimõtteid;</w:t>
      </w:r>
    </w:p>
    <w:p w14:paraId="1900FE40"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6.</w:t>
      </w:r>
      <w:r w:rsidRPr="00ED1222">
        <w:rPr>
          <w:kern w:val="2"/>
          <w14:ligatures w14:val="standardContextual"/>
        </w:rPr>
        <w:tab/>
        <w:t>tuletab meelde ühise lähenemisviisi punkti 58 täielikult omavahenditest rahastatavate asutuste kohta ja Euroopa Parlamendi avaliku kontrolli tagamise kohta, milles on öeldud:</w:t>
      </w:r>
      <w:r w:rsidRPr="00ED1222">
        <w:rPr>
          <w:i/>
          <w:kern w:val="2"/>
          <w14:ligatures w14:val="standardContextual"/>
        </w:rPr>
        <w:t xml:space="preserve"> </w:t>
      </w:r>
      <w:r w:rsidRPr="00ED1222">
        <w:rPr>
          <w:kern w:val="2"/>
          <w14:ligatures w14:val="standardContextual"/>
        </w:rPr>
        <w:t xml:space="preserve">„Analüüsida tuleks täielikult omavahenditest rahastatavate (st nende klientide </w:t>
      </w:r>
      <w:r w:rsidRPr="00ED1222">
        <w:rPr>
          <w:kern w:val="2"/>
          <w14:ligatures w14:val="standardContextual"/>
        </w:rPr>
        <w:lastRenderedPageBreak/>
        <w:t>rahastatavate) ametite demokraatliku vastutuse kindlustamise võimalusi, kuna nende näol on tegemist ELi poliitikat ellu viivate liidu asutustega, kellele ei kohaldata eelarve täitmise kinnitamist ELi toimimise lepingu tähenduses.</w:t>
      </w:r>
      <w:r w:rsidRPr="00ED1222">
        <w:rPr>
          <w:i/>
          <w:kern w:val="2"/>
          <w14:ligatures w14:val="standardContextual"/>
        </w:rPr>
        <w:t xml:space="preserve"> </w:t>
      </w:r>
      <w:r w:rsidRPr="00ED1222">
        <w:rPr>
          <w:kern w:val="2"/>
          <w14:ligatures w14:val="standardContextual"/>
        </w:rPr>
        <w:t>Ühe võimalusena võiksid kõnealused ametid esitada Euroopa Parlamendile, nõukogule ja komisjonile aastaaruande oma eelarve täitmise kohta ning võtta arvesse Euroopa Parlamendi ja nõukogu soove või ettepanekuid.“;</w:t>
      </w:r>
    </w:p>
    <w:p w14:paraId="5626A0FC"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7.</w:t>
      </w:r>
      <w:r w:rsidRPr="00ED1222">
        <w:rPr>
          <w:kern w:val="2"/>
          <w14:ligatures w14:val="standardContextual"/>
        </w:rPr>
        <w:tab/>
        <w:t>juhib tähelepanu sellele, et kuigi ELi asutuste loomise või laiendamise eesmärk on suurendada liidu suutlikkust, on äärmiselt oluline tagada, et selles protsessis juhindutakse põhjalikest hindamistest, mõjuhinnangutest ja lisaväärtuse selgest tõendamisest, et oleks võimalik õppida kogemustest ja kaaluda vajaduse korral nende volituste lõpetamist; rõhutab, et selline lähenemisviis tagab mitte ainult parema õigusloome, vaid suurendab ka liidu institutsioonilise maastiku mõjusust, vastutust, läbipaistvust ja sidusust;</w:t>
      </w:r>
    </w:p>
    <w:p w14:paraId="22FAC52E" w14:textId="77777777" w:rsidR="00ED1222" w:rsidRPr="00ED1222" w:rsidRDefault="00ED1222" w:rsidP="00ED1222">
      <w:pPr>
        <w:widowControl/>
        <w:spacing w:after="240"/>
        <w:ind w:left="567" w:hanging="567"/>
        <w:rPr>
          <w:kern w:val="2"/>
          <w:szCs w:val="24"/>
          <w14:ligatures w14:val="standardContextual"/>
        </w:rPr>
      </w:pPr>
      <w:r w:rsidRPr="00ED1222">
        <w:rPr>
          <w:kern w:val="2"/>
          <w14:ligatures w14:val="standardContextual"/>
        </w:rPr>
        <w:t>8.</w:t>
      </w:r>
      <w:r w:rsidRPr="00ED1222">
        <w:rPr>
          <w:kern w:val="2"/>
          <w14:ligatures w14:val="standardContextual"/>
        </w:rPr>
        <w:tab/>
        <w:t>tuletab meelde, et ühise lähenemisviisi punktis 60 on öeldud, et iga ELi asutust tuleks hinnata iga viie aasta järel; nõuab tungivalt, et komisjon uuriks täiendavat koostoimet ja konsolideerimist tegevuses ning asutuste võimalikku ühendamist koos lisategevusega, et tagada kulutõhusus ja ühtlustada asutuse ülesandeid, sealhulgas võimalik volituste läbivaatamine, kui esineb ebatõhusust või liiasust; julgustab vajaduse korral kohaldama aegumis-/ülevaatamisklauslit, et säilitada tõhusus ja tagada ressursside optimaalne kasutamine; on veendunud, et eelarve tõhusus on asutuste toimimise alus; kordab kontrollikoja eriaruandes nr 22/2020 </w:t>
      </w:r>
      <w:r w:rsidRPr="00ED1222">
        <w:rPr>
          <w:kern w:val="2"/>
          <w:szCs w:val="24"/>
          <w:vertAlign w:val="superscript"/>
          <w14:ligatures w14:val="standardContextual"/>
        </w:rPr>
        <w:footnoteReference w:id="402"/>
      </w:r>
      <w:r w:rsidRPr="00ED1222">
        <w:rPr>
          <w:kern w:val="2"/>
          <w14:ligatures w14:val="standardContextual"/>
        </w:rPr>
        <w:t xml:space="preserve"> esitatud soovitust, et komisjon kasutaks seoses eri poliitikavaldkondade toimivuskontrollidega asutuste </w:t>
      </w:r>
      <w:proofErr w:type="spellStart"/>
      <w:r w:rsidRPr="00ED1222">
        <w:rPr>
          <w:kern w:val="2"/>
          <w14:ligatures w14:val="standardContextual"/>
        </w:rPr>
        <w:t>valdkondadevahelist</w:t>
      </w:r>
      <w:proofErr w:type="spellEnd"/>
      <w:r w:rsidRPr="00ED1222">
        <w:rPr>
          <w:kern w:val="2"/>
          <w14:ligatures w14:val="standardContextual"/>
        </w:rPr>
        <w:t xml:space="preserve"> hindamist;</w:t>
      </w:r>
    </w:p>
    <w:p w14:paraId="096B4331" w14:textId="77777777" w:rsidR="00ED1222" w:rsidRPr="00ED1222" w:rsidRDefault="00ED1222" w:rsidP="00ED1222">
      <w:pPr>
        <w:spacing w:after="240"/>
        <w:ind w:left="567" w:hanging="567"/>
        <w:rPr>
          <w:kern w:val="2"/>
          <w:szCs w:val="24"/>
          <w14:ligatures w14:val="standardContextual"/>
        </w:rPr>
      </w:pPr>
      <w:r w:rsidRPr="00ED1222">
        <w:rPr>
          <w:kern w:val="2"/>
          <w14:ligatures w14:val="standardContextual"/>
        </w:rPr>
        <w:t>9.</w:t>
      </w:r>
      <w:r w:rsidRPr="00ED1222">
        <w:rPr>
          <w:kern w:val="2"/>
          <w14:ligatures w14:val="standardContextual"/>
        </w:rPr>
        <w:tab/>
        <w:t>kinnitab veel kord läbipaistvuse, aruandekohustuse ja tulemuspõhise eelarvestamise tähtsust kõigis ELi asutustes, et tagada tulemuslik finantsjuhtimine; rõhutab, et asutused peavad oma volitustest rangelt kinni pidama; tunnistab, et mõned asutused võivad vajada suuremaid volitusi; nõuab juhtimismehhanismide tõhustamist, et vältida pädevuste dubleerimist ja parandada tegevuse tõhusust;</w:t>
      </w:r>
    </w:p>
    <w:p w14:paraId="72FD5B3B"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10.</w:t>
      </w:r>
      <w:r w:rsidRPr="00ED1222">
        <w:rPr>
          <w:kern w:val="2"/>
          <w14:ligatures w14:val="standardContextual"/>
        </w:rPr>
        <w:tab/>
        <w:t>rõhutab vajadust piisavate vahendite järele, et tagada asutuste suutlikkus täita uusi ülesandeid, mida neilt uute õigusaktidega nõutakse;</w:t>
      </w:r>
    </w:p>
    <w:p w14:paraId="7CA1DB9E"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11.</w:t>
      </w:r>
      <w:r w:rsidRPr="00ED1222">
        <w:rPr>
          <w:kern w:val="2"/>
          <w14:ligatures w14:val="standardContextual"/>
        </w:rPr>
        <w:tab/>
        <w:t>rõhutab, kui oluline on, et asutused suurendaksid oma esindatust meedias, internetis ja sotsiaalmeedias, et tõsta üldsuse teadlikkust nende tööst;</w:t>
      </w:r>
    </w:p>
    <w:p w14:paraId="68733FE5" w14:textId="77777777" w:rsidR="00ED1222" w:rsidRPr="00ED1222" w:rsidRDefault="00ED1222" w:rsidP="00ED1222">
      <w:pPr>
        <w:spacing w:after="240"/>
        <w:ind w:left="567" w:hanging="567"/>
        <w:rPr>
          <w:kern w:val="2"/>
          <w:szCs w:val="24"/>
          <w14:ligatures w14:val="standardContextual"/>
        </w:rPr>
      </w:pPr>
      <w:r w:rsidRPr="00ED1222">
        <w:rPr>
          <w:kern w:val="2"/>
          <w14:ligatures w14:val="standardContextual"/>
        </w:rPr>
        <w:t>12.</w:t>
      </w:r>
      <w:r w:rsidRPr="00ED1222">
        <w:rPr>
          <w:kern w:val="2"/>
          <w14:ligatures w14:val="standardContextual"/>
        </w:rPr>
        <w:tab/>
        <w:t>juhib tähelepanu kasvavale segadusele, mis tuleneb arvukatest juhtumitest, kus asutuste nimed ja akronüümid on kas identsed või peaaegu identsed; kutsub asjaomaseid organeid üles uurima võimalusi olukorra parandamiseks;</w:t>
      </w:r>
    </w:p>
    <w:p w14:paraId="28672C01" w14:textId="77777777" w:rsidR="00ED1222" w:rsidRPr="00ED1222" w:rsidRDefault="00ED1222" w:rsidP="00ED1222">
      <w:pPr>
        <w:keepNext/>
        <w:keepLines/>
        <w:spacing w:after="240"/>
        <w:rPr>
          <w:b/>
          <w:i/>
          <w:kern w:val="2"/>
          <w:szCs w:val="24"/>
          <w14:ligatures w14:val="standardContextual"/>
        </w:rPr>
      </w:pPr>
      <w:r w:rsidRPr="00ED1222">
        <w:rPr>
          <w:b/>
          <w:i/>
          <w:kern w:val="2"/>
          <w14:ligatures w14:val="standardContextual"/>
        </w:rPr>
        <w:t>Juhtimine</w:t>
      </w:r>
    </w:p>
    <w:p w14:paraId="190FE6DA" w14:textId="77777777" w:rsidR="00ED1222" w:rsidRPr="00ED1222" w:rsidRDefault="00ED1222" w:rsidP="00ED1222">
      <w:pPr>
        <w:spacing w:after="240"/>
        <w:ind w:left="567" w:hanging="567"/>
        <w:rPr>
          <w:kern w:val="2"/>
          <w:szCs w:val="24"/>
          <w14:ligatures w14:val="standardContextual"/>
        </w:rPr>
      </w:pPr>
      <w:r w:rsidRPr="00ED1222">
        <w:rPr>
          <w:kern w:val="2"/>
          <w14:ligatures w14:val="standardContextual"/>
        </w:rPr>
        <w:t>13.</w:t>
      </w:r>
      <w:r w:rsidRPr="00ED1222">
        <w:rPr>
          <w:kern w:val="2"/>
          <w14:ligatures w14:val="standardContextual"/>
        </w:rPr>
        <w:tab/>
        <w:t>tuletab meelde, et ühine lähenemisviis </w:t>
      </w:r>
      <w:r w:rsidRPr="00ED1222">
        <w:rPr>
          <w:kern w:val="2"/>
          <w:szCs w:val="24"/>
          <w:vertAlign w:val="superscript"/>
          <w14:ligatures w14:val="standardContextual"/>
        </w:rPr>
        <w:footnoteReference w:id="403"/>
      </w:r>
      <w:r w:rsidRPr="00ED1222">
        <w:rPr>
          <w:kern w:val="2"/>
          <w14:ligatures w14:val="standardContextual"/>
        </w:rPr>
        <w:t xml:space="preserve"> annab ülevaate detsentraliseeritud asutuste juhtimisstruktuurist; tunnustab edusamme, mida ELi asutused on teinud finantsjuhtimise </w:t>
      </w:r>
      <w:r w:rsidRPr="00ED1222">
        <w:rPr>
          <w:kern w:val="2"/>
          <w14:ligatures w14:val="standardContextual"/>
        </w:rPr>
        <w:lastRenderedPageBreak/>
        <w:t>ja juhtimisstruktuuride parandamisel, tunnistades samal ajal vajadust tõhusust ja aruandekohustust veelgi parandada; tuletab meelde, et kõigi detsentraliseeritud asutuste haldusnõukogudel on oluline roll hea valitsemistava ja vastutuse tagamisel; tuletab meelde, et ühises lähenemisviisis soovitatakse, et haldusnõukogusse peaks kuuluma üks esindaja igast liikmesriigist, kaks komisjoni esindajat, üks Euroopa Parlamendi määratud liige (kui see on asjakohane) ja „võrdlemisi piiratud“ arv sidusrühmade esindajaid (kui see on asjakohane), tagades, et nad esindavad paljusid eri huve ja nende valikuprotsess on läbipaistev;</w:t>
      </w:r>
    </w:p>
    <w:p w14:paraId="1217ED6C"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14.</w:t>
      </w:r>
      <w:r w:rsidRPr="00ED1222">
        <w:rPr>
          <w:kern w:val="2"/>
          <w14:ligatures w14:val="standardContextual"/>
        </w:rPr>
        <w:tab/>
        <w:t>märgib, et detsentraliseeritud asutuste juhtimisstruktuur on kõigi asutuste puhul üldiselt üsna sarnane; märgib, et kõigil neil on haldusnõukogu ja direktor; märgib, et üheksal asutusel (</w:t>
      </w:r>
      <w:proofErr w:type="spellStart"/>
      <w:r w:rsidRPr="00ED1222">
        <w:rPr>
          <w:kern w:val="2"/>
          <w14:ligatures w14:val="standardContextual"/>
        </w:rPr>
        <w:t>Cedefop</w:t>
      </w:r>
      <w:proofErr w:type="spellEnd"/>
      <w:r w:rsidRPr="00ED1222">
        <w:rPr>
          <w:kern w:val="2"/>
          <w14:ligatures w14:val="standardContextual"/>
        </w:rPr>
        <w:t xml:space="preserve">, EUDA, ENISA, ERA, EU-OSHA, </w:t>
      </w:r>
      <w:proofErr w:type="spellStart"/>
      <w:r w:rsidRPr="00ED1222">
        <w:rPr>
          <w:kern w:val="2"/>
          <w14:ligatures w14:val="standardContextual"/>
        </w:rPr>
        <w:t>Eurofound</w:t>
      </w:r>
      <w:proofErr w:type="spellEnd"/>
      <w:r w:rsidRPr="00ED1222">
        <w:rPr>
          <w:kern w:val="2"/>
          <w14:ligatures w14:val="standardContextual"/>
        </w:rPr>
        <w:t xml:space="preserve">, </w:t>
      </w:r>
      <w:proofErr w:type="spellStart"/>
      <w:r w:rsidRPr="00ED1222">
        <w:rPr>
          <w:kern w:val="2"/>
          <w14:ligatures w14:val="standardContextual"/>
        </w:rPr>
        <w:t>Eurojust</w:t>
      </w:r>
      <w:proofErr w:type="spellEnd"/>
      <w:r w:rsidRPr="00ED1222">
        <w:rPr>
          <w:kern w:val="2"/>
          <w14:ligatures w14:val="standardContextual"/>
        </w:rPr>
        <w:t>, FRA, EIT) </w:t>
      </w:r>
      <w:r w:rsidRPr="00ED1222">
        <w:rPr>
          <w:kern w:val="2"/>
          <w:vertAlign w:val="superscript"/>
          <w14:ligatures w14:val="standardContextual"/>
        </w:rPr>
        <w:footnoteReference w:id="404"/>
      </w:r>
      <w:r w:rsidRPr="00ED1222">
        <w:rPr>
          <w:kern w:val="2"/>
          <w14:ligatures w14:val="standardContextual"/>
        </w:rPr>
        <w:t xml:space="preserve"> on juhatus, samas kui ainult Euroopa Liidu kosmoseprogrammiga seotud asutustel on turvalisuse akrediteerimise nõukogu; märgib lisaks, et kolm Euroopa järelevalveasutust (Euroopa Pangandusjärelevalve (EBA), Euroopa Väärtpaberiturujärelevalve (ESMA) ning Euroopa Kindlustus- ja Tööandjapensionide Järelevalve (EIOPA)) ja kaks ühtse turu klastri ametit (Euroopa Liidu Energeetikasektorit Reguleerivate Asutuste Koostöö Amet (ACER) ja </w:t>
      </w:r>
      <w:proofErr w:type="spellStart"/>
      <w:r w:rsidRPr="00ED1222">
        <w:rPr>
          <w:kern w:val="2"/>
          <w14:ligatures w14:val="standardContextual"/>
        </w:rPr>
        <w:t>BERECi</w:t>
      </w:r>
      <w:proofErr w:type="spellEnd"/>
      <w:r w:rsidRPr="00ED1222">
        <w:rPr>
          <w:kern w:val="2"/>
          <w14:ligatures w14:val="standardContextual"/>
        </w:rPr>
        <w:t xml:space="preserve"> Tugiamet (</w:t>
      </w:r>
      <w:proofErr w:type="spellStart"/>
      <w:r w:rsidRPr="00ED1222">
        <w:rPr>
          <w:kern w:val="2"/>
          <w14:ligatures w14:val="standardContextual"/>
        </w:rPr>
        <w:t>BERECi</w:t>
      </w:r>
      <w:proofErr w:type="spellEnd"/>
      <w:r w:rsidRPr="00ED1222">
        <w:rPr>
          <w:kern w:val="2"/>
          <w14:ligatures w14:val="standardContextual"/>
        </w:rPr>
        <w:t xml:space="preserve"> büroo)) on loonud reguleerivate asutuste nõukogu või järelevalvenõukogu;</w:t>
      </w:r>
    </w:p>
    <w:p w14:paraId="3AFC12DD"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15.</w:t>
      </w:r>
      <w:r w:rsidRPr="00ED1222">
        <w:rPr>
          <w:kern w:val="2"/>
          <w14:ligatures w14:val="standardContextual"/>
        </w:rPr>
        <w:tab/>
        <w:t xml:space="preserve">tuletab meelde, et </w:t>
      </w:r>
      <w:proofErr w:type="spellStart"/>
      <w:r w:rsidRPr="00ED1222">
        <w:rPr>
          <w:kern w:val="2"/>
          <w14:ligatures w14:val="standardContextual"/>
        </w:rPr>
        <w:t>Eurofoundil</w:t>
      </w:r>
      <w:proofErr w:type="spellEnd"/>
      <w:r w:rsidRPr="00ED1222">
        <w:rPr>
          <w:kern w:val="2"/>
          <w14:ligatures w14:val="standardContextual"/>
        </w:rPr>
        <w:t xml:space="preserve">, </w:t>
      </w:r>
      <w:proofErr w:type="spellStart"/>
      <w:r w:rsidRPr="00ED1222">
        <w:rPr>
          <w:kern w:val="2"/>
          <w14:ligatures w14:val="standardContextual"/>
        </w:rPr>
        <w:t>Cedefopil</w:t>
      </w:r>
      <w:proofErr w:type="spellEnd"/>
      <w:r w:rsidRPr="00ED1222">
        <w:rPr>
          <w:kern w:val="2"/>
          <w14:ligatures w14:val="standardContextual"/>
        </w:rPr>
        <w:t xml:space="preserve"> ja EU-OSHA haldusnõukogudel on kolmepoolne struktuur; märgib, et iga liikmesriiki esindavad igas nõukogus valitsus, tööandja ja ametiühingu liige (kokku 81 esindajat); märgib, et komisjonil on kolm esindajat ja Euroopa Parlament nimetab sõltumatu eksperdi (ilma hääleõiguseta); tuletab meelde, et Euroopa Koolitusfondi juhatus on väiksem ja selles on 27 esindajat liikmesriikidest (ilma sotsiaalpartneriteta), kolm komisjoni esindajat (kellel on juhatuses kokku üks hääl), kolm Euroopa Parlamendi nimetatud eksperti (võrreldes ühe eksperdiga iga kolmepoolse asutuse kohta) ja kolm komisjoni nimetatud partnerriikide esindajat; </w:t>
      </w:r>
      <w:r w:rsidRPr="00ED1222">
        <w:rPr>
          <w:kern w:val="2"/>
          <w:vertAlign w:val="superscript"/>
          <w14:ligatures w14:val="standardContextual"/>
        </w:rPr>
        <w:footnoteReference w:id="405"/>
      </w:r>
    </w:p>
    <w:p w14:paraId="736C7ED3" w14:textId="77777777" w:rsidR="00ED1222" w:rsidRPr="00ED1222" w:rsidRDefault="00ED1222" w:rsidP="00ED1222">
      <w:pPr>
        <w:spacing w:after="240"/>
        <w:ind w:left="567" w:hanging="567"/>
        <w:rPr>
          <w:kern w:val="2"/>
          <w:szCs w:val="24"/>
          <w14:ligatures w14:val="standardContextual"/>
        </w:rPr>
      </w:pPr>
      <w:r w:rsidRPr="00ED1222">
        <w:rPr>
          <w:kern w:val="2"/>
          <w14:ligatures w14:val="standardContextual"/>
        </w:rPr>
        <w:t>16.</w:t>
      </w:r>
      <w:r w:rsidRPr="00ED1222">
        <w:rPr>
          <w:kern w:val="2"/>
          <w14:ligatures w14:val="standardContextual"/>
        </w:rPr>
        <w:tab/>
        <w:t xml:space="preserve">võtab teadmiseks </w:t>
      </w:r>
      <w:proofErr w:type="spellStart"/>
      <w:r w:rsidRPr="00ED1222">
        <w:rPr>
          <w:kern w:val="2"/>
          <w14:ligatures w14:val="standardContextual"/>
        </w:rPr>
        <w:t>Eurofoundi</w:t>
      </w:r>
      <w:proofErr w:type="spellEnd"/>
      <w:r w:rsidRPr="00ED1222">
        <w:rPr>
          <w:kern w:val="2"/>
          <w14:ligatures w14:val="standardContextual"/>
        </w:rPr>
        <w:t xml:space="preserve">, </w:t>
      </w:r>
      <w:proofErr w:type="spellStart"/>
      <w:r w:rsidRPr="00ED1222">
        <w:rPr>
          <w:kern w:val="2"/>
          <w14:ligatures w14:val="standardContextual"/>
        </w:rPr>
        <w:t>Cedefopi</w:t>
      </w:r>
      <w:proofErr w:type="spellEnd"/>
      <w:r w:rsidRPr="00ED1222">
        <w:rPr>
          <w:kern w:val="2"/>
          <w14:ligatures w14:val="standardContextual"/>
        </w:rPr>
        <w:t>, ETFi ja EU-OSHA kolmepoolse juhtimisstruktuuri hindamise järeldused (</w:t>
      </w:r>
      <w:proofErr w:type="spellStart"/>
      <w:r w:rsidRPr="00ED1222">
        <w:rPr>
          <w:kern w:val="2"/>
          <w14:ligatures w14:val="standardContextual"/>
        </w:rPr>
        <w:t>Eurofound</w:t>
      </w:r>
      <w:proofErr w:type="spellEnd"/>
      <w:r w:rsidRPr="00ED1222">
        <w:rPr>
          <w:kern w:val="2"/>
          <w14:ligatures w14:val="standardContextual"/>
        </w:rPr>
        <w:t xml:space="preserve">, </w:t>
      </w:r>
      <w:proofErr w:type="spellStart"/>
      <w:r w:rsidRPr="00ED1222">
        <w:rPr>
          <w:kern w:val="2"/>
          <w14:ligatures w14:val="standardContextual"/>
        </w:rPr>
        <w:t>Cedefop</w:t>
      </w:r>
      <w:proofErr w:type="spellEnd"/>
      <w:r w:rsidRPr="00ED1222">
        <w:rPr>
          <w:kern w:val="2"/>
          <w14:ligatures w14:val="standardContextual"/>
        </w:rPr>
        <w:t xml:space="preserve"> ja EU-OSHA); märgib, et kolmepoolne struktuur toob kasu, nagu esindatus, strateegiline suunamine ja teadmiste jagamine, kuid haldusnõukogude suurus ja mitmekesisus tekitavad probleeme põhitegevuse ja haldusotsustega seotud kompromisside saavutamisel; juhib tähelepanu sellele, et hindamisel kaaluti alternatiivseid juhtimismudeleid, et kaasata sotsiaalpartnereid tõhusamalt; rõhutab suuremat kokkuhoiu- ja koostoimepotentsiaali nende asutuste tegevuses; rõhutab, et ELi asutuste üle on vaja teha ranget finantsjärelevalvet, et tagada kulutõhusus ja vältida avaliku sektori vahendite väärkasutamist; rõhutab, et asutuste rahastamisel on vaja vastutustundlikku ja vajaduspõhist lähenemisviisi, mis hoiab ära bürokraatia suurenemise, tagades samal ajal </w:t>
      </w:r>
      <w:r w:rsidRPr="00ED1222">
        <w:rPr>
          <w:kern w:val="2"/>
          <w14:ligatures w14:val="standardContextual"/>
        </w:rPr>
        <w:lastRenderedPageBreak/>
        <w:t>asutustele nende volituste täitmiseks piisavad vahendid;</w:t>
      </w:r>
    </w:p>
    <w:p w14:paraId="244A5CFD" w14:textId="77777777" w:rsidR="00ED1222" w:rsidRPr="00ED1222" w:rsidRDefault="00ED1222" w:rsidP="00ED1222">
      <w:pPr>
        <w:spacing w:before="100" w:beforeAutospacing="1" w:after="100" w:afterAutospacing="1"/>
        <w:ind w:left="567" w:hanging="567"/>
        <w:rPr>
          <w:kern w:val="2"/>
          <w:szCs w:val="24"/>
          <w14:ligatures w14:val="standardContextual"/>
        </w:rPr>
      </w:pPr>
      <w:r w:rsidRPr="00ED1222">
        <w:rPr>
          <w:kern w:val="2"/>
          <w14:ligatures w14:val="standardContextual"/>
        </w:rPr>
        <w:t>17.</w:t>
      </w:r>
      <w:r w:rsidRPr="00ED1222">
        <w:rPr>
          <w:kern w:val="2"/>
          <w14:ligatures w14:val="standardContextual"/>
        </w:rPr>
        <w:tab/>
        <w:t>võtab teadmiseks järeldused, mis on esitatud 2024. aasta veebruaris avaldatud aruandes Euroopa piiri- ja rannikuvalvet (</w:t>
      </w:r>
      <w:proofErr w:type="spellStart"/>
      <w:r w:rsidRPr="00ED1222">
        <w:rPr>
          <w:kern w:val="2"/>
          <w14:ligatures w14:val="standardContextual"/>
        </w:rPr>
        <w:t>Frontex</w:t>
      </w:r>
      <w:proofErr w:type="spellEnd"/>
      <w:r w:rsidRPr="00ED1222">
        <w:rPr>
          <w:kern w:val="2"/>
          <w14:ligatures w14:val="standardContextual"/>
        </w:rPr>
        <w:t>) käsitleva Euroopa Parlamendi ja nõukogu määruse (EL) 2019/1896 </w:t>
      </w:r>
      <w:r w:rsidRPr="00ED1222">
        <w:rPr>
          <w:kern w:val="2"/>
          <w:szCs w:val="24"/>
          <w:vertAlign w:val="superscript"/>
          <w14:ligatures w14:val="standardContextual"/>
        </w:rPr>
        <w:footnoteReference w:id="406"/>
      </w:r>
      <w:r w:rsidRPr="00ED1222">
        <w:rPr>
          <w:kern w:val="2"/>
          <w14:ligatures w14:val="standardContextual"/>
        </w:rPr>
        <w:t xml:space="preserve"> hindamise kohta (sealhulgas alalise korpuse ülevaade), ja selle, et aruande kohaselt peetakse määrust eesmärgipäraseks: märgib, et kuigi määrus loob toimiva piirihalduse raamistiku, on endiselt probleeme juhtimise, vastutuse ja tõhususega; tunnistab, et juhtimisstruktuuri tuleb kohandada, et tagada, et </w:t>
      </w:r>
      <w:proofErr w:type="spellStart"/>
      <w:r w:rsidRPr="00ED1222">
        <w:rPr>
          <w:kern w:val="2"/>
          <w14:ligatures w14:val="standardContextual"/>
        </w:rPr>
        <w:t>Frontex</w:t>
      </w:r>
      <w:proofErr w:type="spellEnd"/>
      <w:r w:rsidRPr="00ED1222">
        <w:rPr>
          <w:kern w:val="2"/>
          <w14:ligatures w14:val="standardContextual"/>
        </w:rPr>
        <w:t xml:space="preserve"> saab oma volitusi täielikult täita, sealhulgas tuleb tegeleda esindatuse tasakaaluga haldusnõukogus, ühtlustada sisemisi otsustusprotsesse ja vältida kattuvaid kohustusi; väljendab heameelt uue organisatsioonilise struktuuri üle, mille haldusnõukogu võttis vastu 2023. aasta novembris ja mis on samm juhtimise, strateegilise koordineerimise ja vahendite eraldamise parandamise suunas; tunnistab hindamisaruandes esile tõstetud halduslikku ebatõhusust, eelkõige seoses hüvitamismenetluste ja bürokraatlike takistustega, millega liikmesriigid puutuvad kokku töötajate lähetamisel </w:t>
      </w:r>
      <w:proofErr w:type="spellStart"/>
      <w:r w:rsidRPr="00ED1222">
        <w:rPr>
          <w:kern w:val="2"/>
          <w14:ligatures w14:val="standardContextual"/>
        </w:rPr>
        <w:t>Frontexisse</w:t>
      </w:r>
      <w:proofErr w:type="spellEnd"/>
      <w:r w:rsidRPr="00ED1222">
        <w:rPr>
          <w:kern w:val="2"/>
          <w14:ligatures w14:val="standardContextual"/>
        </w:rPr>
        <w:t xml:space="preserve">; kutsub komisjoni üles uurima võimalusi nende protsesside lihtsustamiseks, et vähendada riikide ametiasutuste tarbetut koormust; märgib, kui oluline on rakendada põhiõiguste ametniku aastaaruandes esitatud soovitusi; tunnustades tehtud edusamme, kutsub </w:t>
      </w:r>
      <w:proofErr w:type="spellStart"/>
      <w:r w:rsidRPr="00ED1222">
        <w:rPr>
          <w:kern w:val="2"/>
          <w14:ligatures w14:val="standardContextual"/>
        </w:rPr>
        <w:t>Frontexit</w:t>
      </w:r>
      <w:proofErr w:type="spellEnd"/>
      <w:r w:rsidRPr="00ED1222">
        <w:rPr>
          <w:kern w:val="2"/>
          <w14:ligatures w14:val="standardContextual"/>
        </w:rPr>
        <w:t xml:space="preserve"> üles jätkama läbipaistvuse suurendamist, tegema täielikku koostööd uurimiste läbiviimisel ja rakendama meetmeid, millega tagatakse põhiõiguste kaitse kogu tema tegevuses;</w:t>
      </w:r>
    </w:p>
    <w:p w14:paraId="53DE24F5" w14:textId="77777777" w:rsidR="00ED1222" w:rsidRPr="00ED1222" w:rsidRDefault="00ED1222" w:rsidP="00ED1222">
      <w:pPr>
        <w:widowControl/>
        <w:spacing w:after="240"/>
        <w:ind w:left="567" w:hanging="567"/>
        <w:rPr>
          <w:kern w:val="2"/>
          <w:szCs w:val="24"/>
          <w14:ligatures w14:val="standardContextual"/>
        </w:rPr>
      </w:pPr>
      <w:r w:rsidRPr="00ED1222">
        <w:rPr>
          <w:kern w:val="2"/>
          <w14:ligatures w14:val="standardContextual"/>
        </w:rPr>
        <w:t>18.</w:t>
      </w:r>
      <w:r w:rsidRPr="00ED1222">
        <w:rPr>
          <w:kern w:val="2"/>
          <w14:ligatures w14:val="standardContextual"/>
        </w:rPr>
        <w:tab/>
        <w:t>rõhutab, et tasakaalustatud lähenemisviis, mis ühendab tulemusliku piirikontrolli tugevate põhiõiguste kaitsemeetmetega, on keskse tähtsusega, et säilitada turvaline Schengeni ala ja usaldusväärne liidu rände haldamise raamistik; kordab, et seetõttu on väga oluline pakkuda alalise korpuse (</w:t>
      </w:r>
      <w:proofErr w:type="spellStart"/>
      <w:r w:rsidRPr="00ED1222">
        <w:rPr>
          <w:kern w:val="2"/>
          <w14:ligatures w14:val="standardContextual"/>
        </w:rPr>
        <w:t>Frontex</w:t>
      </w:r>
      <w:proofErr w:type="spellEnd"/>
      <w:r w:rsidRPr="00ED1222">
        <w:rPr>
          <w:kern w:val="2"/>
          <w14:ligatures w14:val="standardContextual"/>
        </w:rPr>
        <w:t>) ametnikele struktureeritud ja pidevat põhiõiguste alast koolitust, et nad oleksid teadlikud asjakohastest põhiõigustega seotud kohustustest ja standarditest, rahvusvahelistest inimõigustest ja humanitaarõigusest ning järgiksid neid; </w:t>
      </w:r>
      <w:r w:rsidRPr="00ED1222">
        <w:rPr>
          <w:kern w:val="2"/>
          <w:szCs w:val="24"/>
          <w:vertAlign w:val="superscript"/>
          <w14:ligatures w14:val="standardContextual"/>
        </w:rPr>
        <w:footnoteReference w:id="407"/>
      </w:r>
      <w:r w:rsidRPr="00ED1222">
        <w:rPr>
          <w:kern w:val="2"/>
          <w14:ligatures w14:val="standardContextual"/>
        </w:rPr>
        <w:t xml:space="preserve"> rõhutab ka, kui oluline on teatada põhiõiguste rikkumistest, kui sellele ollakse tunnistajaks, avaldades tõsise vahejuhtumi teadaande;</w:t>
      </w:r>
    </w:p>
    <w:p w14:paraId="0C3CBD0C" w14:textId="77777777" w:rsidR="00ED1222" w:rsidRPr="00ED1222" w:rsidRDefault="00ED1222" w:rsidP="00ED1222">
      <w:pPr>
        <w:keepNext/>
        <w:keepLines/>
        <w:spacing w:after="240"/>
        <w:rPr>
          <w:iCs/>
          <w:kern w:val="2"/>
          <w14:ligatures w14:val="standardContextual"/>
        </w:rPr>
      </w:pPr>
      <w:r w:rsidRPr="00ED1222">
        <w:rPr>
          <w:b/>
          <w:iCs/>
          <w:kern w:val="2"/>
          <w14:ligatures w14:val="standardContextual"/>
        </w:rPr>
        <w:t>Eelarve haldamine ja finantsjuhtimine</w:t>
      </w:r>
    </w:p>
    <w:p w14:paraId="112D3A5F"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19.</w:t>
      </w:r>
      <w:r w:rsidRPr="00ED1222">
        <w:rPr>
          <w:kern w:val="2"/>
          <w14:ligatures w14:val="standardContextual"/>
        </w:rPr>
        <w:tab/>
        <w:t>märgib, et käesolevas resolutsioonis käsitletud 33 ELi asutuse 2023. aasta lõplik kogutulu (pärast paranduseelarveid) ja 2022. aasta võrdlusandmed olid järgmised </w:t>
      </w:r>
      <w:r w:rsidRPr="00ED1222">
        <w:rPr>
          <w:kern w:val="2"/>
          <w:vertAlign w:val="superscript"/>
          <w14:ligatures w14:val="standardContextual"/>
        </w:rPr>
        <w:footnoteReference w:id="408"/>
      </w:r>
      <w:r w:rsidRPr="00ED1222">
        <w:rPr>
          <w:kern w:val="2"/>
          <w14:ligatures w14:val="standardContextual"/>
        </w:rPr>
        <w:t>:</w:t>
      </w:r>
    </w:p>
    <w:tbl>
      <w:tblPr>
        <w:tblStyle w:val="TableGrid"/>
        <w:tblW w:w="0" w:type="auto"/>
        <w:tblLook w:val="04A0" w:firstRow="1" w:lastRow="0" w:firstColumn="1" w:lastColumn="0" w:noHBand="0" w:noVBand="1"/>
      </w:tblPr>
      <w:tblGrid>
        <w:gridCol w:w="2122"/>
        <w:gridCol w:w="2038"/>
        <w:gridCol w:w="2360"/>
        <w:gridCol w:w="1555"/>
      </w:tblGrid>
      <w:tr w:rsidR="00ED1222" w:rsidRPr="00ED1222" w14:paraId="3315133B" w14:textId="77777777" w:rsidTr="00204451">
        <w:trPr>
          <w:trHeight w:val="293"/>
        </w:trPr>
        <w:tc>
          <w:tcPr>
            <w:tcW w:w="2122" w:type="dxa"/>
            <w:tcBorders>
              <w:top w:val="single" w:sz="4" w:space="0" w:color="auto"/>
              <w:left w:val="single" w:sz="4" w:space="0" w:color="auto"/>
              <w:bottom w:val="single" w:sz="4" w:space="0" w:color="auto"/>
              <w:right w:val="single" w:sz="4" w:space="0" w:color="auto"/>
            </w:tcBorders>
            <w:noWrap/>
            <w:hideMark/>
          </w:tcPr>
          <w:p w14:paraId="0F250D28" w14:textId="77777777" w:rsidR="00ED1222" w:rsidRPr="00ED1222" w:rsidRDefault="00ED1222" w:rsidP="00ED1222">
            <w:pPr>
              <w:rPr>
                <w:bCs/>
                <w:szCs w:val="22"/>
              </w:rPr>
            </w:pPr>
          </w:p>
        </w:tc>
        <w:tc>
          <w:tcPr>
            <w:tcW w:w="2038" w:type="dxa"/>
            <w:tcBorders>
              <w:top w:val="single" w:sz="4" w:space="0" w:color="auto"/>
              <w:left w:val="single" w:sz="4" w:space="0" w:color="auto"/>
              <w:bottom w:val="single" w:sz="4" w:space="0" w:color="auto"/>
              <w:right w:val="single" w:sz="4" w:space="0" w:color="auto"/>
            </w:tcBorders>
            <w:noWrap/>
            <w:hideMark/>
          </w:tcPr>
          <w:p w14:paraId="1B766551" w14:textId="77777777" w:rsidR="00ED1222" w:rsidRPr="00ED1222" w:rsidRDefault="00ED1222" w:rsidP="00ED1222">
            <w:pPr>
              <w:ind w:left="567" w:hanging="567"/>
              <w:rPr>
                <w:bCs/>
                <w:szCs w:val="22"/>
              </w:rPr>
            </w:pPr>
            <w:r w:rsidRPr="00ED1222">
              <w:rPr>
                <w:bCs/>
              </w:rPr>
              <w:t>2023. aasta tulud (eurodes)</w:t>
            </w:r>
          </w:p>
        </w:tc>
        <w:tc>
          <w:tcPr>
            <w:tcW w:w="2360" w:type="dxa"/>
            <w:tcBorders>
              <w:top w:val="single" w:sz="4" w:space="0" w:color="auto"/>
              <w:left w:val="single" w:sz="4" w:space="0" w:color="auto"/>
              <w:bottom w:val="single" w:sz="4" w:space="0" w:color="auto"/>
              <w:right w:val="single" w:sz="4" w:space="0" w:color="auto"/>
            </w:tcBorders>
            <w:noWrap/>
            <w:hideMark/>
          </w:tcPr>
          <w:p w14:paraId="2819873B" w14:textId="77777777" w:rsidR="00ED1222" w:rsidRPr="00ED1222" w:rsidRDefault="00ED1222" w:rsidP="00ED1222">
            <w:pPr>
              <w:ind w:left="567" w:hanging="567"/>
              <w:rPr>
                <w:bCs/>
                <w:szCs w:val="22"/>
              </w:rPr>
            </w:pPr>
            <w:r w:rsidRPr="00ED1222">
              <w:rPr>
                <w:bCs/>
              </w:rPr>
              <w:t>2022. aasta tulud (eurodes)</w:t>
            </w:r>
          </w:p>
        </w:tc>
        <w:tc>
          <w:tcPr>
            <w:tcW w:w="1555" w:type="dxa"/>
            <w:tcBorders>
              <w:top w:val="single" w:sz="4" w:space="0" w:color="auto"/>
              <w:left w:val="single" w:sz="4" w:space="0" w:color="auto"/>
              <w:bottom w:val="single" w:sz="4" w:space="0" w:color="auto"/>
              <w:right w:val="single" w:sz="4" w:space="0" w:color="auto"/>
            </w:tcBorders>
            <w:noWrap/>
            <w:hideMark/>
          </w:tcPr>
          <w:p w14:paraId="76659BC0" w14:textId="77777777" w:rsidR="00ED1222" w:rsidRPr="00ED1222" w:rsidRDefault="00ED1222" w:rsidP="00ED1222">
            <w:pPr>
              <w:ind w:left="567" w:hanging="567"/>
              <w:rPr>
                <w:bCs/>
                <w:szCs w:val="22"/>
              </w:rPr>
            </w:pPr>
            <w:r w:rsidRPr="00ED1222">
              <w:rPr>
                <w:bCs/>
              </w:rPr>
              <w:t>∆ (%)</w:t>
            </w:r>
          </w:p>
        </w:tc>
      </w:tr>
      <w:tr w:rsidR="00ED1222" w:rsidRPr="00ED1222" w14:paraId="53EE67EB" w14:textId="77777777" w:rsidTr="00204451">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4A8F8949" w14:textId="77777777" w:rsidR="00ED1222" w:rsidRPr="00ED1222" w:rsidRDefault="00ED1222" w:rsidP="00ED1222">
            <w:pPr>
              <w:ind w:left="567" w:hanging="567"/>
              <w:rPr>
                <w:b/>
                <w:bCs/>
                <w:szCs w:val="22"/>
              </w:rPr>
            </w:pPr>
            <w:r w:rsidRPr="00ED1222">
              <w:rPr>
                <w:b/>
              </w:rPr>
              <w:t>ACER</w:t>
            </w:r>
          </w:p>
        </w:tc>
        <w:tc>
          <w:tcPr>
            <w:tcW w:w="2038" w:type="dxa"/>
            <w:tcBorders>
              <w:top w:val="single" w:sz="4" w:space="0" w:color="auto"/>
              <w:left w:val="single" w:sz="4" w:space="0" w:color="auto"/>
              <w:bottom w:val="single" w:sz="4" w:space="0" w:color="auto"/>
              <w:right w:val="single" w:sz="4" w:space="0" w:color="auto"/>
            </w:tcBorders>
            <w:noWrap/>
            <w:hideMark/>
          </w:tcPr>
          <w:p w14:paraId="7F92A0F7" w14:textId="77777777" w:rsidR="00ED1222" w:rsidRPr="00ED1222" w:rsidRDefault="00ED1222" w:rsidP="00ED1222">
            <w:pPr>
              <w:ind w:left="567" w:hanging="567"/>
              <w:rPr>
                <w:bCs/>
                <w:szCs w:val="22"/>
              </w:rPr>
            </w:pPr>
            <w:r w:rsidRPr="00ED1222">
              <w:rPr>
                <w:bCs/>
              </w:rPr>
              <w:t>29 582 967</w:t>
            </w:r>
          </w:p>
        </w:tc>
        <w:tc>
          <w:tcPr>
            <w:tcW w:w="2360" w:type="dxa"/>
            <w:tcBorders>
              <w:top w:val="single" w:sz="4" w:space="0" w:color="auto"/>
              <w:left w:val="single" w:sz="4" w:space="0" w:color="auto"/>
              <w:bottom w:val="single" w:sz="4" w:space="0" w:color="auto"/>
              <w:right w:val="single" w:sz="4" w:space="0" w:color="auto"/>
            </w:tcBorders>
            <w:noWrap/>
            <w:hideMark/>
          </w:tcPr>
          <w:p w14:paraId="37360FB4" w14:textId="77777777" w:rsidR="00ED1222" w:rsidRPr="00ED1222" w:rsidRDefault="00ED1222" w:rsidP="00ED1222">
            <w:pPr>
              <w:ind w:left="567" w:hanging="567"/>
              <w:rPr>
                <w:bCs/>
                <w:szCs w:val="22"/>
              </w:rPr>
            </w:pPr>
            <w:r w:rsidRPr="00ED1222">
              <w:rPr>
                <w:bCs/>
              </w:rPr>
              <w:t>24 827 843</w:t>
            </w:r>
          </w:p>
        </w:tc>
        <w:tc>
          <w:tcPr>
            <w:tcW w:w="1555" w:type="dxa"/>
            <w:tcBorders>
              <w:top w:val="single" w:sz="4" w:space="0" w:color="auto"/>
              <w:left w:val="single" w:sz="4" w:space="0" w:color="auto"/>
              <w:bottom w:val="single" w:sz="4" w:space="0" w:color="auto"/>
              <w:right w:val="single" w:sz="4" w:space="0" w:color="auto"/>
            </w:tcBorders>
            <w:noWrap/>
            <w:hideMark/>
          </w:tcPr>
          <w:p w14:paraId="30053C7E" w14:textId="77777777" w:rsidR="00ED1222" w:rsidRPr="00ED1222" w:rsidRDefault="00ED1222" w:rsidP="00ED1222">
            <w:pPr>
              <w:ind w:left="567" w:hanging="567"/>
              <w:rPr>
                <w:szCs w:val="22"/>
              </w:rPr>
            </w:pPr>
            <w:r w:rsidRPr="00ED1222">
              <w:t>19,15</w:t>
            </w:r>
          </w:p>
        </w:tc>
      </w:tr>
      <w:tr w:rsidR="00ED1222" w:rsidRPr="00ED1222" w14:paraId="021113B7" w14:textId="77777777" w:rsidTr="00204451">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7C157A69" w14:textId="77777777" w:rsidR="00ED1222" w:rsidRPr="00ED1222" w:rsidRDefault="00ED1222" w:rsidP="00ED1222">
            <w:pPr>
              <w:ind w:left="567" w:hanging="567"/>
              <w:rPr>
                <w:b/>
                <w:bCs/>
                <w:szCs w:val="22"/>
              </w:rPr>
            </w:pPr>
            <w:proofErr w:type="spellStart"/>
            <w:r w:rsidRPr="00ED1222">
              <w:rPr>
                <w:b/>
              </w:rPr>
              <w:t>BERECi</w:t>
            </w:r>
            <w:proofErr w:type="spellEnd"/>
            <w:r w:rsidRPr="00ED1222">
              <w:rPr>
                <w:b/>
              </w:rPr>
              <w:t xml:space="preserve"> BÜROO</w:t>
            </w:r>
          </w:p>
        </w:tc>
        <w:tc>
          <w:tcPr>
            <w:tcW w:w="2038" w:type="dxa"/>
            <w:tcBorders>
              <w:top w:val="single" w:sz="4" w:space="0" w:color="auto"/>
              <w:left w:val="single" w:sz="4" w:space="0" w:color="auto"/>
              <w:bottom w:val="single" w:sz="4" w:space="0" w:color="auto"/>
              <w:right w:val="single" w:sz="4" w:space="0" w:color="auto"/>
            </w:tcBorders>
            <w:noWrap/>
            <w:hideMark/>
          </w:tcPr>
          <w:p w14:paraId="5F05F864" w14:textId="77777777" w:rsidR="00ED1222" w:rsidRPr="00ED1222" w:rsidRDefault="00ED1222" w:rsidP="00ED1222">
            <w:pPr>
              <w:ind w:left="567" w:hanging="567"/>
              <w:rPr>
                <w:bCs/>
                <w:szCs w:val="22"/>
              </w:rPr>
            </w:pPr>
            <w:r w:rsidRPr="00ED1222">
              <w:rPr>
                <w:bCs/>
              </w:rPr>
              <w:t>7 697 265</w:t>
            </w:r>
          </w:p>
        </w:tc>
        <w:tc>
          <w:tcPr>
            <w:tcW w:w="2360" w:type="dxa"/>
            <w:tcBorders>
              <w:top w:val="single" w:sz="4" w:space="0" w:color="auto"/>
              <w:left w:val="single" w:sz="4" w:space="0" w:color="auto"/>
              <w:bottom w:val="single" w:sz="4" w:space="0" w:color="auto"/>
              <w:right w:val="single" w:sz="4" w:space="0" w:color="auto"/>
            </w:tcBorders>
            <w:noWrap/>
            <w:hideMark/>
          </w:tcPr>
          <w:p w14:paraId="0317040D" w14:textId="77777777" w:rsidR="00ED1222" w:rsidRPr="00ED1222" w:rsidRDefault="00ED1222" w:rsidP="00ED1222">
            <w:pPr>
              <w:ind w:left="567" w:hanging="567"/>
              <w:rPr>
                <w:bCs/>
                <w:szCs w:val="22"/>
              </w:rPr>
            </w:pPr>
            <w:r w:rsidRPr="00ED1222">
              <w:rPr>
                <w:bCs/>
              </w:rPr>
              <w:t>7 428 456</w:t>
            </w:r>
          </w:p>
        </w:tc>
        <w:tc>
          <w:tcPr>
            <w:tcW w:w="1555" w:type="dxa"/>
            <w:tcBorders>
              <w:top w:val="single" w:sz="4" w:space="0" w:color="auto"/>
              <w:left w:val="single" w:sz="4" w:space="0" w:color="auto"/>
              <w:bottom w:val="single" w:sz="4" w:space="0" w:color="auto"/>
              <w:right w:val="single" w:sz="4" w:space="0" w:color="auto"/>
            </w:tcBorders>
            <w:noWrap/>
            <w:hideMark/>
          </w:tcPr>
          <w:p w14:paraId="25031388" w14:textId="77777777" w:rsidR="00ED1222" w:rsidRPr="00ED1222" w:rsidRDefault="00ED1222" w:rsidP="00ED1222">
            <w:pPr>
              <w:ind w:left="567" w:hanging="567"/>
              <w:rPr>
                <w:szCs w:val="22"/>
              </w:rPr>
            </w:pPr>
            <w:r w:rsidRPr="00ED1222">
              <w:t>3,62</w:t>
            </w:r>
          </w:p>
        </w:tc>
      </w:tr>
      <w:tr w:rsidR="00ED1222" w:rsidRPr="00ED1222" w14:paraId="76057C31" w14:textId="77777777" w:rsidTr="00204451">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642E0CA6" w14:textId="77777777" w:rsidR="00ED1222" w:rsidRPr="00ED1222" w:rsidRDefault="00ED1222" w:rsidP="00ED1222">
            <w:pPr>
              <w:ind w:left="567" w:hanging="567"/>
              <w:rPr>
                <w:b/>
                <w:bCs/>
                <w:szCs w:val="22"/>
              </w:rPr>
            </w:pPr>
            <w:proofErr w:type="spellStart"/>
            <w:r w:rsidRPr="00ED1222">
              <w:rPr>
                <w:b/>
              </w:rPr>
              <w:t>CdT</w:t>
            </w:r>
            <w:proofErr w:type="spellEnd"/>
            <w:r w:rsidRPr="00ED1222">
              <w:rPr>
                <w:b/>
              </w:rPr>
              <w:t> </w:t>
            </w:r>
            <w:r w:rsidRPr="00ED1222">
              <w:t>(</w:t>
            </w:r>
            <w:r w:rsidRPr="00ED1222">
              <w:rPr>
                <w:vertAlign w:val="superscript"/>
              </w:rPr>
              <w:t>1</w:t>
            </w:r>
            <w:r w:rsidRPr="00ED1222">
              <w:t>)</w:t>
            </w:r>
          </w:p>
        </w:tc>
        <w:tc>
          <w:tcPr>
            <w:tcW w:w="2038" w:type="dxa"/>
            <w:tcBorders>
              <w:top w:val="single" w:sz="4" w:space="0" w:color="auto"/>
              <w:left w:val="single" w:sz="4" w:space="0" w:color="auto"/>
              <w:bottom w:val="single" w:sz="4" w:space="0" w:color="auto"/>
              <w:right w:val="single" w:sz="4" w:space="0" w:color="auto"/>
            </w:tcBorders>
            <w:noWrap/>
            <w:hideMark/>
          </w:tcPr>
          <w:p w14:paraId="55A82CD9" w14:textId="77777777" w:rsidR="00ED1222" w:rsidRPr="00ED1222" w:rsidRDefault="00ED1222" w:rsidP="00ED1222">
            <w:pPr>
              <w:ind w:left="567" w:hanging="567"/>
              <w:rPr>
                <w:bCs/>
                <w:szCs w:val="22"/>
              </w:rPr>
            </w:pPr>
            <w:r w:rsidRPr="00ED1222">
              <w:rPr>
                <w:bCs/>
              </w:rPr>
              <w:t>47 140 900</w:t>
            </w:r>
          </w:p>
        </w:tc>
        <w:tc>
          <w:tcPr>
            <w:tcW w:w="2360" w:type="dxa"/>
            <w:tcBorders>
              <w:top w:val="single" w:sz="4" w:space="0" w:color="auto"/>
              <w:left w:val="single" w:sz="4" w:space="0" w:color="auto"/>
              <w:bottom w:val="single" w:sz="4" w:space="0" w:color="auto"/>
              <w:right w:val="single" w:sz="4" w:space="0" w:color="auto"/>
            </w:tcBorders>
            <w:noWrap/>
            <w:hideMark/>
          </w:tcPr>
          <w:p w14:paraId="2FCD6AEF" w14:textId="77777777" w:rsidR="00ED1222" w:rsidRPr="00ED1222" w:rsidRDefault="00ED1222" w:rsidP="00ED1222">
            <w:pPr>
              <w:ind w:left="567" w:hanging="567"/>
              <w:rPr>
                <w:bCs/>
                <w:szCs w:val="22"/>
              </w:rPr>
            </w:pPr>
            <w:r w:rsidRPr="00ED1222">
              <w:rPr>
                <w:bCs/>
              </w:rPr>
              <w:t>48 721 800</w:t>
            </w:r>
          </w:p>
        </w:tc>
        <w:tc>
          <w:tcPr>
            <w:tcW w:w="1555" w:type="dxa"/>
            <w:tcBorders>
              <w:top w:val="single" w:sz="4" w:space="0" w:color="auto"/>
              <w:left w:val="single" w:sz="4" w:space="0" w:color="auto"/>
              <w:bottom w:val="single" w:sz="4" w:space="0" w:color="auto"/>
              <w:right w:val="single" w:sz="4" w:space="0" w:color="auto"/>
            </w:tcBorders>
            <w:noWrap/>
            <w:hideMark/>
          </w:tcPr>
          <w:p w14:paraId="768C0E17" w14:textId="77777777" w:rsidR="00ED1222" w:rsidRPr="00ED1222" w:rsidRDefault="00ED1222" w:rsidP="00ED1222">
            <w:pPr>
              <w:ind w:left="567" w:hanging="567"/>
              <w:rPr>
                <w:szCs w:val="22"/>
              </w:rPr>
            </w:pPr>
            <w:r w:rsidRPr="00ED1222">
              <w:t>–3,24</w:t>
            </w:r>
          </w:p>
        </w:tc>
      </w:tr>
      <w:tr w:rsidR="00ED1222" w:rsidRPr="00ED1222" w14:paraId="379B44D8" w14:textId="77777777" w:rsidTr="00204451">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4B7A5D1C" w14:textId="77777777" w:rsidR="00ED1222" w:rsidRPr="00ED1222" w:rsidRDefault="00ED1222" w:rsidP="00ED1222">
            <w:pPr>
              <w:ind w:left="567" w:hanging="567"/>
              <w:rPr>
                <w:b/>
                <w:bCs/>
                <w:szCs w:val="22"/>
              </w:rPr>
            </w:pPr>
            <w:r w:rsidRPr="00ED1222">
              <w:rPr>
                <w:b/>
              </w:rPr>
              <w:t>CEDEFOP</w:t>
            </w:r>
          </w:p>
        </w:tc>
        <w:tc>
          <w:tcPr>
            <w:tcW w:w="2038" w:type="dxa"/>
            <w:tcBorders>
              <w:top w:val="single" w:sz="4" w:space="0" w:color="auto"/>
              <w:left w:val="single" w:sz="4" w:space="0" w:color="auto"/>
              <w:bottom w:val="single" w:sz="4" w:space="0" w:color="auto"/>
              <w:right w:val="single" w:sz="4" w:space="0" w:color="auto"/>
            </w:tcBorders>
            <w:noWrap/>
            <w:hideMark/>
          </w:tcPr>
          <w:p w14:paraId="3052D802" w14:textId="77777777" w:rsidR="00ED1222" w:rsidRPr="00ED1222" w:rsidRDefault="00ED1222" w:rsidP="00ED1222">
            <w:pPr>
              <w:ind w:left="567" w:hanging="567"/>
              <w:rPr>
                <w:bCs/>
                <w:szCs w:val="22"/>
              </w:rPr>
            </w:pPr>
            <w:r w:rsidRPr="00ED1222">
              <w:rPr>
                <w:bCs/>
              </w:rPr>
              <w:t>20 140 610</w:t>
            </w:r>
          </w:p>
        </w:tc>
        <w:tc>
          <w:tcPr>
            <w:tcW w:w="2360" w:type="dxa"/>
            <w:tcBorders>
              <w:top w:val="single" w:sz="4" w:space="0" w:color="auto"/>
              <w:left w:val="single" w:sz="4" w:space="0" w:color="auto"/>
              <w:bottom w:val="single" w:sz="4" w:space="0" w:color="auto"/>
              <w:right w:val="single" w:sz="4" w:space="0" w:color="auto"/>
            </w:tcBorders>
            <w:noWrap/>
            <w:hideMark/>
          </w:tcPr>
          <w:p w14:paraId="7535A096" w14:textId="77777777" w:rsidR="00ED1222" w:rsidRPr="00ED1222" w:rsidRDefault="00ED1222" w:rsidP="00ED1222">
            <w:pPr>
              <w:ind w:left="567" w:hanging="567"/>
              <w:rPr>
                <w:bCs/>
                <w:szCs w:val="22"/>
              </w:rPr>
            </w:pPr>
            <w:r w:rsidRPr="00ED1222">
              <w:rPr>
                <w:bCs/>
              </w:rPr>
              <w:t>18 434 420</w:t>
            </w:r>
          </w:p>
        </w:tc>
        <w:tc>
          <w:tcPr>
            <w:tcW w:w="1555" w:type="dxa"/>
            <w:tcBorders>
              <w:top w:val="single" w:sz="4" w:space="0" w:color="auto"/>
              <w:left w:val="single" w:sz="4" w:space="0" w:color="auto"/>
              <w:bottom w:val="single" w:sz="4" w:space="0" w:color="auto"/>
              <w:right w:val="single" w:sz="4" w:space="0" w:color="auto"/>
            </w:tcBorders>
            <w:noWrap/>
            <w:hideMark/>
          </w:tcPr>
          <w:p w14:paraId="255E8EDC" w14:textId="77777777" w:rsidR="00ED1222" w:rsidRPr="00ED1222" w:rsidRDefault="00ED1222" w:rsidP="00ED1222">
            <w:pPr>
              <w:ind w:left="567" w:hanging="567"/>
              <w:rPr>
                <w:szCs w:val="22"/>
              </w:rPr>
            </w:pPr>
            <w:r w:rsidRPr="00ED1222">
              <w:t>9,26</w:t>
            </w:r>
          </w:p>
        </w:tc>
      </w:tr>
      <w:tr w:rsidR="00ED1222" w:rsidRPr="00ED1222" w14:paraId="37D26E35" w14:textId="77777777" w:rsidTr="00204451">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5AACF1C7" w14:textId="77777777" w:rsidR="00ED1222" w:rsidRPr="00ED1222" w:rsidRDefault="00ED1222" w:rsidP="00ED1222">
            <w:pPr>
              <w:ind w:left="567" w:hanging="567"/>
              <w:rPr>
                <w:b/>
                <w:bCs/>
                <w:szCs w:val="22"/>
              </w:rPr>
            </w:pPr>
            <w:r w:rsidRPr="00ED1222">
              <w:rPr>
                <w:b/>
              </w:rPr>
              <w:lastRenderedPageBreak/>
              <w:t>CEPOL</w:t>
            </w:r>
          </w:p>
        </w:tc>
        <w:tc>
          <w:tcPr>
            <w:tcW w:w="2038" w:type="dxa"/>
            <w:tcBorders>
              <w:top w:val="single" w:sz="4" w:space="0" w:color="auto"/>
              <w:left w:val="single" w:sz="4" w:space="0" w:color="auto"/>
              <w:bottom w:val="single" w:sz="4" w:space="0" w:color="auto"/>
              <w:right w:val="single" w:sz="4" w:space="0" w:color="auto"/>
            </w:tcBorders>
            <w:noWrap/>
            <w:hideMark/>
          </w:tcPr>
          <w:p w14:paraId="37C43AEE" w14:textId="77777777" w:rsidR="00ED1222" w:rsidRPr="00ED1222" w:rsidRDefault="00ED1222" w:rsidP="00ED1222">
            <w:pPr>
              <w:ind w:left="567" w:hanging="567"/>
              <w:rPr>
                <w:bCs/>
                <w:szCs w:val="22"/>
              </w:rPr>
            </w:pPr>
            <w:r w:rsidRPr="00ED1222">
              <w:rPr>
                <w:bCs/>
              </w:rPr>
              <w:t>14 211 723</w:t>
            </w:r>
          </w:p>
        </w:tc>
        <w:tc>
          <w:tcPr>
            <w:tcW w:w="2360" w:type="dxa"/>
            <w:tcBorders>
              <w:top w:val="single" w:sz="4" w:space="0" w:color="auto"/>
              <w:left w:val="single" w:sz="4" w:space="0" w:color="auto"/>
              <w:bottom w:val="single" w:sz="4" w:space="0" w:color="auto"/>
              <w:right w:val="single" w:sz="4" w:space="0" w:color="auto"/>
            </w:tcBorders>
            <w:noWrap/>
            <w:hideMark/>
          </w:tcPr>
          <w:p w14:paraId="7E159BEB" w14:textId="77777777" w:rsidR="00ED1222" w:rsidRPr="00ED1222" w:rsidRDefault="00ED1222" w:rsidP="00ED1222">
            <w:pPr>
              <w:ind w:left="567" w:hanging="567"/>
              <w:rPr>
                <w:bCs/>
                <w:szCs w:val="22"/>
              </w:rPr>
            </w:pPr>
            <w:r w:rsidRPr="00ED1222">
              <w:rPr>
                <w:bCs/>
              </w:rPr>
              <w:t>13 805 510</w:t>
            </w:r>
          </w:p>
        </w:tc>
        <w:tc>
          <w:tcPr>
            <w:tcW w:w="1555" w:type="dxa"/>
            <w:tcBorders>
              <w:top w:val="single" w:sz="4" w:space="0" w:color="auto"/>
              <w:left w:val="single" w:sz="4" w:space="0" w:color="auto"/>
              <w:bottom w:val="single" w:sz="4" w:space="0" w:color="auto"/>
              <w:right w:val="single" w:sz="4" w:space="0" w:color="auto"/>
            </w:tcBorders>
            <w:noWrap/>
            <w:hideMark/>
          </w:tcPr>
          <w:p w14:paraId="1E0B6FF3" w14:textId="77777777" w:rsidR="00ED1222" w:rsidRPr="00ED1222" w:rsidRDefault="00ED1222" w:rsidP="00ED1222">
            <w:pPr>
              <w:ind w:left="567" w:hanging="567"/>
              <w:rPr>
                <w:szCs w:val="22"/>
              </w:rPr>
            </w:pPr>
            <w:r w:rsidRPr="00ED1222">
              <w:t>2,94</w:t>
            </w:r>
          </w:p>
        </w:tc>
      </w:tr>
      <w:tr w:rsidR="00ED1222" w:rsidRPr="00ED1222" w14:paraId="1C9530DD" w14:textId="77777777" w:rsidTr="00204451">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1EDAB22F" w14:textId="77777777" w:rsidR="00ED1222" w:rsidRPr="00ED1222" w:rsidRDefault="00ED1222" w:rsidP="00ED1222">
            <w:pPr>
              <w:ind w:left="567" w:hanging="567"/>
              <w:rPr>
                <w:b/>
                <w:bCs/>
                <w:szCs w:val="22"/>
              </w:rPr>
            </w:pPr>
            <w:r w:rsidRPr="00ED1222">
              <w:rPr>
                <w:b/>
              </w:rPr>
              <w:t>EASA </w:t>
            </w:r>
            <w:r w:rsidRPr="00ED1222">
              <w:t>(</w:t>
            </w:r>
            <w:r w:rsidRPr="00ED1222">
              <w:rPr>
                <w:vertAlign w:val="superscript"/>
              </w:rPr>
              <w:t>2</w:t>
            </w:r>
            <w:r w:rsidRPr="00ED1222">
              <w:t>)</w:t>
            </w:r>
          </w:p>
        </w:tc>
        <w:tc>
          <w:tcPr>
            <w:tcW w:w="2038" w:type="dxa"/>
            <w:tcBorders>
              <w:top w:val="single" w:sz="4" w:space="0" w:color="auto"/>
              <w:left w:val="single" w:sz="4" w:space="0" w:color="auto"/>
              <w:bottom w:val="single" w:sz="4" w:space="0" w:color="auto"/>
              <w:right w:val="single" w:sz="4" w:space="0" w:color="auto"/>
            </w:tcBorders>
            <w:noWrap/>
            <w:hideMark/>
          </w:tcPr>
          <w:p w14:paraId="46F28120" w14:textId="77777777" w:rsidR="00ED1222" w:rsidRPr="00ED1222" w:rsidRDefault="00ED1222" w:rsidP="00ED1222">
            <w:pPr>
              <w:ind w:left="567" w:hanging="567"/>
              <w:rPr>
                <w:bCs/>
                <w:szCs w:val="22"/>
              </w:rPr>
            </w:pPr>
            <w:r w:rsidRPr="00ED1222">
              <w:rPr>
                <w:bCs/>
              </w:rPr>
              <w:t>169 665 375</w:t>
            </w:r>
          </w:p>
        </w:tc>
        <w:tc>
          <w:tcPr>
            <w:tcW w:w="2360" w:type="dxa"/>
            <w:tcBorders>
              <w:top w:val="single" w:sz="4" w:space="0" w:color="auto"/>
              <w:left w:val="single" w:sz="4" w:space="0" w:color="auto"/>
              <w:bottom w:val="single" w:sz="4" w:space="0" w:color="auto"/>
              <w:right w:val="single" w:sz="4" w:space="0" w:color="auto"/>
            </w:tcBorders>
            <w:noWrap/>
            <w:hideMark/>
          </w:tcPr>
          <w:p w14:paraId="60509079" w14:textId="77777777" w:rsidR="00ED1222" w:rsidRPr="00ED1222" w:rsidRDefault="00ED1222" w:rsidP="00ED1222">
            <w:pPr>
              <w:ind w:left="567" w:hanging="567"/>
              <w:rPr>
                <w:bCs/>
                <w:szCs w:val="22"/>
              </w:rPr>
            </w:pPr>
            <w:r w:rsidRPr="00ED1222">
              <w:rPr>
                <w:bCs/>
              </w:rPr>
              <w:t>163 367 860</w:t>
            </w:r>
          </w:p>
        </w:tc>
        <w:tc>
          <w:tcPr>
            <w:tcW w:w="1555" w:type="dxa"/>
            <w:tcBorders>
              <w:top w:val="single" w:sz="4" w:space="0" w:color="auto"/>
              <w:left w:val="single" w:sz="4" w:space="0" w:color="auto"/>
              <w:bottom w:val="single" w:sz="4" w:space="0" w:color="auto"/>
              <w:right w:val="single" w:sz="4" w:space="0" w:color="auto"/>
            </w:tcBorders>
            <w:noWrap/>
            <w:hideMark/>
          </w:tcPr>
          <w:p w14:paraId="0DC368B9" w14:textId="77777777" w:rsidR="00ED1222" w:rsidRPr="00ED1222" w:rsidRDefault="00ED1222" w:rsidP="00ED1222">
            <w:pPr>
              <w:ind w:left="567" w:hanging="567"/>
              <w:rPr>
                <w:szCs w:val="22"/>
              </w:rPr>
            </w:pPr>
            <w:r w:rsidRPr="00ED1222">
              <w:t>3,85</w:t>
            </w:r>
          </w:p>
        </w:tc>
      </w:tr>
      <w:tr w:rsidR="00ED1222" w:rsidRPr="00ED1222" w14:paraId="37C0EACA" w14:textId="77777777" w:rsidTr="00204451">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228055D8" w14:textId="77777777" w:rsidR="00ED1222" w:rsidRPr="00ED1222" w:rsidRDefault="00ED1222" w:rsidP="00ED1222">
            <w:pPr>
              <w:ind w:left="567" w:hanging="567"/>
              <w:rPr>
                <w:b/>
                <w:bCs/>
                <w:szCs w:val="22"/>
              </w:rPr>
            </w:pPr>
            <w:r w:rsidRPr="00ED1222">
              <w:rPr>
                <w:b/>
              </w:rPr>
              <w:t>EBA</w:t>
            </w:r>
          </w:p>
        </w:tc>
        <w:tc>
          <w:tcPr>
            <w:tcW w:w="2038" w:type="dxa"/>
            <w:tcBorders>
              <w:top w:val="single" w:sz="4" w:space="0" w:color="auto"/>
              <w:left w:val="single" w:sz="4" w:space="0" w:color="auto"/>
              <w:bottom w:val="single" w:sz="4" w:space="0" w:color="auto"/>
              <w:right w:val="single" w:sz="4" w:space="0" w:color="auto"/>
            </w:tcBorders>
            <w:noWrap/>
            <w:hideMark/>
          </w:tcPr>
          <w:p w14:paraId="306A04DB" w14:textId="77777777" w:rsidR="00ED1222" w:rsidRPr="00ED1222" w:rsidRDefault="00ED1222" w:rsidP="00ED1222">
            <w:pPr>
              <w:ind w:left="567" w:hanging="567"/>
              <w:rPr>
                <w:bCs/>
                <w:szCs w:val="22"/>
              </w:rPr>
            </w:pPr>
            <w:r w:rsidRPr="00ED1222">
              <w:rPr>
                <w:bCs/>
              </w:rPr>
              <w:t>52 672 002</w:t>
            </w:r>
          </w:p>
        </w:tc>
        <w:tc>
          <w:tcPr>
            <w:tcW w:w="2360" w:type="dxa"/>
            <w:tcBorders>
              <w:top w:val="single" w:sz="4" w:space="0" w:color="auto"/>
              <w:left w:val="single" w:sz="4" w:space="0" w:color="auto"/>
              <w:bottom w:val="single" w:sz="4" w:space="0" w:color="auto"/>
              <w:right w:val="single" w:sz="4" w:space="0" w:color="auto"/>
            </w:tcBorders>
            <w:noWrap/>
            <w:hideMark/>
          </w:tcPr>
          <w:p w14:paraId="6E4900AD" w14:textId="77777777" w:rsidR="00ED1222" w:rsidRPr="00ED1222" w:rsidRDefault="00ED1222" w:rsidP="00ED1222">
            <w:pPr>
              <w:ind w:left="567" w:hanging="567"/>
              <w:rPr>
                <w:bCs/>
                <w:szCs w:val="22"/>
              </w:rPr>
            </w:pPr>
            <w:r w:rsidRPr="00ED1222">
              <w:rPr>
                <w:bCs/>
              </w:rPr>
              <w:t>50 315 014</w:t>
            </w:r>
          </w:p>
        </w:tc>
        <w:tc>
          <w:tcPr>
            <w:tcW w:w="1555" w:type="dxa"/>
            <w:tcBorders>
              <w:top w:val="single" w:sz="4" w:space="0" w:color="auto"/>
              <w:left w:val="single" w:sz="4" w:space="0" w:color="auto"/>
              <w:bottom w:val="single" w:sz="4" w:space="0" w:color="auto"/>
              <w:right w:val="single" w:sz="4" w:space="0" w:color="auto"/>
            </w:tcBorders>
            <w:noWrap/>
            <w:hideMark/>
          </w:tcPr>
          <w:p w14:paraId="01ABD2C1" w14:textId="77777777" w:rsidR="00ED1222" w:rsidRPr="00ED1222" w:rsidRDefault="00ED1222" w:rsidP="00ED1222">
            <w:pPr>
              <w:ind w:left="567" w:hanging="567"/>
              <w:rPr>
                <w:szCs w:val="22"/>
              </w:rPr>
            </w:pPr>
            <w:r w:rsidRPr="00ED1222">
              <w:t>4,68</w:t>
            </w:r>
          </w:p>
        </w:tc>
      </w:tr>
      <w:tr w:rsidR="00ED1222" w:rsidRPr="00ED1222" w14:paraId="3D0976B3" w14:textId="77777777" w:rsidTr="00204451">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7EFC1575" w14:textId="77777777" w:rsidR="00ED1222" w:rsidRPr="00ED1222" w:rsidRDefault="00ED1222" w:rsidP="00ED1222">
            <w:pPr>
              <w:ind w:left="567" w:hanging="567"/>
              <w:rPr>
                <w:b/>
                <w:bCs/>
                <w:szCs w:val="22"/>
              </w:rPr>
            </w:pPr>
          </w:p>
        </w:tc>
        <w:tc>
          <w:tcPr>
            <w:tcW w:w="2038" w:type="dxa"/>
            <w:tcBorders>
              <w:top w:val="single" w:sz="4" w:space="0" w:color="auto"/>
              <w:left w:val="single" w:sz="4" w:space="0" w:color="auto"/>
              <w:bottom w:val="single" w:sz="4" w:space="0" w:color="auto"/>
              <w:right w:val="single" w:sz="4" w:space="0" w:color="auto"/>
            </w:tcBorders>
            <w:noWrap/>
            <w:hideMark/>
          </w:tcPr>
          <w:p w14:paraId="27D024B0" w14:textId="77777777" w:rsidR="00ED1222" w:rsidRPr="00ED1222" w:rsidRDefault="00ED1222" w:rsidP="00ED1222">
            <w:pPr>
              <w:ind w:left="567" w:hanging="567"/>
              <w:rPr>
                <w:bCs/>
                <w:szCs w:val="22"/>
              </w:rPr>
            </w:pPr>
            <w:r w:rsidRPr="00ED1222">
              <w:rPr>
                <w:bCs/>
              </w:rPr>
              <w:t>102 526 724</w:t>
            </w:r>
          </w:p>
        </w:tc>
        <w:tc>
          <w:tcPr>
            <w:tcW w:w="2360" w:type="dxa"/>
            <w:tcBorders>
              <w:top w:val="single" w:sz="4" w:space="0" w:color="auto"/>
              <w:left w:val="single" w:sz="4" w:space="0" w:color="auto"/>
              <w:bottom w:val="single" w:sz="4" w:space="0" w:color="auto"/>
              <w:right w:val="single" w:sz="4" w:space="0" w:color="auto"/>
            </w:tcBorders>
            <w:noWrap/>
            <w:hideMark/>
          </w:tcPr>
          <w:p w14:paraId="771C3F16" w14:textId="77777777" w:rsidR="00ED1222" w:rsidRPr="00ED1222" w:rsidRDefault="00ED1222" w:rsidP="00ED1222">
            <w:pPr>
              <w:ind w:left="567" w:hanging="567"/>
              <w:rPr>
                <w:bCs/>
                <w:szCs w:val="22"/>
              </w:rPr>
            </w:pPr>
            <w:r w:rsidRPr="00ED1222">
              <w:rPr>
                <w:bCs/>
              </w:rPr>
              <w:t>112 796 588</w:t>
            </w:r>
          </w:p>
        </w:tc>
        <w:tc>
          <w:tcPr>
            <w:tcW w:w="1555" w:type="dxa"/>
            <w:tcBorders>
              <w:top w:val="single" w:sz="4" w:space="0" w:color="auto"/>
              <w:left w:val="single" w:sz="4" w:space="0" w:color="auto"/>
              <w:bottom w:val="single" w:sz="4" w:space="0" w:color="auto"/>
              <w:right w:val="single" w:sz="4" w:space="0" w:color="auto"/>
            </w:tcBorders>
            <w:noWrap/>
            <w:hideMark/>
          </w:tcPr>
          <w:p w14:paraId="11AD3651" w14:textId="77777777" w:rsidR="00ED1222" w:rsidRPr="00ED1222" w:rsidRDefault="00ED1222" w:rsidP="00ED1222">
            <w:pPr>
              <w:ind w:left="567" w:hanging="567"/>
              <w:rPr>
                <w:szCs w:val="22"/>
              </w:rPr>
            </w:pPr>
            <w:r w:rsidRPr="00ED1222">
              <w:t>–9,10</w:t>
            </w:r>
          </w:p>
        </w:tc>
      </w:tr>
      <w:tr w:rsidR="00ED1222" w:rsidRPr="00ED1222" w14:paraId="368F189E" w14:textId="77777777" w:rsidTr="00204451">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2F1B907D" w14:textId="77777777" w:rsidR="00ED1222" w:rsidRPr="00ED1222" w:rsidRDefault="00ED1222" w:rsidP="00ED1222">
            <w:pPr>
              <w:ind w:left="567" w:hanging="567"/>
              <w:rPr>
                <w:b/>
                <w:bCs/>
                <w:szCs w:val="22"/>
              </w:rPr>
            </w:pPr>
            <w:r w:rsidRPr="00ED1222">
              <w:rPr>
                <w:b/>
              </w:rPr>
              <w:t xml:space="preserve">ECHA </w:t>
            </w:r>
          </w:p>
        </w:tc>
        <w:tc>
          <w:tcPr>
            <w:tcW w:w="2038" w:type="dxa"/>
            <w:tcBorders>
              <w:top w:val="single" w:sz="4" w:space="0" w:color="auto"/>
              <w:left w:val="single" w:sz="4" w:space="0" w:color="auto"/>
              <w:bottom w:val="single" w:sz="4" w:space="0" w:color="auto"/>
              <w:right w:val="single" w:sz="4" w:space="0" w:color="auto"/>
            </w:tcBorders>
            <w:noWrap/>
            <w:hideMark/>
          </w:tcPr>
          <w:p w14:paraId="4F82CE9F" w14:textId="77777777" w:rsidR="00ED1222" w:rsidRPr="00ED1222" w:rsidRDefault="00ED1222" w:rsidP="00ED1222">
            <w:pPr>
              <w:ind w:left="567" w:hanging="567"/>
              <w:rPr>
                <w:bCs/>
                <w:szCs w:val="22"/>
              </w:rPr>
            </w:pPr>
            <w:r w:rsidRPr="00ED1222">
              <w:rPr>
                <w:bCs/>
              </w:rPr>
              <w:t>123 280 140</w:t>
            </w:r>
          </w:p>
        </w:tc>
        <w:tc>
          <w:tcPr>
            <w:tcW w:w="2360" w:type="dxa"/>
            <w:tcBorders>
              <w:top w:val="single" w:sz="4" w:space="0" w:color="auto"/>
              <w:left w:val="single" w:sz="4" w:space="0" w:color="auto"/>
              <w:bottom w:val="single" w:sz="4" w:space="0" w:color="auto"/>
              <w:right w:val="single" w:sz="4" w:space="0" w:color="auto"/>
            </w:tcBorders>
            <w:noWrap/>
            <w:hideMark/>
          </w:tcPr>
          <w:p w14:paraId="683D80FA" w14:textId="77777777" w:rsidR="00ED1222" w:rsidRPr="00ED1222" w:rsidRDefault="00ED1222" w:rsidP="00ED1222">
            <w:pPr>
              <w:ind w:left="567" w:hanging="567"/>
              <w:rPr>
                <w:bCs/>
                <w:szCs w:val="22"/>
              </w:rPr>
            </w:pPr>
            <w:r w:rsidRPr="00ED1222">
              <w:rPr>
                <w:bCs/>
              </w:rPr>
              <w:t>116 981 740</w:t>
            </w:r>
          </w:p>
        </w:tc>
        <w:tc>
          <w:tcPr>
            <w:tcW w:w="1555" w:type="dxa"/>
            <w:tcBorders>
              <w:top w:val="single" w:sz="4" w:space="0" w:color="auto"/>
              <w:left w:val="single" w:sz="4" w:space="0" w:color="auto"/>
              <w:bottom w:val="single" w:sz="4" w:space="0" w:color="auto"/>
              <w:right w:val="single" w:sz="4" w:space="0" w:color="auto"/>
            </w:tcBorders>
            <w:noWrap/>
            <w:hideMark/>
          </w:tcPr>
          <w:p w14:paraId="1A89E125" w14:textId="77777777" w:rsidR="00ED1222" w:rsidRPr="00ED1222" w:rsidRDefault="00ED1222" w:rsidP="00ED1222">
            <w:pPr>
              <w:ind w:left="567" w:hanging="567"/>
              <w:rPr>
                <w:szCs w:val="22"/>
              </w:rPr>
            </w:pPr>
            <w:r w:rsidRPr="00ED1222">
              <w:t>5,38</w:t>
            </w:r>
          </w:p>
        </w:tc>
      </w:tr>
      <w:tr w:rsidR="00ED1222" w:rsidRPr="00ED1222" w14:paraId="1673DABC" w14:textId="77777777" w:rsidTr="00204451">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2AB02683" w14:textId="77777777" w:rsidR="00ED1222" w:rsidRPr="00ED1222" w:rsidRDefault="00ED1222" w:rsidP="00ED1222">
            <w:pPr>
              <w:ind w:left="567" w:hanging="567"/>
              <w:rPr>
                <w:b/>
                <w:bCs/>
                <w:szCs w:val="22"/>
              </w:rPr>
            </w:pPr>
            <w:r w:rsidRPr="00ED1222">
              <w:rPr>
                <w:b/>
              </w:rPr>
              <w:t>EEA</w:t>
            </w:r>
          </w:p>
        </w:tc>
        <w:tc>
          <w:tcPr>
            <w:tcW w:w="2038" w:type="dxa"/>
            <w:tcBorders>
              <w:top w:val="single" w:sz="4" w:space="0" w:color="auto"/>
              <w:left w:val="single" w:sz="4" w:space="0" w:color="auto"/>
              <w:bottom w:val="single" w:sz="4" w:space="0" w:color="auto"/>
              <w:right w:val="single" w:sz="4" w:space="0" w:color="auto"/>
            </w:tcBorders>
            <w:noWrap/>
            <w:hideMark/>
          </w:tcPr>
          <w:p w14:paraId="42C24382" w14:textId="77777777" w:rsidR="00ED1222" w:rsidRPr="00ED1222" w:rsidRDefault="00ED1222" w:rsidP="00ED1222">
            <w:pPr>
              <w:ind w:left="567" w:hanging="567"/>
              <w:rPr>
                <w:bCs/>
                <w:szCs w:val="22"/>
              </w:rPr>
            </w:pPr>
            <w:r w:rsidRPr="00ED1222">
              <w:rPr>
                <w:bCs/>
              </w:rPr>
              <w:t>76 114 130</w:t>
            </w:r>
          </w:p>
        </w:tc>
        <w:tc>
          <w:tcPr>
            <w:tcW w:w="2360" w:type="dxa"/>
            <w:tcBorders>
              <w:top w:val="single" w:sz="4" w:space="0" w:color="auto"/>
              <w:left w:val="single" w:sz="4" w:space="0" w:color="auto"/>
              <w:bottom w:val="single" w:sz="4" w:space="0" w:color="auto"/>
              <w:right w:val="single" w:sz="4" w:space="0" w:color="auto"/>
            </w:tcBorders>
            <w:noWrap/>
            <w:hideMark/>
          </w:tcPr>
          <w:p w14:paraId="31A4BCDA" w14:textId="77777777" w:rsidR="00ED1222" w:rsidRPr="00ED1222" w:rsidRDefault="00ED1222" w:rsidP="00ED1222">
            <w:pPr>
              <w:ind w:left="567" w:hanging="567"/>
              <w:rPr>
                <w:bCs/>
                <w:szCs w:val="22"/>
              </w:rPr>
            </w:pPr>
            <w:r w:rsidRPr="00ED1222">
              <w:rPr>
                <w:bCs/>
              </w:rPr>
              <w:t>92 863 021</w:t>
            </w:r>
          </w:p>
        </w:tc>
        <w:tc>
          <w:tcPr>
            <w:tcW w:w="1555" w:type="dxa"/>
            <w:tcBorders>
              <w:top w:val="single" w:sz="4" w:space="0" w:color="auto"/>
              <w:left w:val="single" w:sz="4" w:space="0" w:color="auto"/>
              <w:bottom w:val="single" w:sz="4" w:space="0" w:color="auto"/>
              <w:right w:val="single" w:sz="4" w:space="0" w:color="auto"/>
            </w:tcBorders>
            <w:noWrap/>
            <w:hideMark/>
          </w:tcPr>
          <w:p w14:paraId="17EDBCE2" w14:textId="77777777" w:rsidR="00ED1222" w:rsidRPr="00ED1222" w:rsidRDefault="00ED1222" w:rsidP="00ED1222">
            <w:pPr>
              <w:ind w:left="567" w:hanging="567"/>
              <w:rPr>
                <w:szCs w:val="22"/>
              </w:rPr>
            </w:pPr>
            <w:r w:rsidRPr="00ED1222">
              <w:t>–18,04</w:t>
            </w:r>
          </w:p>
        </w:tc>
      </w:tr>
      <w:tr w:rsidR="00ED1222" w:rsidRPr="00ED1222" w14:paraId="1B094278" w14:textId="77777777" w:rsidTr="00204451">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759B0D59" w14:textId="77777777" w:rsidR="00ED1222" w:rsidRPr="00ED1222" w:rsidRDefault="00ED1222" w:rsidP="00ED1222">
            <w:pPr>
              <w:ind w:left="567" w:hanging="567"/>
              <w:rPr>
                <w:b/>
                <w:bCs/>
                <w:szCs w:val="22"/>
              </w:rPr>
            </w:pPr>
            <w:r w:rsidRPr="00ED1222">
              <w:rPr>
                <w:b/>
              </w:rPr>
              <w:t>EFCA</w:t>
            </w:r>
          </w:p>
        </w:tc>
        <w:tc>
          <w:tcPr>
            <w:tcW w:w="2038" w:type="dxa"/>
            <w:tcBorders>
              <w:top w:val="single" w:sz="4" w:space="0" w:color="auto"/>
              <w:left w:val="single" w:sz="4" w:space="0" w:color="auto"/>
              <w:bottom w:val="single" w:sz="4" w:space="0" w:color="auto"/>
              <w:right w:val="single" w:sz="4" w:space="0" w:color="auto"/>
            </w:tcBorders>
            <w:noWrap/>
            <w:hideMark/>
          </w:tcPr>
          <w:p w14:paraId="585C123B" w14:textId="77777777" w:rsidR="00ED1222" w:rsidRPr="00ED1222" w:rsidRDefault="00ED1222" w:rsidP="00ED1222">
            <w:pPr>
              <w:ind w:left="567" w:hanging="567"/>
              <w:rPr>
                <w:bCs/>
                <w:szCs w:val="22"/>
              </w:rPr>
            </w:pPr>
            <w:r w:rsidRPr="00ED1222">
              <w:rPr>
                <w:bCs/>
              </w:rPr>
              <w:t>30 862 554</w:t>
            </w:r>
          </w:p>
        </w:tc>
        <w:tc>
          <w:tcPr>
            <w:tcW w:w="2360" w:type="dxa"/>
            <w:tcBorders>
              <w:top w:val="single" w:sz="4" w:space="0" w:color="auto"/>
              <w:left w:val="single" w:sz="4" w:space="0" w:color="auto"/>
              <w:bottom w:val="single" w:sz="4" w:space="0" w:color="auto"/>
              <w:right w:val="single" w:sz="4" w:space="0" w:color="auto"/>
            </w:tcBorders>
            <w:noWrap/>
            <w:hideMark/>
          </w:tcPr>
          <w:p w14:paraId="5F3447DC" w14:textId="77777777" w:rsidR="00ED1222" w:rsidRPr="00ED1222" w:rsidRDefault="00ED1222" w:rsidP="00ED1222">
            <w:pPr>
              <w:ind w:left="567" w:hanging="567"/>
              <w:rPr>
                <w:bCs/>
                <w:szCs w:val="22"/>
              </w:rPr>
            </w:pPr>
            <w:r w:rsidRPr="00ED1222">
              <w:rPr>
                <w:bCs/>
              </w:rPr>
              <w:t>35 734 297</w:t>
            </w:r>
          </w:p>
        </w:tc>
        <w:tc>
          <w:tcPr>
            <w:tcW w:w="1555" w:type="dxa"/>
            <w:tcBorders>
              <w:top w:val="single" w:sz="4" w:space="0" w:color="auto"/>
              <w:left w:val="single" w:sz="4" w:space="0" w:color="auto"/>
              <w:bottom w:val="single" w:sz="4" w:space="0" w:color="auto"/>
              <w:right w:val="single" w:sz="4" w:space="0" w:color="auto"/>
            </w:tcBorders>
            <w:noWrap/>
            <w:hideMark/>
          </w:tcPr>
          <w:p w14:paraId="73B5A85F" w14:textId="77777777" w:rsidR="00ED1222" w:rsidRPr="00ED1222" w:rsidRDefault="00ED1222" w:rsidP="00ED1222">
            <w:pPr>
              <w:ind w:left="567" w:hanging="567"/>
              <w:rPr>
                <w:szCs w:val="22"/>
              </w:rPr>
            </w:pPr>
            <w:r w:rsidRPr="00ED1222">
              <w:t>–13,63</w:t>
            </w:r>
          </w:p>
        </w:tc>
      </w:tr>
      <w:tr w:rsidR="00ED1222" w:rsidRPr="00ED1222" w14:paraId="696DF699" w14:textId="77777777" w:rsidTr="00204451">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4D47B61B" w14:textId="77777777" w:rsidR="00ED1222" w:rsidRPr="00ED1222" w:rsidRDefault="00ED1222" w:rsidP="00ED1222">
            <w:pPr>
              <w:ind w:left="567" w:hanging="567"/>
              <w:rPr>
                <w:b/>
                <w:bCs/>
                <w:szCs w:val="22"/>
              </w:rPr>
            </w:pPr>
            <w:r w:rsidRPr="00ED1222">
              <w:rPr>
                <w:b/>
              </w:rPr>
              <w:t>EFSA</w:t>
            </w:r>
          </w:p>
        </w:tc>
        <w:tc>
          <w:tcPr>
            <w:tcW w:w="2038" w:type="dxa"/>
            <w:tcBorders>
              <w:top w:val="single" w:sz="4" w:space="0" w:color="auto"/>
              <w:left w:val="single" w:sz="4" w:space="0" w:color="auto"/>
              <w:bottom w:val="single" w:sz="4" w:space="0" w:color="auto"/>
              <w:right w:val="single" w:sz="4" w:space="0" w:color="auto"/>
            </w:tcBorders>
            <w:noWrap/>
            <w:hideMark/>
          </w:tcPr>
          <w:p w14:paraId="532212B5" w14:textId="77777777" w:rsidR="00ED1222" w:rsidRPr="00ED1222" w:rsidRDefault="00ED1222" w:rsidP="00ED1222">
            <w:pPr>
              <w:ind w:left="567" w:hanging="567"/>
              <w:rPr>
                <w:bCs/>
                <w:szCs w:val="22"/>
              </w:rPr>
            </w:pPr>
            <w:r w:rsidRPr="00ED1222">
              <w:rPr>
                <w:bCs/>
              </w:rPr>
              <w:t>148 954 729</w:t>
            </w:r>
          </w:p>
        </w:tc>
        <w:tc>
          <w:tcPr>
            <w:tcW w:w="2360" w:type="dxa"/>
            <w:tcBorders>
              <w:top w:val="single" w:sz="4" w:space="0" w:color="auto"/>
              <w:left w:val="single" w:sz="4" w:space="0" w:color="auto"/>
              <w:bottom w:val="single" w:sz="4" w:space="0" w:color="auto"/>
              <w:right w:val="single" w:sz="4" w:space="0" w:color="auto"/>
            </w:tcBorders>
            <w:noWrap/>
            <w:hideMark/>
          </w:tcPr>
          <w:p w14:paraId="5D348EFB" w14:textId="77777777" w:rsidR="00ED1222" w:rsidRPr="00ED1222" w:rsidRDefault="00ED1222" w:rsidP="00ED1222">
            <w:pPr>
              <w:ind w:left="567" w:hanging="567"/>
              <w:rPr>
                <w:bCs/>
                <w:szCs w:val="22"/>
              </w:rPr>
            </w:pPr>
            <w:r w:rsidRPr="00ED1222">
              <w:rPr>
                <w:bCs/>
              </w:rPr>
              <w:t>134 773 287</w:t>
            </w:r>
          </w:p>
        </w:tc>
        <w:tc>
          <w:tcPr>
            <w:tcW w:w="1555" w:type="dxa"/>
            <w:tcBorders>
              <w:top w:val="single" w:sz="4" w:space="0" w:color="auto"/>
              <w:left w:val="single" w:sz="4" w:space="0" w:color="auto"/>
              <w:bottom w:val="single" w:sz="4" w:space="0" w:color="auto"/>
              <w:right w:val="single" w:sz="4" w:space="0" w:color="auto"/>
            </w:tcBorders>
            <w:noWrap/>
            <w:hideMark/>
          </w:tcPr>
          <w:p w14:paraId="445E1C3C" w14:textId="77777777" w:rsidR="00ED1222" w:rsidRPr="00ED1222" w:rsidRDefault="00ED1222" w:rsidP="00ED1222">
            <w:pPr>
              <w:ind w:left="567" w:hanging="567"/>
              <w:rPr>
                <w:szCs w:val="22"/>
              </w:rPr>
            </w:pPr>
            <w:r w:rsidRPr="00ED1222">
              <w:t>10,52</w:t>
            </w:r>
          </w:p>
        </w:tc>
      </w:tr>
      <w:tr w:rsidR="00ED1222" w:rsidRPr="00ED1222" w14:paraId="69298D2F" w14:textId="77777777" w:rsidTr="00204451">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3A9A2C64" w14:textId="77777777" w:rsidR="00ED1222" w:rsidRPr="00ED1222" w:rsidRDefault="00ED1222" w:rsidP="00ED1222">
            <w:pPr>
              <w:ind w:left="567" w:hanging="567"/>
              <w:rPr>
                <w:b/>
                <w:bCs/>
                <w:szCs w:val="22"/>
              </w:rPr>
            </w:pPr>
            <w:r w:rsidRPr="00ED1222">
              <w:rPr>
                <w:b/>
              </w:rPr>
              <w:t>EIGE</w:t>
            </w:r>
          </w:p>
        </w:tc>
        <w:tc>
          <w:tcPr>
            <w:tcW w:w="2038" w:type="dxa"/>
            <w:tcBorders>
              <w:top w:val="single" w:sz="4" w:space="0" w:color="auto"/>
              <w:left w:val="single" w:sz="4" w:space="0" w:color="auto"/>
              <w:bottom w:val="single" w:sz="4" w:space="0" w:color="auto"/>
              <w:right w:val="single" w:sz="4" w:space="0" w:color="auto"/>
            </w:tcBorders>
            <w:noWrap/>
            <w:hideMark/>
          </w:tcPr>
          <w:p w14:paraId="47A5C5E1" w14:textId="77777777" w:rsidR="00ED1222" w:rsidRPr="00ED1222" w:rsidRDefault="00ED1222" w:rsidP="00ED1222">
            <w:pPr>
              <w:ind w:left="567" w:hanging="567"/>
              <w:rPr>
                <w:bCs/>
                <w:szCs w:val="22"/>
              </w:rPr>
            </w:pPr>
            <w:r w:rsidRPr="00ED1222">
              <w:rPr>
                <w:bCs/>
              </w:rPr>
              <w:t>9 358 919</w:t>
            </w:r>
          </w:p>
        </w:tc>
        <w:tc>
          <w:tcPr>
            <w:tcW w:w="2360" w:type="dxa"/>
            <w:tcBorders>
              <w:top w:val="single" w:sz="4" w:space="0" w:color="auto"/>
              <w:left w:val="single" w:sz="4" w:space="0" w:color="auto"/>
              <w:bottom w:val="single" w:sz="4" w:space="0" w:color="auto"/>
              <w:right w:val="single" w:sz="4" w:space="0" w:color="auto"/>
            </w:tcBorders>
            <w:noWrap/>
            <w:hideMark/>
          </w:tcPr>
          <w:p w14:paraId="3DA52281" w14:textId="77777777" w:rsidR="00ED1222" w:rsidRPr="00ED1222" w:rsidRDefault="00ED1222" w:rsidP="00ED1222">
            <w:pPr>
              <w:ind w:left="567" w:hanging="567"/>
              <w:rPr>
                <w:bCs/>
                <w:szCs w:val="22"/>
              </w:rPr>
            </w:pPr>
            <w:r w:rsidRPr="00ED1222">
              <w:rPr>
                <w:bCs/>
              </w:rPr>
              <w:t>8 432 920</w:t>
            </w:r>
          </w:p>
        </w:tc>
        <w:tc>
          <w:tcPr>
            <w:tcW w:w="1555" w:type="dxa"/>
            <w:tcBorders>
              <w:top w:val="single" w:sz="4" w:space="0" w:color="auto"/>
              <w:left w:val="single" w:sz="4" w:space="0" w:color="auto"/>
              <w:bottom w:val="single" w:sz="4" w:space="0" w:color="auto"/>
              <w:right w:val="single" w:sz="4" w:space="0" w:color="auto"/>
            </w:tcBorders>
            <w:noWrap/>
            <w:hideMark/>
          </w:tcPr>
          <w:p w14:paraId="03297992" w14:textId="77777777" w:rsidR="00ED1222" w:rsidRPr="00ED1222" w:rsidRDefault="00ED1222" w:rsidP="00ED1222">
            <w:pPr>
              <w:ind w:left="567" w:hanging="567"/>
              <w:rPr>
                <w:szCs w:val="22"/>
              </w:rPr>
            </w:pPr>
            <w:r w:rsidRPr="00ED1222">
              <w:t>10,98</w:t>
            </w:r>
          </w:p>
        </w:tc>
      </w:tr>
      <w:tr w:rsidR="00ED1222" w:rsidRPr="00ED1222" w14:paraId="73E29AC3" w14:textId="77777777" w:rsidTr="00204451">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7A1A384A" w14:textId="77777777" w:rsidR="00ED1222" w:rsidRPr="00ED1222" w:rsidRDefault="00ED1222" w:rsidP="00ED1222">
            <w:pPr>
              <w:ind w:left="567" w:hanging="567"/>
              <w:rPr>
                <w:b/>
                <w:bCs/>
                <w:szCs w:val="22"/>
              </w:rPr>
            </w:pPr>
            <w:r w:rsidRPr="00ED1222">
              <w:rPr>
                <w:b/>
              </w:rPr>
              <w:t xml:space="preserve">EIOPA </w:t>
            </w:r>
          </w:p>
        </w:tc>
        <w:tc>
          <w:tcPr>
            <w:tcW w:w="2038" w:type="dxa"/>
            <w:tcBorders>
              <w:top w:val="single" w:sz="4" w:space="0" w:color="auto"/>
              <w:left w:val="single" w:sz="4" w:space="0" w:color="auto"/>
              <w:bottom w:val="single" w:sz="4" w:space="0" w:color="auto"/>
              <w:right w:val="single" w:sz="4" w:space="0" w:color="auto"/>
            </w:tcBorders>
            <w:noWrap/>
            <w:hideMark/>
          </w:tcPr>
          <w:p w14:paraId="5AEE5529" w14:textId="77777777" w:rsidR="00ED1222" w:rsidRPr="00ED1222" w:rsidRDefault="00ED1222" w:rsidP="00ED1222">
            <w:pPr>
              <w:ind w:left="567" w:hanging="567"/>
              <w:rPr>
                <w:bCs/>
                <w:szCs w:val="22"/>
              </w:rPr>
            </w:pPr>
            <w:r w:rsidRPr="00ED1222">
              <w:rPr>
                <w:bCs/>
              </w:rPr>
              <w:t>36 714 492</w:t>
            </w:r>
          </w:p>
        </w:tc>
        <w:tc>
          <w:tcPr>
            <w:tcW w:w="2360" w:type="dxa"/>
            <w:tcBorders>
              <w:top w:val="single" w:sz="4" w:space="0" w:color="auto"/>
              <w:left w:val="single" w:sz="4" w:space="0" w:color="auto"/>
              <w:bottom w:val="single" w:sz="4" w:space="0" w:color="auto"/>
              <w:right w:val="single" w:sz="4" w:space="0" w:color="auto"/>
            </w:tcBorders>
            <w:noWrap/>
            <w:hideMark/>
          </w:tcPr>
          <w:p w14:paraId="0445DD7D" w14:textId="77777777" w:rsidR="00ED1222" w:rsidRPr="00ED1222" w:rsidRDefault="00ED1222" w:rsidP="00ED1222">
            <w:pPr>
              <w:ind w:left="567" w:hanging="567"/>
              <w:rPr>
                <w:bCs/>
                <w:szCs w:val="22"/>
              </w:rPr>
            </w:pPr>
            <w:r w:rsidRPr="00ED1222">
              <w:rPr>
                <w:bCs/>
              </w:rPr>
              <w:t>34 571 120</w:t>
            </w:r>
          </w:p>
        </w:tc>
        <w:tc>
          <w:tcPr>
            <w:tcW w:w="1555" w:type="dxa"/>
            <w:tcBorders>
              <w:top w:val="single" w:sz="4" w:space="0" w:color="auto"/>
              <w:left w:val="single" w:sz="4" w:space="0" w:color="auto"/>
              <w:bottom w:val="single" w:sz="4" w:space="0" w:color="auto"/>
              <w:right w:val="single" w:sz="4" w:space="0" w:color="auto"/>
            </w:tcBorders>
            <w:noWrap/>
            <w:hideMark/>
          </w:tcPr>
          <w:p w14:paraId="074EC4DA" w14:textId="77777777" w:rsidR="00ED1222" w:rsidRPr="00ED1222" w:rsidRDefault="00ED1222" w:rsidP="00ED1222">
            <w:pPr>
              <w:ind w:left="567" w:hanging="567"/>
              <w:rPr>
                <w:szCs w:val="22"/>
              </w:rPr>
            </w:pPr>
            <w:r w:rsidRPr="00ED1222">
              <w:t>6,20</w:t>
            </w:r>
          </w:p>
        </w:tc>
      </w:tr>
      <w:tr w:rsidR="00ED1222" w:rsidRPr="00ED1222" w14:paraId="7878E89D" w14:textId="77777777" w:rsidTr="00204451">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57581430" w14:textId="77777777" w:rsidR="00ED1222" w:rsidRPr="00ED1222" w:rsidRDefault="00ED1222" w:rsidP="00ED1222">
            <w:pPr>
              <w:ind w:left="567" w:hanging="567"/>
              <w:rPr>
                <w:b/>
                <w:bCs/>
                <w:szCs w:val="22"/>
              </w:rPr>
            </w:pPr>
            <w:r w:rsidRPr="00ED1222">
              <w:rPr>
                <w:b/>
              </w:rPr>
              <w:t>EIT</w:t>
            </w:r>
          </w:p>
        </w:tc>
        <w:tc>
          <w:tcPr>
            <w:tcW w:w="2038" w:type="dxa"/>
            <w:tcBorders>
              <w:top w:val="single" w:sz="4" w:space="0" w:color="auto"/>
              <w:left w:val="single" w:sz="4" w:space="0" w:color="auto"/>
              <w:bottom w:val="single" w:sz="4" w:space="0" w:color="auto"/>
              <w:right w:val="single" w:sz="4" w:space="0" w:color="auto"/>
            </w:tcBorders>
            <w:noWrap/>
            <w:hideMark/>
          </w:tcPr>
          <w:p w14:paraId="690B5E43" w14:textId="77777777" w:rsidR="00ED1222" w:rsidRPr="00ED1222" w:rsidRDefault="00ED1222" w:rsidP="00ED1222">
            <w:pPr>
              <w:ind w:left="567" w:hanging="567"/>
              <w:rPr>
                <w:bCs/>
                <w:szCs w:val="22"/>
              </w:rPr>
            </w:pPr>
            <w:r w:rsidRPr="00ED1222">
              <w:rPr>
                <w:bCs/>
              </w:rPr>
              <w:t>367 607 241</w:t>
            </w:r>
          </w:p>
        </w:tc>
        <w:tc>
          <w:tcPr>
            <w:tcW w:w="2360" w:type="dxa"/>
            <w:tcBorders>
              <w:top w:val="single" w:sz="4" w:space="0" w:color="auto"/>
              <w:left w:val="single" w:sz="4" w:space="0" w:color="auto"/>
              <w:bottom w:val="single" w:sz="4" w:space="0" w:color="auto"/>
              <w:right w:val="single" w:sz="4" w:space="0" w:color="auto"/>
            </w:tcBorders>
            <w:noWrap/>
            <w:hideMark/>
          </w:tcPr>
          <w:p w14:paraId="742C0E99" w14:textId="77777777" w:rsidR="00ED1222" w:rsidRPr="00ED1222" w:rsidRDefault="00ED1222" w:rsidP="00ED1222">
            <w:pPr>
              <w:ind w:left="567" w:hanging="567"/>
              <w:rPr>
                <w:bCs/>
                <w:szCs w:val="22"/>
              </w:rPr>
            </w:pPr>
            <w:r w:rsidRPr="00ED1222">
              <w:rPr>
                <w:bCs/>
              </w:rPr>
              <w:t>448 920 650</w:t>
            </w:r>
          </w:p>
        </w:tc>
        <w:tc>
          <w:tcPr>
            <w:tcW w:w="1555" w:type="dxa"/>
            <w:tcBorders>
              <w:top w:val="single" w:sz="4" w:space="0" w:color="auto"/>
              <w:left w:val="single" w:sz="4" w:space="0" w:color="auto"/>
              <w:bottom w:val="single" w:sz="4" w:space="0" w:color="auto"/>
              <w:right w:val="single" w:sz="4" w:space="0" w:color="auto"/>
            </w:tcBorders>
            <w:noWrap/>
            <w:hideMark/>
          </w:tcPr>
          <w:p w14:paraId="5938F0C0" w14:textId="77777777" w:rsidR="00ED1222" w:rsidRPr="00ED1222" w:rsidRDefault="00ED1222" w:rsidP="00ED1222">
            <w:pPr>
              <w:ind w:left="567" w:hanging="567"/>
              <w:rPr>
                <w:szCs w:val="22"/>
              </w:rPr>
            </w:pPr>
            <w:r w:rsidRPr="00ED1222">
              <w:t>–18,11</w:t>
            </w:r>
          </w:p>
        </w:tc>
      </w:tr>
      <w:tr w:rsidR="00ED1222" w:rsidRPr="00ED1222" w14:paraId="02B4528E" w14:textId="77777777" w:rsidTr="00204451">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5180BA55" w14:textId="77777777" w:rsidR="00ED1222" w:rsidRPr="00ED1222" w:rsidRDefault="00ED1222" w:rsidP="00ED1222">
            <w:pPr>
              <w:ind w:left="567" w:hanging="567"/>
              <w:rPr>
                <w:b/>
                <w:bCs/>
                <w:szCs w:val="22"/>
              </w:rPr>
            </w:pPr>
            <w:r w:rsidRPr="00ED1222">
              <w:rPr>
                <w:b/>
              </w:rPr>
              <w:t>ELA</w:t>
            </w:r>
          </w:p>
        </w:tc>
        <w:tc>
          <w:tcPr>
            <w:tcW w:w="2038" w:type="dxa"/>
            <w:tcBorders>
              <w:top w:val="single" w:sz="4" w:space="0" w:color="auto"/>
              <w:left w:val="single" w:sz="4" w:space="0" w:color="auto"/>
              <w:bottom w:val="single" w:sz="4" w:space="0" w:color="auto"/>
              <w:right w:val="single" w:sz="4" w:space="0" w:color="auto"/>
            </w:tcBorders>
            <w:noWrap/>
            <w:hideMark/>
          </w:tcPr>
          <w:p w14:paraId="52792CEA" w14:textId="77777777" w:rsidR="00ED1222" w:rsidRPr="00ED1222" w:rsidRDefault="00ED1222" w:rsidP="00ED1222">
            <w:pPr>
              <w:ind w:left="567" w:hanging="567"/>
              <w:rPr>
                <w:bCs/>
                <w:szCs w:val="22"/>
              </w:rPr>
            </w:pPr>
            <w:r w:rsidRPr="00ED1222">
              <w:rPr>
                <w:bCs/>
              </w:rPr>
              <w:t>39 973 330</w:t>
            </w:r>
          </w:p>
        </w:tc>
        <w:tc>
          <w:tcPr>
            <w:tcW w:w="2360" w:type="dxa"/>
            <w:tcBorders>
              <w:top w:val="single" w:sz="4" w:space="0" w:color="auto"/>
              <w:left w:val="single" w:sz="4" w:space="0" w:color="auto"/>
              <w:bottom w:val="single" w:sz="4" w:space="0" w:color="auto"/>
              <w:right w:val="single" w:sz="4" w:space="0" w:color="auto"/>
            </w:tcBorders>
            <w:noWrap/>
            <w:hideMark/>
          </w:tcPr>
          <w:p w14:paraId="0DBCE547" w14:textId="77777777" w:rsidR="00ED1222" w:rsidRPr="00ED1222" w:rsidRDefault="00ED1222" w:rsidP="00ED1222">
            <w:pPr>
              <w:ind w:left="567" w:hanging="567"/>
              <w:rPr>
                <w:bCs/>
                <w:szCs w:val="22"/>
              </w:rPr>
            </w:pPr>
            <w:r w:rsidRPr="00ED1222">
              <w:rPr>
                <w:bCs/>
              </w:rPr>
              <w:t>34 689 842</w:t>
            </w:r>
          </w:p>
        </w:tc>
        <w:tc>
          <w:tcPr>
            <w:tcW w:w="1555" w:type="dxa"/>
            <w:tcBorders>
              <w:top w:val="single" w:sz="4" w:space="0" w:color="auto"/>
              <w:left w:val="single" w:sz="4" w:space="0" w:color="auto"/>
              <w:bottom w:val="single" w:sz="4" w:space="0" w:color="auto"/>
              <w:right w:val="single" w:sz="4" w:space="0" w:color="auto"/>
            </w:tcBorders>
            <w:noWrap/>
            <w:hideMark/>
          </w:tcPr>
          <w:p w14:paraId="22B48739" w14:textId="77777777" w:rsidR="00ED1222" w:rsidRPr="00ED1222" w:rsidRDefault="00ED1222" w:rsidP="00ED1222">
            <w:pPr>
              <w:ind w:left="567" w:hanging="567"/>
              <w:rPr>
                <w:szCs w:val="22"/>
              </w:rPr>
            </w:pPr>
            <w:r w:rsidRPr="00ED1222">
              <w:t>15,23</w:t>
            </w:r>
          </w:p>
        </w:tc>
      </w:tr>
      <w:tr w:rsidR="00ED1222" w:rsidRPr="00ED1222" w14:paraId="0953E142" w14:textId="77777777" w:rsidTr="00204451">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5ACFB194" w14:textId="77777777" w:rsidR="00ED1222" w:rsidRPr="00ED1222" w:rsidRDefault="00ED1222" w:rsidP="00ED1222">
            <w:pPr>
              <w:ind w:left="567" w:hanging="567"/>
              <w:rPr>
                <w:b/>
                <w:bCs/>
                <w:szCs w:val="22"/>
              </w:rPr>
            </w:pPr>
            <w:r w:rsidRPr="00ED1222">
              <w:rPr>
                <w:b/>
              </w:rPr>
              <w:t xml:space="preserve">EMA </w:t>
            </w:r>
          </w:p>
        </w:tc>
        <w:tc>
          <w:tcPr>
            <w:tcW w:w="2038" w:type="dxa"/>
            <w:tcBorders>
              <w:top w:val="single" w:sz="4" w:space="0" w:color="auto"/>
              <w:left w:val="single" w:sz="4" w:space="0" w:color="auto"/>
              <w:bottom w:val="single" w:sz="4" w:space="0" w:color="auto"/>
              <w:right w:val="single" w:sz="4" w:space="0" w:color="auto"/>
            </w:tcBorders>
            <w:noWrap/>
            <w:hideMark/>
          </w:tcPr>
          <w:p w14:paraId="6CDC6A1C" w14:textId="77777777" w:rsidR="00ED1222" w:rsidRPr="00ED1222" w:rsidRDefault="00ED1222" w:rsidP="00ED1222">
            <w:pPr>
              <w:ind w:left="567" w:hanging="567"/>
              <w:rPr>
                <w:bCs/>
                <w:szCs w:val="22"/>
              </w:rPr>
            </w:pPr>
            <w:r w:rsidRPr="00ED1222">
              <w:rPr>
                <w:bCs/>
              </w:rPr>
              <w:t>448 603 000</w:t>
            </w:r>
          </w:p>
        </w:tc>
        <w:tc>
          <w:tcPr>
            <w:tcW w:w="2360" w:type="dxa"/>
            <w:tcBorders>
              <w:top w:val="single" w:sz="4" w:space="0" w:color="auto"/>
              <w:left w:val="single" w:sz="4" w:space="0" w:color="auto"/>
              <w:bottom w:val="single" w:sz="4" w:space="0" w:color="auto"/>
              <w:right w:val="single" w:sz="4" w:space="0" w:color="auto"/>
            </w:tcBorders>
            <w:noWrap/>
            <w:hideMark/>
          </w:tcPr>
          <w:p w14:paraId="5EDFA1DE" w14:textId="77777777" w:rsidR="00ED1222" w:rsidRPr="00ED1222" w:rsidRDefault="00ED1222" w:rsidP="00ED1222">
            <w:pPr>
              <w:ind w:left="567" w:hanging="567"/>
              <w:rPr>
                <w:bCs/>
                <w:szCs w:val="22"/>
              </w:rPr>
            </w:pPr>
            <w:r w:rsidRPr="00ED1222">
              <w:rPr>
                <w:bCs/>
              </w:rPr>
              <w:t>421 815 000</w:t>
            </w:r>
          </w:p>
        </w:tc>
        <w:tc>
          <w:tcPr>
            <w:tcW w:w="1555" w:type="dxa"/>
            <w:tcBorders>
              <w:top w:val="single" w:sz="4" w:space="0" w:color="auto"/>
              <w:left w:val="single" w:sz="4" w:space="0" w:color="auto"/>
              <w:bottom w:val="single" w:sz="4" w:space="0" w:color="auto"/>
              <w:right w:val="single" w:sz="4" w:space="0" w:color="auto"/>
            </w:tcBorders>
            <w:noWrap/>
            <w:hideMark/>
          </w:tcPr>
          <w:p w14:paraId="4451987E" w14:textId="77777777" w:rsidR="00ED1222" w:rsidRPr="00ED1222" w:rsidRDefault="00ED1222" w:rsidP="00ED1222">
            <w:pPr>
              <w:ind w:left="567" w:hanging="567"/>
              <w:rPr>
                <w:szCs w:val="22"/>
              </w:rPr>
            </w:pPr>
            <w:r w:rsidRPr="00ED1222">
              <w:t>6,35</w:t>
            </w:r>
          </w:p>
        </w:tc>
      </w:tr>
      <w:tr w:rsidR="00ED1222" w:rsidRPr="00ED1222" w14:paraId="4ED6A125" w14:textId="77777777" w:rsidTr="00204451">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71F55F64" w14:textId="77777777" w:rsidR="00ED1222" w:rsidRPr="00ED1222" w:rsidRDefault="00ED1222" w:rsidP="00ED1222">
            <w:pPr>
              <w:ind w:left="567" w:hanging="567"/>
              <w:jc w:val="both"/>
              <w:rPr>
                <w:b/>
                <w:bCs/>
                <w:szCs w:val="22"/>
              </w:rPr>
            </w:pPr>
            <w:r w:rsidRPr="00ED1222">
              <w:rPr>
                <w:b/>
              </w:rPr>
              <w:t>EUDA (EMCDDA)</w:t>
            </w:r>
          </w:p>
        </w:tc>
        <w:tc>
          <w:tcPr>
            <w:tcW w:w="2038" w:type="dxa"/>
            <w:tcBorders>
              <w:top w:val="single" w:sz="4" w:space="0" w:color="auto"/>
              <w:left w:val="single" w:sz="4" w:space="0" w:color="auto"/>
              <w:bottom w:val="single" w:sz="4" w:space="0" w:color="auto"/>
              <w:right w:val="single" w:sz="4" w:space="0" w:color="auto"/>
            </w:tcBorders>
            <w:noWrap/>
            <w:hideMark/>
          </w:tcPr>
          <w:p w14:paraId="6D5964EE" w14:textId="77777777" w:rsidR="00ED1222" w:rsidRPr="00ED1222" w:rsidRDefault="00ED1222" w:rsidP="00ED1222">
            <w:pPr>
              <w:ind w:left="567" w:hanging="567"/>
              <w:rPr>
                <w:bCs/>
                <w:szCs w:val="22"/>
              </w:rPr>
            </w:pPr>
            <w:r w:rsidRPr="00ED1222">
              <w:rPr>
                <w:bCs/>
              </w:rPr>
              <w:t>22 082 074</w:t>
            </w:r>
          </w:p>
        </w:tc>
        <w:tc>
          <w:tcPr>
            <w:tcW w:w="2360" w:type="dxa"/>
            <w:tcBorders>
              <w:top w:val="single" w:sz="4" w:space="0" w:color="auto"/>
              <w:left w:val="single" w:sz="4" w:space="0" w:color="auto"/>
              <w:bottom w:val="single" w:sz="4" w:space="0" w:color="auto"/>
              <w:right w:val="single" w:sz="4" w:space="0" w:color="auto"/>
            </w:tcBorders>
            <w:noWrap/>
            <w:hideMark/>
          </w:tcPr>
          <w:p w14:paraId="1981E3FE" w14:textId="77777777" w:rsidR="00ED1222" w:rsidRPr="00ED1222" w:rsidRDefault="00ED1222" w:rsidP="00ED1222">
            <w:pPr>
              <w:ind w:left="567" w:hanging="567"/>
              <w:rPr>
                <w:bCs/>
                <w:szCs w:val="22"/>
              </w:rPr>
            </w:pPr>
            <w:r w:rsidRPr="00ED1222">
              <w:rPr>
                <w:bCs/>
              </w:rPr>
              <w:t>18 839 136</w:t>
            </w:r>
          </w:p>
        </w:tc>
        <w:tc>
          <w:tcPr>
            <w:tcW w:w="1555" w:type="dxa"/>
            <w:tcBorders>
              <w:top w:val="single" w:sz="4" w:space="0" w:color="auto"/>
              <w:left w:val="single" w:sz="4" w:space="0" w:color="auto"/>
              <w:bottom w:val="single" w:sz="4" w:space="0" w:color="auto"/>
              <w:right w:val="single" w:sz="4" w:space="0" w:color="auto"/>
            </w:tcBorders>
            <w:noWrap/>
            <w:hideMark/>
          </w:tcPr>
          <w:p w14:paraId="27143F8C" w14:textId="77777777" w:rsidR="00ED1222" w:rsidRPr="00ED1222" w:rsidRDefault="00ED1222" w:rsidP="00ED1222">
            <w:pPr>
              <w:ind w:left="567" w:hanging="567"/>
              <w:rPr>
                <w:szCs w:val="22"/>
              </w:rPr>
            </w:pPr>
            <w:r w:rsidRPr="00ED1222">
              <w:t>17,21</w:t>
            </w:r>
          </w:p>
        </w:tc>
      </w:tr>
      <w:tr w:rsidR="00ED1222" w:rsidRPr="00ED1222" w14:paraId="3778CEE2" w14:textId="77777777" w:rsidTr="00204451">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1AF0E6A1" w14:textId="77777777" w:rsidR="00ED1222" w:rsidRPr="00ED1222" w:rsidRDefault="00ED1222" w:rsidP="00ED1222">
            <w:pPr>
              <w:ind w:left="567" w:hanging="567"/>
              <w:rPr>
                <w:b/>
                <w:bCs/>
                <w:szCs w:val="22"/>
              </w:rPr>
            </w:pPr>
            <w:r w:rsidRPr="00ED1222">
              <w:rPr>
                <w:b/>
              </w:rPr>
              <w:t>EMSA</w:t>
            </w:r>
          </w:p>
        </w:tc>
        <w:tc>
          <w:tcPr>
            <w:tcW w:w="2038" w:type="dxa"/>
            <w:tcBorders>
              <w:top w:val="single" w:sz="4" w:space="0" w:color="auto"/>
              <w:left w:val="single" w:sz="4" w:space="0" w:color="auto"/>
              <w:bottom w:val="single" w:sz="4" w:space="0" w:color="auto"/>
              <w:right w:val="single" w:sz="4" w:space="0" w:color="auto"/>
            </w:tcBorders>
            <w:noWrap/>
            <w:hideMark/>
          </w:tcPr>
          <w:p w14:paraId="26CC6E54" w14:textId="77777777" w:rsidR="00ED1222" w:rsidRPr="00ED1222" w:rsidRDefault="00ED1222" w:rsidP="00ED1222">
            <w:pPr>
              <w:ind w:left="567" w:hanging="567"/>
              <w:rPr>
                <w:bCs/>
                <w:szCs w:val="22"/>
              </w:rPr>
            </w:pPr>
            <w:r w:rsidRPr="00ED1222">
              <w:rPr>
                <w:bCs/>
              </w:rPr>
              <w:t>111 954 231</w:t>
            </w:r>
          </w:p>
        </w:tc>
        <w:tc>
          <w:tcPr>
            <w:tcW w:w="2360" w:type="dxa"/>
            <w:tcBorders>
              <w:top w:val="single" w:sz="4" w:space="0" w:color="auto"/>
              <w:left w:val="single" w:sz="4" w:space="0" w:color="auto"/>
              <w:bottom w:val="single" w:sz="4" w:space="0" w:color="auto"/>
              <w:right w:val="single" w:sz="4" w:space="0" w:color="auto"/>
            </w:tcBorders>
            <w:noWrap/>
            <w:hideMark/>
          </w:tcPr>
          <w:p w14:paraId="0BB15D11" w14:textId="77777777" w:rsidR="00ED1222" w:rsidRPr="00ED1222" w:rsidRDefault="00ED1222" w:rsidP="00ED1222">
            <w:pPr>
              <w:ind w:left="567" w:hanging="567"/>
              <w:rPr>
                <w:bCs/>
                <w:szCs w:val="22"/>
              </w:rPr>
            </w:pPr>
            <w:r w:rsidRPr="00ED1222">
              <w:rPr>
                <w:bCs/>
              </w:rPr>
              <w:t>115 807 270</w:t>
            </w:r>
          </w:p>
        </w:tc>
        <w:tc>
          <w:tcPr>
            <w:tcW w:w="1555" w:type="dxa"/>
            <w:tcBorders>
              <w:top w:val="single" w:sz="4" w:space="0" w:color="auto"/>
              <w:left w:val="single" w:sz="4" w:space="0" w:color="auto"/>
              <w:bottom w:val="single" w:sz="4" w:space="0" w:color="auto"/>
              <w:right w:val="single" w:sz="4" w:space="0" w:color="auto"/>
            </w:tcBorders>
            <w:noWrap/>
            <w:hideMark/>
          </w:tcPr>
          <w:p w14:paraId="2E4C12C5" w14:textId="77777777" w:rsidR="00ED1222" w:rsidRPr="00ED1222" w:rsidRDefault="00ED1222" w:rsidP="00ED1222">
            <w:pPr>
              <w:ind w:left="567" w:hanging="567"/>
              <w:rPr>
                <w:szCs w:val="22"/>
              </w:rPr>
            </w:pPr>
            <w:r w:rsidRPr="00ED1222">
              <w:t>–3,33</w:t>
            </w:r>
          </w:p>
        </w:tc>
      </w:tr>
      <w:tr w:rsidR="00ED1222" w:rsidRPr="00ED1222" w14:paraId="72FBE567" w14:textId="77777777" w:rsidTr="00204451">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30A57A3C" w14:textId="77777777" w:rsidR="00ED1222" w:rsidRPr="00ED1222" w:rsidRDefault="00ED1222" w:rsidP="00ED1222">
            <w:pPr>
              <w:ind w:left="567" w:hanging="567"/>
              <w:rPr>
                <w:b/>
                <w:bCs/>
                <w:szCs w:val="22"/>
              </w:rPr>
            </w:pPr>
            <w:r w:rsidRPr="00ED1222">
              <w:rPr>
                <w:b/>
              </w:rPr>
              <w:t>ENISA</w:t>
            </w:r>
          </w:p>
        </w:tc>
        <w:tc>
          <w:tcPr>
            <w:tcW w:w="2038" w:type="dxa"/>
            <w:tcBorders>
              <w:top w:val="single" w:sz="4" w:space="0" w:color="auto"/>
              <w:left w:val="single" w:sz="4" w:space="0" w:color="auto"/>
              <w:bottom w:val="single" w:sz="4" w:space="0" w:color="auto"/>
              <w:right w:val="single" w:sz="4" w:space="0" w:color="auto"/>
            </w:tcBorders>
            <w:noWrap/>
            <w:hideMark/>
          </w:tcPr>
          <w:p w14:paraId="574F2A3C" w14:textId="77777777" w:rsidR="00ED1222" w:rsidRPr="00ED1222" w:rsidRDefault="00ED1222" w:rsidP="00ED1222">
            <w:pPr>
              <w:ind w:left="567" w:hanging="567"/>
              <w:rPr>
                <w:bCs/>
                <w:szCs w:val="22"/>
              </w:rPr>
            </w:pPr>
            <w:r w:rsidRPr="00ED1222">
              <w:rPr>
                <w:bCs/>
              </w:rPr>
              <w:t>25 183 495</w:t>
            </w:r>
          </w:p>
        </w:tc>
        <w:tc>
          <w:tcPr>
            <w:tcW w:w="2360" w:type="dxa"/>
            <w:tcBorders>
              <w:top w:val="single" w:sz="4" w:space="0" w:color="auto"/>
              <w:left w:val="single" w:sz="4" w:space="0" w:color="auto"/>
              <w:bottom w:val="single" w:sz="4" w:space="0" w:color="auto"/>
              <w:right w:val="single" w:sz="4" w:space="0" w:color="auto"/>
            </w:tcBorders>
            <w:noWrap/>
            <w:hideMark/>
          </w:tcPr>
          <w:p w14:paraId="131422DB" w14:textId="77777777" w:rsidR="00ED1222" w:rsidRPr="00ED1222" w:rsidRDefault="00ED1222" w:rsidP="00ED1222">
            <w:pPr>
              <w:ind w:left="567" w:hanging="567"/>
              <w:rPr>
                <w:bCs/>
                <w:szCs w:val="22"/>
              </w:rPr>
            </w:pPr>
            <w:r w:rsidRPr="00ED1222">
              <w:rPr>
                <w:bCs/>
              </w:rPr>
              <w:t>39 207 625</w:t>
            </w:r>
          </w:p>
        </w:tc>
        <w:tc>
          <w:tcPr>
            <w:tcW w:w="1555" w:type="dxa"/>
            <w:tcBorders>
              <w:top w:val="single" w:sz="4" w:space="0" w:color="auto"/>
              <w:left w:val="single" w:sz="4" w:space="0" w:color="auto"/>
              <w:bottom w:val="single" w:sz="4" w:space="0" w:color="auto"/>
              <w:right w:val="single" w:sz="4" w:space="0" w:color="auto"/>
            </w:tcBorders>
            <w:noWrap/>
            <w:hideMark/>
          </w:tcPr>
          <w:p w14:paraId="0689E3FC" w14:textId="77777777" w:rsidR="00ED1222" w:rsidRPr="00ED1222" w:rsidRDefault="00ED1222" w:rsidP="00ED1222">
            <w:pPr>
              <w:ind w:left="567" w:hanging="567"/>
              <w:rPr>
                <w:szCs w:val="22"/>
              </w:rPr>
            </w:pPr>
            <w:r w:rsidRPr="00ED1222">
              <w:t>–35,77</w:t>
            </w:r>
          </w:p>
        </w:tc>
      </w:tr>
      <w:tr w:rsidR="00ED1222" w:rsidRPr="00ED1222" w14:paraId="1ED3FA86" w14:textId="77777777" w:rsidTr="00204451">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449C9CB9" w14:textId="77777777" w:rsidR="00ED1222" w:rsidRPr="00ED1222" w:rsidRDefault="00ED1222" w:rsidP="00ED1222">
            <w:pPr>
              <w:ind w:left="567" w:hanging="567"/>
              <w:rPr>
                <w:b/>
                <w:bCs/>
                <w:szCs w:val="22"/>
              </w:rPr>
            </w:pPr>
            <w:r w:rsidRPr="00ED1222">
              <w:rPr>
                <w:b/>
              </w:rPr>
              <w:t>ERA</w:t>
            </w:r>
          </w:p>
        </w:tc>
        <w:tc>
          <w:tcPr>
            <w:tcW w:w="2038" w:type="dxa"/>
            <w:tcBorders>
              <w:top w:val="single" w:sz="4" w:space="0" w:color="auto"/>
              <w:left w:val="single" w:sz="4" w:space="0" w:color="auto"/>
              <w:bottom w:val="single" w:sz="4" w:space="0" w:color="auto"/>
              <w:right w:val="single" w:sz="4" w:space="0" w:color="auto"/>
            </w:tcBorders>
            <w:noWrap/>
            <w:hideMark/>
          </w:tcPr>
          <w:p w14:paraId="47354C3C" w14:textId="77777777" w:rsidR="00ED1222" w:rsidRPr="00ED1222" w:rsidRDefault="00ED1222" w:rsidP="00ED1222">
            <w:pPr>
              <w:ind w:left="567" w:hanging="567"/>
              <w:rPr>
                <w:bCs/>
                <w:szCs w:val="22"/>
              </w:rPr>
            </w:pPr>
            <w:r w:rsidRPr="00ED1222">
              <w:rPr>
                <w:bCs/>
              </w:rPr>
              <w:t>38 532 447</w:t>
            </w:r>
          </w:p>
        </w:tc>
        <w:tc>
          <w:tcPr>
            <w:tcW w:w="2360" w:type="dxa"/>
            <w:tcBorders>
              <w:top w:val="single" w:sz="4" w:space="0" w:color="auto"/>
              <w:left w:val="single" w:sz="4" w:space="0" w:color="auto"/>
              <w:bottom w:val="single" w:sz="4" w:space="0" w:color="auto"/>
              <w:right w:val="single" w:sz="4" w:space="0" w:color="auto"/>
            </w:tcBorders>
            <w:noWrap/>
            <w:hideMark/>
          </w:tcPr>
          <w:p w14:paraId="62BA6A45" w14:textId="77777777" w:rsidR="00ED1222" w:rsidRPr="00ED1222" w:rsidRDefault="00ED1222" w:rsidP="00ED1222">
            <w:pPr>
              <w:ind w:left="567" w:hanging="567"/>
              <w:rPr>
                <w:bCs/>
                <w:szCs w:val="22"/>
              </w:rPr>
            </w:pPr>
            <w:r w:rsidRPr="00ED1222">
              <w:rPr>
                <w:bCs/>
              </w:rPr>
              <w:t>33 983 956</w:t>
            </w:r>
          </w:p>
        </w:tc>
        <w:tc>
          <w:tcPr>
            <w:tcW w:w="1555" w:type="dxa"/>
            <w:tcBorders>
              <w:top w:val="single" w:sz="4" w:space="0" w:color="auto"/>
              <w:left w:val="single" w:sz="4" w:space="0" w:color="auto"/>
              <w:bottom w:val="single" w:sz="4" w:space="0" w:color="auto"/>
              <w:right w:val="single" w:sz="4" w:space="0" w:color="auto"/>
            </w:tcBorders>
            <w:noWrap/>
            <w:hideMark/>
          </w:tcPr>
          <w:p w14:paraId="248BB60E" w14:textId="77777777" w:rsidR="00ED1222" w:rsidRPr="00ED1222" w:rsidRDefault="00ED1222" w:rsidP="00ED1222">
            <w:pPr>
              <w:ind w:left="567" w:hanging="567"/>
              <w:rPr>
                <w:szCs w:val="22"/>
              </w:rPr>
            </w:pPr>
            <w:r w:rsidRPr="00ED1222">
              <w:t>13,38</w:t>
            </w:r>
          </w:p>
        </w:tc>
      </w:tr>
      <w:tr w:rsidR="00ED1222" w:rsidRPr="00ED1222" w14:paraId="42C38764" w14:textId="77777777" w:rsidTr="00204451">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453EAC70" w14:textId="77777777" w:rsidR="00ED1222" w:rsidRPr="00ED1222" w:rsidRDefault="00ED1222" w:rsidP="00ED1222">
            <w:pPr>
              <w:ind w:left="567" w:hanging="567"/>
              <w:rPr>
                <w:b/>
                <w:bCs/>
                <w:szCs w:val="22"/>
              </w:rPr>
            </w:pPr>
            <w:r w:rsidRPr="00ED1222">
              <w:rPr>
                <w:b/>
              </w:rPr>
              <w:t xml:space="preserve">ESA </w:t>
            </w:r>
          </w:p>
        </w:tc>
        <w:tc>
          <w:tcPr>
            <w:tcW w:w="2038" w:type="dxa"/>
            <w:tcBorders>
              <w:top w:val="single" w:sz="4" w:space="0" w:color="auto"/>
              <w:left w:val="single" w:sz="4" w:space="0" w:color="auto"/>
              <w:bottom w:val="single" w:sz="4" w:space="0" w:color="auto"/>
              <w:right w:val="single" w:sz="4" w:space="0" w:color="auto"/>
            </w:tcBorders>
            <w:noWrap/>
            <w:hideMark/>
          </w:tcPr>
          <w:p w14:paraId="106A22A7" w14:textId="77777777" w:rsidR="00ED1222" w:rsidRPr="00ED1222" w:rsidRDefault="00ED1222" w:rsidP="00ED1222">
            <w:pPr>
              <w:ind w:left="567" w:hanging="567"/>
              <w:rPr>
                <w:bCs/>
                <w:szCs w:val="22"/>
              </w:rPr>
            </w:pPr>
            <w:r w:rsidRPr="00ED1222">
              <w:rPr>
                <w:bCs/>
              </w:rPr>
              <w:t>258 160</w:t>
            </w:r>
          </w:p>
        </w:tc>
        <w:tc>
          <w:tcPr>
            <w:tcW w:w="2360" w:type="dxa"/>
            <w:tcBorders>
              <w:top w:val="single" w:sz="4" w:space="0" w:color="auto"/>
              <w:left w:val="single" w:sz="4" w:space="0" w:color="auto"/>
              <w:bottom w:val="single" w:sz="4" w:space="0" w:color="auto"/>
              <w:right w:val="single" w:sz="4" w:space="0" w:color="auto"/>
            </w:tcBorders>
            <w:noWrap/>
            <w:hideMark/>
          </w:tcPr>
          <w:p w14:paraId="52C00B9A" w14:textId="77777777" w:rsidR="00ED1222" w:rsidRPr="00ED1222" w:rsidRDefault="00ED1222" w:rsidP="00ED1222">
            <w:pPr>
              <w:ind w:left="567" w:hanging="567"/>
              <w:rPr>
                <w:bCs/>
                <w:szCs w:val="22"/>
              </w:rPr>
            </w:pPr>
            <w:r w:rsidRPr="00ED1222">
              <w:rPr>
                <w:bCs/>
              </w:rPr>
              <w:t>167 000</w:t>
            </w:r>
          </w:p>
        </w:tc>
        <w:tc>
          <w:tcPr>
            <w:tcW w:w="1555" w:type="dxa"/>
            <w:tcBorders>
              <w:top w:val="single" w:sz="4" w:space="0" w:color="auto"/>
              <w:left w:val="single" w:sz="4" w:space="0" w:color="auto"/>
              <w:bottom w:val="single" w:sz="4" w:space="0" w:color="auto"/>
              <w:right w:val="single" w:sz="4" w:space="0" w:color="auto"/>
            </w:tcBorders>
            <w:noWrap/>
            <w:hideMark/>
          </w:tcPr>
          <w:p w14:paraId="2C89EFDC" w14:textId="77777777" w:rsidR="00ED1222" w:rsidRPr="00ED1222" w:rsidRDefault="00ED1222" w:rsidP="00ED1222">
            <w:pPr>
              <w:ind w:left="567" w:hanging="567"/>
              <w:rPr>
                <w:szCs w:val="22"/>
              </w:rPr>
            </w:pPr>
            <w:r w:rsidRPr="00ED1222">
              <w:t>54,59</w:t>
            </w:r>
          </w:p>
        </w:tc>
      </w:tr>
      <w:tr w:rsidR="00ED1222" w:rsidRPr="00ED1222" w14:paraId="7C6E3E34" w14:textId="77777777" w:rsidTr="00204451">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622DD135" w14:textId="77777777" w:rsidR="00ED1222" w:rsidRPr="00ED1222" w:rsidRDefault="00ED1222" w:rsidP="00ED1222">
            <w:pPr>
              <w:ind w:left="567" w:hanging="567"/>
              <w:rPr>
                <w:b/>
                <w:bCs/>
                <w:szCs w:val="22"/>
              </w:rPr>
            </w:pPr>
            <w:r w:rsidRPr="00ED1222">
              <w:rPr>
                <w:b/>
              </w:rPr>
              <w:t>ESMA</w:t>
            </w:r>
          </w:p>
        </w:tc>
        <w:tc>
          <w:tcPr>
            <w:tcW w:w="2038" w:type="dxa"/>
            <w:tcBorders>
              <w:top w:val="single" w:sz="4" w:space="0" w:color="auto"/>
              <w:left w:val="single" w:sz="4" w:space="0" w:color="auto"/>
              <w:bottom w:val="single" w:sz="4" w:space="0" w:color="auto"/>
              <w:right w:val="single" w:sz="4" w:space="0" w:color="auto"/>
            </w:tcBorders>
            <w:noWrap/>
            <w:hideMark/>
          </w:tcPr>
          <w:p w14:paraId="12BFBBD8" w14:textId="77777777" w:rsidR="00ED1222" w:rsidRPr="00ED1222" w:rsidRDefault="00ED1222" w:rsidP="00ED1222">
            <w:pPr>
              <w:ind w:left="567" w:hanging="567"/>
              <w:rPr>
                <w:bCs/>
                <w:szCs w:val="22"/>
              </w:rPr>
            </w:pPr>
            <w:r w:rsidRPr="00ED1222">
              <w:rPr>
                <w:bCs/>
              </w:rPr>
              <w:t>72 509 657</w:t>
            </w:r>
          </w:p>
        </w:tc>
        <w:tc>
          <w:tcPr>
            <w:tcW w:w="2360" w:type="dxa"/>
            <w:tcBorders>
              <w:top w:val="single" w:sz="4" w:space="0" w:color="auto"/>
              <w:left w:val="single" w:sz="4" w:space="0" w:color="auto"/>
              <w:bottom w:val="single" w:sz="4" w:space="0" w:color="auto"/>
              <w:right w:val="single" w:sz="4" w:space="0" w:color="auto"/>
            </w:tcBorders>
            <w:noWrap/>
            <w:hideMark/>
          </w:tcPr>
          <w:p w14:paraId="6095FBEC" w14:textId="77777777" w:rsidR="00ED1222" w:rsidRPr="00ED1222" w:rsidRDefault="00ED1222" w:rsidP="00ED1222">
            <w:pPr>
              <w:ind w:left="567" w:hanging="567"/>
              <w:rPr>
                <w:bCs/>
                <w:szCs w:val="22"/>
              </w:rPr>
            </w:pPr>
            <w:r w:rsidRPr="00ED1222">
              <w:rPr>
                <w:bCs/>
              </w:rPr>
              <w:t>68 068 551</w:t>
            </w:r>
          </w:p>
        </w:tc>
        <w:tc>
          <w:tcPr>
            <w:tcW w:w="1555" w:type="dxa"/>
            <w:tcBorders>
              <w:top w:val="single" w:sz="4" w:space="0" w:color="auto"/>
              <w:left w:val="single" w:sz="4" w:space="0" w:color="auto"/>
              <w:bottom w:val="single" w:sz="4" w:space="0" w:color="auto"/>
              <w:right w:val="single" w:sz="4" w:space="0" w:color="auto"/>
            </w:tcBorders>
            <w:noWrap/>
            <w:hideMark/>
          </w:tcPr>
          <w:p w14:paraId="74EE7E3F" w14:textId="77777777" w:rsidR="00ED1222" w:rsidRPr="00ED1222" w:rsidRDefault="00ED1222" w:rsidP="00ED1222">
            <w:pPr>
              <w:ind w:left="567" w:hanging="567"/>
              <w:rPr>
                <w:szCs w:val="22"/>
              </w:rPr>
            </w:pPr>
            <w:r w:rsidRPr="00ED1222">
              <w:t>6,52</w:t>
            </w:r>
          </w:p>
        </w:tc>
      </w:tr>
      <w:tr w:rsidR="00ED1222" w:rsidRPr="00ED1222" w14:paraId="36FCAC6D" w14:textId="77777777" w:rsidTr="00204451">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2C5552E5" w14:textId="77777777" w:rsidR="00ED1222" w:rsidRPr="00ED1222" w:rsidRDefault="00ED1222" w:rsidP="00ED1222">
            <w:pPr>
              <w:ind w:left="567" w:hanging="567"/>
              <w:rPr>
                <w:b/>
                <w:bCs/>
                <w:szCs w:val="22"/>
              </w:rPr>
            </w:pPr>
            <w:r w:rsidRPr="00ED1222">
              <w:rPr>
                <w:b/>
              </w:rPr>
              <w:t xml:space="preserve">ETF </w:t>
            </w:r>
          </w:p>
        </w:tc>
        <w:tc>
          <w:tcPr>
            <w:tcW w:w="2038" w:type="dxa"/>
            <w:tcBorders>
              <w:top w:val="single" w:sz="4" w:space="0" w:color="auto"/>
              <w:left w:val="single" w:sz="4" w:space="0" w:color="auto"/>
              <w:bottom w:val="single" w:sz="4" w:space="0" w:color="auto"/>
              <w:right w:val="single" w:sz="4" w:space="0" w:color="auto"/>
            </w:tcBorders>
            <w:noWrap/>
            <w:hideMark/>
          </w:tcPr>
          <w:p w14:paraId="6059D45C" w14:textId="77777777" w:rsidR="00ED1222" w:rsidRPr="00ED1222" w:rsidRDefault="00ED1222" w:rsidP="00ED1222">
            <w:pPr>
              <w:ind w:left="567" w:hanging="567"/>
              <w:rPr>
                <w:bCs/>
                <w:szCs w:val="22"/>
              </w:rPr>
            </w:pPr>
            <w:r w:rsidRPr="00ED1222">
              <w:rPr>
                <w:bCs/>
              </w:rPr>
              <w:t>28 542 956</w:t>
            </w:r>
          </w:p>
        </w:tc>
        <w:tc>
          <w:tcPr>
            <w:tcW w:w="2360" w:type="dxa"/>
            <w:tcBorders>
              <w:top w:val="single" w:sz="4" w:space="0" w:color="auto"/>
              <w:left w:val="single" w:sz="4" w:space="0" w:color="auto"/>
              <w:bottom w:val="single" w:sz="4" w:space="0" w:color="auto"/>
              <w:right w:val="single" w:sz="4" w:space="0" w:color="auto"/>
            </w:tcBorders>
            <w:noWrap/>
            <w:hideMark/>
          </w:tcPr>
          <w:p w14:paraId="7134BDF6" w14:textId="77777777" w:rsidR="00ED1222" w:rsidRPr="00ED1222" w:rsidRDefault="00ED1222" w:rsidP="00ED1222">
            <w:pPr>
              <w:ind w:left="567" w:hanging="567"/>
              <w:rPr>
                <w:bCs/>
                <w:szCs w:val="22"/>
              </w:rPr>
            </w:pPr>
            <w:r w:rsidRPr="00ED1222">
              <w:rPr>
                <w:bCs/>
              </w:rPr>
              <w:t>25 051 848</w:t>
            </w:r>
          </w:p>
        </w:tc>
        <w:tc>
          <w:tcPr>
            <w:tcW w:w="1555" w:type="dxa"/>
            <w:tcBorders>
              <w:top w:val="single" w:sz="4" w:space="0" w:color="auto"/>
              <w:left w:val="single" w:sz="4" w:space="0" w:color="auto"/>
              <w:bottom w:val="single" w:sz="4" w:space="0" w:color="auto"/>
              <w:right w:val="single" w:sz="4" w:space="0" w:color="auto"/>
            </w:tcBorders>
            <w:noWrap/>
            <w:hideMark/>
          </w:tcPr>
          <w:p w14:paraId="0F687FD4" w14:textId="77777777" w:rsidR="00ED1222" w:rsidRPr="00ED1222" w:rsidRDefault="00ED1222" w:rsidP="00ED1222">
            <w:pPr>
              <w:ind w:left="567" w:hanging="567"/>
              <w:rPr>
                <w:szCs w:val="22"/>
              </w:rPr>
            </w:pPr>
            <w:r w:rsidRPr="00ED1222">
              <w:t>13,94</w:t>
            </w:r>
          </w:p>
        </w:tc>
      </w:tr>
      <w:tr w:rsidR="00ED1222" w:rsidRPr="00ED1222" w14:paraId="5F538182" w14:textId="77777777" w:rsidTr="00204451">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166FA538" w14:textId="77777777" w:rsidR="00ED1222" w:rsidRPr="00ED1222" w:rsidRDefault="00ED1222" w:rsidP="00ED1222">
            <w:pPr>
              <w:ind w:left="567" w:hanging="567"/>
              <w:rPr>
                <w:b/>
                <w:bCs/>
                <w:szCs w:val="22"/>
              </w:rPr>
            </w:pPr>
            <w:r w:rsidRPr="00ED1222">
              <w:rPr>
                <w:b/>
              </w:rPr>
              <w:t>EUAA</w:t>
            </w:r>
          </w:p>
        </w:tc>
        <w:tc>
          <w:tcPr>
            <w:tcW w:w="2038" w:type="dxa"/>
            <w:tcBorders>
              <w:top w:val="single" w:sz="4" w:space="0" w:color="auto"/>
              <w:left w:val="single" w:sz="4" w:space="0" w:color="auto"/>
              <w:bottom w:val="single" w:sz="4" w:space="0" w:color="auto"/>
              <w:right w:val="single" w:sz="4" w:space="0" w:color="auto"/>
            </w:tcBorders>
            <w:noWrap/>
            <w:hideMark/>
          </w:tcPr>
          <w:p w14:paraId="54222418" w14:textId="77777777" w:rsidR="00ED1222" w:rsidRPr="00ED1222" w:rsidRDefault="00ED1222" w:rsidP="00ED1222">
            <w:pPr>
              <w:ind w:left="567" w:hanging="567"/>
              <w:rPr>
                <w:bCs/>
                <w:szCs w:val="22"/>
              </w:rPr>
            </w:pPr>
            <w:r w:rsidRPr="00ED1222">
              <w:rPr>
                <w:bCs/>
              </w:rPr>
              <w:t>170 135 127</w:t>
            </w:r>
          </w:p>
        </w:tc>
        <w:tc>
          <w:tcPr>
            <w:tcW w:w="2360" w:type="dxa"/>
            <w:tcBorders>
              <w:top w:val="single" w:sz="4" w:space="0" w:color="auto"/>
              <w:left w:val="single" w:sz="4" w:space="0" w:color="auto"/>
              <w:bottom w:val="single" w:sz="4" w:space="0" w:color="auto"/>
              <w:right w:val="single" w:sz="4" w:space="0" w:color="auto"/>
            </w:tcBorders>
            <w:noWrap/>
            <w:hideMark/>
          </w:tcPr>
          <w:p w14:paraId="3CCF82E3" w14:textId="77777777" w:rsidR="00ED1222" w:rsidRPr="00ED1222" w:rsidRDefault="00ED1222" w:rsidP="00ED1222">
            <w:pPr>
              <w:ind w:left="567" w:hanging="567"/>
              <w:rPr>
                <w:bCs/>
                <w:szCs w:val="22"/>
              </w:rPr>
            </w:pPr>
            <w:r w:rsidRPr="00ED1222">
              <w:rPr>
                <w:bCs/>
              </w:rPr>
              <w:t>168 842 192</w:t>
            </w:r>
          </w:p>
        </w:tc>
        <w:tc>
          <w:tcPr>
            <w:tcW w:w="1555" w:type="dxa"/>
            <w:tcBorders>
              <w:top w:val="single" w:sz="4" w:space="0" w:color="auto"/>
              <w:left w:val="single" w:sz="4" w:space="0" w:color="auto"/>
              <w:bottom w:val="single" w:sz="4" w:space="0" w:color="auto"/>
              <w:right w:val="single" w:sz="4" w:space="0" w:color="auto"/>
            </w:tcBorders>
            <w:noWrap/>
            <w:hideMark/>
          </w:tcPr>
          <w:p w14:paraId="7FDD13F4" w14:textId="77777777" w:rsidR="00ED1222" w:rsidRPr="00ED1222" w:rsidRDefault="00ED1222" w:rsidP="00ED1222">
            <w:pPr>
              <w:ind w:left="567" w:hanging="567"/>
              <w:rPr>
                <w:szCs w:val="22"/>
              </w:rPr>
            </w:pPr>
            <w:r w:rsidRPr="00ED1222">
              <w:t>0,77</w:t>
            </w:r>
          </w:p>
        </w:tc>
      </w:tr>
      <w:tr w:rsidR="00ED1222" w:rsidRPr="00ED1222" w14:paraId="31FC4A72" w14:textId="77777777" w:rsidTr="00204451">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219C3A76" w14:textId="77777777" w:rsidR="00ED1222" w:rsidRPr="00ED1222" w:rsidRDefault="00ED1222" w:rsidP="00ED1222">
            <w:pPr>
              <w:ind w:left="567" w:hanging="567"/>
              <w:rPr>
                <w:b/>
                <w:bCs/>
                <w:szCs w:val="22"/>
              </w:rPr>
            </w:pPr>
            <w:r w:rsidRPr="00ED1222">
              <w:rPr>
                <w:b/>
              </w:rPr>
              <w:t xml:space="preserve">EU-LISA </w:t>
            </w:r>
          </w:p>
        </w:tc>
        <w:tc>
          <w:tcPr>
            <w:tcW w:w="2038" w:type="dxa"/>
            <w:tcBorders>
              <w:top w:val="single" w:sz="4" w:space="0" w:color="auto"/>
              <w:left w:val="single" w:sz="4" w:space="0" w:color="auto"/>
              <w:bottom w:val="single" w:sz="4" w:space="0" w:color="auto"/>
              <w:right w:val="single" w:sz="4" w:space="0" w:color="auto"/>
            </w:tcBorders>
            <w:noWrap/>
            <w:hideMark/>
          </w:tcPr>
          <w:p w14:paraId="017B795E" w14:textId="77777777" w:rsidR="00ED1222" w:rsidRPr="00ED1222" w:rsidRDefault="00ED1222" w:rsidP="00ED1222">
            <w:pPr>
              <w:ind w:left="567" w:hanging="567"/>
              <w:rPr>
                <w:bCs/>
                <w:szCs w:val="22"/>
              </w:rPr>
            </w:pPr>
            <w:r w:rsidRPr="00ED1222">
              <w:rPr>
                <w:bCs/>
              </w:rPr>
              <w:t>300 524 142</w:t>
            </w:r>
          </w:p>
        </w:tc>
        <w:tc>
          <w:tcPr>
            <w:tcW w:w="2360" w:type="dxa"/>
            <w:tcBorders>
              <w:top w:val="single" w:sz="4" w:space="0" w:color="auto"/>
              <w:left w:val="single" w:sz="4" w:space="0" w:color="auto"/>
              <w:bottom w:val="single" w:sz="4" w:space="0" w:color="auto"/>
              <w:right w:val="single" w:sz="4" w:space="0" w:color="auto"/>
            </w:tcBorders>
            <w:noWrap/>
            <w:hideMark/>
          </w:tcPr>
          <w:p w14:paraId="78EBBCF9" w14:textId="77777777" w:rsidR="00ED1222" w:rsidRPr="00ED1222" w:rsidRDefault="00ED1222" w:rsidP="00ED1222">
            <w:pPr>
              <w:ind w:left="567" w:hanging="567"/>
              <w:rPr>
                <w:bCs/>
                <w:szCs w:val="22"/>
              </w:rPr>
            </w:pPr>
            <w:r w:rsidRPr="00ED1222">
              <w:rPr>
                <w:bCs/>
              </w:rPr>
              <w:t>296 508 265</w:t>
            </w:r>
          </w:p>
        </w:tc>
        <w:tc>
          <w:tcPr>
            <w:tcW w:w="1555" w:type="dxa"/>
            <w:tcBorders>
              <w:top w:val="single" w:sz="4" w:space="0" w:color="auto"/>
              <w:left w:val="single" w:sz="4" w:space="0" w:color="auto"/>
              <w:bottom w:val="single" w:sz="4" w:space="0" w:color="auto"/>
              <w:right w:val="single" w:sz="4" w:space="0" w:color="auto"/>
            </w:tcBorders>
            <w:noWrap/>
            <w:hideMark/>
          </w:tcPr>
          <w:p w14:paraId="06BD94A6" w14:textId="77777777" w:rsidR="00ED1222" w:rsidRPr="00ED1222" w:rsidRDefault="00ED1222" w:rsidP="00ED1222">
            <w:pPr>
              <w:ind w:left="567" w:hanging="567"/>
              <w:rPr>
                <w:szCs w:val="22"/>
              </w:rPr>
            </w:pPr>
            <w:r w:rsidRPr="00ED1222">
              <w:t>1,35</w:t>
            </w:r>
          </w:p>
        </w:tc>
      </w:tr>
      <w:tr w:rsidR="00ED1222" w:rsidRPr="00ED1222" w14:paraId="0F4593D1" w14:textId="77777777" w:rsidTr="00204451">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36C0BC59" w14:textId="77777777" w:rsidR="00ED1222" w:rsidRPr="00ED1222" w:rsidRDefault="00ED1222" w:rsidP="00ED1222">
            <w:pPr>
              <w:ind w:left="567" w:hanging="567"/>
              <w:rPr>
                <w:b/>
                <w:bCs/>
                <w:szCs w:val="22"/>
              </w:rPr>
            </w:pPr>
            <w:r w:rsidRPr="00ED1222">
              <w:rPr>
                <w:b/>
              </w:rPr>
              <w:t>EU-OSHA</w:t>
            </w:r>
          </w:p>
        </w:tc>
        <w:tc>
          <w:tcPr>
            <w:tcW w:w="2038" w:type="dxa"/>
            <w:tcBorders>
              <w:top w:val="single" w:sz="4" w:space="0" w:color="auto"/>
              <w:left w:val="single" w:sz="4" w:space="0" w:color="auto"/>
              <w:bottom w:val="single" w:sz="4" w:space="0" w:color="auto"/>
              <w:right w:val="single" w:sz="4" w:space="0" w:color="auto"/>
            </w:tcBorders>
            <w:noWrap/>
            <w:hideMark/>
          </w:tcPr>
          <w:p w14:paraId="1B06805F" w14:textId="77777777" w:rsidR="00ED1222" w:rsidRPr="00ED1222" w:rsidRDefault="00ED1222" w:rsidP="00ED1222">
            <w:pPr>
              <w:ind w:left="567" w:hanging="567"/>
              <w:rPr>
                <w:bCs/>
                <w:szCs w:val="22"/>
              </w:rPr>
            </w:pPr>
            <w:r w:rsidRPr="00ED1222">
              <w:rPr>
                <w:bCs/>
              </w:rPr>
              <w:t>17 038 950</w:t>
            </w:r>
          </w:p>
        </w:tc>
        <w:tc>
          <w:tcPr>
            <w:tcW w:w="2360" w:type="dxa"/>
            <w:tcBorders>
              <w:top w:val="single" w:sz="4" w:space="0" w:color="auto"/>
              <w:left w:val="single" w:sz="4" w:space="0" w:color="auto"/>
              <w:bottom w:val="single" w:sz="4" w:space="0" w:color="auto"/>
              <w:right w:val="single" w:sz="4" w:space="0" w:color="auto"/>
            </w:tcBorders>
            <w:noWrap/>
            <w:hideMark/>
          </w:tcPr>
          <w:p w14:paraId="63776E6A" w14:textId="77777777" w:rsidR="00ED1222" w:rsidRPr="00ED1222" w:rsidRDefault="00ED1222" w:rsidP="00ED1222">
            <w:pPr>
              <w:ind w:left="567" w:hanging="567"/>
              <w:rPr>
                <w:bCs/>
                <w:szCs w:val="22"/>
              </w:rPr>
            </w:pPr>
            <w:r w:rsidRPr="00ED1222">
              <w:rPr>
                <w:bCs/>
              </w:rPr>
              <w:t>16 405 100</w:t>
            </w:r>
          </w:p>
        </w:tc>
        <w:tc>
          <w:tcPr>
            <w:tcW w:w="1555" w:type="dxa"/>
            <w:tcBorders>
              <w:top w:val="single" w:sz="4" w:space="0" w:color="auto"/>
              <w:left w:val="single" w:sz="4" w:space="0" w:color="auto"/>
              <w:bottom w:val="single" w:sz="4" w:space="0" w:color="auto"/>
              <w:right w:val="single" w:sz="4" w:space="0" w:color="auto"/>
            </w:tcBorders>
            <w:noWrap/>
            <w:hideMark/>
          </w:tcPr>
          <w:p w14:paraId="77D3B14B" w14:textId="77777777" w:rsidR="00ED1222" w:rsidRPr="00ED1222" w:rsidRDefault="00ED1222" w:rsidP="00ED1222">
            <w:pPr>
              <w:ind w:left="567" w:hanging="567"/>
              <w:rPr>
                <w:szCs w:val="22"/>
              </w:rPr>
            </w:pPr>
            <w:r w:rsidRPr="00ED1222">
              <w:t>3,86</w:t>
            </w:r>
          </w:p>
        </w:tc>
      </w:tr>
      <w:tr w:rsidR="00ED1222" w:rsidRPr="00ED1222" w14:paraId="160F148F" w14:textId="77777777" w:rsidTr="00204451">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7B447F48" w14:textId="77777777" w:rsidR="00ED1222" w:rsidRPr="00ED1222" w:rsidRDefault="00ED1222" w:rsidP="00ED1222">
            <w:pPr>
              <w:ind w:left="567" w:hanging="567"/>
              <w:rPr>
                <w:b/>
                <w:bCs/>
                <w:szCs w:val="22"/>
              </w:rPr>
            </w:pPr>
            <w:r w:rsidRPr="00ED1222">
              <w:rPr>
                <w:b/>
              </w:rPr>
              <w:t>EUROFOUND</w:t>
            </w:r>
          </w:p>
        </w:tc>
        <w:tc>
          <w:tcPr>
            <w:tcW w:w="2038" w:type="dxa"/>
            <w:tcBorders>
              <w:top w:val="single" w:sz="4" w:space="0" w:color="auto"/>
              <w:left w:val="single" w:sz="4" w:space="0" w:color="auto"/>
              <w:bottom w:val="single" w:sz="4" w:space="0" w:color="auto"/>
              <w:right w:val="single" w:sz="4" w:space="0" w:color="auto"/>
            </w:tcBorders>
            <w:noWrap/>
            <w:hideMark/>
          </w:tcPr>
          <w:p w14:paraId="0DD3DC81" w14:textId="77777777" w:rsidR="00ED1222" w:rsidRPr="00ED1222" w:rsidRDefault="00ED1222" w:rsidP="00ED1222">
            <w:pPr>
              <w:ind w:left="567" w:hanging="567"/>
              <w:rPr>
                <w:bCs/>
                <w:szCs w:val="22"/>
              </w:rPr>
            </w:pPr>
            <w:r w:rsidRPr="00ED1222">
              <w:rPr>
                <w:bCs/>
              </w:rPr>
              <w:t>25 369 931</w:t>
            </w:r>
          </w:p>
        </w:tc>
        <w:tc>
          <w:tcPr>
            <w:tcW w:w="2360" w:type="dxa"/>
            <w:tcBorders>
              <w:top w:val="single" w:sz="4" w:space="0" w:color="auto"/>
              <w:left w:val="single" w:sz="4" w:space="0" w:color="auto"/>
              <w:bottom w:val="single" w:sz="4" w:space="0" w:color="auto"/>
              <w:right w:val="single" w:sz="4" w:space="0" w:color="auto"/>
            </w:tcBorders>
            <w:noWrap/>
            <w:hideMark/>
          </w:tcPr>
          <w:p w14:paraId="13BEF158" w14:textId="77777777" w:rsidR="00ED1222" w:rsidRPr="00ED1222" w:rsidRDefault="00ED1222" w:rsidP="00ED1222">
            <w:pPr>
              <w:ind w:left="567" w:hanging="567"/>
              <w:rPr>
                <w:bCs/>
                <w:szCs w:val="22"/>
              </w:rPr>
            </w:pPr>
            <w:r w:rsidRPr="00ED1222">
              <w:rPr>
                <w:bCs/>
              </w:rPr>
              <w:t>22 438 000</w:t>
            </w:r>
          </w:p>
        </w:tc>
        <w:tc>
          <w:tcPr>
            <w:tcW w:w="1555" w:type="dxa"/>
            <w:tcBorders>
              <w:top w:val="single" w:sz="4" w:space="0" w:color="auto"/>
              <w:left w:val="single" w:sz="4" w:space="0" w:color="auto"/>
              <w:bottom w:val="single" w:sz="4" w:space="0" w:color="auto"/>
              <w:right w:val="single" w:sz="4" w:space="0" w:color="auto"/>
            </w:tcBorders>
            <w:noWrap/>
            <w:hideMark/>
          </w:tcPr>
          <w:p w14:paraId="1F3D8474" w14:textId="77777777" w:rsidR="00ED1222" w:rsidRPr="00ED1222" w:rsidRDefault="00ED1222" w:rsidP="00ED1222">
            <w:pPr>
              <w:ind w:left="567" w:hanging="567"/>
              <w:rPr>
                <w:szCs w:val="22"/>
              </w:rPr>
            </w:pPr>
            <w:r w:rsidRPr="00ED1222">
              <w:t>13,07</w:t>
            </w:r>
          </w:p>
        </w:tc>
      </w:tr>
      <w:tr w:rsidR="00ED1222" w:rsidRPr="00ED1222" w14:paraId="460E0C9E" w14:textId="77777777" w:rsidTr="00204451">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5B947130" w14:textId="77777777" w:rsidR="00ED1222" w:rsidRPr="00ED1222" w:rsidRDefault="00ED1222" w:rsidP="00ED1222">
            <w:pPr>
              <w:ind w:left="567" w:hanging="567"/>
              <w:rPr>
                <w:b/>
                <w:bCs/>
                <w:szCs w:val="22"/>
              </w:rPr>
            </w:pPr>
            <w:r w:rsidRPr="00ED1222">
              <w:rPr>
                <w:b/>
              </w:rPr>
              <w:t xml:space="preserve">EUROJUST </w:t>
            </w:r>
          </w:p>
        </w:tc>
        <w:tc>
          <w:tcPr>
            <w:tcW w:w="2038" w:type="dxa"/>
            <w:tcBorders>
              <w:top w:val="single" w:sz="4" w:space="0" w:color="auto"/>
              <w:left w:val="single" w:sz="4" w:space="0" w:color="auto"/>
              <w:bottom w:val="single" w:sz="4" w:space="0" w:color="auto"/>
              <w:right w:val="single" w:sz="4" w:space="0" w:color="auto"/>
            </w:tcBorders>
            <w:noWrap/>
            <w:hideMark/>
          </w:tcPr>
          <w:p w14:paraId="68C723F7" w14:textId="77777777" w:rsidR="00ED1222" w:rsidRPr="00ED1222" w:rsidRDefault="00ED1222" w:rsidP="00ED1222">
            <w:pPr>
              <w:ind w:left="567" w:hanging="567"/>
              <w:rPr>
                <w:bCs/>
                <w:szCs w:val="22"/>
              </w:rPr>
            </w:pPr>
            <w:r w:rsidRPr="00ED1222">
              <w:rPr>
                <w:bCs/>
              </w:rPr>
              <w:t>59 324 460</w:t>
            </w:r>
          </w:p>
        </w:tc>
        <w:tc>
          <w:tcPr>
            <w:tcW w:w="2360" w:type="dxa"/>
            <w:tcBorders>
              <w:top w:val="single" w:sz="4" w:space="0" w:color="auto"/>
              <w:left w:val="single" w:sz="4" w:space="0" w:color="auto"/>
              <w:bottom w:val="single" w:sz="4" w:space="0" w:color="auto"/>
              <w:right w:val="single" w:sz="4" w:space="0" w:color="auto"/>
            </w:tcBorders>
            <w:noWrap/>
            <w:hideMark/>
          </w:tcPr>
          <w:p w14:paraId="3ABB994A" w14:textId="77777777" w:rsidR="00ED1222" w:rsidRPr="00ED1222" w:rsidRDefault="00ED1222" w:rsidP="00ED1222">
            <w:pPr>
              <w:ind w:left="567" w:hanging="567"/>
              <w:rPr>
                <w:bCs/>
                <w:szCs w:val="22"/>
              </w:rPr>
            </w:pPr>
            <w:r w:rsidRPr="00ED1222">
              <w:rPr>
                <w:bCs/>
              </w:rPr>
              <w:t>49 086 843</w:t>
            </w:r>
          </w:p>
        </w:tc>
        <w:tc>
          <w:tcPr>
            <w:tcW w:w="1555" w:type="dxa"/>
            <w:tcBorders>
              <w:top w:val="single" w:sz="4" w:space="0" w:color="auto"/>
              <w:left w:val="single" w:sz="4" w:space="0" w:color="auto"/>
              <w:bottom w:val="single" w:sz="4" w:space="0" w:color="auto"/>
              <w:right w:val="single" w:sz="4" w:space="0" w:color="auto"/>
            </w:tcBorders>
            <w:noWrap/>
            <w:hideMark/>
          </w:tcPr>
          <w:p w14:paraId="49F48E90" w14:textId="77777777" w:rsidR="00ED1222" w:rsidRPr="00ED1222" w:rsidRDefault="00ED1222" w:rsidP="00ED1222">
            <w:pPr>
              <w:ind w:left="567" w:hanging="567"/>
              <w:rPr>
                <w:szCs w:val="22"/>
              </w:rPr>
            </w:pPr>
            <w:r w:rsidRPr="00ED1222">
              <w:t>20,86</w:t>
            </w:r>
          </w:p>
        </w:tc>
      </w:tr>
      <w:tr w:rsidR="00ED1222" w:rsidRPr="00ED1222" w14:paraId="3207F98A" w14:textId="77777777" w:rsidTr="00204451">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2406EF3A" w14:textId="77777777" w:rsidR="00ED1222" w:rsidRPr="00ED1222" w:rsidRDefault="00ED1222" w:rsidP="00ED1222">
            <w:pPr>
              <w:ind w:left="567" w:hanging="567"/>
              <w:rPr>
                <w:b/>
                <w:bCs/>
                <w:szCs w:val="22"/>
              </w:rPr>
            </w:pPr>
            <w:r w:rsidRPr="00ED1222">
              <w:rPr>
                <w:b/>
              </w:rPr>
              <w:t>EUROPOL</w:t>
            </w:r>
          </w:p>
        </w:tc>
        <w:tc>
          <w:tcPr>
            <w:tcW w:w="2038" w:type="dxa"/>
            <w:tcBorders>
              <w:top w:val="single" w:sz="4" w:space="0" w:color="auto"/>
              <w:left w:val="single" w:sz="4" w:space="0" w:color="auto"/>
              <w:bottom w:val="single" w:sz="4" w:space="0" w:color="auto"/>
              <w:right w:val="single" w:sz="4" w:space="0" w:color="auto"/>
            </w:tcBorders>
            <w:noWrap/>
            <w:hideMark/>
          </w:tcPr>
          <w:p w14:paraId="39145824" w14:textId="77777777" w:rsidR="00ED1222" w:rsidRPr="00ED1222" w:rsidRDefault="00ED1222" w:rsidP="00ED1222">
            <w:pPr>
              <w:ind w:left="567" w:hanging="567"/>
              <w:rPr>
                <w:bCs/>
                <w:szCs w:val="22"/>
              </w:rPr>
            </w:pPr>
            <w:r w:rsidRPr="00ED1222">
              <w:rPr>
                <w:bCs/>
              </w:rPr>
              <w:t>212 925 809</w:t>
            </w:r>
          </w:p>
        </w:tc>
        <w:tc>
          <w:tcPr>
            <w:tcW w:w="2360" w:type="dxa"/>
            <w:tcBorders>
              <w:top w:val="single" w:sz="4" w:space="0" w:color="auto"/>
              <w:left w:val="single" w:sz="4" w:space="0" w:color="auto"/>
              <w:bottom w:val="single" w:sz="4" w:space="0" w:color="auto"/>
              <w:right w:val="single" w:sz="4" w:space="0" w:color="auto"/>
            </w:tcBorders>
            <w:noWrap/>
            <w:hideMark/>
          </w:tcPr>
          <w:p w14:paraId="5C862F46" w14:textId="77777777" w:rsidR="00ED1222" w:rsidRPr="00ED1222" w:rsidRDefault="00ED1222" w:rsidP="00ED1222">
            <w:pPr>
              <w:ind w:left="567" w:hanging="567"/>
              <w:rPr>
                <w:bCs/>
                <w:szCs w:val="22"/>
              </w:rPr>
            </w:pPr>
            <w:r w:rsidRPr="00ED1222">
              <w:rPr>
                <w:bCs/>
              </w:rPr>
              <w:t>197 759 722</w:t>
            </w:r>
          </w:p>
        </w:tc>
        <w:tc>
          <w:tcPr>
            <w:tcW w:w="1555" w:type="dxa"/>
            <w:tcBorders>
              <w:top w:val="single" w:sz="4" w:space="0" w:color="auto"/>
              <w:left w:val="single" w:sz="4" w:space="0" w:color="auto"/>
              <w:bottom w:val="single" w:sz="4" w:space="0" w:color="auto"/>
              <w:right w:val="single" w:sz="4" w:space="0" w:color="auto"/>
            </w:tcBorders>
            <w:noWrap/>
            <w:hideMark/>
          </w:tcPr>
          <w:p w14:paraId="22D0743C" w14:textId="77777777" w:rsidR="00ED1222" w:rsidRPr="00ED1222" w:rsidRDefault="00ED1222" w:rsidP="00ED1222">
            <w:pPr>
              <w:ind w:left="567" w:hanging="567"/>
              <w:rPr>
                <w:szCs w:val="22"/>
              </w:rPr>
            </w:pPr>
            <w:r w:rsidRPr="00ED1222">
              <w:t>7,67</w:t>
            </w:r>
          </w:p>
        </w:tc>
      </w:tr>
      <w:tr w:rsidR="00ED1222" w:rsidRPr="00ED1222" w14:paraId="7A6CB76A" w14:textId="77777777" w:rsidTr="00204451">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76FCF181" w14:textId="77777777" w:rsidR="00ED1222" w:rsidRPr="00ED1222" w:rsidRDefault="00ED1222" w:rsidP="00ED1222">
            <w:pPr>
              <w:ind w:left="567" w:hanging="567"/>
              <w:rPr>
                <w:b/>
                <w:bCs/>
                <w:szCs w:val="22"/>
              </w:rPr>
            </w:pPr>
            <w:r w:rsidRPr="00ED1222">
              <w:rPr>
                <w:b/>
              </w:rPr>
              <w:t>EUSPA</w:t>
            </w:r>
          </w:p>
        </w:tc>
        <w:tc>
          <w:tcPr>
            <w:tcW w:w="2038" w:type="dxa"/>
            <w:tcBorders>
              <w:top w:val="single" w:sz="4" w:space="0" w:color="auto"/>
              <w:left w:val="single" w:sz="4" w:space="0" w:color="auto"/>
              <w:bottom w:val="single" w:sz="4" w:space="0" w:color="auto"/>
              <w:right w:val="single" w:sz="4" w:space="0" w:color="auto"/>
            </w:tcBorders>
            <w:noWrap/>
            <w:hideMark/>
          </w:tcPr>
          <w:p w14:paraId="60C9E1EA" w14:textId="77777777" w:rsidR="00ED1222" w:rsidRPr="00ED1222" w:rsidRDefault="00ED1222" w:rsidP="00ED1222">
            <w:pPr>
              <w:ind w:left="567" w:hanging="567"/>
              <w:rPr>
                <w:bCs/>
                <w:szCs w:val="22"/>
              </w:rPr>
            </w:pPr>
            <w:r w:rsidRPr="00ED1222">
              <w:rPr>
                <w:bCs/>
              </w:rPr>
              <w:t>76 922 866</w:t>
            </w:r>
          </w:p>
        </w:tc>
        <w:tc>
          <w:tcPr>
            <w:tcW w:w="2360" w:type="dxa"/>
            <w:tcBorders>
              <w:top w:val="single" w:sz="4" w:space="0" w:color="auto"/>
              <w:left w:val="single" w:sz="4" w:space="0" w:color="auto"/>
              <w:bottom w:val="single" w:sz="4" w:space="0" w:color="auto"/>
              <w:right w:val="single" w:sz="4" w:space="0" w:color="auto"/>
            </w:tcBorders>
            <w:noWrap/>
            <w:hideMark/>
          </w:tcPr>
          <w:p w14:paraId="3BECB82F" w14:textId="77777777" w:rsidR="00ED1222" w:rsidRPr="00ED1222" w:rsidRDefault="00ED1222" w:rsidP="00ED1222">
            <w:pPr>
              <w:ind w:left="567" w:hanging="567"/>
              <w:rPr>
                <w:bCs/>
                <w:szCs w:val="22"/>
              </w:rPr>
            </w:pPr>
            <w:r w:rsidRPr="00ED1222">
              <w:rPr>
                <w:bCs/>
              </w:rPr>
              <w:t>65 392 492</w:t>
            </w:r>
          </w:p>
        </w:tc>
        <w:tc>
          <w:tcPr>
            <w:tcW w:w="1555" w:type="dxa"/>
            <w:tcBorders>
              <w:top w:val="single" w:sz="4" w:space="0" w:color="auto"/>
              <w:left w:val="single" w:sz="4" w:space="0" w:color="auto"/>
              <w:bottom w:val="single" w:sz="4" w:space="0" w:color="auto"/>
              <w:right w:val="single" w:sz="4" w:space="0" w:color="auto"/>
            </w:tcBorders>
            <w:noWrap/>
            <w:hideMark/>
          </w:tcPr>
          <w:p w14:paraId="0362A551" w14:textId="77777777" w:rsidR="00ED1222" w:rsidRPr="00ED1222" w:rsidRDefault="00ED1222" w:rsidP="00ED1222">
            <w:pPr>
              <w:ind w:left="567" w:hanging="567"/>
              <w:rPr>
                <w:szCs w:val="22"/>
              </w:rPr>
            </w:pPr>
            <w:r w:rsidRPr="00ED1222">
              <w:t>17,63</w:t>
            </w:r>
          </w:p>
        </w:tc>
      </w:tr>
      <w:tr w:rsidR="00ED1222" w:rsidRPr="00ED1222" w14:paraId="6B97CAEC" w14:textId="77777777" w:rsidTr="00204451">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37C5570B" w14:textId="77777777" w:rsidR="00ED1222" w:rsidRPr="00ED1222" w:rsidRDefault="00ED1222" w:rsidP="00ED1222">
            <w:pPr>
              <w:ind w:left="567" w:hanging="567"/>
              <w:rPr>
                <w:b/>
                <w:bCs/>
                <w:szCs w:val="22"/>
              </w:rPr>
            </w:pPr>
            <w:r w:rsidRPr="00ED1222">
              <w:rPr>
                <w:b/>
              </w:rPr>
              <w:t>FRA</w:t>
            </w:r>
          </w:p>
        </w:tc>
        <w:tc>
          <w:tcPr>
            <w:tcW w:w="2038" w:type="dxa"/>
            <w:tcBorders>
              <w:top w:val="single" w:sz="4" w:space="0" w:color="auto"/>
              <w:left w:val="single" w:sz="4" w:space="0" w:color="auto"/>
              <w:bottom w:val="single" w:sz="4" w:space="0" w:color="auto"/>
              <w:right w:val="single" w:sz="4" w:space="0" w:color="auto"/>
            </w:tcBorders>
            <w:noWrap/>
            <w:hideMark/>
          </w:tcPr>
          <w:p w14:paraId="28A90C73" w14:textId="77777777" w:rsidR="00ED1222" w:rsidRPr="00ED1222" w:rsidRDefault="00ED1222" w:rsidP="00ED1222">
            <w:pPr>
              <w:ind w:left="567" w:hanging="567"/>
              <w:rPr>
                <w:bCs/>
                <w:szCs w:val="22"/>
              </w:rPr>
            </w:pPr>
            <w:r w:rsidRPr="00ED1222">
              <w:rPr>
                <w:bCs/>
              </w:rPr>
              <w:t>26 191 031</w:t>
            </w:r>
          </w:p>
        </w:tc>
        <w:tc>
          <w:tcPr>
            <w:tcW w:w="2360" w:type="dxa"/>
            <w:tcBorders>
              <w:top w:val="single" w:sz="4" w:space="0" w:color="auto"/>
              <w:left w:val="single" w:sz="4" w:space="0" w:color="auto"/>
              <w:bottom w:val="single" w:sz="4" w:space="0" w:color="auto"/>
              <w:right w:val="single" w:sz="4" w:space="0" w:color="auto"/>
            </w:tcBorders>
            <w:noWrap/>
            <w:hideMark/>
          </w:tcPr>
          <w:p w14:paraId="784F6E3E" w14:textId="77777777" w:rsidR="00ED1222" w:rsidRPr="00ED1222" w:rsidRDefault="00ED1222" w:rsidP="00ED1222">
            <w:pPr>
              <w:ind w:left="567" w:hanging="567"/>
              <w:rPr>
                <w:bCs/>
                <w:szCs w:val="22"/>
              </w:rPr>
            </w:pPr>
            <w:r w:rsidRPr="00ED1222">
              <w:rPr>
                <w:bCs/>
              </w:rPr>
              <w:t>25 857 952</w:t>
            </w:r>
          </w:p>
        </w:tc>
        <w:tc>
          <w:tcPr>
            <w:tcW w:w="1555" w:type="dxa"/>
            <w:tcBorders>
              <w:top w:val="single" w:sz="4" w:space="0" w:color="auto"/>
              <w:left w:val="single" w:sz="4" w:space="0" w:color="auto"/>
              <w:bottom w:val="single" w:sz="4" w:space="0" w:color="auto"/>
              <w:right w:val="single" w:sz="4" w:space="0" w:color="auto"/>
            </w:tcBorders>
            <w:noWrap/>
            <w:hideMark/>
          </w:tcPr>
          <w:p w14:paraId="1A4531E4" w14:textId="77777777" w:rsidR="00ED1222" w:rsidRPr="00ED1222" w:rsidRDefault="00ED1222" w:rsidP="00ED1222">
            <w:pPr>
              <w:ind w:left="567" w:hanging="567"/>
              <w:rPr>
                <w:szCs w:val="22"/>
              </w:rPr>
            </w:pPr>
            <w:r w:rsidRPr="00ED1222">
              <w:t>1,29</w:t>
            </w:r>
          </w:p>
        </w:tc>
      </w:tr>
      <w:tr w:rsidR="00ED1222" w:rsidRPr="00ED1222" w14:paraId="70291EBB" w14:textId="77777777" w:rsidTr="00204451">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3950AA6F" w14:textId="77777777" w:rsidR="00ED1222" w:rsidRPr="00ED1222" w:rsidRDefault="00ED1222" w:rsidP="00ED1222">
            <w:pPr>
              <w:ind w:left="567" w:hanging="567"/>
              <w:rPr>
                <w:b/>
                <w:bCs/>
                <w:szCs w:val="22"/>
              </w:rPr>
            </w:pPr>
            <w:r w:rsidRPr="00ED1222">
              <w:rPr>
                <w:b/>
              </w:rPr>
              <w:t>FRONTEX</w:t>
            </w:r>
          </w:p>
        </w:tc>
        <w:tc>
          <w:tcPr>
            <w:tcW w:w="2038" w:type="dxa"/>
            <w:tcBorders>
              <w:top w:val="single" w:sz="4" w:space="0" w:color="auto"/>
              <w:left w:val="single" w:sz="4" w:space="0" w:color="auto"/>
              <w:bottom w:val="single" w:sz="4" w:space="0" w:color="auto"/>
              <w:right w:val="single" w:sz="4" w:space="0" w:color="auto"/>
            </w:tcBorders>
            <w:noWrap/>
            <w:hideMark/>
          </w:tcPr>
          <w:p w14:paraId="66A730F9" w14:textId="77777777" w:rsidR="00ED1222" w:rsidRPr="00ED1222" w:rsidRDefault="00ED1222" w:rsidP="00ED1222">
            <w:pPr>
              <w:ind w:left="567" w:hanging="567"/>
              <w:rPr>
                <w:bCs/>
                <w:szCs w:val="22"/>
              </w:rPr>
            </w:pPr>
            <w:r w:rsidRPr="00ED1222">
              <w:rPr>
                <w:bCs/>
              </w:rPr>
              <w:t>829 352 752</w:t>
            </w:r>
          </w:p>
        </w:tc>
        <w:tc>
          <w:tcPr>
            <w:tcW w:w="2360" w:type="dxa"/>
            <w:tcBorders>
              <w:top w:val="single" w:sz="4" w:space="0" w:color="auto"/>
              <w:left w:val="single" w:sz="4" w:space="0" w:color="auto"/>
              <w:bottom w:val="single" w:sz="4" w:space="0" w:color="auto"/>
              <w:right w:val="single" w:sz="4" w:space="0" w:color="auto"/>
            </w:tcBorders>
            <w:noWrap/>
            <w:hideMark/>
          </w:tcPr>
          <w:p w14:paraId="370EB9B1" w14:textId="77777777" w:rsidR="00ED1222" w:rsidRPr="00ED1222" w:rsidRDefault="00ED1222" w:rsidP="00ED1222">
            <w:pPr>
              <w:ind w:left="567" w:hanging="567"/>
              <w:rPr>
                <w:bCs/>
                <w:szCs w:val="22"/>
              </w:rPr>
            </w:pPr>
            <w:r w:rsidRPr="00ED1222">
              <w:rPr>
                <w:bCs/>
              </w:rPr>
              <w:t>693 122 858</w:t>
            </w:r>
          </w:p>
        </w:tc>
        <w:tc>
          <w:tcPr>
            <w:tcW w:w="1555" w:type="dxa"/>
            <w:tcBorders>
              <w:top w:val="single" w:sz="4" w:space="0" w:color="auto"/>
              <w:left w:val="single" w:sz="4" w:space="0" w:color="auto"/>
              <w:bottom w:val="single" w:sz="4" w:space="0" w:color="auto"/>
              <w:right w:val="single" w:sz="4" w:space="0" w:color="auto"/>
            </w:tcBorders>
            <w:noWrap/>
            <w:hideMark/>
          </w:tcPr>
          <w:p w14:paraId="4AF69118" w14:textId="77777777" w:rsidR="00ED1222" w:rsidRPr="00ED1222" w:rsidRDefault="00ED1222" w:rsidP="00ED1222">
            <w:pPr>
              <w:ind w:left="567" w:hanging="567"/>
              <w:rPr>
                <w:szCs w:val="22"/>
              </w:rPr>
            </w:pPr>
            <w:r w:rsidRPr="00ED1222">
              <w:t>19,65</w:t>
            </w:r>
          </w:p>
        </w:tc>
      </w:tr>
      <w:tr w:rsidR="00ED1222" w:rsidRPr="00ED1222" w14:paraId="7DFB0A83" w14:textId="77777777" w:rsidTr="00204451">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748CE40A" w14:textId="77777777" w:rsidR="00ED1222" w:rsidRPr="00ED1222" w:rsidRDefault="00ED1222" w:rsidP="00ED1222">
            <w:pPr>
              <w:ind w:left="567" w:hanging="567"/>
              <w:jc w:val="right"/>
              <w:rPr>
                <w:b/>
                <w:bCs/>
                <w:szCs w:val="22"/>
              </w:rPr>
            </w:pPr>
            <w:r w:rsidRPr="00ED1222">
              <w:rPr>
                <w:b/>
              </w:rPr>
              <w:t>KOKKU</w:t>
            </w:r>
          </w:p>
        </w:tc>
        <w:tc>
          <w:tcPr>
            <w:tcW w:w="2038" w:type="dxa"/>
            <w:tcBorders>
              <w:top w:val="single" w:sz="4" w:space="0" w:color="auto"/>
              <w:left w:val="single" w:sz="4" w:space="0" w:color="auto"/>
              <w:bottom w:val="single" w:sz="4" w:space="0" w:color="auto"/>
              <w:right w:val="single" w:sz="4" w:space="0" w:color="auto"/>
            </w:tcBorders>
            <w:noWrap/>
            <w:hideMark/>
          </w:tcPr>
          <w:p w14:paraId="5C155A6D" w14:textId="77777777" w:rsidR="00ED1222" w:rsidRPr="00ED1222" w:rsidRDefault="00ED1222" w:rsidP="00ED1222">
            <w:pPr>
              <w:ind w:left="567" w:hanging="567"/>
              <w:rPr>
                <w:b/>
                <w:szCs w:val="22"/>
              </w:rPr>
            </w:pPr>
            <w:r w:rsidRPr="00ED1222">
              <w:rPr>
                <w:b/>
              </w:rPr>
              <w:t>3 741 954 189</w:t>
            </w:r>
          </w:p>
        </w:tc>
        <w:tc>
          <w:tcPr>
            <w:tcW w:w="2360" w:type="dxa"/>
            <w:tcBorders>
              <w:top w:val="single" w:sz="4" w:space="0" w:color="auto"/>
              <w:left w:val="single" w:sz="4" w:space="0" w:color="auto"/>
              <w:bottom w:val="single" w:sz="4" w:space="0" w:color="auto"/>
              <w:right w:val="single" w:sz="4" w:space="0" w:color="auto"/>
            </w:tcBorders>
            <w:noWrap/>
            <w:hideMark/>
          </w:tcPr>
          <w:p w14:paraId="3A3AFF1C" w14:textId="77777777" w:rsidR="00ED1222" w:rsidRPr="00ED1222" w:rsidRDefault="00ED1222" w:rsidP="00ED1222">
            <w:pPr>
              <w:ind w:left="567" w:hanging="567"/>
              <w:rPr>
                <w:b/>
                <w:szCs w:val="22"/>
              </w:rPr>
            </w:pPr>
            <w:r w:rsidRPr="00ED1222">
              <w:rPr>
                <w:b/>
              </w:rPr>
              <w:t>3 605 018 178</w:t>
            </w:r>
          </w:p>
        </w:tc>
        <w:tc>
          <w:tcPr>
            <w:tcW w:w="1555" w:type="dxa"/>
            <w:tcBorders>
              <w:top w:val="single" w:sz="4" w:space="0" w:color="auto"/>
              <w:left w:val="single" w:sz="4" w:space="0" w:color="auto"/>
              <w:bottom w:val="single" w:sz="4" w:space="0" w:color="auto"/>
              <w:right w:val="single" w:sz="4" w:space="0" w:color="auto"/>
            </w:tcBorders>
            <w:noWrap/>
            <w:hideMark/>
          </w:tcPr>
          <w:p w14:paraId="0459A426" w14:textId="77777777" w:rsidR="00ED1222" w:rsidRPr="00ED1222" w:rsidRDefault="00ED1222" w:rsidP="00ED1222">
            <w:pPr>
              <w:ind w:left="567" w:hanging="567"/>
              <w:rPr>
                <w:b/>
                <w:szCs w:val="22"/>
              </w:rPr>
            </w:pPr>
            <w:r w:rsidRPr="00ED1222">
              <w:rPr>
                <w:b/>
              </w:rPr>
              <w:t>3,80</w:t>
            </w:r>
          </w:p>
        </w:tc>
      </w:tr>
      <w:tr w:rsidR="00ED1222" w:rsidRPr="00ED1222" w14:paraId="2BBC68A5" w14:textId="77777777" w:rsidTr="00204451">
        <w:trPr>
          <w:trHeight w:val="285"/>
        </w:trPr>
        <w:tc>
          <w:tcPr>
            <w:tcW w:w="8075" w:type="dxa"/>
            <w:gridSpan w:val="4"/>
            <w:tcBorders>
              <w:top w:val="single" w:sz="4" w:space="0" w:color="auto"/>
              <w:left w:val="single" w:sz="4" w:space="0" w:color="auto"/>
              <w:bottom w:val="single" w:sz="4" w:space="0" w:color="auto"/>
              <w:right w:val="single" w:sz="4" w:space="0" w:color="auto"/>
            </w:tcBorders>
            <w:noWrap/>
          </w:tcPr>
          <w:p w14:paraId="22CF3316" w14:textId="77777777" w:rsidR="00ED1222" w:rsidRPr="00ED1222" w:rsidRDefault="00ED1222" w:rsidP="00ED1222">
            <w:pPr>
              <w:ind w:left="567" w:hanging="567"/>
            </w:pPr>
            <w:r w:rsidRPr="00ED1222">
              <w:t>(</w:t>
            </w:r>
            <w:r w:rsidRPr="00ED1222">
              <w:rPr>
                <w:vertAlign w:val="superscript"/>
              </w:rPr>
              <w:t>1</w:t>
            </w:r>
            <w:r w:rsidRPr="00ED1222">
              <w:t xml:space="preserve">) </w:t>
            </w:r>
            <w:r w:rsidRPr="00ED1222">
              <w:rPr>
                <w:szCs w:val="24"/>
              </w:rPr>
              <w:t>Maha on arvatud eelmisest eelarveaastast ülekantud ülejääk.</w:t>
            </w:r>
          </w:p>
          <w:p w14:paraId="01E79143" w14:textId="77777777" w:rsidR="00ED1222" w:rsidRPr="00ED1222" w:rsidRDefault="00ED1222" w:rsidP="00ED1222">
            <w:pPr>
              <w:ind w:left="567" w:hanging="567"/>
            </w:pPr>
            <w:r w:rsidRPr="00ED1222">
              <w:t>(</w:t>
            </w:r>
            <w:r w:rsidRPr="00ED1222">
              <w:rPr>
                <w:vertAlign w:val="superscript"/>
              </w:rPr>
              <w:t>2</w:t>
            </w:r>
            <w:r w:rsidRPr="00ED1222">
              <w:t xml:space="preserve">) </w:t>
            </w:r>
            <w:r w:rsidRPr="00ED1222">
              <w:rPr>
                <w:szCs w:val="24"/>
              </w:rPr>
              <w:t>Maha on arvatud kumuleerunud ülejäägile vastavad eelarvekorrektsioonid.</w:t>
            </w:r>
          </w:p>
        </w:tc>
      </w:tr>
    </w:tbl>
    <w:p w14:paraId="76074959"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20.</w:t>
      </w:r>
      <w:r w:rsidRPr="00ED1222">
        <w:rPr>
          <w:kern w:val="2"/>
          <w14:ligatures w14:val="standardContextual"/>
        </w:rPr>
        <w:tab/>
        <w:t xml:space="preserve">rõhutab, et tulude suurendamine aastatel 2022–2023 on mõnes asutuses olnud märkimisväärne, olles ESA puhul 54,59 %, </w:t>
      </w:r>
      <w:proofErr w:type="spellStart"/>
      <w:r w:rsidRPr="00ED1222">
        <w:rPr>
          <w:kern w:val="2"/>
          <w14:ligatures w14:val="standardContextual"/>
        </w:rPr>
        <w:t>Eurojusti</w:t>
      </w:r>
      <w:proofErr w:type="spellEnd"/>
      <w:r w:rsidRPr="00ED1222">
        <w:rPr>
          <w:kern w:val="2"/>
          <w14:ligatures w14:val="standardContextual"/>
        </w:rPr>
        <w:t xml:space="preserve"> puhul 20,86 %, </w:t>
      </w:r>
      <w:proofErr w:type="spellStart"/>
      <w:r w:rsidRPr="00ED1222">
        <w:rPr>
          <w:kern w:val="2"/>
          <w14:ligatures w14:val="standardContextual"/>
        </w:rPr>
        <w:t>Frontexi</w:t>
      </w:r>
      <w:proofErr w:type="spellEnd"/>
      <w:r w:rsidRPr="00ED1222">
        <w:rPr>
          <w:kern w:val="2"/>
          <w14:ligatures w14:val="standardContextual"/>
        </w:rPr>
        <w:t xml:space="preserve"> puhul 19,65 % ja </w:t>
      </w:r>
      <w:proofErr w:type="spellStart"/>
      <w:r w:rsidRPr="00ED1222">
        <w:rPr>
          <w:kern w:val="2"/>
          <w14:ligatures w14:val="standardContextual"/>
        </w:rPr>
        <w:t>ACERi</w:t>
      </w:r>
      <w:proofErr w:type="spellEnd"/>
      <w:r w:rsidRPr="00ED1222">
        <w:rPr>
          <w:kern w:val="2"/>
          <w14:ligatures w14:val="standardContextual"/>
        </w:rPr>
        <w:t xml:space="preserve"> puhul 19,15 %; väljendab heameelt õiguskaitseasutuste suurema rahastamise üle;</w:t>
      </w:r>
    </w:p>
    <w:p w14:paraId="1095D02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21.</w:t>
      </w:r>
      <w:r w:rsidRPr="00ED1222">
        <w:rPr>
          <w:kern w:val="2"/>
          <w14:ligatures w14:val="standardContextual"/>
        </w:rPr>
        <w:tab/>
        <w:t xml:space="preserve">märgib, et ESA puhul on suurendamine peamiselt tingitud tuumavaatluskeskuse ja ESA teabehalduse (NOEMI) IT-süsteemi jätkuvast arendamisest ning asutusele raamatupidamisteenuste osutamisest; </w:t>
      </w:r>
      <w:proofErr w:type="spellStart"/>
      <w:r w:rsidRPr="00ED1222">
        <w:rPr>
          <w:kern w:val="2"/>
          <w14:ligatures w14:val="standardContextual"/>
        </w:rPr>
        <w:t>Eurojusti</w:t>
      </w:r>
      <w:proofErr w:type="spellEnd"/>
      <w:r w:rsidRPr="00ED1222">
        <w:rPr>
          <w:kern w:val="2"/>
          <w14:ligatures w14:val="standardContextual"/>
        </w:rPr>
        <w:t xml:space="preserve"> puhul tuleneb suurendamine peamiselt komisjoni kolme määruse ettepanekuga lisatud ülesannete täitmiseks vajalikest lisavahenditest ja inflatsiooni eriti rängast mõjust; </w:t>
      </w:r>
      <w:r w:rsidRPr="00ED1222">
        <w:rPr>
          <w:kern w:val="2"/>
          <w:vertAlign w:val="superscript"/>
          <w14:ligatures w14:val="standardContextual"/>
        </w:rPr>
        <w:footnoteReference w:id="409"/>
      </w:r>
      <w:r w:rsidRPr="00ED1222">
        <w:rPr>
          <w:kern w:val="2"/>
          <w14:ligatures w14:val="standardContextual"/>
        </w:rPr>
        <w:t xml:space="preserve"> </w:t>
      </w:r>
      <w:proofErr w:type="spellStart"/>
      <w:r w:rsidRPr="00ED1222">
        <w:rPr>
          <w:kern w:val="2"/>
          <w14:ligatures w14:val="standardContextual"/>
        </w:rPr>
        <w:t>Frontexi</w:t>
      </w:r>
      <w:proofErr w:type="spellEnd"/>
      <w:r w:rsidRPr="00ED1222">
        <w:rPr>
          <w:kern w:val="2"/>
          <w14:ligatures w14:val="standardContextual"/>
        </w:rPr>
        <w:t xml:space="preserve"> eelarve suurendamise eesmärk on jätkata piirivalvurite alalise korpuse loomist, sealhulgas varustuse muretsemist; </w:t>
      </w:r>
      <w:r w:rsidRPr="00ED1222">
        <w:rPr>
          <w:kern w:val="2"/>
          <w:vertAlign w:val="superscript"/>
          <w14:ligatures w14:val="standardContextual"/>
        </w:rPr>
        <w:footnoteReference w:id="410"/>
      </w:r>
      <w:r w:rsidRPr="00ED1222">
        <w:rPr>
          <w:kern w:val="2"/>
          <w14:ligatures w14:val="standardContextual"/>
        </w:rPr>
        <w:t xml:space="preserve"> </w:t>
      </w:r>
      <w:proofErr w:type="spellStart"/>
      <w:r w:rsidRPr="00ED1222">
        <w:rPr>
          <w:kern w:val="2"/>
          <w14:ligatures w14:val="standardContextual"/>
        </w:rPr>
        <w:t>ACERi</w:t>
      </w:r>
      <w:proofErr w:type="spellEnd"/>
      <w:r w:rsidRPr="00ED1222">
        <w:rPr>
          <w:kern w:val="2"/>
          <w14:ligatures w14:val="standardContextual"/>
        </w:rPr>
        <w:t xml:space="preserve"> puhul tuleneb suurendamine peamiselt kavandatavate </w:t>
      </w:r>
      <w:r w:rsidRPr="00ED1222">
        <w:rPr>
          <w:kern w:val="2"/>
          <w14:ligatures w14:val="standardContextual"/>
        </w:rPr>
        <w:lastRenderedPageBreak/>
        <w:t>energiataristut ja metaaniheite vähendamist käsitlevate läbivaadatud määrustega delegeeritud lisaülesannetest, </w:t>
      </w:r>
      <w:r w:rsidRPr="00ED1222">
        <w:rPr>
          <w:kern w:val="2"/>
          <w:vertAlign w:val="superscript"/>
          <w14:ligatures w14:val="standardContextual"/>
        </w:rPr>
        <w:footnoteReference w:id="411"/>
      </w:r>
      <w:r w:rsidRPr="00ED1222">
        <w:rPr>
          <w:kern w:val="2"/>
          <w14:ligatures w14:val="standardContextual"/>
        </w:rPr>
        <w:t xml:space="preserve"> sellega seotud iga-aastasest töötasude indekseerimisest, suurematest õigusabikuludest ja suurematest eelarveeraldistest, mis tulenevad konkreetsete projektide tasudest;</w:t>
      </w:r>
    </w:p>
    <w:p w14:paraId="5E5EFC2C" w14:textId="77777777" w:rsidR="00ED1222" w:rsidRPr="00ED1222" w:rsidRDefault="00ED1222" w:rsidP="00ED1222">
      <w:pPr>
        <w:spacing w:after="240"/>
        <w:ind w:left="567" w:hanging="567"/>
        <w:rPr>
          <w:kern w:val="2"/>
          <w:szCs w:val="24"/>
          <w14:ligatures w14:val="standardContextual"/>
        </w:rPr>
      </w:pPr>
      <w:r w:rsidRPr="00ED1222">
        <w:rPr>
          <w:kern w:val="2"/>
          <w14:ligatures w14:val="standardContextual"/>
        </w:rPr>
        <w:t>22.</w:t>
      </w:r>
      <w:r w:rsidRPr="00ED1222">
        <w:rPr>
          <w:kern w:val="2"/>
          <w14:ligatures w14:val="standardContextual"/>
        </w:rPr>
        <w:tab/>
        <w:t xml:space="preserve">võtab teadmiseks kirjalikule küsimusele antud vastuse, milles märgitakse, et </w:t>
      </w:r>
      <w:proofErr w:type="spellStart"/>
      <w:r w:rsidRPr="00ED1222">
        <w:rPr>
          <w:kern w:val="2"/>
          <w14:ligatures w14:val="standardContextual"/>
        </w:rPr>
        <w:t>Frontexi</w:t>
      </w:r>
      <w:proofErr w:type="spellEnd"/>
      <w:r w:rsidRPr="00ED1222">
        <w:rPr>
          <w:kern w:val="2"/>
          <w14:ligatures w14:val="standardContextual"/>
        </w:rPr>
        <w:t xml:space="preserve"> ülekandmised (2023. aastal 45 %) on seotud selle tegevustsükliga, mis ei ole kooskõlas kalendriaastaga ja mida ei ole lihtne kohandada, kuna see hõlmab kõiki liikmesriike; on teadlik, et </w:t>
      </w:r>
      <w:proofErr w:type="spellStart"/>
      <w:r w:rsidRPr="00ED1222">
        <w:rPr>
          <w:kern w:val="2"/>
          <w14:ligatures w14:val="standardContextual"/>
        </w:rPr>
        <w:t>Frontexi</w:t>
      </w:r>
      <w:proofErr w:type="spellEnd"/>
      <w:r w:rsidRPr="00ED1222">
        <w:rPr>
          <w:kern w:val="2"/>
          <w14:ligatures w14:val="standardContextual"/>
        </w:rPr>
        <w:t xml:space="preserve"> eelarve suurendamist saab selgitada komisjoni poliitiliste prioriteetide ja liidu kodanike julgeolekualaste ootustega; rõhutab, et </w:t>
      </w:r>
      <w:proofErr w:type="spellStart"/>
      <w:r w:rsidRPr="00ED1222">
        <w:rPr>
          <w:kern w:val="2"/>
          <w14:ligatures w14:val="standardContextual"/>
        </w:rPr>
        <w:t>Frontexi</w:t>
      </w:r>
      <w:proofErr w:type="spellEnd"/>
      <w:r w:rsidRPr="00ED1222">
        <w:rPr>
          <w:kern w:val="2"/>
          <w14:ligatures w14:val="standardContextual"/>
        </w:rPr>
        <w:t xml:space="preserve"> tulemuslikuks toimimiseks on oluline tagada piisavad vahendid, hinnates samal ajal pidevalt, kas tema eelarve on eesmärgipärane ja annab tulemusi; tuletab meelde vajadust jälgida, kuivõrd on suurenenud </w:t>
      </w:r>
      <w:proofErr w:type="spellStart"/>
      <w:r w:rsidRPr="00ED1222">
        <w:rPr>
          <w:kern w:val="2"/>
          <w14:ligatures w14:val="standardContextual"/>
        </w:rPr>
        <w:t>Frontexi</w:t>
      </w:r>
      <w:proofErr w:type="spellEnd"/>
      <w:r w:rsidRPr="00ED1222">
        <w:rPr>
          <w:kern w:val="2"/>
          <w14:ligatures w14:val="standardContextual"/>
        </w:rPr>
        <w:t xml:space="preserve"> vastuvõtusuutlikkus, eelkõige piiri- ja rannikuvalve töötajate töölevõtmise tulemusel, rõhutades, kui oluline on usaldusväärne planeerimine, et tagada asutuse tulemuslikkus; kutsub lisaks ELi asutuste võrgustikku üles tegema asutuste ja kontrollikojaga koostööd, et töötada välja ülekandmiste standardne esitusviis, mis oleks paremini kooskõlas finantsmääruse aastasuse põhimõttega;</w:t>
      </w:r>
    </w:p>
    <w:p w14:paraId="7CFD10ED"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23.</w:t>
      </w:r>
      <w:r w:rsidRPr="00ED1222">
        <w:rPr>
          <w:kern w:val="2"/>
          <w14:ligatures w14:val="standardContextual"/>
        </w:rPr>
        <w:tab/>
        <w:t>tuletab meelde, et enamik ELi asutusi saab oma rahalised vahendid täielikult liidu eelarvest; märgib siiski, et mõnda asutust rahastatakse täielikult või osaliselt alternatiivsetest tuluallikatest, sealhulgas sertifikaatidest, lubadest, ainete registreerimisest, sissemaksetest, andmete kogumisest, turujärelevalvest, järelevalvest ja muudest teenustest, nagu Euroopa Liidu Asutuste Tõlkekeskuse pakutavad tõlked ja terminoloogia;</w:t>
      </w:r>
    </w:p>
    <w:p w14:paraId="137F5859"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24.</w:t>
      </w:r>
      <w:r w:rsidRPr="00ED1222">
        <w:rPr>
          <w:kern w:val="2"/>
          <w14:ligatures w14:val="standardContextual"/>
        </w:rPr>
        <w:tab/>
        <w:t>tõdeb, et:</w:t>
      </w:r>
    </w:p>
    <w:p w14:paraId="176D18BD" w14:textId="77777777" w:rsidR="00ED1222" w:rsidRPr="00ED1222" w:rsidRDefault="00ED1222" w:rsidP="00ED1222">
      <w:pPr>
        <w:spacing w:after="240"/>
        <w:ind w:left="1134" w:hanging="567"/>
        <w:rPr>
          <w:kern w:val="2"/>
          <w14:ligatures w14:val="standardContextual"/>
        </w:rPr>
      </w:pPr>
      <w:r w:rsidRPr="00ED1222">
        <w:rPr>
          <w:kern w:val="2"/>
          <w14:ligatures w14:val="standardContextual"/>
        </w:rPr>
        <w:t>—</w:t>
      </w:r>
      <w:r w:rsidRPr="00ED1222">
        <w:rPr>
          <w:kern w:val="2"/>
          <w14:ligatures w14:val="standardContextual"/>
        </w:rPr>
        <w:tab/>
        <w:t>osaliselt omavahenditest rahastatavate asutuste hulka kuuluvad Euroopa Lennundusohutusamet (EASA), Euroopa Liidu Raudteeamet (ERA), Energeetikasektorit Reguleerivate Asutuste Koostööamet (ACER), Euroopa Kemikaaliamet (ECHA) ja Euroopa Ravimiamet (EMA);</w:t>
      </w:r>
    </w:p>
    <w:p w14:paraId="4F5ACC4C" w14:textId="77777777" w:rsidR="00ED1222" w:rsidRPr="00ED1222" w:rsidRDefault="00ED1222" w:rsidP="00ED1222">
      <w:pPr>
        <w:spacing w:after="240"/>
        <w:ind w:left="1134" w:hanging="567"/>
        <w:rPr>
          <w:kern w:val="2"/>
          <w14:ligatures w14:val="standardContextual"/>
        </w:rPr>
      </w:pPr>
      <w:r w:rsidRPr="00ED1222">
        <w:rPr>
          <w:kern w:val="2"/>
          <w14:ligatures w14:val="standardContextual"/>
        </w:rPr>
        <w:t>—</w:t>
      </w:r>
      <w:r w:rsidRPr="00ED1222">
        <w:rPr>
          <w:kern w:val="2"/>
          <w14:ligatures w14:val="standardContextual"/>
        </w:rPr>
        <w:tab/>
        <w:t>täielikult omavahenditest rahastatav asutus on Euroopa Liidu Asutuste Tõlkekeskus; ning</w:t>
      </w:r>
    </w:p>
    <w:p w14:paraId="695C5DF1" w14:textId="77777777" w:rsidR="00ED1222" w:rsidRPr="00ED1222" w:rsidRDefault="00ED1222" w:rsidP="00ED1222">
      <w:pPr>
        <w:spacing w:after="240"/>
        <w:ind w:left="1134" w:hanging="567"/>
        <w:rPr>
          <w:kern w:val="2"/>
          <w14:ligatures w14:val="standardContextual"/>
        </w:rPr>
      </w:pPr>
      <w:r w:rsidRPr="00ED1222">
        <w:rPr>
          <w:kern w:val="2"/>
          <w14:ligatures w14:val="standardContextual"/>
        </w:rPr>
        <w:t>—</w:t>
      </w:r>
      <w:r w:rsidRPr="00ED1222">
        <w:rPr>
          <w:kern w:val="2"/>
          <w14:ligatures w14:val="standardContextual"/>
        </w:rPr>
        <w:tab/>
        <w:t>asutused, mida osaliselt kaasrahastavad riiklikud ametiasutused, on Euroopa Pangandusjärelevalve (EBA), Euroopa Kindlustus- ja Tööandjapensionide Järelevalve (EIOPA) ning Euroopa Väärtpaberiturujärelevalve (ESMA);</w:t>
      </w:r>
    </w:p>
    <w:p w14:paraId="178CDAB1" w14:textId="77777777" w:rsidR="00ED1222" w:rsidRPr="00ED1222" w:rsidRDefault="00ED1222" w:rsidP="00ED1222">
      <w:pPr>
        <w:spacing w:after="120"/>
        <w:ind w:left="567" w:hanging="567"/>
        <w:rPr>
          <w:kern w:val="2"/>
          <w14:ligatures w14:val="standardContextual"/>
        </w:rPr>
      </w:pPr>
      <w:r w:rsidRPr="00ED1222">
        <w:rPr>
          <w:kern w:val="2"/>
          <w14:ligatures w14:val="standardContextual"/>
        </w:rPr>
        <w:t>25.</w:t>
      </w:r>
      <w:r w:rsidRPr="00ED1222">
        <w:rPr>
          <w:kern w:val="2"/>
          <w14:ligatures w14:val="standardContextual"/>
        </w:rPr>
        <w:tab/>
        <w:t>märgib, et 2023. aastal jagunesid käesoleva resolutsiooniga hõlmatud isemajandavate asutuste rahastamisallikad järgmiselt:</w:t>
      </w:r>
    </w:p>
    <w:tbl>
      <w:tblPr>
        <w:tblStyle w:val="TableGrid"/>
        <w:tblW w:w="7948" w:type="dxa"/>
        <w:tblLook w:val="04A0" w:firstRow="1" w:lastRow="0" w:firstColumn="1" w:lastColumn="0" w:noHBand="0" w:noVBand="1"/>
      </w:tblPr>
      <w:tblGrid>
        <w:gridCol w:w="1101"/>
        <w:gridCol w:w="1634"/>
        <w:gridCol w:w="1370"/>
        <w:gridCol w:w="954"/>
        <w:gridCol w:w="1413"/>
        <w:gridCol w:w="954"/>
        <w:gridCol w:w="1634"/>
      </w:tblGrid>
      <w:tr w:rsidR="00ED1222" w:rsidRPr="00ED1222" w14:paraId="15253971" w14:textId="77777777" w:rsidTr="00204451">
        <w:trPr>
          <w:cantSplit/>
          <w:trHeight w:val="293"/>
          <w:tblHeader/>
        </w:trPr>
        <w:tc>
          <w:tcPr>
            <w:tcW w:w="917" w:type="dxa"/>
            <w:tcBorders>
              <w:top w:val="single" w:sz="4" w:space="0" w:color="auto"/>
              <w:left w:val="single" w:sz="4" w:space="0" w:color="auto"/>
              <w:bottom w:val="single" w:sz="4" w:space="0" w:color="auto"/>
              <w:right w:val="single" w:sz="4" w:space="0" w:color="auto"/>
            </w:tcBorders>
            <w:noWrap/>
            <w:hideMark/>
          </w:tcPr>
          <w:p w14:paraId="11AE809C" w14:textId="77777777" w:rsidR="00ED1222" w:rsidRPr="00ED1222" w:rsidRDefault="00ED1222" w:rsidP="00ED1222">
            <w:pPr>
              <w:widowControl/>
              <w:spacing w:after="120"/>
              <w:ind w:left="567" w:hanging="567"/>
              <w:rPr>
                <w:bCs/>
              </w:rPr>
            </w:pPr>
          </w:p>
        </w:tc>
        <w:tc>
          <w:tcPr>
            <w:tcW w:w="1630" w:type="dxa"/>
            <w:tcBorders>
              <w:top w:val="single" w:sz="4" w:space="0" w:color="auto"/>
              <w:left w:val="single" w:sz="4" w:space="0" w:color="auto"/>
              <w:bottom w:val="single" w:sz="4" w:space="0" w:color="auto"/>
              <w:right w:val="single" w:sz="4" w:space="0" w:color="auto"/>
            </w:tcBorders>
            <w:noWrap/>
            <w:hideMark/>
          </w:tcPr>
          <w:p w14:paraId="6E889F02" w14:textId="77777777" w:rsidR="00ED1222" w:rsidRPr="00ED1222" w:rsidRDefault="00ED1222" w:rsidP="00ED1222">
            <w:pPr>
              <w:spacing w:after="120"/>
              <w:ind w:left="567" w:hanging="567"/>
              <w:rPr>
                <w:bCs/>
              </w:rPr>
            </w:pPr>
            <w:r w:rsidRPr="00ED1222">
              <w:rPr>
                <w:bCs/>
              </w:rPr>
              <w:t>2023. aasta tulud (eurodes)</w:t>
            </w:r>
          </w:p>
        </w:tc>
        <w:tc>
          <w:tcPr>
            <w:tcW w:w="1280" w:type="dxa"/>
            <w:tcBorders>
              <w:top w:val="single" w:sz="4" w:space="0" w:color="auto"/>
              <w:left w:val="single" w:sz="4" w:space="0" w:color="auto"/>
              <w:bottom w:val="single" w:sz="4" w:space="0" w:color="auto"/>
              <w:right w:val="single" w:sz="4" w:space="0" w:color="auto"/>
            </w:tcBorders>
            <w:noWrap/>
            <w:hideMark/>
          </w:tcPr>
          <w:p w14:paraId="0A4914BA" w14:textId="77777777" w:rsidR="00ED1222" w:rsidRPr="00ED1222" w:rsidRDefault="00ED1222" w:rsidP="00ED1222">
            <w:pPr>
              <w:spacing w:after="120"/>
              <w:ind w:left="567" w:hanging="567"/>
              <w:rPr>
                <w:bCs/>
              </w:rPr>
            </w:pPr>
            <w:r w:rsidRPr="00ED1222">
              <w:rPr>
                <w:bCs/>
              </w:rPr>
              <w:t>ELi toetus</w:t>
            </w:r>
          </w:p>
          <w:p w14:paraId="30ACE6EF" w14:textId="77777777" w:rsidR="00ED1222" w:rsidRPr="00ED1222" w:rsidRDefault="00ED1222" w:rsidP="00ED1222">
            <w:pPr>
              <w:spacing w:after="120"/>
              <w:ind w:left="567" w:hanging="567"/>
              <w:rPr>
                <w:bCs/>
              </w:rPr>
            </w:pPr>
            <w:r w:rsidRPr="00ED1222">
              <w:rPr>
                <w:bCs/>
              </w:rPr>
              <w:t>(eurodes)</w:t>
            </w:r>
          </w:p>
        </w:tc>
        <w:tc>
          <w:tcPr>
            <w:tcW w:w="696" w:type="dxa"/>
            <w:tcBorders>
              <w:top w:val="single" w:sz="4" w:space="0" w:color="auto"/>
              <w:left w:val="single" w:sz="4" w:space="0" w:color="auto"/>
              <w:bottom w:val="single" w:sz="4" w:space="0" w:color="auto"/>
              <w:right w:val="single" w:sz="4" w:space="0" w:color="auto"/>
            </w:tcBorders>
            <w:noWrap/>
            <w:hideMark/>
          </w:tcPr>
          <w:p w14:paraId="74241D9C" w14:textId="77777777" w:rsidR="00ED1222" w:rsidRPr="00ED1222" w:rsidRDefault="00ED1222" w:rsidP="00ED1222">
            <w:pPr>
              <w:spacing w:after="120"/>
              <w:ind w:left="567" w:hanging="567"/>
              <w:rPr>
                <w:bCs/>
              </w:rPr>
            </w:pPr>
            <w:r w:rsidRPr="00ED1222">
              <w:rPr>
                <w:bCs/>
              </w:rPr>
              <w:t xml:space="preserve"> %</w:t>
            </w:r>
          </w:p>
        </w:tc>
        <w:tc>
          <w:tcPr>
            <w:tcW w:w="1461" w:type="dxa"/>
            <w:tcBorders>
              <w:top w:val="single" w:sz="4" w:space="0" w:color="auto"/>
              <w:left w:val="single" w:sz="4" w:space="0" w:color="auto"/>
              <w:bottom w:val="single" w:sz="4" w:space="0" w:color="auto"/>
              <w:right w:val="single" w:sz="4" w:space="0" w:color="auto"/>
            </w:tcBorders>
            <w:noWrap/>
            <w:hideMark/>
          </w:tcPr>
          <w:p w14:paraId="2890F21E" w14:textId="77777777" w:rsidR="00ED1222" w:rsidRPr="00ED1222" w:rsidRDefault="00ED1222" w:rsidP="00ED1222">
            <w:pPr>
              <w:spacing w:after="120"/>
              <w:ind w:left="567" w:hanging="567"/>
              <w:rPr>
                <w:bCs/>
              </w:rPr>
            </w:pPr>
            <w:r w:rsidRPr="00ED1222">
              <w:rPr>
                <w:bCs/>
              </w:rPr>
              <w:t>Omatulud</w:t>
            </w:r>
          </w:p>
          <w:p w14:paraId="5BA539E5" w14:textId="77777777" w:rsidR="00ED1222" w:rsidRPr="00ED1222" w:rsidRDefault="00ED1222" w:rsidP="00ED1222">
            <w:pPr>
              <w:spacing w:after="120"/>
              <w:ind w:left="567" w:hanging="567"/>
              <w:rPr>
                <w:bCs/>
              </w:rPr>
            </w:pPr>
            <w:r w:rsidRPr="00ED1222">
              <w:rPr>
                <w:bCs/>
              </w:rPr>
              <w:t>(eurodes)</w:t>
            </w:r>
          </w:p>
        </w:tc>
        <w:tc>
          <w:tcPr>
            <w:tcW w:w="664" w:type="dxa"/>
            <w:tcBorders>
              <w:top w:val="single" w:sz="4" w:space="0" w:color="auto"/>
              <w:left w:val="single" w:sz="4" w:space="0" w:color="auto"/>
              <w:bottom w:val="single" w:sz="4" w:space="0" w:color="auto"/>
              <w:right w:val="single" w:sz="4" w:space="0" w:color="auto"/>
            </w:tcBorders>
            <w:noWrap/>
            <w:hideMark/>
          </w:tcPr>
          <w:p w14:paraId="6CAAED97" w14:textId="77777777" w:rsidR="00ED1222" w:rsidRPr="00ED1222" w:rsidRDefault="00ED1222" w:rsidP="00ED1222">
            <w:pPr>
              <w:spacing w:after="120"/>
              <w:ind w:left="567" w:hanging="567"/>
              <w:rPr>
                <w:bCs/>
              </w:rPr>
            </w:pPr>
            <w:r w:rsidRPr="00ED1222">
              <w:rPr>
                <w:bCs/>
              </w:rPr>
              <w:t xml:space="preserve"> %</w:t>
            </w:r>
          </w:p>
        </w:tc>
        <w:tc>
          <w:tcPr>
            <w:tcW w:w="1300" w:type="dxa"/>
            <w:tcBorders>
              <w:top w:val="single" w:sz="4" w:space="0" w:color="auto"/>
              <w:left w:val="single" w:sz="4" w:space="0" w:color="auto"/>
              <w:bottom w:val="single" w:sz="4" w:space="0" w:color="auto"/>
              <w:right w:val="single" w:sz="4" w:space="0" w:color="auto"/>
            </w:tcBorders>
            <w:noWrap/>
            <w:hideMark/>
          </w:tcPr>
          <w:p w14:paraId="7469AD2B" w14:textId="77777777" w:rsidR="00ED1222" w:rsidRPr="00ED1222" w:rsidRDefault="00ED1222" w:rsidP="00ED1222">
            <w:pPr>
              <w:spacing w:after="120"/>
              <w:ind w:left="567" w:hanging="567"/>
              <w:rPr>
                <w:bCs/>
              </w:rPr>
            </w:pPr>
            <w:r w:rsidRPr="00ED1222">
              <w:rPr>
                <w:bCs/>
              </w:rPr>
              <w:t>Muu (eurodes)</w:t>
            </w:r>
          </w:p>
        </w:tc>
      </w:tr>
      <w:tr w:rsidR="00ED1222" w:rsidRPr="00ED1222" w14:paraId="7F7C1E51" w14:textId="77777777" w:rsidTr="00204451">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50197067" w14:textId="77777777" w:rsidR="00ED1222" w:rsidRPr="00ED1222" w:rsidRDefault="00ED1222" w:rsidP="00ED1222">
            <w:pPr>
              <w:spacing w:after="120"/>
              <w:ind w:left="567" w:hanging="567"/>
              <w:rPr>
                <w:b/>
                <w:bCs/>
              </w:rPr>
            </w:pPr>
            <w:r w:rsidRPr="00ED1222">
              <w:rPr>
                <w:b/>
              </w:rPr>
              <w:t>ACER</w:t>
            </w:r>
          </w:p>
        </w:tc>
        <w:tc>
          <w:tcPr>
            <w:tcW w:w="1630" w:type="dxa"/>
            <w:tcBorders>
              <w:top w:val="single" w:sz="4" w:space="0" w:color="auto"/>
              <w:left w:val="single" w:sz="4" w:space="0" w:color="auto"/>
              <w:bottom w:val="single" w:sz="4" w:space="0" w:color="auto"/>
              <w:right w:val="single" w:sz="4" w:space="0" w:color="auto"/>
            </w:tcBorders>
            <w:noWrap/>
            <w:hideMark/>
          </w:tcPr>
          <w:p w14:paraId="7AF9FCC6" w14:textId="77777777" w:rsidR="00ED1222" w:rsidRPr="00ED1222" w:rsidRDefault="00ED1222" w:rsidP="00ED1222">
            <w:pPr>
              <w:spacing w:after="120"/>
              <w:ind w:left="567" w:hanging="567"/>
              <w:rPr>
                <w:bCs/>
              </w:rPr>
            </w:pPr>
            <w:r w:rsidRPr="00ED1222">
              <w:rPr>
                <w:bCs/>
              </w:rPr>
              <w:t>29 576 964</w:t>
            </w:r>
          </w:p>
        </w:tc>
        <w:tc>
          <w:tcPr>
            <w:tcW w:w="1280" w:type="dxa"/>
            <w:tcBorders>
              <w:top w:val="single" w:sz="4" w:space="0" w:color="auto"/>
              <w:left w:val="single" w:sz="4" w:space="0" w:color="auto"/>
              <w:bottom w:val="single" w:sz="4" w:space="0" w:color="auto"/>
              <w:right w:val="single" w:sz="4" w:space="0" w:color="auto"/>
            </w:tcBorders>
            <w:noWrap/>
            <w:hideMark/>
          </w:tcPr>
          <w:p w14:paraId="63634491" w14:textId="77777777" w:rsidR="00ED1222" w:rsidRPr="00ED1222" w:rsidRDefault="00ED1222" w:rsidP="00ED1222">
            <w:pPr>
              <w:spacing w:after="120"/>
              <w:ind w:left="567" w:hanging="567"/>
              <w:rPr>
                <w:bCs/>
              </w:rPr>
            </w:pPr>
            <w:r w:rsidRPr="00ED1222">
              <w:rPr>
                <w:bCs/>
              </w:rPr>
              <w:t>19 418 599</w:t>
            </w:r>
          </w:p>
        </w:tc>
        <w:tc>
          <w:tcPr>
            <w:tcW w:w="696" w:type="dxa"/>
            <w:tcBorders>
              <w:top w:val="single" w:sz="4" w:space="0" w:color="auto"/>
              <w:left w:val="single" w:sz="4" w:space="0" w:color="auto"/>
              <w:bottom w:val="single" w:sz="4" w:space="0" w:color="auto"/>
              <w:right w:val="single" w:sz="4" w:space="0" w:color="auto"/>
            </w:tcBorders>
            <w:noWrap/>
            <w:hideMark/>
          </w:tcPr>
          <w:p w14:paraId="724A6CA1" w14:textId="77777777" w:rsidR="00ED1222" w:rsidRPr="00ED1222" w:rsidRDefault="00ED1222" w:rsidP="00ED1222">
            <w:pPr>
              <w:spacing w:after="120"/>
              <w:ind w:left="567" w:hanging="567"/>
              <w:rPr>
                <w:bCs/>
              </w:rPr>
            </w:pPr>
            <w:r w:rsidRPr="00ED1222">
              <w:rPr>
                <w:bCs/>
              </w:rPr>
              <w:t>66</w:t>
            </w:r>
          </w:p>
        </w:tc>
        <w:tc>
          <w:tcPr>
            <w:tcW w:w="1461" w:type="dxa"/>
            <w:tcBorders>
              <w:top w:val="single" w:sz="4" w:space="0" w:color="auto"/>
              <w:left w:val="single" w:sz="4" w:space="0" w:color="auto"/>
              <w:bottom w:val="single" w:sz="4" w:space="0" w:color="auto"/>
              <w:right w:val="single" w:sz="4" w:space="0" w:color="auto"/>
            </w:tcBorders>
            <w:noWrap/>
            <w:hideMark/>
          </w:tcPr>
          <w:p w14:paraId="2C36434B" w14:textId="77777777" w:rsidR="00ED1222" w:rsidRPr="00ED1222" w:rsidRDefault="00ED1222" w:rsidP="00ED1222">
            <w:pPr>
              <w:spacing w:after="120"/>
              <w:ind w:left="567" w:hanging="567"/>
              <w:rPr>
                <w:bCs/>
              </w:rPr>
            </w:pPr>
            <w:r w:rsidRPr="00ED1222">
              <w:rPr>
                <w:bCs/>
              </w:rPr>
              <w:t>10 158 245</w:t>
            </w:r>
          </w:p>
        </w:tc>
        <w:tc>
          <w:tcPr>
            <w:tcW w:w="664" w:type="dxa"/>
            <w:tcBorders>
              <w:top w:val="single" w:sz="4" w:space="0" w:color="auto"/>
              <w:left w:val="single" w:sz="4" w:space="0" w:color="auto"/>
              <w:bottom w:val="single" w:sz="4" w:space="0" w:color="auto"/>
              <w:right w:val="single" w:sz="4" w:space="0" w:color="auto"/>
            </w:tcBorders>
            <w:noWrap/>
            <w:hideMark/>
          </w:tcPr>
          <w:p w14:paraId="38C04FD1" w14:textId="77777777" w:rsidR="00ED1222" w:rsidRPr="00ED1222" w:rsidRDefault="00ED1222" w:rsidP="00ED1222">
            <w:pPr>
              <w:spacing w:after="120"/>
              <w:ind w:left="567" w:hanging="567"/>
              <w:rPr>
                <w:bCs/>
              </w:rPr>
            </w:pPr>
            <w:r w:rsidRPr="00ED1222">
              <w:rPr>
                <w:bCs/>
              </w:rPr>
              <w:t>34</w:t>
            </w:r>
          </w:p>
        </w:tc>
        <w:tc>
          <w:tcPr>
            <w:tcW w:w="1300" w:type="dxa"/>
            <w:tcBorders>
              <w:top w:val="single" w:sz="4" w:space="0" w:color="auto"/>
              <w:left w:val="single" w:sz="4" w:space="0" w:color="auto"/>
              <w:bottom w:val="single" w:sz="4" w:space="0" w:color="auto"/>
              <w:right w:val="single" w:sz="4" w:space="0" w:color="auto"/>
            </w:tcBorders>
            <w:noWrap/>
            <w:hideMark/>
          </w:tcPr>
          <w:p w14:paraId="44C2C7E9" w14:textId="77777777" w:rsidR="00ED1222" w:rsidRPr="00ED1222" w:rsidRDefault="00ED1222" w:rsidP="00ED1222">
            <w:pPr>
              <w:spacing w:after="120"/>
              <w:ind w:left="567" w:hanging="567"/>
              <w:rPr>
                <w:bCs/>
              </w:rPr>
            </w:pPr>
            <w:r w:rsidRPr="00ED1222">
              <w:rPr>
                <w:bCs/>
              </w:rPr>
              <w:t>120</w:t>
            </w:r>
          </w:p>
        </w:tc>
      </w:tr>
      <w:tr w:rsidR="00ED1222" w:rsidRPr="00ED1222" w14:paraId="0619BD54" w14:textId="77777777" w:rsidTr="00204451">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57A4001C" w14:textId="77777777" w:rsidR="00ED1222" w:rsidRPr="00ED1222" w:rsidRDefault="00ED1222" w:rsidP="00ED1222">
            <w:pPr>
              <w:spacing w:after="120"/>
              <w:ind w:left="567" w:hanging="567"/>
              <w:rPr>
                <w:b/>
                <w:bCs/>
              </w:rPr>
            </w:pPr>
            <w:r w:rsidRPr="00ED1222">
              <w:rPr>
                <w:b/>
              </w:rPr>
              <w:t xml:space="preserve">CDT </w:t>
            </w:r>
          </w:p>
        </w:tc>
        <w:tc>
          <w:tcPr>
            <w:tcW w:w="1630" w:type="dxa"/>
            <w:tcBorders>
              <w:top w:val="single" w:sz="4" w:space="0" w:color="auto"/>
              <w:left w:val="single" w:sz="4" w:space="0" w:color="auto"/>
              <w:bottom w:val="single" w:sz="4" w:space="0" w:color="auto"/>
              <w:right w:val="single" w:sz="4" w:space="0" w:color="auto"/>
            </w:tcBorders>
            <w:noWrap/>
            <w:hideMark/>
          </w:tcPr>
          <w:p w14:paraId="49A52796" w14:textId="77777777" w:rsidR="00ED1222" w:rsidRPr="00ED1222" w:rsidRDefault="00ED1222" w:rsidP="00ED1222">
            <w:pPr>
              <w:spacing w:after="120"/>
              <w:ind w:left="567" w:hanging="567"/>
              <w:rPr>
                <w:bCs/>
              </w:rPr>
            </w:pPr>
            <w:r w:rsidRPr="00ED1222">
              <w:rPr>
                <w:bCs/>
              </w:rPr>
              <w:t>47 140 900</w:t>
            </w:r>
          </w:p>
        </w:tc>
        <w:tc>
          <w:tcPr>
            <w:tcW w:w="1280" w:type="dxa"/>
            <w:tcBorders>
              <w:top w:val="single" w:sz="4" w:space="0" w:color="auto"/>
              <w:left w:val="single" w:sz="4" w:space="0" w:color="auto"/>
              <w:bottom w:val="single" w:sz="4" w:space="0" w:color="auto"/>
              <w:right w:val="single" w:sz="4" w:space="0" w:color="auto"/>
            </w:tcBorders>
            <w:noWrap/>
            <w:hideMark/>
          </w:tcPr>
          <w:p w14:paraId="5FEC712B" w14:textId="77777777" w:rsidR="00ED1222" w:rsidRPr="00ED1222" w:rsidRDefault="00ED1222" w:rsidP="00ED1222">
            <w:pPr>
              <w:spacing w:after="120"/>
              <w:ind w:left="567" w:hanging="567"/>
              <w:rPr>
                <w:bCs/>
              </w:rPr>
            </w:pPr>
            <w:r w:rsidRPr="00ED1222">
              <w:rPr>
                <w:bCs/>
              </w:rPr>
              <w:t>0</w:t>
            </w:r>
          </w:p>
        </w:tc>
        <w:tc>
          <w:tcPr>
            <w:tcW w:w="696" w:type="dxa"/>
            <w:tcBorders>
              <w:top w:val="single" w:sz="4" w:space="0" w:color="auto"/>
              <w:left w:val="single" w:sz="4" w:space="0" w:color="auto"/>
              <w:bottom w:val="single" w:sz="4" w:space="0" w:color="auto"/>
              <w:right w:val="single" w:sz="4" w:space="0" w:color="auto"/>
            </w:tcBorders>
            <w:noWrap/>
            <w:hideMark/>
          </w:tcPr>
          <w:p w14:paraId="0CBE69FF" w14:textId="77777777" w:rsidR="00ED1222" w:rsidRPr="00ED1222" w:rsidRDefault="00ED1222" w:rsidP="00ED1222">
            <w:pPr>
              <w:spacing w:after="120"/>
              <w:ind w:left="567" w:hanging="567"/>
              <w:rPr>
                <w:bCs/>
              </w:rPr>
            </w:pPr>
            <w:r w:rsidRPr="00ED1222">
              <w:rPr>
                <w:bCs/>
              </w:rPr>
              <w:t>0</w:t>
            </w:r>
          </w:p>
        </w:tc>
        <w:tc>
          <w:tcPr>
            <w:tcW w:w="1461" w:type="dxa"/>
            <w:tcBorders>
              <w:top w:val="single" w:sz="4" w:space="0" w:color="auto"/>
              <w:left w:val="single" w:sz="4" w:space="0" w:color="auto"/>
              <w:bottom w:val="single" w:sz="4" w:space="0" w:color="auto"/>
              <w:right w:val="single" w:sz="4" w:space="0" w:color="auto"/>
            </w:tcBorders>
            <w:noWrap/>
            <w:hideMark/>
          </w:tcPr>
          <w:p w14:paraId="7FF51A46" w14:textId="77777777" w:rsidR="00ED1222" w:rsidRPr="00ED1222" w:rsidRDefault="00ED1222" w:rsidP="00ED1222">
            <w:pPr>
              <w:spacing w:after="120"/>
              <w:ind w:left="567" w:hanging="567"/>
              <w:rPr>
                <w:bCs/>
              </w:rPr>
            </w:pPr>
            <w:r w:rsidRPr="00ED1222">
              <w:rPr>
                <w:bCs/>
              </w:rPr>
              <w:t>46 295 800</w:t>
            </w:r>
          </w:p>
        </w:tc>
        <w:tc>
          <w:tcPr>
            <w:tcW w:w="664" w:type="dxa"/>
            <w:tcBorders>
              <w:top w:val="single" w:sz="4" w:space="0" w:color="auto"/>
              <w:left w:val="single" w:sz="4" w:space="0" w:color="auto"/>
              <w:bottom w:val="single" w:sz="4" w:space="0" w:color="auto"/>
              <w:right w:val="single" w:sz="4" w:space="0" w:color="auto"/>
            </w:tcBorders>
            <w:noWrap/>
            <w:hideMark/>
          </w:tcPr>
          <w:p w14:paraId="78FDE9EF" w14:textId="77777777" w:rsidR="00ED1222" w:rsidRPr="00ED1222" w:rsidRDefault="00ED1222" w:rsidP="00ED1222">
            <w:pPr>
              <w:spacing w:after="120"/>
              <w:ind w:left="567" w:hanging="567"/>
              <w:rPr>
                <w:bCs/>
              </w:rPr>
            </w:pPr>
            <w:r w:rsidRPr="00ED1222">
              <w:rPr>
                <w:bCs/>
              </w:rPr>
              <w:t>98</w:t>
            </w:r>
          </w:p>
        </w:tc>
        <w:tc>
          <w:tcPr>
            <w:tcW w:w="1300" w:type="dxa"/>
            <w:tcBorders>
              <w:top w:val="single" w:sz="4" w:space="0" w:color="auto"/>
              <w:left w:val="single" w:sz="4" w:space="0" w:color="auto"/>
              <w:bottom w:val="single" w:sz="4" w:space="0" w:color="auto"/>
              <w:right w:val="single" w:sz="4" w:space="0" w:color="auto"/>
            </w:tcBorders>
            <w:noWrap/>
            <w:hideMark/>
          </w:tcPr>
          <w:p w14:paraId="4004756D" w14:textId="77777777" w:rsidR="00ED1222" w:rsidRPr="00ED1222" w:rsidRDefault="00ED1222" w:rsidP="00ED1222">
            <w:pPr>
              <w:spacing w:after="120"/>
              <w:ind w:left="567" w:hanging="567"/>
              <w:rPr>
                <w:bCs/>
              </w:rPr>
            </w:pPr>
            <w:r w:rsidRPr="00ED1222">
              <w:rPr>
                <w:bCs/>
              </w:rPr>
              <w:t>845 100</w:t>
            </w:r>
          </w:p>
        </w:tc>
      </w:tr>
      <w:tr w:rsidR="00ED1222" w:rsidRPr="00ED1222" w14:paraId="2AEFCE57" w14:textId="77777777" w:rsidTr="00204451">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2480F41E" w14:textId="77777777" w:rsidR="00ED1222" w:rsidRPr="00ED1222" w:rsidRDefault="00ED1222" w:rsidP="00ED1222">
            <w:pPr>
              <w:spacing w:after="120"/>
              <w:ind w:left="567" w:hanging="567"/>
              <w:rPr>
                <w:b/>
                <w:bCs/>
              </w:rPr>
            </w:pPr>
            <w:r w:rsidRPr="00ED1222">
              <w:rPr>
                <w:b/>
              </w:rPr>
              <w:t xml:space="preserve">EASA </w:t>
            </w:r>
          </w:p>
        </w:tc>
        <w:tc>
          <w:tcPr>
            <w:tcW w:w="1630" w:type="dxa"/>
            <w:tcBorders>
              <w:top w:val="single" w:sz="4" w:space="0" w:color="auto"/>
              <w:left w:val="single" w:sz="4" w:space="0" w:color="auto"/>
              <w:bottom w:val="single" w:sz="4" w:space="0" w:color="auto"/>
              <w:right w:val="single" w:sz="4" w:space="0" w:color="auto"/>
            </w:tcBorders>
            <w:noWrap/>
            <w:hideMark/>
          </w:tcPr>
          <w:p w14:paraId="0221EA02" w14:textId="77777777" w:rsidR="00ED1222" w:rsidRPr="00ED1222" w:rsidRDefault="00ED1222" w:rsidP="00ED1222">
            <w:pPr>
              <w:spacing w:after="120"/>
              <w:ind w:left="567" w:hanging="567"/>
              <w:rPr>
                <w:bCs/>
              </w:rPr>
            </w:pPr>
            <w:r w:rsidRPr="00ED1222">
              <w:rPr>
                <w:bCs/>
              </w:rPr>
              <w:t>169 665 375</w:t>
            </w:r>
          </w:p>
        </w:tc>
        <w:tc>
          <w:tcPr>
            <w:tcW w:w="1280" w:type="dxa"/>
            <w:tcBorders>
              <w:top w:val="single" w:sz="4" w:space="0" w:color="auto"/>
              <w:left w:val="single" w:sz="4" w:space="0" w:color="auto"/>
              <w:bottom w:val="single" w:sz="4" w:space="0" w:color="auto"/>
              <w:right w:val="single" w:sz="4" w:space="0" w:color="auto"/>
            </w:tcBorders>
            <w:noWrap/>
            <w:hideMark/>
          </w:tcPr>
          <w:p w14:paraId="6A1B10A9" w14:textId="77777777" w:rsidR="00ED1222" w:rsidRPr="00ED1222" w:rsidRDefault="00ED1222" w:rsidP="00ED1222">
            <w:pPr>
              <w:spacing w:after="120"/>
              <w:ind w:left="567" w:hanging="567"/>
              <w:rPr>
                <w:bCs/>
              </w:rPr>
            </w:pPr>
            <w:r w:rsidRPr="00ED1222">
              <w:rPr>
                <w:bCs/>
              </w:rPr>
              <w:t>44 329 433</w:t>
            </w:r>
          </w:p>
        </w:tc>
        <w:tc>
          <w:tcPr>
            <w:tcW w:w="696" w:type="dxa"/>
            <w:tcBorders>
              <w:top w:val="single" w:sz="4" w:space="0" w:color="auto"/>
              <w:left w:val="single" w:sz="4" w:space="0" w:color="auto"/>
              <w:bottom w:val="single" w:sz="4" w:space="0" w:color="auto"/>
              <w:right w:val="single" w:sz="4" w:space="0" w:color="auto"/>
            </w:tcBorders>
            <w:noWrap/>
            <w:hideMark/>
          </w:tcPr>
          <w:p w14:paraId="2B5B1D9B" w14:textId="77777777" w:rsidR="00ED1222" w:rsidRPr="00ED1222" w:rsidRDefault="00ED1222" w:rsidP="00ED1222">
            <w:pPr>
              <w:spacing w:after="120"/>
              <w:ind w:left="567" w:hanging="567"/>
              <w:rPr>
                <w:bCs/>
              </w:rPr>
            </w:pPr>
            <w:r w:rsidRPr="00ED1222">
              <w:rPr>
                <w:bCs/>
              </w:rPr>
              <w:t>26</w:t>
            </w:r>
          </w:p>
        </w:tc>
        <w:tc>
          <w:tcPr>
            <w:tcW w:w="1461" w:type="dxa"/>
            <w:tcBorders>
              <w:top w:val="single" w:sz="4" w:space="0" w:color="auto"/>
              <w:left w:val="single" w:sz="4" w:space="0" w:color="auto"/>
              <w:bottom w:val="single" w:sz="4" w:space="0" w:color="auto"/>
              <w:right w:val="single" w:sz="4" w:space="0" w:color="auto"/>
            </w:tcBorders>
            <w:noWrap/>
            <w:hideMark/>
          </w:tcPr>
          <w:p w14:paraId="618B979A" w14:textId="77777777" w:rsidR="00ED1222" w:rsidRPr="00ED1222" w:rsidRDefault="00ED1222" w:rsidP="00ED1222">
            <w:pPr>
              <w:spacing w:after="120"/>
              <w:ind w:left="567" w:hanging="567"/>
              <w:rPr>
                <w:bCs/>
              </w:rPr>
            </w:pPr>
            <w:r w:rsidRPr="00ED1222">
              <w:rPr>
                <w:bCs/>
              </w:rPr>
              <w:t>120 937 434</w:t>
            </w:r>
          </w:p>
        </w:tc>
        <w:tc>
          <w:tcPr>
            <w:tcW w:w="664" w:type="dxa"/>
            <w:tcBorders>
              <w:top w:val="single" w:sz="4" w:space="0" w:color="auto"/>
              <w:left w:val="single" w:sz="4" w:space="0" w:color="auto"/>
              <w:bottom w:val="single" w:sz="4" w:space="0" w:color="auto"/>
              <w:right w:val="single" w:sz="4" w:space="0" w:color="auto"/>
            </w:tcBorders>
            <w:noWrap/>
            <w:hideMark/>
          </w:tcPr>
          <w:p w14:paraId="4343D60C" w14:textId="77777777" w:rsidR="00ED1222" w:rsidRPr="00ED1222" w:rsidRDefault="00ED1222" w:rsidP="00ED1222">
            <w:pPr>
              <w:spacing w:after="120"/>
              <w:ind w:left="567" w:hanging="567"/>
              <w:rPr>
                <w:bCs/>
              </w:rPr>
            </w:pPr>
            <w:r w:rsidRPr="00ED1222">
              <w:rPr>
                <w:bCs/>
              </w:rPr>
              <w:t>71</w:t>
            </w:r>
          </w:p>
        </w:tc>
        <w:tc>
          <w:tcPr>
            <w:tcW w:w="1300" w:type="dxa"/>
            <w:tcBorders>
              <w:top w:val="single" w:sz="4" w:space="0" w:color="auto"/>
              <w:left w:val="single" w:sz="4" w:space="0" w:color="auto"/>
              <w:bottom w:val="single" w:sz="4" w:space="0" w:color="auto"/>
              <w:right w:val="single" w:sz="4" w:space="0" w:color="auto"/>
            </w:tcBorders>
            <w:noWrap/>
            <w:hideMark/>
          </w:tcPr>
          <w:p w14:paraId="1C7761CE" w14:textId="77777777" w:rsidR="00ED1222" w:rsidRPr="00ED1222" w:rsidRDefault="00ED1222" w:rsidP="00ED1222">
            <w:pPr>
              <w:spacing w:after="120"/>
              <w:ind w:left="567" w:hanging="567"/>
              <w:rPr>
                <w:bCs/>
              </w:rPr>
            </w:pPr>
            <w:r w:rsidRPr="00ED1222">
              <w:rPr>
                <w:bCs/>
              </w:rPr>
              <w:t>4 398 508</w:t>
            </w:r>
          </w:p>
        </w:tc>
      </w:tr>
      <w:tr w:rsidR="00ED1222" w:rsidRPr="00ED1222" w14:paraId="52789AC5" w14:textId="77777777" w:rsidTr="00204451">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4CCBA36A" w14:textId="77777777" w:rsidR="00ED1222" w:rsidRPr="00ED1222" w:rsidRDefault="00ED1222" w:rsidP="00ED1222">
            <w:pPr>
              <w:spacing w:after="120"/>
              <w:ind w:left="567" w:hanging="567"/>
              <w:rPr>
                <w:b/>
                <w:bCs/>
              </w:rPr>
            </w:pPr>
            <w:r w:rsidRPr="00ED1222">
              <w:rPr>
                <w:b/>
              </w:rPr>
              <w:t>EBA</w:t>
            </w:r>
          </w:p>
        </w:tc>
        <w:tc>
          <w:tcPr>
            <w:tcW w:w="1630" w:type="dxa"/>
            <w:tcBorders>
              <w:top w:val="single" w:sz="4" w:space="0" w:color="auto"/>
              <w:left w:val="single" w:sz="4" w:space="0" w:color="auto"/>
              <w:bottom w:val="single" w:sz="4" w:space="0" w:color="auto"/>
              <w:right w:val="single" w:sz="4" w:space="0" w:color="auto"/>
            </w:tcBorders>
            <w:noWrap/>
            <w:hideMark/>
          </w:tcPr>
          <w:p w14:paraId="3B49021C" w14:textId="77777777" w:rsidR="00ED1222" w:rsidRPr="00ED1222" w:rsidRDefault="00ED1222" w:rsidP="00ED1222">
            <w:pPr>
              <w:spacing w:after="120"/>
              <w:ind w:left="567" w:hanging="567"/>
              <w:rPr>
                <w:bCs/>
              </w:rPr>
            </w:pPr>
            <w:r w:rsidRPr="00ED1222">
              <w:rPr>
                <w:bCs/>
              </w:rPr>
              <w:t>52 672 002</w:t>
            </w:r>
          </w:p>
        </w:tc>
        <w:tc>
          <w:tcPr>
            <w:tcW w:w="1280" w:type="dxa"/>
            <w:tcBorders>
              <w:top w:val="single" w:sz="4" w:space="0" w:color="auto"/>
              <w:left w:val="single" w:sz="4" w:space="0" w:color="auto"/>
              <w:bottom w:val="single" w:sz="4" w:space="0" w:color="auto"/>
              <w:right w:val="single" w:sz="4" w:space="0" w:color="auto"/>
            </w:tcBorders>
            <w:noWrap/>
            <w:hideMark/>
          </w:tcPr>
          <w:p w14:paraId="7AE2B586" w14:textId="77777777" w:rsidR="00ED1222" w:rsidRPr="00ED1222" w:rsidRDefault="00ED1222" w:rsidP="00ED1222">
            <w:pPr>
              <w:spacing w:after="120"/>
              <w:ind w:left="567" w:hanging="567"/>
              <w:rPr>
                <w:bCs/>
              </w:rPr>
            </w:pPr>
            <w:r w:rsidRPr="00ED1222">
              <w:rPr>
                <w:bCs/>
              </w:rPr>
              <w:t>19 428 306</w:t>
            </w:r>
          </w:p>
        </w:tc>
        <w:tc>
          <w:tcPr>
            <w:tcW w:w="696" w:type="dxa"/>
            <w:tcBorders>
              <w:top w:val="single" w:sz="4" w:space="0" w:color="auto"/>
              <w:left w:val="single" w:sz="4" w:space="0" w:color="auto"/>
              <w:bottom w:val="single" w:sz="4" w:space="0" w:color="auto"/>
              <w:right w:val="single" w:sz="4" w:space="0" w:color="auto"/>
            </w:tcBorders>
            <w:noWrap/>
            <w:hideMark/>
          </w:tcPr>
          <w:p w14:paraId="665ACF36" w14:textId="77777777" w:rsidR="00ED1222" w:rsidRPr="00ED1222" w:rsidRDefault="00ED1222" w:rsidP="00ED1222">
            <w:pPr>
              <w:spacing w:after="120"/>
              <w:ind w:left="567" w:hanging="567"/>
              <w:rPr>
                <w:bCs/>
              </w:rPr>
            </w:pPr>
            <w:r w:rsidRPr="00ED1222">
              <w:rPr>
                <w:bCs/>
              </w:rPr>
              <w:t>37</w:t>
            </w:r>
          </w:p>
        </w:tc>
        <w:tc>
          <w:tcPr>
            <w:tcW w:w="1461" w:type="dxa"/>
            <w:tcBorders>
              <w:top w:val="single" w:sz="4" w:space="0" w:color="auto"/>
              <w:left w:val="single" w:sz="4" w:space="0" w:color="auto"/>
              <w:bottom w:val="single" w:sz="4" w:space="0" w:color="auto"/>
              <w:right w:val="single" w:sz="4" w:space="0" w:color="auto"/>
            </w:tcBorders>
            <w:noWrap/>
            <w:hideMark/>
          </w:tcPr>
          <w:p w14:paraId="44CC3C6F" w14:textId="77777777" w:rsidR="00ED1222" w:rsidRPr="00ED1222" w:rsidRDefault="00ED1222" w:rsidP="00ED1222">
            <w:pPr>
              <w:spacing w:after="120"/>
              <w:ind w:left="567" w:hanging="567"/>
              <w:rPr>
                <w:bCs/>
              </w:rPr>
            </w:pPr>
            <w:r w:rsidRPr="00ED1222">
              <w:rPr>
                <w:bCs/>
              </w:rPr>
              <w:t>31 479 331</w:t>
            </w:r>
          </w:p>
        </w:tc>
        <w:tc>
          <w:tcPr>
            <w:tcW w:w="664" w:type="dxa"/>
            <w:tcBorders>
              <w:top w:val="single" w:sz="4" w:space="0" w:color="auto"/>
              <w:left w:val="single" w:sz="4" w:space="0" w:color="auto"/>
              <w:bottom w:val="single" w:sz="4" w:space="0" w:color="auto"/>
              <w:right w:val="single" w:sz="4" w:space="0" w:color="auto"/>
            </w:tcBorders>
            <w:noWrap/>
            <w:hideMark/>
          </w:tcPr>
          <w:p w14:paraId="6A3744CA" w14:textId="77777777" w:rsidR="00ED1222" w:rsidRPr="00ED1222" w:rsidRDefault="00ED1222" w:rsidP="00ED1222">
            <w:pPr>
              <w:spacing w:after="120"/>
              <w:ind w:left="567" w:hanging="567"/>
              <w:rPr>
                <w:bCs/>
              </w:rPr>
            </w:pPr>
            <w:r w:rsidRPr="00ED1222">
              <w:rPr>
                <w:bCs/>
              </w:rPr>
              <w:t>60</w:t>
            </w:r>
          </w:p>
        </w:tc>
        <w:tc>
          <w:tcPr>
            <w:tcW w:w="1300" w:type="dxa"/>
            <w:tcBorders>
              <w:top w:val="single" w:sz="4" w:space="0" w:color="auto"/>
              <w:left w:val="single" w:sz="4" w:space="0" w:color="auto"/>
              <w:bottom w:val="single" w:sz="4" w:space="0" w:color="auto"/>
              <w:right w:val="single" w:sz="4" w:space="0" w:color="auto"/>
            </w:tcBorders>
            <w:noWrap/>
            <w:hideMark/>
          </w:tcPr>
          <w:p w14:paraId="6556EABF" w14:textId="77777777" w:rsidR="00ED1222" w:rsidRPr="00ED1222" w:rsidRDefault="00ED1222" w:rsidP="00ED1222">
            <w:pPr>
              <w:spacing w:after="120"/>
              <w:ind w:left="567" w:hanging="567"/>
              <w:rPr>
                <w:bCs/>
              </w:rPr>
            </w:pPr>
            <w:r w:rsidRPr="00ED1222">
              <w:rPr>
                <w:bCs/>
              </w:rPr>
              <w:t>1 764 364</w:t>
            </w:r>
          </w:p>
        </w:tc>
      </w:tr>
      <w:tr w:rsidR="00ED1222" w:rsidRPr="00ED1222" w14:paraId="792679F7" w14:textId="77777777" w:rsidTr="00204451">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77D65B4B" w14:textId="77777777" w:rsidR="00ED1222" w:rsidRPr="00ED1222" w:rsidRDefault="00ED1222" w:rsidP="00ED1222">
            <w:pPr>
              <w:spacing w:after="120"/>
              <w:ind w:left="567" w:hanging="567"/>
              <w:rPr>
                <w:b/>
                <w:bCs/>
              </w:rPr>
            </w:pPr>
            <w:r w:rsidRPr="00ED1222">
              <w:rPr>
                <w:b/>
              </w:rPr>
              <w:t xml:space="preserve">ECHA </w:t>
            </w:r>
          </w:p>
        </w:tc>
        <w:tc>
          <w:tcPr>
            <w:tcW w:w="1630" w:type="dxa"/>
            <w:tcBorders>
              <w:top w:val="single" w:sz="4" w:space="0" w:color="auto"/>
              <w:left w:val="single" w:sz="4" w:space="0" w:color="auto"/>
              <w:bottom w:val="single" w:sz="4" w:space="0" w:color="auto"/>
              <w:right w:val="single" w:sz="4" w:space="0" w:color="auto"/>
            </w:tcBorders>
            <w:noWrap/>
            <w:hideMark/>
          </w:tcPr>
          <w:p w14:paraId="75794361" w14:textId="77777777" w:rsidR="00ED1222" w:rsidRPr="00ED1222" w:rsidRDefault="00ED1222" w:rsidP="00ED1222">
            <w:pPr>
              <w:spacing w:after="120"/>
              <w:ind w:left="567" w:hanging="567"/>
              <w:rPr>
                <w:bCs/>
              </w:rPr>
            </w:pPr>
            <w:r w:rsidRPr="00ED1222">
              <w:rPr>
                <w:bCs/>
              </w:rPr>
              <w:t>123 280 140</w:t>
            </w:r>
          </w:p>
        </w:tc>
        <w:tc>
          <w:tcPr>
            <w:tcW w:w="1280" w:type="dxa"/>
            <w:tcBorders>
              <w:top w:val="single" w:sz="4" w:space="0" w:color="auto"/>
              <w:left w:val="single" w:sz="4" w:space="0" w:color="auto"/>
              <w:bottom w:val="single" w:sz="4" w:space="0" w:color="auto"/>
              <w:right w:val="single" w:sz="4" w:space="0" w:color="auto"/>
            </w:tcBorders>
            <w:noWrap/>
            <w:hideMark/>
          </w:tcPr>
          <w:p w14:paraId="481AD93F" w14:textId="77777777" w:rsidR="00ED1222" w:rsidRPr="00ED1222" w:rsidRDefault="00ED1222" w:rsidP="00ED1222">
            <w:pPr>
              <w:spacing w:after="120"/>
              <w:ind w:left="567" w:hanging="567"/>
              <w:rPr>
                <w:bCs/>
              </w:rPr>
            </w:pPr>
            <w:r w:rsidRPr="00ED1222">
              <w:rPr>
                <w:bCs/>
              </w:rPr>
              <w:t>81 274 568</w:t>
            </w:r>
          </w:p>
        </w:tc>
        <w:tc>
          <w:tcPr>
            <w:tcW w:w="696" w:type="dxa"/>
            <w:tcBorders>
              <w:top w:val="single" w:sz="4" w:space="0" w:color="auto"/>
              <w:left w:val="single" w:sz="4" w:space="0" w:color="auto"/>
              <w:bottom w:val="single" w:sz="4" w:space="0" w:color="auto"/>
              <w:right w:val="single" w:sz="4" w:space="0" w:color="auto"/>
            </w:tcBorders>
            <w:noWrap/>
            <w:hideMark/>
          </w:tcPr>
          <w:p w14:paraId="490D2D36" w14:textId="77777777" w:rsidR="00ED1222" w:rsidRPr="00ED1222" w:rsidRDefault="00ED1222" w:rsidP="00ED1222">
            <w:pPr>
              <w:spacing w:after="120"/>
              <w:ind w:left="567" w:hanging="567"/>
              <w:rPr>
                <w:bCs/>
              </w:rPr>
            </w:pPr>
            <w:r w:rsidRPr="00ED1222">
              <w:rPr>
                <w:bCs/>
              </w:rPr>
              <w:t>66</w:t>
            </w:r>
          </w:p>
        </w:tc>
        <w:tc>
          <w:tcPr>
            <w:tcW w:w="1461" w:type="dxa"/>
            <w:tcBorders>
              <w:top w:val="single" w:sz="4" w:space="0" w:color="auto"/>
              <w:left w:val="single" w:sz="4" w:space="0" w:color="auto"/>
              <w:bottom w:val="single" w:sz="4" w:space="0" w:color="auto"/>
              <w:right w:val="single" w:sz="4" w:space="0" w:color="auto"/>
            </w:tcBorders>
            <w:noWrap/>
            <w:hideMark/>
          </w:tcPr>
          <w:p w14:paraId="198C5CF7" w14:textId="77777777" w:rsidR="00ED1222" w:rsidRPr="00ED1222" w:rsidRDefault="00ED1222" w:rsidP="00ED1222">
            <w:pPr>
              <w:spacing w:after="120"/>
              <w:ind w:left="567" w:hanging="567"/>
              <w:rPr>
                <w:bCs/>
              </w:rPr>
            </w:pPr>
            <w:r w:rsidRPr="00ED1222">
              <w:rPr>
                <w:bCs/>
              </w:rPr>
              <w:t>33 107 484</w:t>
            </w:r>
          </w:p>
        </w:tc>
        <w:tc>
          <w:tcPr>
            <w:tcW w:w="664" w:type="dxa"/>
            <w:tcBorders>
              <w:top w:val="single" w:sz="4" w:space="0" w:color="auto"/>
              <w:left w:val="single" w:sz="4" w:space="0" w:color="auto"/>
              <w:bottom w:val="single" w:sz="4" w:space="0" w:color="auto"/>
              <w:right w:val="single" w:sz="4" w:space="0" w:color="auto"/>
            </w:tcBorders>
            <w:noWrap/>
            <w:hideMark/>
          </w:tcPr>
          <w:p w14:paraId="38D73C3C" w14:textId="77777777" w:rsidR="00ED1222" w:rsidRPr="00ED1222" w:rsidRDefault="00ED1222" w:rsidP="00ED1222">
            <w:pPr>
              <w:spacing w:after="120"/>
              <w:ind w:left="567" w:hanging="567"/>
              <w:rPr>
                <w:bCs/>
              </w:rPr>
            </w:pPr>
            <w:r w:rsidRPr="00ED1222">
              <w:rPr>
                <w:bCs/>
              </w:rPr>
              <w:t>27</w:t>
            </w:r>
          </w:p>
        </w:tc>
        <w:tc>
          <w:tcPr>
            <w:tcW w:w="1300" w:type="dxa"/>
            <w:tcBorders>
              <w:top w:val="single" w:sz="4" w:space="0" w:color="auto"/>
              <w:left w:val="single" w:sz="4" w:space="0" w:color="auto"/>
              <w:bottom w:val="single" w:sz="4" w:space="0" w:color="auto"/>
              <w:right w:val="single" w:sz="4" w:space="0" w:color="auto"/>
            </w:tcBorders>
            <w:noWrap/>
            <w:hideMark/>
          </w:tcPr>
          <w:p w14:paraId="342E8EBB" w14:textId="77777777" w:rsidR="00ED1222" w:rsidRPr="00ED1222" w:rsidRDefault="00ED1222" w:rsidP="00ED1222">
            <w:pPr>
              <w:spacing w:after="120"/>
              <w:ind w:left="567" w:hanging="567"/>
              <w:rPr>
                <w:bCs/>
              </w:rPr>
            </w:pPr>
            <w:r w:rsidRPr="00ED1222">
              <w:rPr>
                <w:bCs/>
              </w:rPr>
              <w:t>8 898 088</w:t>
            </w:r>
          </w:p>
        </w:tc>
      </w:tr>
      <w:tr w:rsidR="00ED1222" w:rsidRPr="00ED1222" w14:paraId="48EE8ACE" w14:textId="77777777" w:rsidTr="00204451">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5421F75C" w14:textId="77777777" w:rsidR="00ED1222" w:rsidRPr="00ED1222" w:rsidRDefault="00ED1222" w:rsidP="00ED1222">
            <w:pPr>
              <w:spacing w:after="120"/>
              <w:ind w:left="567" w:hanging="567"/>
              <w:rPr>
                <w:b/>
                <w:bCs/>
              </w:rPr>
            </w:pPr>
            <w:r w:rsidRPr="00ED1222">
              <w:rPr>
                <w:b/>
              </w:rPr>
              <w:t xml:space="preserve">EIOPA </w:t>
            </w:r>
          </w:p>
        </w:tc>
        <w:tc>
          <w:tcPr>
            <w:tcW w:w="1630" w:type="dxa"/>
            <w:tcBorders>
              <w:top w:val="single" w:sz="4" w:space="0" w:color="auto"/>
              <w:left w:val="single" w:sz="4" w:space="0" w:color="auto"/>
              <w:bottom w:val="single" w:sz="4" w:space="0" w:color="auto"/>
              <w:right w:val="single" w:sz="4" w:space="0" w:color="auto"/>
            </w:tcBorders>
            <w:noWrap/>
            <w:hideMark/>
          </w:tcPr>
          <w:p w14:paraId="361B5D5D" w14:textId="77777777" w:rsidR="00ED1222" w:rsidRPr="00ED1222" w:rsidRDefault="00ED1222" w:rsidP="00ED1222">
            <w:pPr>
              <w:spacing w:after="120"/>
              <w:ind w:left="567" w:hanging="567"/>
              <w:rPr>
                <w:bCs/>
              </w:rPr>
            </w:pPr>
            <w:r w:rsidRPr="00ED1222">
              <w:rPr>
                <w:bCs/>
              </w:rPr>
              <w:t>36 714 492</w:t>
            </w:r>
          </w:p>
        </w:tc>
        <w:tc>
          <w:tcPr>
            <w:tcW w:w="1280" w:type="dxa"/>
            <w:tcBorders>
              <w:top w:val="single" w:sz="4" w:space="0" w:color="auto"/>
              <w:left w:val="single" w:sz="4" w:space="0" w:color="auto"/>
              <w:bottom w:val="single" w:sz="4" w:space="0" w:color="auto"/>
              <w:right w:val="single" w:sz="4" w:space="0" w:color="auto"/>
            </w:tcBorders>
            <w:noWrap/>
            <w:hideMark/>
          </w:tcPr>
          <w:p w14:paraId="52D98390" w14:textId="77777777" w:rsidR="00ED1222" w:rsidRPr="00ED1222" w:rsidRDefault="00ED1222" w:rsidP="00ED1222">
            <w:pPr>
              <w:spacing w:after="120"/>
              <w:ind w:left="567" w:hanging="567"/>
              <w:rPr>
                <w:bCs/>
              </w:rPr>
            </w:pPr>
            <w:r w:rsidRPr="00ED1222">
              <w:rPr>
                <w:bCs/>
              </w:rPr>
              <w:t>13 470 715</w:t>
            </w:r>
          </w:p>
        </w:tc>
        <w:tc>
          <w:tcPr>
            <w:tcW w:w="696" w:type="dxa"/>
            <w:tcBorders>
              <w:top w:val="single" w:sz="4" w:space="0" w:color="auto"/>
              <w:left w:val="single" w:sz="4" w:space="0" w:color="auto"/>
              <w:bottom w:val="single" w:sz="4" w:space="0" w:color="auto"/>
              <w:right w:val="single" w:sz="4" w:space="0" w:color="auto"/>
            </w:tcBorders>
            <w:noWrap/>
            <w:hideMark/>
          </w:tcPr>
          <w:p w14:paraId="7D990FCA" w14:textId="77777777" w:rsidR="00ED1222" w:rsidRPr="00ED1222" w:rsidRDefault="00ED1222" w:rsidP="00ED1222">
            <w:pPr>
              <w:spacing w:after="120"/>
              <w:ind w:left="567" w:hanging="567"/>
              <w:rPr>
                <w:bCs/>
              </w:rPr>
            </w:pPr>
            <w:r w:rsidRPr="00ED1222">
              <w:rPr>
                <w:bCs/>
              </w:rPr>
              <w:t>37</w:t>
            </w:r>
          </w:p>
        </w:tc>
        <w:tc>
          <w:tcPr>
            <w:tcW w:w="1461" w:type="dxa"/>
            <w:tcBorders>
              <w:top w:val="single" w:sz="4" w:space="0" w:color="auto"/>
              <w:left w:val="single" w:sz="4" w:space="0" w:color="auto"/>
              <w:bottom w:val="single" w:sz="4" w:space="0" w:color="auto"/>
              <w:right w:val="single" w:sz="4" w:space="0" w:color="auto"/>
            </w:tcBorders>
            <w:noWrap/>
            <w:hideMark/>
          </w:tcPr>
          <w:p w14:paraId="73FFA879" w14:textId="77777777" w:rsidR="00ED1222" w:rsidRPr="00ED1222" w:rsidRDefault="00ED1222" w:rsidP="00ED1222">
            <w:pPr>
              <w:spacing w:after="120"/>
              <w:ind w:left="567" w:hanging="567"/>
              <w:rPr>
                <w:bCs/>
              </w:rPr>
            </w:pPr>
            <w:r w:rsidRPr="00ED1222">
              <w:rPr>
                <w:bCs/>
              </w:rPr>
              <w:t>22 086 958</w:t>
            </w:r>
          </w:p>
        </w:tc>
        <w:tc>
          <w:tcPr>
            <w:tcW w:w="664" w:type="dxa"/>
            <w:tcBorders>
              <w:top w:val="single" w:sz="4" w:space="0" w:color="auto"/>
              <w:left w:val="single" w:sz="4" w:space="0" w:color="auto"/>
              <w:bottom w:val="single" w:sz="4" w:space="0" w:color="auto"/>
              <w:right w:val="single" w:sz="4" w:space="0" w:color="auto"/>
            </w:tcBorders>
            <w:noWrap/>
            <w:hideMark/>
          </w:tcPr>
          <w:p w14:paraId="31EF1FF8" w14:textId="77777777" w:rsidR="00ED1222" w:rsidRPr="00ED1222" w:rsidRDefault="00ED1222" w:rsidP="00ED1222">
            <w:pPr>
              <w:spacing w:after="120"/>
              <w:ind w:left="567" w:hanging="567"/>
              <w:rPr>
                <w:bCs/>
              </w:rPr>
            </w:pPr>
            <w:r w:rsidRPr="00ED1222">
              <w:rPr>
                <w:bCs/>
              </w:rPr>
              <w:t>60</w:t>
            </w:r>
          </w:p>
        </w:tc>
        <w:tc>
          <w:tcPr>
            <w:tcW w:w="1300" w:type="dxa"/>
            <w:tcBorders>
              <w:top w:val="single" w:sz="4" w:space="0" w:color="auto"/>
              <w:left w:val="single" w:sz="4" w:space="0" w:color="auto"/>
              <w:bottom w:val="single" w:sz="4" w:space="0" w:color="auto"/>
              <w:right w:val="single" w:sz="4" w:space="0" w:color="auto"/>
            </w:tcBorders>
            <w:noWrap/>
            <w:hideMark/>
          </w:tcPr>
          <w:p w14:paraId="3DAA4A3B" w14:textId="77777777" w:rsidR="00ED1222" w:rsidRPr="00ED1222" w:rsidRDefault="00ED1222" w:rsidP="00ED1222">
            <w:pPr>
              <w:spacing w:after="120"/>
              <w:ind w:left="567" w:hanging="567"/>
              <w:rPr>
                <w:bCs/>
              </w:rPr>
            </w:pPr>
            <w:r w:rsidRPr="00ED1222">
              <w:rPr>
                <w:bCs/>
              </w:rPr>
              <w:t>1 156 819</w:t>
            </w:r>
          </w:p>
        </w:tc>
      </w:tr>
      <w:tr w:rsidR="00ED1222" w:rsidRPr="00ED1222" w14:paraId="778F4A92" w14:textId="77777777" w:rsidTr="00204451">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024FE4B8" w14:textId="77777777" w:rsidR="00ED1222" w:rsidRPr="00ED1222" w:rsidRDefault="00ED1222" w:rsidP="00ED1222">
            <w:pPr>
              <w:spacing w:after="120"/>
              <w:ind w:left="567" w:hanging="567"/>
              <w:rPr>
                <w:b/>
                <w:bCs/>
              </w:rPr>
            </w:pPr>
            <w:r w:rsidRPr="00ED1222">
              <w:rPr>
                <w:b/>
              </w:rPr>
              <w:t xml:space="preserve">EMA </w:t>
            </w:r>
          </w:p>
        </w:tc>
        <w:tc>
          <w:tcPr>
            <w:tcW w:w="1630" w:type="dxa"/>
            <w:tcBorders>
              <w:top w:val="single" w:sz="4" w:space="0" w:color="auto"/>
              <w:left w:val="single" w:sz="4" w:space="0" w:color="auto"/>
              <w:bottom w:val="single" w:sz="4" w:space="0" w:color="auto"/>
              <w:right w:val="single" w:sz="4" w:space="0" w:color="auto"/>
            </w:tcBorders>
            <w:noWrap/>
            <w:hideMark/>
          </w:tcPr>
          <w:p w14:paraId="4E061F30" w14:textId="77777777" w:rsidR="00ED1222" w:rsidRPr="00ED1222" w:rsidRDefault="00ED1222" w:rsidP="00ED1222">
            <w:pPr>
              <w:spacing w:after="120"/>
              <w:ind w:left="567" w:hanging="567"/>
              <w:rPr>
                <w:bCs/>
              </w:rPr>
            </w:pPr>
            <w:r w:rsidRPr="00ED1222">
              <w:rPr>
                <w:bCs/>
              </w:rPr>
              <w:t>448 603 000</w:t>
            </w:r>
          </w:p>
        </w:tc>
        <w:tc>
          <w:tcPr>
            <w:tcW w:w="1280" w:type="dxa"/>
            <w:tcBorders>
              <w:top w:val="single" w:sz="4" w:space="0" w:color="auto"/>
              <w:left w:val="single" w:sz="4" w:space="0" w:color="auto"/>
              <w:bottom w:val="single" w:sz="4" w:space="0" w:color="auto"/>
              <w:right w:val="single" w:sz="4" w:space="0" w:color="auto"/>
            </w:tcBorders>
            <w:noWrap/>
            <w:hideMark/>
          </w:tcPr>
          <w:p w14:paraId="5BE7650E" w14:textId="77777777" w:rsidR="00ED1222" w:rsidRPr="00ED1222" w:rsidRDefault="00ED1222" w:rsidP="00ED1222">
            <w:pPr>
              <w:spacing w:after="120"/>
              <w:ind w:left="567" w:hanging="567"/>
              <w:rPr>
                <w:bCs/>
              </w:rPr>
            </w:pPr>
            <w:r w:rsidRPr="00ED1222">
              <w:rPr>
                <w:bCs/>
              </w:rPr>
              <w:t>50 027 000</w:t>
            </w:r>
          </w:p>
        </w:tc>
        <w:tc>
          <w:tcPr>
            <w:tcW w:w="696" w:type="dxa"/>
            <w:tcBorders>
              <w:top w:val="single" w:sz="4" w:space="0" w:color="auto"/>
              <w:left w:val="single" w:sz="4" w:space="0" w:color="auto"/>
              <w:bottom w:val="single" w:sz="4" w:space="0" w:color="auto"/>
              <w:right w:val="single" w:sz="4" w:space="0" w:color="auto"/>
            </w:tcBorders>
            <w:noWrap/>
            <w:hideMark/>
          </w:tcPr>
          <w:p w14:paraId="571CBB27" w14:textId="77777777" w:rsidR="00ED1222" w:rsidRPr="00ED1222" w:rsidRDefault="00ED1222" w:rsidP="00ED1222">
            <w:pPr>
              <w:spacing w:after="120"/>
              <w:ind w:left="567" w:hanging="567"/>
              <w:rPr>
                <w:bCs/>
              </w:rPr>
            </w:pPr>
            <w:r w:rsidRPr="00ED1222">
              <w:rPr>
                <w:bCs/>
              </w:rPr>
              <w:t>11</w:t>
            </w:r>
          </w:p>
        </w:tc>
        <w:tc>
          <w:tcPr>
            <w:tcW w:w="1461" w:type="dxa"/>
            <w:tcBorders>
              <w:top w:val="single" w:sz="4" w:space="0" w:color="auto"/>
              <w:left w:val="single" w:sz="4" w:space="0" w:color="auto"/>
              <w:bottom w:val="single" w:sz="4" w:space="0" w:color="auto"/>
              <w:right w:val="single" w:sz="4" w:space="0" w:color="auto"/>
            </w:tcBorders>
            <w:noWrap/>
            <w:hideMark/>
          </w:tcPr>
          <w:p w14:paraId="0444A4AF" w14:textId="77777777" w:rsidR="00ED1222" w:rsidRPr="00ED1222" w:rsidRDefault="00ED1222" w:rsidP="00ED1222">
            <w:pPr>
              <w:spacing w:after="120"/>
              <w:ind w:left="567" w:hanging="567"/>
              <w:rPr>
                <w:bCs/>
              </w:rPr>
            </w:pPr>
            <w:r w:rsidRPr="00ED1222">
              <w:rPr>
                <w:bCs/>
              </w:rPr>
              <w:t>398 209 000</w:t>
            </w:r>
          </w:p>
        </w:tc>
        <w:tc>
          <w:tcPr>
            <w:tcW w:w="664" w:type="dxa"/>
            <w:tcBorders>
              <w:top w:val="single" w:sz="4" w:space="0" w:color="auto"/>
              <w:left w:val="single" w:sz="4" w:space="0" w:color="auto"/>
              <w:bottom w:val="single" w:sz="4" w:space="0" w:color="auto"/>
              <w:right w:val="single" w:sz="4" w:space="0" w:color="auto"/>
            </w:tcBorders>
            <w:noWrap/>
            <w:hideMark/>
          </w:tcPr>
          <w:p w14:paraId="586E750F" w14:textId="77777777" w:rsidR="00ED1222" w:rsidRPr="00ED1222" w:rsidRDefault="00ED1222" w:rsidP="00ED1222">
            <w:pPr>
              <w:spacing w:after="120"/>
              <w:ind w:left="567" w:hanging="567"/>
              <w:rPr>
                <w:bCs/>
              </w:rPr>
            </w:pPr>
            <w:r w:rsidRPr="00ED1222">
              <w:rPr>
                <w:bCs/>
              </w:rPr>
              <w:t>89</w:t>
            </w:r>
          </w:p>
        </w:tc>
        <w:tc>
          <w:tcPr>
            <w:tcW w:w="1300" w:type="dxa"/>
            <w:tcBorders>
              <w:top w:val="single" w:sz="4" w:space="0" w:color="auto"/>
              <w:left w:val="single" w:sz="4" w:space="0" w:color="auto"/>
              <w:bottom w:val="single" w:sz="4" w:space="0" w:color="auto"/>
              <w:right w:val="single" w:sz="4" w:space="0" w:color="auto"/>
            </w:tcBorders>
            <w:noWrap/>
            <w:hideMark/>
          </w:tcPr>
          <w:p w14:paraId="208DB617" w14:textId="77777777" w:rsidR="00ED1222" w:rsidRPr="00ED1222" w:rsidRDefault="00ED1222" w:rsidP="00ED1222">
            <w:pPr>
              <w:spacing w:after="120"/>
              <w:ind w:left="567" w:hanging="567"/>
              <w:rPr>
                <w:bCs/>
              </w:rPr>
            </w:pPr>
            <w:r w:rsidRPr="00ED1222">
              <w:rPr>
                <w:bCs/>
              </w:rPr>
              <w:t>367 000</w:t>
            </w:r>
          </w:p>
        </w:tc>
      </w:tr>
      <w:tr w:rsidR="00ED1222" w:rsidRPr="00ED1222" w14:paraId="7115EF55" w14:textId="77777777" w:rsidTr="00204451">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4F2CC869" w14:textId="77777777" w:rsidR="00ED1222" w:rsidRPr="00ED1222" w:rsidRDefault="00ED1222" w:rsidP="00ED1222">
            <w:pPr>
              <w:spacing w:after="120"/>
              <w:ind w:left="567" w:hanging="567"/>
              <w:rPr>
                <w:b/>
                <w:bCs/>
              </w:rPr>
            </w:pPr>
            <w:r w:rsidRPr="00ED1222">
              <w:rPr>
                <w:b/>
              </w:rPr>
              <w:t>ERA</w:t>
            </w:r>
          </w:p>
        </w:tc>
        <w:tc>
          <w:tcPr>
            <w:tcW w:w="1630" w:type="dxa"/>
            <w:tcBorders>
              <w:top w:val="single" w:sz="4" w:space="0" w:color="auto"/>
              <w:left w:val="single" w:sz="4" w:space="0" w:color="auto"/>
              <w:bottom w:val="single" w:sz="4" w:space="0" w:color="auto"/>
              <w:right w:val="single" w:sz="4" w:space="0" w:color="auto"/>
            </w:tcBorders>
            <w:noWrap/>
            <w:hideMark/>
          </w:tcPr>
          <w:p w14:paraId="04114A47" w14:textId="77777777" w:rsidR="00ED1222" w:rsidRPr="00ED1222" w:rsidRDefault="00ED1222" w:rsidP="00ED1222">
            <w:pPr>
              <w:spacing w:after="120"/>
              <w:ind w:left="567" w:hanging="567"/>
              <w:rPr>
                <w:bCs/>
              </w:rPr>
            </w:pPr>
            <w:r w:rsidRPr="00ED1222">
              <w:rPr>
                <w:bCs/>
              </w:rPr>
              <w:t>38 532 447</w:t>
            </w:r>
          </w:p>
        </w:tc>
        <w:tc>
          <w:tcPr>
            <w:tcW w:w="1280" w:type="dxa"/>
            <w:tcBorders>
              <w:top w:val="single" w:sz="4" w:space="0" w:color="auto"/>
              <w:left w:val="single" w:sz="4" w:space="0" w:color="auto"/>
              <w:bottom w:val="single" w:sz="4" w:space="0" w:color="auto"/>
              <w:right w:val="single" w:sz="4" w:space="0" w:color="auto"/>
            </w:tcBorders>
            <w:noWrap/>
            <w:hideMark/>
          </w:tcPr>
          <w:p w14:paraId="265B2903" w14:textId="77777777" w:rsidR="00ED1222" w:rsidRPr="00ED1222" w:rsidRDefault="00ED1222" w:rsidP="00ED1222">
            <w:pPr>
              <w:spacing w:after="120"/>
              <w:ind w:left="567" w:hanging="567"/>
              <w:rPr>
                <w:bCs/>
              </w:rPr>
            </w:pPr>
            <w:r w:rsidRPr="00ED1222">
              <w:rPr>
                <w:bCs/>
              </w:rPr>
              <w:t>27 418 274</w:t>
            </w:r>
          </w:p>
        </w:tc>
        <w:tc>
          <w:tcPr>
            <w:tcW w:w="696" w:type="dxa"/>
            <w:tcBorders>
              <w:top w:val="single" w:sz="4" w:space="0" w:color="auto"/>
              <w:left w:val="single" w:sz="4" w:space="0" w:color="auto"/>
              <w:bottom w:val="single" w:sz="4" w:space="0" w:color="auto"/>
              <w:right w:val="single" w:sz="4" w:space="0" w:color="auto"/>
            </w:tcBorders>
            <w:noWrap/>
            <w:hideMark/>
          </w:tcPr>
          <w:p w14:paraId="124119CE" w14:textId="77777777" w:rsidR="00ED1222" w:rsidRPr="00ED1222" w:rsidRDefault="00ED1222" w:rsidP="00ED1222">
            <w:pPr>
              <w:spacing w:after="120"/>
              <w:ind w:left="567" w:hanging="567"/>
              <w:rPr>
                <w:bCs/>
              </w:rPr>
            </w:pPr>
            <w:r w:rsidRPr="00ED1222">
              <w:rPr>
                <w:bCs/>
              </w:rPr>
              <w:t>71</w:t>
            </w:r>
          </w:p>
        </w:tc>
        <w:tc>
          <w:tcPr>
            <w:tcW w:w="1461" w:type="dxa"/>
            <w:tcBorders>
              <w:top w:val="single" w:sz="4" w:space="0" w:color="auto"/>
              <w:left w:val="single" w:sz="4" w:space="0" w:color="auto"/>
              <w:bottom w:val="single" w:sz="4" w:space="0" w:color="auto"/>
              <w:right w:val="single" w:sz="4" w:space="0" w:color="auto"/>
            </w:tcBorders>
            <w:noWrap/>
            <w:hideMark/>
          </w:tcPr>
          <w:p w14:paraId="6687B2C6" w14:textId="77777777" w:rsidR="00ED1222" w:rsidRPr="00ED1222" w:rsidRDefault="00ED1222" w:rsidP="00ED1222">
            <w:pPr>
              <w:spacing w:after="120"/>
              <w:ind w:left="567" w:hanging="567"/>
              <w:rPr>
                <w:bCs/>
              </w:rPr>
            </w:pPr>
            <w:r w:rsidRPr="00ED1222">
              <w:rPr>
                <w:bCs/>
              </w:rPr>
              <w:t>10 312 858</w:t>
            </w:r>
          </w:p>
        </w:tc>
        <w:tc>
          <w:tcPr>
            <w:tcW w:w="664" w:type="dxa"/>
            <w:tcBorders>
              <w:top w:val="single" w:sz="4" w:space="0" w:color="auto"/>
              <w:left w:val="single" w:sz="4" w:space="0" w:color="auto"/>
              <w:bottom w:val="single" w:sz="4" w:space="0" w:color="auto"/>
              <w:right w:val="single" w:sz="4" w:space="0" w:color="auto"/>
            </w:tcBorders>
            <w:noWrap/>
            <w:hideMark/>
          </w:tcPr>
          <w:p w14:paraId="7EE245F2" w14:textId="77777777" w:rsidR="00ED1222" w:rsidRPr="00ED1222" w:rsidRDefault="00ED1222" w:rsidP="00ED1222">
            <w:pPr>
              <w:spacing w:after="120"/>
              <w:ind w:left="567" w:hanging="567"/>
              <w:rPr>
                <w:bCs/>
              </w:rPr>
            </w:pPr>
            <w:r w:rsidRPr="00ED1222">
              <w:rPr>
                <w:bCs/>
              </w:rPr>
              <w:t>27</w:t>
            </w:r>
          </w:p>
        </w:tc>
        <w:tc>
          <w:tcPr>
            <w:tcW w:w="1300" w:type="dxa"/>
            <w:tcBorders>
              <w:top w:val="single" w:sz="4" w:space="0" w:color="auto"/>
              <w:left w:val="single" w:sz="4" w:space="0" w:color="auto"/>
              <w:bottom w:val="single" w:sz="4" w:space="0" w:color="auto"/>
              <w:right w:val="single" w:sz="4" w:space="0" w:color="auto"/>
            </w:tcBorders>
            <w:noWrap/>
            <w:hideMark/>
          </w:tcPr>
          <w:p w14:paraId="49A243F5" w14:textId="77777777" w:rsidR="00ED1222" w:rsidRPr="00ED1222" w:rsidRDefault="00ED1222" w:rsidP="00ED1222">
            <w:pPr>
              <w:spacing w:after="120"/>
              <w:ind w:left="567" w:hanging="567"/>
              <w:rPr>
                <w:bCs/>
              </w:rPr>
            </w:pPr>
            <w:r w:rsidRPr="00ED1222">
              <w:rPr>
                <w:bCs/>
              </w:rPr>
              <w:t>801 315</w:t>
            </w:r>
          </w:p>
        </w:tc>
      </w:tr>
      <w:tr w:rsidR="00ED1222" w:rsidRPr="00ED1222" w14:paraId="0D615A45" w14:textId="77777777" w:rsidTr="00204451">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718B8E35" w14:textId="77777777" w:rsidR="00ED1222" w:rsidRPr="00ED1222" w:rsidRDefault="00ED1222" w:rsidP="00ED1222">
            <w:pPr>
              <w:spacing w:after="120"/>
              <w:ind w:left="567" w:hanging="567"/>
              <w:rPr>
                <w:b/>
                <w:bCs/>
              </w:rPr>
            </w:pPr>
            <w:r w:rsidRPr="00ED1222">
              <w:rPr>
                <w:b/>
              </w:rPr>
              <w:t>ESMA</w:t>
            </w:r>
          </w:p>
        </w:tc>
        <w:tc>
          <w:tcPr>
            <w:tcW w:w="1630" w:type="dxa"/>
            <w:tcBorders>
              <w:top w:val="single" w:sz="4" w:space="0" w:color="auto"/>
              <w:left w:val="single" w:sz="4" w:space="0" w:color="auto"/>
              <w:bottom w:val="single" w:sz="4" w:space="0" w:color="auto"/>
              <w:right w:val="single" w:sz="4" w:space="0" w:color="auto"/>
            </w:tcBorders>
            <w:noWrap/>
            <w:hideMark/>
          </w:tcPr>
          <w:p w14:paraId="11DB6AB0" w14:textId="77777777" w:rsidR="00ED1222" w:rsidRPr="00ED1222" w:rsidRDefault="00ED1222" w:rsidP="00ED1222">
            <w:pPr>
              <w:spacing w:after="120"/>
              <w:ind w:left="567" w:hanging="567"/>
              <w:rPr>
                <w:bCs/>
              </w:rPr>
            </w:pPr>
            <w:r w:rsidRPr="00ED1222">
              <w:rPr>
                <w:bCs/>
              </w:rPr>
              <w:t>72 509 657</w:t>
            </w:r>
          </w:p>
        </w:tc>
        <w:tc>
          <w:tcPr>
            <w:tcW w:w="1280" w:type="dxa"/>
            <w:tcBorders>
              <w:top w:val="single" w:sz="4" w:space="0" w:color="auto"/>
              <w:left w:val="single" w:sz="4" w:space="0" w:color="auto"/>
              <w:bottom w:val="single" w:sz="4" w:space="0" w:color="auto"/>
              <w:right w:val="single" w:sz="4" w:space="0" w:color="auto"/>
            </w:tcBorders>
            <w:noWrap/>
            <w:hideMark/>
          </w:tcPr>
          <w:p w14:paraId="299896EA" w14:textId="77777777" w:rsidR="00ED1222" w:rsidRPr="00ED1222" w:rsidRDefault="00ED1222" w:rsidP="00ED1222">
            <w:pPr>
              <w:spacing w:after="120"/>
              <w:ind w:left="567" w:hanging="567"/>
              <w:rPr>
                <w:bCs/>
              </w:rPr>
            </w:pPr>
            <w:r w:rsidRPr="00ED1222">
              <w:rPr>
                <w:bCs/>
              </w:rPr>
              <w:t>18 588 578</w:t>
            </w:r>
          </w:p>
        </w:tc>
        <w:tc>
          <w:tcPr>
            <w:tcW w:w="696" w:type="dxa"/>
            <w:tcBorders>
              <w:top w:val="single" w:sz="4" w:space="0" w:color="auto"/>
              <w:left w:val="single" w:sz="4" w:space="0" w:color="auto"/>
              <w:bottom w:val="single" w:sz="4" w:space="0" w:color="auto"/>
              <w:right w:val="single" w:sz="4" w:space="0" w:color="auto"/>
            </w:tcBorders>
            <w:noWrap/>
            <w:hideMark/>
          </w:tcPr>
          <w:p w14:paraId="5DE25297" w14:textId="77777777" w:rsidR="00ED1222" w:rsidRPr="00ED1222" w:rsidRDefault="00ED1222" w:rsidP="00ED1222">
            <w:pPr>
              <w:spacing w:after="120"/>
              <w:ind w:left="567" w:hanging="567"/>
              <w:rPr>
                <w:bCs/>
              </w:rPr>
            </w:pPr>
            <w:r w:rsidRPr="00ED1222">
              <w:rPr>
                <w:bCs/>
              </w:rPr>
              <w:t>26</w:t>
            </w:r>
          </w:p>
        </w:tc>
        <w:tc>
          <w:tcPr>
            <w:tcW w:w="1461" w:type="dxa"/>
            <w:tcBorders>
              <w:top w:val="single" w:sz="4" w:space="0" w:color="auto"/>
              <w:left w:val="single" w:sz="4" w:space="0" w:color="auto"/>
              <w:bottom w:val="single" w:sz="4" w:space="0" w:color="auto"/>
              <w:right w:val="single" w:sz="4" w:space="0" w:color="auto"/>
            </w:tcBorders>
            <w:noWrap/>
            <w:hideMark/>
          </w:tcPr>
          <w:p w14:paraId="4E8764EA" w14:textId="77777777" w:rsidR="00ED1222" w:rsidRPr="00ED1222" w:rsidRDefault="00ED1222" w:rsidP="00ED1222">
            <w:pPr>
              <w:spacing w:after="120"/>
              <w:ind w:left="567" w:hanging="567"/>
              <w:rPr>
                <w:bCs/>
              </w:rPr>
            </w:pPr>
            <w:r w:rsidRPr="00ED1222">
              <w:rPr>
                <w:bCs/>
              </w:rPr>
              <w:t>52 224 114</w:t>
            </w:r>
          </w:p>
        </w:tc>
        <w:tc>
          <w:tcPr>
            <w:tcW w:w="664" w:type="dxa"/>
            <w:tcBorders>
              <w:top w:val="single" w:sz="4" w:space="0" w:color="auto"/>
              <w:left w:val="single" w:sz="4" w:space="0" w:color="auto"/>
              <w:bottom w:val="single" w:sz="4" w:space="0" w:color="auto"/>
              <w:right w:val="single" w:sz="4" w:space="0" w:color="auto"/>
            </w:tcBorders>
            <w:noWrap/>
            <w:hideMark/>
          </w:tcPr>
          <w:p w14:paraId="3B373ABA" w14:textId="77777777" w:rsidR="00ED1222" w:rsidRPr="00ED1222" w:rsidRDefault="00ED1222" w:rsidP="00ED1222">
            <w:pPr>
              <w:spacing w:after="120"/>
              <w:ind w:left="567" w:hanging="567"/>
              <w:rPr>
                <w:bCs/>
              </w:rPr>
            </w:pPr>
            <w:r w:rsidRPr="00ED1222">
              <w:rPr>
                <w:bCs/>
              </w:rPr>
              <w:t>72</w:t>
            </w:r>
          </w:p>
        </w:tc>
        <w:tc>
          <w:tcPr>
            <w:tcW w:w="1300" w:type="dxa"/>
            <w:tcBorders>
              <w:top w:val="single" w:sz="4" w:space="0" w:color="auto"/>
              <w:left w:val="single" w:sz="4" w:space="0" w:color="auto"/>
              <w:bottom w:val="single" w:sz="4" w:space="0" w:color="auto"/>
              <w:right w:val="single" w:sz="4" w:space="0" w:color="auto"/>
            </w:tcBorders>
            <w:noWrap/>
            <w:hideMark/>
          </w:tcPr>
          <w:p w14:paraId="50D4C39E" w14:textId="77777777" w:rsidR="00ED1222" w:rsidRPr="00ED1222" w:rsidRDefault="00ED1222" w:rsidP="00ED1222">
            <w:pPr>
              <w:spacing w:after="120"/>
              <w:ind w:left="567" w:hanging="567"/>
              <w:rPr>
                <w:bCs/>
              </w:rPr>
            </w:pPr>
            <w:r w:rsidRPr="00ED1222">
              <w:rPr>
                <w:bCs/>
              </w:rPr>
              <w:t>1 696 965</w:t>
            </w:r>
          </w:p>
        </w:tc>
      </w:tr>
      <w:tr w:rsidR="00ED1222" w:rsidRPr="00ED1222" w14:paraId="090A5766" w14:textId="77777777" w:rsidTr="00204451">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6AD0C2AF" w14:textId="77777777" w:rsidR="00ED1222" w:rsidRPr="00ED1222" w:rsidRDefault="00ED1222" w:rsidP="00ED1222">
            <w:pPr>
              <w:spacing w:after="120"/>
              <w:ind w:left="567" w:hanging="567"/>
              <w:rPr>
                <w:b/>
                <w:bCs/>
              </w:rPr>
            </w:pPr>
            <w:r w:rsidRPr="00ED1222">
              <w:rPr>
                <w:b/>
              </w:rPr>
              <w:t>KOKKU</w:t>
            </w:r>
          </w:p>
        </w:tc>
        <w:tc>
          <w:tcPr>
            <w:tcW w:w="1630" w:type="dxa"/>
            <w:tcBorders>
              <w:top w:val="single" w:sz="4" w:space="0" w:color="auto"/>
              <w:left w:val="single" w:sz="4" w:space="0" w:color="auto"/>
              <w:bottom w:val="single" w:sz="4" w:space="0" w:color="auto"/>
              <w:right w:val="single" w:sz="4" w:space="0" w:color="auto"/>
            </w:tcBorders>
            <w:noWrap/>
            <w:hideMark/>
          </w:tcPr>
          <w:p w14:paraId="65C9A790" w14:textId="77777777" w:rsidR="00ED1222" w:rsidRPr="00ED1222" w:rsidRDefault="00ED1222" w:rsidP="00ED1222">
            <w:pPr>
              <w:spacing w:after="120"/>
              <w:ind w:left="567" w:hanging="567"/>
              <w:rPr>
                <w:bCs/>
              </w:rPr>
            </w:pPr>
            <w:r w:rsidRPr="00ED1222">
              <w:rPr>
                <w:bCs/>
              </w:rPr>
              <w:t>1 018 694 977</w:t>
            </w:r>
          </w:p>
        </w:tc>
        <w:tc>
          <w:tcPr>
            <w:tcW w:w="1280" w:type="dxa"/>
            <w:tcBorders>
              <w:top w:val="single" w:sz="4" w:space="0" w:color="auto"/>
              <w:left w:val="single" w:sz="4" w:space="0" w:color="auto"/>
              <w:bottom w:val="single" w:sz="4" w:space="0" w:color="auto"/>
              <w:right w:val="single" w:sz="4" w:space="0" w:color="auto"/>
            </w:tcBorders>
            <w:noWrap/>
            <w:hideMark/>
          </w:tcPr>
          <w:p w14:paraId="042E200D" w14:textId="77777777" w:rsidR="00ED1222" w:rsidRPr="00ED1222" w:rsidRDefault="00ED1222" w:rsidP="00ED1222">
            <w:pPr>
              <w:spacing w:after="120"/>
              <w:ind w:left="567" w:hanging="567"/>
              <w:rPr>
                <w:bCs/>
              </w:rPr>
            </w:pPr>
            <w:r w:rsidRPr="00ED1222">
              <w:rPr>
                <w:bCs/>
              </w:rPr>
              <w:t>273 955 473</w:t>
            </w:r>
          </w:p>
        </w:tc>
        <w:tc>
          <w:tcPr>
            <w:tcW w:w="696" w:type="dxa"/>
            <w:tcBorders>
              <w:top w:val="single" w:sz="4" w:space="0" w:color="auto"/>
              <w:left w:val="single" w:sz="4" w:space="0" w:color="auto"/>
              <w:bottom w:val="single" w:sz="4" w:space="0" w:color="auto"/>
              <w:right w:val="single" w:sz="4" w:space="0" w:color="auto"/>
            </w:tcBorders>
            <w:noWrap/>
            <w:hideMark/>
          </w:tcPr>
          <w:p w14:paraId="789032F0" w14:textId="77777777" w:rsidR="00ED1222" w:rsidRPr="00ED1222" w:rsidRDefault="00ED1222" w:rsidP="00ED1222">
            <w:pPr>
              <w:spacing w:after="120"/>
              <w:ind w:left="567" w:hanging="567"/>
              <w:rPr>
                <w:bCs/>
              </w:rPr>
            </w:pPr>
            <w:r w:rsidRPr="00ED1222">
              <w:rPr>
                <w:bCs/>
              </w:rPr>
              <w:t xml:space="preserve"> </w:t>
            </w:r>
          </w:p>
        </w:tc>
        <w:tc>
          <w:tcPr>
            <w:tcW w:w="1461" w:type="dxa"/>
            <w:tcBorders>
              <w:top w:val="single" w:sz="4" w:space="0" w:color="auto"/>
              <w:left w:val="single" w:sz="4" w:space="0" w:color="auto"/>
              <w:bottom w:val="single" w:sz="4" w:space="0" w:color="auto"/>
              <w:right w:val="single" w:sz="4" w:space="0" w:color="auto"/>
            </w:tcBorders>
            <w:noWrap/>
            <w:hideMark/>
          </w:tcPr>
          <w:p w14:paraId="4EFF256F" w14:textId="77777777" w:rsidR="00ED1222" w:rsidRPr="00ED1222" w:rsidRDefault="00ED1222" w:rsidP="00ED1222">
            <w:pPr>
              <w:spacing w:after="120"/>
              <w:ind w:left="567" w:hanging="567"/>
              <w:rPr>
                <w:bCs/>
              </w:rPr>
            </w:pPr>
            <w:r w:rsidRPr="00ED1222">
              <w:rPr>
                <w:bCs/>
              </w:rPr>
              <w:t>724 811 224</w:t>
            </w:r>
          </w:p>
        </w:tc>
        <w:tc>
          <w:tcPr>
            <w:tcW w:w="664" w:type="dxa"/>
            <w:tcBorders>
              <w:top w:val="single" w:sz="4" w:space="0" w:color="auto"/>
              <w:left w:val="single" w:sz="4" w:space="0" w:color="auto"/>
              <w:bottom w:val="single" w:sz="4" w:space="0" w:color="auto"/>
              <w:right w:val="single" w:sz="4" w:space="0" w:color="auto"/>
            </w:tcBorders>
            <w:noWrap/>
            <w:hideMark/>
          </w:tcPr>
          <w:p w14:paraId="2D4C0418" w14:textId="77777777" w:rsidR="00ED1222" w:rsidRPr="00ED1222" w:rsidRDefault="00ED1222" w:rsidP="00ED1222">
            <w:pPr>
              <w:spacing w:after="120"/>
              <w:ind w:left="567" w:hanging="567"/>
              <w:rPr>
                <w:bCs/>
              </w:rPr>
            </w:pPr>
            <w:r w:rsidRPr="00ED1222">
              <w:rPr>
                <w:bCs/>
              </w:rPr>
              <w:t xml:space="preserve"> </w:t>
            </w:r>
          </w:p>
        </w:tc>
        <w:tc>
          <w:tcPr>
            <w:tcW w:w="1300" w:type="dxa"/>
            <w:tcBorders>
              <w:top w:val="single" w:sz="4" w:space="0" w:color="auto"/>
              <w:left w:val="single" w:sz="4" w:space="0" w:color="auto"/>
              <w:bottom w:val="single" w:sz="4" w:space="0" w:color="auto"/>
              <w:right w:val="single" w:sz="4" w:space="0" w:color="auto"/>
            </w:tcBorders>
            <w:noWrap/>
            <w:hideMark/>
          </w:tcPr>
          <w:p w14:paraId="5845CE5B" w14:textId="77777777" w:rsidR="00ED1222" w:rsidRPr="00ED1222" w:rsidRDefault="00ED1222" w:rsidP="00ED1222">
            <w:pPr>
              <w:spacing w:after="120"/>
              <w:ind w:left="567" w:hanging="567"/>
              <w:rPr>
                <w:bCs/>
              </w:rPr>
            </w:pPr>
            <w:r w:rsidRPr="00ED1222">
              <w:rPr>
                <w:bCs/>
              </w:rPr>
              <w:t>19 928 279</w:t>
            </w:r>
          </w:p>
        </w:tc>
      </w:tr>
    </w:tbl>
    <w:p w14:paraId="6CC78B77"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26.</w:t>
      </w:r>
      <w:r w:rsidRPr="00ED1222">
        <w:rPr>
          <w:kern w:val="2"/>
          <w14:ligatures w14:val="standardContextual"/>
        </w:rPr>
        <w:tab/>
        <w:t>võtab teadmiseks kontrollikoja tähelepaneku, et Euroopa Liidu Energeetikasektorit Reguleerivate Asutuste Koostöö Amet (ACER), Euroopa Liidu Lennundusohutusamet (EASA), Euroopa Kemikaaliamet (ECHA), Euroopa Ravimiamet (EMA), Euroopa Liidu Raudteeamet (ERA) ja Euroopa Väärtpaberiturujärelevalve (ESMA) on õiguslikult kohustatud tegema kindlaks omavahenditest rahastatavate tegevuste kulud ja neist eraldi aru andma; märgib, et need asutused on kehtestanud süsteemid selle nõude täitmiseks, ning märgib, et teatavatel asutustel, nagu EMA, EASA ja ERA, on isegi rangemad nõuded;</w:t>
      </w:r>
    </w:p>
    <w:p w14:paraId="3E3E42E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27.</w:t>
      </w:r>
      <w:r w:rsidRPr="00ED1222">
        <w:rPr>
          <w:kern w:val="2"/>
          <w14:ligatures w14:val="standardContextual"/>
        </w:rPr>
        <w:tab/>
        <w:t>märgib, et kolme Euroopa järelevalveasutuse (EBA, EIOPA ja ESMA) asutamismäärustes (välja arvatud järelevalvetasudest rahastatav tegevus) on sätestatud, et esialgu peaks nende riikide pädevatelt asutustelt saadav toetus moodustama 60 % nende eelarvest ning ülejäänud 40 % tuleb liidu eelarvest; märgib, et vastavalt nende kolme asutuse mandaatidele kajastuvad selles korras regulatiivsed ülesanded, mida on sobiv rahastada ELi eelarvest, ja järelevalvealase ühtsuse ülesanded, mida on sobiv rahastada riiklikel pädevatel asutustel; rõhutab, et kuna asutamismäärustes ei ole nendest kahest allikast rahastatavaid tegevusi selgelt piiritletud, ei tee need asutused liidu eelarvetoetusega kaetud kuludel ja liikmesriikide kaetud kuludel vahet;</w:t>
      </w:r>
    </w:p>
    <w:p w14:paraId="75995655"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28.</w:t>
      </w:r>
      <w:r w:rsidRPr="00ED1222">
        <w:rPr>
          <w:kern w:val="2"/>
          <w14:ligatures w14:val="standardContextual"/>
        </w:rPr>
        <w:tab/>
        <w:t xml:space="preserve">kutsub EBAt, </w:t>
      </w:r>
      <w:proofErr w:type="spellStart"/>
      <w:r w:rsidRPr="00ED1222">
        <w:rPr>
          <w:kern w:val="2"/>
          <w14:ligatures w14:val="standardContextual"/>
        </w:rPr>
        <w:t>EIOPAt</w:t>
      </w:r>
      <w:proofErr w:type="spellEnd"/>
      <w:r w:rsidRPr="00ED1222">
        <w:rPr>
          <w:kern w:val="2"/>
          <w14:ligatures w14:val="standardContextual"/>
        </w:rPr>
        <w:t xml:space="preserve"> ja </w:t>
      </w:r>
      <w:proofErr w:type="spellStart"/>
      <w:r w:rsidRPr="00ED1222">
        <w:rPr>
          <w:kern w:val="2"/>
          <w14:ligatures w14:val="standardContextual"/>
        </w:rPr>
        <w:t>ESMAt</w:t>
      </w:r>
      <w:proofErr w:type="spellEnd"/>
      <w:r w:rsidRPr="00ED1222">
        <w:rPr>
          <w:kern w:val="2"/>
          <w14:ligatures w14:val="standardContextual"/>
        </w:rPr>
        <w:t xml:space="preserve"> üles seda suutlikkust arendama, et teha kindlaks iga oma tuluvoogu tekitava tegevuse kulud ja anda nende kohta eraldi aru, et parandada otsuste tegemist ja sidusrühmadele esitatava teabe kvaliteeti sellise tegevuse puudujääkide või ülejääkide kohta;</w:t>
      </w:r>
    </w:p>
    <w:p w14:paraId="1691E07C"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29.</w:t>
      </w:r>
      <w:r w:rsidRPr="00ED1222">
        <w:rPr>
          <w:kern w:val="2"/>
          <w14:ligatures w14:val="standardContextual"/>
        </w:rPr>
        <w:tab/>
        <w:t>märgib, et Euroopa Liidu Asutuste Tõlkekeskusel on süsteem iga oma tulu tekitava tegevuse ja toote kulude jälgimiseks, mis võimaldab tal arvutada kasumit või kahjumit; rõhutab, et 2023. aastal andsid Euroopa Liidu Asutuste Tõlkekeskuse 17 peamisest tootest kümme kahjumit, mis oli kokku 3,4 miljonit eurot;</w:t>
      </w:r>
    </w:p>
    <w:p w14:paraId="755DB435"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lastRenderedPageBreak/>
        <w:t>30.</w:t>
      </w:r>
      <w:r w:rsidRPr="00ED1222">
        <w:rPr>
          <w:kern w:val="2"/>
          <w14:ligatures w14:val="standardContextual"/>
        </w:rPr>
        <w:tab/>
        <w:t>rõhutab, et äritegevuse mahu vähenemise tõttu on Euroopa Liidu Asutuste Tõlkekeskusel olnud viimase kümne aasta jooksul eelarvepuudujääk seitsmel aastal ja raamatupidamiskahjum kuuel aastal; võtab teadmiseks, et Euroopa Liidu Asutuste Tõlkekeskus kasutas äritegevuse mahtude vähenemisega tegelemiseks eelarve ja hindade stabiilsuse tagamiseks 2011. aastal loodud erireservi; märgib, et selle reservi kasutamise haripunkt oli 2014. aastal – 15,6 miljonit eurot, seejärel vähenes 2022. aastal 10,3 miljoni euroni ja 2023. aastal 8,9 miljoni euroni; on teadlik, et kui reserv on täielikult ammendatud, tuleb kõik edasised puudujäägid katta liidu eelarvetoetustega, nagu on sätestatud Euroopa Liidu Asutuste Tõlkekeskuse asutamismääruses; kutsub Euroopa Liidu Asutuste Tõlkekeskust üles andma eelarve täitmisele heakskiidu andmise eest vastutavale institutsioonile aru, millised on tema plaanid talitluspidevuse riske vähendada;</w:t>
      </w:r>
    </w:p>
    <w:p w14:paraId="26D75A2E"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31.</w:t>
      </w:r>
      <w:r w:rsidRPr="00ED1222">
        <w:rPr>
          <w:kern w:val="2"/>
          <w14:ligatures w14:val="standardContextual"/>
        </w:rPr>
        <w:tab/>
        <w:t xml:space="preserve">märgib, et asutused peavad parandama finantsaruandlust ja sisekontrollimehhanisme; palub asutustel esitada igal aastal üksikasjalik kulude jaotus, sealhulgas liigendatud andmed </w:t>
      </w:r>
      <w:proofErr w:type="spellStart"/>
      <w:r w:rsidRPr="00ED1222">
        <w:rPr>
          <w:kern w:val="2"/>
          <w14:ligatures w14:val="standardContextual"/>
        </w:rPr>
        <w:t>välislepingute</w:t>
      </w:r>
      <w:proofErr w:type="spellEnd"/>
      <w:r w:rsidRPr="00ED1222">
        <w:rPr>
          <w:kern w:val="2"/>
          <w14:ligatures w14:val="standardContextual"/>
        </w:rPr>
        <w:t>, nõustamisteenuste ja alltöövõtjate kohta; rõhutab vajadust reaalajas toimivate digitaalsete aruandlusvahendite järele, mis parandavad finantsjärelevalvet ning aruandekohustust Euroopa Parlamendi ja üldsuse ees; julgustab järgima auditisoovitusi paremini;</w:t>
      </w:r>
    </w:p>
    <w:p w14:paraId="2EAB532E" w14:textId="77777777" w:rsidR="00ED1222" w:rsidRPr="00ED1222" w:rsidRDefault="00ED1222" w:rsidP="00ED1222">
      <w:pPr>
        <w:keepNext/>
        <w:keepLines/>
        <w:spacing w:after="240"/>
        <w:rPr>
          <w:b/>
          <w:i/>
          <w:kern w:val="2"/>
          <w:szCs w:val="24"/>
          <w14:ligatures w14:val="standardContextual"/>
        </w:rPr>
      </w:pPr>
      <w:r w:rsidRPr="00ED1222">
        <w:rPr>
          <w:b/>
          <w:i/>
          <w:kern w:val="2"/>
          <w14:ligatures w14:val="standardContextual"/>
        </w:rPr>
        <w:t>Kontrollikoja tuvastatud peamised riskid</w:t>
      </w:r>
    </w:p>
    <w:p w14:paraId="7DA2D59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32.</w:t>
      </w:r>
      <w:r w:rsidRPr="00ED1222">
        <w:rPr>
          <w:kern w:val="2"/>
          <w14:ligatures w14:val="standardContextual"/>
        </w:rPr>
        <w:tab/>
      </w:r>
      <w:r w:rsidRPr="00ED1222">
        <w:rPr>
          <w:color w:val="000000"/>
          <w:kern w:val="2"/>
          <w14:ligatures w14:val="standardContextual"/>
        </w:rPr>
        <w:t xml:space="preserve">märgib, et kontrollikoda jõudis oma aastaaruandes ELi asutuste eelarveaasta 2023 kohta (edaspidi „kontrollikoja aruanne“) järeldusele, et kontrollikoja audit andis võrreldes eelmise aastaga (2022) sarnaseid tulemusi, kusjuures </w:t>
      </w:r>
      <w:proofErr w:type="spellStart"/>
      <w:r w:rsidRPr="00ED1222">
        <w:rPr>
          <w:color w:val="000000"/>
          <w:kern w:val="2"/>
          <w14:ligatures w14:val="standardContextual"/>
        </w:rPr>
        <w:t>reeglitevastaselt</w:t>
      </w:r>
      <w:proofErr w:type="spellEnd"/>
      <w:r w:rsidRPr="00ED1222">
        <w:rPr>
          <w:color w:val="000000"/>
          <w:kern w:val="2"/>
          <w14:ligatures w14:val="standardContextual"/>
        </w:rPr>
        <w:t xml:space="preserve"> tehtud makseid põhjustasid endiselt peamiselt puudused avaliku hanke menetlustes;</w:t>
      </w:r>
    </w:p>
    <w:p w14:paraId="6AE8DF70"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33.</w:t>
      </w:r>
      <w:r w:rsidRPr="00ED1222">
        <w:rPr>
          <w:kern w:val="2"/>
          <w14:ligatures w14:val="standardContextual"/>
        </w:rPr>
        <w:tab/>
      </w:r>
      <w:r w:rsidRPr="00ED1222">
        <w:rPr>
          <w:color w:val="000000"/>
          <w:kern w:val="2"/>
          <w14:ligatures w14:val="standardContextual"/>
        </w:rPr>
        <w:t>võtab kontrollikoja aruande põhjal teadmiseks, et üldine asutuste raamatupidamise aastaaruannete usaldusväärsuse risk on sarnaselt 2022. aastale üldiselt väike, sest raamatupidamise aastaaruannete koostamisel kasutatakse komisjoni peaarvepidaja poolt vastu võetud raamatupidamisreegleid, mis põhinevad rahvusvahelistel raamatupidamisstandarditel;</w:t>
      </w:r>
    </w:p>
    <w:p w14:paraId="02D0C6F3"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34.</w:t>
      </w:r>
      <w:r w:rsidRPr="00ED1222">
        <w:rPr>
          <w:kern w:val="2"/>
          <w14:ligatures w14:val="standardContextual"/>
        </w:rPr>
        <w:tab/>
      </w:r>
      <w:r w:rsidRPr="00ED1222">
        <w:rPr>
          <w:color w:val="000000"/>
          <w:kern w:val="2"/>
          <w14:ligatures w14:val="standardContextual"/>
        </w:rPr>
        <w:t>rõhutab, et kontrollikoja arvates on asutuste raamatupidamisaruannete aluseks olevate tulude seaduslikkust ja korrektsust ohustav üldine risk enamiku asutuste puhul väike ning see on sarnaselt 2022. aastaga keskmine vaid osaliselt omavahenditest rahastatavate asutuste puhul, kus tasude ja muu tulu kogumise suhtes kohaldatakse erireegleid;</w:t>
      </w:r>
    </w:p>
    <w:p w14:paraId="1E6D041D"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35.</w:t>
      </w:r>
      <w:r w:rsidRPr="00ED1222">
        <w:rPr>
          <w:kern w:val="2"/>
          <w14:ligatures w14:val="standardContextual"/>
        </w:rPr>
        <w:tab/>
      </w:r>
      <w:r w:rsidRPr="00ED1222">
        <w:rPr>
          <w:color w:val="000000"/>
          <w:kern w:val="2"/>
          <w14:ligatures w14:val="standardContextual"/>
        </w:rPr>
        <w:t>märgib, et kontrollikoja hinnangul on asutuste raamatupidamise aastaaruannete aluseks olevate maksete seaduslikkust ja korrektsust ohustav risk üldiselt keskmine, varieerudes konkreetsete eelarvejaotiste puhul väikesest kuni suureni; märgib, et kontrollikoja hinnangul on I jaotisega (personalikulud) seotud risk üldiselt väike, II jaotise (halduskulud) puhul peetakse seda keskmiseks ning III jaotise (tegevuskulud) puhul on see väike kuni suur, sõltuvalt asjaomasest asutusest ja selle tegevuskulude laadist; juhib tähelepanu sellele, et kontrollikoja hinnangul on III jaotisega seotud risk sarnane II jaotise riskiga, kuid kuna III jaotises on summad palju suuremad, on mõju suurem;</w:t>
      </w:r>
    </w:p>
    <w:p w14:paraId="574389FA"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36.</w:t>
      </w:r>
      <w:r w:rsidRPr="00ED1222">
        <w:rPr>
          <w:kern w:val="2"/>
          <w14:ligatures w14:val="standardContextual"/>
        </w:rPr>
        <w:tab/>
        <w:t>on mures, et kontrollikoda peab riski usaldusväärsele finantsjuhtimisele kuuendat aastat järjest keskmiseks ja see on seotud peamiselt avaliku hanke menetlustega, milles ei tagatud parimat võimalikku hinna ja kvaliteedi suhet;</w:t>
      </w:r>
    </w:p>
    <w:p w14:paraId="55112A90" w14:textId="77777777" w:rsidR="00ED1222" w:rsidRPr="00ED1222" w:rsidRDefault="00ED1222" w:rsidP="00ED1222">
      <w:pPr>
        <w:spacing w:after="240"/>
        <w:ind w:left="567" w:hanging="567"/>
        <w:rPr>
          <w:color w:val="000000"/>
          <w:kern w:val="2"/>
          <w14:ligatures w14:val="standardContextual"/>
        </w:rPr>
      </w:pPr>
      <w:r w:rsidRPr="00ED1222">
        <w:rPr>
          <w:kern w:val="2"/>
          <w14:ligatures w14:val="standardContextual"/>
        </w:rPr>
        <w:lastRenderedPageBreak/>
        <w:t>37.</w:t>
      </w:r>
      <w:r w:rsidRPr="00ED1222">
        <w:rPr>
          <w:kern w:val="2"/>
          <w14:ligatures w14:val="standardContextual"/>
        </w:rPr>
        <w:tab/>
      </w:r>
      <w:r w:rsidRPr="00ED1222">
        <w:rPr>
          <w:color w:val="000000"/>
          <w:kern w:val="2"/>
          <w14:ligatures w14:val="standardContextual"/>
        </w:rPr>
        <w:t>märgib, et kontrollikoja hinnangul on risk eelarve haldamisele väike ning kontrollikoja audit näitas kulukohustustega seotud assigneeringute ülekandmiste kõrget määra;</w:t>
      </w:r>
    </w:p>
    <w:p w14:paraId="0E9AC1FD" w14:textId="77777777" w:rsidR="00ED1222" w:rsidRPr="00ED1222" w:rsidRDefault="00ED1222" w:rsidP="00ED1222">
      <w:pPr>
        <w:spacing w:after="240"/>
        <w:ind w:left="567" w:hanging="567"/>
        <w:rPr>
          <w:color w:val="000000"/>
          <w:kern w:val="2"/>
          <w14:ligatures w14:val="standardContextual"/>
        </w:rPr>
      </w:pPr>
      <w:r w:rsidRPr="00ED1222">
        <w:rPr>
          <w:color w:val="000000"/>
          <w:kern w:val="2"/>
          <w14:ligatures w14:val="standardContextual"/>
        </w:rPr>
        <w:t>38.</w:t>
      </w:r>
      <w:r w:rsidRPr="00ED1222">
        <w:rPr>
          <w:color w:val="000000"/>
          <w:kern w:val="2"/>
          <w14:ligatures w14:val="standardContextual"/>
        </w:rPr>
        <w:tab/>
        <w:t xml:space="preserve">märgib, et kontrollikoja aruande kohaselt olid asutustes valdavad probleemid järgmised: i) puudused riigihangetes, mis olid endiselt </w:t>
      </w:r>
      <w:proofErr w:type="spellStart"/>
      <w:r w:rsidRPr="00ED1222">
        <w:rPr>
          <w:color w:val="000000"/>
          <w:kern w:val="2"/>
          <w14:ligatures w14:val="standardContextual"/>
        </w:rPr>
        <w:t>reeglitevastaselt</w:t>
      </w:r>
      <w:proofErr w:type="spellEnd"/>
      <w:r w:rsidRPr="00ED1222">
        <w:rPr>
          <w:color w:val="000000"/>
          <w:kern w:val="2"/>
          <w14:ligatures w14:val="standardContextual"/>
        </w:rPr>
        <w:t xml:space="preserve"> tehtud maksete peamine allikas; ii) eelarve haldamisega seotud probleemid, nagu ülemäärased ülekandmised ja hilinenud maksed; iii) sisekontrolli puudused, eelkõige finantsmääruse ja menetlussuuniste järgimise tagamisel;</w:t>
      </w:r>
    </w:p>
    <w:p w14:paraId="6210BB0F" w14:textId="77777777" w:rsidR="00ED1222" w:rsidRPr="00ED1222" w:rsidRDefault="00ED1222" w:rsidP="00ED1222">
      <w:pPr>
        <w:keepNext/>
        <w:keepLines/>
        <w:spacing w:after="240"/>
        <w:rPr>
          <w:b/>
          <w:i/>
          <w:kern w:val="2"/>
          <w14:ligatures w14:val="standardContextual"/>
        </w:rPr>
      </w:pPr>
      <w:r w:rsidRPr="00ED1222">
        <w:rPr>
          <w:b/>
          <w:i/>
          <w:kern w:val="2"/>
          <w14:ligatures w14:val="standardContextual"/>
        </w:rPr>
        <w:t>Audititulemuste ülevaade</w:t>
      </w:r>
    </w:p>
    <w:p w14:paraId="36E51879"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39.</w:t>
      </w:r>
      <w:r w:rsidRPr="00ED1222">
        <w:rPr>
          <w:kern w:val="2"/>
          <w14:ligatures w14:val="standardContextual"/>
        </w:rPr>
        <w:tab/>
        <w:t>märgib, et kontrollikoda esitas kõigi asutuste raamatupidamisaruannete aluseks olevate tulude usaldusväärsuse kohta märkusteta auditiarvamuse; märgib, et kontrollikoda esitas kõigi asutuste raamatupidamise aastaaruannete aluseks olevate tulude seaduslikkuse ja korrektsuse kohta märkusteta arvamuse; märgib siiski, et kuigi kontrollikoda esitas kõigi asutuste raamatupidamise aastaaruannete aluseks olevate maksete seaduslikkuse ja korrektsuse kohta märkusteta arvamuse, oli ka neli erandit: Euroopa Innovatsiooni- ja Tehnoloogiainstituut (EIT), Euroopa Tööjõuamet (ELA), Euroopa Liidu Küberturvalisuse Amet (ENISA) ja Euroopa Liidu suuremahuliste IT-süsteemide Operatiivjuhtimise Amet (</w:t>
      </w:r>
      <w:proofErr w:type="spellStart"/>
      <w:r w:rsidRPr="00ED1222">
        <w:rPr>
          <w:kern w:val="2"/>
          <w14:ligatures w14:val="standardContextual"/>
        </w:rPr>
        <w:t>eu</w:t>
      </w:r>
      <w:proofErr w:type="spellEnd"/>
      <w:r w:rsidRPr="00ED1222">
        <w:rPr>
          <w:kern w:val="2"/>
          <w14:ligatures w14:val="standardContextual"/>
        </w:rPr>
        <w:t>-LISA);</w:t>
      </w:r>
    </w:p>
    <w:p w14:paraId="0DE8B4A0"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40.</w:t>
      </w:r>
      <w:r w:rsidRPr="00ED1222">
        <w:rPr>
          <w:kern w:val="2"/>
          <w14:ligatures w14:val="standardContextual"/>
        </w:rPr>
        <w:tab/>
        <w:t xml:space="preserve">märgib, et EIT puhul on märkustega arvamus seotud </w:t>
      </w:r>
      <w:proofErr w:type="spellStart"/>
      <w:r w:rsidRPr="00ED1222">
        <w:rPr>
          <w:kern w:val="2"/>
          <w14:ligatures w14:val="standardContextual"/>
        </w:rPr>
        <w:t>reeglitevastaselt</w:t>
      </w:r>
      <w:proofErr w:type="spellEnd"/>
      <w:r w:rsidRPr="00ED1222">
        <w:rPr>
          <w:kern w:val="2"/>
          <w14:ligatures w14:val="standardContextual"/>
        </w:rPr>
        <w:t xml:space="preserve"> makstud toetustega, mille puhul EIT viis läbi 174 kuluartiklist koosneva valimi järelkontrolli; märgib, et EIT lükkas tagasi 27 kuluartikliga seotud kulud ja et kontrollikoda tuvastas kolm muud kuluartiklit, mille kohta EIT ei suutnud esitada tõendeid selle kohta, et toetusesaajad vastasid toetuslepingu olulistele tingimustele, mille tulemusel tehti </w:t>
      </w:r>
      <w:proofErr w:type="spellStart"/>
      <w:r w:rsidRPr="00ED1222">
        <w:rPr>
          <w:kern w:val="2"/>
          <w14:ligatures w14:val="standardContextual"/>
        </w:rPr>
        <w:t>reeglitevastaseid</w:t>
      </w:r>
      <w:proofErr w:type="spellEnd"/>
      <w:r w:rsidRPr="00ED1222">
        <w:rPr>
          <w:kern w:val="2"/>
          <w14:ligatures w14:val="standardContextual"/>
        </w:rPr>
        <w:t xml:space="preserve"> toetusmakseid hinnanguliselt 12,2 miljoni euro ulatuses, mis vastab hinnangulisele veamäärale 3,4 %; märgib, et EIT ei aktsepteeri ühte kontrollikoja teatatud vigadest, mis mõjutab kolme kuluartiklit, mis tema arvates on rahastamiskõlblikud; märgib, et </w:t>
      </w:r>
      <w:proofErr w:type="spellStart"/>
      <w:r w:rsidRPr="00ED1222">
        <w:rPr>
          <w:kern w:val="2"/>
          <w14:ligatures w14:val="standardContextual"/>
        </w:rPr>
        <w:t>EITi</w:t>
      </w:r>
      <w:proofErr w:type="spellEnd"/>
      <w:r w:rsidRPr="00ED1222">
        <w:rPr>
          <w:kern w:val="2"/>
          <w14:ligatures w14:val="standardContextual"/>
        </w:rPr>
        <w:t xml:space="preserve"> arvates oleks kontrollikoja hinnanguline veamäär ilma selle juhtumita alla 2 % olulisuse piirmäära, mille tulemusel saaks EIT maksete seaduslikkuse ja korrektsuse kohta anda puhta auditiarvamuse.</w:t>
      </w:r>
    </w:p>
    <w:p w14:paraId="3366095C"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41.</w:t>
      </w:r>
      <w:r w:rsidRPr="00ED1222">
        <w:rPr>
          <w:kern w:val="2"/>
          <w14:ligatures w14:val="standardContextual"/>
        </w:rPr>
        <w:tab/>
        <w:t xml:space="preserve">peab kahetsusväärseks ELA kohta tehtud märkust, mis on seotud 2023. aasta maksetega summas 1,6 miljonit eurot ja mis moodustab 3,8 % kõigist kasutada olnud maksete assigneeringutest; märgib, et see summa sisaldab 1,3 miljonit eurot seoses lepinguga, mida peeti 2022. aasta auditiaruandes </w:t>
      </w:r>
      <w:proofErr w:type="spellStart"/>
      <w:r w:rsidRPr="00ED1222">
        <w:rPr>
          <w:kern w:val="2"/>
          <w14:ligatures w14:val="standardContextual"/>
        </w:rPr>
        <w:t>reeglitevastaseks</w:t>
      </w:r>
      <w:proofErr w:type="spellEnd"/>
      <w:r w:rsidRPr="00ED1222">
        <w:rPr>
          <w:kern w:val="2"/>
          <w14:ligatures w14:val="standardContextual"/>
        </w:rPr>
        <w:t xml:space="preserve">, kuna lepingu maksumus ületas kehtestatud lepingu ülemmäära, ja 0,3 miljonit eurot seoses puudustega lepingu täitmise eelkontrollides; võtab teadmiseks ELA vastuse, milles selgitatakse, et </w:t>
      </w:r>
      <w:proofErr w:type="spellStart"/>
      <w:r w:rsidRPr="00ED1222">
        <w:rPr>
          <w:kern w:val="2"/>
          <w14:ligatures w14:val="standardContextual"/>
        </w:rPr>
        <w:t>reeglitevastane</w:t>
      </w:r>
      <w:proofErr w:type="spellEnd"/>
      <w:r w:rsidRPr="00ED1222">
        <w:rPr>
          <w:kern w:val="2"/>
          <w14:ligatures w14:val="standardContextual"/>
        </w:rPr>
        <w:t xml:space="preserve"> leping lõppes 2024. aasta veebruaris ja asendati 2023. aasta novembris sõlmitud uue raamlepinguga; on teadlik ELA otsusest jätkata </w:t>
      </w:r>
      <w:proofErr w:type="spellStart"/>
      <w:r w:rsidRPr="00ED1222">
        <w:rPr>
          <w:kern w:val="2"/>
          <w14:ligatures w14:val="standardContextual"/>
        </w:rPr>
        <w:t>reeglitevastase</w:t>
      </w:r>
      <w:proofErr w:type="spellEnd"/>
      <w:r w:rsidRPr="00ED1222">
        <w:rPr>
          <w:kern w:val="2"/>
          <w14:ligatures w14:val="standardContextual"/>
        </w:rPr>
        <w:t xml:space="preserve"> lepingu ajutist täitmist, et maandada riske, kaitsta oma mainet ja tagada katkematu teenuste osutamine, et amet saaks kuni uue lepingu jõustumiseni toimida järjepidevalt ja viia ellu kavandatud tegevusi;</w:t>
      </w:r>
    </w:p>
    <w:p w14:paraId="6C81E0D7"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42.</w:t>
      </w:r>
      <w:r w:rsidRPr="00ED1222">
        <w:rPr>
          <w:kern w:val="2"/>
          <w14:ligatures w14:val="standardContextual"/>
        </w:rPr>
        <w:tab/>
        <w:t xml:space="preserve">võtab teadmiseks, et ENISA kohta tehtud märkus on seotud 2023. aasta maksetega summas 1,8 miljonit eurot, mis moodustab 4,1 % kõigist 2023. aastal kasutada olnud maksete assigneeringutest; tuletab meelde, et 2022. aasta augustis lisandus ENISA eelarvesse veel 15 miljonit eurot, et anda liikmesriikidele pärast Venemaa sissetungi Ukrainasse tõhusamat küberturvalisuse alast tuge; märgib ühtlasi, et 2022. aasta septembris algatas ENISA 28 osaga hankemenetluse ja allkirjastas seejärel 28 eraldi </w:t>
      </w:r>
      <w:r w:rsidRPr="00ED1222">
        <w:rPr>
          <w:kern w:val="2"/>
          <w14:ligatures w14:val="standardContextual"/>
        </w:rPr>
        <w:lastRenderedPageBreak/>
        <w:t>raamlepingut maksumusega 14,4 miljonit eurot; on teadlik, et 2023. aasta alguses tegi haldusnõukogu erandi, mis võimaldas kalduda ajutiselt kõrvale oma finantsreeglitest, et tulla toime liikmesriikide küberturvalisuse toe muudetud taotlustega; võtab teadmiseks ENISA vastuse, et haldusnõukogu otsus oli erand (ajaliselt ja ulatuselt piiratud) eesmärgiga reageerida konkreetsele erakorralisele olukorrale äärmiselt keerulises rahvusvahelises kontekstis; märgib, et see erand registreeriti nõuetekohaselt vastavalt ENISA sisekontrolliraamistiku kohaldamisele ja sellest anti ka teada 2023. aasta konsolideeritud tegevusaruandes;</w:t>
      </w:r>
    </w:p>
    <w:p w14:paraId="4D9B90D0"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43.</w:t>
      </w:r>
      <w:r w:rsidRPr="00ED1222">
        <w:rPr>
          <w:kern w:val="2"/>
          <w14:ligatures w14:val="standardContextual"/>
        </w:rPr>
        <w:tab/>
        <w:t xml:space="preserve">märgib, et </w:t>
      </w:r>
      <w:proofErr w:type="spellStart"/>
      <w:r w:rsidRPr="00ED1222">
        <w:rPr>
          <w:kern w:val="2"/>
          <w14:ligatures w14:val="standardContextual"/>
        </w:rPr>
        <w:t>eu</w:t>
      </w:r>
      <w:proofErr w:type="spellEnd"/>
      <w:r w:rsidRPr="00ED1222">
        <w:rPr>
          <w:kern w:val="2"/>
          <w14:ligatures w14:val="standardContextual"/>
        </w:rPr>
        <w:t xml:space="preserve">-LISA kohta tehtud märkus puudutas 2023. aastal </w:t>
      </w:r>
      <w:proofErr w:type="spellStart"/>
      <w:r w:rsidRPr="00ED1222">
        <w:rPr>
          <w:kern w:val="2"/>
          <w14:ligatures w14:val="standardContextual"/>
        </w:rPr>
        <w:t>reeglitevastaselt</w:t>
      </w:r>
      <w:proofErr w:type="spellEnd"/>
      <w:r w:rsidRPr="00ED1222">
        <w:rPr>
          <w:kern w:val="2"/>
          <w14:ligatures w14:val="standardContextual"/>
        </w:rPr>
        <w:t xml:space="preserve"> tehtud makseid kogusummas 12,6 miljonit eurot, mis moodustab kõigist kasutada olnud maksete assigneeringutest 3,2 %, sealhulgas 2,7 miljonit eurot 2023. aastal auditeeritud lepingute ja 9,9 miljonit eurot 2022. aasta auditiaruandes </w:t>
      </w:r>
      <w:proofErr w:type="spellStart"/>
      <w:r w:rsidRPr="00ED1222">
        <w:rPr>
          <w:kern w:val="2"/>
          <w14:ligatures w14:val="standardContextual"/>
        </w:rPr>
        <w:t>reeglitevastaseks</w:t>
      </w:r>
      <w:proofErr w:type="spellEnd"/>
      <w:r w:rsidRPr="00ED1222">
        <w:rPr>
          <w:kern w:val="2"/>
          <w14:ligatures w14:val="standardContextual"/>
        </w:rPr>
        <w:t xml:space="preserve"> hinnatud lepingute osas;</w:t>
      </w:r>
    </w:p>
    <w:p w14:paraId="640F6D60"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44.</w:t>
      </w:r>
      <w:r w:rsidRPr="00ED1222">
        <w:rPr>
          <w:kern w:val="2"/>
          <w14:ligatures w14:val="standardContextual"/>
        </w:rPr>
        <w:tab/>
        <w:t xml:space="preserve">võtab murega teadmiseks </w:t>
      </w:r>
      <w:proofErr w:type="spellStart"/>
      <w:r w:rsidRPr="00ED1222">
        <w:rPr>
          <w:kern w:val="2"/>
          <w14:ligatures w14:val="standardContextual"/>
        </w:rPr>
        <w:t>eu</w:t>
      </w:r>
      <w:proofErr w:type="spellEnd"/>
      <w:r w:rsidRPr="00ED1222">
        <w:rPr>
          <w:kern w:val="2"/>
          <w14:ligatures w14:val="standardContextual"/>
        </w:rPr>
        <w:t xml:space="preserve">-LISA maksete seaduslikkust ja korrektsust käsitleva märkustega arvamuse kordumise, mis kajastab kontrollikoja varasemates aruannetes alates 2020. aastast tõstatatud püsivaid probleeme; võtab teadmiseks kontrollikoja tähelepaneku, et enamik vigadest mõjutatud lepingutest oli 2023. aastal kas aegunud või </w:t>
      </w:r>
      <w:proofErr w:type="spellStart"/>
      <w:r w:rsidRPr="00ED1222">
        <w:rPr>
          <w:kern w:val="2"/>
          <w14:ligatures w14:val="standardContextual"/>
        </w:rPr>
        <w:t>eu</w:t>
      </w:r>
      <w:proofErr w:type="spellEnd"/>
      <w:r w:rsidRPr="00ED1222">
        <w:rPr>
          <w:kern w:val="2"/>
          <w14:ligatures w14:val="standardContextual"/>
        </w:rPr>
        <w:t>-LISA poolt lõpetatud;</w:t>
      </w:r>
    </w:p>
    <w:p w14:paraId="3EE3F8B5"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45.</w:t>
      </w:r>
      <w:r w:rsidRPr="00ED1222">
        <w:rPr>
          <w:kern w:val="2"/>
          <w14:ligatures w14:val="standardContextual"/>
        </w:rPr>
        <w:tab/>
        <w:t>märgib, et 2023. aasta märkustega arvamuse (</w:t>
      </w:r>
      <w:proofErr w:type="spellStart"/>
      <w:r w:rsidRPr="00ED1222">
        <w:rPr>
          <w:kern w:val="2"/>
          <w14:ligatures w14:val="standardContextual"/>
        </w:rPr>
        <w:t>eu</w:t>
      </w:r>
      <w:proofErr w:type="spellEnd"/>
      <w:r w:rsidRPr="00ED1222">
        <w:rPr>
          <w:kern w:val="2"/>
          <w14:ligatures w14:val="standardContextual"/>
        </w:rPr>
        <w:t>-LISA) aluseks olid järgmised õigusnormide rikkumised:</w:t>
      </w:r>
    </w:p>
    <w:p w14:paraId="4AC902C2" w14:textId="77777777" w:rsidR="00ED1222" w:rsidRPr="00ED1222" w:rsidRDefault="00ED1222" w:rsidP="00ED1222">
      <w:pPr>
        <w:spacing w:after="240"/>
        <w:ind w:left="1134" w:hanging="567"/>
        <w:rPr>
          <w:kern w:val="2"/>
          <w14:ligatures w14:val="standardContextual"/>
        </w:rPr>
      </w:pPr>
      <w:r w:rsidRPr="00ED1222">
        <w:rPr>
          <w:kern w:val="2"/>
          <w14:ligatures w14:val="standardContextual"/>
        </w:rPr>
        <w:t>—</w:t>
      </w:r>
      <w:r w:rsidRPr="00ED1222">
        <w:rPr>
          <w:kern w:val="2"/>
          <w14:ligatures w14:val="standardContextual"/>
        </w:rPr>
        <w:tab/>
        <w:t xml:space="preserve">raamlepingu rikkumine: märgib, et </w:t>
      </w:r>
      <w:proofErr w:type="spellStart"/>
      <w:r w:rsidRPr="00ED1222">
        <w:rPr>
          <w:kern w:val="2"/>
          <w14:ligatures w14:val="standardContextual"/>
        </w:rPr>
        <w:t>eu</w:t>
      </w:r>
      <w:proofErr w:type="spellEnd"/>
      <w:r w:rsidRPr="00ED1222">
        <w:rPr>
          <w:kern w:val="2"/>
          <w14:ligatures w14:val="standardContextual"/>
        </w:rPr>
        <w:t>-LISA tegi kahe pakkuja finantspakkumuste mõnes hinnaelemendis märkimisväärseid muudatusi, mis lähevad kaugemale finantsmääruse artikliga 151 lubatud korrektsioonidest, mõjutades otseselt pakkumuse tulemust, kusjuures nendega seotud maksete suurus oli 2023. aastal kokku 2,7 miljonit eurot;</w:t>
      </w:r>
    </w:p>
    <w:p w14:paraId="1C7B9F80" w14:textId="77777777" w:rsidR="00ED1222" w:rsidRPr="00ED1222" w:rsidRDefault="00ED1222" w:rsidP="00ED1222">
      <w:pPr>
        <w:spacing w:after="240"/>
        <w:ind w:left="1134" w:hanging="567"/>
        <w:rPr>
          <w:kern w:val="2"/>
          <w14:ligatures w14:val="standardContextual"/>
        </w:rPr>
      </w:pPr>
      <w:r w:rsidRPr="00ED1222">
        <w:rPr>
          <w:kern w:val="2"/>
          <w14:ligatures w14:val="standardContextual"/>
        </w:rPr>
        <w:t>—</w:t>
      </w:r>
      <w:r w:rsidRPr="00ED1222">
        <w:rPr>
          <w:kern w:val="2"/>
          <w14:ligatures w14:val="standardContextual"/>
        </w:rPr>
        <w:tab/>
        <w:t xml:space="preserve">põhjendamatu läbirääkimistega menetlus: võtab ka teadmiseks </w:t>
      </w:r>
      <w:proofErr w:type="spellStart"/>
      <w:r w:rsidRPr="00ED1222">
        <w:rPr>
          <w:kern w:val="2"/>
          <w14:ligatures w14:val="standardContextual"/>
        </w:rPr>
        <w:t>reeglitevastase</w:t>
      </w:r>
      <w:proofErr w:type="spellEnd"/>
      <w:r w:rsidRPr="00ED1222">
        <w:rPr>
          <w:kern w:val="2"/>
          <w14:ligatures w14:val="standardContextual"/>
        </w:rPr>
        <w:t xml:space="preserve"> 7,7 miljoni euro suuruse makse, mis on seotud raamlepinguga, mis sõlmiti põhjendamatult läbirääkimistega hankemenetluse teel, mis on vastuolus hankestandarditega;</w:t>
      </w:r>
    </w:p>
    <w:p w14:paraId="4DA2AEDE" w14:textId="77777777" w:rsidR="00ED1222" w:rsidRPr="00ED1222" w:rsidRDefault="00ED1222" w:rsidP="00ED1222">
      <w:pPr>
        <w:spacing w:after="240"/>
        <w:ind w:left="1134" w:hanging="567"/>
        <w:rPr>
          <w:kern w:val="2"/>
          <w14:ligatures w14:val="standardContextual"/>
        </w:rPr>
      </w:pPr>
      <w:r w:rsidRPr="00ED1222">
        <w:rPr>
          <w:kern w:val="2"/>
          <w14:ligatures w14:val="standardContextual"/>
        </w:rPr>
        <w:t>—</w:t>
      </w:r>
      <w:r w:rsidRPr="00ED1222">
        <w:rPr>
          <w:kern w:val="2"/>
          <w14:ligatures w14:val="standardContextual"/>
        </w:rPr>
        <w:tab/>
        <w:t xml:space="preserve">lepingu loata muutmine: märgib, et maksed kogusummas 1,8 miljonit eurot liigitati </w:t>
      </w:r>
      <w:proofErr w:type="spellStart"/>
      <w:r w:rsidRPr="00ED1222">
        <w:rPr>
          <w:kern w:val="2"/>
          <w14:ligatures w14:val="standardContextual"/>
        </w:rPr>
        <w:t>reeglitevastaseks</w:t>
      </w:r>
      <w:proofErr w:type="spellEnd"/>
      <w:r w:rsidRPr="00ED1222">
        <w:rPr>
          <w:kern w:val="2"/>
          <w14:ligatures w14:val="standardContextual"/>
        </w:rPr>
        <w:t xml:space="preserve"> pärast seda, kui lepingut loata muudeti, mis suurendas fikseeritud hinnaga lepingu väärtust 3,6 miljoni euro võrra;</w:t>
      </w:r>
    </w:p>
    <w:p w14:paraId="751B4B6B" w14:textId="77777777" w:rsidR="00ED1222" w:rsidRPr="00ED1222" w:rsidRDefault="00ED1222" w:rsidP="00ED1222">
      <w:pPr>
        <w:spacing w:after="240"/>
        <w:ind w:left="1134" w:hanging="567"/>
        <w:rPr>
          <w:kern w:val="2"/>
          <w14:ligatures w14:val="standardContextual"/>
        </w:rPr>
      </w:pPr>
      <w:r w:rsidRPr="00ED1222">
        <w:rPr>
          <w:kern w:val="2"/>
          <w14:ligatures w14:val="standardContextual"/>
        </w:rPr>
        <w:t>—</w:t>
      </w:r>
      <w:r w:rsidRPr="00ED1222">
        <w:rPr>
          <w:kern w:val="2"/>
          <w14:ligatures w14:val="standardContextual"/>
        </w:rPr>
        <w:tab/>
        <w:t xml:space="preserve">raamlepingu tingimuste järgimata jätmine: märgib murega, et jagatud taristu hooldamise raamlepingu maksed kogusummas 0,4 miljonit eurot olid </w:t>
      </w:r>
      <w:proofErr w:type="spellStart"/>
      <w:r w:rsidRPr="00ED1222">
        <w:rPr>
          <w:kern w:val="2"/>
          <w14:ligatures w14:val="standardContextual"/>
        </w:rPr>
        <w:t>reeglitevastased</w:t>
      </w:r>
      <w:proofErr w:type="spellEnd"/>
      <w:r w:rsidRPr="00ED1222">
        <w:rPr>
          <w:kern w:val="2"/>
          <w14:ligatures w14:val="standardContextual"/>
        </w:rPr>
        <w:t>, kuna erileping kaldus raamlepingust kõrvale;</w:t>
      </w:r>
    </w:p>
    <w:p w14:paraId="332940BB"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46.</w:t>
      </w:r>
      <w:r w:rsidRPr="00ED1222">
        <w:rPr>
          <w:kern w:val="2"/>
          <w14:ligatures w14:val="standardContextual"/>
        </w:rPr>
        <w:tab/>
        <w:t xml:space="preserve">väljendab sügavat muret hankeprobleemide kordumise pärast, mille tulemuseks on märkustega arvamus neljandat aastat järjest, ning nõuab tungivalt, et </w:t>
      </w:r>
      <w:proofErr w:type="spellStart"/>
      <w:r w:rsidRPr="00ED1222">
        <w:rPr>
          <w:kern w:val="2"/>
          <w14:ligatures w14:val="standardContextual"/>
        </w:rPr>
        <w:t>eu</w:t>
      </w:r>
      <w:proofErr w:type="spellEnd"/>
      <w:r w:rsidRPr="00ED1222">
        <w:rPr>
          <w:kern w:val="2"/>
          <w14:ligatures w14:val="standardContextual"/>
        </w:rPr>
        <w:t>-LISA võtaks viivitamata parandusmeetmeid nende probleemidega tegelemiseks ja nende ennetamiseks tulevastes finantsjuhtimis- ja hanketavades, tagades täieliku vastavuse finantsmäärusele; nõuab, et Euroopa Parlamenti teavitataks kõnealustest edusammudest enne 30. juunit 2025;</w:t>
      </w:r>
    </w:p>
    <w:p w14:paraId="50A51F53"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lastRenderedPageBreak/>
        <w:t>47.</w:t>
      </w:r>
      <w:r w:rsidRPr="00ED1222">
        <w:rPr>
          <w:kern w:val="2"/>
          <w14:ligatures w14:val="standardContextual"/>
        </w:rPr>
        <w:tab/>
        <w:t>väljendab heameelt, et kontrollikoda tunnistas kuulamisel, </w:t>
      </w:r>
      <w:r w:rsidRPr="00ED1222">
        <w:rPr>
          <w:kern w:val="2"/>
          <w:vertAlign w:val="superscript"/>
          <w14:ligatures w14:val="standardContextual"/>
        </w:rPr>
        <w:footnoteReference w:id="412"/>
      </w:r>
      <w:r w:rsidRPr="00ED1222">
        <w:rPr>
          <w:kern w:val="2"/>
          <w14:ligatures w14:val="standardContextual"/>
        </w:rPr>
        <w:t xml:space="preserve"> et vaatamata 2023. aasta kohta esitatud arvamusele (</w:t>
      </w:r>
      <w:proofErr w:type="spellStart"/>
      <w:r w:rsidRPr="00ED1222">
        <w:rPr>
          <w:kern w:val="2"/>
          <w14:ligatures w14:val="standardContextual"/>
        </w:rPr>
        <w:t>eu</w:t>
      </w:r>
      <w:proofErr w:type="spellEnd"/>
      <w:r w:rsidRPr="00ED1222">
        <w:rPr>
          <w:kern w:val="2"/>
          <w14:ligatures w14:val="standardContextual"/>
        </w:rPr>
        <w:t>-LISA), tuvastatud puudustega tegeletakse ja on täheldatud olukorra paranemist;</w:t>
      </w:r>
    </w:p>
    <w:p w14:paraId="69AF8160"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48.</w:t>
      </w:r>
      <w:r w:rsidRPr="00ED1222">
        <w:rPr>
          <w:kern w:val="2"/>
          <w14:ligatures w14:val="standardContextual"/>
        </w:rPr>
        <w:tab/>
        <w:t xml:space="preserve">rõhutab, et kuigi finantsmääruses ei ole kehtestatud ülekandmiste ülemmäärasid, kahjustavad pidevad ja ülemäärased ülekandmised eelarve aastasuse põhimõtet ning osutavad eelarveprotsessis ja eelarve täitmise tsüklis esinevatele struktuursetele probleemidele; märgib, et 14 asutuses (ENISA, </w:t>
      </w:r>
      <w:proofErr w:type="spellStart"/>
      <w:r w:rsidRPr="00ED1222">
        <w:rPr>
          <w:kern w:val="2"/>
          <w14:ligatures w14:val="standardContextual"/>
        </w:rPr>
        <w:t>Eurofound</w:t>
      </w:r>
      <w:proofErr w:type="spellEnd"/>
      <w:r w:rsidRPr="00ED1222">
        <w:rPr>
          <w:kern w:val="2"/>
          <w14:ligatures w14:val="standardContextual"/>
        </w:rPr>
        <w:t xml:space="preserve">, EIGE, </w:t>
      </w:r>
      <w:proofErr w:type="spellStart"/>
      <w:r w:rsidRPr="00ED1222">
        <w:rPr>
          <w:kern w:val="2"/>
          <w14:ligatures w14:val="standardContextual"/>
        </w:rPr>
        <w:t>eu</w:t>
      </w:r>
      <w:proofErr w:type="spellEnd"/>
      <w:r w:rsidRPr="00ED1222">
        <w:rPr>
          <w:kern w:val="2"/>
          <w14:ligatures w14:val="standardContextual"/>
        </w:rPr>
        <w:t xml:space="preserve">-LISA, EMA, EUSPA, ELA, FRA, EFCA, ECDC, EU-OSHA, ACER, </w:t>
      </w:r>
      <w:proofErr w:type="spellStart"/>
      <w:r w:rsidRPr="00ED1222">
        <w:rPr>
          <w:kern w:val="2"/>
          <w14:ligatures w14:val="standardContextual"/>
        </w:rPr>
        <w:t>Frontex</w:t>
      </w:r>
      <w:proofErr w:type="spellEnd"/>
      <w:r w:rsidRPr="00ED1222">
        <w:rPr>
          <w:kern w:val="2"/>
          <w14:ligatures w14:val="standardContextual"/>
        </w:rPr>
        <w:t xml:space="preserve"> ja ESA) on kõiki eelarvejaotisi mõjutavate ülekandmiste määr kokku üle 15 %; märgib, et </w:t>
      </w:r>
      <w:proofErr w:type="spellStart"/>
      <w:r w:rsidRPr="00ED1222">
        <w:rPr>
          <w:kern w:val="2"/>
          <w14:ligatures w14:val="standardContextual"/>
        </w:rPr>
        <w:t>Frontexi</w:t>
      </w:r>
      <w:proofErr w:type="spellEnd"/>
      <w:r w:rsidRPr="00ED1222">
        <w:rPr>
          <w:kern w:val="2"/>
          <w14:ligatures w14:val="standardContextual"/>
        </w:rPr>
        <w:t xml:space="preserve"> ja ESA puhul on ülekandmiste määr vastavalt üle 40 % ja 50 %;</w:t>
      </w:r>
    </w:p>
    <w:p w14:paraId="0D0331FF"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49.</w:t>
      </w:r>
      <w:r w:rsidRPr="00ED1222">
        <w:rPr>
          <w:kern w:val="2"/>
          <w14:ligatures w14:val="standardContextual"/>
        </w:rPr>
        <w:tab/>
        <w:t xml:space="preserve">tuletab meelde, et õigusraamistik kohustab asutusi tegema makseid kindlate tähtaegade jooksul; märgib, et kui nendest tähtaegadest kinni ei peeta, võib võlausaldajatel olla õigus nõuda viivist; märgib, et 2023. aasta kohta märkis kontrollikoda, et kuigi viivise kogusummat peeti ebaoluliseks, väärib märkimist, et üheksa asutust (ACER, ECDC, EEA, EUDA, ENISA, ERA, EU-OSHA, </w:t>
      </w:r>
      <w:proofErr w:type="spellStart"/>
      <w:r w:rsidRPr="00ED1222">
        <w:rPr>
          <w:kern w:val="2"/>
          <w14:ligatures w14:val="standardContextual"/>
        </w:rPr>
        <w:t>Eurojust</w:t>
      </w:r>
      <w:proofErr w:type="spellEnd"/>
      <w:r w:rsidRPr="00ED1222">
        <w:rPr>
          <w:kern w:val="2"/>
          <w14:ligatures w14:val="standardContextual"/>
        </w:rPr>
        <w:t xml:space="preserve"> ja </w:t>
      </w:r>
      <w:proofErr w:type="spellStart"/>
      <w:r w:rsidRPr="00ED1222">
        <w:rPr>
          <w:kern w:val="2"/>
          <w14:ligatures w14:val="standardContextual"/>
        </w:rPr>
        <w:t>Frontex</w:t>
      </w:r>
      <w:proofErr w:type="spellEnd"/>
      <w:r w:rsidRPr="00ED1222">
        <w:rPr>
          <w:kern w:val="2"/>
          <w14:ligatures w14:val="standardContextual"/>
        </w:rPr>
        <w:t>) ei pidanud sageli maksetähtaegadest kinni; palub asjaomastel asutustel tagada seadustest tulenevatest maksetähtaegadest kinnipidamine; rõhutab, et kuigi kogunenud viivisintresside summa oli väike, võib hilinenud maksete suur sagedus kahjustada asutuste mainet;</w:t>
      </w:r>
    </w:p>
    <w:p w14:paraId="4EA1A940"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50.</w:t>
      </w:r>
      <w:r w:rsidRPr="00ED1222">
        <w:rPr>
          <w:kern w:val="2"/>
          <w14:ligatures w14:val="standardContextual"/>
        </w:rPr>
        <w:tab/>
        <w:t xml:space="preserve">toonitab, et kontrollikoda avaldas asjaolu rõhutavaid punkte, et juhtida tähelepanu raamatupidamise aastaaruandes esitatud või avalikustatud olulistele küsimustele, mis on hädavajalikud raamatupidamise aastaaruande või selle aluseks olevate tulude või maksete mõistmiseks; märgib lisaks, et eelarveaasta 2023 puhul kasutas kontrollikoda asjaolu rõhutavaid punkte järgmiste käesoleva resolutsiooni osaks olevate asutuste puhul: </w:t>
      </w:r>
      <w:proofErr w:type="spellStart"/>
      <w:r w:rsidRPr="00ED1222">
        <w:rPr>
          <w:kern w:val="2"/>
          <w14:ligatures w14:val="standardContextual"/>
        </w:rPr>
        <w:t>CdT</w:t>
      </w:r>
      <w:proofErr w:type="spellEnd"/>
      <w:r w:rsidRPr="00ED1222">
        <w:rPr>
          <w:kern w:val="2"/>
          <w14:ligatures w14:val="standardContextual"/>
        </w:rPr>
        <w:t xml:space="preserve">, EBA, EIT, EMA, ERA, ESMA, </w:t>
      </w:r>
      <w:proofErr w:type="spellStart"/>
      <w:r w:rsidRPr="00ED1222">
        <w:rPr>
          <w:kern w:val="2"/>
          <w14:ligatures w14:val="standardContextual"/>
        </w:rPr>
        <w:t>Eurojust</w:t>
      </w:r>
      <w:proofErr w:type="spellEnd"/>
      <w:r w:rsidRPr="00ED1222">
        <w:rPr>
          <w:kern w:val="2"/>
          <w14:ligatures w14:val="standardContextual"/>
        </w:rPr>
        <w:t xml:space="preserve">, </w:t>
      </w:r>
      <w:proofErr w:type="spellStart"/>
      <w:r w:rsidRPr="00ED1222">
        <w:rPr>
          <w:kern w:val="2"/>
          <w14:ligatures w14:val="standardContextual"/>
        </w:rPr>
        <w:t>eu</w:t>
      </w:r>
      <w:proofErr w:type="spellEnd"/>
      <w:r w:rsidRPr="00ED1222">
        <w:rPr>
          <w:kern w:val="2"/>
          <w14:ligatures w14:val="standardContextual"/>
        </w:rPr>
        <w:t xml:space="preserve">-LISA ja </w:t>
      </w:r>
      <w:proofErr w:type="spellStart"/>
      <w:r w:rsidRPr="00ED1222">
        <w:rPr>
          <w:kern w:val="2"/>
          <w14:ligatures w14:val="standardContextual"/>
        </w:rPr>
        <w:t>Frontex</w:t>
      </w:r>
      <w:proofErr w:type="spellEnd"/>
      <w:r w:rsidRPr="00ED1222">
        <w:rPr>
          <w:kern w:val="2"/>
          <w14:ligatures w14:val="standardContextual"/>
        </w:rPr>
        <w:t>;</w:t>
      </w:r>
    </w:p>
    <w:p w14:paraId="2AE6DD22"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51.</w:t>
      </w:r>
      <w:r w:rsidRPr="00ED1222">
        <w:rPr>
          <w:kern w:val="2"/>
          <w14:ligatures w14:val="standardContextual"/>
        </w:rPr>
        <w:tab/>
        <w:t xml:space="preserve">tuletab meelde, et </w:t>
      </w:r>
      <w:proofErr w:type="spellStart"/>
      <w:r w:rsidRPr="00ED1222">
        <w:rPr>
          <w:kern w:val="2"/>
          <w14:ligatures w14:val="standardContextual"/>
        </w:rPr>
        <w:t>CdT</w:t>
      </w:r>
      <w:proofErr w:type="spellEnd"/>
      <w:r w:rsidRPr="00ED1222">
        <w:rPr>
          <w:kern w:val="2"/>
          <w14:ligatures w14:val="standardContextual"/>
        </w:rPr>
        <w:t xml:space="preserve"> avalikustab oma finantsaruannetes teabe põhitegevustulude vähenemise kohta, mis on tema majandustulemusi negatiivselt mõjutanud;</w:t>
      </w:r>
    </w:p>
    <w:p w14:paraId="75BE35DE"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52.</w:t>
      </w:r>
      <w:r w:rsidRPr="00ED1222">
        <w:rPr>
          <w:kern w:val="2"/>
          <w14:ligatures w14:val="standardContextual"/>
        </w:rPr>
        <w:tab/>
        <w:t xml:space="preserve">juhib tähelepanu ERA ja </w:t>
      </w:r>
      <w:proofErr w:type="spellStart"/>
      <w:r w:rsidRPr="00ED1222">
        <w:rPr>
          <w:kern w:val="2"/>
          <w14:ligatures w14:val="standardContextual"/>
        </w:rPr>
        <w:t>Eurojusti</w:t>
      </w:r>
      <w:proofErr w:type="spellEnd"/>
      <w:r w:rsidRPr="00ED1222">
        <w:rPr>
          <w:kern w:val="2"/>
          <w14:ligatures w14:val="standardContextual"/>
        </w:rPr>
        <w:t xml:space="preserve"> raamatupidamise aastaaruandes avaldatud teabele süsteemi SUMMA </w:t>
      </w:r>
      <w:r w:rsidRPr="00ED1222">
        <w:rPr>
          <w:kern w:val="2"/>
          <w:vertAlign w:val="superscript"/>
          <w14:ligatures w14:val="standardContextual"/>
        </w:rPr>
        <w:footnoteReference w:id="413"/>
      </w:r>
      <w:r w:rsidRPr="00ED1222">
        <w:rPr>
          <w:kern w:val="2"/>
          <w14:ligatures w14:val="standardContextual"/>
        </w:rPr>
        <w:t xml:space="preserve"> rakendamise kohta; märgib, et kogu 2023. aasta jooksul põhjustasid tehnilised probleemid jätkuvalt hilinenud maksete kasvu (2023. aastal 50 %) ja nõuete rikkumise juhtumeid </w:t>
      </w:r>
      <w:proofErr w:type="spellStart"/>
      <w:r w:rsidRPr="00ED1222">
        <w:rPr>
          <w:kern w:val="2"/>
          <w14:ligatures w14:val="standardContextual"/>
        </w:rPr>
        <w:t>Eurojustis</w:t>
      </w:r>
      <w:proofErr w:type="spellEnd"/>
      <w:r w:rsidRPr="00ED1222">
        <w:rPr>
          <w:kern w:val="2"/>
          <w14:ligatures w14:val="standardContextual"/>
        </w:rPr>
        <w:t>;</w:t>
      </w:r>
      <w:r w:rsidRPr="00ED1222">
        <w:rPr>
          <w:color w:val="101010"/>
          <w:kern w:val="2"/>
          <w14:ligatures w14:val="standardContextual"/>
        </w:rPr>
        <w:t xml:space="preserve"> märgib, et ERA koges esimesel trimestril tehnilisi probleeme, kuigi</w:t>
      </w:r>
      <w:r w:rsidRPr="00ED1222">
        <w:rPr>
          <w:kern w:val="2"/>
          <w14:ligatures w14:val="standardContextual"/>
        </w:rPr>
        <w:t xml:space="preserve"> võrreldes 2022. aastaga tehti olulisi edusamme;</w:t>
      </w:r>
    </w:p>
    <w:p w14:paraId="1D2581A8"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53.</w:t>
      </w:r>
      <w:r w:rsidRPr="00ED1222">
        <w:rPr>
          <w:kern w:val="2"/>
          <w14:ligatures w14:val="standardContextual"/>
        </w:rPr>
        <w:tab/>
        <w:t>märgib, et ESMA ja EBA raamatupidamise aastaaruanded sisaldavad teavet ühe kohtuasja </w:t>
      </w:r>
      <w:r w:rsidRPr="00ED1222">
        <w:rPr>
          <w:kern w:val="2"/>
          <w:vertAlign w:val="superscript"/>
          <w14:ligatures w14:val="standardContextual"/>
        </w:rPr>
        <w:footnoteReference w:id="414"/>
      </w:r>
      <w:r w:rsidRPr="00ED1222">
        <w:rPr>
          <w:kern w:val="2"/>
          <w14:ligatures w14:val="standardContextual"/>
        </w:rPr>
        <w:t xml:space="preserve"> tulemusega seotud kindlusetuse kohta; võtab teadmiseks, et ESMA-</w:t>
      </w:r>
      <w:proofErr w:type="spellStart"/>
      <w:r w:rsidRPr="00ED1222">
        <w:rPr>
          <w:kern w:val="2"/>
          <w14:ligatures w14:val="standardContextual"/>
        </w:rPr>
        <w:t>le</w:t>
      </w:r>
      <w:proofErr w:type="spellEnd"/>
      <w:r w:rsidRPr="00ED1222">
        <w:rPr>
          <w:kern w:val="2"/>
          <w14:ligatures w14:val="standardContextual"/>
        </w:rPr>
        <w:t xml:space="preserve"> teatati ametlikult kohtuasjast seoses ühise hankemenetlusega, kus lisaks ESMA-</w:t>
      </w:r>
      <w:proofErr w:type="spellStart"/>
      <w:r w:rsidRPr="00ED1222">
        <w:rPr>
          <w:kern w:val="2"/>
          <w14:ligatures w14:val="standardContextual"/>
        </w:rPr>
        <w:t>le</w:t>
      </w:r>
      <w:proofErr w:type="spellEnd"/>
      <w:r w:rsidRPr="00ED1222">
        <w:rPr>
          <w:kern w:val="2"/>
          <w14:ligatures w14:val="standardContextual"/>
        </w:rPr>
        <w:t xml:space="preserve"> osalesid veel kolm ELi asutust (EBA, EIOPA ja ERA); on teadlik, et menetluse tulemusel sõlmiti 40,2 miljoni euro suurune raamleping ning et 2023. aasta lõpuks olid ESMA ja EBA sõlminud erilepingud summades 2 185 226 eurot (ESMA) ja 6 306 786 eurot (EBA);</w:t>
      </w:r>
    </w:p>
    <w:p w14:paraId="42EBD52F"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lastRenderedPageBreak/>
        <w:t>54.</w:t>
      </w:r>
      <w:r w:rsidRPr="00ED1222">
        <w:rPr>
          <w:kern w:val="2"/>
          <w14:ligatures w14:val="standardContextual"/>
        </w:rPr>
        <w:tab/>
        <w:t>tunneb muret selle pärast, et hageja taotleb hankeotsuse tühistamist ja rahalist hüvitist vahemikus 400 000 eurot kuni 3,5 miljonit eurot; märgib, et kuna menetlus on varajases etapis, ei suuda ei ESMA ega ka EBA juhtkond anda kohtuasjast tulenevate võimalike kulude kohta usaldusväärset hinnangut </w:t>
      </w:r>
      <w:r w:rsidRPr="00ED1222">
        <w:rPr>
          <w:kern w:val="2"/>
          <w:vertAlign w:val="superscript"/>
          <w14:ligatures w14:val="standardContextual"/>
        </w:rPr>
        <w:footnoteReference w:id="415"/>
      </w:r>
      <w:r w:rsidRPr="00ED1222">
        <w:rPr>
          <w:kern w:val="2"/>
          <w14:ligatures w14:val="standardContextual"/>
        </w:rPr>
        <w:t>:</w:t>
      </w:r>
    </w:p>
    <w:p w14:paraId="6C5E4D07"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55.</w:t>
      </w:r>
      <w:r w:rsidRPr="00ED1222">
        <w:rPr>
          <w:kern w:val="2"/>
          <w14:ligatures w14:val="standardContextual"/>
        </w:rPr>
        <w:tab/>
        <w:t>juhib tähelepanu sellele, et ESMA raamatupidamise aastaaruandes on kajastatud 368 300 euro suurune väärtuse langus, mis vastab kolmandate riikide järelevalve alla kuuluvate üksuste poolt tasumata tasudele; märgib, et see väärtuse langus on seotud asjaoluga, et Euroopa turu infrastruktuuri määrus (EMIR) ei anna ESMA-</w:t>
      </w:r>
      <w:proofErr w:type="spellStart"/>
      <w:r w:rsidRPr="00ED1222">
        <w:rPr>
          <w:kern w:val="2"/>
          <w14:ligatures w14:val="standardContextual"/>
        </w:rPr>
        <w:t>le</w:t>
      </w:r>
      <w:proofErr w:type="spellEnd"/>
      <w:r w:rsidRPr="00ED1222">
        <w:rPr>
          <w:kern w:val="2"/>
          <w14:ligatures w14:val="standardContextual"/>
        </w:rPr>
        <w:t xml:space="preserve"> toimivat mehhanismi väljastpoolt liitu maksmata jäänud tasude sissenõudmiseks; väljendab heameelt selle üle, et kaasseadusandjate hiljutise kokkuleppega muuta määrust (EMIR 3) anti ESMA-</w:t>
      </w:r>
      <w:proofErr w:type="spellStart"/>
      <w:r w:rsidRPr="00ED1222">
        <w:rPr>
          <w:kern w:val="2"/>
          <w14:ligatures w14:val="standardContextual"/>
        </w:rPr>
        <w:t>le</w:t>
      </w:r>
      <w:proofErr w:type="spellEnd"/>
      <w:r w:rsidRPr="00ED1222">
        <w:rPr>
          <w:kern w:val="2"/>
          <w14:ligatures w14:val="standardContextual"/>
        </w:rPr>
        <w:t xml:space="preserve"> võimalus võtta ära tunnustus kolmandate riikide järelevalve alla kuuluvatelt üksustelt, kes ei maksa oma tasusid ära;</w:t>
      </w:r>
    </w:p>
    <w:p w14:paraId="78BE0764"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56.</w:t>
      </w:r>
      <w:r w:rsidRPr="00ED1222">
        <w:rPr>
          <w:kern w:val="2"/>
          <w14:ligatures w14:val="standardContextual"/>
        </w:rPr>
        <w:tab/>
        <w:t>märgib, et EBA raamatupidamise aastaaruanne sisaldab teavet digitaalse tegevuskerksuse määruse (DORA) ja krüptovaraturgude määruse (</w:t>
      </w:r>
      <w:proofErr w:type="spellStart"/>
      <w:r w:rsidRPr="00ED1222">
        <w:rPr>
          <w:kern w:val="2"/>
          <w14:ligatures w14:val="standardContextual"/>
        </w:rPr>
        <w:t>MiCAR</w:t>
      </w:r>
      <w:proofErr w:type="spellEnd"/>
      <w:r w:rsidRPr="00ED1222">
        <w:rPr>
          <w:kern w:val="2"/>
          <w14:ligatures w14:val="standardContextual"/>
        </w:rPr>
        <w:t>) märkimisväärse mõju kohta seoses rahastamata ressurssidega, mida on vaja seotud ülesannete täitmiseks ning asjakohase järelevalve- ja kontrollipoliitika rakendamiseks, mis toimus 2023. aastal enne tasude kogumise algust; võtab teadmiseks, et EBA pidi vahendid nende ettevalmistavate tegevuste jaoks ümber jaotama;</w:t>
      </w:r>
    </w:p>
    <w:p w14:paraId="2D2E7F4A"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57.</w:t>
      </w:r>
      <w:r w:rsidRPr="00ED1222">
        <w:rPr>
          <w:kern w:val="2"/>
          <w14:ligatures w14:val="standardContextual"/>
        </w:rPr>
        <w:tab/>
        <w:t>võtab teadmiseks, et EIT raamatupidamise aastaaruandes on esitatud eeldused, mida kasutati selleks, et prognoosida tegevuskulusid (toetuskulusid), mis on tekkinud ja esitatud bilansis eelmaksete varade kahaneva kirjena; tuletab meelde, et hinnangu andmine toetuskulude tekkimise kohta on väga oluline ja sellega kaasneb paratamatult ebakindlus;</w:t>
      </w:r>
    </w:p>
    <w:p w14:paraId="6BD60C60"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58.</w:t>
      </w:r>
      <w:r w:rsidRPr="00ED1222">
        <w:rPr>
          <w:kern w:val="2"/>
          <w14:ligatures w14:val="standardContextual"/>
        </w:rPr>
        <w:tab/>
        <w:t>märgib, et EMA avaldab oma raamatupidamise aastaaruandes olulist teavet oma Londonis asunud endiste ruumide ja sellega seotud kindlusetuse kohta, mis tuleneb asjaolust, et allüürniku emaettevõtja on esitanud pankrotiavalduse; märgib murega, et EMA võidakse pidada vastutavaks kogu põhiüürilepingu alusel tasumisele kuuluva summa eest; on teadlik, et maksimumsumma, sealhulgas nõukogu maksukohustus, mille peab tasuma EMA, kui ruumid jäävad rendilepingu lõppemiseni tühjaks, on 550 miljonit eurot; märgib, et EMA peab praegu kontserni Ühendkuningriigi filiaaliga allüürile andmise tingimuste üle uusi läbirääkimisi ning nende läbirääkimiste raames nõustus EMA 2024. aasta kahe esimese kvartali üürimaksete edasilükkamisega ja allüürniku üüri vähendamisega alates 1. jaanuarist 2024; märgib, et sellega seoses on EMA teinud kahjuliku lepinguga seotud eraldise summas 131,4 miljonit eurot; võtab teadmiseks, et ameti allüürnik täitis oma 2023. aasta lepingulised kohustused ja tegi üürimakseid kuni 31. detsembrini 2023, ning nõuab tungivalt, et EMA ja komisjon leiaksid kestliku lahenduse lepingu ja kõigi sellega seotud kohustuste lõpetamiseks enne järgmist, 2024. aasta eelarve täitmisele heakskiidu andmise menetlust;</w:t>
      </w:r>
    </w:p>
    <w:p w14:paraId="0DA5BE8E"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59.</w:t>
      </w:r>
      <w:r w:rsidRPr="00ED1222">
        <w:rPr>
          <w:kern w:val="2"/>
          <w14:ligatures w14:val="standardContextual"/>
        </w:rPr>
        <w:tab/>
        <w:t xml:space="preserve">märgib, et </w:t>
      </w:r>
      <w:proofErr w:type="spellStart"/>
      <w:r w:rsidRPr="00ED1222">
        <w:rPr>
          <w:kern w:val="2"/>
          <w14:ligatures w14:val="standardContextual"/>
        </w:rPr>
        <w:t>eu</w:t>
      </w:r>
      <w:proofErr w:type="spellEnd"/>
      <w:r w:rsidRPr="00ED1222">
        <w:rPr>
          <w:kern w:val="2"/>
          <w14:ligatures w14:val="standardContextual"/>
        </w:rPr>
        <w:t xml:space="preserve">-LISA raamatupidamise aastaaruanne sisaldab teavet sellise peatöövõtja finantsseisundi kohta, kellega on sõlmitud kaks kehtivat raamlepingut; märgib, et </w:t>
      </w:r>
      <w:proofErr w:type="spellStart"/>
      <w:r w:rsidRPr="00ED1222">
        <w:rPr>
          <w:kern w:val="2"/>
          <w14:ligatures w14:val="standardContextual"/>
        </w:rPr>
        <w:t>eu</w:t>
      </w:r>
      <w:proofErr w:type="spellEnd"/>
      <w:r w:rsidRPr="00ED1222">
        <w:rPr>
          <w:kern w:val="2"/>
          <w14:ligatures w14:val="standardContextual"/>
        </w:rPr>
        <w:t>-</w:t>
      </w:r>
      <w:proofErr w:type="spellStart"/>
      <w:r w:rsidRPr="00ED1222">
        <w:rPr>
          <w:kern w:val="2"/>
          <w14:ligatures w14:val="standardContextual"/>
        </w:rPr>
        <w:t>LISA-l</w:t>
      </w:r>
      <w:proofErr w:type="spellEnd"/>
      <w:r w:rsidRPr="00ED1222">
        <w:rPr>
          <w:kern w:val="2"/>
          <w14:ligatures w14:val="standardContextual"/>
        </w:rPr>
        <w:t xml:space="preserve"> on kaks kehtivat raamlepingut töövõtjaga, kes on konsortsiumi liige, ning see töövõtja asendas lepingutes oma emaettevõtja ning vastutab riiki sisenemise ja riigist lahkumise süsteemi rakendamise ja hooldamise ning teenuste osutamise eest valdkonnaülese tegevuse raamistiku 1. osa alusel; võtab teadmiseks, et täitmata </w:t>
      </w:r>
      <w:r w:rsidRPr="00ED1222">
        <w:rPr>
          <w:kern w:val="2"/>
          <w14:ligatures w14:val="standardContextual"/>
        </w:rPr>
        <w:lastRenderedPageBreak/>
        <w:t xml:space="preserve">lepingusummad on vastavalt 97,5 miljonit eurot ja 41 miljonit eurot; märgib, et emaettevõtja rahalise elujõulisusega seotud võimalike riskide käsitlemiseks jälgib </w:t>
      </w:r>
      <w:proofErr w:type="spellStart"/>
      <w:r w:rsidRPr="00ED1222">
        <w:rPr>
          <w:kern w:val="2"/>
          <w14:ligatures w14:val="standardContextual"/>
        </w:rPr>
        <w:t>eu</w:t>
      </w:r>
      <w:proofErr w:type="spellEnd"/>
      <w:r w:rsidRPr="00ED1222">
        <w:rPr>
          <w:kern w:val="2"/>
          <w14:ligatures w14:val="standardContextual"/>
        </w:rPr>
        <w:t xml:space="preserve">-LISA tähelepanelikult töövõtja finantsolukorda, kasutades sõltumatuid </w:t>
      </w:r>
      <w:proofErr w:type="spellStart"/>
      <w:r w:rsidRPr="00ED1222">
        <w:rPr>
          <w:kern w:val="2"/>
          <w14:ligatures w14:val="standardContextual"/>
        </w:rPr>
        <w:t>riskihindamisvahendeid</w:t>
      </w:r>
      <w:proofErr w:type="spellEnd"/>
      <w:r w:rsidRPr="00ED1222">
        <w:rPr>
          <w:kern w:val="2"/>
          <w14:ligatures w14:val="standardContextual"/>
        </w:rPr>
        <w:t xml:space="preserve"> ja otseseid päringuid; märgib, et </w:t>
      </w:r>
      <w:proofErr w:type="spellStart"/>
      <w:r w:rsidRPr="00ED1222">
        <w:rPr>
          <w:kern w:val="2"/>
          <w14:ligatures w14:val="standardContextual"/>
        </w:rPr>
        <w:t>eu</w:t>
      </w:r>
      <w:proofErr w:type="spellEnd"/>
      <w:r w:rsidRPr="00ED1222">
        <w:rPr>
          <w:kern w:val="2"/>
          <w14:ligatures w14:val="standardContextual"/>
        </w:rPr>
        <w:t>-LISA hindab ka korrapäraselt arendustegevuse faasis oleva varaga seotud edusamme, et tagada kahjuliku mõju puudumine ameti volitustele, ning tegutseb finantsreeglite piires ennetavalt tarneahela häiretega seotud riskide juhtimisel ja leevendamisel </w:t>
      </w:r>
      <w:r w:rsidRPr="00ED1222">
        <w:rPr>
          <w:kern w:val="2"/>
          <w:vertAlign w:val="superscript"/>
          <w14:ligatures w14:val="standardContextual"/>
        </w:rPr>
        <w:footnoteReference w:id="416"/>
      </w:r>
      <w:r w:rsidRPr="00ED1222">
        <w:rPr>
          <w:kern w:val="2"/>
          <w14:ligatures w14:val="standardContextual"/>
        </w:rPr>
        <w:t>;</w:t>
      </w:r>
    </w:p>
    <w:p w14:paraId="2A8C14D8"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60.</w:t>
      </w:r>
      <w:r w:rsidRPr="00ED1222">
        <w:rPr>
          <w:kern w:val="2"/>
          <w14:ligatures w14:val="standardContextual"/>
        </w:rPr>
        <w:tab/>
        <w:t xml:space="preserve">tuletab meelde, et </w:t>
      </w:r>
      <w:proofErr w:type="spellStart"/>
      <w:r w:rsidRPr="00ED1222">
        <w:rPr>
          <w:kern w:val="2"/>
          <w14:ligatures w14:val="standardContextual"/>
        </w:rPr>
        <w:t>Frontexil</w:t>
      </w:r>
      <w:proofErr w:type="spellEnd"/>
      <w:r w:rsidRPr="00ED1222">
        <w:rPr>
          <w:kern w:val="2"/>
          <w14:ligatures w14:val="standardContextual"/>
        </w:rPr>
        <w:t xml:space="preserve"> ja kontrollikojal on korduvalt olnud erinevad lähenemisviisid seoses Schengeni lepinguga ühinenud riikide poolt </w:t>
      </w:r>
      <w:proofErr w:type="spellStart"/>
      <w:r w:rsidRPr="00ED1222">
        <w:rPr>
          <w:kern w:val="2"/>
          <w14:ligatures w14:val="standardContextual"/>
        </w:rPr>
        <w:t>Frontexi</w:t>
      </w:r>
      <w:proofErr w:type="spellEnd"/>
      <w:r w:rsidRPr="00ED1222">
        <w:rPr>
          <w:kern w:val="2"/>
          <w14:ligatures w14:val="standardContextual"/>
        </w:rPr>
        <w:t xml:space="preserve"> eelarvesse tehtavate osamaksete arvutamisega; võtab teadmiseks, et kontrollikoda on seisukohal, et </w:t>
      </w:r>
      <w:proofErr w:type="spellStart"/>
      <w:r w:rsidRPr="00ED1222">
        <w:rPr>
          <w:kern w:val="2"/>
          <w14:ligatures w14:val="standardContextual"/>
        </w:rPr>
        <w:t>Frontexi</w:t>
      </w:r>
      <w:proofErr w:type="spellEnd"/>
      <w:r w:rsidRPr="00ED1222">
        <w:rPr>
          <w:kern w:val="2"/>
          <w14:ligatures w14:val="standardContextual"/>
        </w:rPr>
        <w:t xml:space="preserve"> tõlgendus on ekslik, kuna selle alusel eraldavad Schengeni lepinguga ühinenud riigid </w:t>
      </w:r>
      <w:proofErr w:type="spellStart"/>
      <w:r w:rsidRPr="00ED1222">
        <w:rPr>
          <w:kern w:val="2"/>
          <w14:ligatures w14:val="standardContextual"/>
        </w:rPr>
        <w:t>Frontexi</w:t>
      </w:r>
      <w:proofErr w:type="spellEnd"/>
      <w:r w:rsidRPr="00ED1222">
        <w:rPr>
          <w:kern w:val="2"/>
          <w14:ligatures w14:val="standardContextual"/>
        </w:rPr>
        <w:t xml:space="preserve"> eelarvesse ligikaudu 3,5 miljonit eurot (7 %) vähem kui nende majanduse osakaal liidu majanduses eeldaks; võtab teadmiseks, et peaarvepidaja kohusetäitja uuris olukorda ja on sarnaselt haldusnõukoguga seisukohal, et </w:t>
      </w:r>
      <w:proofErr w:type="spellStart"/>
      <w:r w:rsidRPr="00ED1222">
        <w:rPr>
          <w:kern w:val="2"/>
          <w14:ligatures w14:val="standardContextual"/>
        </w:rPr>
        <w:t>Frontexil</w:t>
      </w:r>
      <w:proofErr w:type="spellEnd"/>
      <w:r w:rsidRPr="00ED1222">
        <w:rPr>
          <w:kern w:val="2"/>
          <w14:ligatures w14:val="standardContextual"/>
        </w:rPr>
        <w:t xml:space="preserve"> ei ole vaja vaadata läbi praegust arvutusmetoodikat, mis puudutab Schengeni lepinguga ühinenud riikide osamakseid </w:t>
      </w:r>
      <w:proofErr w:type="spellStart"/>
      <w:r w:rsidRPr="00ED1222">
        <w:rPr>
          <w:kern w:val="2"/>
          <w14:ligatures w14:val="standardContextual"/>
        </w:rPr>
        <w:t>Frontexi</w:t>
      </w:r>
      <w:proofErr w:type="spellEnd"/>
      <w:r w:rsidRPr="00ED1222">
        <w:rPr>
          <w:kern w:val="2"/>
          <w14:ligatures w14:val="standardContextual"/>
        </w:rPr>
        <w:t xml:space="preserve"> eelarvesse; </w:t>
      </w:r>
      <w:r w:rsidRPr="00ED1222">
        <w:rPr>
          <w:kern w:val="2"/>
          <w:vertAlign w:val="superscript"/>
          <w14:ligatures w14:val="standardContextual"/>
        </w:rPr>
        <w:footnoteReference w:id="417"/>
      </w:r>
      <w:r w:rsidRPr="00ED1222">
        <w:rPr>
          <w:kern w:val="2"/>
          <w14:ligatures w14:val="standardContextual"/>
        </w:rPr>
        <w:t xml:space="preserve"> võtab teadmiseks </w:t>
      </w:r>
      <w:proofErr w:type="spellStart"/>
      <w:r w:rsidRPr="00ED1222">
        <w:rPr>
          <w:kern w:val="2"/>
          <w14:ligatures w14:val="standardContextual"/>
        </w:rPr>
        <w:t>Frontexi</w:t>
      </w:r>
      <w:proofErr w:type="spellEnd"/>
      <w:r w:rsidRPr="00ED1222">
        <w:rPr>
          <w:kern w:val="2"/>
          <w14:ligatures w14:val="standardContextual"/>
        </w:rPr>
        <w:t xml:space="preserve"> 2022. aasta eelarve täitmisele heakskiidu andmise raporti järelmeetmete aruande, milles märgitakse, et amet ei kavatse nende arvutuste tegemiseks kasutatud metoodikat muuta; palub ametil anda eelarve täitmisele heakskiidu andmise eest vastutavale institutsioonile aru nendes arvutustes kasutatud metoodika kohta koos üksikasjalike selgitustega;</w:t>
      </w:r>
    </w:p>
    <w:p w14:paraId="5B087257" w14:textId="77777777" w:rsidR="00ED1222" w:rsidRPr="00ED1222" w:rsidRDefault="00ED1222" w:rsidP="00ED1222">
      <w:pPr>
        <w:keepNext/>
        <w:keepLines/>
        <w:spacing w:after="240"/>
        <w:rPr>
          <w:b/>
          <w:i/>
          <w:kern w:val="2"/>
          <w14:ligatures w14:val="standardContextual"/>
        </w:rPr>
      </w:pPr>
      <w:r w:rsidRPr="00ED1222">
        <w:rPr>
          <w:b/>
          <w:i/>
          <w:kern w:val="2"/>
          <w14:ligatures w14:val="standardContextual"/>
        </w:rPr>
        <w:t>Tulemuslikkus</w:t>
      </w:r>
    </w:p>
    <w:p w14:paraId="6E176592"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61.</w:t>
      </w:r>
      <w:r w:rsidRPr="00ED1222">
        <w:rPr>
          <w:kern w:val="2"/>
          <w14:ligatures w14:val="standardContextual"/>
        </w:rPr>
        <w:tab/>
        <w:t>märgib, et detsentraliseeritud asutusi käsitlevas ühises lähenemisviisis võetakse kasutusele peamiste tulemusnäitajate kontseptsioon, mille eesmärk on parandada asutuste tulemuslikkuse jälgimist;</w:t>
      </w:r>
    </w:p>
    <w:p w14:paraId="12A07672"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62.</w:t>
      </w:r>
      <w:r w:rsidRPr="00ED1222">
        <w:rPr>
          <w:kern w:val="2"/>
          <w14:ligatures w14:val="standardContextual"/>
        </w:rPr>
        <w:tab/>
        <w:t>märgib lisaks, et komisjoni koostatud tegevuskava </w:t>
      </w:r>
      <w:r w:rsidRPr="00ED1222">
        <w:rPr>
          <w:kern w:val="2"/>
          <w:vertAlign w:val="superscript"/>
          <w14:ligatures w14:val="standardContextual"/>
        </w:rPr>
        <w:footnoteReference w:id="418"/>
      </w:r>
      <w:r w:rsidRPr="00ED1222">
        <w:rPr>
          <w:kern w:val="2"/>
          <w14:ligatures w14:val="standardContextual"/>
        </w:rPr>
        <w:t xml:space="preserve"> kohaselt tuleks välja töötada peamised tulemusnäitajad nii asutuse kui ka selle direktori töö kohta; märgib ka, et komisjon tegi ühtlasi ettepaneku töötada välja vormid iga-aastase tööprogrammi või hindamise jaoks;</w:t>
      </w:r>
    </w:p>
    <w:p w14:paraId="30ECB62D"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63.</w:t>
      </w:r>
      <w:r w:rsidRPr="00ED1222">
        <w:rPr>
          <w:kern w:val="2"/>
          <w14:ligatures w14:val="standardContextual"/>
        </w:rPr>
        <w:tab/>
        <w:t>juhib tähelepanu sellele, et tegevuskava kohaselt peaksid asutused ja komisjon töötama peamised tulemusnäitajad välja igal aastal ning seetõttu peaksid need aasta-aastalt muutuma, mis teeb asutuse tulemuslikkuse jälgimise pikema aja jooksul keeruliseks, kuna mõningaid peamisi tulemusnäitajaid ei pruugita järgida mitme aasta jooksul;</w:t>
      </w:r>
    </w:p>
    <w:p w14:paraId="0415B01F"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64.</w:t>
      </w:r>
      <w:r w:rsidRPr="00ED1222">
        <w:rPr>
          <w:kern w:val="2"/>
          <w14:ligatures w14:val="standardContextual"/>
        </w:rPr>
        <w:tab/>
        <w:t>soovitab ametitel võtta meetmeid täitmata või hilinenud näitajate täitmiseks ning kohandada tulemuslikkuse suurendamiseks korrapäraselt oma peamisi tulemusnäitajaid;</w:t>
      </w:r>
    </w:p>
    <w:p w14:paraId="4F124B9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65.</w:t>
      </w:r>
      <w:r w:rsidRPr="00ED1222">
        <w:rPr>
          <w:kern w:val="2"/>
          <w14:ligatures w14:val="standardContextual"/>
        </w:rPr>
        <w:tab/>
        <w:t>rõhutab, et komisjoni suunistes </w:t>
      </w:r>
      <w:r w:rsidRPr="00ED1222">
        <w:rPr>
          <w:kern w:val="2"/>
          <w:vertAlign w:val="superscript"/>
          <w14:ligatures w14:val="standardContextual"/>
        </w:rPr>
        <w:footnoteReference w:id="419"/>
      </w:r>
      <w:r w:rsidRPr="00ED1222">
        <w:rPr>
          <w:kern w:val="2"/>
          <w14:ligatures w14:val="standardContextual"/>
        </w:rPr>
        <w:t xml:space="preserve"> ELi detsentraliseeritud asutuste direktoritele mõeldud </w:t>
      </w:r>
      <w:r w:rsidRPr="00ED1222">
        <w:rPr>
          <w:kern w:val="2"/>
          <w14:ligatures w14:val="standardContextual"/>
        </w:rPr>
        <w:lastRenderedPageBreak/>
        <w:t>peamiste tulemusnäitajate kohta keskendutakse täielikult asutuste direktorite tegevuse tulemustele, st need on peamiselt seotud eelarve ja personalihaldusega ning neid ei kasutata selleks, et hinnata asutuste volituste alusel toimuva tegevuse tulemusi või tõhusust ja tulemuslikkust; </w:t>
      </w:r>
      <w:r w:rsidRPr="00ED1222">
        <w:rPr>
          <w:kern w:val="2"/>
          <w:vertAlign w:val="superscript"/>
          <w14:ligatures w14:val="standardContextual"/>
        </w:rPr>
        <w:footnoteReference w:id="420"/>
      </w:r>
    </w:p>
    <w:p w14:paraId="0BEA876C"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66.</w:t>
      </w:r>
      <w:r w:rsidRPr="00ED1222">
        <w:rPr>
          <w:kern w:val="2"/>
          <w14:ligatures w14:val="standardContextual"/>
        </w:rPr>
        <w:tab/>
        <w:t>rõhutab lisaks, et kuna puudub standardne lähenemisviis asutuste iga-aastastes tegevusaruannetes peamiste tulemusnäitajate esitamiseks, on raske saada iga asutuse tulemuslikkusest ülevaadet;</w:t>
      </w:r>
    </w:p>
    <w:p w14:paraId="3F59EA1D"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67.</w:t>
      </w:r>
      <w:r w:rsidRPr="00ED1222">
        <w:rPr>
          <w:kern w:val="2"/>
          <w14:ligatures w14:val="standardContextual"/>
        </w:rPr>
        <w:tab/>
        <w:t>toonitab, et kontrollikoja järelduste kohaselt ei aita peamised tulemusnäitajad jälgida asutuste tegevust ning finants- ja personalijuhtimist;</w:t>
      </w:r>
    </w:p>
    <w:p w14:paraId="777736FE"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68.</w:t>
      </w:r>
      <w:r w:rsidRPr="00ED1222">
        <w:rPr>
          <w:kern w:val="2"/>
          <w14:ligatures w14:val="standardContextual"/>
        </w:rPr>
        <w:tab/>
        <w:t>nõuab kõigi asutuste tulemuslikkuse sõltumatut läbivaatamist, et hinnata, kas nende tegevus on tulemuslikult kooskõlas liidu poliitiliste prioriteetidega ja annab käegakatsutavaid tulemusi; nõuab tulemuspõhise eelarvestamise ja tõhususe võrdlusaluste kehtestamist, et tagada ressursside optimaalne jaotus ja mõjupõhine juhtimine;</w:t>
      </w:r>
    </w:p>
    <w:p w14:paraId="3385B40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69.</w:t>
      </w:r>
      <w:r w:rsidRPr="00ED1222">
        <w:rPr>
          <w:kern w:val="2"/>
          <w14:ligatures w14:val="standardContextual"/>
        </w:rPr>
        <w:tab/>
        <w:t>väljendab heameelt asjaolu üle, et amet on koostöös Euroopa Toiduohutusametiga (EFSA) astunud samme põhimõtte „üks aine – üks hindamine“ edendamiseks, et tagada toimeainete ohtude ja riskide hindamise suurem järjepidevus; kutsub asutusi üles edendama ka edaspidi koostööd teiste ELi asutuste ja rahvusvaheliste organisatsioonidega ning toetama sidusrühmade ja kodanikega peetavat arutelu;</w:t>
      </w:r>
    </w:p>
    <w:p w14:paraId="2B580680"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70.</w:t>
      </w:r>
      <w:r w:rsidRPr="00ED1222">
        <w:rPr>
          <w:kern w:val="2"/>
          <w14:ligatures w14:val="standardContextual"/>
        </w:rPr>
        <w:tab/>
        <w:t>tuletab meelde liidu täisleppimatuse poliitikat ebaseadusliku, teatamata ja reguleerimata kalapüügi suhtes ning Euroopa Kalanduskontrolli Ametit (EFCA) olulist panust ühise kalanduspoliitika rakendamisse, eelkõige seoses kalanduskontrolli ja ebaseadusliku, teatamata ja reguleerimata kalapüügi vastase võitlusega;</w:t>
      </w:r>
    </w:p>
    <w:p w14:paraId="6AFE1871"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71.</w:t>
      </w:r>
      <w:r w:rsidRPr="00ED1222">
        <w:rPr>
          <w:kern w:val="2"/>
          <w14:ligatures w14:val="standardContextual"/>
        </w:rPr>
        <w:tab/>
        <w:t>toonitab, et püügitegevuse kontrollimise eest vastutavad peamiselt liikmesriigid, samas kui ameti ülesanded piirduvad toetamise, koordineerimise ja liikmesriikide abistamisega selles valdkonnas; kutsub ametit üles toetama liikmesriike sunniviisilise tööga seotud tõsiste rikkumiste jälgimisel ja kindlakstegemisel ning pakkuma inspektoritele piisavat koolitust nende tõsiste rikkumiste kohta;</w:t>
      </w:r>
    </w:p>
    <w:p w14:paraId="30FC8CE1"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72.</w:t>
      </w:r>
      <w:r w:rsidRPr="00ED1222">
        <w:rPr>
          <w:kern w:val="2"/>
          <w14:ligatures w14:val="standardContextual"/>
        </w:rPr>
        <w:tab/>
        <w:t xml:space="preserve">kutsub </w:t>
      </w:r>
      <w:proofErr w:type="spellStart"/>
      <w:r w:rsidRPr="00ED1222">
        <w:rPr>
          <w:kern w:val="2"/>
          <w14:ligatures w14:val="standardContextual"/>
        </w:rPr>
        <w:t>EUSPAt</w:t>
      </w:r>
      <w:proofErr w:type="spellEnd"/>
      <w:r w:rsidRPr="00ED1222">
        <w:rPr>
          <w:kern w:val="2"/>
          <w14:ligatures w14:val="standardContextual"/>
        </w:rPr>
        <w:t xml:space="preserve"> üles tegema pidevat tööd ELi kosmoseprogrammi elluviimise peamise toetajana, tugevdades liidu tööstusbaasi, konkurentsivõimet ja innovatsiooni; julgustab seadma prioriteediks Euroopa hanked, eelkõige valdkondades, mis on liidu vastupanuvõime, strateegilise autonoomia ja suveräänsuse jaoks kriitilise tähtsusega; rõhutab </w:t>
      </w:r>
      <w:proofErr w:type="spellStart"/>
      <w:r w:rsidRPr="00ED1222">
        <w:rPr>
          <w:kern w:val="2"/>
          <w14:ligatures w14:val="standardContextual"/>
        </w:rPr>
        <w:t>Galileo</w:t>
      </w:r>
      <w:proofErr w:type="spellEnd"/>
      <w:r w:rsidRPr="00ED1222">
        <w:rPr>
          <w:kern w:val="2"/>
          <w14:ligatures w14:val="standardContextual"/>
        </w:rPr>
        <w:t xml:space="preserve"> ja selle osutatava avaliku reguleeritud teenuse olulist rolli liidu julgeolekus ja kaitses ning </w:t>
      </w:r>
      <w:proofErr w:type="spellStart"/>
      <w:r w:rsidRPr="00ED1222">
        <w:rPr>
          <w:kern w:val="2"/>
          <w14:ligatures w14:val="standardContextual"/>
        </w:rPr>
        <w:t>GOVSATCOMi</w:t>
      </w:r>
      <w:proofErr w:type="spellEnd"/>
      <w:r w:rsidRPr="00ED1222">
        <w:rPr>
          <w:kern w:val="2"/>
          <w14:ligatures w14:val="standardContextual"/>
        </w:rPr>
        <w:t xml:space="preserve"> lühiajalist kasu ja IRIS</w:t>
      </w:r>
      <w:r w:rsidRPr="00ED1222">
        <w:rPr>
          <w:kern w:val="2"/>
          <w:vertAlign w:val="superscript"/>
          <w14:ligatures w14:val="standardContextual"/>
        </w:rPr>
        <w:t>2</w:t>
      </w:r>
      <w:r w:rsidRPr="00ED1222">
        <w:rPr>
          <w:kern w:val="2"/>
          <w14:ligatures w14:val="standardContextual"/>
        </w:rPr>
        <w:t xml:space="preserve"> pikaajalist strateegilist väärtust; rõhutab, et liidu kaitse- ja julgeolekuvõime algatused peaksid tarbetu dubleerimise vältimiseks võimendama liidu kosmosesektori eksperditeadmisi ja taristut;</w:t>
      </w:r>
    </w:p>
    <w:p w14:paraId="63B567E2"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73.</w:t>
      </w:r>
      <w:r w:rsidRPr="00ED1222">
        <w:rPr>
          <w:kern w:val="2"/>
          <w14:ligatures w14:val="standardContextual"/>
        </w:rPr>
        <w:tab/>
        <w:t xml:space="preserve">võtab teadmiseks uue koostalitlusvõime tegevuskava; võtab teadmiseks, et liidu infosüsteemide kasutuselevõtu ja koostalitlusvõime uus ajakava osutus vajalikuks </w:t>
      </w:r>
      <w:r w:rsidRPr="00ED1222">
        <w:rPr>
          <w:kern w:val="2"/>
          <w14:ligatures w14:val="standardContextual"/>
        </w:rPr>
        <w:lastRenderedPageBreak/>
        <w:t xml:space="preserve">viivituste tõttu riiki sisenemise ja riigist lahkumise süsteemi (EES), ELi reisiinfo ja -lubade süsteemi (ETIAS) ning Euroopa karistusregistrite infosüsteemi kolmandate riikide kodanike kohta (ECRIS-TCN) arendamisel; rõhutab, et kiire, mõjus ja usaldusväärne teabevahetus, mis toimub kooskõlas kohaldatavate õigusaktidega, on liidu vabadusel, turvalisusel ja õigusel rajaneva ala säilitamiseks ja tugevdamiseks otsustava tähtsusega; tunnustab sellega seoses </w:t>
      </w:r>
      <w:proofErr w:type="spellStart"/>
      <w:r w:rsidRPr="00ED1222">
        <w:rPr>
          <w:kern w:val="2"/>
          <w14:ligatures w14:val="standardContextual"/>
        </w:rPr>
        <w:t>eu</w:t>
      </w:r>
      <w:proofErr w:type="spellEnd"/>
      <w:r w:rsidRPr="00ED1222">
        <w:rPr>
          <w:kern w:val="2"/>
          <w14:ligatures w14:val="standardContextual"/>
        </w:rPr>
        <w:t>-LISA tehtud tööd ja täiustusi;</w:t>
      </w:r>
    </w:p>
    <w:p w14:paraId="415F2244"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74.</w:t>
      </w:r>
      <w:r w:rsidRPr="00ED1222">
        <w:rPr>
          <w:kern w:val="2"/>
          <w14:ligatures w14:val="standardContextual"/>
        </w:rPr>
        <w:tab/>
        <w:t xml:space="preserve">võtab teadmiseks pingutused, mida Euroopa Liidu Asutuste Tõlkekeskus on teinud liidus </w:t>
      </w:r>
      <w:proofErr w:type="spellStart"/>
      <w:r w:rsidRPr="00ED1222">
        <w:rPr>
          <w:kern w:val="2"/>
          <w14:ligatures w14:val="standardContextual"/>
        </w:rPr>
        <w:t>mitmekeelsuse</w:t>
      </w:r>
      <w:proofErr w:type="spellEnd"/>
      <w:r w:rsidRPr="00ED1222">
        <w:rPr>
          <w:kern w:val="2"/>
          <w14:ligatures w14:val="standardContextual"/>
        </w:rPr>
        <w:t xml:space="preserve"> võimaldamiseks ja edendamiseks, näiteks seoses ELi asutuste teabevahetusega ja terminoloogia väljatöötamisega spetsiifilistes teemavaldkondades, et parandada tõlgete kvaliteeti; tunneb heameelt tehisintellekti töörühma loomise üle 2023. aasta juunis ja otsuse üle jätkata selle töörühma tööd uues tehisintellekti nõuanderühmas;</w:t>
      </w:r>
    </w:p>
    <w:p w14:paraId="79B26A62"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75.</w:t>
      </w:r>
      <w:r w:rsidRPr="00ED1222">
        <w:rPr>
          <w:kern w:val="2"/>
          <w14:ligatures w14:val="standardContextual"/>
        </w:rPr>
        <w:tab/>
        <w:t xml:space="preserve">kutsub </w:t>
      </w:r>
      <w:proofErr w:type="spellStart"/>
      <w:r w:rsidRPr="00ED1222">
        <w:rPr>
          <w:kern w:val="2"/>
          <w14:ligatures w14:val="standardContextual"/>
        </w:rPr>
        <w:t>EFCAt</w:t>
      </w:r>
      <w:proofErr w:type="spellEnd"/>
      <w:r w:rsidRPr="00ED1222">
        <w:rPr>
          <w:kern w:val="2"/>
          <w14:ligatures w14:val="standardContextual"/>
        </w:rPr>
        <w:t xml:space="preserve"> üles toetama liikmesriike Euroopa Parlamendi ja nõukogu määruse (EL) 2023/2842</w:t>
      </w:r>
      <w:r w:rsidRPr="00ED1222">
        <w:rPr>
          <w:kern w:val="2"/>
          <w:vertAlign w:val="superscript"/>
          <w14:ligatures w14:val="standardContextual"/>
        </w:rPr>
        <w:footnoteReference w:id="421"/>
      </w:r>
      <w:r w:rsidRPr="00ED1222">
        <w:rPr>
          <w:kern w:val="2"/>
          <w14:ligatures w14:val="standardContextual"/>
        </w:rPr>
        <w:t xml:space="preserve"> artikli 90 lõike 2 punkti p (mis käsitleb sunniviisilist tööd) kohaldamisega seotud tõsiste rikkumiste jälgimisel ja kindlakstegemisel ning pakkuma inspektoritele piisavat koolitust nende tõsiste rikkumiste kohta;</w:t>
      </w:r>
    </w:p>
    <w:p w14:paraId="4CA83014"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76.</w:t>
      </w:r>
      <w:r w:rsidRPr="00ED1222">
        <w:rPr>
          <w:kern w:val="2"/>
          <w14:ligatures w14:val="standardContextual"/>
        </w:rPr>
        <w:tab/>
        <w:t>märgib, et 2023. aastal andis EFCA teada 44 993 kontrollist (merel ja kaldal), mille tulemusel avastati võimalikke rikkumisi vähemalt 4 230 juhul nendest kontrollidest; märgib, et need andmed kokku näitavad kontrollide koguarvu mõningast vähenemist (5 % vähem kui 2022. aastal) ning selliste kontrollide koguarvu vähenemist 18 % võrra, mille käigus kahtlustatavaid rikkumisi avastati; juhib tähelepanu, et inspekteerimisel ja muudel järelmeetmetel on oluline roll mitte ainult kalavarude nõuetekohasel majandamisel, vaid ka liidu kaluritele võrdsete tingimuste tagamisel;</w:t>
      </w:r>
    </w:p>
    <w:p w14:paraId="6B49607B"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77.</w:t>
      </w:r>
      <w:r w:rsidRPr="00ED1222">
        <w:rPr>
          <w:kern w:val="2"/>
          <w14:ligatures w14:val="standardContextual"/>
        </w:rPr>
        <w:tab/>
        <w:t xml:space="preserve">tunnustab </w:t>
      </w:r>
      <w:proofErr w:type="spellStart"/>
      <w:r w:rsidRPr="00ED1222">
        <w:rPr>
          <w:kern w:val="2"/>
          <w14:ligatures w14:val="standardContextual"/>
        </w:rPr>
        <w:t>Eurojusti</w:t>
      </w:r>
      <w:proofErr w:type="spellEnd"/>
      <w:r w:rsidRPr="00ED1222">
        <w:rPr>
          <w:kern w:val="2"/>
          <w14:ligatures w14:val="standardContextual"/>
        </w:rPr>
        <w:t xml:space="preserve"> püüdlusi õigusemõistmise </w:t>
      </w:r>
      <w:proofErr w:type="spellStart"/>
      <w:r w:rsidRPr="00ED1222">
        <w:rPr>
          <w:kern w:val="2"/>
          <w14:ligatures w14:val="standardContextual"/>
        </w:rPr>
        <w:t>digiteerimisel</w:t>
      </w:r>
      <w:proofErr w:type="spellEnd"/>
      <w:r w:rsidRPr="00ED1222">
        <w:rPr>
          <w:kern w:val="2"/>
          <w14:ligatures w14:val="standardContextual"/>
        </w:rPr>
        <w:t xml:space="preserve">, eelkõige uue kohtuasjade haldamise süsteemi rakendamist pärast </w:t>
      </w:r>
      <w:proofErr w:type="spellStart"/>
      <w:r w:rsidRPr="00ED1222">
        <w:rPr>
          <w:kern w:val="2"/>
          <w14:ligatures w14:val="standardContextual"/>
        </w:rPr>
        <w:t>Eurojusti</w:t>
      </w:r>
      <w:proofErr w:type="spellEnd"/>
      <w:r w:rsidRPr="00ED1222">
        <w:rPr>
          <w:kern w:val="2"/>
          <w14:ligatures w14:val="standardContextual"/>
        </w:rPr>
        <w:t xml:space="preserve"> määruse </w:t>
      </w:r>
      <w:r w:rsidRPr="00ED1222">
        <w:rPr>
          <w:kern w:val="2"/>
          <w:vertAlign w:val="superscript"/>
          <w14:ligatures w14:val="standardContextual"/>
        </w:rPr>
        <w:footnoteReference w:id="422"/>
      </w:r>
      <w:r w:rsidRPr="00ED1222">
        <w:rPr>
          <w:kern w:val="2"/>
          <w14:ligatures w14:val="standardContextual"/>
        </w:rPr>
        <w:t xml:space="preserve"> viimast muutmist, ja uue ühiste uurimisrühmade koostööplatvormi </w:t>
      </w:r>
      <w:r w:rsidRPr="00ED1222">
        <w:rPr>
          <w:kern w:val="2"/>
          <w:vertAlign w:val="superscript"/>
          <w14:ligatures w14:val="standardContextual"/>
        </w:rPr>
        <w:footnoteReference w:id="423"/>
      </w:r>
      <w:r w:rsidRPr="00ED1222">
        <w:rPr>
          <w:kern w:val="2"/>
          <w14:ligatures w14:val="standardContextual"/>
        </w:rPr>
        <w:t xml:space="preserve"> rakendamist; võtab teadmiseks </w:t>
      </w:r>
      <w:proofErr w:type="spellStart"/>
      <w:r w:rsidRPr="00ED1222">
        <w:rPr>
          <w:kern w:val="2"/>
          <w14:ligatures w14:val="standardContextual"/>
        </w:rPr>
        <w:t>Eurojusti</w:t>
      </w:r>
      <w:proofErr w:type="spellEnd"/>
      <w:r w:rsidRPr="00ED1222">
        <w:rPr>
          <w:kern w:val="2"/>
          <w14:ligatures w14:val="standardContextual"/>
        </w:rPr>
        <w:t xml:space="preserve"> rolli kolmandate riikide ja rahvusvaheliste organisatsioonide kontaktpunktina seoses ECRIS-</w:t>
      </w:r>
      <w:proofErr w:type="spellStart"/>
      <w:r w:rsidRPr="00ED1222">
        <w:rPr>
          <w:kern w:val="2"/>
          <w14:ligatures w14:val="standardContextual"/>
        </w:rPr>
        <w:t>TCNi</w:t>
      </w:r>
      <w:proofErr w:type="spellEnd"/>
      <w:r w:rsidRPr="00ED1222">
        <w:rPr>
          <w:kern w:val="2"/>
          <w14:ligatures w14:val="standardContextual"/>
        </w:rPr>
        <w:t xml:space="preserve"> taotlustega kriminaalmenetluse kontekstis;</w:t>
      </w:r>
    </w:p>
    <w:p w14:paraId="79073A21"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78.</w:t>
      </w:r>
      <w:r w:rsidRPr="00ED1222">
        <w:rPr>
          <w:kern w:val="2"/>
          <w14:ligatures w14:val="standardContextual"/>
        </w:rPr>
        <w:tab/>
        <w:t xml:space="preserve">rõhutab, kui tähtis on </w:t>
      </w:r>
      <w:proofErr w:type="spellStart"/>
      <w:r w:rsidRPr="00ED1222">
        <w:rPr>
          <w:kern w:val="2"/>
          <w14:ligatures w14:val="standardContextual"/>
        </w:rPr>
        <w:t>Eurojusti</w:t>
      </w:r>
      <w:proofErr w:type="spellEnd"/>
      <w:r w:rsidRPr="00ED1222">
        <w:rPr>
          <w:kern w:val="2"/>
          <w14:ligatures w14:val="standardContextual"/>
        </w:rPr>
        <w:t xml:space="preserve"> jätkuv toetus Ukrainale, kus ühine uurimisrühm uurib seal toime pandud väidetavaid raskeid rahvusvahelisi kuritegusid raskete rahvusvaheliste kuritegude tõendite andmebaasi (CICED) kasutades, et hoida, säilitada ja analüüsida tõendeid raskete rahvusvaheliste kuritegude kohta ühes turvalises keskses andmebaasis, tagades turvalise digitaalse andmeedastusmeetodi tõendite esitamiseks ja </w:t>
      </w:r>
      <w:r w:rsidRPr="00ED1222">
        <w:rPr>
          <w:kern w:val="2"/>
          <w14:ligatures w14:val="standardContextual"/>
        </w:rPr>
        <w:lastRenderedPageBreak/>
        <w:t xml:space="preserve">nende analüüsimise; väljendab ka heameelt uue Ukraina-vastaste agressioonikuritegude eest vastutusele võtmise rahvusvahelise keskuse (ICPA) loomise üle </w:t>
      </w:r>
      <w:proofErr w:type="spellStart"/>
      <w:r w:rsidRPr="00ED1222">
        <w:rPr>
          <w:kern w:val="2"/>
          <w14:ligatures w14:val="standardContextual"/>
        </w:rPr>
        <w:t>Eurojustis</w:t>
      </w:r>
      <w:proofErr w:type="spellEnd"/>
      <w:r w:rsidRPr="00ED1222">
        <w:rPr>
          <w:kern w:val="2"/>
          <w14:ligatures w14:val="standardContextual"/>
        </w:rPr>
        <w:t>, mille eesmärk on toetada riiklikke uurimisi ja leppida kokku ühistes uurimis- ja süüdistuse esitamise strateegiates ning aidata aktiivselt kaasa varade külmutamise ja arestimise töökonna tööle, et tagada liidu sanktsioonide tulemuslik rakendamine kogu Euroopa Liidus;</w:t>
      </w:r>
    </w:p>
    <w:p w14:paraId="254DF01D"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79.</w:t>
      </w:r>
      <w:r w:rsidRPr="00ED1222">
        <w:rPr>
          <w:kern w:val="2"/>
          <w14:ligatures w14:val="standardContextual"/>
        </w:rPr>
        <w:tab/>
        <w:t xml:space="preserve">toonitab FRA rolli põhiõiguste hartas sätestatud põhiõiguste ja õigusriigi normide täitmise peamise </w:t>
      </w:r>
      <w:proofErr w:type="spellStart"/>
      <w:r w:rsidRPr="00ED1222">
        <w:rPr>
          <w:kern w:val="2"/>
          <w14:ligatures w14:val="standardContextual"/>
        </w:rPr>
        <w:t>järelvalvajana</w:t>
      </w:r>
      <w:proofErr w:type="spellEnd"/>
      <w:r w:rsidRPr="00ED1222">
        <w:rPr>
          <w:kern w:val="2"/>
          <w14:ligatures w14:val="standardContextual"/>
        </w:rPr>
        <w:t xml:space="preserve"> ning peab kiiduväärseks toetust, millega tagatakse ELi kehtivates võrdõiguslikkuse ja mittediskrimineerimise valdkonna õigusaktides ja poliitikameetmetes sätestatud põhiõiguste austamine, kaitse ja teostamine, nagu liidu õigus ja poliitika rassismi ja antisemitismi ning </w:t>
      </w:r>
      <w:proofErr w:type="spellStart"/>
      <w:r w:rsidRPr="00ED1222">
        <w:rPr>
          <w:kern w:val="2"/>
          <w14:ligatures w14:val="standardContextual"/>
        </w:rPr>
        <w:t>islamofoobia</w:t>
      </w:r>
      <w:proofErr w:type="spellEnd"/>
      <w:r w:rsidRPr="00ED1222">
        <w:rPr>
          <w:kern w:val="2"/>
          <w14:ligatures w14:val="standardContextual"/>
        </w:rPr>
        <w:t xml:space="preserve"> vastu võitlemiseks, võrdõiguslikkuse andmete kogumise toetamine ning võrdõiguslikkuse ja rassismivastase võitluse strateegiate rakendamine, näiteks </w:t>
      </w:r>
      <w:proofErr w:type="spellStart"/>
      <w:r w:rsidRPr="00ED1222">
        <w:rPr>
          <w:kern w:val="2"/>
          <w14:ligatures w14:val="standardContextual"/>
        </w:rPr>
        <w:t>romasid</w:t>
      </w:r>
      <w:proofErr w:type="spellEnd"/>
      <w:r w:rsidRPr="00ED1222">
        <w:rPr>
          <w:kern w:val="2"/>
          <w14:ligatures w14:val="standardContextual"/>
        </w:rPr>
        <w:t xml:space="preserve"> käsitlevad riiklikud strateegilised raamistikud, sisendi andmine LGBTIQ-inimeste võrdõiguslikkuse strateegia 2020–2025 jaoks, kodanikuühiskonna ja ohus olevate inimõiguste kaitsjate toetamine, kuriteoohvrite direktiivi, rassismivastase tegevuskava ja liidu strateegia antisemitismi vastu võitlemiseks ja juudi eluviisi edendamiseks muutmine ning nõustamine seoses põhiõiguste järgimisega tehisintellektisüsteemide arendamisel ja kasutamisel ning liidu vahendite rakendamisel ja kasutamisel;</w:t>
      </w:r>
    </w:p>
    <w:p w14:paraId="3A014035"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80.</w:t>
      </w:r>
      <w:r w:rsidRPr="00ED1222">
        <w:rPr>
          <w:kern w:val="2"/>
          <w14:ligatures w14:val="standardContextual"/>
        </w:rPr>
        <w:tab/>
        <w:t xml:space="preserve">toob esile FRA suunised ja osalemise varjupaiga ja rände, piiride ja koostalitusvõime valdkondade tegevustes ning tema olulise keskendumise põhiõigustele, liikmesriikide rahvusvahelistele kohustustele ja liidu </w:t>
      </w:r>
      <w:proofErr w:type="spellStart"/>
      <w:r w:rsidRPr="00ED1222">
        <w:rPr>
          <w:kern w:val="2"/>
          <w14:ligatures w14:val="standardContextual"/>
        </w:rPr>
        <w:t>inimõigustealasele</w:t>
      </w:r>
      <w:proofErr w:type="spellEnd"/>
      <w:r w:rsidRPr="00ED1222">
        <w:rPr>
          <w:kern w:val="2"/>
          <w14:ligatures w14:val="standardContextual"/>
        </w:rPr>
        <w:t xml:space="preserve"> õigusele selles valdkonnas, sealhulgas koostöö Euroopa Liidu Varjupaigaametiga (EUAA) eesmärgiga parandada selle mõistmist, kui olulised on liidus rahvusvahelist kaitset taotlevaid saatjata lapsi abistavad eestkostjad ja seaduslikud esindajad, ning Europoli töötajatele pakutava koolituse eesmärgiga suurendada teadlikkust ja arusaamist põhiõigustega seotud kaalutlustest asjaomastes operatiivolukordades; väljendab heameelt FRA õigeaegse sisendi üle, mis on seotud ajutise kaitse direktiivi rakendamisega seoses Ukrainast põgenevate pagulastega ning pikaajalist elamist käsitleva liidu õiguse rakendamise probleemide kindlakstegemise ning viisaeeskirja puuduste väljaselgitamise ja loetelu koostamisega meetmetest, mida liit ja selle liikmesriigid võivad võtta hukkunute arvu vähendamiseks merel;</w:t>
      </w:r>
    </w:p>
    <w:p w14:paraId="5D090985"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81.</w:t>
      </w:r>
      <w:r w:rsidRPr="00ED1222">
        <w:rPr>
          <w:kern w:val="2"/>
          <w14:ligatures w14:val="standardContextual"/>
        </w:rPr>
        <w:tab/>
        <w:t>väljendab heameelt FRA panuse üle Euroopa piiri- ja rannikuvalve määruse hindamisel, osalemise üle Euroopa Piiri- ja Rannikuvalve Ameti (</w:t>
      </w:r>
      <w:proofErr w:type="spellStart"/>
      <w:r w:rsidRPr="00ED1222">
        <w:rPr>
          <w:kern w:val="2"/>
          <w14:ligatures w14:val="standardContextual"/>
        </w:rPr>
        <w:t>Frontex</w:t>
      </w:r>
      <w:proofErr w:type="spellEnd"/>
      <w:r w:rsidRPr="00ED1222">
        <w:rPr>
          <w:kern w:val="2"/>
          <w14:ligatures w14:val="standardContextual"/>
        </w:rPr>
        <w:t xml:space="preserve">) haldusnõukogu koosolekutel ja </w:t>
      </w:r>
      <w:proofErr w:type="spellStart"/>
      <w:r w:rsidRPr="00ED1222">
        <w:rPr>
          <w:kern w:val="2"/>
          <w14:ligatures w14:val="standardContextual"/>
        </w:rPr>
        <w:t>Frontexi</w:t>
      </w:r>
      <w:proofErr w:type="spellEnd"/>
      <w:r w:rsidRPr="00ED1222">
        <w:rPr>
          <w:kern w:val="2"/>
          <w14:ligatures w14:val="standardContextual"/>
        </w:rPr>
        <w:t xml:space="preserve"> põhiõiguste nõuandefoorumi juhatamises osalemise ning koostöö üle </w:t>
      </w:r>
      <w:proofErr w:type="spellStart"/>
      <w:r w:rsidRPr="00ED1222">
        <w:rPr>
          <w:kern w:val="2"/>
          <w14:ligatures w14:val="standardContextual"/>
        </w:rPr>
        <w:t>Frontexi</w:t>
      </w:r>
      <w:proofErr w:type="spellEnd"/>
      <w:r w:rsidRPr="00ED1222">
        <w:rPr>
          <w:kern w:val="2"/>
          <w14:ligatures w14:val="standardContextual"/>
        </w:rPr>
        <w:t xml:space="preserve"> põhiõiguste bürooga;</w:t>
      </w:r>
    </w:p>
    <w:p w14:paraId="3EBF0C1B"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82.</w:t>
      </w:r>
      <w:r w:rsidRPr="00ED1222">
        <w:rPr>
          <w:kern w:val="2"/>
          <w14:ligatures w14:val="standardContextual"/>
        </w:rPr>
        <w:tab/>
        <w:t xml:space="preserve">märgib rahuloluga, et FRA tegi põhiõiguste analüüsi ja jagas eksperditeadmisi, et toetada teiste ELi justiits- ja </w:t>
      </w:r>
      <w:proofErr w:type="spellStart"/>
      <w:r w:rsidRPr="00ED1222">
        <w:rPr>
          <w:kern w:val="2"/>
          <w14:ligatures w14:val="standardContextual"/>
        </w:rPr>
        <w:t>siseküsimustega</w:t>
      </w:r>
      <w:proofErr w:type="spellEnd"/>
      <w:r w:rsidRPr="00ED1222">
        <w:rPr>
          <w:kern w:val="2"/>
          <w14:ligatures w14:val="standardContextual"/>
        </w:rPr>
        <w:t xml:space="preserve"> tegelevate ametite, sealhulgas EUAA, </w:t>
      </w:r>
      <w:proofErr w:type="spellStart"/>
      <w:r w:rsidRPr="00ED1222">
        <w:rPr>
          <w:kern w:val="2"/>
          <w14:ligatures w14:val="standardContextual"/>
        </w:rPr>
        <w:t>Frontexi</w:t>
      </w:r>
      <w:proofErr w:type="spellEnd"/>
      <w:r w:rsidRPr="00ED1222">
        <w:rPr>
          <w:kern w:val="2"/>
          <w14:ligatures w14:val="standardContextual"/>
        </w:rPr>
        <w:t>, Europoli, Vabadusel, Turvalisusel ja Õigusel Rajaneva Ala Suuremahuliste IT-süsteemide Operatiivjuhtimise Euroopa Liidu Ameti (</w:t>
      </w:r>
      <w:proofErr w:type="spellStart"/>
      <w:r w:rsidRPr="00ED1222">
        <w:rPr>
          <w:kern w:val="2"/>
          <w14:ligatures w14:val="standardContextual"/>
        </w:rPr>
        <w:t>eu</w:t>
      </w:r>
      <w:proofErr w:type="spellEnd"/>
      <w:r w:rsidRPr="00ED1222">
        <w:rPr>
          <w:kern w:val="2"/>
          <w14:ligatures w14:val="standardContextual"/>
        </w:rPr>
        <w:t xml:space="preserve">-LISA) ning Euroopa Liidu Õiguskaitsekoolituse Ameti (CEPOL) tegevust ja tööd; väljendab heameelt FRA 2023. aasta panuse üle põhiõiguste austamise edendamisse, sealhulgas suuniste kaudu liidu rahaliste vahendite kohta ja uutest tehnoloogiatest tulenevate probleemide lahendamise kaudu; kutsub </w:t>
      </w:r>
      <w:proofErr w:type="spellStart"/>
      <w:r w:rsidRPr="00ED1222">
        <w:rPr>
          <w:kern w:val="2"/>
          <w14:ligatures w14:val="standardContextual"/>
        </w:rPr>
        <w:t>FRAd</w:t>
      </w:r>
      <w:proofErr w:type="spellEnd"/>
      <w:r w:rsidRPr="00ED1222">
        <w:rPr>
          <w:kern w:val="2"/>
          <w14:ligatures w14:val="standardContextual"/>
        </w:rPr>
        <w:t xml:space="preserve"> üles tegema kindlaks, mil määral õigusriik ja põhiõigused on lahutamatult seotud ning kuidas ameti tööd saaks integreerida või arendada koostoimes Euroopa Komisjoni tööga õigusriigi olukorda käsitleva aastaaruande raames;</w:t>
      </w:r>
    </w:p>
    <w:p w14:paraId="42404B04"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lastRenderedPageBreak/>
        <w:t>83.</w:t>
      </w:r>
      <w:r w:rsidRPr="00ED1222">
        <w:rPr>
          <w:kern w:val="2"/>
          <w14:ligatures w14:val="standardContextual"/>
        </w:rPr>
        <w:tab/>
        <w:t xml:space="preserve">tunnustab PERCI (ELi platvorm ebaseadusliku veebisisu kohta) edukat kasutuselevõttu Europolis, eelkõige Euroopa Andmekaitseinspektori soovituste täieliku rakendamise kaudu; tunnustab tihedat koostööd Euroopa Andmekaitseinspektoriga ja </w:t>
      </w:r>
      <w:proofErr w:type="spellStart"/>
      <w:r w:rsidRPr="00ED1222">
        <w:rPr>
          <w:kern w:val="2"/>
          <w14:ligatures w14:val="standardContextual"/>
        </w:rPr>
        <w:t>Frontexi</w:t>
      </w:r>
      <w:proofErr w:type="spellEnd"/>
      <w:r w:rsidRPr="00ED1222">
        <w:rPr>
          <w:kern w:val="2"/>
          <w14:ligatures w14:val="standardContextual"/>
        </w:rPr>
        <w:t xml:space="preserve"> loodud ühise töörühmaga, et järgida Euroopa Andmekaitseinspektori soovitusi seoses </w:t>
      </w:r>
      <w:proofErr w:type="spellStart"/>
      <w:r w:rsidRPr="00ED1222">
        <w:rPr>
          <w:kern w:val="2"/>
          <w14:ligatures w14:val="standardContextual"/>
        </w:rPr>
        <w:t>Frontexi</w:t>
      </w:r>
      <w:proofErr w:type="spellEnd"/>
      <w:r w:rsidRPr="00ED1222">
        <w:rPr>
          <w:kern w:val="2"/>
          <w14:ligatures w14:val="standardContextual"/>
        </w:rPr>
        <w:t xml:space="preserve"> programmiga </w:t>
      </w:r>
      <w:proofErr w:type="spellStart"/>
      <w:r w:rsidRPr="00ED1222">
        <w:rPr>
          <w:kern w:val="2"/>
          <w14:ligatures w14:val="standardContextual"/>
        </w:rPr>
        <w:t>PeDRA</w:t>
      </w:r>
      <w:proofErr w:type="spellEnd"/>
      <w:r w:rsidRPr="00ED1222">
        <w:rPr>
          <w:kern w:val="2"/>
          <w14:ligatures w14:val="standardContextual"/>
        </w:rPr>
        <w:t xml:space="preserve"> (isikuandmete töötlemine riskianalüüsi eesmärgil), kus mõlemal ametil on suur huvi kaitsta põhiõigusi, edendades samal ajal julgeolekut;</w:t>
      </w:r>
    </w:p>
    <w:p w14:paraId="378A9ED0"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84.</w:t>
      </w:r>
      <w:r w:rsidRPr="00ED1222">
        <w:rPr>
          <w:kern w:val="2"/>
          <w14:ligatures w14:val="standardContextual"/>
        </w:rPr>
        <w:tab/>
        <w:t>väljendab heameelt 2022. aastal muudetud Europoli määruse </w:t>
      </w:r>
      <w:r w:rsidRPr="00ED1222">
        <w:rPr>
          <w:kern w:val="2"/>
          <w:szCs w:val="24"/>
          <w:vertAlign w:val="superscript"/>
          <w14:ligatures w14:val="standardContextual"/>
        </w:rPr>
        <w:footnoteReference w:id="424"/>
      </w:r>
      <w:r w:rsidRPr="00ED1222">
        <w:rPr>
          <w:kern w:val="2"/>
          <w14:ligatures w14:val="standardContextual"/>
        </w:rPr>
        <w:t xml:space="preserve"> rakendamise üle, eelkõige põhiõiguste ametniku kiire ametisse nimetamise üle 2023. aasta jaanuaris, mis on oluline samm selles suunas, et Europol võtaks oma tegevuses järjest rohkem arvesse inimõigusi;</w:t>
      </w:r>
    </w:p>
    <w:p w14:paraId="5BFB5A8B"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85.</w:t>
      </w:r>
      <w:r w:rsidRPr="00ED1222">
        <w:rPr>
          <w:kern w:val="2"/>
          <w14:ligatures w14:val="standardContextual"/>
        </w:rPr>
        <w:tab/>
        <w:t>tunnistab selliste kohalike algatuste tähtsust, mis tugevdavad tervishoiusüsteeme ja keskkonnaalgatusi, suurendades samal ajal koostööd liikmesriikide ja asutustega (ECDC, ECHA, EEA,EFSA, EMA); nõuab rahaliste vahendite jaotamise lähenemisviisi parandamist, seades esikohale halduskoormuse vähendamise, suunates vahendid otse nende lõplikele saajatele ja lihtsustades menetlusi, et parandada juurdepääsu majandustegevuses osalejatele kohapeal;</w:t>
      </w:r>
    </w:p>
    <w:p w14:paraId="54CD5D30"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86.</w:t>
      </w:r>
      <w:r w:rsidRPr="00ED1222">
        <w:rPr>
          <w:kern w:val="2"/>
          <w14:ligatures w14:val="standardContextual"/>
        </w:rPr>
        <w:tab/>
        <w:t xml:space="preserve">märgib, et liikuvuse ja transpordi peadirektoraadi koostatud hinnangu kohaselt, millega tagatakse kolme ameti (EASA, EMSA, ERA) järelevalve, olid nende 2023. aasta tulemused täielikult kooskõlas komisjoni kokkulepitud eesmärkidega: korrapärase seire- ja järelevalvetegevuse käigus ei tuvastatud konkreetseid probleeme, mis võiksid kindlust oluliselt mõjutada, lisaks ei tõstetud </w:t>
      </w:r>
      <w:proofErr w:type="spellStart"/>
      <w:r w:rsidRPr="00ED1222">
        <w:rPr>
          <w:kern w:val="2"/>
          <w14:ligatures w14:val="standardContextual"/>
        </w:rPr>
        <w:t>välis</w:t>
      </w:r>
      <w:proofErr w:type="spellEnd"/>
      <w:r w:rsidRPr="00ED1222">
        <w:rPr>
          <w:kern w:val="2"/>
          <w14:ligatures w14:val="standardContextual"/>
        </w:rPr>
        <w:t>- ja siseaudiitorite aruannetes esile ühtegi suurt probleemi, mis võiks liikuvuse ja transpordi peadirektoraadile lisamuret põhjustada;</w:t>
      </w:r>
    </w:p>
    <w:p w14:paraId="657CDA58"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87.</w:t>
      </w:r>
      <w:r w:rsidRPr="00ED1222">
        <w:rPr>
          <w:kern w:val="2"/>
          <w14:ligatures w14:val="standardContextual"/>
        </w:rPr>
        <w:tab/>
        <w:t>märgib, et 2023. aastal tugevdas EASA märkimisväärselt koostööd sõjaliste organisatsioonidega ELi sõjaväelise liikuvuse tegevuskava 2.0 kohaldamisalas ning on nüüd kutsutud kõigile NATO lennunduskomitee koosolekutele; võtab teadmiseks ameti tsiviil-sõjalise koostöö strateegia heakskiitmise – mis on olnud ameti pikaaegne prioriteet –, millega toetatakse ameti osalemist sertifitseerimisega seotud ülesannetes tsiviillennukitest tuletatud sõjalennukite puhul, mis põhinevad kontseptsioonil „nii tsiviilotstarbeline kui võimalik ja nii sõjaline kui vajalik“;</w:t>
      </w:r>
    </w:p>
    <w:p w14:paraId="01D14EFE"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88.</w:t>
      </w:r>
      <w:r w:rsidRPr="00ED1222">
        <w:rPr>
          <w:kern w:val="2"/>
          <w14:ligatures w14:val="standardContextual"/>
        </w:rPr>
        <w:tab/>
        <w:t>märgib, et 2023. aastal jätkas EMSA väga tulemusliku abi pakkumist meretranspordisektori keskkonnamõju vähendamiseks, muu hulgas osaledes arvukates Euroopa rohelise kokkuleppega seotud algatustes; võtab eelkõige teadmiseks tehnilised eksperditeadmised, mida EMSA pakkus meresõiduohutuse paketi läbivaatamise raames; tunnustab ametit komisjonile ja liikmesriikidele antud toe eest paketi „Eesmärk 55“ raames tehtud ettepanekute lõplikul vastuvõtmisel, eelkõige seoses heitkogustega kauplemise süsteemi laiendamisega meretranspordile ja algatust „</w:t>
      </w:r>
      <w:proofErr w:type="spellStart"/>
      <w:r w:rsidRPr="00ED1222">
        <w:rPr>
          <w:kern w:val="2"/>
          <w14:ligatures w14:val="standardContextual"/>
        </w:rPr>
        <w:t>FuelEU</w:t>
      </w:r>
      <w:proofErr w:type="spellEnd"/>
      <w:r w:rsidRPr="00ED1222">
        <w:rPr>
          <w:kern w:val="2"/>
          <w14:ligatures w14:val="standardContextual"/>
        </w:rPr>
        <w:t xml:space="preserve"> Maritime“ käsitleva määrusega; tunnustab sellega seoses tema käimasolevaid teadusuuringuid mitmesuguste alternatiivkütuste potentsiaali ning seonduvate ohutuskaalutluste kohta, mis on seotud laevadel kestlike alternatiivsete energiaallikate kasutuselevõtu ja </w:t>
      </w:r>
      <w:r w:rsidRPr="00ED1222">
        <w:rPr>
          <w:kern w:val="2"/>
          <w14:ligatures w14:val="standardContextual"/>
        </w:rPr>
        <w:lastRenderedPageBreak/>
        <w:t>kasutamisega; väljendab heameelt süsteemi THETIS MRV kohandamise üle heitkogustega kauplemise süsteemi käsitlevate õigusaktide nõuetega;</w:t>
      </w:r>
    </w:p>
    <w:p w14:paraId="55D024C3"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89.</w:t>
      </w:r>
      <w:r w:rsidRPr="00ED1222">
        <w:rPr>
          <w:kern w:val="2"/>
          <w14:ligatures w14:val="standardContextual"/>
        </w:rPr>
        <w:tab/>
        <w:t>väljendab heameelt kõnealuse viie asutuse (</w:t>
      </w:r>
      <w:proofErr w:type="spellStart"/>
      <w:r w:rsidRPr="00ED1222">
        <w:rPr>
          <w:kern w:val="2"/>
          <w14:ligatures w14:val="standardContextual"/>
        </w:rPr>
        <w:t>Eurofound</w:t>
      </w:r>
      <w:proofErr w:type="spellEnd"/>
      <w:r w:rsidRPr="00ED1222">
        <w:rPr>
          <w:kern w:val="2"/>
          <w14:ligatures w14:val="standardContextual"/>
        </w:rPr>
        <w:t xml:space="preserve">, </w:t>
      </w:r>
      <w:proofErr w:type="spellStart"/>
      <w:r w:rsidRPr="00ED1222">
        <w:rPr>
          <w:kern w:val="2"/>
          <w14:ligatures w14:val="standardContextual"/>
        </w:rPr>
        <w:t>Cedefop</w:t>
      </w:r>
      <w:proofErr w:type="spellEnd"/>
      <w:r w:rsidRPr="00ED1222">
        <w:rPr>
          <w:kern w:val="2"/>
          <w14:ligatures w14:val="standardContextual"/>
        </w:rPr>
        <w:t>, ETF, EU-OSHA, ELA) jätkuva ja kasvava koostöö ja ressursside jagamise üle nende vahel ja teiste institutsioonidega, sealhulgas teiste ELi asutuste, komisjoni ja Euroopa Parlamendiga;</w:t>
      </w:r>
    </w:p>
    <w:p w14:paraId="2D1F396A"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90.</w:t>
      </w:r>
      <w:r w:rsidRPr="00ED1222">
        <w:rPr>
          <w:kern w:val="2"/>
          <w14:ligatures w14:val="standardContextual"/>
        </w:rPr>
        <w:tab/>
        <w:t>kutsub komisjoni üles tagama, et asjaomastes poliitikavaldkondades kasutatakse nende asutuste (</w:t>
      </w:r>
      <w:proofErr w:type="spellStart"/>
      <w:r w:rsidRPr="00ED1222">
        <w:rPr>
          <w:kern w:val="2"/>
          <w14:ligatures w14:val="standardContextual"/>
        </w:rPr>
        <w:t>Eurofound</w:t>
      </w:r>
      <w:proofErr w:type="spellEnd"/>
      <w:r w:rsidRPr="00ED1222">
        <w:rPr>
          <w:kern w:val="2"/>
          <w14:ligatures w14:val="standardContextual"/>
        </w:rPr>
        <w:t xml:space="preserve">, </w:t>
      </w:r>
      <w:proofErr w:type="spellStart"/>
      <w:r w:rsidRPr="00ED1222">
        <w:rPr>
          <w:kern w:val="2"/>
          <w14:ligatures w14:val="standardContextual"/>
        </w:rPr>
        <w:t>Cedefop</w:t>
      </w:r>
      <w:proofErr w:type="spellEnd"/>
      <w:r w:rsidRPr="00ED1222">
        <w:rPr>
          <w:kern w:val="2"/>
          <w14:ligatures w14:val="standardContextual"/>
        </w:rPr>
        <w:t xml:space="preserve">, ETF, EU-OSHA, ELA) eksperditeadmisi paremini ära, näiteks seoses aruannete ja statistiliste uuringute koostamise ning uurimistegevuse ja uuringute tegemisega, et liidu eelarvevahendeid saaks alternatiivsete lahendustega võrreldes tõhusamalt kasutada; hindab kõrgelt viie asutuse pingutusi oma digitaalse ja veebipõhise teabevahetuse arendamiseks, et suurendada oma nähtavust ja teadlikkust oma suure mõjuga tööst; rõhutab seejuures, et asutustel, kelle volitustega on see lubatud, on kasutamata potentsiaali pakkuda vajalikku eriteavet ning osutada sama kvaliteetseid teenuseid nagu </w:t>
      </w:r>
      <w:proofErr w:type="spellStart"/>
      <w:r w:rsidRPr="00ED1222">
        <w:rPr>
          <w:kern w:val="2"/>
          <w14:ligatures w14:val="standardContextual"/>
        </w:rPr>
        <w:t>väliskonsultandid</w:t>
      </w:r>
      <w:proofErr w:type="spellEnd"/>
      <w:r w:rsidRPr="00ED1222">
        <w:rPr>
          <w:kern w:val="2"/>
          <w14:ligatures w14:val="standardContextual"/>
        </w:rPr>
        <w:t xml:space="preserve"> seda teevad;</w:t>
      </w:r>
    </w:p>
    <w:p w14:paraId="21EA698E"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91.</w:t>
      </w:r>
      <w:r w:rsidRPr="00ED1222">
        <w:rPr>
          <w:kern w:val="2"/>
          <w14:ligatures w14:val="standardContextual"/>
        </w:rPr>
        <w:tab/>
        <w:t>väljendab heameelt asutuste (</w:t>
      </w:r>
      <w:proofErr w:type="spellStart"/>
      <w:r w:rsidRPr="00ED1222">
        <w:rPr>
          <w:kern w:val="2"/>
          <w14:ligatures w14:val="standardContextual"/>
        </w:rPr>
        <w:t>Eurofound</w:t>
      </w:r>
      <w:proofErr w:type="spellEnd"/>
      <w:r w:rsidRPr="00ED1222">
        <w:rPr>
          <w:kern w:val="2"/>
          <w14:ligatures w14:val="standardContextual"/>
        </w:rPr>
        <w:t xml:space="preserve">, </w:t>
      </w:r>
      <w:proofErr w:type="spellStart"/>
      <w:r w:rsidRPr="00ED1222">
        <w:rPr>
          <w:kern w:val="2"/>
          <w14:ligatures w14:val="standardContextual"/>
        </w:rPr>
        <w:t>Cedefop</w:t>
      </w:r>
      <w:proofErr w:type="spellEnd"/>
      <w:r w:rsidRPr="00ED1222">
        <w:rPr>
          <w:kern w:val="2"/>
          <w14:ligatures w14:val="standardContextual"/>
        </w:rPr>
        <w:t>, ETF, EU-OSHA, ELA) pingutuste üle mitmekesisuse ja kaasatuse poliitika kohaldamisel, eelkõige seoses puuetega inimestega; ergutab asutusi tõhustama võrreldavate andmete kogumist puuetega inimeste tööhõive kohta; tunnustab asutustes tehtud edusamme soolise tasakaalu saavutamisel oma töötajate seas; nõuab lisapingutusi soolise tasakaalu tagamiseks ka kõrgema juhtkonna tasandil ja soolise aspekti arvestamiseks kogu tegevuses;</w:t>
      </w:r>
    </w:p>
    <w:p w14:paraId="38E04274"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92.</w:t>
      </w:r>
      <w:r w:rsidRPr="00ED1222">
        <w:rPr>
          <w:kern w:val="2"/>
          <w14:ligatures w14:val="standardContextual"/>
        </w:rPr>
        <w:tab/>
        <w:t xml:space="preserve">märgib, et 2023. aastal tehtud eelarve jälgimise alaste pingutuste tulemusel oli jooksva aasta kulukohustuste assigneeringute eelarve täitmise määr keskmiselt üle 97 %, välja arvatud </w:t>
      </w:r>
      <w:proofErr w:type="spellStart"/>
      <w:r w:rsidRPr="00ED1222">
        <w:rPr>
          <w:kern w:val="2"/>
          <w14:ligatures w14:val="standardContextual"/>
        </w:rPr>
        <w:t>CdT</w:t>
      </w:r>
      <w:proofErr w:type="spellEnd"/>
      <w:r w:rsidRPr="00ED1222">
        <w:rPr>
          <w:kern w:val="2"/>
          <w14:ligatures w14:val="standardContextual"/>
        </w:rPr>
        <w:t xml:space="preserve"> ja ELA puhul, kelle eelarve täitmise määrad olid vastavalt 89,55 % ja 93,72 %; märgib, et asutused, kelle jooksva aasta maksete assigneeringute täitmise määr oli kõige madalam, on järgmised (esitatuna kasvavas järjekorras koos vastavate protsendimääradega): ESA 47,61 %, </w:t>
      </w:r>
      <w:proofErr w:type="spellStart"/>
      <w:r w:rsidRPr="00ED1222">
        <w:rPr>
          <w:kern w:val="2"/>
          <w14:ligatures w14:val="standardContextual"/>
        </w:rPr>
        <w:t>Frontex</w:t>
      </w:r>
      <w:proofErr w:type="spellEnd"/>
      <w:r w:rsidRPr="00ED1222">
        <w:rPr>
          <w:kern w:val="2"/>
          <w14:ligatures w14:val="standardContextual"/>
        </w:rPr>
        <w:t xml:space="preserve"> 55,37 %, EU-OSHA 68,83 %, ACER 70,69 % ja ECDC 71,79 %;</w:t>
      </w:r>
    </w:p>
    <w:p w14:paraId="0E623C21"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93.</w:t>
      </w:r>
      <w:r w:rsidRPr="00ED1222">
        <w:rPr>
          <w:kern w:val="2"/>
          <w14:ligatures w14:val="standardContextual"/>
        </w:rPr>
        <w:tab/>
        <w:t xml:space="preserve">võtab teadmiseks, et EUAA eelarvet suurendati 2023. aastal 168 miljonilt eurolt 170 miljonile eurole (+0,77 %) ja töötajate arvu 519-lt 529-le (+2 %); kordab Euroopa Liidu Varjupaigaameti olulist rolli liikmesriikide toetamisel Euroopa ühise varjupaigasüsteemi rakendamisel ja selle nõuetekohase rakendamise jälgimisel; tuletab meelde, et eelarve täitmisele heakskiidu andmise eest vastutav institutsioon juhtis oma raportis Euroopa Liidu Varjupaigaameti 2022. aasta eelarve täitmisele heakskiidu andmise kohta tähelepanu murele ameti sisemise juhtimise ja menetluste pärast, märkides, et Euroopa </w:t>
      </w:r>
      <w:proofErr w:type="spellStart"/>
      <w:r w:rsidRPr="00ED1222">
        <w:rPr>
          <w:kern w:val="2"/>
          <w14:ligatures w14:val="standardContextual"/>
        </w:rPr>
        <w:t>Pettustevastane</w:t>
      </w:r>
      <w:proofErr w:type="spellEnd"/>
      <w:r w:rsidRPr="00ED1222">
        <w:rPr>
          <w:kern w:val="2"/>
          <w14:ligatures w14:val="standardContextual"/>
        </w:rPr>
        <w:t xml:space="preserve"> Amet (OLAF) on algatanud uurimise, mis on nüüdseks lõpule viidud ja mis on väidetavalt seotud onupojapoliitika ja muude ameti finantsjuhtimist mõjutavate küsimustega; peab kahetsusväärseks, et ameti tegevdirektor hoidus eelarvekontrollikomisjonis eelarve täitmisele heakskiidu andmise ettevalmistaval kuulamisel vastuseid andmast; on mures, et ameti juhatus keeldub avaldamast eelarve täitmisele heakskiidu andmise eest vastutavale institutsioonile nimetatud </w:t>
      </w:r>
      <w:proofErr w:type="spellStart"/>
      <w:r w:rsidRPr="00ED1222">
        <w:rPr>
          <w:kern w:val="2"/>
          <w14:ligatures w14:val="standardContextual"/>
        </w:rPr>
        <w:t>OLAFi</w:t>
      </w:r>
      <w:proofErr w:type="spellEnd"/>
      <w:r w:rsidRPr="00ED1222">
        <w:rPr>
          <w:kern w:val="2"/>
          <w14:ligatures w14:val="standardContextual"/>
        </w:rPr>
        <w:t xml:space="preserve"> aruande sisu ja antud soovitust; kutsub ametit üles tegema aruande leiud viivitamata kättesaadavaks;</w:t>
      </w:r>
    </w:p>
    <w:p w14:paraId="69A96540" w14:textId="77777777" w:rsidR="00ED1222" w:rsidRPr="00ED1222" w:rsidRDefault="00ED1222" w:rsidP="00ED1222">
      <w:pPr>
        <w:spacing w:after="240"/>
        <w:ind w:left="567" w:hanging="567"/>
        <w:rPr>
          <w:kern w:val="2"/>
          <w:szCs w:val="24"/>
          <w14:ligatures w14:val="standardContextual"/>
        </w:rPr>
      </w:pPr>
      <w:r w:rsidRPr="00ED1222">
        <w:rPr>
          <w:kern w:val="2"/>
          <w14:ligatures w14:val="standardContextual"/>
        </w:rPr>
        <w:t>94.</w:t>
      </w:r>
      <w:r w:rsidRPr="00ED1222">
        <w:rPr>
          <w:kern w:val="2"/>
          <w14:ligatures w14:val="standardContextual"/>
        </w:rPr>
        <w:tab/>
        <w:t xml:space="preserve">on seisukohal, et </w:t>
      </w:r>
      <w:proofErr w:type="spellStart"/>
      <w:r w:rsidRPr="00ED1222">
        <w:rPr>
          <w:kern w:val="2"/>
          <w14:ligatures w14:val="standardContextual"/>
        </w:rPr>
        <w:t>OLAFi</w:t>
      </w:r>
      <w:proofErr w:type="spellEnd"/>
      <w:r w:rsidRPr="00ED1222">
        <w:rPr>
          <w:kern w:val="2"/>
          <w14:ligatures w14:val="standardContextual"/>
        </w:rPr>
        <w:t xml:space="preserve"> lõpparuandes (OC-2022–0717) EUAA kohta esitatakse väga murettekitavad järeldused tuvastatud faktide kohta, mis seavad ohtu ameti stabiilsuse, juhtimise ja maine, ning on sunnitud lükkama edasi otsuse tegemise ameti 2023. aasta </w:t>
      </w:r>
      <w:r w:rsidRPr="00ED1222">
        <w:rPr>
          <w:kern w:val="2"/>
          <w14:ligatures w14:val="standardContextual"/>
        </w:rPr>
        <w:lastRenderedPageBreak/>
        <w:t>eelarve täitmisele heakskiidu andmise kohta; tuletab ühtlasi meelde, et OLAF tegi kindlaks ja kvantifitseeris finantsmõju, mida ei ole võimalik heastada, mis annab kinnitust ameti vahendite usaldusväärsele finantsjuhtimisele avalduva kahjuliku mõju kohta; nõuab seetõttu, et haldusnõukogu võtaks põhjalikke järelmeetmeid, milles kirjeldatakse üksikasjalikult kõiki tuvastatud puuduste kõrvaldamiseks võetud meetmeid;</w:t>
      </w:r>
    </w:p>
    <w:p w14:paraId="229E28FC"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95.</w:t>
      </w:r>
      <w:r w:rsidRPr="00ED1222">
        <w:rPr>
          <w:kern w:val="2"/>
          <w14:ligatures w14:val="standardContextual"/>
        </w:rPr>
        <w:tab/>
        <w:t xml:space="preserve">nõuab tungivalt, et amet selgitaks täielikult kõiki lahendamata küsimusi, rakendaks </w:t>
      </w:r>
      <w:proofErr w:type="spellStart"/>
      <w:r w:rsidRPr="00ED1222">
        <w:rPr>
          <w:kern w:val="2"/>
          <w14:ligatures w14:val="standardContextual"/>
        </w:rPr>
        <w:t>OLAFi</w:t>
      </w:r>
      <w:proofErr w:type="spellEnd"/>
      <w:r w:rsidRPr="00ED1222">
        <w:rPr>
          <w:kern w:val="2"/>
          <w14:ligatures w14:val="standardContextual"/>
        </w:rPr>
        <w:t xml:space="preserve"> soovitusi usaldusväärsel ja läbipaistval viisil ning looks tugevad sisekontrolli-, eetilise järelevalve ja aruandekohustusmehhanismid; palub ametil teavitada eelarve täitmisele heakskiidu andmise eest vastutavat institutsiooni võetud parandusmeetmetest põhjendamatute viivitusteta;</w:t>
      </w:r>
    </w:p>
    <w:p w14:paraId="28971222" w14:textId="77777777" w:rsidR="00ED1222" w:rsidRPr="00ED1222" w:rsidRDefault="00ED1222" w:rsidP="00ED1222">
      <w:pPr>
        <w:keepNext/>
        <w:keepLines/>
        <w:spacing w:after="240"/>
        <w:rPr>
          <w:b/>
          <w:i/>
          <w:kern w:val="2"/>
          <w14:ligatures w14:val="standardContextual"/>
        </w:rPr>
      </w:pPr>
      <w:r w:rsidRPr="00ED1222">
        <w:rPr>
          <w:b/>
          <w:i/>
          <w:kern w:val="2"/>
          <w14:ligatures w14:val="standardContextual"/>
        </w:rPr>
        <w:t>Hanked</w:t>
      </w:r>
    </w:p>
    <w:p w14:paraId="469F59E0"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96.</w:t>
      </w:r>
      <w:r w:rsidRPr="00ED1222">
        <w:rPr>
          <w:kern w:val="2"/>
          <w14:ligatures w14:val="standardContextual"/>
        </w:rPr>
        <w:tab/>
        <w:t xml:space="preserve">võtab murega teadmiseks, et riigihangetega seotud puudused on endiselt suurim </w:t>
      </w:r>
      <w:proofErr w:type="spellStart"/>
      <w:r w:rsidRPr="00ED1222">
        <w:rPr>
          <w:kern w:val="2"/>
          <w14:ligatures w14:val="standardContextual"/>
        </w:rPr>
        <w:t>reeglitevastaselt</w:t>
      </w:r>
      <w:proofErr w:type="spellEnd"/>
      <w:r w:rsidRPr="00ED1222">
        <w:rPr>
          <w:kern w:val="2"/>
          <w14:ligatures w14:val="standardContextual"/>
        </w:rPr>
        <w:t xml:space="preserve"> tehtud maksete allikas; rõhutab, et kontrollikoda tegi 2023. aastal riigihangetega seotud puuduste kohta 38 tähelepanekut (võrreldes 41 tähelepanekuga 2022. aastal ja 28 tähelepanekuga 2021. aastal); </w:t>
      </w:r>
      <w:r w:rsidRPr="00ED1222">
        <w:rPr>
          <w:kern w:val="2"/>
          <w:vertAlign w:val="superscript"/>
          <w14:ligatures w14:val="standardContextual"/>
        </w:rPr>
        <w:footnoteReference w:id="425"/>
      </w:r>
      <w:r w:rsidRPr="00ED1222">
        <w:rPr>
          <w:kern w:val="2"/>
          <w14:ligatures w14:val="standardContextual"/>
        </w:rPr>
        <w:t xml:space="preserve"> nõuab tungivalt, et asutused võtaksid meetmeid, et tagada hankereeglite ning läbipaistvuse, konkurentsi ja kulutasuvuse põhimõtete range järgimine; tuletab meelde, et töötajatele on vaja korrapäraseid koolitusprogramme finantsjuhtimise, hankereeglite ja pettuste ennetamise kohta; nõuab rangemaid aruandlusmeetmeid, millega tagatakse, et mis tahes püsivad puudused toovad kaasa sihipärased parandusmeetmed ja tagajärjed korduvate rikkumiste korral;</w:t>
      </w:r>
    </w:p>
    <w:p w14:paraId="6A47B0B4"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97.</w:t>
      </w:r>
      <w:r w:rsidRPr="00ED1222">
        <w:rPr>
          <w:kern w:val="2"/>
          <w14:ligatures w14:val="standardContextual"/>
        </w:rPr>
        <w:tab/>
        <w:t>märgib, et kontrollikoja andmetel on 13 tähelepanekut </w:t>
      </w:r>
      <w:r w:rsidRPr="00ED1222">
        <w:rPr>
          <w:kern w:val="2"/>
          <w:vertAlign w:val="superscript"/>
          <w14:ligatures w14:val="standardContextual"/>
        </w:rPr>
        <w:footnoteReference w:id="426"/>
      </w:r>
      <w:r w:rsidRPr="00ED1222">
        <w:rPr>
          <w:kern w:val="2"/>
          <w14:ligatures w14:val="standardContextual"/>
        </w:rPr>
        <w:t xml:space="preserve"> puuduste kohta, mis tõid 2023. aastal kaasa </w:t>
      </w:r>
      <w:proofErr w:type="spellStart"/>
      <w:r w:rsidRPr="00ED1222">
        <w:rPr>
          <w:kern w:val="2"/>
          <w14:ligatures w14:val="standardContextual"/>
        </w:rPr>
        <w:t>reeglitevastaselt</w:t>
      </w:r>
      <w:proofErr w:type="spellEnd"/>
      <w:r w:rsidRPr="00ED1222">
        <w:rPr>
          <w:kern w:val="2"/>
          <w14:ligatures w14:val="standardContextual"/>
        </w:rPr>
        <w:t xml:space="preserve"> tehtud maksed, seotud varasemates auditites tuvastatud ja nimetatud õigusnormide rikkumistega; märgib, et ülejäänud 25 tähelepaneku puhul mõjutasid üheksa makseid ja ülejäänud 16 ei toonud 2023. aastal kaasa </w:t>
      </w:r>
      <w:proofErr w:type="spellStart"/>
      <w:r w:rsidRPr="00ED1222">
        <w:rPr>
          <w:kern w:val="2"/>
          <w14:ligatures w14:val="standardContextual"/>
        </w:rPr>
        <w:t>reeglitevastaselt</w:t>
      </w:r>
      <w:proofErr w:type="spellEnd"/>
      <w:r w:rsidRPr="00ED1222">
        <w:rPr>
          <w:kern w:val="2"/>
          <w14:ligatures w14:val="standardContextual"/>
        </w:rPr>
        <w:t xml:space="preserve"> tehtud makseid; märgib, et asjaomasel aastal tehtud tähelepanekud, mis ei mõjutanud makseid, on seotud järgmiste asutustega: ACER, EBA, </w:t>
      </w:r>
      <w:proofErr w:type="spellStart"/>
      <w:r w:rsidRPr="00ED1222">
        <w:rPr>
          <w:kern w:val="2"/>
          <w14:ligatures w14:val="standardContextual"/>
        </w:rPr>
        <w:t>eu</w:t>
      </w:r>
      <w:proofErr w:type="spellEnd"/>
      <w:r w:rsidRPr="00ED1222">
        <w:rPr>
          <w:kern w:val="2"/>
          <w14:ligatures w14:val="standardContextual"/>
        </w:rPr>
        <w:t>-LISA, ESMA, EMSA, ENISA, ERA, EIGE, ECDC, EEA, EUDA, EUAA ja CEPOL; võtab teadmiseks asutuste vastused ja kutsub neid üles võtma meetmeid tuvastatud puuduste kõrvaldamiseks ja andma eelarve täitmisele heakskiidu andmise eest vastutavale institutsioonile nende kõrvaldamiseks võetud meetmete kohta aru;</w:t>
      </w:r>
    </w:p>
    <w:p w14:paraId="5B52CA6C"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98.</w:t>
      </w:r>
      <w:r w:rsidRPr="00ED1222">
        <w:rPr>
          <w:kern w:val="2"/>
          <w14:ligatures w14:val="standardContextual"/>
        </w:rPr>
        <w:tab/>
        <w:t xml:space="preserve">juhib tähelepanu kontrollikoja üheksale tähelepanekule asjaomase aasta kohta, mis mõjutavad makseid; märgib, et ENISA, </w:t>
      </w:r>
      <w:proofErr w:type="spellStart"/>
      <w:r w:rsidRPr="00ED1222">
        <w:rPr>
          <w:kern w:val="2"/>
          <w14:ligatures w14:val="standardContextual"/>
        </w:rPr>
        <w:t>eu</w:t>
      </w:r>
      <w:proofErr w:type="spellEnd"/>
      <w:r w:rsidRPr="00ED1222">
        <w:rPr>
          <w:kern w:val="2"/>
          <w14:ligatures w14:val="standardContextual"/>
        </w:rPr>
        <w:t xml:space="preserve">-LISA ja ELA puhul on tuvastatud õigusnormide rikkumised ja varasemate auditite käigus kindlaks tehtud rikkumised, mille tulemusel tehti 2023. aastal makseid (ainult </w:t>
      </w:r>
      <w:proofErr w:type="spellStart"/>
      <w:r w:rsidRPr="00ED1222">
        <w:rPr>
          <w:kern w:val="2"/>
          <w14:ligatures w14:val="standardContextual"/>
        </w:rPr>
        <w:t>eu</w:t>
      </w:r>
      <w:proofErr w:type="spellEnd"/>
      <w:r w:rsidRPr="00ED1222">
        <w:rPr>
          <w:kern w:val="2"/>
          <w14:ligatures w14:val="standardContextual"/>
        </w:rPr>
        <w:t xml:space="preserve">-LISA ja ELA puhul), aluseks kontrollikoja märkustega arvamusele ja neid on kirjeldatud käesoleva resolutsiooni </w:t>
      </w:r>
      <w:r w:rsidRPr="00ED1222">
        <w:rPr>
          <w:kern w:val="2"/>
          <w14:ligatures w14:val="standardContextual"/>
        </w:rPr>
        <w:lastRenderedPageBreak/>
        <w:t>punktis „Audititulemuste ülevaade“;</w:t>
      </w:r>
    </w:p>
    <w:p w14:paraId="122C73B1"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99.</w:t>
      </w:r>
      <w:r w:rsidRPr="00ED1222">
        <w:rPr>
          <w:kern w:val="2"/>
          <w14:ligatures w14:val="standardContextual"/>
        </w:rPr>
        <w:tab/>
        <w:t xml:space="preserve">märgib, et asjaomase aasta ülejäänud tähelepanekud, mis mõjutasid makseid on seotud </w:t>
      </w:r>
      <w:proofErr w:type="spellStart"/>
      <w:r w:rsidRPr="00ED1222">
        <w:rPr>
          <w:kern w:val="2"/>
          <w14:ligatures w14:val="standardContextual"/>
        </w:rPr>
        <w:t>CdT</w:t>
      </w:r>
      <w:proofErr w:type="spellEnd"/>
      <w:r w:rsidRPr="00ED1222">
        <w:rPr>
          <w:kern w:val="2"/>
          <w14:ligatures w14:val="standardContextual"/>
        </w:rPr>
        <w:t>, EIGE, EFCA, ERA ja EU-</w:t>
      </w:r>
      <w:proofErr w:type="spellStart"/>
      <w:r w:rsidRPr="00ED1222">
        <w:rPr>
          <w:kern w:val="2"/>
          <w14:ligatures w14:val="standardContextual"/>
        </w:rPr>
        <w:t>OSHAga</w:t>
      </w:r>
      <w:proofErr w:type="spellEnd"/>
      <w:r w:rsidRPr="00ED1222">
        <w:rPr>
          <w:kern w:val="2"/>
          <w14:ligatures w14:val="standardContextual"/>
        </w:rPr>
        <w:t>, kusjuures igale asutusele esitati üks tähelepanek, välja arvatud viimasele, kellele esitati kaks; märgib, et tähelepaneku esitamise põhjused ja asutuste vastused kontrollikoja tähelepanekule on järgmised:</w:t>
      </w:r>
    </w:p>
    <w:p w14:paraId="4E5F1AB3" w14:textId="77777777" w:rsidR="00ED1222" w:rsidRPr="00ED1222" w:rsidRDefault="00ED1222" w:rsidP="00ED1222">
      <w:pPr>
        <w:widowControl/>
        <w:spacing w:after="240"/>
        <w:ind w:left="1134" w:hanging="567"/>
        <w:rPr>
          <w:rFonts w:eastAsia="Calibri"/>
          <w:kern w:val="2"/>
          <w:szCs w:val="24"/>
          <w:lang w:eastAsia="en-US"/>
          <w14:ligatures w14:val="standardContextual"/>
        </w:rPr>
      </w:pPr>
      <w:r w:rsidRPr="00ED1222">
        <w:rPr>
          <w:rFonts w:eastAsia="Calibri"/>
          <w:kern w:val="2"/>
          <w:szCs w:val="24"/>
          <w:lang w:eastAsia="en-US"/>
          <w14:ligatures w14:val="standardContextual"/>
        </w:rPr>
        <w:t>—</w:t>
      </w:r>
      <w:r w:rsidRPr="00ED1222">
        <w:rPr>
          <w:rFonts w:eastAsia="Calibri"/>
          <w:kern w:val="2"/>
          <w:szCs w:val="24"/>
          <w:lang w:eastAsia="en-US"/>
          <w14:ligatures w14:val="standardContextual"/>
        </w:rPr>
        <w:tab/>
      </w:r>
      <w:proofErr w:type="spellStart"/>
      <w:r w:rsidRPr="00ED1222">
        <w:rPr>
          <w:rFonts w:eastAsia="Calibri"/>
          <w:kern w:val="2"/>
          <w:szCs w:val="24"/>
          <w:lang w:eastAsia="en-US"/>
          <w14:ligatures w14:val="standardContextual"/>
        </w:rPr>
        <w:t>CdT</w:t>
      </w:r>
      <w:proofErr w:type="spellEnd"/>
      <w:r w:rsidRPr="00ED1222">
        <w:rPr>
          <w:rFonts w:eastAsia="Calibri"/>
          <w:kern w:val="2"/>
          <w:szCs w:val="24"/>
          <w:lang w:eastAsia="en-US"/>
          <w14:ligatures w14:val="standardContextual"/>
        </w:rPr>
        <w:t xml:space="preserve"> puhul viitab tähelepanek otselepingu sõlmimise menetluse ebaõigele kasutamisele selle asemel, et algatada konkurentsipõhine menetlus, mis põhineb tulevaste kulude prognoosil, mille tulemusel tehti nende lepingute alusel 2023. aastal </w:t>
      </w:r>
      <w:proofErr w:type="spellStart"/>
      <w:r w:rsidRPr="00ED1222">
        <w:rPr>
          <w:rFonts w:eastAsia="Calibri"/>
          <w:kern w:val="2"/>
          <w:szCs w:val="24"/>
          <w:lang w:eastAsia="en-US"/>
          <w14:ligatures w14:val="standardContextual"/>
        </w:rPr>
        <w:t>reeglitevastaseid</w:t>
      </w:r>
      <w:proofErr w:type="spellEnd"/>
      <w:r w:rsidRPr="00ED1222">
        <w:rPr>
          <w:rFonts w:eastAsia="Calibri"/>
          <w:kern w:val="2"/>
          <w:szCs w:val="24"/>
          <w:lang w:eastAsia="en-US"/>
          <w14:ligatures w14:val="standardContextual"/>
        </w:rPr>
        <w:t xml:space="preserve"> makseid kogusummas 25 800 eurot; võtab teadmiseks </w:t>
      </w:r>
      <w:proofErr w:type="spellStart"/>
      <w:r w:rsidRPr="00ED1222">
        <w:rPr>
          <w:rFonts w:eastAsia="Calibri"/>
          <w:kern w:val="2"/>
          <w:szCs w:val="24"/>
          <w:lang w:eastAsia="en-US"/>
          <w14:ligatures w14:val="standardContextual"/>
        </w:rPr>
        <w:t>CdT</w:t>
      </w:r>
      <w:proofErr w:type="spellEnd"/>
      <w:r w:rsidRPr="00ED1222">
        <w:rPr>
          <w:rFonts w:eastAsia="Calibri"/>
          <w:kern w:val="2"/>
          <w:szCs w:val="24"/>
          <w:lang w:eastAsia="en-US"/>
          <w14:ligatures w14:val="standardContextual"/>
        </w:rPr>
        <w:t xml:space="preserve"> vastuse, et keskus korraldab lihtsustatud konkurentsimenetlusi üle 1 000 euro suuruste hooldusteenuste tellimiseks;</w:t>
      </w:r>
    </w:p>
    <w:p w14:paraId="31903738" w14:textId="77777777" w:rsidR="00ED1222" w:rsidRPr="00ED1222" w:rsidRDefault="00ED1222" w:rsidP="00ED1222">
      <w:pPr>
        <w:widowControl/>
        <w:spacing w:after="240"/>
        <w:ind w:left="1134" w:hanging="567"/>
        <w:rPr>
          <w:rFonts w:eastAsia="Calibri"/>
          <w:kern w:val="2"/>
          <w:szCs w:val="24"/>
          <w:lang w:eastAsia="en-US"/>
          <w14:ligatures w14:val="standardContextual"/>
        </w:rPr>
      </w:pPr>
      <w:r w:rsidRPr="00ED1222">
        <w:rPr>
          <w:rFonts w:eastAsia="Calibri"/>
          <w:kern w:val="2"/>
          <w:szCs w:val="24"/>
          <w:lang w:eastAsia="en-US"/>
          <w14:ligatures w14:val="standardContextual"/>
        </w:rPr>
        <w:t>—</w:t>
      </w:r>
      <w:r w:rsidRPr="00ED1222">
        <w:rPr>
          <w:rFonts w:eastAsia="Calibri"/>
          <w:kern w:val="2"/>
          <w:szCs w:val="24"/>
          <w:lang w:eastAsia="en-US"/>
          <w14:ligatures w14:val="standardContextual"/>
        </w:rPr>
        <w:tab/>
        <w:t>ERA puhul on tähelepanek seotud erilepingu allkirjastamisega ilma hankemenetluse taasavamiseta, nagu on nõutud raamlepingus, mille tulemusel tehti selle lepinguga seoses makseid kokku 254 400 euro ulatuses; võtab teadmiseks ERA vastuse, et alates 2024. aastast on amet siiski hakanud kohaldama oma konkursi taasavamist kaetud teenuste suhtes;</w:t>
      </w:r>
    </w:p>
    <w:p w14:paraId="04A3324B" w14:textId="77777777" w:rsidR="00ED1222" w:rsidRPr="00ED1222" w:rsidRDefault="00ED1222" w:rsidP="00ED1222">
      <w:pPr>
        <w:widowControl/>
        <w:spacing w:after="240"/>
        <w:ind w:left="1134" w:hanging="567"/>
        <w:rPr>
          <w:rFonts w:eastAsia="Calibri"/>
          <w:kern w:val="2"/>
          <w:szCs w:val="24"/>
          <w:lang w:eastAsia="en-US"/>
          <w14:ligatures w14:val="standardContextual"/>
        </w:rPr>
      </w:pPr>
      <w:r w:rsidRPr="00ED1222">
        <w:rPr>
          <w:rFonts w:eastAsia="Calibri"/>
          <w:kern w:val="2"/>
          <w:szCs w:val="24"/>
          <w:lang w:eastAsia="en-US"/>
          <w14:ligatures w14:val="standardContextual"/>
        </w:rPr>
        <w:t>—</w:t>
      </w:r>
      <w:r w:rsidRPr="00ED1222">
        <w:rPr>
          <w:rFonts w:eastAsia="Calibri"/>
          <w:kern w:val="2"/>
          <w:szCs w:val="24"/>
          <w:lang w:eastAsia="en-US"/>
          <w14:ligatures w14:val="standardContextual"/>
        </w:rPr>
        <w:tab/>
        <w:t xml:space="preserve">EIGE tähelepanek on seotud eelkontrollide ebaõige kohaldamise, raamlepingu ülemmäära ületamise ja päevamäärade valesti arvutamisega, mille tulemusel tehti </w:t>
      </w:r>
      <w:proofErr w:type="spellStart"/>
      <w:r w:rsidRPr="00ED1222">
        <w:rPr>
          <w:rFonts w:eastAsia="Calibri"/>
          <w:kern w:val="2"/>
          <w:szCs w:val="24"/>
          <w:lang w:eastAsia="en-US"/>
          <w14:ligatures w14:val="standardContextual"/>
        </w:rPr>
        <w:t>reeglitevastaseid</w:t>
      </w:r>
      <w:proofErr w:type="spellEnd"/>
      <w:r w:rsidRPr="00ED1222">
        <w:rPr>
          <w:rFonts w:eastAsia="Calibri"/>
          <w:kern w:val="2"/>
          <w:szCs w:val="24"/>
          <w:lang w:eastAsia="en-US"/>
          <w14:ligatures w14:val="standardContextual"/>
        </w:rPr>
        <w:t xml:space="preserve"> makseid 76 500 euro ulatuses; märgib, et EIGE võtab meetmeid, et tagada institutsioonidevaheliste raamlepingute nõuetekohane rakendamine, pöörates tähelepanu personaliga seotud lepingutele;</w:t>
      </w:r>
    </w:p>
    <w:p w14:paraId="03CD1DA6" w14:textId="77777777" w:rsidR="00ED1222" w:rsidRPr="00ED1222" w:rsidRDefault="00ED1222" w:rsidP="00ED1222">
      <w:pPr>
        <w:widowControl/>
        <w:spacing w:after="240"/>
        <w:ind w:left="1134" w:hanging="567"/>
        <w:rPr>
          <w:rFonts w:eastAsia="Calibri"/>
          <w:kern w:val="2"/>
          <w:szCs w:val="24"/>
          <w:lang w:eastAsia="en-US"/>
          <w14:ligatures w14:val="standardContextual"/>
        </w:rPr>
      </w:pPr>
      <w:r w:rsidRPr="00ED1222">
        <w:rPr>
          <w:rFonts w:eastAsia="Calibri"/>
          <w:kern w:val="2"/>
          <w:szCs w:val="24"/>
          <w:lang w:eastAsia="en-US"/>
          <w14:ligatures w14:val="standardContextual"/>
        </w:rPr>
        <w:t>—</w:t>
      </w:r>
      <w:r w:rsidRPr="00ED1222">
        <w:rPr>
          <w:rFonts w:eastAsia="Calibri"/>
          <w:kern w:val="2"/>
          <w:szCs w:val="24"/>
          <w:lang w:eastAsia="en-US"/>
          <w14:ligatures w14:val="standardContextual"/>
        </w:rPr>
        <w:tab/>
        <w:t xml:space="preserve">EFCA kasutas institutsioonidevahelist raamlepingut, et pakkuda reisikorraldusteenuseid väljaspool lepingu kohaldamisala ürituste korraldamise teenuste hankimiseks, ning sellega seotud 2023. aasta maksed summas 257 300 eurot olid </w:t>
      </w:r>
      <w:proofErr w:type="spellStart"/>
      <w:r w:rsidRPr="00ED1222">
        <w:rPr>
          <w:rFonts w:eastAsia="Calibri"/>
          <w:kern w:val="2"/>
          <w:szCs w:val="24"/>
          <w:lang w:eastAsia="en-US"/>
          <w14:ligatures w14:val="standardContextual"/>
        </w:rPr>
        <w:t>reeglitevastased</w:t>
      </w:r>
      <w:proofErr w:type="spellEnd"/>
      <w:r w:rsidRPr="00ED1222">
        <w:rPr>
          <w:rFonts w:eastAsia="Calibri"/>
          <w:kern w:val="2"/>
          <w:szCs w:val="24"/>
          <w:lang w:eastAsia="en-US"/>
          <w14:ligatures w14:val="standardContextual"/>
        </w:rPr>
        <w:t>; märgib, et EFCA väidab, et ametil tuli ette ootamatuid olukordi, mis põhjustasid menetlustes viivitusi, ning et amet koostab parandusmeetmetena erandolukorra plaani ootamatute sündmuste mõju leevendamiseks;</w:t>
      </w:r>
    </w:p>
    <w:p w14:paraId="6EF717D5" w14:textId="77777777" w:rsidR="00ED1222" w:rsidRPr="00ED1222" w:rsidRDefault="00ED1222" w:rsidP="00ED1222">
      <w:pPr>
        <w:widowControl/>
        <w:spacing w:after="240"/>
        <w:ind w:left="1134" w:hanging="567"/>
        <w:rPr>
          <w:rFonts w:eastAsia="Calibri"/>
          <w:kern w:val="2"/>
          <w:szCs w:val="24"/>
          <w:lang w:eastAsia="en-US"/>
          <w14:ligatures w14:val="standardContextual"/>
        </w:rPr>
      </w:pPr>
      <w:r w:rsidRPr="00ED1222">
        <w:rPr>
          <w:rFonts w:eastAsia="Calibri"/>
          <w:kern w:val="2"/>
          <w:szCs w:val="24"/>
          <w:lang w:eastAsia="en-US"/>
          <w14:ligatures w14:val="standardContextual"/>
        </w:rPr>
        <w:t>—</w:t>
      </w:r>
      <w:r w:rsidRPr="00ED1222">
        <w:rPr>
          <w:rFonts w:eastAsia="Calibri"/>
          <w:kern w:val="2"/>
          <w:szCs w:val="24"/>
          <w:lang w:eastAsia="en-US"/>
          <w14:ligatures w14:val="standardContextual"/>
        </w:rPr>
        <w:tab/>
        <w:t>EU-OSHA-</w:t>
      </w:r>
      <w:proofErr w:type="spellStart"/>
      <w:r w:rsidRPr="00ED1222">
        <w:rPr>
          <w:rFonts w:eastAsia="Calibri"/>
          <w:kern w:val="2"/>
          <w:szCs w:val="24"/>
          <w:lang w:eastAsia="en-US"/>
          <w14:ligatures w14:val="standardContextual"/>
        </w:rPr>
        <w:t>le</w:t>
      </w:r>
      <w:proofErr w:type="spellEnd"/>
      <w:r w:rsidRPr="00ED1222">
        <w:rPr>
          <w:rFonts w:eastAsia="Calibri"/>
          <w:kern w:val="2"/>
          <w:szCs w:val="24"/>
          <w:lang w:eastAsia="en-US"/>
          <w14:ligatures w14:val="standardContextual"/>
        </w:rPr>
        <w:t xml:space="preserve"> esitati kaks tähelepanekut:</w:t>
      </w:r>
    </w:p>
    <w:p w14:paraId="185A3EDE" w14:textId="77777777" w:rsidR="00ED1222" w:rsidRPr="00ED1222" w:rsidRDefault="00ED1222" w:rsidP="00ED1222">
      <w:pPr>
        <w:widowControl/>
        <w:spacing w:after="240"/>
        <w:ind w:left="1701" w:hanging="567"/>
        <w:rPr>
          <w:rFonts w:eastAsia="Calibri"/>
          <w:kern w:val="2"/>
          <w:szCs w:val="24"/>
          <w:lang w:eastAsia="en-US"/>
          <w14:ligatures w14:val="standardContextual"/>
        </w:rPr>
      </w:pPr>
      <w:r w:rsidRPr="00ED1222">
        <w:rPr>
          <w:rFonts w:eastAsia="Calibri"/>
          <w:kern w:val="2"/>
          <w:szCs w:val="24"/>
          <w:lang w:eastAsia="en-US"/>
          <w14:ligatures w14:val="standardContextual"/>
        </w:rPr>
        <w:t>1)</w:t>
      </w:r>
      <w:r w:rsidRPr="00ED1222">
        <w:rPr>
          <w:rFonts w:eastAsia="Calibri"/>
          <w:kern w:val="2"/>
          <w:szCs w:val="24"/>
          <w:lang w:eastAsia="en-US"/>
          <w14:ligatures w14:val="standardContextual"/>
        </w:rPr>
        <w:tab/>
        <w:t xml:space="preserve">EU-OSHA rikkus õigusnorme, kui ta sõlmis ilma hanketeate avaldamiseta ühe ettevõtjaga kolm läbirääkimistega hankemenetlust, mis kontrollikoja hinnangul ei vastanud finantsmääruse I lisa punkti 11.1 alapunktis c sätestatud tingimustele ja mille tulemusel tehti 2023. aastal </w:t>
      </w:r>
      <w:proofErr w:type="spellStart"/>
      <w:r w:rsidRPr="00ED1222">
        <w:rPr>
          <w:rFonts w:eastAsia="Calibri"/>
          <w:kern w:val="2"/>
          <w:szCs w:val="24"/>
          <w:lang w:eastAsia="en-US"/>
          <w14:ligatures w14:val="standardContextual"/>
        </w:rPr>
        <w:t>reeglitevastaseid</w:t>
      </w:r>
      <w:proofErr w:type="spellEnd"/>
      <w:r w:rsidRPr="00ED1222">
        <w:rPr>
          <w:rFonts w:eastAsia="Calibri"/>
          <w:kern w:val="2"/>
          <w:szCs w:val="24"/>
          <w:lang w:eastAsia="en-US"/>
          <w14:ligatures w14:val="standardContextual"/>
        </w:rPr>
        <w:t xml:space="preserve"> makseid 67 100 euro väärtuses; võtab teadmiseks EU-OSHA vastuse, et amet oli äärmiselt kiireloomulises olukorras ja tal ei olnud talitluspidevuse tagamiseks muid toimivaid võimalusi;</w:t>
      </w:r>
    </w:p>
    <w:p w14:paraId="592A811F" w14:textId="77777777" w:rsidR="00ED1222" w:rsidRPr="00ED1222" w:rsidRDefault="00ED1222" w:rsidP="00ED1222">
      <w:pPr>
        <w:widowControl/>
        <w:spacing w:after="240"/>
        <w:ind w:left="1701" w:hanging="567"/>
        <w:rPr>
          <w:rFonts w:eastAsia="Calibri"/>
          <w:kern w:val="2"/>
          <w:szCs w:val="24"/>
          <w:lang w:eastAsia="en-US"/>
          <w14:ligatures w14:val="standardContextual"/>
        </w:rPr>
      </w:pPr>
      <w:r w:rsidRPr="00ED1222">
        <w:rPr>
          <w:rFonts w:eastAsia="Calibri"/>
          <w:kern w:val="2"/>
          <w:szCs w:val="24"/>
          <w:lang w:eastAsia="en-US"/>
          <w14:ligatures w14:val="standardContextual"/>
        </w:rPr>
        <w:t>2)</w:t>
      </w:r>
      <w:r w:rsidRPr="00ED1222">
        <w:rPr>
          <w:rFonts w:eastAsia="Calibri"/>
          <w:kern w:val="2"/>
          <w:szCs w:val="24"/>
          <w:lang w:eastAsia="en-US"/>
          <w14:ligatures w14:val="standardContextual"/>
        </w:rPr>
        <w:tab/>
        <w:t xml:space="preserve">kahe otselepingu tulemusel tehti </w:t>
      </w:r>
      <w:proofErr w:type="spellStart"/>
      <w:r w:rsidRPr="00ED1222">
        <w:rPr>
          <w:rFonts w:eastAsia="Calibri"/>
          <w:kern w:val="2"/>
          <w:szCs w:val="24"/>
          <w:lang w:eastAsia="en-US"/>
          <w14:ligatures w14:val="standardContextual"/>
        </w:rPr>
        <w:t>reeglitevastaseid</w:t>
      </w:r>
      <w:proofErr w:type="spellEnd"/>
      <w:r w:rsidRPr="00ED1222">
        <w:rPr>
          <w:rFonts w:eastAsia="Calibri"/>
          <w:kern w:val="2"/>
          <w:szCs w:val="24"/>
          <w:lang w:eastAsia="en-US"/>
          <w14:ligatures w14:val="standardContextual"/>
        </w:rPr>
        <w:t xml:space="preserve"> makseid summas 29 700 eurot; märgib, et need lepingud oleks tulnud koondada üheks konkursimenetluseks, kuna need puudutasid peaaegu identseid teenuseid; märgib, et seetõttu rikuti finantsmääruse artiklit 160, millega keelatakse lepingute osadeks jagamine; märgib, et EU-OSHA kavatseb parandada oma turu-uuringute dokumenteerimist ja uurida alternatiivseid hankevahendeid;</w:t>
      </w:r>
    </w:p>
    <w:p w14:paraId="4EA85E20"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lastRenderedPageBreak/>
        <w:t>100.</w:t>
      </w:r>
      <w:r w:rsidRPr="00ED1222">
        <w:rPr>
          <w:kern w:val="2"/>
          <w14:ligatures w14:val="standardContextual"/>
        </w:rPr>
        <w:tab/>
        <w:t>kordab kontrollikoja soovitust, et raamlepingute rakendamisel peaksid asjaomased asutused kasutama erilepinguid üksnes seotud raamlepinguga hõlmatud kaupade või teenuste hankimiseks; kordab lisaks kontrollikoja soovitust, et asjaomased asutused peaksid samuti tagama, et nad järgivad finantsmääruses sätestatud reegleid kehtivate lepingute muutmiseks, et erilepingutes määratakse kindlaks hinnad ja tarneajad ning et lepingu täitmist kontrollitakse piisavalt seoses nende põhielementidega;</w:t>
      </w:r>
    </w:p>
    <w:p w14:paraId="2C2FBFA0"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101.</w:t>
      </w:r>
      <w:r w:rsidRPr="00ED1222">
        <w:rPr>
          <w:kern w:val="2"/>
          <w14:ligatures w14:val="standardContextual"/>
        </w:rPr>
        <w:tab/>
        <w:t>tuletab meelde, kui oluline on tagada kõigis hankemenetlustes kvaliteetsed kaubad ja teenused ning pakkujate vaheline aus konkurents ja hankida majanduslikult kõige soodsamaid kaupu ja teenuseid, eelistades Euroopa ettevõtteid Euroopa-välistele ettevõtetele ning järgides seejuures läbipaistvuse, proportsionaalsuse, võrdse kohtlemise ja mittediskrimineerimise põhimõtteid;</w:t>
      </w:r>
    </w:p>
    <w:p w14:paraId="3ED73A5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102.</w:t>
      </w:r>
      <w:r w:rsidRPr="00ED1222">
        <w:rPr>
          <w:kern w:val="2"/>
          <w14:ligatures w14:val="standardContextual"/>
        </w:rPr>
        <w:tab/>
        <w:t>rõhutab vajadust tugevdada ELi asutuste võrgustiku ja Euroopa Komisjoni vahelist hankealast koostööd;</w:t>
      </w:r>
    </w:p>
    <w:p w14:paraId="61E5CD95" w14:textId="77777777" w:rsidR="00ED1222" w:rsidRPr="00ED1222" w:rsidRDefault="00ED1222" w:rsidP="00ED1222">
      <w:pPr>
        <w:spacing w:after="240"/>
        <w:ind w:left="567" w:hanging="567"/>
        <w:rPr>
          <w:kern w:val="2"/>
          <w:szCs w:val="24"/>
          <w14:ligatures w14:val="standardContextual"/>
        </w:rPr>
      </w:pPr>
      <w:r w:rsidRPr="00ED1222">
        <w:rPr>
          <w:kern w:val="2"/>
          <w14:ligatures w14:val="standardContextual"/>
        </w:rPr>
        <w:t>103.</w:t>
      </w:r>
      <w:r w:rsidRPr="00ED1222">
        <w:rPr>
          <w:kern w:val="2"/>
          <w14:ligatures w14:val="standardContextual"/>
        </w:rPr>
        <w:tab/>
        <w:t xml:space="preserve">rõhutab, kui oluline on edendada asutustes digiüleminekut nii asutusesisese tegevuse kui ka juhtimise seisukohast, samuti menetluste digitaliseerimise kiirendamiseks; rõhutab vajadust püsida proaktiivne; toetab sellega seoses lisainvesteeringuid digitaalsetesse vahenditesse ja innovatsiooni, et parandada menetlustoiminguid ja vältida </w:t>
      </w:r>
      <w:proofErr w:type="spellStart"/>
      <w:r w:rsidRPr="00ED1222">
        <w:rPr>
          <w:kern w:val="2"/>
          <w14:ligatures w14:val="standardContextual"/>
        </w:rPr>
        <w:t>asutustevahelist</w:t>
      </w:r>
      <w:proofErr w:type="spellEnd"/>
      <w:r w:rsidRPr="00ED1222">
        <w:rPr>
          <w:kern w:val="2"/>
          <w14:ligatures w14:val="standardContextual"/>
        </w:rPr>
        <w:t xml:space="preserve"> digilõhet;</w:t>
      </w:r>
    </w:p>
    <w:p w14:paraId="480CACE3" w14:textId="77777777" w:rsidR="00ED1222" w:rsidRPr="00ED1222" w:rsidRDefault="00ED1222" w:rsidP="00ED1222">
      <w:pPr>
        <w:keepNext/>
        <w:keepLines/>
        <w:spacing w:after="240"/>
        <w:rPr>
          <w:b/>
          <w:i/>
          <w:kern w:val="2"/>
          <w14:ligatures w14:val="standardContextual"/>
        </w:rPr>
      </w:pPr>
      <w:r w:rsidRPr="00ED1222">
        <w:rPr>
          <w:b/>
          <w:i/>
          <w:kern w:val="2"/>
          <w14:ligatures w14:val="standardContextual"/>
        </w:rPr>
        <w:t>Personalipoliitika, sooline võrdõiguslikkus, kaasamine, huvide konflikt ja pettuste ennetamine</w:t>
      </w:r>
    </w:p>
    <w:p w14:paraId="29515F8D"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104.</w:t>
      </w:r>
      <w:r w:rsidRPr="00ED1222">
        <w:rPr>
          <w:kern w:val="2"/>
          <w14:ligatures w14:val="standardContextual"/>
        </w:rPr>
        <w:tab/>
        <w:t>märgib, et 2023. aastal teatasid 33 detsentraliseeritud asutust, et neil on kokku 10 580 töötajat (võrreldes 10 146 töötajaga 2022. aastal), sealhulgas ametnikud, ajutised teenistujad, lepingulised töötajad ja lähetatud riiklikud eksperdid, mida on 2022. aastaga võrreldes 4,27 % rohkem;</w:t>
      </w:r>
    </w:p>
    <w:p w14:paraId="31CB6AF5" w14:textId="77777777" w:rsidR="00ED1222" w:rsidRPr="00ED1222" w:rsidRDefault="00ED1222" w:rsidP="00ED1222">
      <w:pPr>
        <w:spacing w:after="240"/>
        <w:ind w:left="567" w:hanging="567"/>
        <w:rPr>
          <w:kern w:val="2"/>
          <w:szCs w:val="24"/>
          <w14:ligatures w14:val="standardContextual"/>
        </w:rPr>
      </w:pPr>
      <w:r w:rsidRPr="00ED1222">
        <w:rPr>
          <w:kern w:val="2"/>
          <w14:ligatures w14:val="standardContextual"/>
        </w:rPr>
        <w:t>105.</w:t>
      </w:r>
      <w:r w:rsidRPr="00ED1222">
        <w:rPr>
          <w:kern w:val="2"/>
          <w14:ligatures w14:val="standardContextual"/>
        </w:rPr>
        <w:tab/>
        <w:t xml:space="preserve">märgib, et </w:t>
      </w:r>
      <w:proofErr w:type="spellStart"/>
      <w:r w:rsidRPr="00ED1222">
        <w:rPr>
          <w:kern w:val="2"/>
          <w14:ligatures w14:val="standardContextual"/>
        </w:rPr>
        <w:t>läbipõlemisjuhtumeid</w:t>
      </w:r>
      <w:proofErr w:type="spellEnd"/>
      <w:r w:rsidRPr="00ED1222">
        <w:rPr>
          <w:kern w:val="2"/>
          <w14:ligatures w14:val="standardContextual"/>
        </w:rPr>
        <w:t xml:space="preserve"> (kokku 25) registreeriti kuues asutuses: EASA (viis juhtumit), EEA (neli juhtumit), EFCA (üks juhtum), EFSA (kaks juhtumit), EMA (kümme juhtumit) ja Europol (kolm juhtumit); märgib siiski, et andmekaitsest tulenevalt ei kogu </w:t>
      </w:r>
      <w:proofErr w:type="spellStart"/>
      <w:r w:rsidRPr="00ED1222">
        <w:rPr>
          <w:kern w:val="2"/>
          <w14:ligatures w14:val="standardContextual"/>
        </w:rPr>
        <w:t>läbipõlemisjuhtumite</w:t>
      </w:r>
      <w:proofErr w:type="spellEnd"/>
      <w:r w:rsidRPr="00ED1222">
        <w:rPr>
          <w:kern w:val="2"/>
          <w14:ligatures w14:val="standardContextual"/>
        </w:rPr>
        <w:t xml:space="preserve"> kohta andmeid kõik asutused, nende hulgas ECDC, ECHA, EMSA, ENISA, ERA, FRA ja </w:t>
      </w:r>
      <w:proofErr w:type="spellStart"/>
      <w:r w:rsidRPr="00ED1222">
        <w:rPr>
          <w:kern w:val="2"/>
          <w14:ligatures w14:val="standardContextual"/>
        </w:rPr>
        <w:t>Frontex</w:t>
      </w:r>
      <w:proofErr w:type="spellEnd"/>
      <w:r w:rsidRPr="00ED1222">
        <w:rPr>
          <w:kern w:val="2"/>
          <w14:ligatures w14:val="standardContextual"/>
        </w:rPr>
        <w:t xml:space="preserve">; väljendab muret selle pärast, et meditsiinilisi andmeid ei koguta, sest need on asutuste töötajate vaimse heaolu jälgimiseks olulised; nõuab tungivalt, et asutused võtaksid viivitamata meetmeid, et tegeleda töötajate hulgas üha sagenevate </w:t>
      </w:r>
      <w:proofErr w:type="spellStart"/>
      <w:r w:rsidRPr="00ED1222">
        <w:rPr>
          <w:kern w:val="2"/>
          <w14:ligatures w14:val="standardContextual"/>
        </w:rPr>
        <w:t>läbipõlemisjuhtumitega</w:t>
      </w:r>
      <w:proofErr w:type="spellEnd"/>
      <w:r w:rsidRPr="00ED1222">
        <w:rPr>
          <w:kern w:val="2"/>
          <w14:ligatures w14:val="standardContextual"/>
        </w:rPr>
        <w:t xml:space="preserve">; märgib, et 2022. aastal tegi 19 asutuses ületunnitööd mitu töötajat (2021. aastal 13 asutuses); märgib eelkõige, et suur hulk töötajaid on teinud ületunde </w:t>
      </w:r>
      <w:proofErr w:type="spellStart"/>
      <w:r w:rsidRPr="00ED1222">
        <w:rPr>
          <w:kern w:val="2"/>
          <w14:ligatures w14:val="standardContextual"/>
        </w:rPr>
        <w:t>EFSAs</w:t>
      </w:r>
      <w:proofErr w:type="spellEnd"/>
      <w:r w:rsidRPr="00ED1222">
        <w:rPr>
          <w:kern w:val="2"/>
          <w14:ligatures w14:val="standardContextual"/>
        </w:rPr>
        <w:t xml:space="preserve"> (81 % töötajatest) ja </w:t>
      </w:r>
      <w:proofErr w:type="spellStart"/>
      <w:r w:rsidRPr="00ED1222">
        <w:rPr>
          <w:kern w:val="2"/>
          <w14:ligatures w14:val="standardContextual"/>
        </w:rPr>
        <w:t>Eurofoundis</w:t>
      </w:r>
      <w:proofErr w:type="spellEnd"/>
      <w:r w:rsidRPr="00ED1222">
        <w:rPr>
          <w:kern w:val="2"/>
          <w14:ligatures w14:val="standardContextual"/>
        </w:rPr>
        <w:t xml:space="preserve"> (97 % töötajatest); tuletab sellega seoses meelde, kui oluline on töötada välja pikaajaline personalipoliitika, sealhulgas vaimse tervise tugistruktuurid, tagades tervikliku lähenemisviisi töö- ja eraelu tasakaalule, sealhulgas sätted kaugtöö ja karjäärijuhtimise kohta; rõhutab lisaks, kui oluline on kaitsta töötajate vaimset tervist ja heaolu;</w:t>
      </w:r>
    </w:p>
    <w:p w14:paraId="63D2FE76" w14:textId="77777777" w:rsidR="00ED1222" w:rsidRPr="00ED1222" w:rsidRDefault="00ED1222" w:rsidP="00ED1222">
      <w:pPr>
        <w:spacing w:after="240"/>
        <w:ind w:left="567" w:hanging="567"/>
        <w:rPr>
          <w:kern w:val="2"/>
          <w:szCs w:val="24"/>
          <w14:ligatures w14:val="standardContextual"/>
        </w:rPr>
      </w:pPr>
      <w:r w:rsidRPr="00ED1222">
        <w:rPr>
          <w:kern w:val="2"/>
          <w14:ligatures w14:val="standardContextual"/>
        </w:rPr>
        <w:t>106.</w:t>
      </w:r>
      <w:r w:rsidRPr="00ED1222">
        <w:rPr>
          <w:kern w:val="2"/>
          <w14:ligatures w14:val="standardContextual"/>
        </w:rPr>
        <w:tab/>
        <w:t xml:space="preserve">märgib, et EIT direktor, kes võttis sõna ELi asutuste võrgustiku nimel, nõustus 4. detsembril 2024 eelarvekontrollikomisjonis, et viib detsentraliseeritud asutustes töötavate puhastustöötajate lepingute liikide kohta läbi uuringu; palub ELi asutuste võrgustikul teavitada eelarve täitmisele heakskiidu andmise eest vastutavat institutsiooni detsentraliseeritud asutustes töötavate puhastustöötajate lepingute liikidest, sealhulgas </w:t>
      </w:r>
      <w:r w:rsidRPr="00ED1222">
        <w:rPr>
          <w:kern w:val="2"/>
          <w14:ligatures w14:val="standardContextual"/>
        </w:rPr>
        <w:lastRenderedPageBreak/>
        <w:t>pikaajaliste ja lühiajaliste lepingute osakaalust;</w:t>
      </w:r>
    </w:p>
    <w:p w14:paraId="3078DD52"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107.</w:t>
      </w:r>
      <w:r w:rsidRPr="00ED1222">
        <w:rPr>
          <w:kern w:val="2"/>
          <w14:ligatures w14:val="standardContextual"/>
        </w:rPr>
        <w:tab/>
        <w:t xml:space="preserve">toetab </w:t>
      </w:r>
      <w:proofErr w:type="spellStart"/>
      <w:r w:rsidRPr="00ED1222">
        <w:rPr>
          <w:kern w:val="2"/>
          <w14:ligatures w14:val="standardContextual"/>
        </w:rPr>
        <w:t>Frontexi</w:t>
      </w:r>
      <w:proofErr w:type="spellEnd"/>
      <w:r w:rsidRPr="00ED1222">
        <w:rPr>
          <w:kern w:val="2"/>
          <w14:ligatures w14:val="standardContextual"/>
        </w:rPr>
        <w:t xml:space="preserve"> pidevaid püüdlusi oma põhiõiguste ametniku rolli tugevdamisel ning võtab teadmiseks, et 2023. aastal võeti tööle 46 põhiõiguste vaatlejat; rõhutab, kui oluline on tagada see, et kõik põhiõiguste vaatlejad võetakse tööle AD palgaastmele, millega suurendatakse veelgi nende suutlikkust ja sõltumatust; tunnistab, et </w:t>
      </w:r>
      <w:proofErr w:type="spellStart"/>
      <w:r w:rsidRPr="00ED1222">
        <w:rPr>
          <w:kern w:val="2"/>
          <w14:ligatures w14:val="standardContextual"/>
        </w:rPr>
        <w:t>Frontex</w:t>
      </w:r>
      <w:proofErr w:type="spellEnd"/>
      <w:r w:rsidRPr="00ED1222">
        <w:rPr>
          <w:kern w:val="2"/>
          <w14:ligatures w14:val="standardContextual"/>
        </w:rPr>
        <w:t xml:space="preserve"> on teinud olulisi samme põhiõiguste ametniku arvamuste arvesse võtmiseks, eelkõige sellistes küsimustes nagu soolise võrdõiguslikkuse süvalaiendamine ja inimkaubandus;</w:t>
      </w:r>
    </w:p>
    <w:p w14:paraId="27CF4E3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108.</w:t>
      </w:r>
      <w:r w:rsidRPr="00ED1222">
        <w:rPr>
          <w:kern w:val="2"/>
          <w14:ligatures w14:val="standardContextual"/>
        </w:rPr>
        <w:tab/>
        <w:t xml:space="preserve">võtab teadmiseks, et 2023. aastal oli tööjõu </w:t>
      </w:r>
      <w:proofErr w:type="spellStart"/>
      <w:r w:rsidRPr="00ED1222">
        <w:rPr>
          <w:kern w:val="2"/>
          <w14:ligatures w14:val="standardContextual"/>
        </w:rPr>
        <w:t>voolavuse</w:t>
      </w:r>
      <w:proofErr w:type="spellEnd"/>
      <w:r w:rsidRPr="00ED1222">
        <w:rPr>
          <w:kern w:val="2"/>
          <w14:ligatures w14:val="standardContextual"/>
        </w:rPr>
        <w:t xml:space="preserve"> määr 33 asutusest 18-s (nimelt </w:t>
      </w:r>
      <w:proofErr w:type="spellStart"/>
      <w:r w:rsidRPr="00ED1222">
        <w:rPr>
          <w:kern w:val="2"/>
          <w14:ligatures w14:val="standardContextual"/>
        </w:rPr>
        <w:t>Cedefop</w:t>
      </w:r>
      <w:proofErr w:type="spellEnd"/>
      <w:r w:rsidRPr="00ED1222">
        <w:rPr>
          <w:kern w:val="2"/>
          <w14:ligatures w14:val="standardContextual"/>
        </w:rPr>
        <w:t xml:space="preserve">, CEPOL, EBA, EFCA, EIGE, EIOPA, EIT, ELA, EUDA, ETF, EUAA, </w:t>
      </w:r>
      <w:proofErr w:type="spellStart"/>
      <w:r w:rsidRPr="00ED1222">
        <w:rPr>
          <w:kern w:val="2"/>
          <w14:ligatures w14:val="standardContextual"/>
        </w:rPr>
        <w:t>eu</w:t>
      </w:r>
      <w:proofErr w:type="spellEnd"/>
      <w:r w:rsidRPr="00ED1222">
        <w:rPr>
          <w:kern w:val="2"/>
          <w14:ligatures w14:val="standardContextual"/>
        </w:rPr>
        <w:t xml:space="preserve">-LISA, </w:t>
      </w:r>
      <w:proofErr w:type="spellStart"/>
      <w:r w:rsidRPr="00ED1222">
        <w:rPr>
          <w:kern w:val="2"/>
          <w14:ligatures w14:val="standardContextual"/>
        </w:rPr>
        <w:t>Eurofound</w:t>
      </w:r>
      <w:proofErr w:type="spellEnd"/>
      <w:r w:rsidRPr="00ED1222">
        <w:rPr>
          <w:kern w:val="2"/>
          <w14:ligatures w14:val="standardContextual"/>
        </w:rPr>
        <w:t xml:space="preserve">, </w:t>
      </w:r>
      <w:proofErr w:type="spellStart"/>
      <w:r w:rsidRPr="00ED1222">
        <w:rPr>
          <w:kern w:val="2"/>
          <w14:ligatures w14:val="standardContextual"/>
        </w:rPr>
        <w:t>Eurojust</w:t>
      </w:r>
      <w:proofErr w:type="spellEnd"/>
      <w:r w:rsidRPr="00ED1222">
        <w:rPr>
          <w:kern w:val="2"/>
          <w14:ligatures w14:val="standardContextual"/>
        </w:rPr>
        <w:t>, Europol, EUSPA) üle 5 % ning et kolmes neist (</w:t>
      </w:r>
      <w:proofErr w:type="spellStart"/>
      <w:r w:rsidRPr="00ED1222">
        <w:rPr>
          <w:kern w:val="2"/>
          <w14:ligatures w14:val="standardContextual"/>
        </w:rPr>
        <w:t>BERECi</w:t>
      </w:r>
      <w:proofErr w:type="spellEnd"/>
      <w:r w:rsidRPr="00ED1222">
        <w:rPr>
          <w:kern w:val="2"/>
          <w14:ligatures w14:val="standardContextual"/>
        </w:rPr>
        <w:t xml:space="preserve"> Büroo, </w:t>
      </w:r>
      <w:proofErr w:type="spellStart"/>
      <w:r w:rsidRPr="00ED1222">
        <w:rPr>
          <w:kern w:val="2"/>
          <w14:ligatures w14:val="standardContextual"/>
        </w:rPr>
        <w:t>CdT</w:t>
      </w:r>
      <w:proofErr w:type="spellEnd"/>
      <w:r w:rsidRPr="00ED1222">
        <w:rPr>
          <w:kern w:val="2"/>
          <w14:ligatures w14:val="standardContextual"/>
        </w:rPr>
        <w:t xml:space="preserve"> ja </w:t>
      </w:r>
      <w:proofErr w:type="spellStart"/>
      <w:r w:rsidRPr="00ED1222">
        <w:rPr>
          <w:kern w:val="2"/>
          <w14:ligatures w14:val="standardContextual"/>
        </w:rPr>
        <w:t>Eurojust</w:t>
      </w:r>
      <w:proofErr w:type="spellEnd"/>
      <w:r w:rsidRPr="00ED1222">
        <w:rPr>
          <w:kern w:val="2"/>
          <w14:ligatures w14:val="standardContextual"/>
        </w:rPr>
        <w:t xml:space="preserve">) oli tööjõu </w:t>
      </w:r>
      <w:proofErr w:type="spellStart"/>
      <w:r w:rsidRPr="00ED1222">
        <w:rPr>
          <w:kern w:val="2"/>
          <w14:ligatures w14:val="standardContextual"/>
        </w:rPr>
        <w:t>voolavuse</w:t>
      </w:r>
      <w:proofErr w:type="spellEnd"/>
      <w:r w:rsidRPr="00ED1222">
        <w:rPr>
          <w:kern w:val="2"/>
          <w14:ligatures w14:val="standardContextual"/>
        </w:rPr>
        <w:t xml:space="preserve"> määr üle 10 %; tunnustab asutusi, kes on võtnud sihipäraseid meetmeid, et vältida suurt tööjõu voolavust; rõhutab, kui oluline on, et kõik asutused rakendaksid meetmeid talendijuhtimise ja talentide hoidmise parandamiseks; loodab, et ELi asutuste võrgustik on oma </w:t>
      </w:r>
      <w:proofErr w:type="spellStart"/>
      <w:r w:rsidRPr="00ED1222">
        <w:rPr>
          <w:kern w:val="2"/>
          <w14:ligatures w14:val="standardContextual"/>
        </w:rPr>
        <w:t>liikmesasutuste</w:t>
      </w:r>
      <w:proofErr w:type="spellEnd"/>
      <w:r w:rsidRPr="00ED1222">
        <w:rPr>
          <w:kern w:val="2"/>
          <w14:ligatures w14:val="standardContextual"/>
        </w:rPr>
        <w:t xml:space="preserve"> foorum heade tavade vahetamiseks ja võimaluse korral jõudude ühendamiseks selles küsimuses; kutsub komisjoni üles aktiivselt toetama asutusi nende volituste täitmiseks vajalike ekspertide värbamisel, ergutades tihedamat koostööd ülikoolide ja muude asjaomaste institutsioonidega;</w:t>
      </w:r>
    </w:p>
    <w:p w14:paraId="56F822AA"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109.</w:t>
      </w:r>
      <w:r w:rsidRPr="00ED1222">
        <w:rPr>
          <w:kern w:val="2"/>
          <w14:ligatures w14:val="standardContextual"/>
        </w:rPr>
        <w:tab/>
        <w:t>rõhutab, et geograafiline tasakaal on endiselt probleem mitme asutuse jaoks, mille puhul märkimisväärne osa nende töötajatest on selle liikmesriigi kodanikud, kus asutused asuvad;</w:t>
      </w:r>
    </w:p>
    <w:p w14:paraId="0856C4AE"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110.</w:t>
      </w:r>
      <w:r w:rsidRPr="00ED1222">
        <w:rPr>
          <w:kern w:val="2"/>
          <w14:ligatures w14:val="standardContextual"/>
        </w:rPr>
        <w:tab/>
        <w:t>tunnistab, et talentide ligimeelitamine ja geograafiliselt mitmekesise tööjõu tagamine on seotud asutuste individuaalsete eripäradega (nt asukoht, taristu, kooliharidus, poliitikavaldkond) ning väliste piiravate teguritega (nt konkurents erasektoriga, lühiajalistest lepingutest tulenev töökohtade ebakindlus, madalad paranduskoefitsiendid); võtab ELi asutuste võrgustiku 2021. aasta eelarve täitmisele heakskiidu andmise järelmeetmete aruande põhjal rahuloluga teadmiseks meetmed, mida ELi asutuste võrgustik on võtnud vähese atraktiivsuse probleemi lahendamiseks ja asutuste töötajate esindatuse parandamiseks vanuse, soo ja geograafilise päritolu osas;</w:t>
      </w:r>
    </w:p>
    <w:p w14:paraId="03C3F06D" w14:textId="77777777" w:rsidR="00ED1222" w:rsidRPr="00ED1222" w:rsidRDefault="00ED1222" w:rsidP="00ED1222">
      <w:pPr>
        <w:spacing w:after="240"/>
        <w:ind w:left="567" w:hanging="567"/>
        <w:rPr>
          <w:kern w:val="2"/>
          <w:szCs w:val="24"/>
          <w14:ligatures w14:val="standardContextual"/>
        </w:rPr>
      </w:pPr>
      <w:r w:rsidRPr="00ED1222">
        <w:rPr>
          <w:kern w:val="2"/>
          <w14:ligatures w14:val="standardContextual"/>
        </w:rPr>
        <w:t>111.</w:t>
      </w:r>
      <w:r w:rsidRPr="00ED1222">
        <w:rPr>
          <w:kern w:val="2"/>
          <w14:ligatures w14:val="standardContextual"/>
        </w:rPr>
        <w:tab/>
        <w:t>tuletab meelde, et suhteliselt madala paranduskoefitsiendiga riikides asuvad asutused seisavad silmitsi pidevate probleemidega kvalifitseeritud ja geograafiliselt mitmekesise tööjõu ligimeelitamisel; kutsub komisjoni üles seda küsimust koos asjaomase liikmesriigiga analüüsima ja kaaluma probleemi leevendamiseks majanduslike stiimulite kasutamist; tuletab lisaks meelde, et paranduskoefitsiendiga rakendatakse võrdse kohtlemise üldpõhimõtet;</w:t>
      </w:r>
    </w:p>
    <w:p w14:paraId="0EEB3555" w14:textId="77777777" w:rsidR="00ED1222" w:rsidRPr="00ED1222" w:rsidRDefault="00ED1222" w:rsidP="00ED1222">
      <w:pPr>
        <w:spacing w:after="240"/>
        <w:ind w:left="567" w:hanging="567"/>
        <w:rPr>
          <w:kern w:val="2"/>
          <w:szCs w:val="24"/>
          <w14:ligatures w14:val="standardContextual"/>
        </w:rPr>
      </w:pPr>
      <w:r w:rsidRPr="00ED1222">
        <w:rPr>
          <w:kern w:val="2"/>
          <w14:ligatures w14:val="standardContextual"/>
        </w:rPr>
        <w:t>112.</w:t>
      </w:r>
      <w:r w:rsidRPr="00ED1222">
        <w:rPr>
          <w:kern w:val="2"/>
          <w14:ligatures w14:val="standardContextual"/>
        </w:rPr>
        <w:tab/>
        <w:t xml:space="preserve">toonitab, et mõned asutused kasutavad ulatuslikult </w:t>
      </w:r>
      <w:proofErr w:type="spellStart"/>
      <w:r w:rsidRPr="00ED1222">
        <w:rPr>
          <w:kern w:val="2"/>
          <w14:ligatures w14:val="standardContextual"/>
        </w:rPr>
        <w:t>väliskonsultante</w:t>
      </w:r>
      <w:proofErr w:type="spellEnd"/>
      <w:r w:rsidRPr="00ED1222">
        <w:rPr>
          <w:kern w:val="2"/>
          <w14:ligatures w14:val="standardContextual"/>
        </w:rPr>
        <w:t xml:space="preserve">, peamiselt IKT valdkonnas, aga ka oma põhitegevuse valdkondades, mis moodustavad märkimisväärse osa nende tegevuseelarvest (nt ACER, ETF, ELA jne); kutsub kõiki asutusi üles eelistama alalisi töötajaid </w:t>
      </w:r>
      <w:proofErr w:type="spellStart"/>
      <w:r w:rsidRPr="00ED1222">
        <w:rPr>
          <w:kern w:val="2"/>
          <w14:ligatures w14:val="standardContextual"/>
        </w:rPr>
        <w:t>väliskonsultantidele</w:t>
      </w:r>
      <w:proofErr w:type="spellEnd"/>
      <w:r w:rsidRPr="00ED1222">
        <w:rPr>
          <w:kern w:val="2"/>
          <w14:ligatures w14:val="standardContextual"/>
        </w:rPr>
        <w:t xml:space="preserve"> ja lepingulistele töötajatele, et tagada kvaliteetsed töötingimused ning vältida teadmiste ja kogemuste kaotsiminekut; kutsub lisaks asutusi üles vältima lühiajalistest lepingutest tulenevat tööalast ebakindlust ja seadma prioriteediks pikaajalise töötamise; kutsub sellega seoses üles võimaldama asutustele paindlikkust muuta lähetatud riiklike ekspertide ametikohad ajutiste teenistujate ametikohtadeks, tagades oskusteabe säilitamise, toimimise ja talitluspidevuse; nõuab lisaks, et välditaks ülesannete edasiandmist </w:t>
      </w:r>
      <w:r w:rsidRPr="00ED1222">
        <w:rPr>
          <w:kern w:val="2"/>
          <w14:ligatures w14:val="standardContextual"/>
        </w:rPr>
        <w:lastRenderedPageBreak/>
        <w:t>konsultatsioonifirmadele, kui oskusteave on kättesaadav asutusesiseselt;</w:t>
      </w:r>
    </w:p>
    <w:p w14:paraId="7069A60A"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113.</w:t>
      </w:r>
      <w:r w:rsidRPr="00ED1222">
        <w:rPr>
          <w:kern w:val="2"/>
          <w14:ligatures w14:val="standardContextual"/>
        </w:rPr>
        <w:tab/>
        <w:t>tunnustab asutustes tehtud edusamme soolise tasakaalu saavutamisel oma töötajate seas; nõuab suuremaid jõupingutusi, et tagada sooline tasakaal kõrgema juhtkonna tasandil ning integreerida sooline võrdõiguslikkus süstemaatiliselt kõigisse asutuste poliitikavaldkondadesse, menetlustesse ja tegevustesse;</w:t>
      </w:r>
    </w:p>
    <w:p w14:paraId="2013B543"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114.</w:t>
      </w:r>
      <w:r w:rsidRPr="00ED1222">
        <w:rPr>
          <w:kern w:val="2"/>
          <w14:ligatures w14:val="standardContextual"/>
        </w:rPr>
        <w:tab/>
        <w:t>kutsub asutusi üles seadma selgeid eesmärke ja ajakavasid kõrgemas juhtkonnas ja otsuseid tegevates organites soolise tasakaalu ja geograafilise mitmekesisuse saavutamiseks ning andma edusammudest süstemaatiliselt aru;</w:t>
      </w:r>
    </w:p>
    <w:p w14:paraId="2F1D86E9" w14:textId="77777777" w:rsidR="00ED1222" w:rsidRPr="00ED1222" w:rsidRDefault="00ED1222" w:rsidP="00ED1222">
      <w:pPr>
        <w:widowControl/>
        <w:spacing w:after="240"/>
        <w:ind w:left="567" w:hanging="567"/>
        <w:rPr>
          <w:kern w:val="2"/>
          <w:szCs w:val="24"/>
          <w14:ligatures w14:val="standardContextual"/>
        </w:rPr>
      </w:pPr>
      <w:r w:rsidRPr="00ED1222">
        <w:rPr>
          <w:kern w:val="2"/>
          <w14:ligatures w14:val="standardContextual"/>
        </w:rPr>
        <w:t>115.</w:t>
      </w:r>
      <w:r w:rsidRPr="00ED1222">
        <w:rPr>
          <w:kern w:val="2"/>
          <w14:ligatures w14:val="standardContextual"/>
        </w:rPr>
        <w:tab/>
        <w:t>märgib, et töötajate sooline jaotus kõrgema ja keskastme juhtkonna </w:t>
      </w:r>
      <w:r w:rsidRPr="00ED1222">
        <w:rPr>
          <w:kern w:val="2"/>
          <w:szCs w:val="24"/>
          <w:vertAlign w:val="superscript"/>
          <w14:ligatures w14:val="standardContextual"/>
        </w:rPr>
        <w:footnoteReference w:id="427"/>
      </w:r>
      <w:r w:rsidRPr="00ED1222">
        <w:rPr>
          <w:kern w:val="2"/>
          <w14:ligatures w14:val="standardContextual"/>
        </w:rPr>
        <w:t xml:space="preserve"> tasandil ning haldusnõukogu liikmete </w:t>
      </w:r>
      <w:r w:rsidRPr="00ED1222">
        <w:rPr>
          <w:kern w:val="2"/>
          <w:szCs w:val="24"/>
          <w:vertAlign w:val="superscript"/>
          <w14:ligatures w14:val="standardContextual"/>
        </w:rPr>
        <w:footnoteReference w:id="428"/>
      </w:r>
      <w:r w:rsidRPr="00ED1222">
        <w:rPr>
          <w:kern w:val="2"/>
          <w14:ligatures w14:val="standardContextual"/>
        </w:rPr>
        <w:t xml:space="preserve"> seas 2023. aastal võrreldes 2022. aastaga paranes; märgib, et töötajate sooline tasakaal üldiselt </w:t>
      </w:r>
      <w:r w:rsidRPr="00ED1222">
        <w:rPr>
          <w:kern w:val="2"/>
          <w:szCs w:val="24"/>
          <w:vertAlign w:val="superscript"/>
          <w14:ligatures w14:val="standardContextual"/>
        </w:rPr>
        <w:footnoteReference w:id="429"/>
      </w:r>
      <w:r w:rsidRPr="00ED1222">
        <w:rPr>
          <w:kern w:val="2"/>
          <w14:ligatures w14:val="standardContextual"/>
        </w:rPr>
        <w:t xml:space="preserve"> ei muutunud; soovitab </w:t>
      </w:r>
      <w:proofErr w:type="spellStart"/>
      <w:r w:rsidRPr="00ED1222">
        <w:rPr>
          <w:kern w:val="2"/>
          <w14:ligatures w14:val="standardContextual"/>
        </w:rPr>
        <w:t>ACERil</w:t>
      </w:r>
      <w:proofErr w:type="spellEnd"/>
      <w:r w:rsidRPr="00ED1222">
        <w:rPr>
          <w:kern w:val="2"/>
          <w14:ligatures w14:val="standardContextual"/>
        </w:rPr>
        <w:t xml:space="preserve">, </w:t>
      </w:r>
      <w:proofErr w:type="spellStart"/>
      <w:r w:rsidRPr="00ED1222">
        <w:rPr>
          <w:kern w:val="2"/>
          <w14:ligatures w14:val="standardContextual"/>
        </w:rPr>
        <w:t>BERECi</w:t>
      </w:r>
      <w:proofErr w:type="spellEnd"/>
      <w:r w:rsidRPr="00ED1222">
        <w:rPr>
          <w:kern w:val="2"/>
          <w14:ligatures w14:val="standardContextual"/>
        </w:rPr>
        <w:t xml:space="preserve"> Bürool, </w:t>
      </w:r>
      <w:proofErr w:type="spellStart"/>
      <w:r w:rsidRPr="00ED1222">
        <w:rPr>
          <w:kern w:val="2"/>
          <w14:ligatures w14:val="standardContextual"/>
        </w:rPr>
        <w:t>Cedefopil</w:t>
      </w:r>
      <w:proofErr w:type="spellEnd"/>
      <w:r w:rsidRPr="00ED1222">
        <w:rPr>
          <w:kern w:val="2"/>
          <w14:ligatures w14:val="standardContextual"/>
        </w:rPr>
        <w:t xml:space="preserve">, ECDC-l, ECHA-l, EFSA-l, EIOPA-l, EMCDDA-l, EMSA-l, ENISA-l, </w:t>
      </w:r>
      <w:proofErr w:type="spellStart"/>
      <w:r w:rsidRPr="00ED1222">
        <w:rPr>
          <w:kern w:val="2"/>
          <w14:ligatures w14:val="standardContextual"/>
        </w:rPr>
        <w:t>ERA-l</w:t>
      </w:r>
      <w:proofErr w:type="spellEnd"/>
      <w:r w:rsidRPr="00ED1222">
        <w:rPr>
          <w:kern w:val="2"/>
          <w14:ligatures w14:val="standardContextual"/>
        </w:rPr>
        <w:t xml:space="preserve">, </w:t>
      </w:r>
      <w:proofErr w:type="spellStart"/>
      <w:r w:rsidRPr="00ED1222">
        <w:rPr>
          <w:kern w:val="2"/>
          <w14:ligatures w14:val="standardContextual"/>
        </w:rPr>
        <w:t>eu</w:t>
      </w:r>
      <w:proofErr w:type="spellEnd"/>
      <w:r w:rsidRPr="00ED1222">
        <w:rPr>
          <w:kern w:val="2"/>
          <w14:ligatures w14:val="standardContextual"/>
        </w:rPr>
        <w:t>-</w:t>
      </w:r>
      <w:proofErr w:type="spellStart"/>
      <w:r w:rsidRPr="00ED1222">
        <w:rPr>
          <w:kern w:val="2"/>
          <w14:ligatures w14:val="standardContextual"/>
        </w:rPr>
        <w:t>LISA-l</w:t>
      </w:r>
      <w:proofErr w:type="spellEnd"/>
      <w:r w:rsidRPr="00ED1222">
        <w:rPr>
          <w:kern w:val="2"/>
          <w14:ligatures w14:val="standardContextual"/>
        </w:rPr>
        <w:t xml:space="preserve">, </w:t>
      </w:r>
      <w:proofErr w:type="spellStart"/>
      <w:r w:rsidRPr="00ED1222">
        <w:rPr>
          <w:kern w:val="2"/>
          <w14:ligatures w14:val="standardContextual"/>
        </w:rPr>
        <w:t>ELA-l</w:t>
      </w:r>
      <w:proofErr w:type="spellEnd"/>
      <w:r w:rsidRPr="00ED1222">
        <w:rPr>
          <w:kern w:val="2"/>
          <w14:ligatures w14:val="standardContextual"/>
        </w:rPr>
        <w:t xml:space="preserve">, Europolil, </w:t>
      </w:r>
      <w:proofErr w:type="spellStart"/>
      <w:r w:rsidRPr="00ED1222">
        <w:rPr>
          <w:kern w:val="2"/>
          <w14:ligatures w14:val="standardContextual"/>
        </w:rPr>
        <w:t>EUAA-l</w:t>
      </w:r>
      <w:proofErr w:type="spellEnd"/>
      <w:r w:rsidRPr="00ED1222">
        <w:rPr>
          <w:kern w:val="2"/>
          <w14:ligatures w14:val="standardContextual"/>
        </w:rPr>
        <w:t xml:space="preserve">, EUSPA-l ja </w:t>
      </w:r>
      <w:proofErr w:type="spellStart"/>
      <w:r w:rsidRPr="00ED1222">
        <w:rPr>
          <w:kern w:val="2"/>
          <w14:ligatures w14:val="standardContextual"/>
        </w:rPr>
        <w:t>Frontexil</w:t>
      </w:r>
      <w:proofErr w:type="spellEnd"/>
      <w:r w:rsidRPr="00ED1222">
        <w:rPr>
          <w:kern w:val="2"/>
          <w14:ligatures w14:val="standardContextual"/>
        </w:rPr>
        <w:t xml:space="preserve"> toetada naisi juhtivatele ametikohtadele kandideerimisel; kordab komisjonile ja liikmesriikidele esitatud üleskutset järgida juhtkonna või juhatuse liikmete esitamisel ja ametisse nimetamisel soolist tasakaalu; tuletab meelde, et asutused soovivad viia soolise koosseisu kooskõlla komisjoniga, et 2025. aasta lõpuks oleks kõigil juhtimistasanditel saavutatud 50 % sooline tasakaal; kutsub asutusi üles neid aspekte edaspidi töötajate värbamisel jätkuvalt arvesse võtma ja töötama kõrgema juhtkonna tasandil soolise tasakaalu edasise parandamise nimel;</w:t>
      </w:r>
    </w:p>
    <w:p w14:paraId="1ACD5BA2" w14:textId="77777777" w:rsidR="00ED1222" w:rsidRPr="00ED1222" w:rsidRDefault="00ED1222" w:rsidP="00ED1222">
      <w:pPr>
        <w:spacing w:after="240"/>
        <w:ind w:left="567" w:hanging="567"/>
        <w:rPr>
          <w:kern w:val="2"/>
          <w:szCs w:val="24"/>
          <w14:ligatures w14:val="standardContextual"/>
        </w:rPr>
      </w:pPr>
      <w:r w:rsidRPr="00ED1222">
        <w:rPr>
          <w:kern w:val="2"/>
          <w14:ligatures w14:val="standardContextual"/>
        </w:rPr>
        <w:t>116.</w:t>
      </w:r>
      <w:r w:rsidRPr="00ED1222">
        <w:rPr>
          <w:kern w:val="2"/>
          <w14:ligatures w14:val="standardContextual"/>
        </w:rPr>
        <w:tab/>
        <w:t>nõuab tungivalt, et detsentraliseeritud asutused tugevdaksid kõigil tasanditel soolise võrdõiguslikkuse poliitikat, tagades kõigile töötajatele värbamisel, karjääri edendamisel ja töötingimustes võrdsed võimalused; ergutab kõiki asutusi võtma vastu ja rakendama tugevaid mitmekesisuse ja kaasamise strateegiaid, millega edendatakse õiglust ja tasakaalu, tagades naiste ja vähemuste võrdsed võimalused ning juhtivatel ametikohtadel esindatuse; kutsub asutusi üles töötama edusammude hindamiseks ja parandamist vajavate valdkondade kindlakstegemiseks välja terviklikud strateegiad; tuletab meelde, et Euroopa Parlament hindab nende põhimõtete järgimist iga-aastases eelarve täitmisele heakskiidu andmise menetluses;</w:t>
      </w:r>
    </w:p>
    <w:p w14:paraId="5341182A"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117.</w:t>
      </w:r>
      <w:r w:rsidRPr="00ED1222">
        <w:rPr>
          <w:kern w:val="2"/>
          <w14:ligatures w14:val="standardContextual"/>
        </w:rPr>
        <w:tab/>
        <w:t xml:space="preserve">märgib, et kõik asutused on võtnud meetmeid, et parandada töötajate heaolu tööl ning töö- ja eraelu tasakaalu; märgib, et selliste meetmete arv ja mõju on eri asutustes väga erinev ning asutuste vahel puudub ühtne tugiraamistik; kutsub ELi asutuste võrgustikku sellega seoses üles koordineerima jõupingutusi ühtse tugiraamistiku väljaarendamiseks; märgib rahuloluga, et enamik asutusi on võtnud meetmeid puuetega inimeste integreerimiseks; ergutab asutusi säilitama häid tavasid seoses töötajate heaolu ning puuetega inimeste kaasamise ja integreerimisega ning jätkama töö- ja eraelu tasakaalu, elukestva õppe ja karjäärijuhtimisega tegelemist; rõhutab, kui oluline on suurendada jõupingutusi soolise ja geograafilise tasakaalu saavutamiseks institutsioonide töötajate seas ja kõrgema juhtkonna ametikohtadel; rõhutab parimate tavade vahetamise kasulikku rolli personalijuhtimise valdkonnas; kutsub asutusi üles pakkuma oma </w:t>
      </w:r>
      <w:r w:rsidRPr="00ED1222">
        <w:rPr>
          <w:kern w:val="2"/>
          <w14:ligatures w14:val="standardContextual"/>
        </w:rPr>
        <w:lastRenderedPageBreak/>
        <w:t>töötajatele asjakohaseid ja korrapäraseid koolitusi;</w:t>
      </w:r>
    </w:p>
    <w:p w14:paraId="0348D396" w14:textId="77777777" w:rsidR="00ED1222" w:rsidRPr="00ED1222" w:rsidRDefault="00ED1222" w:rsidP="00ED1222">
      <w:pPr>
        <w:spacing w:after="240"/>
        <w:ind w:left="567" w:hanging="567"/>
        <w:rPr>
          <w:kern w:val="2"/>
          <w:szCs w:val="24"/>
          <w14:ligatures w14:val="standardContextual"/>
        </w:rPr>
      </w:pPr>
      <w:r w:rsidRPr="00ED1222">
        <w:rPr>
          <w:kern w:val="2"/>
          <w14:ligatures w14:val="standardContextual"/>
        </w:rPr>
        <w:t>118.</w:t>
      </w:r>
      <w:r w:rsidRPr="00ED1222">
        <w:rPr>
          <w:kern w:val="2"/>
          <w14:ligatures w14:val="standardContextual"/>
        </w:rPr>
        <w:tab/>
        <w:t xml:space="preserve">ergutab kõiki asutusi rakendama </w:t>
      </w:r>
      <w:proofErr w:type="spellStart"/>
      <w:r w:rsidRPr="00ED1222">
        <w:rPr>
          <w:kern w:val="2"/>
          <w14:ligatures w14:val="standardContextual"/>
        </w:rPr>
        <w:t>inimväärikuse</w:t>
      </w:r>
      <w:proofErr w:type="spellEnd"/>
      <w:r w:rsidRPr="00ED1222">
        <w:rPr>
          <w:kern w:val="2"/>
          <w14:ligatures w14:val="standardContextual"/>
        </w:rPr>
        <w:t xml:space="preserve"> kaitsmise ning psühholoogilise ja seksuaalse ahistamise ennetamise poliitikat ning osalema </w:t>
      </w:r>
      <w:proofErr w:type="spellStart"/>
      <w:r w:rsidRPr="00ED1222">
        <w:rPr>
          <w:kern w:val="2"/>
          <w14:ligatures w14:val="standardContextual"/>
        </w:rPr>
        <w:t>asutustevahelises</w:t>
      </w:r>
      <w:proofErr w:type="spellEnd"/>
      <w:r w:rsidRPr="00ED1222">
        <w:rPr>
          <w:kern w:val="2"/>
          <w14:ligatures w14:val="standardContextual"/>
        </w:rPr>
        <w:t xml:space="preserve"> usaldusnõunike rakkerühmas; nõuab sellega seoses, et ELi asutuste töötajad osaleksid kohustuslikus ennetavas ahistamisvastases koolituses; märgib murega, et standardküsimustiku vastuste kohaselt teatas ENISA eelarve täitmisele heakskiidu andmise eest vastutavale institutsioonile, et 2023. aastal oli pooleli kaks väidetava ahistamisega seotud haldusuurimist; lisaks teatas amet, et üks neist uurimistest lõpetati 2024. aastal pärast </w:t>
      </w:r>
      <w:proofErr w:type="spellStart"/>
      <w:r w:rsidRPr="00ED1222">
        <w:rPr>
          <w:kern w:val="2"/>
          <w14:ligatures w14:val="standardContextual"/>
        </w:rPr>
        <w:t>OLAFilt</w:t>
      </w:r>
      <w:proofErr w:type="spellEnd"/>
      <w:r w:rsidRPr="00ED1222">
        <w:rPr>
          <w:kern w:val="2"/>
          <w14:ligatures w14:val="standardContextual"/>
        </w:rPr>
        <w:t xml:space="preserve"> lõpparuande saamist; ootab, et amet võtaks käimasolevate juhtumite suhtes põhjalikke järelmeetmeid ning võtaks jõulisi meetmeid sarnaste juhtumite vältimiseks tulevikus; kutsub asutusi üles andma järelmeetmete aruande kaudu korrapäraselt aru selles valdkonnas tehtud edusammudest;</w:t>
      </w:r>
    </w:p>
    <w:p w14:paraId="1BE9CA2E"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119.</w:t>
      </w:r>
      <w:r w:rsidRPr="00ED1222">
        <w:rPr>
          <w:kern w:val="2"/>
          <w14:ligatures w14:val="standardContextual"/>
        </w:rPr>
        <w:tab/>
        <w:t>märgib, et tajutav huvide konflikt võib seada ohtu ameti maine ja sellega tuleks tegeleda isegi siis, kui see osutub põhjendamatuks;</w:t>
      </w:r>
    </w:p>
    <w:p w14:paraId="72FE1263" w14:textId="77777777" w:rsidR="00ED1222" w:rsidRPr="00ED1222" w:rsidRDefault="00ED1222" w:rsidP="00ED1222">
      <w:pPr>
        <w:spacing w:after="240"/>
        <w:ind w:left="567" w:hanging="567"/>
        <w:rPr>
          <w:kern w:val="2"/>
          <w:szCs w:val="24"/>
          <w14:ligatures w14:val="standardContextual"/>
        </w:rPr>
      </w:pPr>
      <w:r w:rsidRPr="00ED1222">
        <w:rPr>
          <w:kern w:val="2"/>
          <w:szCs w:val="24"/>
          <w14:ligatures w14:val="standardContextual"/>
        </w:rPr>
        <w:t>120.</w:t>
      </w:r>
      <w:r w:rsidRPr="00ED1222">
        <w:rPr>
          <w:kern w:val="2"/>
          <w:szCs w:val="24"/>
          <w14:ligatures w14:val="standardContextual"/>
        </w:rPr>
        <w:tab/>
        <w:t>nõuab tungivalt, et kõik asutused tugevdaksid veelgi huvide konfliktide ennetamist ja haldamist, sealhulgas süstemaatiliselt esitades kõrgema juhtkonna, välisekspertide ja haldusnõukogu liikmete huvide deklaratsioone, mis avaldatakse proaktiivsel ja kättesaadaval viisil;</w:t>
      </w:r>
    </w:p>
    <w:p w14:paraId="18146258"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121.</w:t>
      </w:r>
      <w:r w:rsidRPr="00ED1222">
        <w:rPr>
          <w:kern w:val="2"/>
          <w14:ligatures w14:val="standardContextual"/>
        </w:rPr>
        <w:tab/>
        <w:t xml:space="preserve">toonitab, kui oluline on kaitsta ELi asutuste sõltumatust tööstuse lubamatust mõjust, et säilitada üldsuse usaldus nende otsuste tegemise vastu; väljendab muret regulatiivsete puuduste ja võimalike huvide konfliktide pärast teatavates asutustes; juhib tähelepanu probleemidele, mis tulenevad tihedatest sidemetest tööstusega, ja teadetele lubamatu mõjutamise kohta, eelkõige </w:t>
      </w:r>
      <w:proofErr w:type="spellStart"/>
      <w:r w:rsidRPr="00ED1222">
        <w:rPr>
          <w:kern w:val="2"/>
          <w14:ligatures w14:val="standardContextual"/>
        </w:rPr>
        <w:t>pöördukse</w:t>
      </w:r>
      <w:proofErr w:type="spellEnd"/>
      <w:r w:rsidRPr="00ED1222">
        <w:rPr>
          <w:kern w:val="2"/>
          <w14:ligatures w14:val="standardContextual"/>
        </w:rPr>
        <w:t xml:space="preserve"> efekti kaudu avaliku sektori asutuste ja eraettevõtete vahel; rõhutab vajadust suurema läbipaistvuse, tugevamate järelevalvemehhanismide ja siduva kohustuse järele seada rahvatervis ja ohutus finantshuvidest tähtsamale kohale;</w:t>
      </w:r>
    </w:p>
    <w:p w14:paraId="610D7F8A"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122.</w:t>
      </w:r>
      <w:r w:rsidRPr="00ED1222">
        <w:rPr>
          <w:kern w:val="2"/>
          <w14:ligatures w14:val="standardContextual"/>
        </w:rPr>
        <w:tab/>
        <w:t xml:space="preserve">märgib, et 2023. aastal ei teatanud kontrollikoda ühestki suurest huvide konflikti juhtumist, välja arvatud </w:t>
      </w:r>
      <w:proofErr w:type="spellStart"/>
      <w:r w:rsidRPr="00ED1222">
        <w:rPr>
          <w:kern w:val="2"/>
          <w14:ligatures w14:val="standardContextual"/>
        </w:rPr>
        <w:t>Frontexi</w:t>
      </w:r>
      <w:proofErr w:type="spellEnd"/>
      <w:r w:rsidRPr="00ED1222">
        <w:rPr>
          <w:kern w:val="2"/>
          <w14:ligatures w14:val="standardContextual"/>
        </w:rPr>
        <w:t xml:space="preserve"> ja EMCDDA puhul;</w:t>
      </w:r>
    </w:p>
    <w:p w14:paraId="5DE2CC77"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123.</w:t>
      </w:r>
      <w:r w:rsidRPr="00ED1222">
        <w:rPr>
          <w:kern w:val="2"/>
          <w14:ligatures w14:val="standardContextual"/>
        </w:rPr>
        <w:tab/>
        <w:t>on seisukohal, et enamik asutusi on praeguseks kehtestanud usaldusväärsed ja terviklikud menetlused teadlikkuse suurendamiseks ja huvide konfliktide vältimiseks, andes sidusrühmadele ja üldsusele vajaliku kindluse oma töötajate sõltumatuse kohta;</w:t>
      </w:r>
    </w:p>
    <w:p w14:paraId="60CACA52"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124.</w:t>
      </w:r>
      <w:r w:rsidRPr="00ED1222">
        <w:rPr>
          <w:kern w:val="2"/>
          <w14:ligatures w14:val="standardContextual"/>
        </w:rPr>
        <w:tab/>
        <w:t xml:space="preserve">võtab rahuloluga teadmiseks tiheda koostöö justiits- ja </w:t>
      </w:r>
      <w:proofErr w:type="spellStart"/>
      <w:r w:rsidRPr="00ED1222">
        <w:rPr>
          <w:kern w:val="2"/>
          <w14:ligatures w14:val="standardContextual"/>
        </w:rPr>
        <w:t>siseküsimuste</w:t>
      </w:r>
      <w:proofErr w:type="spellEnd"/>
      <w:r w:rsidRPr="00ED1222">
        <w:rPr>
          <w:kern w:val="2"/>
          <w14:ligatures w14:val="standardContextual"/>
        </w:rPr>
        <w:t xml:space="preserve"> asutustega, eelkõige uue töökorra kokkuleppe sõlmimise Euroopa </w:t>
      </w:r>
      <w:proofErr w:type="spellStart"/>
      <w:r w:rsidRPr="00ED1222">
        <w:rPr>
          <w:kern w:val="2"/>
          <w14:ligatures w14:val="standardContextual"/>
        </w:rPr>
        <w:t>Pettustevastase</w:t>
      </w:r>
      <w:proofErr w:type="spellEnd"/>
      <w:r w:rsidRPr="00ED1222">
        <w:rPr>
          <w:kern w:val="2"/>
          <w14:ligatures w14:val="standardContextual"/>
        </w:rPr>
        <w:t xml:space="preserve"> Ametiga (OLAF), 15 uue uurimise algatamise, mille puhul </w:t>
      </w:r>
      <w:proofErr w:type="spellStart"/>
      <w:r w:rsidRPr="00ED1222">
        <w:rPr>
          <w:kern w:val="2"/>
          <w14:ligatures w14:val="standardContextual"/>
        </w:rPr>
        <w:t>Eurojust</w:t>
      </w:r>
      <w:proofErr w:type="spellEnd"/>
      <w:r w:rsidRPr="00ED1222">
        <w:rPr>
          <w:kern w:val="2"/>
          <w14:ligatures w14:val="standardContextual"/>
        </w:rPr>
        <w:t xml:space="preserve"> andis tuge Euroopa Prokuratuurile, ning 42 juhtumiga seotud koostöö Euroopa Liidu Õiguskaitsekoostöö Ametiga (Europol), ning toonitab, et </w:t>
      </w:r>
      <w:proofErr w:type="spellStart"/>
      <w:r w:rsidRPr="00ED1222">
        <w:rPr>
          <w:kern w:val="2"/>
          <w14:ligatures w14:val="standardContextual"/>
        </w:rPr>
        <w:t>Eurojust</w:t>
      </w:r>
      <w:proofErr w:type="spellEnd"/>
      <w:r w:rsidRPr="00ED1222">
        <w:rPr>
          <w:kern w:val="2"/>
          <w14:ligatures w14:val="standardContextual"/>
        </w:rPr>
        <w:t xml:space="preserve"> ja Europol käivitasid katseprojekti süstemaatiliseks ja struktuurseks andmevahetuseks seoste tuvastamise eesmärgil, mis vaadatakse läbi 2024. aasta teisel poolel; väljendab heameelt </w:t>
      </w:r>
      <w:proofErr w:type="spellStart"/>
      <w:r w:rsidRPr="00ED1222">
        <w:rPr>
          <w:kern w:val="2"/>
          <w14:ligatures w14:val="standardContextual"/>
        </w:rPr>
        <w:t>Eurojusti</w:t>
      </w:r>
      <w:proofErr w:type="spellEnd"/>
      <w:r w:rsidRPr="00ED1222">
        <w:rPr>
          <w:kern w:val="2"/>
          <w14:ligatures w14:val="standardContextual"/>
        </w:rPr>
        <w:t xml:space="preserve"> ja </w:t>
      </w:r>
      <w:proofErr w:type="spellStart"/>
      <w:r w:rsidRPr="00ED1222">
        <w:rPr>
          <w:kern w:val="2"/>
          <w14:ligatures w14:val="standardContextual"/>
        </w:rPr>
        <w:t>OLAFi</w:t>
      </w:r>
      <w:proofErr w:type="spellEnd"/>
      <w:r w:rsidRPr="00ED1222">
        <w:rPr>
          <w:kern w:val="2"/>
          <w14:ligatures w14:val="standardContextual"/>
        </w:rPr>
        <w:t xml:space="preserve"> tegevuskava üle aastateks 2022–2023, et võidelda Euroopa Liidu finantshuve kahjustavate kuritegude vastu;</w:t>
      </w:r>
    </w:p>
    <w:p w14:paraId="5EC08481" w14:textId="77777777" w:rsidR="00ED1222" w:rsidRPr="00ED1222" w:rsidRDefault="00ED1222" w:rsidP="00ED1222">
      <w:pPr>
        <w:keepNext/>
        <w:keepLines/>
        <w:spacing w:after="240"/>
        <w:rPr>
          <w:b/>
          <w:i/>
          <w:kern w:val="2"/>
          <w14:ligatures w14:val="standardContextual"/>
        </w:rPr>
      </w:pPr>
      <w:r w:rsidRPr="00ED1222">
        <w:rPr>
          <w:b/>
          <w:i/>
          <w:kern w:val="2"/>
          <w14:ligatures w14:val="standardContextual"/>
        </w:rPr>
        <w:t>Sisekontroll</w:t>
      </w:r>
    </w:p>
    <w:p w14:paraId="1AA8251A"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125.</w:t>
      </w:r>
      <w:r w:rsidRPr="00ED1222">
        <w:rPr>
          <w:kern w:val="2"/>
          <w14:ligatures w14:val="standardContextual"/>
        </w:rPr>
        <w:tab/>
        <w:t xml:space="preserve">võtab murega teadmiseks kontrollikoja leiud haldus- ja kontrollisüsteemide valdkonnas, </w:t>
      </w:r>
      <w:r w:rsidRPr="00ED1222">
        <w:rPr>
          <w:kern w:val="2"/>
          <w14:ligatures w14:val="standardContextual"/>
        </w:rPr>
        <w:lastRenderedPageBreak/>
        <w:t xml:space="preserve">mis puudutasid üheksat asutust (EMA, Europol, EUSPA, </w:t>
      </w:r>
      <w:proofErr w:type="spellStart"/>
      <w:r w:rsidRPr="00ED1222">
        <w:rPr>
          <w:kern w:val="2"/>
          <w14:ligatures w14:val="standardContextual"/>
        </w:rPr>
        <w:t>Eurofound</w:t>
      </w:r>
      <w:proofErr w:type="spellEnd"/>
      <w:r w:rsidRPr="00ED1222">
        <w:rPr>
          <w:kern w:val="2"/>
          <w14:ligatures w14:val="standardContextual"/>
        </w:rPr>
        <w:t xml:space="preserve">, EIT, </w:t>
      </w:r>
      <w:proofErr w:type="spellStart"/>
      <w:r w:rsidRPr="00ED1222">
        <w:rPr>
          <w:kern w:val="2"/>
          <w14:ligatures w14:val="standardContextual"/>
        </w:rPr>
        <w:t>Eurojust</w:t>
      </w:r>
      <w:proofErr w:type="spellEnd"/>
      <w:r w:rsidRPr="00ED1222">
        <w:rPr>
          <w:kern w:val="2"/>
          <w14:ligatures w14:val="standardContextual"/>
        </w:rPr>
        <w:t xml:space="preserve"> ACER, ENISA ja EEA);</w:t>
      </w:r>
    </w:p>
    <w:p w14:paraId="3FA420ED"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126.</w:t>
      </w:r>
      <w:r w:rsidRPr="00ED1222">
        <w:rPr>
          <w:kern w:val="2"/>
          <w14:ligatures w14:val="standardContextual"/>
        </w:rPr>
        <w:tab/>
        <w:t xml:space="preserve">toonitab, et Europoli ja EIT puhul puudutasid kolmest tähelepanekust kaks 2023. aastal </w:t>
      </w:r>
      <w:proofErr w:type="spellStart"/>
      <w:r w:rsidRPr="00ED1222">
        <w:rPr>
          <w:kern w:val="2"/>
          <w14:ligatures w14:val="standardContextual"/>
        </w:rPr>
        <w:t>reeglitevastaselt</w:t>
      </w:r>
      <w:proofErr w:type="spellEnd"/>
      <w:r w:rsidRPr="00ED1222">
        <w:rPr>
          <w:kern w:val="2"/>
          <w14:ligatures w14:val="standardContextual"/>
        </w:rPr>
        <w:t xml:space="preserve"> tehtud makseid;</w:t>
      </w:r>
    </w:p>
    <w:p w14:paraId="168FECB5"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127.</w:t>
      </w:r>
      <w:r w:rsidRPr="00ED1222">
        <w:rPr>
          <w:kern w:val="2"/>
          <w14:ligatures w14:val="standardContextual"/>
        </w:rPr>
        <w:tab/>
        <w:t xml:space="preserve">tuletab meelde, et kontrollikoda leidis 2022. aastal, et Europol oli </w:t>
      </w:r>
      <w:proofErr w:type="spellStart"/>
      <w:r w:rsidRPr="00ED1222">
        <w:rPr>
          <w:kern w:val="2"/>
          <w14:ligatures w14:val="standardContextual"/>
        </w:rPr>
        <w:t>reeglitevastaselt</w:t>
      </w:r>
      <w:proofErr w:type="spellEnd"/>
      <w:r w:rsidRPr="00ED1222">
        <w:rPr>
          <w:kern w:val="2"/>
          <w14:ligatures w14:val="standardContextual"/>
        </w:rPr>
        <w:t xml:space="preserve"> hüvitanud käibemaksu avaliku sektori asutustele antavate toetuste kaudu, lugedes seda rahastamiskõlblikeks kuludeks, ning et 2023. aastal hüvitati niimoodi kokku 279 900 eurot; väljendab heameelt Europoli otsuse üle mitte pidada käibemaksu enam uute tegevustoetuste korral rahastamiskõlblikuks kuluks;</w:t>
      </w:r>
    </w:p>
    <w:p w14:paraId="2A788F9B"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128.</w:t>
      </w:r>
      <w:r w:rsidRPr="00ED1222">
        <w:rPr>
          <w:kern w:val="2"/>
          <w14:ligatures w14:val="standardContextual"/>
        </w:rPr>
        <w:tab/>
        <w:t>märgib, et EIT puhul on üks tähelepanekutest aluseks märkustega arvamusele raamatupidamise aastaaruande aluseks olevate maksete seaduslikkuse ja korrektsuse kohta, mida on kirjeldatud käesoleva resolutsiooni rubriigis „Audititulemuste ülevaade“;</w:t>
      </w:r>
    </w:p>
    <w:p w14:paraId="6E29FB75"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129.</w:t>
      </w:r>
      <w:r w:rsidRPr="00ED1222">
        <w:rPr>
          <w:kern w:val="2"/>
          <w14:ligatures w14:val="standardContextual"/>
        </w:rPr>
        <w:tab/>
        <w:t>tunneb muret selle pärast, et kontrollikoja teine tähelepanek EIT kohta viitab instituudi üleminekule mitmeaastase toetuslepingu struktuurile, kuid toetusmaksete järelkontrolli menetlusi ja suuniseid ei ole mõju arvessevõtmiseks ajakohastatud; väljendab heameelt selle üle, et EIT juba ajakohastab oma järelkontrollimehhanismi nende tagajärgede käsitlemiseks;</w:t>
      </w:r>
    </w:p>
    <w:p w14:paraId="5BA0A2A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130.</w:t>
      </w:r>
      <w:r w:rsidRPr="00ED1222">
        <w:rPr>
          <w:kern w:val="2"/>
          <w14:ligatures w14:val="standardContextual"/>
        </w:rPr>
        <w:tab/>
        <w:t>on teadlik, et 2023. aasta esimeses kvartalis viis EMA läbi andmete migratsiooni, kuid ei pidanud 48 veterinaarkontrolli puhul kinni tähtaegadest, mille tulemusel esitati arved märkimisväärsete viivitustega, millest erandite registris ei teatatud, ja kirjendati valesti tulu; märgib, et see on vastuolus EMA finantsmäärusega ning näitab puudusi ameti juhtimis- ja kontrollisüsteemides; võtab teadmiseks EMA eesmärgi parandada protsessi seoses uue lõivude määruse rakendamisega;</w:t>
      </w:r>
    </w:p>
    <w:p w14:paraId="3C8CB0EB"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131.</w:t>
      </w:r>
      <w:r w:rsidRPr="00ED1222">
        <w:rPr>
          <w:kern w:val="2"/>
          <w14:ligatures w14:val="standardContextual"/>
        </w:rPr>
        <w:tab/>
        <w:t xml:space="preserve">märgib, et </w:t>
      </w:r>
      <w:proofErr w:type="spellStart"/>
      <w:r w:rsidRPr="00ED1222">
        <w:rPr>
          <w:kern w:val="2"/>
          <w14:ligatures w14:val="standardContextual"/>
        </w:rPr>
        <w:t>Eurofound</w:t>
      </w:r>
      <w:proofErr w:type="spellEnd"/>
      <w:r w:rsidRPr="00ED1222">
        <w:rPr>
          <w:kern w:val="2"/>
          <w14:ligatures w14:val="standardContextual"/>
        </w:rPr>
        <w:t xml:space="preserve"> tegi lepingulisele pakkujale 38 600 euro suuruse makse uuringuandmete kvaliteedi hindamise lepinguga seoses, kogumata mõningaid peamisi tõendavaid dokumente, mis on seotud lepinguliste tulemustega;</w:t>
      </w:r>
    </w:p>
    <w:p w14:paraId="7C6BEF73"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132.</w:t>
      </w:r>
      <w:r w:rsidRPr="00ED1222">
        <w:rPr>
          <w:kern w:val="2"/>
          <w14:ligatures w14:val="standardContextual"/>
        </w:rPr>
        <w:tab/>
        <w:t xml:space="preserve">märgib, et 2023. aastal täheldas </w:t>
      </w:r>
      <w:proofErr w:type="spellStart"/>
      <w:r w:rsidRPr="00ED1222">
        <w:rPr>
          <w:kern w:val="2"/>
          <w14:ligatures w14:val="standardContextual"/>
        </w:rPr>
        <w:t>Eurojust</w:t>
      </w:r>
      <w:proofErr w:type="spellEnd"/>
      <w:r w:rsidRPr="00ED1222">
        <w:rPr>
          <w:kern w:val="2"/>
          <w14:ligatures w14:val="standardContextual"/>
        </w:rPr>
        <w:t xml:space="preserve"> eranditeks või mittevastavusjuhtumiteks liigitatud mittestandardsete tehingute arvu suurenemist, kusjuures nende arv kasvas 43-lt 71-le ja asjaomane kogusumma suurenes 2022. aastaga võrreldes 294 000 eurolt 566 400 euroni; võtab teadmiseks </w:t>
      </w:r>
      <w:proofErr w:type="spellStart"/>
      <w:r w:rsidRPr="00ED1222">
        <w:rPr>
          <w:kern w:val="2"/>
          <w14:ligatures w14:val="standardContextual"/>
        </w:rPr>
        <w:t>Eurojusti</w:t>
      </w:r>
      <w:proofErr w:type="spellEnd"/>
      <w:r w:rsidRPr="00ED1222">
        <w:rPr>
          <w:kern w:val="2"/>
          <w14:ligatures w14:val="standardContextual"/>
        </w:rPr>
        <w:t xml:space="preserve"> vastuse tähelepanekule, milles omistati suurem osa kõigist mittevastavusjuhtumitest 2023. aastal ühise uurimisrühma toetuse saamisega seotud üksikjuhtumile; võtab teadmiseks, et asutuse väitel on suurenemine peamiselt tingitud ebapiisavatest inimressurssidest ja </w:t>
      </w:r>
      <w:proofErr w:type="spellStart"/>
      <w:r w:rsidRPr="00ED1222">
        <w:rPr>
          <w:kern w:val="2"/>
          <w14:ligatures w14:val="standardContextual"/>
        </w:rPr>
        <w:t>siseprotsesside</w:t>
      </w:r>
      <w:proofErr w:type="spellEnd"/>
      <w:r w:rsidRPr="00ED1222">
        <w:rPr>
          <w:kern w:val="2"/>
          <w14:ligatures w14:val="standardContextual"/>
        </w:rPr>
        <w:t xml:space="preserve"> ebatõhususest, ning väljendab heameelt selle üle, et </w:t>
      </w:r>
      <w:proofErr w:type="spellStart"/>
      <w:r w:rsidRPr="00ED1222">
        <w:rPr>
          <w:kern w:val="2"/>
          <w14:ligatures w14:val="standardContextual"/>
        </w:rPr>
        <w:t>Eurojust</w:t>
      </w:r>
      <w:proofErr w:type="spellEnd"/>
      <w:r w:rsidRPr="00ED1222">
        <w:rPr>
          <w:kern w:val="2"/>
          <w14:ligatures w14:val="standardContextual"/>
        </w:rPr>
        <w:t xml:space="preserve"> on selle probleemiga tegelenud, vaadates 2024. aastal läbi mittevastavusjuhtumite registreerimise ja nendest teatamise praeguse menetluse;</w:t>
      </w:r>
    </w:p>
    <w:p w14:paraId="53CE04F0"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133.</w:t>
      </w:r>
      <w:r w:rsidRPr="00ED1222">
        <w:rPr>
          <w:kern w:val="2"/>
          <w14:ligatures w14:val="standardContextual"/>
        </w:rPr>
        <w:tab/>
        <w:t xml:space="preserve">märgib, et EUSPA tegevdirektor oli kinnitanud tegevuse varajast alustamist enne toetuslepingu allkirjastamist, mille tulemusena ei olnud ellu viidud tegevused eelarveliste kulukohustustega kaetud; rõhutab, et sellest ei teatatud erandite registris ega iga-aastases tegevusaruandes, mis on finantsmäärusega vastuolus; märgib, et EUSPA väitel ei olnud vaja registreerida erandite registris tegevuse varajast alustamist ilma eelarveliste kulukohustusteta, kuid amet tunnistab, et juhtumist ei teatatud </w:t>
      </w:r>
      <w:r w:rsidRPr="00ED1222">
        <w:rPr>
          <w:kern w:val="2"/>
          <w14:ligatures w14:val="standardContextual"/>
        </w:rPr>
        <w:lastRenderedPageBreak/>
        <w:t>nõuetekohaselt iga-aastases tegevusaruandes;</w:t>
      </w:r>
    </w:p>
    <w:p w14:paraId="21A05643"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134.</w:t>
      </w:r>
      <w:r w:rsidRPr="00ED1222">
        <w:rPr>
          <w:kern w:val="2"/>
          <w14:ligatures w14:val="standardContextual"/>
        </w:rPr>
        <w:tab/>
        <w:t xml:space="preserve">võtab teadmiseks asjaolu, et ACER nimetas ametisse uue peaarvepidaja, kes oli ka eelarve-, finants- ja hankeosakonna rühmajuht, rikkudes sellega </w:t>
      </w:r>
      <w:proofErr w:type="spellStart"/>
      <w:r w:rsidRPr="00ED1222">
        <w:rPr>
          <w:kern w:val="2"/>
          <w14:ligatures w14:val="standardContextual"/>
        </w:rPr>
        <w:t>ACERi</w:t>
      </w:r>
      <w:proofErr w:type="spellEnd"/>
      <w:r w:rsidRPr="00ED1222">
        <w:rPr>
          <w:kern w:val="2"/>
          <w14:ligatures w14:val="standardContextual"/>
        </w:rPr>
        <w:t xml:space="preserve"> finantsmäärust, milles nõutakse eelarvevahendite käsutaja ja peaarvepidaja ülesannete lahusust; on teadlik sellest, et alates 1. maist 2024 toimus siiski reorganiseerimine ning et eelarve-, finants- ja hankeosakonna rühmajuht vabastati rühmajuhi ülesannetest;</w:t>
      </w:r>
    </w:p>
    <w:p w14:paraId="1F1A1179"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135.</w:t>
      </w:r>
      <w:r w:rsidRPr="00ED1222">
        <w:rPr>
          <w:kern w:val="2"/>
          <w14:ligatures w14:val="standardContextual"/>
        </w:rPr>
        <w:tab/>
        <w:t>märgib, et 2023. aasta septembris lubas ENISA tegevdirektor 15 ajutisel töötajal tegeleda finantsmenetlusega ilma eelneva heakskiiduta, mis on reeglitega vastuolus; on teadlik, et ameti vastuse kohaselt on ENISA kasutanud ajutisi teenistujaid ja lähetatud eksperte tegevusvajaduste ja ressursside vähesuse tõttu ning amet taotleb finantsreeglitest erandeid, kui ressursside nappus püsib;</w:t>
      </w:r>
    </w:p>
    <w:p w14:paraId="461D0D39"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136.</w:t>
      </w:r>
      <w:r w:rsidRPr="00ED1222">
        <w:rPr>
          <w:kern w:val="2"/>
          <w14:ligatures w14:val="standardContextual"/>
        </w:rPr>
        <w:tab/>
        <w:t xml:space="preserve">märgib lisaks, et vastupidiselt määrustele, milles on sätestatud ülesannete lahusus, nimetati ENISA peaarvepidaja ühtlasi ka sisekontrolli koordinaatoriks; märgib, et ENISA võttis tähelepaneku teadmiseks, kuid on seisukohal, et sisekontrolli koordinaatori ja peaarvepidaja ülesanded ei ole tingimata kokkusobimatud, kuna eelarvevahendite käsutaja ei olnud sisekontrolli koordinaatorile delegeerinud volitusi; väljendab heameelt selle üle, et ENISA selgitab sisekontrolli koordinaatori rolli ja kohustusi oma </w:t>
      </w:r>
      <w:proofErr w:type="spellStart"/>
      <w:r w:rsidRPr="00ED1222">
        <w:rPr>
          <w:kern w:val="2"/>
          <w14:ligatures w14:val="standardContextual"/>
        </w:rPr>
        <w:t>siseprotsessides</w:t>
      </w:r>
      <w:proofErr w:type="spellEnd"/>
      <w:r w:rsidRPr="00ED1222">
        <w:rPr>
          <w:kern w:val="2"/>
          <w14:ligatures w14:val="standardContextual"/>
        </w:rPr>
        <w:t>; nõuab, et Euroopa Parlamenti teavitataks kõnealustest edusammudest enne 30. juunit 2025;</w:t>
      </w:r>
    </w:p>
    <w:p w14:paraId="63911B5F"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137.</w:t>
      </w:r>
      <w:r w:rsidRPr="00ED1222">
        <w:rPr>
          <w:kern w:val="2"/>
          <w14:ligatures w14:val="standardContextual"/>
        </w:rPr>
        <w:tab/>
        <w:t>märgib, et EEA kiitis heaks kindlasummalised toetusmaksed, ilma et ta oleks suutnud näidata, kuidas summa arvutati, mis tekitab ohu, et see ei olnud vastavuses osutatud teenustega; võtab teadmiseks, et ameti väitel on kirjalik otsus kindlasummalise makse kohta täielikult kooskõlas finantsmääruse asjakohaste sätetega; rõhutab, et amet tagab, et kindlasummalised summad määratakse nõuetekohaselt kindlaks ja dokumenteeritakse juhtudel, kui Euroopa teemakeskustes deklareerib kulud ühe osanikuga äriühing või füüsilisest isikust ettevõtjast partner; </w:t>
      </w:r>
      <w:r w:rsidRPr="00ED1222">
        <w:rPr>
          <w:kern w:val="2"/>
          <w:vertAlign w:val="superscript"/>
          <w14:ligatures w14:val="standardContextual"/>
        </w:rPr>
        <w:footnoteReference w:id="430"/>
      </w:r>
    </w:p>
    <w:p w14:paraId="50D3F948"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138.</w:t>
      </w:r>
      <w:r w:rsidRPr="00ED1222">
        <w:rPr>
          <w:kern w:val="2"/>
          <w14:ligatures w14:val="standardContextual"/>
        </w:rPr>
        <w:tab/>
        <w:t>võtab teadmiseks, et EEA tellis eelfinantskontrollid väliselt töövõtjalt ja et kontrollikoda leidis kontrollikorras puudusi; märgib, et EEA võttis oma vastuses kontrollikoja tähelepaneku teadmiseks ja amet ajakohastab eelkontrollidega seotud menetlusi, et tagada selle riski käsitlemine;</w:t>
      </w:r>
    </w:p>
    <w:p w14:paraId="6F0F1CF7"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139.</w:t>
      </w:r>
      <w:r w:rsidRPr="00ED1222">
        <w:rPr>
          <w:kern w:val="2"/>
          <w14:ligatures w14:val="standardContextual"/>
        </w:rPr>
        <w:tab/>
        <w:t>kutsub asutusi üles rakendama kontrollikoja tähelepanekuid kiiresti ja süstemaatiliselt ning võtma sisekontrolliraamistikus tuvastatud puuduste kõrvaldamiseks konkreetseid parandusmeetmeid; nõuab tungivalt rangemate aruandlusmeetmete kehtestamist, tagades, et mis tahes püsivad puudused toovad kaasa sihipärased parandusmeetmed ja tagajärjed korduvatele rikkumistele;</w:t>
      </w:r>
    </w:p>
    <w:p w14:paraId="31D71975" w14:textId="77777777" w:rsidR="00ED1222" w:rsidRPr="00ED1222" w:rsidRDefault="00ED1222" w:rsidP="00ED1222">
      <w:pPr>
        <w:keepNext/>
        <w:keepLines/>
        <w:spacing w:after="240"/>
        <w:rPr>
          <w:i/>
          <w:kern w:val="2"/>
          <w14:ligatures w14:val="standardContextual"/>
        </w:rPr>
      </w:pPr>
      <w:r w:rsidRPr="00ED1222">
        <w:rPr>
          <w:b/>
          <w:i/>
          <w:kern w:val="2"/>
          <w14:ligatures w14:val="standardContextual"/>
        </w:rPr>
        <w:t>Küberturvalisus, eetika ja läbipaistvus</w:t>
      </w:r>
    </w:p>
    <w:p w14:paraId="23F85C5F"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140.</w:t>
      </w:r>
      <w:r w:rsidRPr="00ED1222">
        <w:rPr>
          <w:kern w:val="2"/>
          <w14:ligatures w14:val="standardContextual"/>
        </w:rPr>
        <w:tab/>
        <w:t xml:space="preserve">juhib tähelepanu vajadusele võtta kõik vajalikud turvameetmed, et kaitsta töödeldud teabe usaldusväärsust internetis, nõuab asutuste vastupanuvõime suurendamist </w:t>
      </w:r>
      <w:proofErr w:type="spellStart"/>
      <w:r w:rsidRPr="00ED1222">
        <w:rPr>
          <w:kern w:val="2"/>
          <w14:ligatures w14:val="standardContextual"/>
        </w:rPr>
        <w:t>küberrünnete</w:t>
      </w:r>
      <w:proofErr w:type="spellEnd"/>
      <w:r w:rsidRPr="00ED1222">
        <w:rPr>
          <w:kern w:val="2"/>
          <w14:ligatures w14:val="standardContextual"/>
        </w:rPr>
        <w:t xml:space="preserve"> või infiltratsioonikatsete suhtes, mis on pärit eelkõige Venemaalt või mis </w:t>
      </w:r>
      <w:r w:rsidRPr="00ED1222">
        <w:rPr>
          <w:kern w:val="2"/>
          <w14:ligatures w14:val="standardContextual"/>
        </w:rPr>
        <w:lastRenderedPageBreak/>
        <w:t xml:space="preserve">tahes muust kolmandast riigist; toonitab, et </w:t>
      </w:r>
      <w:proofErr w:type="spellStart"/>
      <w:r w:rsidRPr="00ED1222">
        <w:rPr>
          <w:kern w:val="2"/>
          <w14:ligatures w14:val="standardContextual"/>
        </w:rPr>
        <w:t>asutustevahelised</w:t>
      </w:r>
      <w:proofErr w:type="spellEnd"/>
      <w:r w:rsidRPr="00ED1222">
        <w:rPr>
          <w:kern w:val="2"/>
          <w14:ligatures w14:val="standardContextual"/>
        </w:rPr>
        <w:t xml:space="preserve"> </w:t>
      </w:r>
      <w:proofErr w:type="spellStart"/>
      <w:r w:rsidRPr="00ED1222">
        <w:rPr>
          <w:kern w:val="2"/>
          <w14:ligatures w14:val="standardContextual"/>
        </w:rPr>
        <w:t>ühishanked</w:t>
      </w:r>
      <w:proofErr w:type="spellEnd"/>
      <w:r w:rsidRPr="00ED1222">
        <w:rPr>
          <w:kern w:val="2"/>
          <w14:ligatures w14:val="standardContextual"/>
        </w:rPr>
        <w:t xml:space="preserve"> selles valdkonnas võivad vähendada finantskulusid ja parandada tulemusi;</w:t>
      </w:r>
    </w:p>
    <w:p w14:paraId="09FC6B34"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141.</w:t>
      </w:r>
      <w:r w:rsidRPr="00ED1222">
        <w:rPr>
          <w:kern w:val="2"/>
          <w14:ligatures w14:val="standardContextual"/>
        </w:rPr>
        <w:tab/>
        <w:t xml:space="preserve">väljendab heameelt FRA koostöö üle Euroopa Liidu Küberturvalisuse Ametiga (ENISA) eraelu puutumatuse ja andmekaitse kaitsmisel küberturvalisuse algatuste väljatöötamise ja rakendamise ajal ning koostöö üle </w:t>
      </w:r>
      <w:proofErr w:type="spellStart"/>
      <w:r w:rsidRPr="00ED1222">
        <w:rPr>
          <w:kern w:val="2"/>
          <w14:ligatures w14:val="standardContextual"/>
        </w:rPr>
        <w:t>eu-LISAga</w:t>
      </w:r>
      <w:proofErr w:type="spellEnd"/>
      <w:r w:rsidRPr="00ED1222">
        <w:rPr>
          <w:kern w:val="2"/>
          <w14:ligatures w14:val="standardContextual"/>
        </w:rPr>
        <w:t xml:space="preserve"> selle tagamisel, et IT-süsteemide kavandamisel ja kasutamisel järgitakse põhiõiguste standardeid.</w:t>
      </w:r>
    </w:p>
    <w:p w14:paraId="33A95054"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142.</w:t>
      </w:r>
      <w:r w:rsidRPr="00ED1222">
        <w:rPr>
          <w:kern w:val="2"/>
          <w14:ligatures w14:val="standardContextual"/>
        </w:rPr>
        <w:tab/>
        <w:t>märgib, et Euroopa Liidu detsentraliseeritud asutused on oma vastavates poliitikavaldkondades loonud mitmesugused mehhanismid läbipaistvuse ja lobitööga tegelemiseks; toonitab siiski, et kontrollikoja hinnangul ei ole asutused alati edukad keeruliste hankereeglite ja -menetlustega pakkumuste läbipaistvuse ja kulutõhususe rahuldava taseme saavutamisel; </w:t>
      </w:r>
      <w:r w:rsidRPr="00ED1222">
        <w:rPr>
          <w:kern w:val="2"/>
          <w:vertAlign w:val="superscript"/>
          <w14:ligatures w14:val="standardContextual"/>
        </w:rPr>
        <w:footnoteReference w:id="431"/>
      </w:r>
      <w:r w:rsidRPr="00ED1222">
        <w:rPr>
          <w:kern w:val="2"/>
          <w14:ligatures w14:val="standardContextual"/>
        </w:rPr>
        <w:t xml:space="preserve"> võtab murega teadmiseks allesjäänud läbipaistvusega seotud probleemid, mis omakorda mõjutavad sidusust, tulemuslikkust ja eelkõige aruandekohustust;</w:t>
      </w:r>
    </w:p>
    <w:p w14:paraId="017B8754"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143.</w:t>
      </w:r>
      <w:r w:rsidRPr="00ED1222">
        <w:rPr>
          <w:kern w:val="2"/>
          <w14:ligatures w14:val="standardContextual"/>
        </w:rPr>
        <w:tab/>
        <w:t xml:space="preserve">rõhutab põhiõiguste eesmärkide elluviimisel saavutatud edasiminekut, sealhulgas põhiõiguste tegevuskava käimasolevat täitmist ja ameti põhiõiguste raamistiku järgimise sõltumatut hindamist kooskõlas Euroopa piiri- ja rannikuvalve määrusega; väljendab heameelt selle üle, et </w:t>
      </w:r>
      <w:proofErr w:type="spellStart"/>
      <w:r w:rsidRPr="00ED1222">
        <w:rPr>
          <w:kern w:val="2"/>
          <w14:ligatures w14:val="standardContextual"/>
        </w:rPr>
        <w:t>Frontex</w:t>
      </w:r>
      <w:proofErr w:type="spellEnd"/>
      <w:r w:rsidRPr="00ED1222">
        <w:rPr>
          <w:kern w:val="2"/>
          <w14:ligatures w14:val="standardContextual"/>
        </w:rPr>
        <w:t xml:space="preserve"> on võtnud põhiõigustega seotud kaebuste suhtes ennetavaid järelmeetmeid, kusjuures enamik kaebustest on lükatud vastuvõetamatuse tõttu tagasi; tunneb heameelt, et </w:t>
      </w:r>
      <w:proofErr w:type="spellStart"/>
      <w:r w:rsidRPr="00ED1222">
        <w:rPr>
          <w:kern w:val="2"/>
          <w14:ligatures w14:val="standardContextual"/>
        </w:rPr>
        <w:t>Frontex</w:t>
      </w:r>
      <w:proofErr w:type="spellEnd"/>
      <w:r w:rsidRPr="00ED1222">
        <w:rPr>
          <w:kern w:val="2"/>
          <w14:ligatures w14:val="standardContextual"/>
        </w:rPr>
        <w:t xml:space="preserve"> pöörab senisest rohkem tähelepanu läbipaistvusele ja vastutusele;</w:t>
      </w:r>
    </w:p>
    <w:p w14:paraId="7B0348B3"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144.</w:t>
      </w:r>
      <w:r w:rsidRPr="00ED1222">
        <w:rPr>
          <w:kern w:val="2"/>
          <w14:ligatures w14:val="standardContextual"/>
        </w:rPr>
        <w:tab/>
        <w:t>rõhutab, et täieliku selguse ja läbipaistvuse huvides ning kooskõlas kontrollikoja tähelepanekuga peaksid tulusid koguvad asutused avalikustama sama teabe kergesti mõistetaval viisil oma lõplikus raamatupidamise aastaaruandes, konsolideeritud iga-aastases tegevusaruandes ja ühtses programmdokumendis, kuna neil aruannetel on eri eesmärgid;</w:t>
      </w:r>
    </w:p>
    <w:p w14:paraId="4808FB28"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145.</w:t>
      </w:r>
      <w:r w:rsidRPr="00ED1222">
        <w:rPr>
          <w:kern w:val="2"/>
          <w14:ligatures w14:val="standardContextual"/>
        </w:rPr>
        <w:tab/>
        <w:t xml:space="preserve">märgib lisaks, et 2023. aastal keeldus </w:t>
      </w:r>
      <w:proofErr w:type="spellStart"/>
      <w:r w:rsidRPr="00ED1222">
        <w:rPr>
          <w:kern w:val="2"/>
          <w14:ligatures w14:val="standardContextual"/>
        </w:rPr>
        <w:t>Frontex</w:t>
      </w:r>
      <w:proofErr w:type="spellEnd"/>
      <w:r w:rsidRPr="00ED1222">
        <w:rPr>
          <w:kern w:val="2"/>
          <w14:ligatures w14:val="standardContextual"/>
        </w:rPr>
        <w:t xml:space="preserve"> andmast üldsusele juurdepääsu oma põhiõiguste ametniku aruandele </w:t>
      </w:r>
      <w:proofErr w:type="spellStart"/>
      <w:r w:rsidRPr="00ED1222">
        <w:rPr>
          <w:kern w:val="2"/>
          <w14:ligatures w14:val="standardContextual"/>
        </w:rPr>
        <w:t>Frontexi</w:t>
      </w:r>
      <w:proofErr w:type="spellEnd"/>
      <w:r w:rsidRPr="00ED1222">
        <w:rPr>
          <w:kern w:val="2"/>
          <w14:ligatures w14:val="standardContextual"/>
        </w:rPr>
        <w:t xml:space="preserve"> operatsiooni kohta Albaanias (juhtum 652/2023/VB), mis viis ombudsmanipoolse uurimiseni; ombudsman leidis, et </w:t>
      </w:r>
      <w:proofErr w:type="spellStart"/>
      <w:r w:rsidRPr="00ED1222">
        <w:rPr>
          <w:kern w:val="2"/>
          <w14:ligatures w14:val="standardContextual"/>
        </w:rPr>
        <w:t>Frontex</w:t>
      </w:r>
      <w:proofErr w:type="spellEnd"/>
      <w:r w:rsidRPr="00ED1222">
        <w:rPr>
          <w:kern w:val="2"/>
          <w14:ligatures w14:val="standardContextual"/>
        </w:rPr>
        <w:t xml:space="preserve"> oleks pidanud andma aruande mõnele osale juurdepääsu, ja tunneb heameelt selle üle, et </w:t>
      </w:r>
      <w:proofErr w:type="spellStart"/>
      <w:r w:rsidRPr="00ED1222">
        <w:rPr>
          <w:kern w:val="2"/>
          <w14:ligatures w14:val="standardContextual"/>
        </w:rPr>
        <w:t>Frontex</w:t>
      </w:r>
      <w:proofErr w:type="spellEnd"/>
      <w:r w:rsidRPr="00ED1222">
        <w:rPr>
          <w:kern w:val="2"/>
          <w14:ligatures w14:val="standardContextual"/>
        </w:rPr>
        <w:t xml:space="preserve"> nõustus lahenduse leidmiseks ombudsmani ettepanekuga;</w:t>
      </w:r>
    </w:p>
    <w:p w14:paraId="1B9803C7"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146.</w:t>
      </w:r>
      <w:r w:rsidRPr="00ED1222">
        <w:rPr>
          <w:kern w:val="2"/>
          <w14:ligatures w14:val="standardContextual"/>
        </w:rPr>
        <w:tab/>
        <w:t xml:space="preserve">peab kahetsusväärseks, et läbipaistvusregistri kohaldamine </w:t>
      </w:r>
      <w:proofErr w:type="spellStart"/>
      <w:r w:rsidRPr="00ED1222">
        <w:rPr>
          <w:kern w:val="2"/>
          <w14:ligatures w14:val="standardContextual"/>
        </w:rPr>
        <w:t>väliskontaktide</w:t>
      </w:r>
      <w:proofErr w:type="spellEnd"/>
      <w:r w:rsidRPr="00ED1222">
        <w:rPr>
          <w:kern w:val="2"/>
          <w14:ligatures w14:val="standardContextual"/>
        </w:rPr>
        <w:t xml:space="preserve"> suhtes ei ole detsentraliseeritud asutuste jaoks kohustuslik; märgib siiski, et vastavalt Euroopa Parlamendi, Euroopa Liidu Nõukogu ja Euroopa Komisjoni 20. mai 2021. aasta institutsioonidevahelisele kokkuleppele kohustusliku läbipaistvusregistri kohta </w:t>
      </w:r>
      <w:r w:rsidRPr="00ED1222">
        <w:rPr>
          <w:kern w:val="2"/>
          <w:vertAlign w:val="superscript"/>
          <w14:ligatures w14:val="standardContextual"/>
        </w:rPr>
        <w:footnoteReference w:id="432"/>
      </w:r>
      <w:r w:rsidRPr="00ED1222">
        <w:rPr>
          <w:kern w:val="2"/>
          <w14:ligatures w14:val="standardContextual"/>
        </w:rPr>
        <w:t xml:space="preserve"> on asutustel võimalus kasutada läbipaistvusregistrit vabatahtlikkuse alusel;</w:t>
      </w:r>
    </w:p>
    <w:p w14:paraId="31D59F64"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147.</w:t>
      </w:r>
      <w:r w:rsidRPr="00ED1222">
        <w:rPr>
          <w:kern w:val="2"/>
          <w14:ligatures w14:val="standardContextual"/>
        </w:rPr>
        <w:tab/>
        <w:t xml:space="preserve">ergutab kõiki asutusi seda vabatahtlikku võimalust kasutama ning järgima </w:t>
      </w:r>
      <w:proofErr w:type="spellStart"/>
      <w:r w:rsidRPr="00ED1222">
        <w:rPr>
          <w:kern w:val="2"/>
          <w14:ligatures w14:val="standardContextual"/>
        </w:rPr>
        <w:t>eu</w:t>
      </w:r>
      <w:proofErr w:type="spellEnd"/>
      <w:r w:rsidRPr="00ED1222">
        <w:rPr>
          <w:kern w:val="2"/>
          <w14:ligatures w14:val="standardContextual"/>
        </w:rPr>
        <w:t xml:space="preserve">-LISA ja </w:t>
      </w:r>
      <w:proofErr w:type="spellStart"/>
      <w:r w:rsidRPr="00ED1222">
        <w:rPr>
          <w:kern w:val="2"/>
          <w14:ligatures w14:val="standardContextual"/>
        </w:rPr>
        <w:t>Frontexi</w:t>
      </w:r>
      <w:proofErr w:type="spellEnd"/>
      <w:r w:rsidRPr="00ED1222">
        <w:rPr>
          <w:kern w:val="2"/>
          <w14:ligatures w14:val="standardContextual"/>
        </w:rPr>
        <w:t xml:space="preserve"> eeskuju, kes on ainsad kaks asutust, kes nõuavad kolmandatest isikutest </w:t>
      </w:r>
      <w:proofErr w:type="spellStart"/>
      <w:r w:rsidRPr="00ED1222">
        <w:rPr>
          <w:kern w:val="2"/>
          <w14:ligatures w14:val="standardContextual"/>
        </w:rPr>
        <w:lastRenderedPageBreak/>
        <w:t>väliskontaktide</w:t>
      </w:r>
      <w:proofErr w:type="spellEnd"/>
      <w:r w:rsidRPr="00ED1222">
        <w:rPr>
          <w:kern w:val="2"/>
          <w14:ligatures w14:val="standardContextual"/>
        </w:rPr>
        <w:t xml:space="preserve"> läbipaistvusregistris registreerimist;</w:t>
      </w:r>
    </w:p>
    <w:p w14:paraId="6B509EB6"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148.</w:t>
      </w:r>
      <w:r w:rsidRPr="00ED1222">
        <w:rPr>
          <w:kern w:val="2"/>
          <w14:ligatures w14:val="standardContextual"/>
        </w:rPr>
        <w:tab/>
        <w:t>rõhutab, et institutsioonidevahelisele kokkuleppele alla kirjutanud institutsioonid edendavad ja ergutavad läbipaistvusregistri kasutamist; tuletab meelde tungivat nõudmist, et kõik detsentraliseeritud asutused registrit täielikult kasutaksid;</w:t>
      </w:r>
    </w:p>
    <w:p w14:paraId="0EE58EBA"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149.</w:t>
      </w:r>
      <w:r w:rsidRPr="00ED1222">
        <w:rPr>
          <w:kern w:val="2"/>
          <w14:ligatures w14:val="standardContextual"/>
        </w:rPr>
        <w:tab/>
        <w:t xml:space="preserve">märgib, et </w:t>
      </w:r>
      <w:proofErr w:type="spellStart"/>
      <w:r w:rsidRPr="00ED1222">
        <w:rPr>
          <w:kern w:val="2"/>
          <w14:ligatures w14:val="standardContextual"/>
        </w:rPr>
        <w:t>eu</w:t>
      </w:r>
      <w:proofErr w:type="spellEnd"/>
      <w:r w:rsidRPr="00ED1222">
        <w:rPr>
          <w:kern w:val="2"/>
          <w14:ligatures w14:val="standardContextual"/>
        </w:rPr>
        <w:t xml:space="preserve">-LISA keskendus </w:t>
      </w:r>
      <w:proofErr w:type="spellStart"/>
      <w:r w:rsidRPr="00ED1222">
        <w:rPr>
          <w:kern w:val="2"/>
          <w14:ligatures w14:val="standardContextual"/>
        </w:rPr>
        <w:t>küberturvalisusele</w:t>
      </w:r>
      <w:proofErr w:type="spellEnd"/>
      <w:r w:rsidRPr="00ED1222">
        <w:rPr>
          <w:kern w:val="2"/>
          <w14:ligatures w14:val="standardContextual"/>
        </w:rPr>
        <w:t xml:space="preserve"> ja </w:t>
      </w:r>
      <w:proofErr w:type="spellStart"/>
      <w:r w:rsidRPr="00ED1222">
        <w:rPr>
          <w:kern w:val="2"/>
          <w14:ligatures w14:val="standardContextual"/>
        </w:rPr>
        <w:t>kübervaldkonna</w:t>
      </w:r>
      <w:proofErr w:type="spellEnd"/>
      <w:r w:rsidRPr="00ED1222">
        <w:rPr>
          <w:kern w:val="2"/>
          <w14:ligatures w14:val="standardContextual"/>
        </w:rPr>
        <w:t xml:space="preserve"> ohtude vastu võitlemisele, tehes eelkõige vajalikke ettevalmistusi selliste kohustuste täitmiseks, mis tulenevad uutest liidu õigusaktidest infoturbe ja küberturvalisuse kohta; toonitab, et </w:t>
      </w:r>
      <w:proofErr w:type="spellStart"/>
      <w:r w:rsidRPr="00ED1222">
        <w:rPr>
          <w:kern w:val="2"/>
          <w14:ligatures w14:val="standardContextual"/>
        </w:rPr>
        <w:t>eu</w:t>
      </w:r>
      <w:proofErr w:type="spellEnd"/>
      <w:r w:rsidRPr="00ED1222">
        <w:rPr>
          <w:kern w:val="2"/>
          <w14:ligatures w14:val="standardContextual"/>
        </w:rPr>
        <w:t xml:space="preserve">-LISA käitab ja haldab turvaseireplatvormi, küberturvalisuse intsidentide kava, reageerimise käsiraamatuid ja ööpäevaringset valvekorda, et tagada küberohtude õigeaegne tuvastamine ja neile reageerimine; väljendab heameelt </w:t>
      </w:r>
      <w:proofErr w:type="spellStart"/>
      <w:r w:rsidRPr="00ED1222">
        <w:rPr>
          <w:kern w:val="2"/>
          <w14:ligatures w14:val="standardContextual"/>
        </w:rPr>
        <w:t>eu</w:t>
      </w:r>
      <w:proofErr w:type="spellEnd"/>
      <w:r w:rsidRPr="00ED1222">
        <w:rPr>
          <w:kern w:val="2"/>
          <w14:ligatures w14:val="standardContextual"/>
        </w:rPr>
        <w:t xml:space="preserve">-LISA rolli üle </w:t>
      </w:r>
      <w:proofErr w:type="spellStart"/>
      <w:r w:rsidRPr="00ED1222">
        <w:rPr>
          <w:kern w:val="2"/>
          <w14:ligatures w14:val="standardContextual"/>
        </w:rPr>
        <w:t>asutustevaheliste</w:t>
      </w:r>
      <w:proofErr w:type="spellEnd"/>
      <w:r w:rsidRPr="00ED1222">
        <w:rPr>
          <w:kern w:val="2"/>
          <w14:ligatures w14:val="standardContextual"/>
        </w:rPr>
        <w:t xml:space="preserve"> küberturvalisuse õppuste toetamisel koostöös justiits- ja </w:t>
      </w:r>
      <w:proofErr w:type="spellStart"/>
      <w:r w:rsidRPr="00ED1222">
        <w:rPr>
          <w:kern w:val="2"/>
          <w14:ligatures w14:val="standardContextual"/>
        </w:rPr>
        <w:t>siseküsimustega</w:t>
      </w:r>
      <w:proofErr w:type="spellEnd"/>
      <w:r w:rsidRPr="00ED1222">
        <w:rPr>
          <w:kern w:val="2"/>
          <w14:ligatures w14:val="standardContextual"/>
        </w:rPr>
        <w:t xml:space="preserve"> tegelevate asutuste võrgustikuga; </w:t>
      </w:r>
      <w:r w:rsidRPr="00ED1222">
        <w:rPr>
          <w:kern w:val="2"/>
          <w:szCs w:val="24"/>
          <w:vertAlign w:val="superscript"/>
          <w14:ligatures w14:val="standardContextual"/>
        </w:rPr>
        <w:footnoteReference w:id="433"/>
      </w:r>
      <w:r w:rsidRPr="00ED1222">
        <w:rPr>
          <w:kern w:val="2"/>
          <w14:ligatures w14:val="standardContextual"/>
        </w:rPr>
        <w:t xml:space="preserve"> rõhutab, kui oluline on, et detsentraliseeritud asutustel oleks täielik suutlikkus end </w:t>
      </w:r>
      <w:proofErr w:type="spellStart"/>
      <w:r w:rsidRPr="00ED1222">
        <w:rPr>
          <w:kern w:val="2"/>
          <w14:ligatures w14:val="standardContextual"/>
        </w:rPr>
        <w:t>küberrünnete</w:t>
      </w:r>
      <w:proofErr w:type="spellEnd"/>
      <w:r w:rsidRPr="00ED1222">
        <w:rPr>
          <w:kern w:val="2"/>
          <w14:ligatures w14:val="standardContextual"/>
        </w:rPr>
        <w:t xml:space="preserve"> eest kaitsta; ergutab tihedamat koostööd </w:t>
      </w:r>
      <w:proofErr w:type="spellStart"/>
      <w:r w:rsidRPr="00ED1222">
        <w:rPr>
          <w:kern w:val="2"/>
          <w14:ligatures w14:val="standardContextual"/>
        </w:rPr>
        <w:t>eu</w:t>
      </w:r>
      <w:proofErr w:type="spellEnd"/>
      <w:r w:rsidRPr="00ED1222">
        <w:rPr>
          <w:kern w:val="2"/>
          <w14:ligatures w14:val="standardContextual"/>
        </w:rPr>
        <w:t xml:space="preserve">-LISA ja teiste asutuste vahel, et töötada välja vastupidavam kollektiivne vastus küberkuritegevusele; rõhutab sellega seoses, kui oluline on tugevdada küberturvalisuse meetmeid kõigis asutustes, võttes arvesse küberohtude ja andmetega seotud rikkumiste kasvavat riski; nõuab lisainvesteeringuid asutuste töötajate turvalisse IT-taristusse ja küberturvalisuse koolitusse; nõuab tungivalt, et asutused esitaksid Euroopa Parlamendile ja kontrollikojale iga-aastase </w:t>
      </w:r>
      <w:proofErr w:type="spellStart"/>
      <w:r w:rsidRPr="00ED1222">
        <w:rPr>
          <w:kern w:val="2"/>
          <w14:ligatures w14:val="standardContextual"/>
        </w:rPr>
        <w:t>küberriski</w:t>
      </w:r>
      <w:proofErr w:type="spellEnd"/>
      <w:r w:rsidRPr="00ED1222">
        <w:rPr>
          <w:kern w:val="2"/>
          <w14:ligatures w14:val="standardContextual"/>
        </w:rPr>
        <w:t xml:space="preserve"> hindamise aruande;</w:t>
      </w:r>
    </w:p>
    <w:p w14:paraId="17A12A8C"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150.</w:t>
      </w:r>
      <w:r w:rsidRPr="00ED1222">
        <w:rPr>
          <w:kern w:val="2"/>
          <w14:ligatures w14:val="standardContextual"/>
        </w:rPr>
        <w:tab/>
        <w:t xml:space="preserve">nõuab tungivalt, et </w:t>
      </w:r>
      <w:proofErr w:type="spellStart"/>
      <w:r w:rsidRPr="00ED1222">
        <w:rPr>
          <w:kern w:val="2"/>
          <w14:ligatures w14:val="standardContextual"/>
        </w:rPr>
        <w:t>Frontex</w:t>
      </w:r>
      <w:proofErr w:type="spellEnd"/>
      <w:r w:rsidRPr="00ED1222">
        <w:rPr>
          <w:kern w:val="2"/>
          <w14:ligatures w14:val="standardContextual"/>
        </w:rPr>
        <w:t xml:space="preserve"> tagaks edasiste viivitusteta kõigi Euroopa auditi- ja kontrolliasutuste, eelkõige </w:t>
      </w:r>
      <w:proofErr w:type="spellStart"/>
      <w:r w:rsidRPr="00ED1222">
        <w:rPr>
          <w:kern w:val="2"/>
          <w14:ligatures w14:val="standardContextual"/>
        </w:rPr>
        <w:t>OLAFi</w:t>
      </w:r>
      <w:proofErr w:type="spellEnd"/>
      <w:r w:rsidRPr="00ED1222">
        <w:rPr>
          <w:kern w:val="2"/>
          <w14:ligatures w14:val="standardContextual"/>
        </w:rPr>
        <w:t xml:space="preserve"> ja Euroopa Parlamendi </w:t>
      </w:r>
      <w:proofErr w:type="spellStart"/>
      <w:r w:rsidRPr="00ED1222">
        <w:rPr>
          <w:kern w:val="2"/>
          <w14:ligatures w14:val="standardContextual"/>
        </w:rPr>
        <w:t>Frontexi</w:t>
      </w:r>
      <w:proofErr w:type="spellEnd"/>
      <w:r w:rsidRPr="00ED1222">
        <w:rPr>
          <w:kern w:val="2"/>
          <w14:ligatures w14:val="standardContextual"/>
        </w:rPr>
        <w:t xml:space="preserve"> kontrolli töörühma, Euroopa Ombudsmani, kontrollikoja ning </w:t>
      </w:r>
      <w:proofErr w:type="spellStart"/>
      <w:r w:rsidRPr="00ED1222">
        <w:rPr>
          <w:kern w:val="2"/>
          <w14:ligatures w14:val="standardContextual"/>
        </w:rPr>
        <w:t>Frontexi</w:t>
      </w:r>
      <w:proofErr w:type="spellEnd"/>
      <w:r w:rsidRPr="00ED1222">
        <w:rPr>
          <w:kern w:val="2"/>
          <w14:ligatures w14:val="standardContextual"/>
        </w:rPr>
        <w:t xml:space="preserve"> põhiõiguste ja operatsioonide õiguslike operatiivaspektide töörühma esitatud soovituste täieliku elluviimise;</w:t>
      </w:r>
    </w:p>
    <w:p w14:paraId="1CEA0072"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151.</w:t>
      </w:r>
      <w:r w:rsidRPr="00ED1222">
        <w:rPr>
          <w:kern w:val="2"/>
          <w14:ligatures w14:val="standardContextual"/>
        </w:rPr>
        <w:tab/>
        <w:t>märgib, et rikkumisest teatajate poliitika on olemas kõigil asutustel; kutsub kõiki asutusi üles tagama, et neil on konkreetsed, turvalised ja mõjusad teavituskanalid kooskõlas Euroopa Parlamendi ja nõukogu direktiivi (EL) 2019/1937</w:t>
      </w:r>
      <w:r w:rsidRPr="00ED1222">
        <w:rPr>
          <w:kern w:val="2"/>
          <w:vertAlign w:val="superscript"/>
          <w14:ligatures w14:val="standardContextual"/>
        </w:rPr>
        <w:footnoteReference w:id="434"/>
      </w:r>
      <w:r w:rsidRPr="00ED1222">
        <w:rPr>
          <w:kern w:val="2"/>
          <w14:ligatures w14:val="standardContextual"/>
        </w:rPr>
        <w:t xml:space="preserve"> (rikkumisest teatamise kohta) asjaomaste nõuetega;</w:t>
      </w:r>
    </w:p>
    <w:p w14:paraId="581FE91C"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152.</w:t>
      </w:r>
      <w:r w:rsidRPr="00ED1222">
        <w:rPr>
          <w:kern w:val="2"/>
          <w14:ligatures w14:val="standardContextual"/>
        </w:rPr>
        <w:tab/>
        <w:t>pooldab tehisintellektispetsiifiliste riskihindamiste süstemaatilist lisamist asutuste siseaudititesse, tagades liidu eetikasuuniste ja küberturvalisuse standardite järgimise; nõuab, et ENISA laiendatud volitustesse lisataks konkreetne järelevalve riskide üle, mis on seotud tehisintellekti kasutamisega ELi asutustes;</w:t>
      </w:r>
    </w:p>
    <w:p w14:paraId="5B3EACE3" w14:textId="77777777" w:rsidR="00ED1222" w:rsidRPr="00ED1222" w:rsidRDefault="00ED1222" w:rsidP="00ED1222">
      <w:pPr>
        <w:keepNext/>
        <w:keepLines/>
        <w:spacing w:after="240"/>
        <w:rPr>
          <w:i/>
          <w:kern w:val="2"/>
          <w14:ligatures w14:val="standardContextual"/>
        </w:rPr>
      </w:pPr>
      <w:r w:rsidRPr="00ED1222">
        <w:rPr>
          <w:b/>
          <w:i/>
          <w:color w:val="000000"/>
          <w:kern w:val="2"/>
          <w14:ligatures w14:val="standardContextual"/>
        </w:rPr>
        <w:t>Kestlikkus, keskkonnamõju ja sotsiaalne kaasatus</w:t>
      </w:r>
    </w:p>
    <w:p w14:paraId="0E7B78E1"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153.</w:t>
      </w:r>
      <w:r w:rsidRPr="00ED1222">
        <w:rPr>
          <w:kern w:val="2"/>
          <w14:ligatures w14:val="standardContextual"/>
        </w:rPr>
        <w:tab/>
        <w:t>märgib, et 33-st ELi asutusest kokku 11 </w:t>
      </w:r>
      <w:r w:rsidRPr="00ED1222">
        <w:rPr>
          <w:kern w:val="2"/>
          <w:vertAlign w:val="superscript"/>
          <w14:ligatures w14:val="standardContextual"/>
        </w:rPr>
        <w:footnoteReference w:id="435"/>
      </w:r>
      <w:r w:rsidRPr="00ED1222">
        <w:rPr>
          <w:kern w:val="2"/>
          <w14:ligatures w14:val="standardContextual"/>
        </w:rPr>
        <w:t xml:space="preserve"> (33 %) on juba rakendanud ELi keskkonnajuhtimis- ja -auditeerimissüsteemi (EMAS); võtab rahuloluga teadmiseks </w:t>
      </w:r>
      <w:r w:rsidRPr="00ED1222">
        <w:rPr>
          <w:kern w:val="2"/>
          <w14:ligatures w14:val="standardContextual"/>
        </w:rPr>
        <w:lastRenderedPageBreak/>
        <w:t xml:space="preserve">mitme asutuse proaktiivse tegevuse </w:t>
      </w:r>
      <w:proofErr w:type="spellStart"/>
      <w:r w:rsidRPr="00ED1222">
        <w:rPr>
          <w:kern w:val="2"/>
          <w14:ligatures w14:val="standardContextual"/>
        </w:rPr>
        <w:t>EMASi</w:t>
      </w:r>
      <w:proofErr w:type="spellEnd"/>
      <w:r w:rsidRPr="00ED1222">
        <w:rPr>
          <w:kern w:val="2"/>
          <w14:ligatures w14:val="standardContextual"/>
        </w:rPr>
        <w:t xml:space="preserve"> sertifikaadi saamiseks lähitulevikus; </w:t>
      </w:r>
      <w:r w:rsidRPr="00ED1222">
        <w:rPr>
          <w:kern w:val="2"/>
          <w:vertAlign w:val="superscript"/>
          <w14:ligatures w14:val="standardContextual"/>
        </w:rPr>
        <w:footnoteReference w:id="436"/>
      </w:r>
      <w:r w:rsidRPr="00ED1222">
        <w:rPr>
          <w:kern w:val="2"/>
          <w14:ligatures w14:val="standardContextual"/>
        </w:rPr>
        <w:t xml:space="preserve"> märgib, et mõned suurema eelarvega asutused </w:t>
      </w:r>
      <w:r w:rsidRPr="00ED1222">
        <w:rPr>
          <w:kern w:val="2"/>
          <w:vertAlign w:val="superscript"/>
          <w14:ligatures w14:val="standardContextual"/>
        </w:rPr>
        <w:footnoteReference w:id="437"/>
      </w:r>
      <w:r w:rsidRPr="00ED1222">
        <w:rPr>
          <w:kern w:val="2"/>
          <w14:ligatures w14:val="standardContextual"/>
        </w:rPr>
        <w:t xml:space="preserve"> ei ole teatanud oma kavadest lähiajal </w:t>
      </w:r>
      <w:proofErr w:type="spellStart"/>
      <w:r w:rsidRPr="00ED1222">
        <w:rPr>
          <w:kern w:val="2"/>
          <w14:ligatures w14:val="standardContextual"/>
        </w:rPr>
        <w:t>EMASi</w:t>
      </w:r>
      <w:proofErr w:type="spellEnd"/>
      <w:r w:rsidRPr="00ED1222">
        <w:rPr>
          <w:kern w:val="2"/>
          <w14:ligatures w14:val="standardContextual"/>
        </w:rPr>
        <w:t xml:space="preserve"> rakendada; võtab teadmiseks, et EASA hindab praegu vahendeid keskkonnatoime süstemaatiliseks ja pidevaks parandamiseks, sealhulgas </w:t>
      </w:r>
      <w:proofErr w:type="spellStart"/>
      <w:r w:rsidRPr="00ED1222">
        <w:rPr>
          <w:kern w:val="2"/>
          <w14:ligatures w14:val="standardContextual"/>
        </w:rPr>
        <w:t>EMASi</w:t>
      </w:r>
      <w:proofErr w:type="spellEnd"/>
      <w:r w:rsidRPr="00ED1222">
        <w:rPr>
          <w:kern w:val="2"/>
          <w14:ligatures w14:val="standardContextual"/>
        </w:rPr>
        <w:t>, ning annab eelarve täitmisele heakskiidu andmise eest vastutavale institutsioonile käesoleva aasta jooksul ajakohastatud teavet;</w:t>
      </w:r>
    </w:p>
    <w:p w14:paraId="31D8FF3E"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154.</w:t>
      </w:r>
      <w:r w:rsidRPr="00ED1222">
        <w:rPr>
          <w:kern w:val="2"/>
          <w14:ligatures w14:val="standardContextual"/>
        </w:rPr>
        <w:tab/>
        <w:t>tuletab meelde, et 2022. aasta eelarve täitmisele heakskiidu andmise (horisontaalses) raportis juhiti tähelepanu sellele, et 14 asutusel ei ole ikka veel kestlikkust käsitlevaid kavasid; märgib, et kontrollikoja aruandes eelarveaasta 2023 kohta ei esitatud selle küsimuse kohta ajakohastatud arvandmeid; kordab, kui oluline on, et kõigil asutustel oleksid olemas asutuse kestlikkust käsitlevad kavad; nõuab tungivalt, et asutused annaksid komisjonile aru oma hoonete energiatõhususe kohta;</w:t>
      </w:r>
    </w:p>
    <w:p w14:paraId="6CC4CD81"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155.</w:t>
      </w:r>
      <w:r w:rsidRPr="00ED1222">
        <w:rPr>
          <w:kern w:val="2"/>
          <w14:ligatures w14:val="standardContextual"/>
        </w:rPr>
        <w:tab/>
        <w:t>ergutab kontrollikoda korrapäraselt ajakohastama arvandmeid kestlikkust käsitlevate kavadega seotud olukorra kohta asutustes;</w:t>
      </w:r>
    </w:p>
    <w:p w14:paraId="550CC1DA"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156.</w:t>
      </w:r>
      <w:r w:rsidRPr="00ED1222">
        <w:rPr>
          <w:kern w:val="2"/>
          <w14:ligatures w14:val="standardContextual"/>
        </w:rPr>
        <w:tab/>
        <w:t>märgib, et eelarveaastal 2023 näitasid asutused üles üha suuremat pühendumust keskkonna- ja kestlikkuseesmärkide saavutamisele; märgib, et Euroopa Keskkonnaametil (EEA) oli keskne roll kliimamuutuste ja keskkonnatoime seires ja aruandluses kogu liidus; märgib, et sellised asutused nagu CINEA ja EEA juhtisid kestlikkusega seotud programmide rakendamist, aidates kaasa kogu ELi hõlmavatele algatustele, mille eesmärk on vähendada CO</w:t>
      </w:r>
      <w:r w:rsidRPr="00ED1222">
        <w:rPr>
          <w:kern w:val="2"/>
          <w:vertAlign w:val="subscript"/>
          <w14:ligatures w14:val="standardContextual"/>
        </w:rPr>
        <w:t>2</w:t>
      </w:r>
      <w:r w:rsidRPr="00ED1222">
        <w:rPr>
          <w:kern w:val="2"/>
          <w14:ligatures w14:val="standardContextual"/>
        </w:rPr>
        <w:t xml:space="preserve"> jalajälge ja edendada taastuvenergia kasutamist;</w:t>
      </w:r>
    </w:p>
    <w:p w14:paraId="6575A8ED"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157.</w:t>
      </w:r>
      <w:r w:rsidRPr="00ED1222">
        <w:rPr>
          <w:kern w:val="2"/>
          <w14:ligatures w14:val="standardContextual"/>
        </w:rPr>
        <w:tab/>
        <w:t>märgib murega, et üldistest edusammudest hoolimata oli mõnel asutusel menetlusliku ebatõhususe ja vahendite ebapiisava eraldamise tõttu raskusi oma asutuse strateegiatesse kestlikkuse integreerimisega; rõhutab seetõttu vajadust sidusama ja toimivama raamistiku järele, et tagada asutuste tegevuse pikaajaline kestlikkus;</w:t>
      </w:r>
    </w:p>
    <w:p w14:paraId="6DDE790A" w14:textId="77777777" w:rsidR="00ED1222" w:rsidRPr="00ED1222" w:rsidRDefault="00ED1222" w:rsidP="00ED1222">
      <w:pPr>
        <w:keepNext/>
        <w:keepLines/>
        <w:spacing w:after="240"/>
        <w:rPr>
          <w:i/>
          <w:kern w:val="2"/>
          <w14:ligatures w14:val="standardContextual"/>
        </w:rPr>
      </w:pPr>
      <w:r w:rsidRPr="00ED1222">
        <w:rPr>
          <w:b/>
          <w:i/>
          <w:kern w:val="2"/>
          <w14:ligatures w14:val="standardContextual"/>
        </w:rPr>
        <w:t>Kontrollikoja varasemate aastate tähelepanekutega seotud järelmeetmed</w:t>
      </w:r>
    </w:p>
    <w:p w14:paraId="0AD678E3" w14:textId="77777777" w:rsidR="00ED1222" w:rsidRPr="00ED1222" w:rsidRDefault="00ED1222" w:rsidP="00ED1222">
      <w:pPr>
        <w:widowControl/>
        <w:spacing w:after="240"/>
        <w:ind w:left="567" w:hanging="567"/>
        <w:rPr>
          <w:bCs/>
          <w:iCs/>
          <w:kern w:val="2"/>
          <w14:ligatures w14:val="standardContextual"/>
        </w:rPr>
      </w:pPr>
      <w:r w:rsidRPr="00ED1222">
        <w:rPr>
          <w:kern w:val="2"/>
          <w14:ligatures w14:val="standardContextual"/>
        </w:rPr>
        <w:t>158.</w:t>
      </w:r>
      <w:r w:rsidRPr="00ED1222">
        <w:rPr>
          <w:kern w:val="2"/>
          <w14:ligatures w14:val="standardContextual"/>
        </w:rPr>
        <w:tab/>
        <w:t>märgib, et asutuste iga-aastastes eriaruannetes esitatud tähelepanekud ei ole tegelikult kontrollikoja „ajastatud soovitused“; märgib, et kontrollikoda võtab nende tähelepanekute suhtes igal aastal järelmeetmeid, andes nende staatusele hinnangu, milleks on kas „avatud“ või „suletud“;</w:t>
      </w:r>
    </w:p>
    <w:p w14:paraId="60E84081"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159.</w:t>
      </w:r>
      <w:r w:rsidRPr="00ED1222">
        <w:rPr>
          <w:kern w:val="2"/>
          <w14:ligatures w14:val="standardContextual"/>
        </w:rPr>
        <w:tab/>
        <w:t>märgib, et kokku 116 tähelepanekust, mille kontrollikoda tegi varasematel aastatel seoses käesoleva resolutsiooni osaks olevate asutustega, suleti 2023. aastal kokku 58 tähelepanekut, kokku 53 on endiselt avatud ja viis osaliselt suletud; märgib, et avatud tähelepanekute arv on asutuste lõikes erinev, kusjuures mõnel (</w:t>
      </w:r>
      <w:proofErr w:type="spellStart"/>
      <w:r w:rsidRPr="00ED1222">
        <w:rPr>
          <w:kern w:val="2"/>
          <w14:ligatures w14:val="standardContextual"/>
        </w:rPr>
        <w:t>BERECi</w:t>
      </w:r>
      <w:proofErr w:type="spellEnd"/>
      <w:r w:rsidRPr="00ED1222">
        <w:rPr>
          <w:kern w:val="2"/>
          <w14:ligatures w14:val="standardContextual"/>
        </w:rPr>
        <w:t xml:space="preserve"> Büroo, EBA, ECHA, EEA, EMSA, ENISA, EU-OSHA, EUSPA ja </w:t>
      </w:r>
      <w:proofErr w:type="spellStart"/>
      <w:r w:rsidRPr="00ED1222">
        <w:rPr>
          <w:kern w:val="2"/>
          <w14:ligatures w14:val="standardContextual"/>
        </w:rPr>
        <w:t>Eurofound</w:t>
      </w:r>
      <w:proofErr w:type="spellEnd"/>
      <w:r w:rsidRPr="00ED1222">
        <w:rPr>
          <w:kern w:val="2"/>
          <w14:ligatures w14:val="standardContextual"/>
        </w:rPr>
        <w:t xml:space="preserve">) ei ole ühtegi avatud tähelepanekut, samas kui suurim avatud tähelepanekute arv on </w:t>
      </w:r>
      <w:proofErr w:type="spellStart"/>
      <w:r w:rsidRPr="00ED1222">
        <w:rPr>
          <w:kern w:val="2"/>
          <w14:ligatures w14:val="standardContextual"/>
        </w:rPr>
        <w:t>eu</w:t>
      </w:r>
      <w:proofErr w:type="spellEnd"/>
      <w:r w:rsidRPr="00ED1222">
        <w:rPr>
          <w:kern w:val="2"/>
          <w14:ligatures w14:val="standardContextual"/>
        </w:rPr>
        <w:t xml:space="preserve">-LISA, </w:t>
      </w:r>
      <w:proofErr w:type="spellStart"/>
      <w:r w:rsidRPr="00ED1222">
        <w:rPr>
          <w:kern w:val="2"/>
          <w14:ligatures w14:val="standardContextual"/>
        </w:rPr>
        <w:t>Frontexi</w:t>
      </w:r>
      <w:proofErr w:type="spellEnd"/>
      <w:r w:rsidRPr="00ED1222">
        <w:rPr>
          <w:kern w:val="2"/>
          <w14:ligatures w14:val="standardContextual"/>
        </w:rPr>
        <w:t xml:space="preserve"> ja ELA puhul (vastavalt kaheksa, seitse ja viis tähelepanekut); nõuab, et need asutused võtaksid ennetavaid meetmeid nende avatud küsimuste lahendamiseks;</w:t>
      </w:r>
    </w:p>
    <w:p w14:paraId="48FF7CDD"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160.</w:t>
      </w:r>
      <w:r w:rsidRPr="00ED1222">
        <w:rPr>
          <w:kern w:val="2"/>
          <w14:ligatures w14:val="standardContextual"/>
        </w:rPr>
        <w:tab/>
        <w:t xml:space="preserve">võtab teadmiseks, et 53 avatud tähelepanekust kuus (ACER, ELA, EFCA, </w:t>
      </w:r>
      <w:proofErr w:type="spellStart"/>
      <w:r w:rsidRPr="00ED1222">
        <w:rPr>
          <w:kern w:val="2"/>
          <w14:ligatures w14:val="standardContextual"/>
        </w:rPr>
        <w:t>eu</w:t>
      </w:r>
      <w:proofErr w:type="spellEnd"/>
      <w:r w:rsidRPr="00ED1222">
        <w:rPr>
          <w:kern w:val="2"/>
          <w14:ligatures w14:val="standardContextual"/>
        </w:rPr>
        <w:t xml:space="preserve">-LISA, FRA ja </w:t>
      </w:r>
      <w:proofErr w:type="spellStart"/>
      <w:r w:rsidRPr="00ED1222">
        <w:rPr>
          <w:kern w:val="2"/>
          <w14:ligatures w14:val="standardContextual"/>
        </w:rPr>
        <w:t>Frontex</w:t>
      </w:r>
      <w:proofErr w:type="spellEnd"/>
      <w:r w:rsidRPr="00ED1222">
        <w:rPr>
          <w:kern w:val="2"/>
          <w14:ligatures w14:val="standardContextual"/>
        </w:rPr>
        <w:t xml:space="preserve">) on seotud ülekandmiste kõrge määraga; on mures selle pärast, et </w:t>
      </w:r>
      <w:proofErr w:type="spellStart"/>
      <w:r w:rsidRPr="00ED1222">
        <w:rPr>
          <w:kern w:val="2"/>
          <w14:ligatures w14:val="standardContextual"/>
        </w:rPr>
        <w:lastRenderedPageBreak/>
        <w:t>Frontexi</w:t>
      </w:r>
      <w:proofErr w:type="spellEnd"/>
      <w:r w:rsidRPr="00ED1222">
        <w:rPr>
          <w:kern w:val="2"/>
          <w14:ligatures w14:val="standardContextual"/>
        </w:rPr>
        <w:t xml:space="preserve"> puhul on see tähelepanek avatud alates 2018. aastast;</w:t>
      </w:r>
    </w:p>
    <w:p w14:paraId="0C6608A0"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161.</w:t>
      </w:r>
      <w:r w:rsidRPr="00ED1222">
        <w:rPr>
          <w:kern w:val="2"/>
          <w14:ligatures w14:val="standardContextual"/>
        </w:rPr>
        <w:tab/>
        <w:t xml:space="preserve">märgib, et </w:t>
      </w:r>
      <w:proofErr w:type="spellStart"/>
      <w:r w:rsidRPr="00ED1222">
        <w:rPr>
          <w:kern w:val="2"/>
          <w14:ligatures w14:val="standardContextual"/>
        </w:rPr>
        <w:t>ERA-l</w:t>
      </w:r>
      <w:proofErr w:type="spellEnd"/>
      <w:r w:rsidRPr="00ED1222">
        <w:rPr>
          <w:kern w:val="2"/>
          <w14:ligatures w14:val="standardContextual"/>
        </w:rPr>
        <w:t xml:space="preserve"> on alates 2018. aastast avatud tähelepanek seoses tasude ja lõivude kogumisega sertifitseerimistoimingute eest, mida alustati 2019. aastal; märgib, et määruse kohaselt tuleks arvesse võtta väikeste ja keskmise suurusega ettevõtjate (</w:t>
      </w:r>
      <w:proofErr w:type="spellStart"/>
      <w:r w:rsidRPr="00ED1222">
        <w:rPr>
          <w:kern w:val="2"/>
          <w14:ligatures w14:val="standardContextual"/>
        </w:rPr>
        <w:t>VKEd</w:t>
      </w:r>
      <w:proofErr w:type="spellEnd"/>
      <w:r w:rsidRPr="00ED1222">
        <w:rPr>
          <w:kern w:val="2"/>
          <w14:ligatures w14:val="standardContextual"/>
        </w:rPr>
        <w:t xml:space="preserve">) erivajadusi ning ERA peaks rakendama tulemuslikke kontrolle, et teha kindlaks, kas taotlejad kvalifitseeruvad </w:t>
      </w:r>
      <w:proofErr w:type="spellStart"/>
      <w:r w:rsidRPr="00ED1222">
        <w:rPr>
          <w:kern w:val="2"/>
          <w14:ligatures w14:val="standardContextual"/>
        </w:rPr>
        <w:t>VKEdeks</w:t>
      </w:r>
      <w:proofErr w:type="spellEnd"/>
      <w:r w:rsidRPr="00ED1222">
        <w:rPr>
          <w:kern w:val="2"/>
          <w14:ligatures w14:val="standardContextual"/>
        </w:rPr>
        <w:t>; palub ametil anda eelarve täitmisele heakskiidu andmise eest vastutavale institutsioonile aru selle küsimuse praegusest seisust ja põhjendada, miks asjaomane tähelepanek on jätkuvalt staatuses „avatud“;</w:t>
      </w:r>
    </w:p>
    <w:p w14:paraId="4165898A"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162.</w:t>
      </w:r>
      <w:r w:rsidRPr="00ED1222">
        <w:rPr>
          <w:kern w:val="2"/>
          <w14:ligatures w14:val="standardContextual"/>
        </w:rPr>
        <w:tab/>
        <w:t>märgib, et EASA-l on aastate jooksul tekkinud lennundustööstuse rahastatud tegevustest rohkem kui 50 miljoni euro suurune ülejääk, mille kohta puudub säte EASA asutamismääruses; palub komisjonil esitada seadusandlikul tasandil lahendus selle küsimuse käsitlemiseks;</w:t>
      </w:r>
    </w:p>
    <w:p w14:paraId="6F5A3B70" w14:textId="77777777" w:rsidR="00ED1222" w:rsidRPr="00ED1222" w:rsidRDefault="00ED1222" w:rsidP="00ED1222">
      <w:pPr>
        <w:spacing w:after="240"/>
        <w:ind w:left="567" w:hanging="567"/>
        <w:rPr>
          <w:kern w:val="2"/>
          <w14:ligatures w14:val="standardContextual"/>
        </w:rPr>
      </w:pPr>
      <w:r w:rsidRPr="00ED1222">
        <w:rPr>
          <w:kern w:val="2"/>
          <w14:ligatures w14:val="standardContextual"/>
        </w:rPr>
        <w:t>163.</w:t>
      </w:r>
      <w:r w:rsidRPr="00ED1222">
        <w:rPr>
          <w:kern w:val="2"/>
          <w14:ligatures w14:val="standardContextual"/>
        </w:rPr>
        <w:tab/>
        <w:t>märgib, et ACER on alates 2019. aastast kasutanud ajutisi töötajaid pikaajaliste ülesannete täitmiseks, et korvata otse palgatud töötajate nappust; kutsub komisjoni üles looma juurde koosseisulisi ametikohti;</w:t>
      </w:r>
    </w:p>
    <w:p w14:paraId="4E9DD59F" w14:textId="1B47E84B" w:rsidR="00E365E1" w:rsidRPr="00B802FC" w:rsidRDefault="00ED1222" w:rsidP="00ED1222">
      <w:pPr>
        <w:spacing w:after="240"/>
        <w:ind w:left="567" w:hanging="567"/>
      </w:pPr>
      <w:r w:rsidRPr="00ED1222">
        <w:rPr>
          <w:kern w:val="2"/>
          <w14:ligatures w14:val="standardContextual"/>
        </w:rPr>
        <w:t>164.</w:t>
      </w:r>
      <w:r w:rsidRPr="00ED1222">
        <w:rPr>
          <w:kern w:val="2"/>
          <w14:ligatures w14:val="standardContextual"/>
        </w:rPr>
        <w:tab/>
        <w:t xml:space="preserve">teeb presidendile ülesandeks edastada käesolev resolutsioon asutustele, mille suhtes kohaldatakse eelarve täitmisele heakskiidu andmise menetlust, nõukogule, komisjonile ja kontrollikojale ning korraldada selle avaldamine </w:t>
      </w:r>
      <w:r w:rsidRPr="00ED1222">
        <w:rPr>
          <w:i/>
          <w:kern w:val="2"/>
          <w14:ligatures w14:val="standardContextual"/>
        </w:rPr>
        <w:t>Euroopa Liidu Teatajas</w:t>
      </w:r>
      <w:r w:rsidRPr="00ED1222">
        <w:rPr>
          <w:kern w:val="2"/>
          <w14:ligatures w14:val="standardContextual"/>
        </w:rPr>
        <w:t xml:space="preserve"> (L-seerias).</w:t>
      </w:r>
    </w:p>
    <w:sectPr w:rsidR="00E365E1" w:rsidRPr="00B802FC" w:rsidSect="00594E5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6C75EF" w14:textId="77777777" w:rsidR="00704424" w:rsidRPr="00594E5B" w:rsidRDefault="00704424">
      <w:r w:rsidRPr="00594E5B">
        <w:separator/>
      </w:r>
    </w:p>
  </w:endnote>
  <w:endnote w:type="continuationSeparator" w:id="0">
    <w:p w14:paraId="127BD4B5" w14:textId="77777777" w:rsidR="00704424" w:rsidRPr="00594E5B" w:rsidRDefault="00704424">
      <w:r w:rsidRPr="00594E5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7D6ED3" w14:textId="62F1F194" w:rsidR="00704424" w:rsidRPr="00594E5B" w:rsidRDefault="0070442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B26FB" w14:textId="3605B9B0" w:rsidR="00704424" w:rsidRPr="00594E5B" w:rsidRDefault="0070442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5424D" w14:textId="1412C1D8" w:rsidR="00704424" w:rsidRPr="00594E5B" w:rsidRDefault="0070442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F047F6" w14:textId="77777777" w:rsidR="00704424" w:rsidRPr="00594E5B" w:rsidRDefault="00704424">
      <w:r w:rsidRPr="00594E5B">
        <w:separator/>
      </w:r>
    </w:p>
  </w:footnote>
  <w:footnote w:type="continuationSeparator" w:id="0">
    <w:p w14:paraId="1FC87846" w14:textId="77777777" w:rsidR="00704424" w:rsidRPr="00594E5B" w:rsidRDefault="00704424">
      <w:r w:rsidRPr="00594E5B">
        <w:continuationSeparator/>
      </w:r>
    </w:p>
  </w:footnote>
  <w:footnote w:id="1">
    <w:p w14:paraId="5C6C5AC4"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t xml:space="preserve">ELT C, C/2024/6332, 24.10.2024, ELI: </w:t>
      </w:r>
      <w:hyperlink r:id="rId1" w:history="1">
        <w:r w:rsidRPr="005F2094">
          <w:rPr>
            <w:rStyle w:val="Hyperlink1"/>
            <w:sz w:val="24"/>
            <w:szCs w:val="24"/>
            <w:lang w:val="et-EE"/>
          </w:rPr>
          <w:t>http://data.europa.eu/eli/C/2024/6332/oj</w:t>
        </w:r>
      </w:hyperlink>
      <w:r w:rsidRPr="005F2094">
        <w:rPr>
          <w:sz w:val="24"/>
          <w:szCs w:val="24"/>
          <w:lang w:val="et-EE"/>
        </w:rPr>
        <w:t>.</w:t>
      </w:r>
    </w:p>
  </w:footnote>
  <w:footnote w:id="2">
    <w:p w14:paraId="43E2F6BB"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C/2024/6041, 10.10.2024, ELI: </w:t>
      </w:r>
      <w:hyperlink r:id="rId2" w:history="1">
        <w:r w:rsidRPr="005F2094">
          <w:rPr>
            <w:rStyle w:val="Hyperlink1"/>
            <w:sz w:val="24"/>
            <w:szCs w:val="24"/>
            <w:lang w:val="et-EE"/>
          </w:rPr>
          <w:t>http://data.europa.eu/eli/C/2024/6041/oj</w:t>
        </w:r>
      </w:hyperlink>
      <w:r w:rsidRPr="005F2094">
        <w:rPr>
          <w:sz w:val="24"/>
          <w:szCs w:val="24"/>
          <w:lang w:val="et-EE"/>
        </w:rPr>
        <w:t>.</w:t>
      </w:r>
    </w:p>
  </w:footnote>
  <w:footnote w:id="3">
    <w:p w14:paraId="7520427D"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193, 30.7.2018, lk 1, ELI: </w:t>
      </w:r>
      <w:hyperlink r:id="rId3" w:history="1">
        <w:r w:rsidRPr="005F2094">
          <w:rPr>
            <w:rStyle w:val="Hyperlink1"/>
            <w:sz w:val="24"/>
            <w:szCs w:val="24"/>
            <w:lang w:val="et-EE"/>
          </w:rPr>
          <w:t>http://data.europa.eu/eli/reg/2018/1046/oj</w:t>
        </w:r>
      </w:hyperlink>
      <w:r w:rsidRPr="005F2094">
        <w:rPr>
          <w:sz w:val="24"/>
          <w:szCs w:val="24"/>
          <w:lang w:val="et-EE"/>
        </w:rPr>
        <w:t>.</w:t>
      </w:r>
    </w:p>
  </w:footnote>
  <w:footnote w:id="4">
    <w:p w14:paraId="71A3BE74"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2024/2509, 26.9.2024, ELI: </w:t>
      </w:r>
      <w:hyperlink r:id="rId4" w:history="1">
        <w:r w:rsidRPr="005F2094">
          <w:rPr>
            <w:rStyle w:val="Hyperlink1"/>
            <w:sz w:val="24"/>
            <w:szCs w:val="24"/>
            <w:lang w:val="et-EE"/>
          </w:rPr>
          <w:t>http://data.europa.eu/eli/reg/2024/2509/oj</w:t>
        </w:r>
      </w:hyperlink>
      <w:r w:rsidRPr="005F2094">
        <w:rPr>
          <w:rStyle w:val="Hyperlink1"/>
          <w:sz w:val="24"/>
          <w:szCs w:val="24"/>
          <w:lang w:val="et-EE"/>
        </w:rPr>
        <w:t>.</w:t>
      </w:r>
    </w:p>
  </w:footnote>
  <w:footnote w:id="5">
    <w:p w14:paraId="31CE4A86"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158, 14.6.2019, lk 22, ELI: </w:t>
      </w:r>
      <w:hyperlink r:id="rId5" w:history="1">
        <w:r w:rsidRPr="005F2094">
          <w:rPr>
            <w:rStyle w:val="Hyperlink1"/>
            <w:sz w:val="24"/>
            <w:szCs w:val="24"/>
            <w:lang w:val="et-EE"/>
          </w:rPr>
          <w:t>http://data.europa.eu/eli/reg/2019/942/oj</w:t>
        </w:r>
      </w:hyperlink>
      <w:r w:rsidRPr="005F2094">
        <w:rPr>
          <w:sz w:val="24"/>
          <w:szCs w:val="24"/>
          <w:lang w:val="et-EE"/>
        </w:rPr>
        <w:t>.</w:t>
      </w:r>
    </w:p>
  </w:footnote>
  <w:footnote w:id="6">
    <w:p w14:paraId="520DBD30"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122, 10.5.2019, lk 1, ELI: </w:t>
      </w:r>
      <w:hyperlink r:id="rId6" w:history="1">
        <w:r w:rsidRPr="005F2094">
          <w:rPr>
            <w:rStyle w:val="Hyperlink1"/>
            <w:sz w:val="24"/>
            <w:szCs w:val="24"/>
            <w:lang w:val="et-EE"/>
          </w:rPr>
          <w:t>http://data.europa.eu/eli/reg_del/2019/715/oj</w:t>
        </w:r>
      </w:hyperlink>
      <w:r w:rsidRPr="005F2094">
        <w:rPr>
          <w:sz w:val="24"/>
          <w:szCs w:val="24"/>
          <w:lang w:val="et-EE"/>
        </w:rPr>
        <w:t>.</w:t>
      </w:r>
    </w:p>
  </w:footnote>
  <w:footnote w:id="7">
    <w:p w14:paraId="741FB15A"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C/2024/6332, 24.10.2024, ELI: </w:t>
      </w:r>
      <w:hyperlink r:id="rId7" w:history="1">
        <w:r w:rsidRPr="005F2094">
          <w:rPr>
            <w:rStyle w:val="Hyperlink1"/>
            <w:sz w:val="24"/>
            <w:szCs w:val="24"/>
            <w:lang w:val="et-EE"/>
          </w:rPr>
          <w:t>http://data.europa.eu/eli/C/2024/6332/oj</w:t>
        </w:r>
      </w:hyperlink>
      <w:r w:rsidRPr="005F2094">
        <w:rPr>
          <w:sz w:val="24"/>
          <w:szCs w:val="24"/>
          <w:lang w:val="et-EE"/>
        </w:rPr>
        <w:t>.</w:t>
      </w:r>
    </w:p>
  </w:footnote>
  <w:footnote w:id="8">
    <w:p w14:paraId="7EE3BE81"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C/2024/6041, 10.10.2024, ELI: </w:t>
      </w:r>
      <w:hyperlink r:id="rId8" w:history="1">
        <w:r w:rsidRPr="005F2094">
          <w:rPr>
            <w:rStyle w:val="Hyperlink1"/>
            <w:sz w:val="24"/>
            <w:szCs w:val="24"/>
            <w:lang w:val="et-EE"/>
          </w:rPr>
          <w:t>http://data.europa.eu/eli/C/2024/6041/oj</w:t>
        </w:r>
      </w:hyperlink>
      <w:r w:rsidRPr="005F2094">
        <w:rPr>
          <w:sz w:val="24"/>
          <w:szCs w:val="24"/>
          <w:lang w:val="et-EE"/>
        </w:rPr>
        <w:t>.</w:t>
      </w:r>
    </w:p>
  </w:footnote>
  <w:footnote w:id="9">
    <w:p w14:paraId="021061F7"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193, 30.7.2018, lk 1, ELI: </w:t>
      </w:r>
      <w:hyperlink r:id="rId9" w:history="1">
        <w:r w:rsidRPr="005F2094">
          <w:rPr>
            <w:rStyle w:val="Hyperlink1"/>
            <w:sz w:val="24"/>
            <w:szCs w:val="24"/>
            <w:lang w:val="et-EE"/>
          </w:rPr>
          <w:t>http://data.europa.eu/eli/reg/2018/1046/oj</w:t>
        </w:r>
      </w:hyperlink>
      <w:r w:rsidRPr="005F2094">
        <w:rPr>
          <w:sz w:val="24"/>
          <w:szCs w:val="24"/>
          <w:lang w:val="et-EE"/>
        </w:rPr>
        <w:t>.</w:t>
      </w:r>
    </w:p>
  </w:footnote>
  <w:footnote w:id="10">
    <w:p w14:paraId="498AE106"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2024/2509, 26.9.2024, ELI: </w:t>
      </w:r>
      <w:hyperlink r:id="rId10" w:history="1">
        <w:r w:rsidRPr="005F2094">
          <w:rPr>
            <w:rStyle w:val="Hyperlink1"/>
            <w:sz w:val="24"/>
            <w:szCs w:val="24"/>
            <w:lang w:val="et-EE"/>
          </w:rPr>
          <w:t>http://data.europa.eu/eli/reg/2024/2509/oj</w:t>
        </w:r>
      </w:hyperlink>
      <w:r w:rsidRPr="005F2094">
        <w:rPr>
          <w:rStyle w:val="Hyperlink1"/>
          <w:sz w:val="24"/>
          <w:szCs w:val="24"/>
          <w:lang w:val="et-EE"/>
        </w:rPr>
        <w:t>.</w:t>
      </w:r>
    </w:p>
  </w:footnote>
  <w:footnote w:id="11">
    <w:p w14:paraId="6FE78808"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158, 14.6.2019, lk 22, ELI: </w:t>
      </w:r>
      <w:hyperlink r:id="rId11" w:history="1">
        <w:r w:rsidRPr="005F2094">
          <w:rPr>
            <w:rStyle w:val="Hyperlink1"/>
            <w:sz w:val="24"/>
            <w:szCs w:val="24"/>
            <w:lang w:val="et-EE"/>
          </w:rPr>
          <w:t>http://data.europa.eu/eli/reg/2019/942/oj</w:t>
        </w:r>
      </w:hyperlink>
      <w:r w:rsidRPr="005F2094">
        <w:rPr>
          <w:sz w:val="24"/>
          <w:szCs w:val="24"/>
          <w:lang w:val="et-EE"/>
        </w:rPr>
        <w:t>.</w:t>
      </w:r>
    </w:p>
  </w:footnote>
  <w:footnote w:id="12">
    <w:p w14:paraId="205A9E7C"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122, 10.5.2019, lk 1, ELI: </w:t>
      </w:r>
      <w:hyperlink r:id="rId12" w:history="1">
        <w:r w:rsidRPr="005F2094">
          <w:rPr>
            <w:rStyle w:val="Hyperlink1"/>
            <w:sz w:val="24"/>
            <w:szCs w:val="24"/>
            <w:lang w:val="et-EE"/>
          </w:rPr>
          <w:t>http://data.europa.eu/eli/reg_del/2019/715/oj</w:t>
        </w:r>
      </w:hyperlink>
      <w:r w:rsidRPr="005F2094">
        <w:rPr>
          <w:sz w:val="24"/>
          <w:szCs w:val="24"/>
          <w:lang w:val="et-EE"/>
        </w:rPr>
        <w:t>.</w:t>
      </w:r>
    </w:p>
  </w:footnote>
  <w:footnote w:id="13">
    <w:p w14:paraId="4F7EAD06"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C/2024/6332, 24.10.2024, ELI: </w:t>
      </w:r>
      <w:hyperlink r:id="rId13" w:history="1">
        <w:r w:rsidRPr="005F2094">
          <w:rPr>
            <w:rStyle w:val="Hyperlink1"/>
            <w:sz w:val="24"/>
            <w:szCs w:val="24"/>
            <w:lang w:val="et-EE"/>
          </w:rPr>
          <w:t>http://data.europa.eu/eli/C/2024/6332/oj</w:t>
        </w:r>
      </w:hyperlink>
      <w:r w:rsidRPr="005F2094">
        <w:rPr>
          <w:sz w:val="24"/>
          <w:szCs w:val="24"/>
          <w:lang w:val="et-EE"/>
        </w:rPr>
        <w:t>.</w:t>
      </w:r>
    </w:p>
  </w:footnote>
  <w:footnote w:id="14">
    <w:p w14:paraId="49C09EF0"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C/2024/6041, 10.10.2024, ELI: </w:t>
      </w:r>
      <w:hyperlink r:id="rId14" w:history="1">
        <w:r w:rsidRPr="005F2094">
          <w:rPr>
            <w:rStyle w:val="Hyperlink1"/>
            <w:sz w:val="24"/>
            <w:szCs w:val="24"/>
            <w:lang w:val="et-EE"/>
          </w:rPr>
          <w:t>http://data.europa.eu/eli/C/2024/6041/oj</w:t>
        </w:r>
      </w:hyperlink>
      <w:r w:rsidRPr="005F2094">
        <w:rPr>
          <w:sz w:val="24"/>
          <w:szCs w:val="24"/>
          <w:lang w:val="et-EE"/>
        </w:rPr>
        <w:t>.</w:t>
      </w:r>
    </w:p>
  </w:footnote>
  <w:footnote w:id="15">
    <w:p w14:paraId="7D9E3C45"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193, 30.7.2018, lk 1, ELI: </w:t>
      </w:r>
      <w:hyperlink r:id="rId15" w:history="1">
        <w:r w:rsidRPr="005F2094">
          <w:rPr>
            <w:rStyle w:val="Hyperlink1"/>
            <w:sz w:val="24"/>
            <w:szCs w:val="24"/>
            <w:lang w:val="et-EE"/>
          </w:rPr>
          <w:t>http://data.europa.eu/eli/reg/2018/1046/oj</w:t>
        </w:r>
      </w:hyperlink>
      <w:r w:rsidRPr="005F2094">
        <w:rPr>
          <w:sz w:val="24"/>
          <w:szCs w:val="24"/>
          <w:lang w:val="et-EE"/>
        </w:rPr>
        <w:t>.</w:t>
      </w:r>
    </w:p>
  </w:footnote>
  <w:footnote w:id="16">
    <w:p w14:paraId="3A7B102A"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2024/2509, 26.9.2024, ELI: </w:t>
      </w:r>
      <w:hyperlink r:id="rId16" w:history="1">
        <w:r w:rsidRPr="005F2094">
          <w:rPr>
            <w:rStyle w:val="Hyperlink1"/>
            <w:sz w:val="24"/>
            <w:szCs w:val="24"/>
            <w:lang w:val="et-EE"/>
          </w:rPr>
          <w:t>http://data.europa.eu/eli/reg/2024/2509/oj</w:t>
        </w:r>
      </w:hyperlink>
      <w:r w:rsidRPr="005F2094">
        <w:rPr>
          <w:rStyle w:val="Hyperlink1"/>
          <w:sz w:val="24"/>
          <w:szCs w:val="24"/>
          <w:lang w:val="et-EE"/>
        </w:rPr>
        <w:t>.</w:t>
      </w:r>
    </w:p>
  </w:footnote>
  <w:footnote w:id="17">
    <w:p w14:paraId="1E27E0B8"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321, 17.12.2018, lk 1, ELI: </w:t>
      </w:r>
      <w:hyperlink r:id="rId17" w:history="1">
        <w:r w:rsidRPr="005F2094">
          <w:rPr>
            <w:rStyle w:val="Hyperlink1"/>
            <w:sz w:val="24"/>
            <w:szCs w:val="24"/>
            <w:lang w:val="et-EE"/>
          </w:rPr>
          <w:t>http://data.europa.eu/eli/reg/2018/1971/oj</w:t>
        </w:r>
      </w:hyperlink>
      <w:r w:rsidRPr="005F2094">
        <w:rPr>
          <w:sz w:val="24"/>
          <w:szCs w:val="24"/>
          <w:lang w:val="et-EE"/>
        </w:rPr>
        <w:t>.</w:t>
      </w:r>
    </w:p>
  </w:footnote>
  <w:footnote w:id="18">
    <w:p w14:paraId="7AE4B4ED"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122, 10.5.2019, lk 1, ELI: </w:t>
      </w:r>
      <w:hyperlink r:id="rId18" w:history="1">
        <w:r w:rsidRPr="005F2094">
          <w:rPr>
            <w:rStyle w:val="Hyperlink1"/>
            <w:sz w:val="24"/>
            <w:szCs w:val="24"/>
            <w:lang w:val="et-EE"/>
          </w:rPr>
          <w:t>http://data.europa.eu/eli/reg_del/2019/715/oj</w:t>
        </w:r>
      </w:hyperlink>
      <w:r w:rsidRPr="005F2094">
        <w:rPr>
          <w:sz w:val="24"/>
          <w:szCs w:val="24"/>
          <w:lang w:val="et-EE"/>
        </w:rPr>
        <w:t>.</w:t>
      </w:r>
    </w:p>
  </w:footnote>
  <w:footnote w:id="19">
    <w:p w14:paraId="32FDF03E"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C/2024/6332, 24.10.2024, ELI: </w:t>
      </w:r>
      <w:hyperlink r:id="rId19" w:history="1">
        <w:r w:rsidRPr="005F2094">
          <w:rPr>
            <w:rStyle w:val="Hyperlink1"/>
            <w:sz w:val="24"/>
            <w:szCs w:val="24"/>
            <w:lang w:val="et-EE"/>
          </w:rPr>
          <w:t>http://data.europa.eu/eli/C/2024/6332/oj</w:t>
        </w:r>
      </w:hyperlink>
      <w:r w:rsidRPr="005F2094">
        <w:rPr>
          <w:sz w:val="24"/>
          <w:szCs w:val="24"/>
          <w:lang w:val="et-EE"/>
        </w:rPr>
        <w:t>.</w:t>
      </w:r>
    </w:p>
  </w:footnote>
  <w:footnote w:id="20">
    <w:p w14:paraId="52F65603"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C/2024/6041, 10.10.2024, ELI: </w:t>
      </w:r>
      <w:hyperlink r:id="rId20" w:history="1">
        <w:r w:rsidRPr="005F2094">
          <w:rPr>
            <w:rStyle w:val="Hyperlink1"/>
            <w:sz w:val="24"/>
            <w:szCs w:val="24"/>
            <w:lang w:val="et-EE"/>
          </w:rPr>
          <w:t>http://data.europa.eu/eli/C/2024/6041/oj</w:t>
        </w:r>
      </w:hyperlink>
      <w:r w:rsidRPr="005F2094">
        <w:rPr>
          <w:sz w:val="24"/>
          <w:szCs w:val="24"/>
          <w:lang w:val="et-EE"/>
        </w:rPr>
        <w:t>.</w:t>
      </w:r>
    </w:p>
  </w:footnote>
  <w:footnote w:id="21">
    <w:p w14:paraId="4F4E829C"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193, 30.7.2018, lk 1, ELI: </w:t>
      </w:r>
      <w:hyperlink r:id="rId21" w:history="1">
        <w:r w:rsidRPr="005F2094">
          <w:rPr>
            <w:rStyle w:val="Hyperlink1"/>
            <w:sz w:val="24"/>
            <w:szCs w:val="24"/>
            <w:lang w:val="et-EE"/>
          </w:rPr>
          <w:t>http://data.europa.eu/eli/reg/2018/1046/oj</w:t>
        </w:r>
      </w:hyperlink>
      <w:r w:rsidRPr="005F2094">
        <w:rPr>
          <w:sz w:val="24"/>
          <w:szCs w:val="24"/>
          <w:lang w:val="et-EE"/>
        </w:rPr>
        <w:t>.</w:t>
      </w:r>
    </w:p>
  </w:footnote>
  <w:footnote w:id="22">
    <w:p w14:paraId="11F58C7E"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2024/2509, 26.9.2024, ELI: </w:t>
      </w:r>
      <w:hyperlink r:id="rId22" w:history="1">
        <w:r w:rsidRPr="005F2094">
          <w:rPr>
            <w:rStyle w:val="Hyperlink1"/>
            <w:sz w:val="24"/>
            <w:szCs w:val="24"/>
            <w:lang w:val="et-EE"/>
          </w:rPr>
          <w:t>http://data.europa.eu/eli/reg/2024/2509/oj</w:t>
        </w:r>
      </w:hyperlink>
      <w:r w:rsidRPr="005F2094">
        <w:rPr>
          <w:rStyle w:val="Hyperlink1"/>
          <w:sz w:val="24"/>
          <w:szCs w:val="24"/>
          <w:lang w:val="et-EE"/>
        </w:rPr>
        <w:t>.</w:t>
      </w:r>
    </w:p>
  </w:footnote>
  <w:footnote w:id="23">
    <w:p w14:paraId="141B6DE1"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321, 17.12.2018, lk 1, ELI: </w:t>
      </w:r>
      <w:hyperlink r:id="rId23" w:history="1">
        <w:r w:rsidRPr="005F2094">
          <w:rPr>
            <w:rStyle w:val="Hyperlink1"/>
            <w:sz w:val="24"/>
            <w:szCs w:val="24"/>
            <w:lang w:val="et-EE"/>
          </w:rPr>
          <w:t>http://data.europa.eu/eli/reg/2018/1971/oj</w:t>
        </w:r>
      </w:hyperlink>
      <w:r w:rsidRPr="005F2094">
        <w:rPr>
          <w:sz w:val="24"/>
          <w:szCs w:val="24"/>
          <w:lang w:val="et-EE"/>
        </w:rPr>
        <w:t>.</w:t>
      </w:r>
    </w:p>
  </w:footnote>
  <w:footnote w:id="24">
    <w:p w14:paraId="7B531BBD"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122, 10.5.2019, lk 1, ELI: </w:t>
      </w:r>
      <w:hyperlink r:id="rId24" w:history="1">
        <w:r w:rsidRPr="005F2094">
          <w:rPr>
            <w:rStyle w:val="Hyperlink1"/>
            <w:sz w:val="24"/>
            <w:szCs w:val="24"/>
            <w:lang w:val="et-EE"/>
          </w:rPr>
          <w:t>http://data.europa.eu/eli/reg_del/2019/715/oj</w:t>
        </w:r>
      </w:hyperlink>
      <w:r w:rsidRPr="005F2094">
        <w:rPr>
          <w:sz w:val="24"/>
          <w:szCs w:val="24"/>
          <w:lang w:val="et-EE"/>
        </w:rPr>
        <w:t>.</w:t>
      </w:r>
    </w:p>
  </w:footnote>
  <w:footnote w:id="25">
    <w:p w14:paraId="3E5C1B0B"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C/2024/6332, 24.10.2024, ELI: </w:t>
      </w:r>
      <w:hyperlink r:id="rId25" w:history="1">
        <w:r w:rsidRPr="005F2094">
          <w:rPr>
            <w:rStyle w:val="Hyperlink1"/>
            <w:sz w:val="24"/>
            <w:szCs w:val="24"/>
            <w:lang w:val="et-EE"/>
          </w:rPr>
          <w:t>http://data.europa.eu/eli/C/2024/6332/oj</w:t>
        </w:r>
      </w:hyperlink>
      <w:r w:rsidRPr="005F2094">
        <w:rPr>
          <w:sz w:val="24"/>
          <w:szCs w:val="24"/>
          <w:lang w:val="et-EE"/>
        </w:rPr>
        <w:t>.</w:t>
      </w:r>
    </w:p>
  </w:footnote>
  <w:footnote w:id="26">
    <w:p w14:paraId="6E8658B9"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C/2024/6041, 10.10.2024, ELI: </w:t>
      </w:r>
      <w:hyperlink r:id="rId26" w:history="1">
        <w:r w:rsidRPr="005F2094">
          <w:rPr>
            <w:rStyle w:val="Hyperlink1"/>
            <w:sz w:val="24"/>
            <w:szCs w:val="24"/>
            <w:lang w:val="et-EE"/>
          </w:rPr>
          <w:t>http://data.europa.eu/eli/C/2024/6041/oj</w:t>
        </w:r>
      </w:hyperlink>
      <w:r w:rsidRPr="005F2094">
        <w:rPr>
          <w:sz w:val="24"/>
          <w:szCs w:val="24"/>
          <w:lang w:val="et-EE"/>
        </w:rPr>
        <w:t>.</w:t>
      </w:r>
    </w:p>
  </w:footnote>
  <w:footnote w:id="27">
    <w:p w14:paraId="3306A858"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193, 30.7.2018, lk 1, ELI: </w:t>
      </w:r>
      <w:hyperlink r:id="rId27" w:history="1">
        <w:r w:rsidRPr="005F2094">
          <w:rPr>
            <w:rStyle w:val="Hyperlink1"/>
            <w:sz w:val="24"/>
            <w:szCs w:val="24"/>
            <w:lang w:val="et-EE"/>
          </w:rPr>
          <w:t>http://data.europa.eu/eli/reg/2018/1046/oj</w:t>
        </w:r>
      </w:hyperlink>
      <w:r w:rsidRPr="005F2094">
        <w:rPr>
          <w:sz w:val="24"/>
          <w:szCs w:val="24"/>
          <w:lang w:val="et-EE"/>
        </w:rPr>
        <w:t>.</w:t>
      </w:r>
    </w:p>
  </w:footnote>
  <w:footnote w:id="28">
    <w:p w14:paraId="21750A9E"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2024/2509, 26.9.2024, ELI: </w:t>
      </w:r>
      <w:hyperlink r:id="rId28" w:history="1">
        <w:r w:rsidRPr="005F2094">
          <w:rPr>
            <w:rStyle w:val="Hyperlink1"/>
            <w:sz w:val="24"/>
            <w:szCs w:val="24"/>
            <w:lang w:val="et-EE"/>
          </w:rPr>
          <w:t>http://data.europa.eu/eli/reg/2024/2509/oj</w:t>
        </w:r>
      </w:hyperlink>
      <w:r w:rsidRPr="005F2094">
        <w:rPr>
          <w:rStyle w:val="Hyperlink1"/>
          <w:sz w:val="24"/>
          <w:szCs w:val="24"/>
          <w:lang w:val="et-EE"/>
        </w:rPr>
        <w:t>.</w:t>
      </w:r>
    </w:p>
  </w:footnote>
  <w:footnote w:id="29">
    <w:p w14:paraId="2225104A"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EÜT L 314, 7.12.1994, lk 1, ELI: </w:t>
      </w:r>
      <w:hyperlink r:id="rId29" w:history="1">
        <w:r w:rsidRPr="005F2094">
          <w:rPr>
            <w:rStyle w:val="Hyperlink1"/>
            <w:sz w:val="24"/>
            <w:szCs w:val="24"/>
            <w:lang w:val="et-EE"/>
          </w:rPr>
          <w:t>http://data.europa.eu/eli/reg/1994/2965/oj</w:t>
        </w:r>
      </w:hyperlink>
      <w:r w:rsidRPr="005F2094">
        <w:rPr>
          <w:sz w:val="24"/>
          <w:szCs w:val="24"/>
          <w:lang w:val="et-EE"/>
        </w:rPr>
        <w:t>.</w:t>
      </w:r>
    </w:p>
  </w:footnote>
  <w:footnote w:id="30">
    <w:p w14:paraId="02EEA5E7"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122, 10.5.2019, lk 1, ELI: </w:t>
      </w:r>
      <w:hyperlink r:id="rId30" w:history="1">
        <w:r w:rsidRPr="005F2094">
          <w:rPr>
            <w:rStyle w:val="Hyperlink1"/>
            <w:sz w:val="24"/>
            <w:szCs w:val="24"/>
            <w:lang w:val="et-EE"/>
          </w:rPr>
          <w:t>http://data.europa.eu/eli/reg_del/2019/715/oj</w:t>
        </w:r>
      </w:hyperlink>
      <w:r w:rsidRPr="005F2094">
        <w:rPr>
          <w:sz w:val="24"/>
          <w:szCs w:val="24"/>
          <w:lang w:val="et-EE"/>
        </w:rPr>
        <w:t>.</w:t>
      </w:r>
    </w:p>
  </w:footnote>
  <w:footnote w:id="31">
    <w:p w14:paraId="185F392E"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C/2024/6332, 24.10.2024, ELI: </w:t>
      </w:r>
      <w:hyperlink r:id="rId31" w:history="1">
        <w:r w:rsidRPr="005F2094">
          <w:rPr>
            <w:rStyle w:val="Hyperlink1"/>
            <w:sz w:val="24"/>
            <w:szCs w:val="24"/>
            <w:lang w:val="et-EE"/>
          </w:rPr>
          <w:t>http://data.europa.eu/eli/C/2024/6332/oj</w:t>
        </w:r>
      </w:hyperlink>
      <w:r w:rsidRPr="005F2094">
        <w:rPr>
          <w:sz w:val="24"/>
          <w:szCs w:val="24"/>
          <w:lang w:val="et-EE"/>
        </w:rPr>
        <w:t>.</w:t>
      </w:r>
    </w:p>
  </w:footnote>
  <w:footnote w:id="32">
    <w:p w14:paraId="18215E47"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C/2024/6041, 10.10.2024, ELI: </w:t>
      </w:r>
      <w:hyperlink r:id="rId32" w:history="1">
        <w:r w:rsidRPr="005F2094">
          <w:rPr>
            <w:rStyle w:val="Hyperlink1"/>
            <w:sz w:val="24"/>
            <w:szCs w:val="24"/>
            <w:lang w:val="et-EE"/>
          </w:rPr>
          <w:t>http://data.europa.eu/eli/C/2024/6041/oj</w:t>
        </w:r>
      </w:hyperlink>
      <w:r w:rsidRPr="005F2094">
        <w:rPr>
          <w:sz w:val="24"/>
          <w:szCs w:val="24"/>
          <w:lang w:val="et-EE"/>
        </w:rPr>
        <w:t>.</w:t>
      </w:r>
    </w:p>
  </w:footnote>
  <w:footnote w:id="33">
    <w:p w14:paraId="532A75A0"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193, 30.7.2018, lk 1, ELI: </w:t>
      </w:r>
      <w:hyperlink r:id="rId33" w:history="1">
        <w:r w:rsidRPr="005F2094">
          <w:rPr>
            <w:rStyle w:val="Hyperlink1"/>
            <w:sz w:val="24"/>
            <w:szCs w:val="24"/>
            <w:lang w:val="et-EE"/>
          </w:rPr>
          <w:t>http://data.europa.eu/eli/reg/2018/1046/oj</w:t>
        </w:r>
      </w:hyperlink>
      <w:r w:rsidRPr="005F2094">
        <w:rPr>
          <w:sz w:val="24"/>
          <w:szCs w:val="24"/>
          <w:lang w:val="et-EE"/>
        </w:rPr>
        <w:t>.</w:t>
      </w:r>
    </w:p>
  </w:footnote>
  <w:footnote w:id="34">
    <w:p w14:paraId="1EEF5EEF"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2024/2509, 26.9.2024, ELI: </w:t>
      </w:r>
      <w:hyperlink r:id="rId34" w:history="1">
        <w:r w:rsidRPr="005F2094">
          <w:rPr>
            <w:rStyle w:val="Hyperlink1"/>
            <w:sz w:val="24"/>
            <w:szCs w:val="24"/>
            <w:lang w:val="et-EE"/>
          </w:rPr>
          <w:t>http://data.europa.eu/eli/reg/2024/2509/oj</w:t>
        </w:r>
      </w:hyperlink>
      <w:r w:rsidRPr="00A87338">
        <w:rPr>
          <w:sz w:val="24"/>
          <w:szCs w:val="24"/>
          <w:lang w:val="fi-FI"/>
        </w:rPr>
        <w:t>.</w:t>
      </w:r>
    </w:p>
  </w:footnote>
  <w:footnote w:id="35">
    <w:p w14:paraId="6019A833"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EÜT L 314, 7.12.1994, lk 1, ELI: </w:t>
      </w:r>
      <w:hyperlink r:id="rId35" w:history="1">
        <w:r w:rsidRPr="005F2094">
          <w:rPr>
            <w:rStyle w:val="Hyperlink1"/>
            <w:sz w:val="24"/>
            <w:szCs w:val="24"/>
            <w:lang w:val="et-EE"/>
          </w:rPr>
          <w:t>http://data.europa.eu/eli/reg/1994/2965/oj</w:t>
        </w:r>
      </w:hyperlink>
      <w:r w:rsidRPr="005F2094">
        <w:rPr>
          <w:sz w:val="24"/>
          <w:szCs w:val="24"/>
          <w:lang w:val="et-EE"/>
        </w:rPr>
        <w:t>.</w:t>
      </w:r>
    </w:p>
  </w:footnote>
  <w:footnote w:id="36">
    <w:p w14:paraId="5356A144"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122, 10.5.2019, lk 1, ELI: </w:t>
      </w:r>
      <w:hyperlink r:id="rId36" w:history="1">
        <w:r w:rsidRPr="005F2094">
          <w:rPr>
            <w:rStyle w:val="Hyperlink1"/>
            <w:sz w:val="24"/>
            <w:szCs w:val="24"/>
            <w:lang w:val="et-EE"/>
          </w:rPr>
          <w:t>http://data.europa.eu/eli/reg_del/2019/715/oj</w:t>
        </w:r>
      </w:hyperlink>
      <w:r w:rsidRPr="005F2094">
        <w:rPr>
          <w:sz w:val="24"/>
          <w:szCs w:val="24"/>
          <w:lang w:val="et-EE"/>
        </w:rPr>
        <w:t>.</w:t>
      </w:r>
    </w:p>
  </w:footnote>
  <w:footnote w:id="37">
    <w:p w14:paraId="3D758765"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C/2024/6332, 24.10.2024, ELI: </w:t>
      </w:r>
      <w:hyperlink r:id="rId37" w:history="1">
        <w:r w:rsidRPr="005F2094">
          <w:rPr>
            <w:rStyle w:val="Hyperlink1"/>
            <w:sz w:val="24"/>
            <w:szCs w:val="24"/>
            <w:lang w:val="et-EE"/>
          </w:rPr>
          <w:t>http://data.europa.eu/eli/C/2024/6332/oj</w:t>
        </w:r>
      </w:hyperlink>
      <w:r w:rsidRPr="005F2094">
        <w:rPr>
          <w:sz w:val="24"/>
          <w:szCs w:val="24"/>
          <w:lang w:val="et-EE"/>
        </w:rPr>
        <w:t>.</w:t>
      </w:r>
    </w:p>
  </w:footnote>
  <w:footnote w:id="38">
    <w:p w14:paraId="60D7F16D"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C/2024/6041, 10.10.2024, ELI: </w:t>
      </w:r>
      <w:hyperlink r:id="rId38" w:history="1">
        <w:r w:rsidRPr="005F2094">
          <w:rPr>
            <w:rStyle w:val="Hyperlink1"/>
            <w:sz w:val="24"/>
            <w:szCs w:val="24"/>
            <w:lang w:val="et-EE"/>
          </w:rPr>
          <w:t>http://data.europa.eu/eli/C/2024/6041/oj</w:t>
        </w:r>
      </w:hyperlink>
      <w:r w:rsidRPr="005F2094">
        <w:rPr>
          <w:sz w:val="24"/>
          <w:szCs w:val="24"/>
          <w:lang w:val="et-EE"/>
        </w:rPr>
        <w:t>.</w:t>
      </w:r>
    </w:p>
  </w:footnote>
  <w:footnote w:id="39">
    <w:p w14:paraId="5755C43A"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193, 30.7.2018, lk 1, ELI: </w:t>
      </w:r>
      <w:hyperlink r:id="rId39" w:history="1">
        <w:r w:rsidRPr="005F2094">
          <w:rPr>
            <w:rStyle w:val="Hyperlink1"/>
            <w:sz w:val="24"/>
            <w:szCs w:val="24"/>
            <w:lang w:val="et-EE"/>
          </w:rPr>
          <w:t>http://data.europa.eu/eli/reg/2018/1046/oj</w:t>
        </w:r>
      </w:hyperlink>
      <w:r w:rsidRPr="005F2094">
        <w:rPr>
          <w:sz w:val="24"/>
          <w:szCs w:val="24"/>
          <w:lang w:val="et-EE"/>
        </w:rPr>
        <w:t>.</w:t>
      </w:r>
    </w:p>
  </w:footnote>
  <w:footnote w:id="40">
    <w:p w14:paraId="1055D8EA"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2024/2509, 26.9.2024, ELI: </w:t>
      </w:r>
      <w:hyperlink r:id="rId40" w:history="1">
        <w:r w:rsidRPr="005F2094">
          <w:rPr>
            <w:rStyle w:val="Hyperlink1"/>
            <w:sz w:val="24"/>
            <w:szCs w:val="24"/>
            <w:lang w:val="et-EE"/>
          </w:rPr>
          <w:t>http://data.europa.eu/eli/reg/2024/2509/oj</w:t>
        </w:r>
      </w:hyperlink>
      <w:r w:rsidRPr="005F2094">
        <w:rPr>
          <w:sz w:val="24"/>
          <w:szCs w:val="24"/>
          <w:lang w:val="fi-FI"/>
        </w:rPr>
        <w:t>.</w:t>
      </w:r>
    </w:p>
  </w:footnote>
  <w:footnote w:id="41">
    <w:p w14:paraId="486F3571"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30, 31.1.2019, lk 90, ELI: </w:t>
      </w:r>
      <w:hyperlink r:id="rId41" w:history="1">
        <w:r w:rsidRPr="005F2094">
          <w:rPr>
            <w:rStyle w:val="Hyperlink1"/>
            <w:sz w:val="24"/>
            <w:szCs w:val="24"/>
            <w:lang w:val="et-EE"/>
          </w:rPr>
          <w:t>http://data.europa.eu/eli/reg/2019/128/oj</w:t>
        </w:r>
      </w:hyperlink>
      <w:r w:rsidRPr="005F2094">
        <w:rPr>
          <w:sz w:val="24"/>
          <w:szCs w:val="24"/>
          <w:lang w:val="et-EE"/>
        </w:rPr>
        <w:t>.</w:t>
      </w:r>
    </w:p>
  </w:footnote>
  <w:footnote w:id="42">
    <w:p w14:paraId="6D61FEDF"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122, 10.5.2019, lk 1, ELI: </w:t>
      </w:r>
      <w:hyperlink r:id="rId42" w:history="1">
        <w:r w:rsidRPr="005F2094">
          <w:rPr>
            <w:rStyle w:val="Hyperlink1"/>
            <w:sz w:val="24"/>
            <w:szCs w:val="24"/>
            <w:lang w:val="et-EE"/>
          </w:rPr>
          <w:t>http://data.europa.eu/eli/reg_del/2019/715/oj</w:t>
        </w:r>
      </w:hyperlink>
      <w:r w:rsidRPr="005F2094">
        <w:rPr>
          <w:sz w:val="24"/>
          <w:szCs w:val="24"/>
          <w:lang w:val="et-EE"/>
        </w:rPr>
        <w:t>.</w:t>
      </w:r>
    </w:p>
  </w:footnote>
  <w:footnote w:id="43">
    <w:p w14:paraId="637BB482"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C/2024/6332, 24.10.2024, ELI: </w:t>
      </w:r>
      <w:hyperlink r:id="rId43" w:history="1">
        <w:r w:rsidRPr="005F2094">
          <w:rPr>
            <w:rStyle w:val="Hyperlink1"/>
            <w:sz w:val="24"/>
            <w:szCs w:val="24"/>
            <w:lang w:val="et-EE"/>
          </w:rPr>
          <w:t>http://data.europa.eu/eli/C/2024/6332/oj</w:t>
        </w:r>
      </w:hyperlink>
      <w:r w:rsidRPr="005F2094">
        <w:rPr>
          <w:sz w:val="24"/>
          <w:szCs w:val="24"/>
          <w:lang w:val="et-EE"/>
        </w:rPr>
        <w:t>.</w:t>
      </w:r>
    </w:p>
  </w:footnote>
  <w:footnote w:id="44">
    <w:p w14:paraId="1BC8D70A"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C/2024/6041, 10.10.2024, ELI: </w:t>
      </w:r>
      <w:hyperlink r:id="rId44" w:history="1">
        <w:r w:rsidRPr="005F2094">
          <w:rPr>
            <w:rStyle w:val="Hyperlink1"/>
            <w:sz w:val="24"/>
            <w:szCs w:val="24"/>
            <w:lang w:val="et-EE"/>
          </w:rPr>
          <w:t>http://data.europa.eu/eli/C/2024/6041/oj</w:t>
        </w:r>
      </w:hyperlink>
      <w:r w:rsidRPr="005F2094">
        <w:rPr>
          <w:sz w:val="24"/>
          <w:szCs w:val="24"/>
          <w:lang w:val="et-EE"/>
        </w:rPr>
        <w:t>.</w:t>
      </w:r>
    </w:p>
  </w:footnote>
  <w:footnote w:id="45">
    <w:p w14:paraId="02EE5F1F"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193, 30.7.2018, lk 1, ELI: </w:t>
      </w:r>
      <w:hyperlink r:id="rId45" w:history="1">
        <w:r w:rsidRPr="005F2094">
          <w:rPr>
            <w:rStyle w:val="Hyperlink1"/>
            <w:sz w:val="24"/>
            <w:szCs w:val="24"/>
            <w:lang w:val="et-EE"/>
          </w:rPr>
          <w:t>http://data.europa.eu/eli/reg/2018/1046/oj</w:t>
        </w:r>
      </w:hyperlink>
      <w:r w:rsidRPr="005F2094">
        <w:rPr>
          <w:sz w:val="24"/>
          <w:szCs w:val="24"/>
          <w:lang w:val="et-EE"/>
        </w:rPr>
        <w:t>.</w:t>
      </w:r>
    </w:p>
  </w:footnote>
  <w:footnote w:id="46">
    <w:p w14:paraId="0DC3DC7D"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2024/2509, 26.9.2024, ELI: </w:t>
      </w:r>
      <w:hyperlink r:id="rId46" w:history="1">
        <w:r w:rsidRPr="005F2094">
          <w:rPr>
            <w:rStyle w:val="Hyperlink1"/>
            <w:sz w:val="24"/>
            <w:szCs w:val="24"/>
            <w:lang w:val="et-EE"/>
          </w:rPr>
          <w:t>http://data.europa.eu/eli/reg/2024/2509/oj</w:t>
        </w:r>
      </w:hyperlink>
      <w:r w:rsidRPr="005F2094">
        <w:rPr>
          <w:sz w:val="24"/>
          <w:szCs w:val="24"/>
          <w:lang w:val="fi-FI"/>
        </w:rPr>
        <w:t>.</w:t>
      </w:r>
    </w:p>
  </w:footnote>
  <w:footnote w:id="47">
    <w:p w14:paraId="2DEE720B"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30, 31.1.2019, lk 90, ELI: </w:t>
      </w:r>
      <w:hyperlink r:id="rId47" w:history="1">
        <w:r w:rsidRPr="005F2094">
          <w:rPr>
            <w:rStyle w:val="Hyperlink1"/>
            <w:sz w:val="24"/>
            <w:szCs w:val="24"/>
            <w:lang w:val="et-EE"/>
          </w:rPr>
          <w:t>http://data.europa.eu/eli/reg/2019/128/oj</w:t>
        </w:r>
      </w:hyperlink>
      <w:r w:rsidRPr="005F2094">
        <w:rPr>
          <w:sz w:val="24"/>
          <w:szCs w:val="24"/>
          <w:lang w:val="et-EE"/>
        </w:rPr>
        <w:t>.</w:t>
      </w:r>
    </w:p>
  </w:footnote>
  <w:footnote w:id="48">
    <w:p w14:paraId="2F99D72E"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122, 10.5.2019, lk 1, ELI: </w:t>
      </w:r>
      <w:hyperlink r:id="rId48" w:history="1">
        <w:r w:rsidRPr="005F2094">
          <w:rPr>
            <w:rStyle w:val="Hyperlink1"/>
            <w:sz w:val="24"/>
            <w:szCs w:val="24"/>
            <w:lang w:val="et-EE"/>
          </w:rPr>
          <w:t>http://data.europa.eu/eli/reg_del/2019/715/oj</w:t>
        </w:r>
      </w:hyperlink>
      <w:r w:rsidRPr="005F2094">
        <w:rPr>
          <w:sz w:val="24"/>
          <w:szCs w:val="24"/>
          <w:lang w:val="et-EE"/>
        </w:rPr>
        <w:t>.</w:t>
      </w:r>
    </w:p>
  </w:footnote>
  <w:footnote w:id="49">
    <w:p w14:paraId="3BE0C89E"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C/2024/6332, 24.10.2024, ELI: </w:t>
      </w:r>
      <w:hyperlink r:id="rId49" w:history="1">
        <w:r w:rsidRPr="005F2094">
          <w:rPr>
            <w:rStyle w:val="Hyperlink1"/>
            <w:sz w:val="24"/>
            <w:szCs w:val="24"/>
            <w:lang w:val="et-EE"/>
          </w:rPr>
          <w:t>http://data.europa.eu/eli/C/2024/6332/oj</w:t>
        </w:r>
      </w:hyperlink>
      <w:r w:rsidRPr="005F2094">
        <w:rPr>
          <w:sz w:val="24"/>
          <w:szCs w:val="24"/>
          <w:lang w:val="et-EE"/>
        </w:rPr>
        <w:t>.</w:t>
      </w:r>
    </w:p>
  </w:footnote>
  <w:footnote w:id="50">
    <w:p w14:paraId="397D251F"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C/2024/6041, 10.10.2024, ELI: </w:t>
      </w:r>
      <w:hyperlink r:id="rId50" w:history="1">
        <w:r w:rsidRPr="005F2094">
          <w:rPr>
            <w:rStyle w:val="Hyperlink1"/>
            <w:sz w:val="24"/>
            <w:szCs w:val="24"/>
            <w:lang w:val="et-EE"/>
          </w:rPr>
          <w:t>http://data.europa.eu/eli/C/2024/6041/oj</w:t>
        </w:r>
      </w:hyperlink>
      <w:r w:rsidRPr="005F2094">
        <w:rPr>
          <w:sz w:val="24"/>
          <w:szCs w:val="24"/>
          <w:lang w:val="et-EE"/>
        </w:rPr>
        <w:t>.</w:t>
      </w:r>
    </w:p>
  </w:footnote>
  <w:footnote w:id="51">
    <w:p w14:paraId="1105FA4B"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193, 30.7.2018, lk 1, ELI: </w:t>
      </w:r>
      <w:hyperlink r:id="rId51" w:history="1">
        <w:r w:rsidRPr="005F2094">
          <w:rPr>
            <w:rStyle w:val="Hyperlink1"/>
            <w:sz w:val="24"/>
            <w:szCs w:val="24"/>
            <w:lang w:val="et-EE"/>
          </w:rPr>
          <w:t>http://data.europa.eu/eli/reg/2018/1046/oj</w:t>
        </w:r>
      </w:hyperlink>
      <w:r w:rsidRPr="005F2094">
        <w:rPr>
          <w:sz w:val="24"/>
          <w:szCs w:val="24"/>
          <w:lang w:val="et-EE"/>
        </w:rPr>
        <w:t>.</w:t>
      </w:r>
    </w:p>
  </w:footnote>
  <w:footnote w:id="52">
    <w:p w14:paraId="2D5FD588"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2024/2509, 26.9.2024, ELI: </w:t>
      </w:r>
      <w:hyperlink r:id="rId52" w:history="1">
        <w:r w:rsidRPr="005F2094">
          <w:rPr>
            <w:rStyle w:val="Hyperlink1"/>
            <w:sz w:val="24"/>
            <w:szCs w:val="24"/>
            <w:lang w:val="et-EE"/>
          </w:rPr>
          <w:t>http://data.europa.eu/eli/reg/2024/2509/oj</w:t>
        </w:r>
      </w:hyperlink>
      <w:r w:rsidRPr="005F2094">
        <w:rPr>
          <w:sz w:val="24"/>
          <w:szCs w:val="24"/>
          <w:lang w:val="fi-FI"/>
        </w:rPr>
        <w:t>.</w:t>
      </w:r>
    </w:p>
  </w:footnote>
  <w:footnote w:id="53">
    <w:p w14:paraId="508F846B"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319, 4.12.2015, lk 1, ELI: </w:t>
      </w:r>
      <w:hyperlink r:id="rId53" w:history="1">
        <w:r w:rsidRPr="005F2094">
          <w:rPr>
            <w:rStyle w:val="Hyperlink1"/>
            <w:sz w:val="24"/>
            <w:szCs w:val="24"/>
            <w:lang w:val="et-EE"/>
          </w:rPr>
          <w:t>http://data.europa.eu/eli/reg/2015/2219/oj</w:t>
        </w:r>
      </w:hyperlink>
      <w:r w:rsidRPr="005F2094">
        <w:rPr>
          <w:sz w:val="24"/>
          <w:szCs w:val="24"/>
          <w:lang w:val="et-EE"/>
        </w:rPr>
        <w:t>.</w:t>
      </w:r>
    </w:p>
  </w:footnote>
  <w:footnote w:id="54">
    <w:p w14:paraId="2CD7D7B0"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122, 10.5.2019, lk 1, ELI: </w:t>
      </w:r>
      <w:hyperlink r:id="rId54" w:history="1">
        <w:r w:rsidRPr="005F2094">
          <w:rPr>
            <w:rStyle w:val="Hyperlink1"/>
            <w:sz w:val="24"/>
            <w:szCs w:val="24"/>
            <w:lang w:val="et-EE"/>
          </w:rPr>
          <w:t>http://data.europa.eu/eli/reg_del/2019/715/oj</w:t>
        </w:r>
      </w:hyperlink>
      <w:r w:rsidRPr="005F2094">
        <w:rPr>
          <w:sz w:val="24"/>
          <w:szCs w:val="24"/>
          <w:lang w:val="et-EE"/>
        </w:rPr>
        <w:t>.</w:t>
      </w:r>
    </w:p>
  </w:footnote>
  <w:footnote w:id="55">
    <w:p w14:paraId="6F7A341B"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C/2024/6332, 24.10.2024, ELI: </w:t>
      </w:r>
      <w:hyperlink r:id="rId55" w:history="1">
        <w:r w:rsidRPr="005F2094">
          <w:rPr>
            <w:rStyle w:val="Hyperlink1"/>
            <w:sz w:val="24"/>
            <w:szCs w:val="24"/>
            <w:lang w:val="et-EE"/>
          </w:rPr>
          <w:t>http://data.europa.eu/eli/C/2024/6332/oj</w:t>
        </w:r>
      </w:hyperlink>
      <w:r w:rsidRPr="005F2094">
        <w:rPr>
          <w:sz w:val="24"/>
          <w:szCs w:val="24"/>
          <w:lang w:val="et-EE"/>
        </w:rPr>
        <w:t>.</w:t>
      </w:r>
    </w:p>
  </w:footnote>
  <w:footnote w:id="56">
    <w:p w14:paraId="3E2DE05A"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C/2024/6041, 10.10.2024, ELI: </w:t>
      </w:r>
      <w:hyperlink r:id="rId56" w:history="1">
        <w:r w:rsidRPr="005F2094">
          <w:rPr>
            <w:rStyle w:val="Hyperlink1"/>
            <w:sz w:val="24"/>
            <w:szCs w:val="24"/>
            <w:lang w:val="et-EE"/>
          </w:rPr>
          <w:t>http://data.europa.eu/eli/C/2024/6041/oj</w:t>
        </w:r>
      </w:hyperlink>
      <w:r w:rsidRPr="005F2094">
        <w:rPr>
          <w:sz w:val="24"/>
          <w:szCs w:val="24"/>
          <w:lang w:val="et-EE"/>
        </w:rPr>
        <w:t>.</w:t>
      </w:r>
    </w:p>
  </w:footnote>
  <w:footnote w:id="57">
    <w:p w14:paraId="0104AFF2"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193, 30.7.2018, lk 1, ELI: </w:t>
      </w:r>
      <w:hyperlink r:id="rId57" w:history="1">
        <w:r w:rsidRPr="005F2094">
          <w:rPr>
            <w:rStyle w:val="Hyperlink1"/>
            <w:sz w:val="24"/>
            <w:szCs w:val="24"/>
            <w:lang w:val="et-EE"/>
          </w:rPr>
          <w:t>http://data.europa.eu/eli/reg/2018/1046/oj</w:t>
        </w:r>
      </w:hyperlink>
      <w:r w:rsidRPr="005F2094">
        <w:rPr>
          <w:sz w:val="24"/>
          <w:szCs w:val="24"/>
          <w:lang w:val="et-EE"/>
        </w:rPr>
        <w:t>.</w:t>
      </w:r>
    </w:p>
  </w:footnote>
  <w:footnote w:id="58">
    <w:p w14:paraId="2BDE82D3"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2024/2509, 26.9.2024, ELI: </w:t>
      </w:r>
      <w:hyperlink r:id="rId58" w:history="1">
        <w:r w:rsidRPr="005F2094">
          <w:rPr>
            <w:rStyle w:val="Hyperlink1"/>
            <w:sz w:val="24"/>
            <w:szCs w:val="24"/>
            <w:lang w:val="et-EE"/>
          </w:rPr>
          <w:t>http://data.europa.eu/eli/reg/2024/2509/oj</w:t>
        </w:r>
      </w:hyperlink>
      <w:r w:rsidRPr="005F2094">
        <w:rPr>
          <w:sz w:val="24"/>
          <w:szCs w:val="24"/>
          <w:lang w:val="fi-FI"/>
        </w:rPr>
        <w:t>.</w:t>
      </w:r>
    </w:p>
  </w:footnote>
  <w:footnote w:id="59">
    <w:p w14:paraId="124D9D11"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319, 4.12.2015, lk 1, ELI: </w:t>
      </w:r>
      <w:hyperlink r:id="rId59" w:history="1">
        <w:r w:rsidRPr="005F2094">
          <w:rPr>
            <w:rStyle w:val="Hyperlink1"/>
            <w:sz w:val="24"/>
            <w:szCs w:val="24"/>
            <w:lang w:val="et-EE"/>
          </w:rPr>
          <w:t>http://data.europa.eu/eli/reg/2015/2219/oj</w:t>
        </w:r>
      </w:hyperlink>
      <w:r w:rsidRPr="005F2094">
        <w:rPr>
          <w:sz w:val="24"/>
          <w:szCs w:val="24"/>
          <w:lang w:val="et-EE"/>
        </w:rPr>
        <w:t>.</w:t>
      </w:r>
    </w:p>
  </w:footnote>
  <w:footnote w:id="60">
    <w:p w14:paraId="468F4DEF"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122, 10.5.2019, lk 1, ELI: </w:t>
      </w:r>
      <w:hyperlink r:id="rId60" w:history="1">
        <w:r w:rsidRPr="005F2094">
          <w:rPr>
            <w:rStyle w:val="Hyperlink1"/>
            <w:sz w:val="24"/>
            <w:szCs w:val="24"/>
            <w:lang w:val="et-EE"/>
          </w:rPr>
          <w:t>http://data.europa.eu/eli/reg_del/2019/715/oj</w:t>
        </w:r>
      </w:hyperlink>
      <w:r w:rsidRPr="005F2094">
        <w:rPr>
          <w:sz w:val="24"/>
          <w:szCs w:val="24"/>
          <w:lang w:val="et-EE"/>
        </w:rPr>
        <w:t>.</w:t>
      </w:r>
    </w:p>
  </w:footnote>
  <w:footnote w:id="61">
    <w:p w14:paraId="02ADA73A"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C/2024/6332, 24.10.2024, ELI: </w:t>
      </w:r>
      <w:hyperlink r:id="rId61" w:history="1">
        <w:r w:rsidRPr="005F2094">
          <w:rPr>
            <w:rStyle w:val="Hyperlink1"/>
            <w:sz w:val="24"/>
            <w:szCs w:val="24"/>
            <w:lang w:val="et-EE"/>
          </w:rPr>
          <w:t>http://data.europa.eu/eli/C/2024/6332/oj</w:t>
        </w:r>
      </w:hyperlink>
      <w:r w:rsidRPr="005F2094">
        <w:rPr>
          <w:sz w:val="24"/>
          <w:szCs w:val="24"/>
          <w:lang w:val="et-EE"/>
        </w:rPr>
        <w:t>.</w:t>
      </w:r>
    </w:p>
  </w:footnote>
  <w:footnote w:id="62">
    <w:p w14:paraId="5AF50C53"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C/2024/6041, 10.10.2024, ELI: </w:t>
      </w:r>
      <w:hyperlink r:id="rId62" w:history="1">
        <w:r w:rsidRPr="005F2094">
          <w:rPr>
            <w:rStyle w:val="Hyperlink1"/>
            <w:sz w:val="24"/>
            <w:szCs w:val="24"/>
            <w:lang w:val="et-EE"/>
          </w:rPr>
          <w:t>http://data.europa.eu/eli/C/2024/6041/oj</w:t>
        </w:r>
      </w:hyperlink>
      <w:r w:rsidRPr="005F2094">
        <w:rPr>
          <w:sz w:val="24"/>
          <w:szCs w:val="24"/>
          <w:lang w:val="et-EE"/>
        </w:rPr>
        <w:t>.</w:t>
      </w:r>
    </w:p>
  </w:footnote>
  <w:footnote w:id="63">
    <w:p w14:paraId="05E6A519"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193, 30.7.2018, lk 1, ELI: </w:t>
      </w:r>
      <w:hyperlink r:id="rId63" w:history="1">
        <w:r w:rsidRPr="005F2094">
          <w:rPr>
            <w:rStyle w:val="Hyperlink1"/>
            <w:sz w:val="24"/>
            <w:szCs w:val="24"/>
            <w:lang w:val="et-EE"/>
          </w:rPr>
          <w:t>http://data.europa.eu/eli/reg/2018/1046/oj</w:t>
        </w:r>
      </w:hyperlink>
      <w:r w:rsidRPr="005F2094">
        <w:rPr>
          <w:sz w:val="24"/>
          <w:szCs w:val="24"/>
          <w:lang w:val="et-EE"/>
        </w:rPr>
        <w:t>.</w:t>
      </w:r>
    </w:p>
  </w:footnote>
  <w:footnote w:id="64">
    <w:p w14:paraId="7C586B7F"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2024/2509, 26.9.2024, ELI: </w:t>
      </w:r>
      <w:hyperlink r:id="rId64" w:history="1">
        <w:r w:rsidRPr="005F2094">
          <w:rPr>
            <w:rStyle w:val="Hyperlink1"/>
            <w:sz w:val="24"/>
            <w:szCs w:val="24"/>
            <w:lang w:val="et-EE"/>
          </w:rPr>
          <w:t>http://data.europa.eu/eli/reg/2024/2509/oj</w:t>
        </w:r>
      </w:hyperlink>
      <w:r w:rsidRPr="005F2094">
        <w:rPr>
          <w:sz w:val="24"/>
          <w:szCs w:val="24"/>
          <w:lang w:val="fi-FI"/>
        </w:rPr>
        <w:t>.</w:t>
      </w:r>
    </w:p>
  </w:footnote>
  <w:footnote w:id="65">
    <w:p w14:paraId="6720E8E9"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212, 22.8.2018, lk 1, ELI: </w:t>
      </w:r>
      <w:hyperlink r:id="rId65" w:history="1">
        <w:r w:rsidRPr="005F2094">
          <w:rPr>
            <w:rStyle w:val="Hyperlink1"/>
            <w:sz w:val="24"/>
            <w:szCs w:val="24"/>
            <w:lang w:val="et-EE"/>
          </w:rPr>
          <w:t>http://data.europa.eu/eli/reg/2018/1139/oj</w:t>
        </w:r>
      </w:hyperlink>
      <w:r w:rsidRPr="005F2094">
        <w:rPr>
          <w:sz w:val="24"/>
          <w:szCs w:val="24"/>
          <w:lang w:val="et-EE"/>
        </w:rPr>
        <w:t>.</w:t>
      </w:r>
    </w:p>
  </w:footnote>
  <w:footnote w:id="66">
    <w:p w14:paraId="7494238F"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122, 10.5.2019, lk 1, ELI: </w:t>
      </w:r>
      <w:hyperlink r:id="rId66" w:history="1">
        <w:r w:rsidRPr="005F2094">
          <w:rPr>
            <w:rStyle w:val="Hyperlink1"/>
            <w:sz w:val="24"/>
            <w:szCs w:val="24"/>
            <w:lang w:val="et-EE"/>
          </w:rPr>
          <w:t>http://data.europa.eu/eli/reg_del/2019/715/oj</w:t>
        </w:r>
      </w:hyperlink>
      <w:r w:rsidRPr="005F2094">
        <w:rPr>
          <w:sz w:val="24"/>
          <w:szCs w:val="24"/>
          <w:lang w:val="et-EE"/>
        </w:rPr>
        <w:t>.</w:t>
      </w:r>
    </w:p>
  </w:footnote>
  <w:footnote w:id="67">
    <w:p w14:paraId="72251AE2"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C/2024/6332, 24.10.2024, ELI: </w:t>
      </w:r>
      <w:hyperlink r:id="rId67" w:history="1">
        <w:r w:rsidRPr="005F2094">
          <w:rPr>
            <w:rStyle w:val="Hyperlink1"/>
            <w:sz w:val="24"/>
            <w:szCs w:val="24"/>
            <w:lang w:val="et-EE"/>
          </w:rPr>
          <w:t>http://data.europa.eu/eli/C/2024/6332/oj</w:t>
        </w:r>
      </w:hyperlink>
      <w:r w:rsidRPr="005F2094">
        <w:rPr>
          <w:sz w:val="24"/>
          <w:szCs w:val="24"/>
          <w:lang w:val="et-EE"/>
        </w:rPr>
        <w:t>.</w:t>
      </w:r>
    </w:p>
  </w:footnote>
  <w:footnote w:id="68">
    <w:p w14:paraId="14854CB6"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C/2024/6041, 10.10.2024, ELI: </w:t>
      </w:r>
      <w:hyperlink r:id="rId68" w:history="1">
        <w:r w:rsidRPr="005F2094">
          <w:rPr>
            <w:rStyle w:val="Hyperlink1"/>
            <w:sz w:val="24"/>
            <w:szCs w:val="24"/>
            <w:lang w:val="et-EE"/>
          </w:rPr>
          <w:t>http://data.europa.eu/eli/C/2024/6041/oj</w:t>
        </w:r>
      </w:hyperlink>
      <w:r w:rsidRPr="005F2094">
        <w:rPr>
          <w:sz w:val="24"/>
          <w:szCs w:val="24"/>
          <w:lang w:val="et-EE"/>
        </w:rPr>
        <w:t>.</w:t>
      </w:r>
    </w:p>
  </w:footnote>
  <w:footnote w:id="69">
    <w:p w14:paraId="58DC984A"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193, 30.7.2018, lk 1, ELI: </w:t>
      </w:r>
      <w:hyperlink r:id="rId69" w:history="1">
        <w:r w:rsidRPr="005F2094">
          <w:rPr>
            <w:rStyle w:val="Hyperlink1"/>
            <w:sz w:val="24"/>
            <w:szCs w:val="24"/>
            <w:lang w:val="et-EE"/>
          </w:rPr>
          <w:t>http://data.europa.eu/eli/reg/2018/1046/oj</w:t>
        </w:r>
      </w:hyperlink>
      <w:r w:rsidRPr="005F2094">
        <w:rPr>
          <w:sz w:val="24"/>
          <w:szCs w:val="24"/>
          <w:lang w:val="et-EE"/>
        </w:rPr>
        <w:t>.</w:t>
      </w:r>
    </w:p>
  </w:footnote>
  <w:footnote w:id="70">
    <w:p w14:paraId="21CB353D"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2024/2509, 26.9.2024, ELI: </w:t>
      </w:r>
      <w:hyperlink r:id="rId70" w:history="1">
        <w:r w:rsidRPr="005F2094">
          <w:rPr>
            <w:rStyle w:val="Hyperlink1"/>
            <w:sz w:val="24"/>
            <w:szCs w:val="24"/>
            <w:lang w:val="et-EE"/>
          </w:rPr>
          <w:t>http://data.europa.eu/eli/reg/2024/2509/oj</w:t>
        </w:r>
      </w:hyperlink>
      <w:r w:rsidRPr="005F2094">
        <w:rPr>
          <w:sz w:val="24"/>
          <w:szCs w:val="24"/>
          <w:lang w:val="fi-FI"/>
        </w:rPr>
        <w:t>.</w:t>
      </w:r>
    </w:p>
  </w:footnote>
  <w:footnote w:id="71">
    <w:p w14:paraId="0BC61D49"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212, 22.8.2018, lk 1, ELI: </w:t>
      </w:r>
      <w:hyperlink r:id="rId71" w:history="1">
        <w:r w:rsidRPr="005F2094">
          <w:rPr>
            <w:rStyle w:val="Hyperlink1"/>
            <w:sz w:val="24"/>
            <w:szCs w:val="24"/>
            <w:lang w:val="et-EE"/>
          </w:rPr>
          <w:t>http://data.europa.eu/eli/reg/2018/1139/oj</w:t>
        </w:r>
      </w:hyperlink>
      <w:r w:rsidRPr="005F2094">
        <w:rPr>
          <w:sz w:val="24"/>
          <w:szCs w:val="24"/>
          <w:lang w:val="et-EE"/>
        </w:rPr>
        <w:t>.</w:t>
      </w:r>
    </w:p>
  </w:footnote>
  <w:footnote w:id="72">
    <w:p w14:paraId="4A5E2EDE"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122, 10.5.2019, lk 1, ELI: </w:t>
      </w:r>
      <w:hyperlink r:id="rId72" w:history="1">
        <w:r w:rsidRPr="005F2094">
          <w:rPr>
            <w:rStyle w:val="Hyperlink1"/>
            <w:sz w:val="24"/>
            <w:szCs w:val="24"/>
            <w:lang w:val="et-EE"/>
          </w:rPr>
          <w:t>http://data.europa.eu/eli/reg_del/2019/715/oj</w:t>
        </w:r>
      </w:hyperlink>
      <w:r w:rsidRPr="005F2094">
        <w:rPr>
          <w:sz w:val="24"/>
          <w:szCs w:val="24"/>
          <w:lang w:val="et-EE"/>
        </w:rPr>
        <w:t>.</w:t>
      </w:r>
    </w:p>
  </w:footnote>
  <w:footnote w:id="73">
    <w:p w14:paraId="1A38E114"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C/2024/6332, 24.10.2024, ELI: </w:t>
      </w:r>
      <w:hyperlink r:id="rId73" w:history="1">
        <w:r w:rsidRPr="005F2094">
          <w:rPr>
            <w:rStyle w:val="Hyperlink1"/>
            <w:sz w:val="24"/>
            <w:szCs w:val="24"/>
            <w:lang w:val="et-EE"/>
          </w:rPr>
          <w:t>http://data.europa.eu/eli/C/2024/6332/oj</w:t>
        </w:r>
      </w:hyperlink>
      <w:r w:rsidRPr="005F2094">
        <w:rPr>
          <w:sz w:val="24"/>
          <w:szCs w:val="24"/>
          <w:lang w:val="et-EE"/>
        </w:rPr>
        <w:t>.</w:t>
      </w:r>
    </w:p>
  </w:footnote>
  <w:footnote w:id="74">
    <w:p w14:paraId="131F7B5C"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C/2024/6041, 10.10.2024, ELI: </w:t>
      </w:r>
      <w:hyperlink r:id="rId74" w:history="1">
        <w:r w:rsidRPr="005F2094">
          <w:rPr>
            <w:rStyle w:val="Hyperlink1"/>
            <w:sz w:val="24"/>
            <w:szCs w:val="24"/>
            <w:lang w:val="et-EE"/>
          </w:rPr>
          <w:t>http://data.europa.eu/eli/C/2024/6041/oj</w:t>
        </w:r>
      </w:hyperlink>
      <w:r w:rsidRPr="005F2094">
        <w:rPr>
          <w:sz w:val="24"/>
          <w:szCs w:val="24"/>
          <w:lang w:val="et-EE"/>
        </w:rPr>
        <w:t>.</w:t>
      </w:r>
    </w:p>
  </w:footnote>
  <w:footnote w:id="75">
    <w:p w14:paraId="39CC29A7"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193, 30.7.2018, lk 1, ELI: </w:t>
      </w:r>
      <w:hyperlink r:id="rId75" w:history="1">
        <w:r w:rsidRPr="005F2094">
          <w:rPr>
            <w:rStyle w:val="Hyperlink1"/>
            <w:sz w:val="24"/>
            <w:szCs w:val="24"/>
            <w:lang w:val="et-EE"/>
          </w:rPr>
          <w:t>http://data.europa.eu/eli/reg/2018/1046/oj</w:t>
        </w:r>
      </w:hyperlink>
      <w:r w:rsidRPr="005F2094">
        <w:rPr>
          <w:sz w:val="24"/>
          <w:szCs w:val="24"/>
          <w:lang w:val="et-EE"/>
        </w:rPr>
        <w:t>.</w:t>
      </w:r>
    </w:p>
  </w:footnote>
  <w:footnote w:id="76">
    <w:p w14:paraId="6866AC1B"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2024/2509, 26.9.2024, ELI: </w:t>
      </w:r>
      <w:hyperlink r:id="rId76" w:history="1">
        <w:r w:rsidRPr="005F2094">
          <w:rPr>
            <w:rStyle w:val="Hyperlink1"/>
            <w:sz w:val="24"/>
            <w:szCs w:val="24"/>
            <w:lang w:val="et-EE"/>
          </w:rPr>
          <w:t>http://data.europa.eu/eli/reg/2024/2509/oj</w:t>
        </w:r>
      </w:hyperlink>
      <w:r w:rsidRPr="005F2094">
        <w:rPr>
          <w:sz w:val="24"/>
          <w:szCs w:val="24"/>
          <w:lang w:val="fi-FI"/>
        </w:rPr>
        <w:t>.</w:t>
      </w:r>
    </w:p>
  </w:footnote>
  <w:footnote w:id="77">
    <w:p w14:paraId="45E569BD"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331, 15.12.2010, lk 12, ELI: </w:t>
      </w:r>
      <w:hyperlink r:id="rId77" w:history="1">
        <w:r w:rsidRPr="005F2094">
          <w:rPr>
            <w:rStyle w:val="Hyperlink1"/>
            <w:sz w:val="24"/>
            <w:szCs w:val="24"/>
            <w:lang w:val="et-EE"/>
          </w:rPr>
          <w:t>http://data.europa.eu/eli/reg/2010/1093/oj</w:t>
        </w:r>
      </w:hyperlink>
      <w:r w:rsidRPr="005F2094">
        <w:rPr>
          <w:sz w:val="24"/>
          <w:szCs w:val="24"/>
          <w:lang w:val="et-EE"/>
        </w:rPr>
        <w:t>.</w:t>
      </w:r>
    </w:p>
  </w:footnote>
  <w:footnote w:id="78">
    <w:p w14:paraId="0D166103"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122, 10.5.2019, lk 1, ELI: </w:t>
      </w:r>
      <w:hyperlink r:id="rId78" w:history="1">
        <w:r w:rsidRPr="005F2094">
          <w:rPr>
            <w:rStyle w:val="Hyperlink1"/>
            <w:sz w:val="24"/>
            <w:szCs w:val="24"/>
            <w:lang w:val="et-EE"/>
          </w:rPr>
          <w:t>http://data.europa.eu/eli/reg_del/2019/715/oj</w:t>
        </w:r>
      </w:hyperlink>
      <w:r w:rsidRPr="005F2094">
        <w:rPr>
          <w:sz w:val="24"/>
          <w:szCs w:val="24"/>
          <w:lang w:val="et-EE"/>
        </w:rPr>
        <w:t>.</w:t>
      </w:r>
    </w:p>
  </w:footnote>
  <w:footnote w:id="79">
    <w:p w14:paraId="2E947267"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C/2024/6332, 24.10.2024, ELI: </w:t>
      </w:r>
      <w:hyperlink r:id="rId79" w:history="1">
        <w:r w:rsidRPr="005F2094">
          <w:rPr>
            <w:rStyle w:val="Hyperlink1"/>
            <w:sz w:val="24"/>
            <w:szCs w:val="24"/>
            <w:lang w:val="et-EE"/>
          </w:rPr>
          <w:t>http://data.europa.eu/eli/C/2024/6332/oj</w:t>
        </w:r>
      </w:hyperlink>
      <w:r w:rsidRPr="005F2094">
        <w:rPr>
          <w:sz w:val="24"/>
          <w:szCs w:val="24"/>
          <w:lang w:val="et-EE"/>
        </w:rPr>
        <w:t>.</w:t>
      </w:r>
    </w:p>
  </w:footnote>
  <w:footnote w:id="80">
    <w:p w14:paraId="0FF5A9BF"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C/2024/6041, 10.10.2024, ELI: </w:t>
      </w:r>
      <w:hyperlink r:id="rId80" w:history="1">
        <w:r w:rsidRPr="005F2094">
          <w:rPr>
            <w:rStyle w:val="Hyperlink1"/>
            <w:sz w:val="24"/>
            <w:szCs w:val="24"/>
            <w:lang w:val="et-EE"/>
          </w:rPr>
          <w:t>http://data.europa.eu/eli/C/2024/6041/oj</w:t>
        </w:r>
      </w:hyperlink>
      <w:r w:rsidRPr="005F2094">
        <w:rPr>
          <w:sz w:val="24"/>
          <w:szCs w:val="24"/>
          <w:lang w:val="et-EE"/>
        </w:rPr>
        <w:t>.</w:t>
      </w:r>
    </w:p>
  </w:footnote>
  <w:footnote w:id="81">
    <w:p w14:paraId="5E7DAD12"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193, 30.7.2018, lk 1, ELI: </w:t>
      </w:r>
      <w:hyperlink r:id="rId81" w:history="1">
        <w:r w:rsidRPr="005F2094">
          <w:rPr>
            <w:rStyle w:val="Hyperlink1"/>
            <w:sz w:val="24"/>
            <w:szCs w:val="24"/>
            <w:lang w:val="et-EE"/>
          </w:rPr>
          <w:t>http://data.europa.eu/eli/reg/2018/1046/oj</w:t>
        </w:r>
      </w:hyperlink>
      <w:r w:rsidRPr="005F2094">
        <w:rPr>
          <w:sz w:val="24"/>
          <w:szCs w:val="24"/>
          <w:lang w:val="et-EE"/>
        </w:rPr>
        <w:t>.</w:t>
      </w:r>
    </w:p>
  </w:footnote>
  <w:footnote w:id="82">
    <w:p w14:paraId="16657D95"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2024/2509, 26.9.2024, ELI: </w:t>
      </w:r>
      <w:hyperlink r:id="rId82" w:history="1">
        <w:r w:rsidRPr="005F2094">
          <w:rPr>
            <w:rStyle w:val="Hyperlink1"/>
            <w:sz w:val="24"/>
            <w:szCs w:val="24"/>
            <w:lang w:val="et-EE"/>
          </w:rPr>
          <w:t>http://data.europa.eu/eli/reg/2024/2509/oj</w:t>
        </w:r>
      </w:hyperlink>
      <w:r w:rsidRPr="005F2094">
        <w:rPr>
          <w:sz w:val="24"/>
          <w:szCs w:val="24"/>
          <w:lang w:val="fi-FI"/>
        </w:rPr>
        <w:t>.</w:t>
      </w:r>
    </w:p>
  </w:footnote>
  <w:footnote w:id="83">
    <w:p w14:paraId="4E8F8223"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331, 15.12.2010, lk 12, ELI: </w:t>
      </w:r>
      <w:hyperlink r:id="rId83" w:history="1">
        <w:r w:rsidRPr="005F2094">
          <w:rPr>
            <w:rStyle w:val="Hyperlink1"/>
            <w:sz w:val="24"/>
            <w:szCs w:val="24"/>
            <w:lang w:val="et-EE"/>
          </w:rPr>
          <w:t>http://data.europa.eu/eli/reg/2010/1093/oj</w:t>
        </w:r>
      </w:hyperlink>
      <w:r w:rsidRPr="005F2094">
        <w:rPr>
          <w:sz w:val="24"/>
          <w:szCs w:val="24"/>
          <w:lang w:val="et-EE"/>
        </w:rPr>
        <w:t>.</w:t>
      </w:r>
    </w:p>
  </w:footnote>
  <w:footnote w:id="84">
    <w:p w14:paraId="72805DB7"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122, 10.5.2019, lk 1, ELI: </w:t>
      </w:r>
      <w:hyperlink r:id="rId84" w:history="1">
        <w:r w:rsidRPr="005F2094">
          <w:rPr>
            <w:rStyle w:val="Hyperlink1"/>
            <w:sz w:val="24"/>
            <w:szCs w:val="24"/>
            <w:lang w:val="et-EE"/>
          </w:rPr>
          <w:t>http://data.europa.eu/eli/reg_del/2019/715/oj</w:t>
        </w:r>
      </w:hyperlink>
      <w:r w:rsidRPr="005F2094">
        <w:rPr>
          <w:sz w:val="24"/>
          <w:szCs w:val="24"/>
          <w:lang w:val="et-EE"/>
        </w:rPr>
        <w:t>.</w:t>
      </w:r>
    </w:p>
  </w:footnote>
  <w:footnote w:id="85">
    <w:p w14:paraId="41982FFD"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C/2024/6332, 24.10.2024, ELI: </w:t>
      </w:r>
      <w:hyperlink r:id="rId85" w:history="1">
        <w:r w:rsidRPr="005F2094">
          <w:rPr>
            <w:rStyle w:val="Hyperlink1"/>
            <w:sz w:val="24"/>
            <w:szCs w:val="24"/>
            <w:lang w:val="et-EE"/>
          </w:rPr>
          <w:t>http://data.europa.eu/eli/C/2024/6332/oj</w:t>
        </w:r>
      </w:hyperlink>
      <w:r w:rsidRPr="005F2094">
        <w:rPr>
          <w:sz w:val="24"/>
          <w:szCs w:val="24"/>
          <w:lang w:val="et-EE"/>
        </w:rPr>
        <w:t>.</w:t>
      </w:r>
    </w:p>
  </w:footnote>
  <w:footnote w:id="86">
    <w:p w14:paraId="0675D627"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C/2024/6041, 10.10.2024, ELI: </w:t>
      </w:r>
      <w:hyperlink r:id="rId86" w:history="1">
        <w:r w:rsidRPr="005F2094">
          <w:rPr>
            <w:rStyle w:val="Hyperlink1"/>
            <w:sz w:val="24"/>
            <w:szCs w:val="24"/>
            <w:lang w:val="et-EE"/>
          </w:rPr>
          <w:t>http://data.europa.eu/eli/C/2024/6041/oj</w:t>
        </w:r>
      </w:hyperlink>
      <w:r w:rsidRPr="005F2094">
        <w:rPr>
          <w:sz w:val="24"/>
          <w:szCs w:val="24"/>
          <w:lang w:val="et-EE"/>
        </w:rPr>
        <w:t>.</w:t>
      </w:r>
    </w:p>
  </w:footnote>
  <w:footnote w:id="87">
    <w:p w14:paraId="71A55674"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193, 30.7.2018, lk 1, ELI: </w:t>
      </w:r>
      <w:hyperlink r:id="rId87" w:history="1">
        <w:r w:rsidRPr="005F2094">
          <w:rPr>
            <w:rStyle w:val="Hyperlink1"/>
            <w:sz w:val="24"/>
            <w:szCs w:val="24"/>
            <w:lang w:val="et-EE"/>
          </w:rPr>
          <w:t>http://data.europa.eu/eli/reg/2018/1046/oj</w:t>
        </w:r>
      </w:hyperlink>
      <w:r w:rsidRPr="005F2094">
        <w:rPr>
          <w:sz w:val="24"/>
          <w:szCs w:val="24"/>
          <w:lang w:val="et-EE"/>
        </w:rPr>
        <w:t>.</w:t>
      </w:r>
    </w:p>
  </w:footnote>
  <w:footnote w:id="88">
    <w:p w14:paraId="6EF29A7F"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2024/2509, 26.9.2024, ELI: </w:t>
      </w:r>
      <w:hyperlink r:id="rId88" w:history="1">
        <w:r w:rsidRPr="005F2094">
          <w:rPr>
            <w:rStyle w:val="Hyperlink1"/>
            <w:sz w:val="24"/>
            <w:szCs w:val="24"/>
            <w:lang w:val="et-EE"/>
          </w:rPr>
          <w:t>http://data.europa.eu/eli/reg/2024/2509/oj</w:t>
        </w:r>
      </w:hyperlink>
      <w:r w:rsidRPr="005F2094">
        <w:rPr>
          <w:rStyle w:val="Hyperlink1"/>
          <w:sz w:val="24"/>
          <w:szCs w:val="24"/>
          <w:lang w:val="et-EE"/>
        </w:rPr>
        <w:t>.</w:t>
      </w:r>
    </w:p>
  </w:footnote>
  <w:footnote w:id="89">
    <w:p w14:paraId="6C1DEBCD"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142, 30.4.2004, lk 1, ELI: </w:t>
      </w:r>
      <w:hyperlink r:id="rId89" w:history="1">
        <w:r w:rsidRPr="005F2094">
          <w:rPr>
            <w:rStyle w:val="Hyperlink1"/>
            <w:sz w:val="24"/>
            <w:szCs w:val="24"/>
            <w:lang w:val="et-EE"/>
          </w:rPr>
          <w:t>http://data.europa.eu/eli/reg/2004/851/oj</w:t>
        </w:r>
      </w:hyperlink>
      <w:r w:rsidRPr="005F2094">
        <w:rPr>
          <w:sz w:val="24"/>
          <w:szCs w:val="24"/>
          <w:lang w:val="et-EE"/>
        </w:rPr>
        <w:t>.</w:t>
      </w:r>
    </w:p>
  </w:footnote>
  <w:footnote w:id="90">
    <w:p w14:paraId="52EC0671"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122, 10.5.2019, lk 1, ELI: </w:t>
      </w:r>
      <w:hyperlink r:id="rId90" w:history="1">
        <w:r w:rsidRPr="005F2094">
          <w:rPr>
            <w:rStyle w:val="Hyperlink1"/>
            <w:sz w:val="24"/>
            <w:szCs w:val="24"/>
            <w:lang w:val="et-EE"/>
          </w:rPr>
          <w:t>http://data.europa.eu/eli/reg_del/2019/715/oj</w:t>
        </w:r>
      </w:hyperlink>
      <w:r w:rsidRPr="005F2094">
        <w:rPr>
          <w:sz w:val="24"/>
          <w:szCs w:val="24"/>
          <w:lang w:val="et-EE"/>
        </w:rPr>
        <w:t>.</w:t>
      </w:r>
    </w:p>
  </w:footnote>
  <w:footnote w:id="91">
    <w:p w14:paraId="43BFF757"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C/2024/6332, 24.10.2024, ELI: </w:t>
      </w:r>
      <w:hyperlink r:id="rId91" w:history="1">
        <w:r w:rsidRPr="005F2094">
          <w:rPr>
            <w:rStyle w:val="Hyperlink1"/>
            <w:sz w:val="24"/>
            <w:szCs w:val="24"/>
            <w:lang w:val="et-EE"/>
          </w:rPr>
          <w:t>http://data.europa.eu/eli/C/2024/6332/oj</w:t>
        </w:r>
      </w:hyperlink>
      <w:r w:rsidRPr="005F2094">
        <w:rPr>
          <w:sz w:val="24"/>
          <w:szCs w:val="24"/>
          <w:lang w:val="et-EE"/>
        </w:rPr>
        <w:t>.</w:t>
      </w:r>
    </w:p>
  </w:footnote>
  <w:footnote w:id="92">
    <w:p w14:paraId="368099BA"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C/2024/6041, 10.10.2024, ELI: </w:t>
      </w:r>
      <w:hyperlink r:id="rId92" w:history="1">
        <w:r w:rsidRPr="005F2094">
          <w:rPr>
            <w:rStyle w:val="Hyperlink1"/>
            <w:sz w:val="24"/>
            <w:szCs w:val="24"/>
            <w:lang w:val="et-EE"/>
          </w:rPr>
          <w:t>http://data.europa.eu/eli/C/2024/6041/oj</w:t>
        </w:r>
      </w:hyperlink>
      <w:r w:rsidRPr="005F2094">
        <w:rPr>
          <w:sz w:val="24"/>
          <w:szCs w:val="24"/>
          <w:lang w:val="et-EE"/>
        </w:rPr>
        <w:t>.</w:t>
      </w:r>
    </w:p>
  </w:footnote>
  <w:footnote w:id="93">
    <w:p w14:paraId="7E96353B"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193, 30.7.2018, lk 1, ELI: </w:t>
      </w:r>
      <w:hyperlink r:id="rId93" w:history="1">
        <w:r w:rsidRPr="005F2094">
          <w:rPr>
            <w:rStyle w:val="Hyperlink1"/>
            <w:sz w:val="24"/>
            <w:szCs w:val="24"/>
            <w:lang w:val="et-EE"/>
          </w:rPr>
          <w:t>http://data.europa.eu/eli/reg/2018/1046/oj</w:t>
        </w:r>
      </w:hyperlink>
      <w:r w:rsidRPr="005F2094">
        <w:rPr>
          <w:sz w:val="24"/>
          <w:szCs w:val="24"/>
          <w:lang w:val="et-EE"/>
        </w:rPr>
        <w:t>.</w:t>
      </w:r>
    </w:p>
  </w:footnote>
  <w:footnote w:id="94">
    <w:p w14:paraId="63850F45"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2024/2509, 26.9.2024, ELI: </w:t>
      </w:r>
      <w:hyperlink r:id="rId94" w:history="1">
        <w:r w:rsidRPr="005F2094">
          <w:rPr>
            <w:rStyle w:val="Hyperlink1"/>
            <w:sz w:val="24"/>
            <w:szCs w:val="24"/>
            <w:lang w:val="et-EE"/>
          </w:rPr>
          <w:t>http://data.europa.eu/eli/reg/2024/2509/oj</w:t>
        </w:r>
      </w:hyperlink>
      <w:r w:rsidRPr="005F2094">
        <w:rPr>
          <w:rStyle w:val="Hyperlink1"/>
          <w:sz w:val="24"/>
          <w:szCs w:val="24"/>
          <w:lang w:val="et-EE"/>
        </w:rPr>
        <w:t>.</w:t>
      </w:r>
    </w:p>
  </w:footnote>
  <w:footnote w:id="95">
    <w:p w14:paraId="02A7A735"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142, 30.4.2004, lk 1, ELI: </w:t>
      </w:r>
      <w:hyperlink r:id="rId95" w:history="1">
        <w:r w:rsidRPr="005F2094">
          <w:rPr>
            <w:rStyle w:val="Hyperlink1"/>
            <w:sz w:val="24"/>
            <w:szCs w:val="24"/>
            <w:lang w:val="et-EE"/>
          </w:rPr>
          <w:t>http://data.europa.eu/eli/reg/2004/851/oj</w:t>
        </w:r>
      </w:hyperlink>
      <w:r w:rsidRPr="005F2094">
        <w:rPr>
          <w:sz w:val="24"/>
          <w:szCs w:val="24"/>
          <w:lang w:val="et-EE"/>
        </w:rPr>
        <w:t>.</w:t>
      </w:r>
    </w:p>
  </w:footnote>
  <w:footnote w:id="96">
    <w:p w14:paraId="74C64743"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122, 10.5.2019, lk 1, ELI: </w:t>
      </w:r>
      <w:hyperlink r:id="rId96" w:history="1">
        <w:r w:rsidRPr="005F2094">
          <w:rPr>
            <w:rStyle w:val="Hyperlink1"/>
            <w:sz w:val="24"/>
            <w:szCs w:val="24"/>
            <w:lang w:val="et-EE"/>
          </w:rPr>
          <w:t>http://data.europa.eu/eli/reg_del/2019/715/oj</w:t>
        </w:r>
      </w:hyperlink>
      <w:r w:rsidRPr="005F2094">
        <w:rPr>
          <w:sz w:val="24"/>
          <w:szCs w:val="24"/>
          <w:lang w:val="et-EE"/>
        </w:rPr>
        <w:t>.</w:t>
      </w:r>
    </w:p>
  </w:footnote>
  <w:footnote w:id="97">
    <w:p w14:paraId="75A8B938"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C/2024/6332, 24.10.2024, ELI: </w:t>
      </w:r>
      <w:hyperlink r:id="rId97" w:history="1">
        <w:r w:rsidRPr="005F2094">
          <w:rPr>
            <w:rStyle w:val="Hyperlink1"/>
            <w:sz w:val="24"/>
            <w:szCs w:val="24"/>
            <w:lang w:val="et-EE"/>
          </w:rPr>
          <w:t>http://data.europa.eu/eli/C/2024/6332/oj</w:t>
        </w:r>
      </w:hyperlink>
      <w:r w:rsidRPr="005F2094">
        <w:rPr>
          <w:sz w:val="24"/>
          <w:szCs w:val="24"/>
          <w:lang w:val="et-EE"/>
        </w:rPr>
        <w:t>.</w:t>
      </w:r>
    </w:p>
  </w:footnote>
  <w:footnote w:id="98">
    <w:p w14:paraId="64D68F0E"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C/2024/6041, 10.10.2024, ELI: </w:t>
      </w:r>
      <w:hyperlink r:id="rId98" w:history="1">
        <w:r w:rsidRPr="005F2094">
          <w:rPr>
            <w:rStyle w:val="Hyperlink1"/>
            <w:sz w:val="24"/>
            <w:szCs w:val="24"/>
            <w:lang w:val="et-EE"/>
          </w:rPr>
          <w:t>http://data.europa.eu/eli/C/2024/6041/oj</w:t>
        </w:r>
      </w:hyperlink>
      <w:r w:rsidRPr="005F2094">
        <w:rPr>
          <w:sz w:val="24"/>
          <w:szCs w:val="24"/>
          <w:lang w:val="et-EE"/>
        </w:rPr>
        <w:t>.</w:t>
      </w:r>
    </w:p>
  </w:footnote>
  <w:footnote w:id="99">
    <w:p w14:paraId="163AF3B7"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193, 30.7.2018, lk 1, ELI: </w:t>
      </w:r>
      <w:hyperlink r:id="rId99" w:history="1">
        <w:r w:rsidRPr="005F2094">
          <w:rPr>
            <w:rStyle w:val="Hyperlink1"/>
            <w:sz w:val="24"/>
            <w:szCs w:val="24"/>
            <w:lang w:val="et-EE"/>
          </w:rPr>
          <w:t>http://data.europa.eu/eli/reg/2018/1046/oj</w:t>
        </w:r>
      </w:hyperlink>
      <w:r w:rsidRPr="005F2094">
        <w:rPr>
          <w:sz w:val="24"/>
          <w:szCs w:val="24"/>
          <w:lang w:val="et-EE"/>
        </w:rPr>
        <w:t>.</w:t>
      </w:r>
    </w:p>
  </w:footnote>
  <w:footnote w:id="100">
    <w:p w14:paraId="6EA46EF9"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2024/2509, 26.9.2024, ELI: </w:t>
      </w:r>
      <w:hyperlink r:id="rId100" w:history="1">
        <w:r w:rsidRPr="005F2094">
          <w:rPr>
            <w:rStyle w:val="Hyperlink1"/>
            <w:sz w:val="24"/>
            <w:szCs w:val="24"/>
            <w:lang w:val="et-EE"/>
          </w:rPr>
          <w:t>http://data.europa.eu/eli/reg/2024/2509/oj</w:t>
        </w:r>
      </w:hyperlink>
      <w:r w:rsidRPr="005F2094">
        <w:rPr>
          <w:rStyle w:val="Hyperlink1"/>
          <w:sz w:val="24"/>
          <w:szCs w:val="24"/>
          <w:lang w:val="et-EE"/>
        </w:rPr>
        <w:t>.</w:t>
      </w:r>
    </w:p>
  </w:footnote>
  <w:footnote w:id="101">
    <w:p w14:paraId="354228D7"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396, 30.12.2006, lk 1, ELI: </w:t>
      </w:r>
      <w:hyperlink r:id="rId101" w:history="1">
        <w:r w:rsidRPr="005F2094">
          <w:rPr>
            <w:rStyle w:val="Hyperlink1"/>
            <w:sz w:val="24"/>
            <w:szCs w:val="24"/>
            <w:lang w:val="et-EE"/>
          </w:rPr>
          <w:t>http://data.europa.eu/eli/reg/2006/1907/oj</w:t>
        </w:r>
      </w:hyperlink>
      <w:r w:rsidRPr="005F2094">
        <w:rPr>
          <w:sz w:val="24"/>
          <w:szCs w:val="24"/>
          <w:lang w:val="et-EE"/>
        </w:rPr>
        <w:t>.</w:t>
      </w:r>
    </w:p>
  </w:footnote>
  <w:footnote w:id="102">
    <w:p w14:paraId="4625869D"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122, 10.5.2019, lk 1, ELI: </w:t>
      </w:r>
      <w:hyperlink r:id="rId102" w:history="1">
        <w:r w:rsidRPr="005F2094">
          <w:rPr>
            <w:rStyle w:val="Hyperlink1"/>
            <w:sz w:val="24"/>
            <w:szCs w:val="24"/>
            <w:lang w:val="et-EE"/>
          </w:rPr>
          <w:t>http://data.europa.eu/eli/reg_del/2019/715/oj</w:t>
        </w:r>
      </w:hyperlink>
      <w:r w:rsidRPr="005F2094">
        <w:rPr>
          <w:sz w:val="24"/>
          <w:szCs w:val="24"/>
          <w:lang w:val="et-EE"/>
        </w:rPr>
        <w:t>.</w:t>
      </w:r>
    </w:p>
  </w:footnote>
  <w:footnote w:id="103">
    <w:p w14:paraId="28AA0BF4"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C/2024/6332, 24.10.2024, ELI: </w:t>
      </w:r>
      <w:hyperlink r:id="rId103" w:history="1">
        <w:r w:rsidRPr="005F2094">
          <w:rPr>
            <w:rStyle w:val="Hyperlink1"/>
            <w:sz w:val="24"/>
            <w:szCs w:val="24"/>
            <w:lang w:val="et-EE"/>
          </w:rPr>
          <w:t>http://data.europa.eu/eli/C/2024/6332/oj</w:t>
        </w:r>
      </w:hyperlink>
      <w:r w:rsidRPr="005F2094">
        <w:rPr>
          <w:sz w:val="24"/>
          <w:szCs w:val="24"/>
          <w:lang w:val="et-EE"/>
        </w:rPr>
        <w:t>.</w:t>
      </w:r>
    </w:p>
  </w:footnote>
  <w:footnote w:id="104">
    <w:p w14:paraId="1E995E18"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C/2024/6041, 10.10.2024, ELI: </w:t>
      </w:r>
      <w:hyperlink r:id="rId104" w:history="1">
        <w:r w:rsidRPr="005F2094">
          <w:rPr>
            <w:rStyle w:val="Hyperlink1"/>
            <w:sz w:val="24"/>
            <w:szCs w:val="24"/>
            <w:lang w:val="et-EE"/>
          </w:rPr>
          <w:t>http://data.europa.eu/eli/C/2024/6041/oj</w:t>
        </w:r>
      </w:hyperlink>
      <w:r w:rsidRPr="005F2094">
        <w:rPr>
          <w:sz w:val="24"/>
          <w:szCs w:val="24"/>
          <w:lang w:val="et-EE"/>
        </w:rPr>
        <w:t>.</w:t>
      </w:r>
    </w:p>
  </w:footnote>
  <w:footnote w:id="105">
    <w:p w14:paraId="7CBB7902"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193, 30.7.2018, lk 1, ELI: </w:t>
      </w:r>
      <w:hyperlink r:id="rId105" w:history="1">
        <w:r w:rsidRPr="005F2094">
          <w:rPr>
            <w:rStyle w:val="Hyperlink1"/>
            <w:sz w:val="24"/>
            <w:szCs w:val="24"/>
            <w:lang w:val="et-EE"/>
          </w:rPr>
          <w:t>http://data.europa.eu/eli/reg/2018/1046/oj</w:t>
        </w:r>
      </w:hyperlink>
      <w:r w:rsidRPr="005F2094">
        <w:rPr>
          <w:sz w:val="24"/>
          <w:szCs w:val="24"/>
          <w:lang w:val="et-EE"/>
        </w:rPr>
        <w:t>.</w:t>
      </w:r>
    </w:p>
  </w:footnote>
  <w:footnote w:id="106">
    <w:p w14:paraId="3F1E4E11"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2024/2509, 26.9.2024, ELI: </w:t>
      </w:r>
      <w:hyperlink r:id="rId106" w:history="1">
        <w:r w:rsidRPr="005F2094">
          <w:rPr>
            <w:rStyle w:val="Hyperlink1"/>
            <w:sz w:val="24"/>
            <w:szCs w:val="24"/>
            <w:lang w:val="et-EE"/>
          </w:rPr>
          <w:t>http://data.europa.eu/eli/reg/2024/2509/oj</w:t>
        </w:r>
      </w:hyperlink>
      <w:r w:rsidRPr="005F2094">
        <w:rPr>
          <w:rStyle w:val="Hyperlink1"/>
          <w:sz w:val="24"/>
          <w:szCs w:val="24"/>
          <w:lang w:val="et-EE"/>
        </w:rPr>
        <w:t>.</w:t>
      </w:r>
    </w:p>
  </w:footnote>
  <w:footnote w:id="107">
    <w:p w14:paraId="08A5C443"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396, 30.12.2006, lk 1, ELI: </w:t>
      </w:r>
      <w:hyperlink r:id="rId107" w:history="1">
        <w:r w:rsidRPr="005F2094">
          <w:rPr>
            <w:rStyle w:val="Hyperlink1"/>
            <w:sz w:val="24"/>
            <w:szCs w:val="24"/>
            <w:lang w:val="et-EE"/>
          </w:rPr>
          <w:t>http://data.europa.eu/eli/reg/2006/1907/oj</w:t>
        </w:r>
      </w:hyperlink>
      <w:r w:rsidRPr="005F2094">
        <w:rPr>
          <w:sz w:val="24"/>
          <w:szCs w:val="24"/>
          <w:lang w:val="et-EE"/>
        </w:rPr>
        <w:t>.</w:t>
      </w:r>
    </w:p>
  </w:footnote>
  <w:footnote w:id="108">
    <w:p w14:paraId="5A66E8E6"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122, 10.5.2019, lk 1, ELI: </w:t>
      </w:r>
      <w:hyperlink r:id="rId108" w:history="1">
        <w:r w:rsidRPr="005F2094">
          <w:rPr>
            <w:rStyle w:val="Hyperlink1"/>
            <w:sz w:val="24"/>
            <w:szCs w:val="24"/>
            <w:lang w:val="et-EE"/>
          </w:rPr>
          <w:t>http://data.europa.eu/eli/reg_del/2019/715/oj</w:t>
        </w:r>
      </w:hyperlink>
      <w:r w:rsidRPr="005F2094">
        <w:rPr>
          <w:sz w:val="24"/>
          <w:szCs w:val="24"/>
          <w:lang w:val="et-EE"/>
        </w:rPr>
        <w:t>.</w:t>
      </w:r>
    </w:p>
  </w:footnote>
  <w:footnote w:id="109">
    <w:p w14:paraId="39019FFD"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C/2024/6332, 24.10.2024, ELI: </w:t>
      </w:r>
      <w:hyperlink r:id="rId109" w:history="1">
        <w:r w:rsidRPr="005F2094">
          <w:rPr>
            <w:rStyle w:val="Hyperlink1"/>
            <w:sz w:val="24"/>
            <w:szCs w:val="24"/>
            <w:lang w:val="et-EE"/>
          </w:rPr>
          <w:t>http://data.europa.eu/eli/C/2024/6332/oj</w:t>
        </w:r>
      </w:hyperlink>
      <w:r w:rsidRPr="005F2094">
        <w:rPr>
          <w:sz w:val="24"/>
          <w:szCs w:val="24"/>
          <w:lang w:val="et-EE"/>
        </w:rPr>
        <w:t>.</w:t>
      </w:r>
    </w:p>
  </w:footnote>
  <w:footnote w:id="110">
    <w:p w14:paraId="0E637DFC"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C/2024/6041, 10.10.2024, ELI: </w:t>
      </w:r>
      <w:hyperlink r:id="rId110" w:history="1">
        <w:r w:rsidRPr="005F2094">
          <w:rPr>
            <w:rStyle w:val="Hyperlink1"/>
            <w:sz w:val="24"/>
            <w:szCs w:val="24"/>
            <w:lang w:val="et-EE"/>
          </w:rPr>
          <w:t>http://data.europa.eu/eli/C/2024/6041/oj</w:t>
        </w:r>
      </w:hyperlink>
      <w:r w:rsidRPr="005F2094">
        <w:rPr>
          <w:sz w:val="24"/>
          <w:szCs w:val="24"/>
          <w:lang w:val="et-EE"/>
        </w:rPr>
        <w:t>.</w:t>
      </w:r>
    </w:p>
  </w:footnote>
  <w:footnote w:id="111">
    <w:p w14:paraId="19E4F48E"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193, 30.7.2018, lk 1, ELI: </w:t>
      </w:r>
      <w:hyperlink r:id="rId111" w:history="1">
        <w:r w:rsidRPr="005F2094">
          <w:rPr>
            <w:rStyle w:val="Hyperlink1"/>
            <w:sz w:val="24"/>
            <w:szCs w:val="24"/>
            <w:lang w:val="et-EE"/>
          </w:rPr>
          <w:t>http://data.europa.eu/eli/reg/2018/1046/oj</w:t>
        </w:r>
      </w:hyperlink>
      <w:r w:rsidRPr="005F2094">
        <w:rPr>
          <w:sz w:val="24"/>
          <w:szCs w:val="24"/>
          <w:lang w:val="et-EE"/>
        </w:rPr>
        <w:t>.</w:t>
      </w:r>
    </w:p>
  </w:footnote>
  <w:footnote w:id="112">
    <w:p w14:paraId="7F86B46A"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2024/2509, 26.9.2024, ELI: </w:t>
      </w:r>
      <w:hyperlink r:id="rId112" w:history="1">
        <w:r w:rsidRPr="005F2094">
          <w:rPr>
            <w:rStyle w:val="Hyperlink1"/>
            <w:sz w:val="24"/>
            <w:szCs w:val="24"/>
            <w:lang w:val="et-EE"/>
          </w:rPr>
          <w:t>http://data.europa.eu/eli/reg/2024/2509/oj</w:t>
        </w:r>
      </w:hyperlink>
      <w:r w:rsidRPr="005F2094">
        <w:rPr>
          <w:sz w:val="24"/>
          <w:szCs w:val="24"/>
          <w:lang w:val="fi-FI"/>
        </w:rPr>
        <w:t>.</w:t>
      </w:r>
    </w:p>
  </w:footnote>
  <w:footnote w:id="113">
    <w:p w14:paraId="6DC435A0"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126, 21.5.2009, lk 13, ELI: </w:t>
      </w:r>
      <w:hyperlink r:id="rId113" w:history="1">
        <w:r w:rsidRPr="005F2094">
          <w:rPr>
            <w:rStyle w:val="Hyperlink1"/>
            <w:sz w:val="24"/>
            <w:szCs w:val="24"/>
            <w:lang w:val="et-EE"/>
          </w:rPr>
          <w:t>http://data.europa.eu/eli/reg/2009/401/oj</w:t>
        </w:r>
      </w:hyperlink>
      <w:r w:rsidRPr="005F2094">
        <w:rPr>
          <w:sz w:val="24"/>
          <w:szCs w:val="24"/>
          <w:lang w:val="et-EE"/>
        </w:rPr>
        <w:t>.</w:t>
      </w:r>
    </w:p>
  </w:footnote>
  <w:footnote w:id="114">
    <w:p w14:paraId="1B4A235A"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122, 10.5.2019, lk 1, ELI: </w:t>
      </w:r>
      <w:hyperlink r:id="rId114" w:history="1">
        <w:r w:rsidRPr="005F2094">
          <w:rPr>
            <w:rStyle w:val="Hyperlink1"/>
            <w:sz w:val="24"/>
            <w:szCs w:val="24"/>
            <w:lang w:val="et-EE"/>
          </w:rPr>
          <w:t>http://data.europa.eu/eli/reg_del/2019/715/oj</w:t>
        </w:r>
      </w:hyperlink>
      <w:r w:rsidRPr="005F2094">
        <w:rPr>
          <w:sz w:val="24"/>
          <w:szCs w:val="24"/>
          <w:lang w:val="et-EE"/>
        </w:rPr>
        <w:t>.</w:t>
      </w:r>
    </w:p>
  </w:footnote>
  <w:footnote w:id="115">
    <w:p w14:paraId="063B00A7"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C/2024/6332, 24.10.2024, ELI: </w:t>
      </w:r>
      <w:hyperlink r:id="rId115" w:history="1">
        <w:r w:rsidRPr="005F2094">
          <w:rPr>
            <w:rStyle w:val="Hyperlink1"/>
            <w:sz w:val="24"/>
            <w:szCs w:val="24"/>
            <w:lang w:val="et-EE"/>
          </w:rPr>
          <w:t>http://data.europa.eu/eli/C/2024/6332/oj</w:t>
        </w:r>
      </w:hyperlink>
      <w:r w:rsidRPr="005F2094">
        <w:rPr>
          <w:sz w:val="24"/>
          <w:szCs w:val="24"/>
          <w:lang w:val="et-EE"/>
        </w:rPr>
        <w:t>.</w:t>
      </w:r>
    </w:p>
  </w:footnote>
  <w:footnote w:id="116">
    <w:p w14:paraId="2094A8B0"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C/2024/6041, 10.10.2024, ELI: </w:t>
      </w:r>
      <w:hyperlink r:id="rId116" w:history="1">
        <w:r w:rsidRPr="005F2094">
          <w:rPr>
            <w:rStyle w:val="Hyperlink1"/>
            <w:sz w:val="24"/>
            <w:szCs w:val="24"/>
            <w:lang w:val="et-EE"/>
          </w:rPr>
          <w:t>http://data.europa.eu/eli/C/2024/6041/oj</w:t>
        </w:r>
      </w:hyperlink>
      <w:r w:rsidRPr="005F2094">
        <w:rPr>
          <w:sz w:val="24"/>
          <w:szCs w:val="24"/>
          <w:lang w:val="et-EE"/>
        </w:rPr>
        <w:t>.</w:t>
      </w:r>
    </w:p>
  </w:footnote>
  <w:footnote w:id="117">
    <w:p w14:paraId="02182D40"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193, 30.7.2018, lk 1, ELI: </w:t>
      </w:r>
      <w:hyperlink r:id="rId117" w:history="1">
        <w:r w:rsidRPr="005F2094">
          <w:rPr>
            <w:rStyle w:val="Hyperlink1"/>
            <w:sz w:val="24"/>
            <w:szCs w:val="24"/>
            <w:lang w:val="et-EE"/>
          </w:rPr>
          <w:t>http://data.europa.eu/eli/reg/2018/1046/oj</w:t>
        </w:r>
      </w:hyperlink>
      <w:r w:rsidRPr="005F2094">
        <w:rPr>
          <w:sz w:val="24"/>
          <w:szCs w:val="24"/>
          <w:lang w:val="et-EE"/>
        </w:rPr>
        <w:t>.</w:t>
      </w:r>
    </w:p>
  </w:footnote>
  <w:footnote w:id="118">
    <w:p w14:paraId="748CA466"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2024/2509, 26.9.2024, ELI: </w:t>
      </w:r>
      <w:hyperlink r:id="rId118" w:history="1">
        <w:r w:rsidRPr="005F2094">
          <w:rPr>
            <w:rStyle w:val="Hyperlink1"/>
            <w:sz w:val="24"/>
            <w:szCs w:val="24"/>
            <w:lang w:val="et-EE"/>
          </w:rPr>
          <w:t>http://data.europa.eu/eli/reg/2024/2509/oj</w:t>
        </w:r>
      </w:hyperlink>
      <w:r w:rsidRPr="005F2094">
        <w:rPr>
          <w:sz w:val="24"/>
          <w:szCs w:val="24"/>
          <w:lang w:val="fi-FI"/>
        </w:rPr>
        <w:t>.</w:t>
      </w:r>
    </w:p>
  </w:footnote>
  <w:footnote w:id="119">
    <w:p w14:paraId="528BC714"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126, 21.5.2009, lk 13, ELI: </w:t>
      </w:r>
      <w:hyperlink r:id="rId119" w:history="1">
        <w:r w:rsidRPr="005F2094">
          <w:rPr>
            <w:rStyle w:val="Hyperlink1"/>
            <w:sz w:val="24"/>
            <w:szCs w:val="24"/>
            <w:lang w:val="et-EE"/>
          </w:rPr>
          <w:t>http://data.europa.eu/eli/reg/2009/401/oj</w:t>
        </w:r>
      </w:hyperlink>
      <w:r w:rsidRPr="005F2094">
        <w:rPr>
          <w:sz w:val="24"/>
          <w:szCs w:val="24"/>
          <w:lang w:val="et-EE"/>
        </w:rPr>
        <w:t>.</w:t>
      </w:r>
    </w:p>
  </w:footnote>
  <w:footnote w:id="120">
    <w:p w14:paraId="57613BEE"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122, 10.5.2019, lk 1, ELI: </w:t>
      </w:r>
      <w:hyperlink r:id="rId120" w:history="1">
        <w:r w:rsidRPr="005F2094">
          <w:rPr>
            <w:rStyle w:val="Hyperlink1"/>
            <w:sz w:val="24"/>
            <w:szCs w:val="24"/>
            <w:lang w:val="et-EE"/>
          </w:rPr>
          <w:t>http://data.europa.eu/eli/reg_del/2019/715/oj</w:t>
        </w:r>
      </w:hyperlink>
      <w:r w:rsidRPr="005F2094">
        <w:rPr>
          <w:sz w:val="24"/>
          <w:szCs w:val="24"/>
          <w:lang w:val="et-EE"/>
        </w:rPr>
        <w:t>.</w:t>
      </w:r>
    </w:p>
  </w:footnote>
  <w:footnote w:id="121">
    <w:p w14:paraId="4845085B"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C/2024/6332, 24.10.2024, ELI: </w:t>
      </w:r>
      <w:hyperlink r:id="rId121" w:history="1">
        <w:r w:rsidRPr="005F2094">
          <w:rPr>
            <w:rStyle w:val="Hyperlink1"/>
            <w:sz w:val="24"/>
            <w:szCs w:val="24"/>
            <w:lang w:val="et-EE"/>
          </w:rPr>
          <w:t>http://data.europa.eu/eli/C/2024/6332/oj</w:t>
        </w:r>
      </w:hyperlink>
      <w:r w:rsidRPr="005F2094">
        <w:rPr>
          <w:sz w:val="24"/>
          <w:szCs w:val="24"/>
          <w:lang w:val="et-EE"/>
        </w:rPr>
        <w:t>.</w:t>
      </w:r>
    </w:p>
  </w:footnote>
  <w:footnote w:id="122">
    <w:p w14:paraId="1B5E5E4E"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C/2024/6041, 10.10.2024, ELI: </w:t>
      </w:r>
      <w:hyperlink r:id="rId122" w:history="1">
        <w:r w:rsidRPr="005F2094">
          <w:rPr>
            <w:rStyle w:val="Hyperlink1"/>
            <w:sz w:val="24"/>
            <w:szCs w:val="24"/>
            <w:lang w:val="et-EE"/>
          </w:rPr>
          <w:t>http://data.europa.eu/eli/C/2024/6041/oj</w:t>
        </w:r>
      </w:hyperlink>
      <w:r w:rsidRPr="005F2094">
        <w:rPr>
          <w:sz w:val="24"/>
          <w:szCs w:val="24"/>
          <w:lang w:val="et-EE"/>
        </w:rPr>
        <w:t>.</w:t>
      </w:r>
    </w:p>
  </w:footnote>
  <w:footnote w:id="123">
    <w:p w14:paraId="0E54A89C"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193, 30.7.2018, lk 1, ELI: </w:t>
      </w:r>
      <w:hyperlink r:id="rId123" w:history="1">
        <w:r w:rsidRPr="005F2094">
          <w:rPr>
            <w:rStyle w:val="Hyperlink1"/>
            <w:sz w:val="24"/>
            <w:szCs w:val="24"/>
            <w:lang w:val="et-EE"/>
          </w:rPr>
          <w:t>http://data.europa.eu/eli/reg/2018/1046/oj</w:t>
        </w:r>
      </w:hyperlink>
      <w:r w:rsidRPr="005F2094">
        <w:rPr>
          <w:sz w:val="24"/>
          <w:szCs w:val="24"/>
          <w:lang w:val="et-EE"/>
        </w:rPr>
        <w:t>.</w:t>
      </w:r>
    </w:p>
  </w:footnote>
  <w:footnote w:id="124">
    <w:p w14:paraId="60D52D14"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2024/2509, 26.9.2024, ELI: </w:t>
      </w:r>
      <w:hyperlink r:id="rId124" w:history="1">
        <w:r w:rsidRPr="005F2094">
          <w:rPr>
            <w:rStyle w:val="Hyperlink1"/>
            <w:sz w:val="24"/>
            <w:szCs w:val="24"/>
            <w:lang w:val="et-EE"/>
          </w:rPr>
          <w:t>http://data.europa.eu/eli/reg/2024/2509/oj</w:t>
        </w:r>
      </w:hyperlink>
      <w:r w:rsidRPr="005F2094">
        <w:rPr>
          <w:rStyle w:val="Hyperlink1"/>
          <w:sz w:val="24"/>
          <w:szCs w:val="24"/>
          <w:lang w:val="et-EE"/>
        </w:rPr>
        <w:t>.</w:t>
      </w:r>
    </w:p>
  </w:footnote>
  <w:footnote w:id="125">
    <w:p w14:paraId="6D2F523F"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83, 25.3.2019, lk 18, ELI: </w:t>
      </w:r>
      <w:hyperlink r:id="rId125" w:history="1">
        <w:r w:rsidRPr="005F2094">
          <w:rPr>
            <w:rStyle w:val="Hyperlink1"/>
            <w:sz w:val="24"/>
            <w:szCs w:val="24"/>
            <w:lang w:val="et-EE"/>
          </w:rPr>
          <w:t>http://data.europa.eu/eli/reg/2019/473/oj</w:t>
        </w:r>
      </w:hyperlink>
      <w:r w:rsidRPr="005F2094">
        <w:rPr>
          <w:sz w:val="24"/>
          <w:szCs w:val="24"/>
          <w:lang w:val="et-EE"/>
        </w:rPr>
        <w:t>.</w:t>
      </w:r>
    </w:p>
  </w:footnote>
  <w:footnote w:id="126">
    <w:p w14:paraId="4B733000"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122, 10.5.2019, lk 1, ELI: </w:t>
      </w:r>
      <w:hyperlink r:id="rId126" w:history="1">
        <w:r w:rsidRPr="005F2094">
          <w:rPr>
            <w:rStyle w:val="Hyperlink1"/>
            <w:sz w:val="24"/>
            <w:szCs w:val="24"/>
            <w:lang w:val="et-EE"/>
          </w:rPr>
          <w:t>http://data.europa.eu/eli/reg_del/2019/715/oj</w:t>
        </w:r>
      </w:hyperlink>
      <w:r w:rsidRPr="005F2094">
        <w:rPr>
          <w:sz w:val="24"/>
          <w:szCs w:val="24"/>
          <w:lang w:val="et-EE"/>
        </w:rPr>
        <w:t>.</w:t>
      </w:r>
    </w:p>
  </w:footnote>
  <w:footnote w:id="127">
    <w:p w14:paraId="1D05463F"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C/2024/6332, 24.10.2024, ELI: </w:t>
      </w:r>
      <w:hyperlink r:id="rId127" w:history="1">
        <w:r w:rsidRPr="005F2094">
          <w:rPr>
            <w:rStyle w:val="Hyperlink1"/>
            <w:sz w:val="24"/>
            <w:szCs w:val="24"/>
            <w:lang w:val="et-EE"/>
          </w:rPr>
          <w:t>http://data.europa.eu/eli/C/2024/6332/oj</w:t>
        </w:r>
      </w:hyperlink>
      <w:r w:rsidRPr="005F2094">
        <w:rPr>
          <w:sz w:val="24"/>
          <w:szCs w:val="24"/>
          <w:lang w:val="et-EE"/>
        </w:rPr>
        <w:t>.</w:t>
      </w:r>
    </w:p>
  </w:footnote>
  <w:footnote w:id="128">
    <w:p w14:paraId="6E6494FC"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C/2024/6041, 10.10.2024, ELI: </w:t>
      </w:r>
      <w:hyperlink r:id="rId128" w:history="1">
        <w:r w:rsidRPr="005F2094">
          <w:rPr>
            <w:rStyle w:val="Hyperlink1"/>
            <w:sz w:val="24"/>
            <w:szCs w:val="24"/>
            <w:lang w:val="et-EE"/>
          </w:rPr>
          <w:t>http://data.europa.eu/eli/C/2024/6041/oj</w:t>
        </w:r>
      </w:hyperlink>
      <w:r w:rsidRPr="005F2094">
        <w:rPr>
          <w:sz w:val="24"/>
          <w:szCs w:val="24"/>
          <w:lang w:val="et-EE"/>
        </w:rPr>
        <w:t>.</w:t>
      </w:r>
    </w:p>
  </w:footnote>
  <w:footnote w:id="129">
    <w:p w14:paraId="23B466EF"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193, 30.7.2018, lk 1, ELI: </w:t>
      </w:r>
      <w:hyperlink r:id="rId129" w:history="1">
        <w:r w:rsidRPr="005F2094">
          <w:rPr>
            <w:rStyle w:val="Hyperlink1"/>
            <w:sz w:val="24"/>
            <w:szCs w:val="24"/>
            <w:lang w:val="et-EE"/>
          </w:rPr>
          <w:t>http://data.europa.eu/eli/reg/2018/1046/oj</w:t>
        </w:r>
      </w:hyperlink>
      <w:r w:rsidRPr="005F2094">
        <w:rPr>
          <w:sz w:val="24"/>
          <w:szCs w:val="24"/>
          <w:lang w:val="et-EE"/>
        </w:rPr>
        <w:t>.</w:t>
      </w:r>
    </w:p>
  </w:footnote>
  <w:footnote w:id="130">
    <w:p w14:paraId="5ADD9B24"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2024/2509, 26.9.2024, ELI: </w:t>
      </w:r>
      <w:hyperlink r:id="rId130" w:history="1">
        <w:r w:rsidRPr="005F2094">
          <w:rPr>
            <w:rStyle w:val="Hyperlink1"/>
            <w:sz w:val="24"/>
            <w:szCs w:val="24"/>
            <w:lang w:val="et-EE"/>
          </w:rPr>
          <w:t>http://data.europa.eu/eli/reg/2024/2509/oj</w:t>
        </w:r>
      </w:hyperlink>
      <w:r w:rsidRPr="005F2094">
        <w:rPr>
          <w:rStyle w:val="Hyperlink1"/>
          <w:sz w:val="24"/>
          <w:szCs w:val="24"/>
          <w:lang w:val="et-EE"/>
        </w:rPr>
        <w:t>.</w:t>
      </w:r>
    </w:p>
  </w:footnote>
  <w:footnote w:id="131">
    <w:p w14:paraId="02959663"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83, 25.3.2019, lk 18, ELI: </w:t>
      </w:r>
      <w:hyperlink r:id="rId131" w:history="1">
        <w:r w:rsidRPr="005F2094">
          <w:rPr>
            <w:rStyle w:val="Hyperlink1"/>
            <w:sz w:val="24"/>
            <w:szCs w:val="24"/>
            <w:lang w:val="et-EE"/>
          </w:rPr>
          <w:t>http://data.europa.eu/eli/reg/2019/473/oj</w:t>
        </w:r>
      </w:hyperlink>
      <w:r w:rsidRPr="005F2094">
        <w:rPr>
          <w:sz w:val="24"/>
          <w:szCs w:val="24"/>
          <w:lang w:val="et-EE"/>
        </w:rPr>
        <w:t>.</w:t>
      </w:r>
    </w:p>
  </w:footnote>
  <w:footnote w:id="132">
    <w:p w14:paraId="3FB7136E"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122, 10.5.2019, lk 1, ELI: </w:t>
      </w:r>
      <w:hyperlink r:id="rId132" w:history="1">
        <w:r w:rsidRPr="005F2094">
          <w:rPr>
            <w:rStyle w:val="Hyperlink1"/>
            <w:sz w:val="24"/>
            <w:szCs w:val="24"/>
            <w:lang w:val="et-EE"/>
          </w:rPr>
          <w:t>http://data.europa.eu/eli/reg_del/2019/715/oj</w:t>
        </w:r>
      </w:hyperlink>
      <w:r w:rsidRPr="005F2094">
        <w:rPr>
          <w:sz w:val="24"/>
          <w:szCs w:val="24"/>
          <w:lang w:val="et-EE"/>
        </w:rPr>
        <w:t>.</w:t>
      </w:r>
    </w:p>
  </w:footnote>
  <w:footnote w:id="133">
    <w:p w14:paraId="6D713708"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C/2024/6332, 24.10.2024, ELI: </w:t>
      </w:r>
      <w:hyperlink r:id="rId133" w:history="1">
        <w:r w:rsidRPr="005F2094">
          <w:rPr>
            <w:rStyle w:val="Hyperlink1"/>
            <w:sz w:val="24"/>
            <w:szCs w:val="24"/>
            <w:lang w:val="et-EE"/>
          </w:rPr>
          <w:t>http://data.europa.eu/eli/C/2024/6332/oj</w:t>
        </w:r>
      </w:hyperlink>
      <w:r w:rsidRPr="005F2094">
        <w:rPr>
          <w:sz w:val="24"/>
          <w:szCs w:val="24"/>
          <w:lang w:val="et-EE"/>
        </w:rPr>
        <w:t>.</w:t>
      </w:r>
    </w:p>
  </w:footnote>
  <w:footnote w:id="134">
    <w:p w14:paraId="2B59171B"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C/2024/6041, 10.10.2024, ELI: </w:t>
      </w:r>
      <w:hyperlink r:id="rId134" w:history="1">
        <w:r w:rsidRPr="005F2094">
          <w:rPr>
            <w:rStyle w:val="Hyperlink1"/>
            <w:sz w:val="24"/>
            <w:szCs w:val="24"/>
            <w:lang w:val="et-EE"/>
          </w:rPr>
          <w:t>http://data.europa.eu/eli/C/2024/6041/oj</w:t>
        </w:r>
      </w:hyperlink>
      <w:r w:rsidRPr="005F2094">
        <w:rPr>
          <w:sz w:val="24"/>
          <w:szCs w:val="24"/>
          <w:lang w:val="et-EE"/>
        </w:rPr>
        <w:t>.</w:t>
      </w:r>
    </w:p>
  </w:footnote>
  <w:footnote w:id="135">
    <w:p w14:paraId="13D8418D"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193, 30.7.2018, lk 1, ELI: </w:t>
      </w:r>
      <w:hyperlink r:id="rId135" w:history="1">
        <w:r w:rsidRPr="005F2094">
          <w:rPr>
            <w:rStyle w:val="Hyperlink1"/>
            <w:sz w:val="24"/>
            <w:szCs w:val="24"/>
            <w:lang w:val="et-EE"/>
          </w:rPr>
          <w:t>http://data.europa.eu/eli/reg/2018/1046/oj</w:t>
        </w:r>
      </w:hyperlink>
      <w:r w:rsidRPr="005F2094">
        <w:rPr>
          <w:sz w:val="24"/>
          <w:szCs w:val="24"/>
          <w:lang w:val="et-EE"/>
        </w:rPr>
        <w:t>.</w:t>
      </w:r>
    </w:p>
  </w:footnote>
  <w:footnote w:id="136">
    <w:p w14:paraId="6A57706C"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2024/2509, 26.9.2024, ELI: </w:t>
      </w:r>
      <w:hyperlink r:id="rId136" w:history="1">
        <w:r w:rsidRPr="005F2094">
          <w:rPr>
            <w:rStyle w:val="Hyperlink1"/>
            <w:sz w:val="24"/>
            <w:szCs w:val="24"/>
            <w:lang w:val="et-EE"/>
          </w:rPr>
          <w:t>http://data.europa.eu/eli/reg/2024/2509/oj</w:t>
        </w:r>
      </w:hyperlink>
      <w:r w:rsidRPr="005F2094">
        <w:rPr>
          <w:rStyle w:val="Hyperlink1"/>
          <w:sz w:val="24"/>
          <w:szCs w:val="24"/>
          <w:lang w:val="et-EE"/>
        </w:rPr>
        <w:t>.</w:t>
      </w:r>
    </w:p>
  </w:footnote>
  <w:footnote w:id="137">
    <w:p w14:paraId="3780D3E6"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EÜT L 31, 1.2.2002, lk 1, ELI: </w:t>
      </w:r>
      <w:hyperlink r:id="rId137" w:history="1">
        <w:r w:rsidRPr="005F2094">
          <w:rPr>
            <w:rStyle w:val="Hyperlink1"/>
            <w:sz w:val="24"/>
            <w:szCs w:val="24"/>
            <w:lang w:val="et-EE"/>
          </w:rPr>
          <w:t>http://data.europa.eu/eli/reg/2002/178/oj</w:t>
        </w:r>
      </w:hyperlink>
      <w:r w:rsidRPr="005F2094">
        <w:rPr>
          <w:sz w:val="24"/>
          <w:szCs w:val="24"/>
          <w:lang w:val="et-EE"/>
        </w:rPr>
        <w:t>.</w:t>
      </w:r>
    </w:p>
  </w:footnote>
  <w:footnote w:id="138">
    <w:p w14:paraId="644DF146"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122, 10.5.2019, lk 1, ELI: </w:t>
      </w:r>
      <w:hyperlink r:id="rId138" w:history="1">
        <w:r w:rsidRPr="005F2094">
          <w:rPr>
            <w:rStyle w:val="Hyperlink1"/>
            <w:sz w:val="24"/>
            <w:szCs w:val="24"/>
            <w:lang w:val="et-EE"/>
          </w:rPr>
          <w:t>http://data.europa.eu/eli/reg_del/2019/715/oj</w:t>
        </w:r>
      </w:hyperlink>
      <w:r w:rsidRPr="005F2094">
        <w:rPr>
          <w:sz w:val="24"/>
          <w:szCs w:val="24"/>
          <w:lang w:val="et-EE"/>
        </w:rPr>
        <w:t>.</w:t>
      </w:r>
    </w:p>
  </w:footnote>
  <w:footnote w:id="139">
    <w:p w14:paraId="1D2DF8A7"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C/2024/6332, 24.10.2024, ELI: </w:t>
      </w:r>
      <w:hyperlink r:id="rId139" w:history="1">
        <w:r w:rsidRPr="005F2094">
          <w:rPr>
            <w:rStyle w:val="Hyperlink1"/>
            <w:sz w:val="24"/>
            <w:szCs w:val="24"/>
            <w:lang w:val="et-EE"/>
          </w:rPr>
          <w:t>http://data.europa.eu/eli/C/2024/6332/oj</w:t>
        </w:r>
      </w:hyperlink>
      <w:r w:rsidRPr="005F2094">
        <w:rPr>
          <w:sz w:val="24"/>
          <w:szCs w:val="24"/>
          <w:lang w:val="et-EE"/>
        </w:rPr>
        <w:t>.</w:t>
      </w:r>
    </w:p>
  </w:footnote>
  <w:footnote w:id="140">
    <w:p w14:paraId="07A8D991"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C/2024/6041, 10.10.2024, ELI: </w:t>
      </w:r>
      <w:hyperlink r:id="rId140" w:history="1">
        <w:r w:rsidRPr="005F2094">
          <w:rPr>
            <w:rStyle w:val="Hyperlink1"/>
            <w:sz w:val="24"/>
            <w:szCs w:val="24"/>
            <w:lang w:val="et-EE"/>
          </w:rPr>
          <w:t>http://data.europa.eu/eli/C/2024/6041/oj</w:t>
        </w:r>
      </w:hyperlink>
      <w:r w:rsidRPr="005F2094">
        <w:rPr>
          <w:sz w:val="24"/>
          <w:szCs w:val="24"/>
          <w:lang w:val="et-EE"/>
        </w:rPr>
        <w:t>.</w:t>
      </w:r>
    </w:p>
  </w:footnote>
  <w:footnote w:id="141">
    <w:p w14:paraId="73AF3A4F"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193, 30.7.2018, lk 1, ELI: </w:t>
      </w:r>
      <w:hyperlink r:id="rId141" w:history="1">
        <w:r w:rsidRPr="005F2094">
          <w:rPr>
            <w:rStyle w:val="Hyperlink1"/>
            <w:sz w:val="24"/>
            <w:szCs w:val="24"/>
            <w:lang w:val="et-EE"/>
          </w:rPr>
          <w:t>http://data.europa.eu/eli/reg/2018/1046/oj</w:t>
        </w:r>
      </w:hyperlink>
      <w:r w:rsidRPr="005F2094">
        <w:rPr>
          <w:sz w:val="24"/>
          <w:szCs w:val="24"/>
          <w:lang w:val="et-EE"/>
        </w:rPr>
        <w:t>.</w:t>
      </w:r>
    </w:p>
  </w:footnote>
  <w:footnote w:id="142">
    <w:p w14:paraId="245CD01A"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2024/2509, 26.9.2024, ELI: </w:t>
      </w:r>
      <w:hyperlink r:id="rId142" w:history="1">
        <w:r w:rsidRPr="005F2094">
          <w:rPr>
            <w:rStyle w:val="Hyperlink1"/>
            <w:sz w:val="24"/>
            <w:szCs w:val="24"/>
            <w:lang w:val="et-EE"/>
          </w:rPr>
          <w:t>http://data.europa.eu/eli/reg/2024/2509/oj</w:t>
        </w:r>
      </w:hyperlink>
      <w:r w:rsidRPr="005F2094">
        <w:rPr>
          <w:rStyle w:val="Hyperlink1"/>
          <w:sz w:val="24"/>
          <w:szCs w:val="24"/>
          <w:lang w:val="et-EE"/>
        </w:rPr>
        <w:t>.</w:t>
      </w:r>
    </w:p>
  </w:footnote>
  <w:footnote w:id="143">
    <w:p w14:paraId="17A84266"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EÜT L 31, 1.2.2002, lk 1, ELI: </w:t>
      </w:r>
      <w:hyperlink r:id="rId143" w:history="1">
        <w:r w:rsidRPr="005F2094">
          <w:rPr>
            <w:rStyle w:val="Hyperlink1"/>
            <w:sz w:val="24"/>
            <w:szCs w:val="24"/>
            <w:lang w:val="et-EE"/>
          </w:rPr>
          <w:t>http://data.europa.eu/eli/reg/2002/178/oj</w:t>
        </w:r>
      </w:hyperlink>
      <w:r w:rsidRPr="005F2094">
        <w:rPr>
          <w:sz w:val="24"/>
          <w:szCs w:val="24"/>
          <w:lang w:val="et-EE"/>
        </w:rPr>
        <w:t>.</w:t>
      </w:r>
    </w:p>
  </w:footnote>
  <w:footnote w:id="144">
    <w:p w14:paraId="2D080B70"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122, 10.5.2019, lk 1, ELI: </w:t>
      </w:r>
      <w:hyperlink r:id="rId144" w:history="1">
        <w:r w:rsidRPr="005F2094">
          <w:rPr>
            <w:rStyle w:val="Hyperlink1"/>
            <w:sz w:val="24"/>
            <w:szCs w:val="24"/>
            <w:lang w:val="et-EE"/>
          </w:rPr>
          <w:t>http://data.europa.eu/eli/reg_del/2019/715/oj</w:t>
        </w:r>
      </w:hyperlink>
      <w:r w:rsidRPr="005F2094">
        <w:rPr>
          <w:sz w:val="24"/>
          <w:szCs w:val="24"/>
          <w:lang w:val="et-EE"/>
        </w:rPr>
        <w:t>.</w:t>
      </w:r>
    </w:p>
  </w:footnote>
  <w:footnote w:id="145">
    <w:p w14:paraId="28AB8CFF"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C/2024/6332, 24.10.2024, ELI: </w:t>
      </w:r>
      <w:hyperlink r:id="rId145" w:history="1">
        <w:r w:rsidRPr="005F2094">
          <w:rPr>
            <w:rStyle w:val="Hyperlink1"/>
            <w:sz w:val="24"/>
            <w:szCs w:val="24"/>
            <w:lang w:val="et-EE"/>
          </w:rPr>
          <w:t>http://data.europa.eu/eli/C/2024/6332/oj</w:t>
        </w:r>
      </w:hyperlink>
      <w:r w:rsidRPr="005F2094">
        <w:rPr>
          <w:sz w:val="24"/>
          <w:szCs w:val="24"/>
          <w:lang w:val="et-EE"/>
        </w:rPr>
        <w:t>.</w:t>
      </w:r>
    </w:p>
  </w:footnote>
  <w:footnote w:id="146">
    <w:p w14:paraId="584CED26"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C/2024/6041, 10.10.2024, ELI: </w:t>
      </w:r>
      <w:hyperlink r:id="rId146" w:history="1">
        <w:r w:rsidRPr="005F2094">
          <w:rPr>
            <w:rStyle w:val="Hyperlink1"/>
            <w:sz w:val="24"/>
            <w:szCs w:val="24"/>
            <w:lang w:val="et-EE"/>
          </w:rPr>
          <w:t>http://data.europa.eu/eli/C/2024/6041/oj</w:t>
        </w:r>
      </w:hyperlink>
      <w:r w:rsidRPr="005F2094">
        <w:rPr>
          <w:sz w:val="24"/>
          <w:szCs w:val="24"/>
          <w:lang w:val="et-EE"/>
        </w:rPr>
        <w:t>.</w:t>
      </w:r>
    </w:p>
  </w:footnote>
  <w:footnote w:id="147">
    <w:p w14:paraId="1A32B4D5"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193, 30.7.2018, lk 1, ELI: </w:t>
      </w:r>
      <w:hyperlink r:id="rId147" w:history="1">
        <w:r w:rsidRPr="005F2094">
          <w:rPr>
            <w:rStyle w:val="Hyperlink1"/>
            <w:sz w:val="24"/>
            <w:szCs w:val="24"/>
            <w:lang w:val="et-EE"/>
          </w:rPr>
          <w:t>http://data.europa.eu/eli/reg/2018/1046/oj</w:t>
        </w:r>
      </w:hyperlink>
      <w:r w:rsidRPr="005F2094">
        <w:rPr>
          <w:sz w:val="24"/>
          <w:szCs w:val="24"/>
          <w:lang w:val="et-EE"/>
        </w:rPr>
        <w:t>.</w:t>
      </w:r>
    </w:p>
  </w:footnote>
  <w:footnote w:id="148">
    <w:p w14:paraId="265003AE"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2024/2509, 26.9.2024, ELI: </w:t>
      </w:r>
      <w:hyperlink r:id="rId148" w:history="1">
        <w:r w:rsidRPr="005F2094">
          <w:rPr>
            <w:rStyle w:val="Hyperlink1"/>
            <w:sz w:val="24"/>
            <w:szCs w:val="24"/>
            <w:lang w:val="et-EE"/>
          </w:rPr>
          <w:t>http://data.europa.eu/eli/reg/2024/2509/oj</w:t>
        </w:r>
      </w:hyperlink>
      <w:r w:rsidRPr="005F2094">
        <w:rPr>
          <w:rStyle w:val="Hyperlink1"/>
          <w:sz w:val="24"/>
          <w:szCs w:val="24"/>
          <w:lang w:val="et-EE"/>
        </w:rPr>
        <w:t>.</w:t>
      </w:r>
    </w:p>
  </w:footnote>
  <w:footnote w:id="149">
    <w:p w14:paraId="66A9FBCE"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403, 30.12.2006, lk 9, ELI: </w:t>
      </w:r>
      <w:hyperlink r:id="rId149" w:history="1">
        <w:r w:rsidRPr="005F2094">
          <w:rPr>
            <w:rStyle w:val="Hyperlink1"/>
            <w:sz w:val="24"/>
            <w:szCs w:val="24"/>
            <w:lang w:val="et-EE"/>
          </w:rPr>
          <w:t>http://data.europa.eu/eli/reg/2006/1922/oj</w:t>
        </w:r>
      </w:hyperlink>
      <w:r w:rsidRPr="005F2094">
        <w:rPr>
          <w:sz w:val="24"/>
          <w:szCs w:val="24"/>
          <w:lang w:val="et-EE"/>
        </w:rPr>
        <w:t>.</w:t>
      </w:r>
    </w:p>
  </w:footnote>
  <w:footnote w:id="150">
    <w:p w14:paraId="222E069F"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122, 10.5.2019, lk 1, ELI: </w:t>
      </w:r>
      <w:hyperlink r:id="rId150" w:history="1">
        <w:r w:rsidRPr="005F2094">
          <w:rPr>
            <w:rStyle w:val="Hyperlink1"/>
            <w:sz w:val="24"/>
            <w:szCs w:val="24"/>
            <w:lang w:val="et-EE"/>
          </w:rPr>
          <w:t>http://data.europa.eu/eli/reg_del/2019/715/oj</w:t>
        </w:r>
      </w:hyperlink>
      <w:r w:rsidRPr="005F2094">
        <w:rPr>
          <w:sz w:val="24"/>
          <w:szCs w:val="24"/>
          <w:lang w:val="et-EE"/>
        </w:rPr>
        <w:t>.</w:t>
      </w:r>
    </w:p>
  </w:footnote>
  <w:footnote w:id="151">
    <w:p w14:paraId="5AC0D41B"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C/2024/6332, 24.10.2024, ELI: </w:t>
      </w:r>
      <w:hyperlink r:id="rId151" w:history="1">
        <w:r w:rsidRPr="005F2094">
          <w:rPr>
            <w:rStyle w:val="Hyperlink1"/>
            <w:sz w:val="24"/>
            <w:szCs w:val="24"/>
            <w:lang w:val="et-EE"/>
          </w:rPr>
          <w:t>http://data.europa.eu/eli/C/2024/6332/oj</w:t>
        </w:r>
      </w:hyperlink>
      <w:r w:rsidRPr="005F2094">
        <w:rPr>
          <w:sz w:val="24"/>
          <w:szCs w:val="24"/>
          <w:lang w:val="et-EE"/>
        </w:rPr>
        <w:t>.</w:t>
      </w:r>
    </w:p>
  </w:footnote>
  <w:footnote w:id="152">
    <w:p w14:paraId="3296018D"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C/2024/6041, 10.10.2024, ELI: </w:t>
      </w:r>
      <w:hyperlink r:id="rId152" w:history="1">
        <w:r w:rsidRPr="005F2094">
          <w:rPr>
            <w:rStyle w:val="Hyperlink1"/>
            <w:sz w:val="24"/>
            <w:szCs w:val="24"/>
            <w:lang w:val="et-EE"/>
          </w:rPr>
          <w:t>http://data.europa.eu/eli/C/2024/6041/oj</w:t>
        </w:r>
      </w:hyperlink>
      <w:r w:rsidRPr="005F2094">
        <w:rPr>
          <w:sz w:val="24"/>
          <w:szCs w:val="24"/>
          <w:lang w:val="et-EE"/>
        </w:rPr>
        <w:t>.</w:t>
      </w:r>
    </w:p>
  </w:footnote>
  <w:footnote w:id="153">
    <w:p w14:paraId="3FC64DB9"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193, 30.7.2018, lk 1, ELI: </w:t>
      </w:r>
      <w:hyperlink r:id="rId153" w:history="1">
        <w:r w:rsidRPr="005F2094">
          <w:rPr>
            <w:rStyle w:val="Hyperlink1"/>
            <w:sz w:val="24"/>
            <w:szCs w:val="24"/>
            <w:lang w:val="et-EE"/>
          </w:rPr>
          <w:t>http://data.europa.eu/eli/reg/2018/1046/oj</w:t>
        </w:r>
      </w:hyperlink>
      <w:r w:rsidRPr="005F2094">
        <w:rPr>
          <w:sz w:val="24"/>
          <w:szCs w:val="24"/>
          <w:lang w:val="et-EE"/>
        </w:rPr>
        <w:t>.</w:t>
      </w:r>
    </w:p>
  </w:footnote>
  <w:footnote w:id="154">
    <w:p w14:paraId="35A08155"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2024/2509, 26.9.2024, ELI: </w:t>
      </w:r>
      <w:hyperlink r:id="rId154" w:history="1">
        <w:r w:rsidRPr="005F2094">
          <w:rPr>
            <w:rStyle w:val="Hyperlink1"/>
            <w:sz w:val="24"/>
            <w:szCs w:val="24"/>
            <w:lang w:val="et-EE"/>
          </w:rPr>
          <w:t>http://data.europa.eu/eli/reg/2024/2509/oj</w:t>
        </w:r>
      </w:hyperlink>
      <w:r w:rsidRPr="005F2094">
        <w:rPr>
          <w:rStyle w:val="Hyperlink1"/>
          <w:sz w:val="24"/>
          <w:szCs w:val="24"/>
          <w:lang w:val="et-EE"/>
        </w:rPr>
        <w:t>.</w:t>
      </w:r>
    </w:p>
  </w:footnote>
  <w:footnote w:id="155">
    <w:p w14:paraId="698E6C86"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403, 30.12.2006, lk 9, ELI: </w:t>
      </w:r>
      <w:hyperlink r:id="rId155" w:history="1">
        <w:r w:rsidRPr="005F2094">
          <w:rPr>
            <w:rStyle w:val="Hyperlink1"/>
            <w:sz w:val="24"/>
            <w:szCs w:val="24"/>
            <w:lang w:val="et-EE"/>
          </w:rPr>
          <w:t>http://data.europa.eu/eli/reg/2006/1922/oj</w:t>
        </w:r>
      </w:hyperlink>
      <w:r w:rsidRPr="005F2094">
        <w:rPr>
          <w:sz w:val="24"/>
          <w:szCs w:val="24"/>
          <w:lang w:val="et-EE"/>
        </w:rPr>
        <w:t>.</w:t>
      </w:r>
    </w:p>
  </w:footnote>
  <w:footnote w:id="156">
    <w:p w14:paraId="17E637EF"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122, 10.5.2019, lk 1, ELI: </w:t>
      </w:r>
      <w:hyperlink r:id="rId156" w:history="1">
        <w:r w:rsidRPr="005F2094">
          <w:rPr>
            <w:rStyle w:val="Hyperlink1"/>
            <w:sz w:val="24"/>
            <w:szCs w:val="24"/>
            <w:lang w:val="et-EE"/>
          </w:rPr>
          <w:t>http://data.europa.eu/eli/reg_del/2019/715/oj</w:t>
        </w:r>
      </w:hyperlink>
      <w:r w:rsidRPr="005F2094">
        <w:rPr>
          <w:sz w:val="24"/>
          <w:szCs w:val="24"/>
          <w:lang w:val="et-EE"/>
        </w:rPr>
        <w:t>.</w:t>
      </w:r>
    </w:p>
  </w:footnote>
  <w:footnote w:id="157">
    <w:p w14:paraId="75FC8AD6"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C/2024/6332, 24.10.2024, ELI: </w:t>
      </w:r>
      <w:hyperlink r:id="rId157" w:history="1">
        <w:r w:rsidRPr="005F2094">
          <w:rPr>
            <w:rStyle w:val="Hyperlink1"/>
            <w:sz w:val="24"/>
            <w:szCs w:val="24"/>
            <w:lang w:val="et-EE"/>
          </w:rPr>
          <w:t>http://data.europa.eu/eli/C/2024/6332/oj</w:t>
        </w:r>
      </w:hyperlink>
      <w:r w:rsidRPr="005F2094">
        <w:rPr>
          <w:sz w:val="24"/>
          <w:szCs w:val="24"/>
          <w:lang w:val="et-EE"/>
        </w:rPr>
        <w:t>.</w:t>
      </w:r>
    </w:p>
  </w:footnote>
  <w:footnote w:id="158">
    <w:p w14:paraId="74672ABA"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C/2024/6041, 10.10.2024, ELI: </w:t>
      </w:r>
      <w:hyperlink r:id="rId158" w:history="1">
        <w:r w:rsidRPr="005F2094">
          <w:rPr>
            <w:rStyle w:val="Hyperlink1"/>
            <w:sz w:val="24"/>
            <w:szCs w:val="24"/>
            <w:lang w:val="et-EE"/>
          </w:rPr>
          <w:t>http://data.europa.eu/eli/C/2024/6041/oj</w:t>
        </w:r>
      </w:hyperlink>
      <w:r w:rsidRPr="005F2094">
        <w:rPr>
          <w:sz w:val="24"/>
          <w:szCs w:val="24"/>
          <w:lang w:val="et-EE"/>
        </w:rPr>
        <w:t>.</w:t>
      </w:r>
    </w:p>
  </w:footnote>
  <w:footnote w:id="159">
    <w:p w14:paraId="34DF0C7E"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193, 30.7.2018, lk 1, ELI: </w:t>
      </w:r>
      <w:hyperlink r:id="rId159" w:history="1">
        <w:r w:rsidRPr="005F2094">
          <w:rPr>
            <w:rStyle w:val="Hyperlink1"/>
            <w:sz w:val="24"/>
            <w:szCs w:val="24"/>
            <w:lang w:val="et-EE"/>
          </w:rPr>
          <w:t>http://data.europa.eu/eli/reg/2018/1046/oj</w:t>
        </w:r>
      </w:hyperlink>
      <w:r w:rsidRPr="005F2094">
        <w:rPr>
          <w:sz w:val="24"/>
          <w:szCs w:val="24"/>
          <w:lang w:val="et-EE"/>
        </w:rPr>
        <w:t>.</w:t>
      </w:r>
    </w:p>
  </w:footnote>
  <w:footnote w:id="160">
    <w:p w14:paraId="6BEF1F67"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2024/2509, 26.9.2024, ELI: </w:t>
      </w:r>
      <w:hyperlink r:id="rId160" w:history="1">
        <w:r w:rsidRPr="005F2094">
          <w:rPr>
            <w:rStyle w:val="Hyperlink1"/>
            <w:sz w:val="24"/>
            <w:szCs w:val="24"/>
            <w:lang w:val="et-EE"/>
          </w:rPr>
          <w:t>http://data.europa.eu/eli/reg/2024/2509/oj</w:t>
        </w:r>
      </w:hyperlink>
      <w:r w:rsidRPr="005F2094">
        <w:rPr>
          <w:sz w:val="24"/>
          <w:szCs w:val="24"/>
          <w:lang w:val="fi-FI"/>
        </w:rPr>
        <w:t>.</w:t>
      </w:r>
    </w:p>
  </w:footnote>
  <w:footnote w:id="161">
    <w:p w14:paraId="4F94A642"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331, 15.12.2010, lk 48, ELI: </w:t>
      </w:r>
      <w:hyperlink r:id="rId161" w:history="1">
        <w:r w:rsidRPr="005F2094">
          <w:rPr>
            <w:rStyle w:val="Hyperlink1"/>
            <w:sz w:val="24"/>
            <w:szCs w:val="24"/>
            <w:lang w:val="et-EE"/>
          </w:rPr>
          <w:t>http://data.europa.eu/eli/reg/2010/1094/oj</w:t>
        </w:r>
      </w:hyperlink>
      <w:r w:rsidRPr="005F2094">
        <w:rPr>
          <w:sz w:val="24"/>
          <w:szCs w:val="24"/>
          <w:lang w:val="et-EE"/>
        </w:rPr>
        <w:t>.</w:t>
      </w:r>
    </w:p>
  </w:footnote>
  <w:footnote w:id="162">
    <w:p w14:paraId="14BB04ED"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122, 10.5.2019, lk 1, ELI: </w:t>
      </w:r>
      <w:hyperlink r:id="rId162" w:history="1">
        <w:r w:rsidRPr="005F2094">
          <w:rPr>
            <w:rStyle w:val="Hyperlink1"/>
            <w:sz w:val="24"/>
            <w:szCs w:val="24"/>
            <w:lang w:val="et-EE"/>
          </w:rPr>
          <w:t>http://data.europa.eu/eli/reg_del/2019/715/oj</w:t>
        </w:r>
      </w:hyperlink>
      <w:r w:rsidRPr="005F2094">
        <w:rPr>
          <w:sz w:val="24"/>
          <w:szCs w:val="24"/>
          <w:lang w:val="et-EE"/>
        </w:rPr>
        <w:t>.</w:t>
      </w:r>
    </w:p>
  </w:footnote>
  <w:footnote w:id="163">
    <w:p w14:paraId="65B8AE7E"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C/2024/6332, 24.10.2024, ELI: </w:t>
      </w:r>
      <w:hyperlink r:id="rId163" w:history="1">
        <w:r w:rsidRPr="005F2094">
          <w:rPr>
            <w:rStyle w:val="Hyperlink1"/>
            <w:sz w:val="24"/>
            <w:szCs w:val="24"/>
            <w:lang w:val="et-EE"/>
          </w:rPr>
          <w:t>http://data.europa.eu/eli/C/2024/6332/oj</w:t>
        </w:r>
      </w:hyperlink>
      <w:r w:rsidRPr="005F2094">
        <w:rPr>
          <w:sz w:val="24"/>
          <w:szCs w:val="24"/>
          <w:lang w:val="et-EE"/>
        </w:rPr>
        <w:t>.</w:t>
      </w:r>
    </w:p>
  </w:footnote>
  <w:footnote w:id="164">
    <w:p w14:paraId="790B1307"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C/2024/6041, 10.10.2024, ELI: </w:t>
      </w:r>
      <w:hyperlink r:id="rId164" w:history="1">
        <w:r w:rsidRPr="005F2094">
          <w:rPr>
            <w:rStyle w:val="Hyperlink1"/>
            <w:sz w:val="24"/>
            <w:szCs w:val="24"/>
            <w:lang w:val="et-EE"/>
          </w:rPr>
          <w:t>http://data.europa.eu/eli/C/2024/6041/oj</w:t>
        </w:r>
      </w:hyperlink>
      <w:r w:rsidRPr="005F2094">
        <w:rPr>
          <w:sz w:val="24"/>
          <w:szCs w:val="24"/>
          <w:lang w:val="et-EE"/>
        </w:rPr>
        <w:t>.</w:t>
      </w:r>
    </w:p>
  </w:footnote>
  <w:footnote w:id="165">
    <w:p w14:paraId="38E5EC07"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193, 30.7.2018, lk 1, ELI: </w:t>
      </w:r>
      <w:hyperlink r:id="rId165" w:history="1">
        <w:r w:rsidRPr="005F2094">
          <w:rPr>
            <w:rStyle w:val="Hyperlink1"/>
            <w:sz w:val="24"/>
            <w:szCs w:val="24"/>
            <w:lang w:val="et-EE"/>
          </w:rPr>
          <w:t>http://data.europa.eu/eli/reg/2018/1046/oj</w:t>
        </w:r>
      </w:hyperlink>
      <w:r w:rsidRPr="005F2094">
        <w:rPr>
          <w:sz w:val="24"/>
          <w:szCs w:val="24"/>
          <w:lang w:val="et-EE"/>
        </w:rPr>
        <w:t>.</w:t>
      </w:r>
    </w:p>
  </w:footnote>
  <w:footnote w:id="166">
    <w:p w14:paraId="679CA561"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2024/2509, 26.9.2024, ELI: </w:t>
      </w:r>
      <w:hyperlink r:id="rId166" w:history="1">
        <w:r w:rsidRPr="005F2094">
          <w:rPr>
            <w:rStyle w:val="Hyperlink1"/>
            <w:sz w:val="24"/>
            <w:szCs w:val="24"/>
            <w:lang w:val="et-EE"/>
          </w:rPr>
          <w:t>http://data.europa.eu/eli/reg/2024/2509/oj</w:t>
        </w:r>
      </w:hyperlink>
      <w:r w:rsidRPr="005F2094">
        <w:rPr>
          <w:sz w:val="24"/>
          <w:szCs w:val="24"/>
          <w:lang w:val="fi-FI"/>
        </w:rPr>
        <w:t>.</w:t>
      </w:r>
    </w:p>
  </w:footnote>
  <w:footnote w:id="167">
    <w:p w14:paraId="7F815619"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331, 15.12.2010, lk 48, ELI: </w:t>
      </w:r>
      <w:hyperlink r:id="rId167" w:history="1">
        <w:r w:rsidRPr="005F2094">
          <w:rPr>
            <w:rStyle w:val="Hyperlink1"/>
            <w:sz w:val="24"/>
            <w:szCs w:val="24"/>
            <w:lang w:val="et-EE"/>
          </w:rPr>
          <w:t>http://data.europa.eu/eli/reg/2010/1094/oj</w:t>
        </w:r>
      </w:hyperlink>
      <w:r w:rsidRPr="005F2094">
        <w:rPr>
          <w:sz w:val="24"/>
          <w:szCs w:val="24"/>
          <w:lang w:val="et-EE"/>
        </w:rPr>
        <w:t>.</w:t>
      </w:r>
    </w:p>
  </w:footnote>
  <w:footnote w:id="168">
    <w:p w14:paraId="1FD0F173"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122, 10.5.2019, lk 1, ELI: </w:t>
      </w:r>
      <w:hyperlink r:id="rId168" w:history="1">
        <w:r w:rsidRPr="005F2094">
          <w:rPr>
            <w:rStyle w:val="Hyperlink1"/>
            <w:sz w:val="24"/>
            <w:szCs w:val="24"/>
            <w:lang w:val="et-EE"/>
          </w:rPr>
          <w:t>http://data.europa.eu/eli/reg_del/2019/715/oj</w:t>
        </w:r>
      </w:hyperlink>
      <w:r w:rsidRPr="005F2094">
        <w:rPr>
          <w:sz w:val="24"/>
          <w:szCs w:val="24"/>
          <w:lang w:val="et-EE"/>
        </w:rPr>
        <w:t>.</w:t>
      </w:r>
    </w:p>
  </w:footnote>
  <w:footnote w:id="169">
    <w:p w14:paraId="2DCB7FB4"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C/2024/6332, 24.10.2024, ELI: </w:t>
      </w:r>
      <w:hyperlink r:id="rId169" w:history="1">
        <w:r w:rsidRPr="005F2094">
          <w:rPr>
            <w:rStyle w:val="Hyperlink1"/>
            <w:sz w:val="24"/>
            <w:szCs w:val="24"/>
            <w:lang w:val="et-EE"/>
          </w:rPr>
          <w:t>http://data.europa.eu/eli/C/2024/6332/oj</w:t>
        </w:r>
      </w:hyperlink>
      <w:r w:rsidRPr="005F2094">
        <w:rPr>
          <w:sz w:val="24"/>
          <w:szCs w:val="24"/>
          <w:lang w:val="et-EE"/>
        </w:rPr>
        <w:t>.</w:t>
      </w:r>
    </w:p>
  </w:footnote>
  <w:footnote w:id="170">
    <w:p w14:paraId="72EED555"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C/2024/6041, 10.10.2024, ELI: </w:t>
      </w:r>
      <w:hyperlink r:id="rId170" w:history="1">
        <w:r w:rsidRPr="005F2094">
          <w:rPr>
            <w:rStyle w:val="Hyperlink1"/>
            <w:sz w:val="24"/>
            <w:szCs w:val="24"/>
            <w:lang w:val="et-EE"/>
          </w:rPr>
          <w:t>http://data.europa.eu/eli/C/2024/6041/oj</w:t>
        </w:r>
      </w:hyperlink>
      <w:r w:rsidRPr="005F2094">
        <w:rPr>
          <w:sz w:val="24"/>
          <w:szCs w:val="24"/>
          <w:lang w:val="et-EE"/>
        </w:rPr>
        <w:t>.</w:t>
      </w:r>
    </w:p>
  </w:footnote>
  <w:footnote w:id="171">
    <w:p w14:paraId="4F7B1FE1"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193, 30.7.2018, lk 1, ELI: </w:t>
      </w:r>
      <w:hyperlink r:id="rId171" w:history="1">
        <w:r w:rsidRPr="005F2094">
          <w:rPr>
            <w:rStyle w:val="Hyperlink1"/>
            <w:sz w:val="24"/>
            <w:szCs w:val="24"/>
            <w:lang w:val="et-EE"/>
          </w:rPr>
          <w:t>http://data.europa.eu/eli/reg/2018/1046/oj</w:t>
        </w:r>
      </w:hyperlink>
      <w:r w:rsidRPr="005F2094">
        <w:rPr>
          <w:sz w:val="24"/>
          <w:szCs w:val="24"/>
          <w:lang w:val="et-EE"/>
        </w:rPr>
        <w:t>.</w:t>
      </w:r>
    </w:p>
  </w:footnote>
  <w:footnote w:id="172">
    <w:p w14:paraId="4182DA46"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2024/2509, 26.9.2024, ELI: </w:t>
      </w:r>
      <w:hyperlink r:id="rId172" w:history="1">
        <w:r w:rsidRPr="005F2094">
          <w:rPr>
            <w:rStyle w:val="Hyperlink1"/>
            <w:sz w:val="24"/>
            <w:szCs w:val="24"/>
            <w:lang w:val="et-EE"/>
          </w:rPr>
          <w:t>http://data.europa.eu/eli/reg/2024/2509/oj</w:t>
        </w:r>
      </w:hyperlink>
      <w:r w:rsidRPr="005F2094">
        <w:rPr>
          <w:sz w:val="24"/>
          <w:szCs w:val="24"/>
          <w:lang w:val="fi-FI"/>
        </w:rPr>
        <w:t>.</w:t>
      </w:r>
    </w:p>
  </w:footnote>
  <w:footnote w:id="173">
    <w:p w14:paraId="53FC799C"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189, 28.5.2021, lk 61, ELI: </w:t>
      </w:r>
      <w:hyperlink r:id="rId173" w:history="1">
        <w:r w:rsidRPr="005F2094">
          <w:rPr>
            <w:rStyle w:val="Hyperlink1"/>
            <w:sz w:val="24"/>
            <w:szCs w:val="24"/>
            <w:lang w:val="et-EE"/>
          </w:rPr>
          <w:t>http://data.europa.eu/eli/reg/2021/819/oj</w:t>
        </w:r>
      </w:hyperlink>
      <w:r w:rsidRPr="005F2094">
        <w:rPr>
          <w:sz w:val="24"/>
          <w:szCs w:val="24"/>
          <w:lang w:val="et-EE"/>
        </w:rPr>
        <w:t>.</w:t>
      </w:r>
    </w:p>
  </w:footnote>
  <w:footnote w:id="174">
    <w:p w14:paraId="17D228C5"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122, 10.5.2019, lk 1, ELI: </w:t>
      </w:r>
      <w:hyperlink r:id="rId174" w:history="1">
        <w:r w:rsidRPr="005F2094">
          <w:rPr>
            <w:rStyle w:val="Hyperlink1"/>
            <w:sz w:val="24"/>
            <w:szCs w:val="24"/>
            <w:lang w:val="et-EE"/>
          </w:rPr>
          <w:t>http://data.europa.eu/eli/reg_del/2019/715/oj</w:t>
        </w:r>
      </w:hyperlink>
      <w:r w:rsidRPr="005F2094">
        <w:rPr>
          <w:sz w:val="24"/>
          <w:szCs w:val="24"/>
          <w:lang w:val="et-EE"/>
        </w:rPr>
        <w:t>.</w:t>
      </w:r>
    </w:p>
  </w:footnote>
  <w:footnote w:id="175">
    <w:p w14:paraId="7472D1E6"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C/2024/6332, 24.10.2024, ELI: </w:t>
      </w:r>
      <w:hyperlink r:id="rId175" w:history="1">
        <w:r w:rsidRPr="005F2094">
          <w:rPr>
            <w:rStyle w:val="Hyperlink1"/>
            <w:sz w:val="24"/>
            <w:szCs w:val="24"/>
            <w:lang w:val="et-EE"/>
          </w:rPr>
          <w:t>http://data.europa.eu/eli/C/2024/6332/oj</w:t>
        </w:r>
      </w:hyperlink>
      <w:r w:rsidRPr="005F2094">
        <w:rPr>
          <w:sz w:val="24"/>
          <w:szCs w:val="24"/>
          <w:lang w:val="et-EE"/>
        </w:rPr>
        <w:t>.</w:t>
      </w:r>
    </w:p>
  </w:footnote>
  <w:footnote w:id="176">
    <w:p w14:paraId="73EB5791"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C/2024/6041, 10.10.2024, ELI: </w:t>
      </w:r>
      <w:hyperlink r:id="rId176" w:history="1">
        <w:r w:rsidRPr="005F2094">
          <w:rPr>
            <w:rStyle w:val="Hyperlink1"/>
            <w:sz w:val="24"/>
            <w:szCs w:val="24"/>
            <w:lang w:val="et-EE"/>
          </w:rPr>
          <w:t>http://data.europa.eu/eli/C/2024/6041/oj</w:t>
        </w:r>
      </w:hyperlink>
      <w:r w:rsidRPr="005F2094">
        <w:rPr>
          <w:sz w:val="24"/>
          <w:szCs w:val="24"/>
          <w:lang w:val="et-EE"/>
        </w:rPr>
        <w:t>.</w:t>
      </w:r>
    </w:p>
  </w:footnote>
  <w:footnote w:id="177">
    <w:p w14:paraId="268B4EFD"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193, 30.7.2018, lk 1, ELI: </w:t>
      </w:r>
      <w:hyperlink r:id="rId177" w:history="1">
        <w:r w:rsidRPr="005F2094">
          <w:rPr>
            <w:rStyle w:val="Hyperlink1"/>
            <w:sz w:val="24"/>
            <w:szCs w:val="24"/>
            <w:lang w:val="et-EE"/>
          </w:rPr>
          <w:t>http://data.europa.eu/eli/reg/2018/1046/oj</w:t>
        </w:r>
      </w:hyperlink>
      <w:r w:rsidRPr="005F2094">
        <w:rPr>
          <w:sz w:val="24"/>
          <w:szCs w:val="24"/>
          <w:lang w:val="et-EE"/>
        </w:rPr>
        <w:t>.</w:t>
      </w:r>
    </w:p>
  </w:footnote>
  <w:footnote w:id="178">
    <w:p w14:paraId="4961F662"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2024/2509, 26.9.2024, ELI: </w:t>
      </w:r>
      <w:hyperlink r:id="rId178" w:history="1">
        <w:r w:rsidRPr="005F2094">
          <w:rPr>
            <w:rStyle w:val="Hyperlink1"/>
            <w:sz w:val="24"/>
            <w:szCs w:val="24"/>
            <w:lang w:val="et-EE"/>
          </w:rPr>
          <w:t>http://data.europa.eu/eli/reg/2024/2509/oj</w:t>
        </w:r>
      </w:hyperlink>
      <w:r w:rsidRPr="005F2094">
        <w:rPr>
          <w:rStyle w:val="Hyperlink1"/>
          <w:sz w:val="24"/>
          <w:szCs w:val="24"/>
          <w:lang w:val="et-EE"/>
        </w:rPr>
        <w:t>.</w:t>
      </w:r>
    </w:p>
  </w:footnote>
  <w:footnote w:id="179">
    <w:p w14:paraId="4E35E977"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189, 28.5.2021, lk 61, ELI: </w:t>
      </w:r>
      <w:hyperlink r:id="rId179" w:history="1">
        <w:r w:rsidRPr="005F2094">
          <w:rPr>
            <w:rStyle w:val="Hyperlink1"/>
            <w:sz w:val="24"/>
            <w:szCs w:val="24"/>
            <w:lang w:val="et-EE"/>
          </w:rPr>
          <w:t>http://data.europa.eu/eli/reg/2021/819/oj</w:t>
        </w:r>
      </w:hyperlink>
      <w:r w:rsidRPr="005F2094">
        <w:rPr>
          <w:sz w:val="24"/>
          <w:szCs w:val="24"/>
          <w:lang w:val="et-EE"/>
        </w:rPr>
        <w:t>.</w:t>
      </w:r>
    </w:p>
  </w:footnote>
  <w:footnote w:id="180">
    <w:p w14:paraId="054A483C"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122, 10.5.2019, lk 1, ELI: </w:t>
      </w:r>
      <w:hyperlink r:id="rId180" w:history="1">
        <w:r w:rsidRPr="005F2094">
          <w:rPr>
            <w:rStyle w:val="Hyperlink1"/>
            <w:sz w:val="24"/>
            <w:szCs w:val="24"/>
            <w:lang w:val="et-EE"/>
          </w:rPr>
          <w:t>http://data.europa.eu/eli/reg_del/2019/715/oj</w:t>
        </w:r>
      </w:hyperlink>
      <w:r w:rsidRPr="005F2094">
        <w:rPr>
          <w:sz w:val="24"/>
          <w:szCs w:val="24"/>
          <w:lang w:val="et-EE"/>
        </w:rPr>
        <w:t>.</w:t>
      </w:r>
    </w:p>
  </w:footnote>
  <w:footnote w:id="181">
    <w:p w14:paraId="0DC1DCA6"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C/2024/6332, 24.10.2024, ELI: </w:t>
      </w:r>
      <w:hyperlink r:id="rId181" w:history="1">
        <w:r w:rsidRPr="005F2094">
          <w:rPr>
            <w:rStyle w:val="Hyperlink1"/>
            <w:sz w:val="24"/>
            <w:szCs w:val="24"/>
            <w:lang w:val="et-EE"/>
          </w:rPr>
          <w:t>http://data.europa.eu/eli/C/2024/6332/oj</w:t>
        </w:r>
      </w:hyperlink>
      <w:r w:rsidRPr="005F2094">
        <w:rPr>
          <w:sz w:val="24"/>
          <w:szCs w:val="24"/>
          <w:lang w:val="et-EE"/>
        </w:rPr>
        <w:t>.</w:t>
      </w:r>
    </w:p>
  </w:footnote>
  <w:footnote w:id="182">
    <w:p w14:paraId="613A7E48"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C/2024/6041, 10.10.2024, ELI: </w:t>
      </w:r>
      <w:hyperlink r:id="rId182" w:history="1">
        <w:r w:rsidRPr="005F2094">
          <w:rPr>
            <w:rStyle w:val="Hyperlink1"/>
            <w:sz w:val="24"/>
            <w:szCs w:val="24"/>
            <w:lang w:val="et-EE"/>
          </w:rPr>
          <w:t>http://data.europa.eu/eli/C/2024/6041/oj</w:t>
        </w:r>
      </w:hyperlink>
      <w:r w:rsidRPr="005F2094">
        <w:rPr>
          <w:sz w:val="24"/>
          <w:szCs w:val="24"/>
          <w:lang w:val="et-EE"/>
        </w:rPr>
        <w:t>.</w:t>
      </w:r>
    </w:p>
  </w:footnote>
  <w:footnote w:id="183">
    <w:p w14:paraId="1C0B6FEB"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193, 30.7.2018, lk 1, ELI: </w:t>
      </w:r>
      <w:hyperlink r:id="rId183" w:history="1">
        <w:r w:rsidRPr="005F2094">
          <w:rPr>
            <w:rStyle w:val="Hyperlink1"/>
            <w:sz w:val="24"/>
            <w:szCs w:val="24"/>
            <w:lang w:val="et-EE"/>
          </w:rPr>
          <w:t>http://data.europa.eu/eli/reg/2018/1046/oj</w:t>
        </w:r>
      </w:hyperlink>
      <w:r w:rsidRPr="005F2094">
        <w:rPr>
          <w:sz w:val="24"/>
          <w:szCs w:val="24"/>
          <w:lang w:val="et-EE"/>
        </w:rPr>
        <w:t>.</w:t>
      </w:r>
    </w:p>
  </w:footnote>
  <w:footnote w:id="184">
    <w:p w14:paraId="7DD14317"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2024/2509, 26.9.2024, ELI: </w:t>
      </w:r>
      <w:hyperlink r:id="rId184" w:history="1">
        <w:r w:rsidRPr="005F2094">
          <w:rPr>
            <w:rStyle w:val="Hyperlink1"/>
            <w:sz w:val="24"/>
            <w:szCs w:val="24"/>
            <w:lang w:val="et-EE"/>
          </w:rPr>
          <w:t>http://data.europa.eu/eli/reg/2024/2509/oj</w:t>
        </w:r>
      </w:hyperlink>
      <w:r w:rsidRPr="005F2094">
        <w:rPr>
          <w:rStyle w:val="Hyperlink1"/>
          <w:sz w:val="24"/>
          <w:szCs w:val="24"/>
          <w:lang w:val="et-EE"/>
        </w:rPr>
        <w:t>.</w:t>
      </w:r>
    </w:p>
  </w:footnote>
  <w:footnote w:id="185">
    <w:p w14:paraId="6007B673"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186, 11.7.2019, lk 21, ELI: </w:t>
      </w:r>
      <w:hyperlink r:id="rId185" w:history="1">
        <w:r w:rsidRPr="005F2094">
          <w:rPr>
            <w:rStyle w:val="Hyperlink1"/>
            <w:sz w:val="24"/>
            <w:szCs w:val="24"/>
            <w:lang w:val="et-EE"/>
          </w:rPr>
          <w:t>http://data.europa.eu/eli/reg/2019/1149/oj</w:t>
        </w:r>
      </w:hyperlink>
      <w:r w:rsidRPr="005F2094">
        <w:rPr>
          <w:sz w:val="24"/>
          <w:szCs w:val="24"/>
          <w:lang w:val="et-EE"/>
        </w:rPr>
        <w:t>.</w:t>
      </w:r>
    </w:p>
  </w:footnote>
  <w:footnote w:id="186">
    <w:p w14:paraId="22EF459A"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122, 10.5.2019, lk 1, ELI: </w:t>
      </w:r>
      <w:hyperlink r:id="rId186" w:history="1">
        <w:r w:rsidRPr="005F2094">
          <w:rPr>
            <w:rStyle w:val="Hyperlink1"/>
            <w:sz w:val="24"/>
            <w:szCs w:val="24"/>
            <w:lang w:val="et-EE"/>
          </w:rPr>
          <w:t>http://data.europa.eu/eli/reg_del/2019/715/oj</w:t>
        </w:r>
      </w:hyperlink>
      <w:r w:rsidRPr="005F2094">
        <w:rPr>
          <w:sz w:val="24"/>
          <w:szCs w:val="24"/>
          <w:lang w:val="et-EE"/>
        </w:rPr>
        <w:t>.</w:t>
      </w:r>
    </w:p>
  </w:footnote>
  <w:footnote w:id="187">
    <w:p w14:paraId="504DE708"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C/2024/6332, 24.10.2024, ELI: </w:t>
      </w:r>
      <w:hyperlink r:id="rId187" w:history="1">
        <w:r w:rsidRPr="005F2094">
          <w:rPr>
            <w:rStyle w:val="Hyperlink1"/>
            <w:sz w:val="24"/>
            <w:szCs w:val="24"/>
            <w:lang w:val="et-EE"/>
          </w:rPr>
          <w:t>http://data.europa.eu/eli/C/2024/6332/oj</w:t>
        </w:r>
      </w:hyperlink>
      <w:r w:rsidRPr="005F2094">
        <w:rPr>
          <w:sz w:val="24"/>
          <w:szCs w:val="24"/>
          <w:lang w:val="et-EE"/>
        </w:rPr>
        <w:t>.</w:t>
      </w:r>
    </w:p>
  </w:footnote>
  <w:footnote w:id="188">
    <w:p w14:paraId="57A4FFB0"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C/2024/6041, 10.10.2024, ELI: </w:t>
      </w:r>
      <w:hyperlink r:id="rId188" w:history="1">
        <w:r w:rsidRPr="005F2094">
          <w:rPr>
            <w:rStyle w:val="Hyperlink1"/>
            <w:sz w:val="24"/>
            <w:szCs w:val="24"/>
            <w:lang w:val="et-EE"/>
          </w:rPr>
          <w:t>http://data.europa.eu/eli/C/2024/6041/oj</w:t>
        </w:r>
      </w:hyperlink>
      <w:r w:rsidRPr="005F2094">
        <w:rPr>
          <w:sz w:val="24"/>
          <w:szCs w:val="24"/>
          <w:lang w:val="et-EE"/>
        </w:rPr>
        <w:t>.</w:t>
      </w:r>
    </w:p>
  </w:footnote>
  <w:footnote w:id="189">
    <w:p w14:paraId="6FF1DE59"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193, 30.7.2018, lk 1, ELI: </w:t>
      </w:r>
      <w:hyperlink r:id="rId189" w:history="1">
        <w:r w:rsidRPr="005F2094">
          <w:rPr>
            <w:rStyle w:val="Hyperlink1"/>
            <w:sz w:val="24"/>
            <w:szCs w:val="24"/>
            <w:lang w:val="et-EE"/>
          </w:rPr>
          <w:t>http://data.europa.eu/eli/reg/2018/1046/oj</w:t>
        </w:r>
      </w:hyperlink>
      <w:r w:rsidRPr="005F2094">
        <w:rPr>
          <w:sz w:val="24"/>
          <w:szCs w:val="24"/>
          <w:lang w:val="et-EE"/>
        </w:rPr>
        <w:t>.</w:t>
      </w:r>
    </w:p>
  </w:footnote>
  <w:footnote w:id="190">
    <w:p w14:paraId="2CEBED40"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2024/2509, 26.9.2024, ELI: </w:t>
      </w:r>
      <w:hyperlink r:id="rId190" w:history="1">
        <w:r w:rsidRPr="005F2094">
          <w:rPr>
            <w:rStyle w:val="Hyperlink1"/>
            <w:sz w:val="24"/>
            <w:szCs w:val="24"/>
            <w:lang w:val="et-EE"/>
          </w:rPr>
          <w:t>http://data.europa.eu/eli/reg/2024/2509/oj</w:t>
        </w:r>
      </w:hyperlink>
      <w:r w:rsidRPr="005F2094">
        <w:rPr>
          <w:rStyle w:val="Hyperlink1"/>
          <w:sz w:val="24"/>
          <w:szCs w:val="24"/>
          <w:lang w:val="et-EE"/>
        </w:rPr>
        <w:t>.</w:t>
      </w:r>
    </w:p>
  </w:footnote>
  <w:footnote w:id="191">
    <w:p w14:paraId="71F97FE5"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186, 11.7.2019, lk 21, ELI: </w:t>
      </w:r>
      <w:hyperlink r:id="rId191" w:history="1">
        <w:r w:rsidRPr="005F2094">
          <w:rPr>
            <w:rStyle w:val="Hyperlink1"/>
            <w:sz w:val="24"/>
            <w:szCs w:val="24"/>
            <w:lang w:val="et-EE"/>
          </w:rPr>
          <w:t>http://data.europa.eu/eli/reg/2019/1149/oj</w:t>
        </w:r>
      </w:hyperlink>
      <w:r w:rsidRPr="005F2094">
        <w:rPr>
          <w:sz w:val="24"/>
          <w:szCs w:val="24"/>
          <w:lang w:val="et-EE"/>
        </w:rPr>
        <w:t>.</w:t>
      </w:r>
    </w:p>
  </w:footnote>
  <w:footnote w:id="192">
    <w:p w14:paraId="0BAC779F"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122, 10.5.2019, lk 1, ELI: </w:t>
      </w:r>
      <w:hyperlink r:id="rId192" w:history="1">
        <w:r w:rsidRPr="005F2094">
          <w:rPr>
            <w:rStyle w:val="Hyperlink1"/>
            <w:sz w:val="24"/>
            <w:szCs w:val="24"/>
            <w:lang w:val="et-EE"/>
          </w:rPr>
          <w:t>http://data.europa.eu/eli/reg_del/2019/715/oj</w:t>
        </w:r>
      </w:hyperlink>
      <w:r w:rsidRPr="005F2094">
        <w:rPr>
          <w:sz w:val="24"/>
          <w:szCs w:val="24"/>
          <w:lang w:val="et-EE"/>
        </w:rPr>
        <w:t>.</w:t>
      </w:r>
    </w:p>
  </w:footnote>
  <w:footnote w:id="193">
    <w:p w14:paraId="7275B2F3"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C/2024/6332, 24.10.2024, ELI: </w:t>
      </w:r>
      <w:hyperlink r:id="rId193" w:history="1">
        <w:r w:rsidRPr="005F2094">
          <w:rPr>
            <w:rStyle w:val="Hyperlink1"/>
            <w:sz w:val="24"/>
            <w:szCs w:val="24"/>
            <w:lang w:val="et-EE"/>
          </w:rPr>
          <w:t>http://data.europa.eu/eli/C/2024/6332/oj</w:t>
        </w:r>
      </w:hyperlink>
      <w:r w:rsidRPr="005F2094">
        <w:rPr>
          <w:sz w:val="24"/>
          <w:szCs w:val="24"/>
          <w:lang w:val="et-EE"/>
        </w:rPr>
        <w:t>.</w:t>
      </w:r>
    </w:p>
  </w:footnote>
  <w:footnote w:id="194">
    <w:p w14:paraId="285F0A37"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C/2024/6041, 10.10.2024, ELI: </w:t>
      </w:r>
      <w:hyperlink r:id="rId194" w:history="1">
        <w:r w:rsidRPr="005F2094">
          <w:rPr>
            <w:rStyle w:val="Hyperlink1"/>
            <w:sz w:val="24"/>
            <w:szCs w:val="24"/>
            <w:lang w:val="et-EE"/>
          </w:rPr>
          <w:t>http://data.europa.eu/eli/C/2024/6041/oj</w:t>
        </w:r>
      </w:hyperlink>
      <w:r w:rsidRPr="005F2094">
        <w:rPr>
          <w:sz w:val="24"/>
          <w:szCs w:val="24"/>
          <w:lang w:val="et-EE"/>
        </w:rPr>
        <w:t>.</w:t>
      </w:r>
    </w:p>
  </w:footnote>
  <w:footnote w:id="195">
    <w:p w14:paraId="6117B639"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193, 30.7.2018, lk 1, ELI: </w:t>
      </w:r>
      <w:hyperlink r:id="rId195" w:history="1">
        <w:r w:rsidRPr="005F2094">
          <w:rPr>
            <w:rStyle w:val="Hyperlink1"/>
            <w:sz w:val="24"/>
            <w:szCs w:val="24"/>
            <w:lang w:val="et-EE"/>
          </w:rPr>
          <w:t>http://data.europa.eu/eli/reg/2018/1046/oj</w:t>
        </w:r>
      </w:hyperlink>
      <w:r w:rsidRPr="005F2094">
        <w:rPr>
          <w:sz w:val="24"/>
          <w:szCs w:val="24"/>
          <w:lang w:val="et-EE"/>
        </w:rPr>
        <w:t>.</w:t>
      </w:r>
    </w:p>
  </w:footnote>
  <w:footnote w:id="196">
    <w:p w14:paraId="65B6852B"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2024/2509, 26.9.2024, ELI: </w:t>
      </w:r>
      <w:hyperlink r:id="rId196" w:history="1">
        <w:r w:rsidRPr="005F2094">
          <w:rPr>
            <w:rStyle w:val="Hyperlink1"/>
            <w:sz w:val="24"/>
            <w:szCs w:val="24"/>
            <w:lang w:val="et-EE"/>
          </w:rPr>
          <w:t>http://data.europa.eu/eli/reg/2024/2509/oj</w:t>
        </w:r>
      </w:hyperlink>
      <w:r w:rsidRPr="005F2094">
        <w:rPr>
          <w:rStyle w:val="Hyperlink1"/>
          <w:sz w:val="24"/>
          <w:szCs w:val="24"/>
          <w:lang w:val="et-EE"/>
        </w:rPr>
        <w:t>.</w:t>
      </w:r>
    </w:p>
  </w:footnote>
  <w:footnote w:id="197">
    <w:p w14:paraId="261FA202"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136, 30.4.2004, lk 1, ELI: </w:t>
      </w:r>
      <w:hyperlink r:id="rId197" w:history="1">
        <w:r w:rsidRPr="005F2094">
          <w:rPr>
            <w:rStyle w:val="Hyperlink1"/>
            <w:sz w:val="24"/>
            <w:szCs w:val="24"/>
            <w:lang w:val="et-EE"/>
          </w:rPr>
          <w:t>http://data.europa.eu/eli/reg/2004/726/oj</w:t>
        </w:r>
      </w:hyperlink>
      <w:r w:rsidRPr="005F2094">
        <w:rPr>
          <w:sz w:val="24"/>
          <w:szCs w:val="24"/>
          <w:lang w:val="et-EE"/>
        </w:rPr>
        <w:t>.</w:t>
      </w:r>
    </w:p>
  </w:footnote>
  <w:footnote w:id="198">
    <w:p w14:paraId="2696E2F9"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122, 10.5.2019, lk 1, ELI: </w:t>
      </w:r>
      <w:hyperlink r:id="rId198" w:history="1">
        <w:r w:rsidRPr="005F2094">
          <w:rPr>
            <w:rStyle w:val="Hyperlink1"/>
            <w:sz w:val="24"/>
            <w:szCs w:val="24"/>
            <w:lang w:val="et-EE"/>
          </w:rPr>
          <w:t>http://data.europa.eu/eli/reg_del/2019/715/oj</w:t>
        </w:r>
      </w:hyperlink>
      <w:r w:rsidRPr="005F2094">
        <w:rPr>
          <w:sz w:val="24"/>
          <w:szCs w:val="24"/>
          <w:lang w:val="et-EE"/>
        </w:rPr>
        <w:t>.</w:t>
      </w:r>
    </w:p>
  </w:footnote>
  <w:footnote w:id="199">
    <w:p w14:paraId="058E1F6F"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C/2024/6332, 24.10.2024, ELI: </w:t>
      </w:r>
      <w:hyperlink r:id="rId199" w:history="1">
        <w:r w:rsidRPr="005F2094">
          <w:rPr>
            <w:rStyle w:val="Hyperlink1"/>
            <w:sz w:val="24"/>
            <w:szCs w:val="24"/>
            <w:lang w:val="et-EE"/>
          </w:rPr>
          <w:t>http://data.europa.eu/eli/C/2024/6332/oj</w:t>
        </w:r>
      </w:hyperlink>
      <w:r w:rsidRPr="005F2094">
        <w:rPr>
          <w:sz w:val="24"/>
          <w:szCs w:val="24"/>
          <w:lang w:val="et-EE"/>
        </w:rPr>
        <w:t>.</w:t>
      </w:r>
    </w:p>
  </w:footnote>
  <w:footnote w:id="200">
    <w:p w14:paraId="3858A8E9"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C/2024/6041, 10.10.2024, ELI: </w:t>
      </w:r>
      <w:hyperlink r:id="rId200" w:history="1">
        <w:r w:rsidRPr="005F2094">
          <w:rPr>
            <w:rStyle w:val="Hyperlink1"/>
            <w:sz w:val="24"/>
            <w:szCs w:val="24"/>
            <w:lang w:val="et-EE"/>
          </w:rPr>
          <w:t>http://data.europa.eu/eli/C/2024/6041/oj</w:t>
        </w:r>
      </w:hyperlink>
      <w:r w:rsidRPr="005F2094">
        <w:rPr>
          <w:sz w:val="24"/>
          <w:szCs w:val="24"/>
          <w:lang w:val="et-EE"/>
        </w:rPr>
        <w:t>.</w:t>
      </w:r>
    </w:p>
  </w:footnote>
  <w:footnote w:id="201">
    <w:p w14:paraId="3C54C657"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193, 30.7.2018, lk 1, ELI: </w:t>
      </w:r>
      <w:hyperlink r:id="rId201" w:history="1">
        <w:r w:rsidRPr="005F2094">
          <w:rPr>
            <w:rStyle w:val="Hyperlink1"/>
            <w:sz w:val="24"/>
            <w:szCs w:val="24"/>
            <w:lang w:val="et-EE"/>
          </w:rPr>
          <w:t>http://data.europa.eu/eli/reg/2018/1046/oj</w:t>
        </w:r>
      </w:hyperlink>
      <w:r w:rsidRPr="005F2094">
        <w:rPr>
          <w:sz w:val="24"/>
          <w:szCs w:val="24"/>
          <w:lang w:val="et-EE"/>
        </w:rPr>
        <w:t>.</w:t>
      </w:r>
    </w:p>
  </w:footnote>
  <w:footnote w:id="202">
    <w:p w14:paraId="1B49CD53"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2024/2509, 26.9.2024, ELI: </w:t>
      </w:r>
      <w:hyperlink r:id="rId202" w:history="1">
        <w:r w:rsidRPr="005F2094">
          <w:rPr>
            <w:rStyle w:val="Hyperlink1"/>
            <w:sz w:val="24"/>
            <w:szCs w:val="24"/>
            <w:lang w:val="et-EE"/>
          </w:rPr>
          <w:t>http://data.europa.eu/eli/reg/2024/2509/oj</w:t>
        </w:r>
      </w:hyperlink>
      <w:r w:rsidRPr="005F2094">
        <w:rPr>
          <w:rStyle w:val="Hyperlink1"/>
          <w:sz w:val="24"/>
          <w:szCs w:val="24"/>
          <w:lang w:val="et-EE"/>
        </w:rPr>
        <w:t>.</w:t>
      </w:r>
    </w:p>
  </w:footnote>
  <w:footnote w:id="203">
    <w:p w14:paraId="7956BB32"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136, 30.4.2004, lk 1, ELI: </w:t>
      </w:r>
      <w:hyperlink r:id="rId203" w:history="1">
        <w:r w:rsidRPr="005F2094">
          <w:rPr>
            <w:rStyle w:val="Hyperlink1"/>
            <w:sz w:val="24"/>
            <w:szCs w:val="24"/>
            <w:lang w:val="et-EE"/>
          </w:rPr>
          <w:t>http://data.europa.eu/eli/reg/2004/726/oj</w:t>
        </w:r>
      </w:hyperlink>
      <w:r w:rsidRPr="005F2094">
        <w:rPr>
          <w:sz w:val="24"/>
          <w:szCs w:val="24"/>
          <w:lang w:val="et-EE"/>
        </w:rPr>
        <w:t>.</w:t>
      </w:r>
    </w:p>
  </w:footnote>
  <w:footnote w:id="204">
    <w:p w14:paraId="0F586966"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122, 10.5.2019, lk 1, ELI: </w:t>
      </w:r>
      <w:hyperlink r:id="rId204" w:history="1">
        <w:r w:rsidRPr="005F2094">
          <w:rPr>
            <w:rStyle w:val="Hyperlink1"/>
            <w:sz w:val="24"/>
            <w:szCs w:val="24"/>
            <w:lang w:val="et-EE"/>
          </w:rPr>
          <w:t>http://data.europa.eu/eli/reg_del/2019/715/oj</w:t>
        </w:r>
      </w:hyperlink>
      <w:r w:rsidRPr="005F2094">
        <w:rPr>
          <w:sz w:val="24"/>
          <w:szCs w:val="24"/>
          <w:lang w:val="et-EE"/>
        </w:rPr>
        <w:t>.</w:t>
      </w:r>
    </w:p>
  </w:footnote>
  <w:footnote w:id="205">
    <w:p w14:paraId="4DD027D3"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C/2024/6332, 24.10.2024, ELI: </w:t>
      </w:r>
      <w:hyperlink r:id="rId205" w:history="1">
        <w:r w:rsidRPr="005F2094">
          <w:rPr>
            <w:rStyle w:val="Hyperlink1"/>
            <w:sz w:val="24"/>
            <w:szCs w:val="24"/>
            <w:lang w:val="et-EE"/>
          </w:rPr>
          <w:t>http://data.europa.eu/eli/C/2024/6332/oj</w:t>
        </w:r>
      </w:hyperlink>
      <w:r w:rsidRPr="005F2094">
        <w:rPr>
          <w:sz w:val="24"/>
          <w:szCs w:val="24"/>
          <w:lang w:val="et-EE"/>
        </w:rPr>
        <w:t>.</w:t>
      </w:r>
    </w:p>
  </w:footnote>
  <w:footnote w:id="206">
    <w:p w14:paraId="4594A537"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C/2024/6041, 10.10.2024, ELI: </w:t>
      </w:r>
      <w:hyperlink r:id="rId206" w:history="1">
        <w:r w:rsidRPr="005F2094">
          <w:rPr>
            <w:rStyle w:val="Hyperlink1"/>
            <w:sz w:val="24"/>
            <w:szCs w:val="24"/>
            <w:lang w:val="et-EE"/>
          </w:rPr>
          <w:t>http://data.europa.eu/eli/C/2024/6041/oj</w:t>
        </w:r>
      </w:hyperlink>
      <w:r w:rsidRPr="005F2094">
        <w:rPr>
          <w:sz w:val="24"/>
          <w:szCs w:val="24"/>
          <w:lang w:val="et-EE"/>
        </w:rPr>
        <w:t>.</w:t>
      </w:r>
    </w:p>
  </w:footnote>
  <w:footnote w:id="207">
    <w:p w14:paraId="72930778"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193, 30.7.2018, lk 1, ELI: </w:t>
      </w:r>
      <w:hyperlink r:id="rId207" w:history="1">
        <w:r w:rsidRPr="005F2094">
          <w:rPr>
            <w:rStyle w:val="Hyperlink1"/>
            <w:sz w:val="24"/>
            <w:szCs w:val="24"/>
            <w:lang w:val="et-EE"/>
          </w:rPr>
          <w:t>http://data.europa.eu/eli/reg/2018/1046/oj</w:t>
        </w:r>
      </w:hyperlink>
      <w:r w:rsidRPr="005F2094">
        <w:rPr>
          <w:sz w:val="24"/>
          <w:szCs w:val="24"/>
          <w:lang w:val="et-EE"/>
        </w:rPr>
        <w:t>.</w:t>
      </w:r>
    </w:p>
  </w:footnote>
  <w:footnote w:id="208">
    <w:p w14:paraId="0D92744B"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2024/2509, 26.9.2024, ELI: </w:t>
      </w:r>
      <w:hyperlink r:id="rId208" w:history="1">
        <w:r w:rsidRPr="005F2094">
          <w:rPr>
            <w:rStyle w:val="Hyperlink1"/>
            <w:sz w:val="24"/>
            <w:szCs w:val="24"/>
            <w:lang w:val="et-EE"/>
          </w:rPr>
          <w:t>http://data.europa.eu/eli/reg/2024/2509/oj</w:t>
        </w:r>
      </w:hyperlink>
      <w:r w:rsidRPr="005F2094">
        <w:rPr>
          <w:rStyle w:val="Hyperlink1"/>
          <w:sz w:val="24"/>
          <w:szCs w:val="24"/>
          <w:lang w:val="et-EE"/>
        </w:rPr>
        <w:t>.</w:t>
      </w:r>
    </w:p>
  </w:footnote>
  <w:footnote w:id="209">
    <w:p w14:paraId="468411BA"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376, 27.12.2006, lk 1, ELI: </w:t>
      </w:r>
      <w:hyperlink r:id="rId209" w:history="1">
        <w:r w:rsidRPr="005F2094">
          <w:rPr>
            <w:rStyle w:val="Hyperlink1"/>
            <w:sz w:val="24"/>
            <w:szCs w:val="24"/>
            <w:lang w:val="et-EE"/>
          </w:rPr>
          <w:t>http://data.europa.eu/eli/reg/2006/1920/oj</w:t>
        </w:r>
      </w:hyperlink>
      <w:r w:rsidRPr="005F2094">
        <w:rPr>
          <w:sz w:val="24"/>
          <w:szCs w:val="24"/>
          <w:lang w:val="et-EE"/>
        </w:rPr>
        <w:t>.</w:t>
      </w:r>
    </w:p>
  </w:footnote>
  <w:footnote w:id="210">
    <w:p w14:paraId="53A8D40D"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166, 30.6.2023, lk 6, ELI: </w:t>
      </w:r>
      <w:hyperlink r:id="rId210" w:history="1">
        <w:r w:rsidRPr="005F2094">
          <w:rPr>
            <w:rStyle w:val="Hyperlink1"/>
            <w:sz w:val="24"/>
            <w:szCs w:val="24"/>
            <w:lang w:val="et-EE"/>
          </w:rPr>
          <w:t>http://data.europa.eu/eli/reg/2023/1322/oj</w:t>
        </w:r>
      </w:hyperlink>
      <w:r w:rsidRPr="005F2094">
        <w:rPr>
          <w:sz w:val="24"/>
          <w:szCs w:val="24"/>
          <w:lang w:val="et-EE"/>
        </w:rPr>
        <w:t>.</w:t>
      </w:r>
    </w:p>
  </w:footnote>
  <w:footnote w:id="211">
    <w:p w14:paraId="0EDBDB81"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122, 10.5.2019, lk 1, ELI: </w:t>
      </w:r>
      <w:hyperlink r:id="rId211" w:history="1">
        <w:r w:rsidRPr="005F2094">
          <w:rPr>
            <w:rStyle w:val="Hyperlink1"/>
            <w:sz w:val="24"/>
            <w:szCs w:val="24"/>
            <w:lang w:val="et-EE"/>
          </w:rPr>
          <w:t>http://data.europa.eu/eli/reg_del/2019/715/oj</w:t>
        </w:r>
      </w:hyperlink>
      <w:r w:rsidRPr="005F2094">
        <w:rPr>
          <w:sz w:val="24"/>
          <w:szCs w:val="24"/>
          <w:lang w:val="et-EE"/>
        </w:rPr>
        <w:t>.</w:t>
      </w:r>
    </w:p>
  </w:footnote>
  <w:footnote w:id="212">
    <w:p w14:paraId="2380A31B"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C/2024/6332, 24.10.2024, ELI: </w:t>
      </w:r>
      <w:hyperlink r:id="rId212" w:history="1">
        <w:r w:rsidRPr="005F2094">
          <w:rPr>
            <w:rStyle w:val="Hyperlink1"/>
            <w:sz w:val="24"/>
            <w:szCs w:val="24"/>
            <w:lang w:val="et-EE"/>
          </w:rPr>
          <w:t>http://data.europa.eu/eli/C/2024/6332/oj</w:t>
        </w:r>
      </w:hyperlink>
      <w:r w:rsidRPr="005F2094">
        <w:rPr>
          <w:sz w:val="24"/>
          <w:szCs w:val="24"/>
          <w:lang w:val="et-EE"/>
        </w:rPr>
        <w:t>.</w:t>
      </w:r>
    </w:p>
  </w:footnote>
  <w:footnote w:id="213">
    <w:p w14:paraId="18FE01FA"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C/2024/6041, 10.10.2024, ELI: </w:t>
      </w:r>
      <w:hyperlink r:id="rId213" w:history="1">
        <w:r w:rsidRPr="005F2094">
          <w:rPr>
            <w:rStyle w:val="Hyperlink1"/>
            <w:sz w:val="24"/>
            <w:szCs w:val="24"/>
            <w:lang w:val="et-EE"/>
          </w:rPr>
          <w:t>http://data.europa.eu/eli/C/2024/6041/oj</w:t>
        </w:r>
      </w:hyperlink>
      <w:r w:rsidRPr="005F2094">
        <w:rPr>
          <w:sz w:val="24"/>
          <w:szCs w:val="24"/>
          <w:lang w:val="et-EE"/>
        </w:rPr>
        <w:t>.</w:t>
      </w:r>
    </w:p>
  </w:footnote>
  <w:footnote w:id="214">
    <w:p w14:paraId="639E8C04"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193, 30.7.2018, lk 1, ELI: </w:t>
      </w:r>
      <w:hyperlink r:id="rId214" w:history="1">
        <w:r w:rsidRPr="005F2094">
          <w:rPr>
            <w:rStyle w:val="Hyperlink1"/>
            <w:sz w:val="24"/>
            <w:szCs w:val="24"/>
            <w:lang w:val="et-EE"/>
          </w:rPr>
          <w:t>http://data.europa.eu/eli/reg/2018/1046/oj</w:t>
        </w:r>
      </w:hyperlink>
      <w:r w:rsidRPr="005F2094">
        <w:rPr>
          <w:sz w:val="24"/>
          <w:szCs w:val="24"/>
          <w:lang w:val="et-EE"/>
        </w:rPr>
        <w:t>.</w:t>
      </w:r>
    </w:p>
  </w:footnote>
  <w:footnote w:id="215">
    <w:p w14:paraId="546E5822"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2024/2509, 26.9.2024, ELI: </w:t>
      </w:r>
      <w:hyperlink r:id="rId215" w:history="1">
        <w:r w:rsidRPr="005F2094">
          <w:rPr>
            <w:rStyle w:val="Hyperlink1"/>
            <w:sz w:val="24"/>
            <w:szCs w:val="24"/>
            <w:lang w:val="et-EE"/>
          </w:rPr>
          <w:t>http://data.europa.eu/eli/reg/2024/2509/oj</w:t>
        </w:r>
      </w:hyperlink>
      <w:r w:rsidRPr="005F2094">
        <w:rPr>
          <w:sz w:val="24"/>
          <w:szCs w:val="24"/>
          <w:lang w:val="fi-FI"/>
        </w:rPr>
        <w:t>.</w:t>
      </w:r>
    </w:p>
  </w:footnote>
  <w:footnote w:id="216">
    <w:p w14:paraId="2837F2A9"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376, 27.12.2006, lk 1, ELI: </w:t>
      </w:r>
      <w:hyperlink r:id="rId216" w:history="1">
        <w:r w:rsidRPr="005F2094">
          <w:rPr>
            <w:rStyle w:val="Hyperlink1"/>
            <w:sz w:val="24"/>
            <w:szCs w:val="24"/>
            <w:lang w:val="et-EE"/>
          </w:rPr>
          <w:t>http://data.europa.eu/eli/reg/2006/1920/oj</w:t>
        </w:r>
      </w:hyperlink>
      <w:r w:rsidRPr="005F2094">
        <w:rPr>
          <w:sz w:val="24"/>
          <w:szCs w:val="24"/>
          <w:lang w:val="et-EE"/>
        </w:rPr>
        <w:t>.</w:t>
      </w:r>
    </w:p>
  </w:footnote>
  <w:footnote w:id="217">
    <w:p w14:paraId="0564FCDD"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166, 30.6.2023, lk 6, ELI: </w:t>
      </w:r>
      <w:hyperlink r:id="rId217" w:history="1">
        <w:r w:rsidRPr="005F2094">
          <w:rPr>
            <w:rStyle w:val="Hyperlink1"/>
            <w:sz w:val="24"/>
            <w:szCs w:val="24"/>
            <w:lang w:val="et-EE"/>
          </w:rPr>
          <w:t>http://data.europa.eu/eli/reg/2023/1322/oj</w:t>
        </w:r>
      </w:hyperlink>
      <w:r w:rsidRPr="005F2094">
        <w:rPr>
          <w:sz w:val="24"/>
          <w:szCs w:val="24"/>
          <w:lang w:val="et-EE"/>
        </w:rPr>
        <w:t>.</w:t>
      </w:r>
    </w:p>
  </w:footnote>
  <w:footnote w:id="218">
    <w:p w14:paraId="0E4557FF"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122, 10.5.2019, lk 1, ELI: </w:t>
      </w:r>
      <w:hyperlink r:id="rId218" w:history="1">
        <w:r w:rsidRPr="005F2094">
          <w:rPr>
            <w:rStyle w:val="Hyperlink1"/>
            <w:sz w:val="24"/>
            <w:szCs w:val="24"/>
            <w:lang w:val="et-EE"/>
          </w:rPr>
          <w:t>http://data.europa.eu/eli/reg_del/2019/715/oj</w:t>
        </w:r>
      </w:hyperlink>
      <w:r w:rsidRPr="005F2094">
        <w:rPr>
          <w:sz w:val="24"/>
          <w:szCs w:val="24"/>
          <w:lang w:val="et-EE"/>
        </w:rPr>
        <w:t>.</w:t>
      </w:r>
    </w:p>
  </w:footnote>
  <w:footnote w:id="219">
    <w:p w14:paraId="154D7D79"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C/2024/6332, 24.10.2024, ELI: </w:t>
      </w:r>
      <w:hyperlink r:id="rId219" w:history="1">
        <w:r w:rsidRPr="005F2094">
          <w:rPr>
            <w:rStyle w:val="Hyperlink1"/>
            <w:sz w:val="24"/>
            <w:szCs w:val="24"/>
            <w:lang w:val="et-EE"/>
          </w:rPr>
          <w:t>http://data.europa.eu/eli/C/2024/6332/oj</w:t>
        </w:r>
      </w:hyperlink>
      <w:r w:rsidRPr="005F2094">
        <w:rPr>
          <w:sz w:val="24"/>
          <w:szCs w:val="24"/>
          <w:lang w:val="et-EE"/>
        </w:rPr>
        <w:t>.</w:t>
      </w:r>
    </w:p>
  </w:footnote>
  <w:footnote w:id="220">
    <w:p w14:paraId="58D34866"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C/2024/6041, 10.10.2024, ELI: </w:t>
      </w:r>
      <w:hyperlink r:id="rId220" w:history="1">
        <w:r w:rsidRPr="005F2094">
          <w:rPr>
            <w:rStyle w:val="Hyperlink1"/>
            <w:sz w:val="24"/>
            <w:szCs w:val="24"/>
            <w:lang w:val="et-EE"/>
          </w:rPr>
          <w:t>http://data.europa.eu/eli/C/2024/6041/oj</w:t>
        </w:r>
      </w:hyperlink>
      <w:r w:rsidRPr="005F2094">
        <w:rPr>
          <w:sz w:val="24"/>
          <w:szCs w:val="24"/>
          <w:lang w:val="et-EE"/>
        </w:rPr>
        <w:t>.</w:t>
      </w:r>
    </w:p>
  </w:footnote>
  <w:footnote w:id="221">
    <w:p w14:paraId="3C8D48CC"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193, 30.7.2018, lk 1, ELI: </w:t>
      </w:r>
      <w:hyperlink r:id="rId221" w:history="1">
        <w:r w:rsidRPr="005F2094">
          <w:rPr>
            <w:rStyle w:val="Hyperlink1"/>
            <w:sz w:val="24"/>
            <w:szCs w:val="24"/>
            <w:lang w:val="et-EE"/>
          </w:rPr>
          <w:t>http://data.europa.eu/eli/reg/2018/1046/oj</w:t>
        </w:r>
      </w:hyperlink>
      <w:r w:rsidRPr="005F2094">
        <w:rPr>
          <w:sz w:val="24"/>
          <w:szCs w:val="24"/>
          <w:lang w:val="et-EE"/>
        </w:rPr>
        <w:t>.</w:t>
      </w:r>
    </w:p>
  </w:footnote>
  <w:footnote w:id="222">
    <w:p w14:paraId="132E887D"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2024/2509, 26.9.2024, ELI: </w:t>
      </w:r>
      <w:hyperlink r:id="rId222" w:history="1">
        <w:r w:rsidRPr="005F2094">
          <w:rPr>
            <w:rStyle w:val="Hyperlink1"/>
            <w:sz w:val="24"/>
            <w:szCs w:val="24"/>
            <w:lang w:val="et-EE"/>
          </w:rPr>
          <w:t>http://data.europa.eu/eli/reg/2024/2509/oj</w:t>
        </w:r>
      </w:hyperlink>
      <w:r w:rsidRPr="005F2094">
        <w:rPr>
          <w:rStyle w:val="Hyperlink1"/>
          <w:sz w:val="24"/>
          <w:szCs w:val="24"/>
          <w:lang w:val="et-EE"/>
        </w:rPr>
        <w:t>.</w:t>
      </w:r>
    </w:p>
  </w:footnote>
  <w:footnote w:id="223">
    <w:p w14:paraId="7B36D6BC"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EÜT L 208, 5.8.2002, lk 1, ELI: </w:t>
      </w:r>
      <w:hyperlink r:id="rId223" w:history="1">
        <w:r w:rsidRPr="005F2094">
          <w:rPr>
            <w:rStyle w:val="Hyperlink1"/>
            <w:sz w:val="24"/>
            <w:szCs w:val="24"/>
            <w:lang w:val="et-EE"/>
          </w:rPr>
          <w:t>http://data.europa.eu/eli/reg/2002/1406/oj</w:t>
        </w:r>
      </w:hyperlink>
      <w:r w:rsidRPr="005F2094">
        <w:rPr>
          <w:sz w:val="24"/>
          <w:szCs w:val="24"/>
          <w:lang w:val="et-EE"/>
        </w:rPr>
        <w:t>.</w:t>
      </w:r>
    </w:p>
  </w:footnote>
  <w:footnote w:id="224">
    <w:p w14:paraId="01D8D466"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122, 10.5.2019, lk 1, ELI: </w:t>
      </w:r>
      <w:hyperlink r:id="rId224" w:history="1">
        <w:r w:rsidRPr="005F2094">
          <w:rPr>
            <w:rStyle w:val="Hyperlink1"/>
            <w:sz w:val="24"/>
            <w:szCs w:val="24"/>
            <w:lang w:val="et-EE"/>
          </w:rPr>
          <w:t>http://data.europa.eu/eli/reg_del/2019/715/oj</w:t>
        </w:r>
      </w:hyperlink>
      <w:r w:rsidRPr="005F2094">
        <w:rPr>
          <w:sz w:val="24"/>
          <w:szCs w:val="24"/>
          <w:lang w:val="et-EE"/>
        </w:rPr>
        <w:t>.</w:t>
      </w:r>
    </w:p>
  </w:footnote>
  <w:footnote w:id="225">
    <w:p w14:paraId="76590852"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C/2024/6332, 24.10.2024, ELI: </w:t>
      </w:r>
      <w:hyperlink r:id="rId225" w:history="1">
        <w:r w:rsidRPr="005F2094">
          <w:rPr>
            <w:rStyle w:val="Hyperlink1"/>
            <w:sz w:val="24"/>
            <w:szCs w:val="24"/>
            <w:lang w:val="et-EE"/>
          </w:rPr>
          <w:t>http://data.europa.eu/eli/C/2024/6332/oj</w:t>
        </w:r>
      </w:hyperlink>
      <w:r w:rsidRPr="005F2094">
        <w:rPr>
          <w:sz w:val="24"/>
          <w:szCs w:val="24"/>
          <w:lang w:val="et-EE"/>
        </w:rPr>
        <w:t>.</w:t>
      </w:r>
    </w:p>
  </w:footnote>
  <w:footnote w:id="226">
    <w:p w14:paraId="50A125A1"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C/2024/6041, 10.10.2024, ELI: </w:t>
      </w:r>
      <w:hyperlink r:id="rId226" w:history="1">
        <w:r w:rsidRPr="005F2094">
          <w:rPr>
            <w:rStyle w:val="Hyperlink1"/>
            <w:sz w:val="24"/>
            <w:szCs w:val="24"/>
            <w:lang w:val="et-EE"/>
          </w:rPr>
          <w:t>http://data.europa.eu/eli/C/2024/6041/oj</w:t>
        </w:r>
      </w:hyperlink>
      <w:r w:rsidRPr="005F2094">
        <w:rPr>
          <w:sz w:val="24"/>
          <w:szCs w:val="24"/>
          <w:lang w:val="et-EE"/>
        </w:rPr>
        <w:t>.</w:t>
      </w:r>
    </w:p>
  </w:footnote>
  <w:footnote w:id="227">
    <w:p w14:paraId="512D7B5C"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193, 30.7.2018, lk 1, ELI: </w:t>
      </w:r>
      <w:hyperlink r:id="rId227" w:history="1">
        <w:r w:rsidRPr="005F2094">
          <w:rPr>
            <w:rStyle w:val="Hyperlink1"/>
            <w:sz w:val="24"/>
            <w:szCs w:val="24"/>
            <w:lang w:val="et-EE"/>
          </w:rPr>
          <w:t>http://data.europa.eu/eli/reg/2018/1046/oj</w:t>
        </w:r>
      </w:hyperlink>
      <w:r w:rsidRPr="005F2094">
        <w:rPr>
          <w:sz w:val="24"/>
          <w:szCs w:val="24"/>
          <w:lang w:val="et-EE"/>
        </w:rPr>
        <w:t>.</w:t>
      </w:r>
    </w:p>
  </w:footnote>
  <w:footnote w:id="228">
    <w:p w14:paraId="58E26B83"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2024/2509, 26.9.2024, ELI: </w:t>
      </w:r>
      <w:hyperlink r:id="rId228" w:history="1">
        <w:r w:rsidRPr="005F2094">
          <w:rPr>
            <w:rStyle w:val="Hyperlink1"/>
            <w:sz w:val="24"/>
            <w:szCs w:val="24"/>
            <w:lang w:val="et-EE"/>
          </w:rPr>
          <w:t>http://data.europa.eu/eli/reg/2024/2509/oj</w:t>
        </w:r>
      </w:hyperlink>
      <w:r w:rsidRPr="005F2094">
        <w:rPr>
          <w:rStyle w:val="Hyperlink1"/>
          <w:sz w:val="24"/>
          <w:szCs w:val="24"/>
          <w:lang w:val="et-EE"/>
        </w:rPr>
        <w:t>.</w:t>
      </w:r>
    </w:p>
  </w:footnote>
  <w:footnote w:id="229">
    <w:p w14:paraId="01435A6F"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EÜT L 208, 5.8.2002, lk 1, ELI: </w:t>
      </w:r>
      <w:hyperlink r:id="rId229" w:history="1">
        <w:r w:rsidRPr="005F2094">
          <w:rPr>
            <w:rStyle w:val="Hyperlink1"/>
            <w:sz w:val="24"/>
            <w:szCs w:val="24"/>
            <w:lang w:val="et-EE"/>
          </w:rPr>
          <w:t>http://data.europa.eu/eli/reg/2002/1406/oj</w:t>
        </w:r>
      </w:hyperlink>
      <w:r w:rsidRPr="005F2094">
        <w:rPr>
          <w:sz w:val="24"/>
          <w:szCs w:val="24"/>
          <w:lang w:val="et-EE"/>
        </w:rPr>
        <w:t>.</w:t>
      </w:r>
    </w:p>
  </w:footnote>
  <w:footnote w:id="230">
    <w:p w14:paraId="0FF0FFA3"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122, 10.5.2019, lk 1, ELI: </w:t>
      </w:r>
      <w:hyperlink r:id="rId230" w:history="1">
        <w:r w:rsidRPr="005F2094">
          <w:rPr>
            <w:rStyle w:val="Hyperlink1"/>
            <w:sz w:val="24"/>
            <w:szCs w:val="24"/>
            <w:lang w:val="et-EE"/>
          </w:rPr>
          <w:t>http://data.europa.eu/eli/reg_del/2019/715/oj</w:t>
        </w:r>
      </w:hyperlink>
      <w:r w:rsidRPr="005F2094">
        <w:rPr>
          <w:sz w:val="24"/>
          <w:szCs w:val="24"/>
          <w:lang w:val="et-EE"/>
        </w:rPr>
        <w:t>.</w:t>
      </w:r>
    </w:p>
  </w:footnote>
  <w:footnote w:id="231">
    <w:p w14:paraId="2B8BC33E"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C/2024/6332, 24.10.2024, ELI: </w:t>
      </w:r>
      <w:hyperlink r:id="rId231" w:history="1">
        <w:r w:rsidRPr="005F2094">
          <w:rPr>
            <w:rStyle w:val="Hyperlink1"/>
            <w:sz w:val="24"/>
            <w:szCs w:val="24"/>
            <w:lang w:val="et-EE"/>
          </w:rPr>
          <w:t>http://data.europa.eu/eli/C/2024/6332/oj</w:t>
        </w:r>
      </w:hyperlink>
      <w:r w:rsidRPr="005F2094">
        <w:rPr>
          <w:sz w:val="24"/>
          <w:szCs w:val="24"/>
          <w:lang w:val="et-EE"/>
        </w:rPr>
        <w:t>.</w:t>
      </w:r>
    </w:p>
  </w:footnote>
  <w:footnote w:id="232">
    <w:p w14:paraId="2BCDFB40"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C/2024/6041, 10.10.2024, ELI: </w:t>
      </w:r>
      <w:hyperlink r:id="rId232" w:history="1">
        <w:r w:rsidRPr="005F2094">
          <w:rPr>
            <w:rStyle w:val="Hyperlink1"/>
            <w:sz w:val="24"/>
            <w:szCs w:val="24"/>
            <w:lang w:val="et-EE"/>
          </w:rPr>
          <w:t>http://data.europa.eu/eli/C/2024/6041/oj</w:t>
        </w:r>
      </w:hyperlink>
      <w:r w:rsidRPr="005F2094">
        <w:rPr>
          <w:sz w:val="24"/>
          <w:szCs w:val="24"/>
          <w:lang w:val="et-EE"/>
        </w:rPr>
        <w:t>.</w:t>
      </w:r>
    </w:p>
  </w:footnote>
  <w:footnote w:id="233">
    <w:p w14:paraId="182CA0A7"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193, 30.7.2018, lk 1, ELI: </w:t>
      </w:r>
      <w:hyperlink r:id="rId233" w:history="1">
        <w:r w:rsidRPr="005F2094">
          <w:rPr>
            <w:rStyle w:val="Hyperlink1"/>
            <w:sz w:val="24"/>
            <w:szCs w:val="24"/>
            <w:lang w:val="et-EE"/>
          </w:rPr>
          <w:t>http://data.europa.eu/eli/reg/2018/1046/oj</w:t>
        </w:r>
      </w:hyperlink>
      <w:r w:rsidRPr="005F2094">
        <w:rPr>
          <w:sz w:val="24"/>
          <w:szCs w:val="24"/>
          <w:lang w:val="et-EE"/>
        </w:rPr>
        <w:t>.</w:t>
      </w:r>
    </w:p>
  </w:footnote>
  <w:footnote w:id="234">
    <w:p w14:paraId="031BF310"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2024/2509, 26.9.2024, ELI: </w:t>
      </w:r>
      <w:hyperlink r:id="rId234" w:history="1">
        <w:r w:rsidRPr="005F2094">
          <w:rPr>
            <w:rStyle w:val="Hyperlink1"/>
            <w:sz w:val="24"/>
            <w:szCs w:val="24"/>
            <w:lang w:val="et-EE"/>
          </w:rPr>
          <w:t>http://data.europa.eu/eli/reg/2024/2509/oj</w:t>
        </w:r>
      </w:hyperlink>
      <w:r w:rsidRPr="005F2094">
        <w:rPr>
          <w:rStyle w:val="Hyperlink1"/>
          <w:sz w:val="24"/>
          <w:szCs w:val="24"/>
          <w:lang w:val="et-EE"/>
        </w:rPr>
        <w:t>.</w:t>
      </w:r>
    </w:p>
  </w:footnote>
  <w:footnote w:id="235">
    <w:p w14:paraId="6248541C"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151, 7.6.2019, lk 15, ELI: </w:t>
      </w:r>
      <w:hyperlink r:id="rId235" w:history="1">
        <w:r w:rsidRPr="005F2094">
          <w:rPr>
            <w:rStyle w:val="Hyperlink1"/>
            <w:sz w:val="24"/>
            <w:szCs w:val="24"/>
            <w:lang w:val="et-EE"/>
          </w:rPr>
          <w:t>http://data.europa.eu/eli/reg/2019/881/oj</w:t>
        </w:r>
      </w:hyperlink>
      <w:r w:rsidRPr="005F2094">
        <w:rPr>
          <w:sz w:val="24"/>
          <w:szCs w:val="24"/>
          <w:lang w:val="et-EE"/>
        </w:rPr>
        <w:t>.</w:t>
      </w:r>
    </w:p>
  </w:footnote>
  <w:footnote w:id="236">
    <w:p w14:paraId="0BCFAD93"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122, 10.5.2019, lk 1, ELI: </w:t>
      </w:r>
      <w:hyperlink r:id="rId236" w:history="1">
        <w:r w:rsidRPr="005F2094">
          <w:rPr>
            <w:rStyle w:val="Hyperlink1"/>
            <w:sz w:val="24"/>
            <w:szCs w:val="24"/>
            <w:lang w:val="et-EE"/>
          </w:rPr>
          <w:t>http://data.europa.eu/eli/reg_del/2019/715/oj</w:t>
        </w:r>
      </w:hyperlink>
      <w:r w:rsidRPr="005F2094">
        <w:rPr>
          <w:sz w:val="24"/>
          <w:szCs w:val="24"/>
          <w:lang w:val="et-EE"/>
        </w:rPr>
        <w:t>.</w:t>
      </w:r>
    </w:p>
  </w:footnote>
  <w:footnote w:id="237">
    <w:p w14:paraId="3942A8B5"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C/2024/6332, 24.10.2024, ELI: </w:t>
      </w:r>
      <w:hyperlink r:id="rId237" w:history="1">
        <w:r w:rsidRPr="005F2094">
          <w:rPr>
            <w:rStyle w:val="Hyperlink1"/>
            <w:sz w:val="24"/>
            <w:szCs w:val="24"/>
            <w:lang w:val="et-EE"/>
          </w:rPr>
          <w:t>http://data.europa.eu/eli/C/2024/6332/oj</w:t>
        </w:r>
      </w:hyperlink>
      <w:r w:rsidRPr="005F2094">
        <w:rPr>
          <w:sz w:val="24"/>
          <w:szCs w:val="24"/>
          <w:lang w:val="et-EE"/>
        </w:rPr>
        <w:t>.</w:t>
      </w:r>
    </w:p>
  </w:footnote>
  <w:footnote w:id="238">
    <w:p w14:paraId="4D4F0C75"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C/2024/6041, 10.10.2024, ELI: </w:t>
      </w:r>
      <w:hyperlink r:id="rId238" w:history="1">
        <w:r w:rsidRPr="005F2094">
          <w:rPr>
            <w:rStyle w:val="Hyperlink1"/>
            <w:sz w:val="24"/>
            <w:szCs w:val="24"/>
            <w:lang w:val="et-EE"/>
          </w:rPr>
          <w:t>http://data.europa.eu/eli/C/2024/6041/oj</w:t>
        </w:r>
      </w:hyperlink>
      <w:r w:rsidRPr="005F2094">
        <w:rPr>
          <w:sz w:val="24"/>
          <w:szCs w:val="24"/>
          <w:lang w:val="et-EE"/>
        </w:rPr>
        <w:t>.</w:t>
      </w:r>
    </w:p>
  </w:footnote>
  <w:footnote w:id="239">
    <w:p w14:paraId="6C9DC323"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193, 30.7.2018, lk 1, ELI: </w:t>
      </w:r>
      <w:hyperlink r:id="rId239" w:history="1">
        <w:r w:rsidRPr="005F2094">
          <w:rPr>
            <w:rStyle w:val="Hyperlink1"/>
            <w:sz w:val="24"/>
            <w:szCs w:val="24"/>
            <w:lang w:val="et-EE"/>
          </w:rPr>
          <w:t>http://data.europa.eu/eli/reg/2018/1046/oj</w:t>
        </w:r>
      </w:hyperlink>
      <w:r w:rsidRPr="005F2094">
        <w:rPr>
          <w:sz w:val="24"/>
          <w:szCs w:val="24"/>
          <w:lang w:val="et-EE"/>
        </w:rPr>
        <w:t>.</w:t>
      </w:r>
    </w:p>
  </w:footnote>
  <w:footnote w:id="240">
    <w:p w14:paraId="7B53FF5C"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2024/2509, 26.9.2024, ELI: </w:t>
      </w:r>
      <w:hyperlink r:id="rId240" w:history="1">
        <w:r w:rsidRPr="005F2094">
          <w:rPr>
            <w:rStyle w:val="Hyperlink1"/>
            <w:sz w:val="24"/>
            <w:szCs w:val="24"/>
            <w:lang w:val="et-EE"/>
          </w:rPr>
          <w:t>http://data.europa.eu/eli/reg/2024/2509/oj</w:t>
        </w:r>
      </w:hyperlink>
      <w:r w:rsidRPr="005F2094">
        <w:rPr>
          <w:sz w:val="24"/>
          <w:szCs w:val="24"/>
          <w:lang w:val="fi-FI"/>
        </w:rPr>
        <w:t>.</w:t>
      </w:r>
    </w:p>
  </w:footnote>
  <w:footnote w:id="241">
    <w:p w14:paraId="6078711E"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151, 7.6.2019, lk 15, ELI: </w:t>
      </w:r>
      <w:hyperlink r:id="rId241" w:history="1">
        <w:r w:rsidRPr="005F2094">
          <w:rPr>
            <w:rStyle w:val="Hyperlink1"/>
            <w:sz w:val="24"/>
            <w:szCs w:val="24"/>
            <w:lang w:val="et-EE"/>
          </w:rPr>
          <w:t>http://data.europa.eu/eli/reg/2019/881/oj</w:t>
        </w:r>
      </w:hyperlink>
      <w:r w:rsidRPr="005F2094">
        <w:rPr>
          <w:sz w:val="24"/>
          <w:szCs w:val="24"/>
          <w:lang w:val="et-EE"/>
        </w:rPr>
        <w:t>.</w:t>
      </w:r>
    </w:p>
  </w:footnote>
  <w:footnote w:id="242">
    <w:p w14:paraId="0798801E"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122, 10.5.2019, lk 1, ELI: </w:t>
      </w:r>
      <w:hyperlink r:id="rId242" w:history="1">
        <w:r w:rsidRPr="005F2094">
          <w:rPr>
            <w:rStyle w:val="Hyperlink1"/>
            <w:sz w:val="24"/>
            <w:szCs w:val="24"/>
            <w:lang w:val="et-EE"/>
          </w:rPr>
          <w:t>http://data.europa.eu/eli/reg_del/2019/715/oj</w:t>
        </w:r>
      </w:hyperlink>
      <w:r w:rsidRPr="005F2094">
        <w:rPr>
          <w:sz w:val="24"/>
          <w:szCs w:val="24"/>
          <w:lang w:val="et-EE"/>
        </w:rPr>
        <w:t>.</w:t>
      </w:r>
    </w:p>
  </w:footnote>
  <w:footnote w:id="243">
    <w:p w14:paraId="0077A7D0"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C/2024/6332, 24.10.2024, ELI: </w:t>
      </w:r>
      <w:hyperlink r:id="rId243" w:history="1">
        <w:r w:rsidRPr="005F2094">
          <w:rPr>
            <w:rStyle w:val="Hyperlink1"/>
            <w:sz w:val="24"/>
            <w:szCs w:val="24"/>
            <w:lang w:val="et-EE"/>
          </w:rPr>
          <w:t>http://data.europa.eu/eli/C/2024/6332/oj</w:t>
        </w:r>
      </w:hyperlink>
      <w:r w:rsidRPr="005F2094">
        <w:rPr>
          <w:sz w:val="24"/>
          <w:szCs w:val="24"/>
          <w:lang w:val="et-EE"/>
        </w:rPr>
        <w:t>.</w:t>
      </w:r>
    </w:p>
  </w:footnote>
  <w:footnote w:id="244">
    <w:p w14:paraId="096D90C9"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C/2024/6041, 10.10.2024, ELI: </w:t>
      </w:r>
      <w:hyperlink r:id="rId244" w:history="1">
        <w:r w:rsidRPr="005F2094">
          <w:rPr>
            <w:rStyle w:val="Hyperlink1"/>
            <w:sz w:val="24"/>
            <w:szCs w:val="24"/>
            <w:lang w:val="et-EE"/>
          </w:rPr>
          <w:t>http://data.europa.eu/eli/C/2024/6041/oj</w:t>
        </w:r>
      </w:hyperlink>
      <w:r w:rsidRPr="005F2094">
        <w:rPr>
          <w:sz w:val="24"/>
          <w:szCs w:val="24"/>
          <w:lang w:val="et-EE"/>
        </w:rPr>
        <w:t>.</w:t>
      </w:r>
    </w:p>
  </w:footnote>
  <w:footnote w:id="245">
    <w:p w14:paraId="4B5827AB"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193, 30.7.2018, lk 1, ELI: </w:t>
      </w:r>
      <w:hyperlink r:id="rId245" w:history="1">
        <w:r w:rsidRPr="005F2094">
          <w:rPr>
            <w:rStyle w:val="Hyperlink1"/>
            <w:sz w:val="24"/>
            <w:szCs w:val="24"/>
            <w:lang w:val="et-EE"/>
          </w:rPr>
          <w:t>http://data.europa.eu/eli/reg/2018/1046/oj</w:t>
        </w:r>
      </w:hyperlink>
      <w:r w:rsidRPr="005F2094">
        <w:rPr>
          <w:sz w:val="24"/>
          <w:szCs w:val="24"/>
          <w:lang w:val="et-EE"/>
        </w:rPr>
        <w:t>.</w:t>
      </w:r>
    </w:p>
  </w:footnote>
  <w:footnote w:id="246">
    <w:p w14:paraId="0FF69664"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2024/2509, 26.9.2024, ELI: </w:t>
      </w:r>
      <w:hyperlink r:id="rId246" w:history="1">
        <w:r w:rsidRPr="005F2094">
          <w:rPr>
            <w:rStyle w:val="Hyperlink1"/>
            <w:sz w:val="24"/>
            <w:szCs w:val="24"/>
            <w:lang w:val="et-EE"/>
          </w:rPr>
          <w:t>http://data.europa.eu/eli/reg/2024/2509/oj</w:t>
        </w:r>
      </w:hyperlink>
      <w:r w:rsidRPr="005F2094">
        <w:rPr>
          <w:sz w:val="24"/>
          <w:szCs w:val="24"/>
          <w:lang w:val="fi-FI"/>
        </w:rPr>
        <w:t>.</w:t>
      </w:r>
    </w:p>
  </w:footnote>
  <w:footnote w:id="247">
    <w:p w14:paraId="01F42C3C"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138, 26.5.2016, lk 1, ELI: </w:t>
      </w:r>
      <w:hyperlink r:id="rId247" w:history="1">
        <w:r w:rsidRPr="005F2094">
          <w:rPr>
            <w:rStyle w:val="Hyperlink1"/>
            <w:sz w:val="24"/>
            <w:szCs w:val="24"/>
            <w:lang w:val="et-EE"/>
          </w:rPr>
          <w:t>http://data.europa.eu/eli/reg/2016/796/oj</w:t>
        </w:r>
      </w:hyperlink>
      <w:r w:rsidRPr="005F2094">
        <w:rPr>
          <w:sz w:val="24"/>
          <w:szCs w:val="24"/>
          <w:lang w:val="et-EE"/>
        </w:rPr>
        <w:t>.</w:t>
      </w:r>
    </w:p>
  </w:footnote>
  <w:footnote w:id="248">
    <w:p w14:paraId="0F51AC3A"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122, 10.5.2019, lk 1, ELI: </w:t>
      </w:r>
      <w:hyperlink r:id="rId248" w:history="1">
        <w:r w:rsidRPr="005F2094">
          <w:rPr>
            <w:rStyle w:val="Hyperlink1"/>
            <w:sz w:val="24"/>
            <w:szCs w:val="24"/>
            <w:lang w:val="et-EE"/>
          </w:rPr>
          <w:t>http://data.europa.eu/eli/reg_del/2019/715/oj</w:t>
        </w:r>
      </w:hyperlink>
      <w:r w:rsidRPr="005F2094">
        <w:rPr>
          <w:sz w:val="24"/>
          <w:szCs w:val="24"/>
          <w:lang w:val="et-EE"/>
        </w:rPr>
        <w:t>.</w:t>
      </w:r>
    </w:p>
  </w:footnote>
  <w:footnote w:id="249">
    <w:p w14:paraId="4B48E9EA"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C/2024/6332, 24.10.2024, ELI: </w:t>
      </w:r>
      <w:hyperlink r:id="rId249" w:history="1">
        <w:r w:rsidRPr="005F2094">
          <w:rPr>
            <w:rStyle w:val="Hyperlink1"/>
            <w:sz w:val="24"/>
            <w:szCs w:val="24"/>
            <w:lang w:val="et-EE"/>
          </w:rPr>
          <w:t>http://data.europa.eu/eli/C/2024/6332/oj</w:t>
        </w:r>
      </w:hyperlink>
      <w:r w:rsidRPr="005F2094">
        <w:rPr>
          <w:sz w:val="24"/>
          <w:szCs w:val="24"/>
          <w:lang w:val="et-EE"/>
        </w:rPr>
        <w:t>.</w:t>
      </w:r>
    </w:p>
  </w:footnote>
  <w:footnote w:id="250">
    <w:p w14:paraId="4742935E"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C/2024/6041, 10.10.2024, ELI: </w:t>
      </w:r>
      <w:hyperlink r:id="rId250" w:history="1">
        <w:r w:rsidRPr="005F2094">
          <w:rPr>
            <w:rStyle w:val="Hyperlink1"/>
            <w:sz w:val="24"/>
            <w:szCs w:val="24"/>
            <w:lang w:val="et-EE"/>
          </w:rPr>
          <w:t>http://data.europa.eu/eli/C/2024/6041/oj</w:t>
        </w:r>
      </w:hyperlink>
      <w:r w:rsidRPr="005F2094">
        <w:rPr>
          <w:sz w:val="24"/>
          <w:szCs w:val="24"/>
          <w:lang w:val="et-EE"/>
        </w:rPr>
        <w:t>.</w:t>
      </w:r>
    </w:p>
  </w:footnote>
  <w:footnote w:id="251">
    <w:p w14:paraId="601C636D"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193, 30.7.2018, lk 1, ELI: </w:t>
      </w:r>
      <w:hyperlink r:id="rId251" w:history="1">
        <w:r w:rsidRPr="005F2094">
          <w:rPr>
            <w:rStyle w:val="Hyperlink1"/>
            <w:sz w:val="24"/>
            <w:szCs w:val="24"/>
            <w:lang w:val="et-EE"/>
          </w:rPr>
          <w:t>http://data.europa.eu/eli/reg/2018/1046/oj</w:t>
        </w:r>
      </w:hyperlink>
      <w:r w:rsidRPr="005F2094">
        <w:rPr>
          <w:sz w:val="24"/>
          <w:szCs w:val="24"/>
          <w:lang w:val="et-EE"/>
        </w:rPr>
        <w:t>.</w:t>
      </w:r>
    </w:p>
  </w:footnote>
  <w:footnote w:id="252">
    <w:p w14:paraId="3C1F241D"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2024/2509, 26.9.2024, ELI: </w:t>
      </w:r>
      <w:hyperlink r:id="rId252" w:history="1">
        <w:r w:rsidRPr="005F2094">
          <w:rPr>
            <w:rStyle w:val="Hyperlink1"/>
            <w:sz w:val="24"/>
            <w:szCs w:val="24"/>
            <w:lang w:val="et-EE"/>
          </w:rPr>
          <w:t>http://data.europa.eu/eli/reg/2024/2509/oj</w:t>
        </w:r>
      </w:hyperlink>
      <w:r w:rsidRPr="005F2094">
        <w:rPr>
          <w:sz w:val="24"/>
          <w:szCs w:val="24"/>
          <w:lang w:val="fi-FI"/>
        </w:rPr>
        <w:t>.</w:t>
      </w:r>
    </w:p>
  </w:footnote>
  <w:footnote w:id="253">
    <w:p w14:paraId="11B94C5F"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138, 26.5.2016, lk 1, ELI: </w:t>
      </w:r>
      <w:hyperlink r:id="rId253" w:history="1">
        <w:r w:rsidRPr="005F2094">
          <w:rPr>
            <w:rStyle w:val="Hyperlink1"/>
            <w:sz w:val="24"/>
            <w:szCs w:val="24"/>
            <w:lang w:val="et-EE"/>
          </w:rPr>
          <w:t>http://data.europa.eu/eli/reg/2016/796/oj</w:t>
        </w:r>
      </w:hyperlink>
      <w:r w:rsidRPr="005F2094">
        <w:rPr>
          <w:sz w:val="24"/>
          <w:szCs w:val="24"/>
          <w:lang w:val="et-EE"/>
        </w:rPr>
        <w:t>.</w:t>
      </w:r>
    </w:p>
  </w:footnote>
  <w:footnote w:id="254">
    <w:p w14:paraId="0CB39834"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122, 10.5.2019, lk 1, ELI: </w:t>
      </w:r>
      <w:hyperlink r:id="rId254" w:history="1">
        <w:r w:rsidRPr="005F2094">
          <w:rPr>
            <w:rStyle w:val="Hyperlink1"/>
            <w:sz w:val="24"/>
            <w:szCs w:val="24"/>
            <w:lang w:val="et-EE"/>
          </w:rPr>
          <w:t>http://data.europa.eu/eli/reg_del/2019/715/oj</w:t>
        </w:r>
      </w:hyperlink>
      <w:r w:rsidRPr="005F2094">
        <w:rPr>
          <w:sz w:val="24"/>
          <w:szCs w:val="24"/>
          <w:lang w:val="et-EE"/>
        </w:rPr>
        <w:t>.</w:t>
      </w:r>
    </w:p>
  </w:footnote>
  <w:footnote w:id="255">
    <w:p w14:paraId="60E2C580"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C/2024/6332, 24.10.2024, ELI: </w:t>
      </w:r>
      <w:hyperlink r:id="rId255" w:history="1">
        <w:r w:rsidRPr="005F2094">
          <w:rPr>
            <w:rStyle w:val="Hyperlink1"/>
            <w:sz w:val="24"/>
            <w:szCs w:val="24"/>
            <w:lang w:val="et-EE"/>
          </w:rPr>
          <w:t>http://data.europa.eu/eli/C/2024/6332/oj</w:t>
        </w:r>
      </w:hyperlink>
      <w:r w:rsidRPr="005F2094">
        <w:rPr>
          <w:sz w:val="24"/>
          <w:szCs w:val="24"/>
          <w:lang w:val="et-EE"/>
        </w:rPr>
        <w:t>.</w:t>
      </w:r>
    </w:p>
  </w:footnote>
  <w:footnote w:id="256">
    <w:p w14:paraId="76BFABB2"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C/2024/6041, 10.10.2024, ELI: </w:t>
      </w:r>
      <w:hyperlink r:id="rId256" w:history="1">
        <w:r w:rsidRPr="005F2094">
          <w:rPr>
            <w:rStyle w:val="Hyperlink1"/>
            <w:sz w:val="24"/>
            <w:szCs w:val="24"/>
            <w:lang w:val="et-EE"/>
          </w:rPr>
          <w:t>http://data.europa.eu/eli/C/2024/6041/oj</w:t>
        </w:r>
      </w:hyperlink>
      <w:r w:rsidRPr="005F2094">
        <w:rPr>
          <w:sz w:val="24"/>
          <w:szCs w:val="24"/>
          <w:lang w:val="et-EE"/>
        </w:rPr>
        <w:t>.</w:t>
      </w:r>
    </w:p>
  </w:footnote>
  <w:footnote w:id="257">
    <w:p w14:paraId="322AB098"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193, 30.7.2018, lk 1, ELI: </w:t>
      </w:r>
      <w:hyperlink r:id="rId257" w:history="1">
        <w:r w:rsidRPr="005F2094">
          <w:rPr>
            <w:rStyle w:val="Hyperlink1"/>
            <w:sz w:val="24"/>
            <w:szCs w:val="24"/>
            <w:lang w:val="et-EE"/>
          </w:rPr>
          <w:t>http://data.europa.eu/eli/reg/2018/1046/oj</w:t>
        </w:r>
      </w:hyperlink>
      <w:r w:rsidRPr="005F2094">
        <w:rPr>
          <w:sz w:val="24"/>
          <w:szCs w:val="24"/>
          <w:lang w:val="et-EE"/>
        </w:rPr>
        <w:t>.</w:t>
      </w:r>
    </w:p>
  </w:footnote>
  <w:footnote w:id="258">
    <w:p w14:paraId="2AC58479"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2024/2509, 26.9.2024, ELI: </w:t>
      </w:r>
      <w:hyperlink r:id="rId258" w:history="1">
        <w:r w:rsidRPr="005F2094">
          <w:rPr>
            <w:rStyle w:val="Hyperlink1"/>
            <w:sz w:val="24"/>
            <w:szCs w:val="24"/>
            <w:lang w:val="et-EE"/>
          </w:rPr>
          <w:t>http://data.europa.eu/eli/reg/2024/2509/oj</w:t>
        </w:r>
      </w:hyperlink>
      <w:r w:rsidRPr="005F2094">
        <w:rPr>
          <w:rStyle w:val="Hyperlink1"/>
          <w:sz w:val="24"/>
          <w:szCs w:val="24"/>
          <w:lang w:val="et-EE"/>
        </w:rPr>
        <w:t>.</w:t>
      </w:r>
    </w:p>
  </w:footnote>
  <w:footnote w:id="259">
    <w:p w14:paraId="7677D3D8"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41, 15.2.2008, lk 15, ELI: </w:t>
      </w:r>
      <w:hyperlink r:id="rId259" w:history="1">
        <w:r w:rsidRPr="005F2094">
          <w:rPr>
            <w:rStyle w:val="Hyperlink1"/>
            <w:sz w:val="24"/>
            <w:szCs w:val="24"/>
            <w:lang w:val="et-EE"/>
          </w:rPr>
          <w:t>http://data.europa.eu/eli/dec/2008/114(1)/oj</w:t>
        </w:r>
      </w:hyperlink>
      <w:r w:rsidRPr="005F2094">
        <w:rPr>
          <w:sz w:val="24"/>
          <w:szCs w:val="24"/>
          <w:lang w:val="et-EE"/>
        </w:rPr>
        <w:t>.</w:t>
      </w:r>
    </w:p>
  </w:footnote>
  <w:footnote w:id="260">
    <w:p w14:paraId="6E070704"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C/2024/6332, 24.10.2024, ELI: </w:t>
      </w:r>
      <w:hyperlink r:id="rId260" w:history="1">
        <w:r w:rsidRPr="005F2094">
          <w:rPr>
            <w:rStyle w:val="Hyperlink1"/>
            <w:sz w:val="24"/>
            <w:szCs w:val="24"/>
            <w:lang w:val="et-EE"/>
          </w:rPr>
          <w:t>http://data.europa.eu/eli/C/2024/6332/oj</w:t>
        </w:r>
      </w:hyperlink>
      <w:r w:rsidRPr="005F2094">
        <w:rPr>
          <w:sz w:val="24"/>
          <w:szCs w:val="24"/>
          <w:lang w:val="et-EE"/>
        </w:rPr>
        <w:t>.</w:t>
      </w:r>
    </w:p>
  </w:footnote>
  <w:footnote w:id="261">
    <w:p w14:paraId="1EA526E8"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C/2024/6041, 10.10.2024, ELI: </w:t>
      </w:r>
      <w:hyperlink r:id="rId261" w:history="1">
        <w:r w:rsidRPr="005F2094">
          <w:rPr>
            <w:rStyle w:val="Hyperlink1"/>
            <w:sz w:val="24"/>
            <w:szCs w:val="24"/>
            <w:lang w:val="et-EE"/>
          </w:rPr>
          <w:t>http://data.europa.eu/eli/C/2024/6041/oj</w:t>
        </w:r>
      </w:hyperlink>
      <w:r w:rsidRPr="005F2094">
        <w:rPr>
          <w:sz w:val="24"/>
          <w:szCs w:val="24"/>
          <w:lang w:val="et-EE"/>
        </w:rPr>
        <w:t>.</w:t>
      </w:r>
    </w:p>
  </w:footnote>
  <w:footnote w:id="262">
    <w:p w14:paraId="40D24EE6"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193, 30.7.2018, lk 1, ELI: </w:t>
      </w:r>
      <w:hyperlink r:id="rId262" w:history="1">
        <w:r w:rsidRPr="005F2094">
          <w:rPr>
            <w:rStyle w:val="Hyperlink1"/>
            <w:sz w:val="24"/>
            <w:szCs w:val="24"/>
            <w:lang w:val="et-EE"/>
          </w:rPr>
          <w:t>http://data.europa.eu/eli/reg/2018/1046/oj</w:t>
        </w:r>
      </w:hyperlink>
      <w:r w:rsidRPr="005F2094">
        <w:rPr>
          <w:sz w:val="24"/>
          <w:szCs w:val="24"/>
          <w:lang w:val="et-EE"/>
        </w:rPr>
        <w:t>.</w:t>
      </w:r>
    </w:p>
  </w:footnote>
  <w:footnote w:id="263">
    <w:p w14:paraId="5F29A55E"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2024/2509, 26.9.2024, ELI: </w:t>
      </w:r>
      <w:hyperlink r:id="rId263" w:history="1">
        <w:r w:rsidRPr="005F2094">
          <w:rPr>
            <w:rStyle w:val="Hyperlink1"/>
            <w:sz w:val="24"/>
            <w:szCs w:val="24"/>
            <w:lang w:val="et-EE"/>
          </w:rPr>
          <w:t>http://data.europa.eu/eli/reg/2024/2509/oj</w:t>
        </w:r>
      </w:hyperlink>
      <w:r w:rsidRPr="005F2094">
        <w:rPr>
          <w:rStyle w:val="Hyperlink1"/>
          <w:sz w:val="24"/>
          <w:szCs w:val="24"/>
          <w:lang w:val="et-EE"/>
        </w:rPr>
        <w:t>.</w:t>
      </w:r>
    </w:p>
  </w:footnote>
  <w:footnote w:id="264">
    <w:p w14:paraId="5BBA02DB"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41, 15.2.2008, lk 15, ELI: </w:t>
      </w:r>
      <w:hyperlink r:id="rId264" w:history="1">
        <w:r w:rsidRPr="005F2094">
          <w:rPr>
            <w:rStyle w:val="Hyperlink1"/>
            <w:sz w:val="24"/>
            <w:szCs w:val="24"/>
            <w:lang w:val="et-EE"/>
          </w:rPr>
          <w:t>http://data.europa.eu/eli/dec/2008/114(1)/oj</w:t>
        </w:r>
      </w:hyperlink>
      <w:r w:rsidRPr="005F2094">
        <w:rPr>
          <w:sz w:val="24"/>
          <w:szCs w:val="24"/>
          <w:lang w:val="et-EE"/>
        </w:rPr>
        <w:t>.</w:t>
      </w:r>
    </w:p>
  </w:footnote>
  <w:footnote w:id="265">
    <w:p w14:paraId="0A0C6121"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C/2024/6332, 24.10.2024, ELI: </w:t>
      </w:r>
      <w:hyperlink r:id="rId265" w:history="1">
        <w:r w:rsidRPr="005F2094">
          <w:rPr>
            <w:rStyle w:val="Hyperlink1"/>
            <w:sz w:val="24"/>
            <w:szCs w:val="24"/>
            <w:lang w:val="et-EE"/>
          </w:rPr>
          <w:t>http://data.europa.eu/eli/C/2024/6332/oj</w:t>
        </w:r>
      </w:hyperlink>
      <w:r w:rsidRPr="005F2094">
        <w:rPr>
          <w:sz w:val="24"/>
          <w:szCs w:val="24"/>
          <w:lang w:val="et-EE"/>
        </w:rPr>
        <w:t>.</w:t>
      </w:r>
    </w:p>
  </w:footnote>
  <w:footnote w:id="266">
    <w:p w14:paraId="17F6F31A"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C/2024/6041, 10.10.2024, ELI: </w:t>
      </w:r>
      <w:hyperlink r:id="rId266" w:history="1">
        <w:r w:rsidRPr="005F2094">
          <w:rPr>
            <w:rStyle w:val="Hyperlink1"/>
            <w:sz w:val="24"/>
            <w:szCs w:val="24"/>
            <w:lang w:val="et-EE"/>
          </w:rPr>
          <w:t>http://data.europa.eu/eli/C/2024/6041/oj</w:t>
        </w:r>
      </w:hyperlink>
      <w:r w:rsidRPr="005F2094">
        <w:rPr>
          <w:sz w:val="24"/>
          <w:szCs w:val="24"/>
          <w:lang w:val="et-EE"/>
        </w:rPr>
        <w:t>.</w:t>
      </w:r>
    </w:p>
  </w:footnote>
  <w:footnote w:id="267">
    <w:p w14:paraId="77D8E430"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193, 30.7.2018, lk 1, ELI: </w:t>
      </w:r>
      <w:hyperlink r:id="rId267" w:history="1">
        <w:r w:rsidRPr="005F2094">
          <w:rPr>
            <w:rStyle w:val="Hyperlink1"/>
            <w:sz w:val="24"/>
            <w:szCs w:val="24"/>
            <w:lang w:val="et-EE"/>
          </w:rPr>
          <w:t>http://data.europa.eu/eli/reg/2018/1046/oj</w:t>
        </w:r>
      </w:hyperlink>
      <w:r w:rsidRPr="005F2094">
        <w:rPr>
          <w:sz w:val="24"/>
          <w:szCs w:val="24"/>
          <w:lang w:val="et-EE"/>
        </w:rPr>
        <w:t>.</w:t>
      </w:r>
    </w:p>
  </w:footnote>
  <w:footnote w:id="268">
    <w:p w14:paraId="56B70B09"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2024/2509, 26.9.2024, ELI: </w:t>
      </w:r>
      <w:hyperlink r:id="rId268" w:history="1">
        <w:r w:rsidRPr="005F2094">
          <w:rPr>
            <w:rStyle w:val="Hyperlink1"/>
            <w:sz w:val="24"/>
            <w:szCs w:val="24"/>
            <w:lang w:val="et-EE"/>
          </w:rPr>
          <w:t>http://data.europa.eu/eli/reg/2024/2509/oj</w:t>
        </w:r>
      </w:hyperlink>
      <w:r w:rsidRPr="005F2094">
        <w:rPr>
          <w:rStyle w:val="Hyperlink1"/>
          <w:sz w:val="24"/>
          <w:szCs w:val="24"/>
          <w:lang w:val="et-EE"/>
        </w:rPr>
        <w:t>.</w:t>
      </w:r>
    </w:p>
  </w:footnote>
  <w:footnote w:id="269">
    <w:p w14:paraId="472F2D03"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331, 15.12.2010, lk 84, ELI: </w:t>
      </w:r>
      <w:hyperlink r:id="rId269" w:history="1">
        <w:r w:rsidRPr="005F2094">
          <w:rPr>
            <w:rStyle w:val="Hyperlink1"/>
            <w:sz w:val="24"/>
            <w:szCs w:val="24"/>
            <w:lang w:val="et-EE"/>
          </w:rPr>
          <w:t>http://data.europa.eu/eli/reg/2010/1095/oj</w:t>
        </w:r>
      </w:hyperlink>
      <w:r w:rsidRPr="005F2094">
        <w:rPr>
          <w:sz w:val="24"/>
          <w:szCs w:val="24"/>
          <w:lang w:val="et-EE"/>
        </w:rPr>
        <w:t>.</w:t>
      </w:r>
    </w:p>
  </w:footnote>
  <w:footnote w:id="270">
    <w:p w14:paraId="77DEB6A3"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122, 10.5.2019, lk 1, ELI: </w:t>
      </w:r>
      <w:hyperlink r:id="rId270" w:history="1">
        <w:r w:rsidRPr="005F2094">
          <w:rPr>
            <w:rStyle w:val="Hyperlink1"/>
            <w:sz w:val="24"/>
            <w:szCs w:val="24"/>
            <w:lang w:val="et-EE"/>
          </w:rPr>
          <w:t>http://data.europa.eu/eli/reg_del/2019/715/oj</w:t>
        </w:r>
      </w:hyperlink>
      <w:r w:rsidRPr="005F2094">
        <w:rPr>
          <w:sz w:val="24"/>
          <w:szCs w:val="24"/>
          <w:lang w:val="et-EE"/>
        </w:rPr>
        <w:t>.</w:t>
      </w:r>
    </w:p>
  </w:footnote>
  <w:footnote w:id="271">
    <w:p w14:paraId="3611704B"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C/2024/6332, 24.10.2024, ELI: </w:t>
      </w:r>
      <w:hyperlink r:id="rId271" w:history="1">
        <w:r w:rsidRPr="005F2094">
          <w:rPr>
            <w:rStyle w:val="Hyperlink1"/>
            <w:sz w:val="24"/>
            <w:szCs w:val="24"/>
            <w:lang w:val="et-EE"/>
          </w:rPr>
          <w:t>http://data.europa.eu/eli/C/2024/6332/oj</w:t>
        </w:r>
      </w:hyperlink>
      <w:r w:rsidRPr="005F2094">
        <w:rPr>
          <w:sz w:val="24"/>
          <w:szCs w:val="24"/>
          <w:lang w:val="et-EE"/>
        </w:rPr>
        <w:t>.</w:t>
      </w:r>
    </w:p>
  </w:footnote>
  <w:footnote w:id="272">
    <w:p w14:paraId="560DC86F"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C/2024/6041, 10.10.2024, ELI: </w:t>
      </w:r>
      <w:hyperlink r:id="rId272" w:history="1">
        <w:r w:rsidRPr="005F2094">
          <w:rPr>
            <w:rStyle w:val="Hyperlink1"/>
            <w:sz w:val="24"/>
            <w:szCs w:val="24"/>
            <w:lang w:val="et-EE"/>
          </w:rPr>
          <w:t>http://data.europa.eu/eli/C/2024/6041/oj</w:t>
        </w:r>
      </w:hyperlink>
      <w:r w:rsidRPr="005F2094">
        <w:rPr>
          <w:sz w:val="24"/>
          <w:szCs w:val="24"/>
          <w:lang w:val="et-EE"/>
        </w:rPr>
        <w:t>.</w:t>
      </w:r>
    </w:p>
  </w:footnote>
  <w:footnote w:id="273">
    <w:p w14:paraId="69CF2655"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193, 30.7.2018, lk 1, ELI: </w:t>
      </w:r>
      <w:hyperlink r:id="rId273" w:history="1">
        <w:r w:rsidRPr="005F2094">
          <w:rPr>
            <w:rStyle w:val="Hyperlink1"/>
            <w:sz w:val="24"/>
            <w:szCs w:val="24"/>
            <w:lang w:val="et-EE"/>
          </w:rPr>
          <w:t>http://data.europa.eu/eli/reg/2018/1046/oj</w:t>
        </w:r>
      </w:hyperlink>
      <w:r w:rsidRPr="005F2094">
        <w:rPr>
          <w:sz w:val="24"/>
          <w:szCs w:val="24"/>
          <w:lang w:val="et-EE"/>
        </w:rPr>
        <w:t>.</w:t>
      </w:r>
    </w:p>
  </w:footnote>
  <w:footnote w:id="274">
    <w:p w14:paraId="4AFE8D2E"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2024/2509, 26.9.2024, ELI: </w:t>
      </w:r>
      <w:hyperlink r:id="rId274" w:history="1">
        <w:r w:rsidRPr="005F2094">
          <w:rPr>
            <w:rStyle w:val="Hyperlink1"/>
            <w:sz w:val="24"/>
            <w:szCs w:val="24"/>
            <w:lang w:val="et-EE"/>
          </w:rPr>
          <w:t>http://data.europa.eu/eli/reg/2024/2509/oj</w:t>
        </w:r>
      </w:hyperlink>
      <w:r w:rsidRPr="005F2094">
        <w:rPr>
          <w:rStyle w:val="Hyperlink1"/>
          <w:sz w:val="24"/>
          <w:szCs w:val="24"/>
          <w:lang w:val="et-EE"/>
        </w:rPr>
        <w:t>.</w:t>
      </w:r>
    </w:p>
  </w:footnote>
  <w:footnote w:id="275">
    <w:p w14:paraId="227AF2AF"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331, 15.12.2010, lk 84, ELI: </w:t>
      </w:r>
      <w:hyperlink r:id="rId275" w:history="1">
        <w:r w:rsidRPr="005F2094">
          <w:rPr>
            <w:rStyle w:val="Hyperlink1"/>
            <w:sz w:val="24"/>
            <w:szCs w:val="24"/>
            <w:lang w:val="et-EE"/>
          </w:rPr>
          <w:t>http://data.europa.eu/eli/reg/2010/1095/oj</w:t>
        </w:r>
      </w:hyperlink>
      <w:r w:rsidRPr="005F2094">
        <w:rPr>
          <w:sz w:val="24"/>
          <w:szCs w:val="24"/>
          <w:lang w:val="et-EE"/>
        </w:rPr>
        <w:t>.</w:t>
      </w:r>
    </w:p>
  </w:footnote>
  <w:footnote w:id="276">
    <w:p w14:paraId="61BCD64D"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122, 10.5.2019, lk 1, ELI: </w:t>
      </w:r>
      <w:hyperlink r:id="rId276" w:history="1">
        <w:r w:rsidRPr="005F2094">
          <w:rPr>
            <w:rStyle w:val="Hyperlink1"/>
            <w:sz w:val="24"/>
            <w:szCs w:val="24"/>
            <w:lang w:val="et-EE"/>
          </w:rPr>
          <w:t>http://data.europa.eu/eli/reg_del/2019/715/oj</w:t>
        </w:r>
      </w:hyperlink>
      <w:r w:rsidRPr="005F2094">
        <w:rPr>
          <w:sz w:val="24"/>
          <w:szCs w:val="24"/>
          <w:lang w:val="et-EE"/>
        </w:rPr>
        <w:t>.</w:t>
      </w:r>
    </w:p>
  </w:footnote>
  <w:footnote w:id="277">
    <w:p w14:paraId="247620B1"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C/2024/6332, 24.10.2024, ELI: </w:t>
      </w:r>
      <w:hyperlink r:id="rId277" w:history="1">
        <w:r w:rsidRPr="005F2094">
          <w:rPr>
            <w:rStyle w:val="Hyperlink1"/>
            <w:sz w:val="24"/>
            <w:szCs w:val="24"/>
            <w:lang w:val="et-EE"/>
          </w:rPr>
          <w:t>http://data.europa.eu/eli/C/2024/6332/oj</w:t>
        </w:r>
      </w:hyperlink>
      <w:r w:rsidRPr="005F2094">
        <w:rPr>
          <w:sz w:val="24"/>
          <w:szCs w:val="24"/>
          <w:lang w:val="et-EE"/>
        </w:rPr>
        <w:t>.</w:t>
      </w:r>
    </w:p>
  </w:footnote>
  <w:footnote w:id="278">
    <w:p w14:paraId="62D0DC2C"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C/2024/6041, 10.10.2024, ELI: </w:t>
      </w:r>
      <w:hyperlink r:id="rId278" w:history="1">
        <w:r w:rsidRPr="005F2094">
          <w:rPr>
            <w:rStyle w:val="Hyperlink1"/>
            <w:sz w:val="24"/>
            <w:szCs w:val="24"/>
            <w:lang w:val="et-EE"/>
          </w:rPr>
          <w:t>http://data.europa.eu/eli/C/2024/6041/oj</w:t>
        </w:r>
      </w:hyperlink>
      <w:r w:rsidRPr="005F2094">
        <w:rPr>
          <w:sz w:val="24"/>
          <w:szCs w:val="24"/>
          <w:lang w:val="et-EE"/>
        </w:rPr>
        <w:t>.</w:t>
      </w:r>
    </w:p>
  </w:footnote>
  <w:footnote w:id="279">
    <w:p w14:paraId="019B74D5"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193, 30.7.2018, lk 1, ELI: </w:t>
      </w:r>
      <w:hyperlink r:id="rId279" w:history="1">
        <w:r w:rsidRPr="005F2094">
          <w:rPr>
            <w:rStyle w:val="Hyperlink1"/>
            <w:sz w:val="24"/>
            <w:szCs w:val="24"/>
            <w:lang w:val="et-EE"/>
          </w:rPr>
          <w:t>http://data.europa.eu/eli/reg/2018/1046/oj</w:t>
        </w:r>
      </w:hyperlink>
      <w:r w:rsidRPr="005F2094">
        <w:rPr>
          <w:sz w:val="24"/>
          <w:szCs w:val="24"/>
          <w:lang w:val="et-EE"/>
        </w:rPr>
        <w:t>.</w:t>
      </w:r>
    </w:p>
  </w:footnote>
  <w:footnote w:id="280">
    <w:p w14:paraId="43DDB19F"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2024/2509, 26.9.2024, ELI: </w:t>
      </w:r>
      <w:hyperlink r:id="rId280" w:history="1">
        <w:r w:rsidRPr="005F2094">
          <w:rPr>
            <w:rStyle w:val="Hyperlink1"/>
            <w:sz w:val="24"/>
            <w:szCs w:val="24"/>
            <w:lang w:val="et-EE"/>
          </w:rPr>
          <w:t>http://data.europa.eu/eli/reg/2024/2509/oj</w:t>
        </w:r>
      </w:hyperlink>
      <w:r w:rsidRPr="005F2094">
        <w:rPr>
          <w:rStyle w:val="Hyperlink1"/>
          <w:sz w:val="24"/>
          <w:szCs w:val="24"/>
          <w:lang w:val="et-EE"/>
        </w:rPr>
        <w:t>.</w:t>
      </w:r>
    </w:p>
  </w:footnote>
  <w:footnote w:id="281">
    <w:p w14:paraId="2AF3FAFA"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354, 31.12.2008, lk 82, ELI: </w:t>
      </w:r>
      <w:hyperlink r:id="rId281" w:history="1">
        <w:r w:rsidRPr="005F2094">
          <w:rPr>
            <w:rStyle w:val="Hyperlink"/>
            <w:sz w:val="24"/>
            <w:szCs w:val="24"/>
            <w:lang w:val="et-EE"/>
          </w:rPr>
          <w:t>http://data.europa.eu/eli/reg/2008/1339</w:t>
        </w:r>
        <w:r w:rsidRPr="005F2094">
          <w:rPr>
            <w:rStyle w:val="Hyperlink"/>
            <w:sz w:val="24"/>
            <w:szCs w:val="24"/>
            <w:lang w:val="fi-FI"/>
          </w:rPr>
          <w:t>/</w:t>
        </w:r>
        <w:proofErr w:type="spellStart"/>
        <w:r w:rsidRPr="005F2094">
          <w:rPr>
            <w:rStyle w:val="Hyperlink"/>
            <w:sz w:val="24"/>
            <w:szCs w:val="24"/>
            <w:lang w:val="fi-FI"/>
          </w:rPr>
          <w:t>oj</w:t>
        </w:r>
        <w:proofErr w:type="spellEnd"/>
      </w:hyperlink>
      <w:r w:rsidRPr="005F2094">
        <w:rPr>
          <w:sz w:val="24"/>
          <w:szCs w:val="24"/>
          <w:lang w:val="et-EE"/>
        </w:rPr>
        <w:t>.</w:t>
      </w:r>
    </w:p>
  </w:footnote>
  <w:footnote w:id="282">
    <w:p w14:paraId="6CF0226F"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122, 10.5.2019, lk 1, ELI: </w:t>
      </w:r>
      <w:hyperlink r:id="rId282" w:history="1">
        <w:r w:rsidRPr="005F2094">
          <w:rPr>
            <w:rStyle w:val="Hyperlink1"/>
            <w:sz w:val="24"/>
            <w:szCs w:val="24"/>
            <w:lang w:val="et-EE"/>
          </w:rPr>
          <w:t>http://data.europa.eu/eli/reg_del/2019/715/oj</w:t>
        </w:r>
      </w:hyperlink>
      <w:r w:rsidRPr="005F2094">
        <w:rPr>
          <w:sz w:val="24"/>
          <w:szCs w:val="24"/>
          <w:lang w:val="et-EE"/>
        </w:rPr>
        <w:t>.</w:t>
      </w:r>
    </w:p>
  </w:footnote>
  <w:footnote w:id="283">
    <w:p w14:paraId="5365DF74"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C/2024/6332, 24.10.2024, ELI: </w:t>
      </w:r>
      <w:hyperlink r:id="rId283" w:history="1">
        <w:r w:rsidRPr="005F2094">
          <w:rPr>
            <w:rStyle w:val="Hyperlink1"/>
            <w:sz w:val="24"/>
            <w:szCs w:val="24"/>
            <w:lang w:val="et-EE"/>
          </w:rPr>
          <w:t>http://data.europa.eu/eli/C/2024/6332/oj</w:t>
        </w:r>
      </w:hyperlink>
      <w:r w:rsidRPr="005F2094">
        <w:rPr>
          <w:sz w:val="24"/>
          <w:szCs w:val="24"/>
          <w:lang w:val="et-EE"/>
        </w:rPr>
        <w:t>.</w:t>
      </w:r>
    </w:p>
  </w:footnote>
  <w:footnote w:id="284">
    <w:p w14:paraId="063A4AF9"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C/2024/6041, 10.10.2024, ELI: </w:t>
      </w:r>
      <w:hyperlink r:id="rId284" w:history="1">
        <w:r w:rsidRPr="005F2094">
          <w:rPr>
            <w:rStyle w:val="Hyperlink1"/>
            <w:sz w:val="24"/>
            <w:szCs w:val="24"/>
            <w:lang w:val="et-EE"/>
          </w:rPr>
          <w:t>http://data.europa.eu/eli/C/2024/6041/oj</w:t>
        </w:r>
      </w:hyperlink>
      <w:r w:rsidRPr="005F2094">
        <w:rPr>
          <w:sz w:val="24"/>
          <w:szCs w:val="24"/>
          <w:lang w:val="et-EE"/>
        </w:rPr>
        <w:t>.</w:t>
      </w:r>
    </w:p>
  </w:footnote>
  <w:footnote w:id="285">
    <w:p w14:paraId="055AE02B"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193, 30.7.2018, lk 1, ELI: </w:t>
      </w:r>
      <w:hyperlink r:id="rId285" w:history="1">
        <w:r w:rsidRPr="005F2094">
          <w:rPr>
            <w:rStyle w:val="Hyperlink1"/>
            <w:sz w:val="24"/>
            <w:szCs w:val="24"/>
            <w:lang w:val="et-EE"/>
          </w:rPr>
          <w:t>http://data.europa.eu/eli/reg/2018/1046/oj</w:t>
        </w:r>
      </w:hyperlink>
      <w:r w:rsidRPr="005F2094">
        <w:rPr>
          <w:sz w:val="24"/>
          <w:szCs w:val="24"/>
          <w:lang w:val="et-EE"/>
        </w:rPr>
        <w:t>.</w:t>
      </w:r>
    </w:p>
  </w:footnote>
  <w:footnote w:id="286">
    <w:p w14:paraId="0A567D75"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2024/2509, 26.9.2024, ELI: </w:t>
      </w:r>
      <w:hyperlink r:id="rId286" w:history="1">
        <w:r w:rsidRPr="005F2094">
          <w:rPr>
            <w:rStyle w:val="Hyperlink1"/>
            <w:sz w:val="24"/>
            <w:szCs w:val="24"/>
            <w:lang w:val="et-EE"/>
          </w:rPr>
          <w:t>http://data.europa.eu/eli/reg/2024/2509/oj</w:t>
        </w:r>
      </w:hyperlink>
      <w:r w:rsidRPr="005F2094">
        <w:rPr>
          <w:rStyle w:val="Hyperlink1"/>
          <w:sz w:val="24"/>
          <w:szCs w:val="24"/>
          <w:lang w:val="et-EE"/>
        </w:rPr>
        <w:t>.</w:t>
      </w:r>
    </w:p>
  </w:footnote>
  <w:footnote w:id="287">
    <w:p w14:paraId="3317AEF2"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354, 31.12.2008, lk 82, ELI: </w:t>
      </w:r>
      <w:hyperlink r:id="rId287" w:history="1">
        <w:r w:rsidRPr="005F2094">
          <w:rPr>
            <w:rStyle w:val="Hyperlink"/>
            <w:sz w:val="24"/>
            <w:szCs w:val="24"/>
            <w:lang w:val="et-EE"/>
          </w:rPr>
          <w:t>http://data.europa.eu/eli/reg/2008/1339</w:t>
        </w:r>
        <w:r w:rsidRPr="005F2094">
          <w:rPr>
            <w:rStyle w:val="Hyperlink"/>
            <w:sz w:val="24"/>
            <w:szCs w:val="24"/>
            <w:lang w:val="fi-FI"/>
          </w:rPr>
          <w:t>/</w:t>
        </w:r>
        <w:proofErr w:type="spellStart"/>
        <w:r w:rsidRPr="005F2094">
          <w:rPr>
            <w:rStyle w:val="Hyperlink"/>
            <w:sz w:val="24"/>
            <w:szCs w:val="24"/>
            <w:lang w:val="fi-FI"/>
          </w:rPr>
          <w:t>oj</w:t>
        </w:r>
        <w:proofErr w:type="spellEnd"/>
      </w:hyperlink>
      <w:r w:rsidRPr="005F2094">
        <w:rPr>
          <w:sz w:val="24"/>
          <w:szCs w:val="24"/>
          <w:lang w:val="et-EE"/>
        </w:rPr>
        <w:t>.</w:t>
      </w:r>
    </w:p>
  </w:footnote>
  <w:footnote w:id="288">
    <w:p w14:paraId="2E9F51A8"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122, 10.5.2019, lk 1, ELI: </w:t>
      </w:r>
      <w:hyperlink r:id="rId288" w:history="1">
        <w:r w:rsidRPr="005F2094">
          <w:rPr>
            <w:rStyle w:val="Hyperlink1"/>
            <w:sz w:val="24"/>
            <w:szCs w:val="24"/>
            <w:lang w:val="et-EE"/>
          </w:rPr>
          <w:t>http://data.europa.eu/eli/reg_del/2019/715/oj</w:t>
        </w:r>
      </w:hyperlink>
      <w:r w:rsidRPr="005F2094">
        <w:rPr>
          <w:sz w:val="24"/>
          <w:szCs w:val="24"/>
          <w:lang w:val="et-EE"/>
        </w:rPr>
        <w:t>.</w:t>
      </w:r>
    </w:p>
  </w:footnote>
  <w:footnote w:id="289">
    <w:p w14:paraId="310C6868"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C/2024/6332, 24.10.2024, ELI: </w:t>
      </w:r>
      <w:hyperlink r:id="rId289" w:history="1">
        <w:r w:rsidRPr="005F2094">
          <w:rPr>
            <w:rStyle w:val="Hyperlink1"/>
            <w:sz w:val="24"/>
            <w:szCs w:val="24"/>
            <w:lang w:val="et-EE"/>
          </w:rPr>
          <w:t>http://data.europa.eu/eli/C/2024/6332/oj</w:t>
        </w:r>
      </w:hyperlink>
      <w:r w:rsidRPr="005F2094">
        <w:rPr>
          <w:sz w:val="24"/>
          <w:szCs w:val="24"/>
          <w:lang w:val="et-EE"/>
        </w:rPr>
        <w:t>.</w:t>
      </w:r>
    </w:p>
  </w:footnote>
  <w:footnote w:id="290">
    <w:p w14:paraId="440E3778"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C/2024/6041, 10.10.2024, ELI: </w:t>
      </w:r>
      <w:hyperlink r:id="rId290" w:history="1">
        <w:r w:rsidRPr="005F2094">
          <w:rPr>
            <w:rStyle w:val="Hyperlink1"/>
            <w:sz w:val="24"/>
            <w:szCs w:val="24"/>
            <w:lang w:val="et-EE"/>
          </w:rPr>
          <w:t>http://data.europa.eu/eli/C/2024/6041/oj</w:t>
        </w:r>
      </w:hyperlink>
      <w:r w:rsidRPr="005F2094">
        <w:rPr>
          <w:sz w:val="24"/>
          <w:szCs w:val="24"/>
          <w:lang w:val="et-EE"/>
        </w:rPr>
        <w:t>.</w:t>
      </w:r>
    </w:p>
  </w:footnote>
  <w:footnote w:id="291">
    <w:p w14:paraId="7072E0B1"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193, 30.7.2018, lk 1, ELI: </w:t>
      </w:r>
      <w:hyperlink r:id="rId291" w:history="1">
        <w:r w:rsidRPr="005F2094">
          <w:rPr>
            <w:rStyle w:val="Hyperlink1"/>
            <w:sz w:val="24"/>
            <w:szCs w:val="24"/>
            <w:lang w:val="et-EE"/>
          </w:rPr>
          <w:t>http://data.europa.eu/eli/reg/2018/1046/oj</w:t>
        </w:r>
      </w:hyperlink>
      <w:r w:rsidRPr="005F2094">
        <w:rPr>
          <w:sz w:val="24"/>
          <w:szCs w:val="24"/>
          <w:lang w:val="et-EE"/>
        </w:rPr>
        <w:t>.</w:t>
      </w:r>
    </w:p>
  </w:footnote>
  <w:footnote w:id="292">
    <w:p w14:paraId="0222C7F0"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2024/2509, 26.9.2024, ELI: </w:t>
      </w:r>
      <w:hyperlink r:id="rId292" w:history="1">
        <w:r w:rsidRPr="005F2094">
          <w:rPr>
            <w:rStyle w:val="Hyperlink1"/>
            <w:sz w:val="24"/>
            <w:szCs w:val="24"/>
            <w:lang w:val="et-EE"/>
          </w:rPr>
          <w:t>http://data.europa.eu/eli/reg/2024/2509/oj</w:t>
        </w:r>
      </w:hyperlink>
      <w:r w:rsidRPr="005F2094">
        <w:rPr>
          <w:rStyle w:val="Hyperlink1"/>
          <w:sz w:val="24"/>
          <w:szCs w:val="24"/>
          <w:lang w:val="et-EE"/>
        </w:rPr>
        <w:t>.</w:t>
      </w:r>
    </w:p>
  </w:footnote>
  <w:footnote w:id="293">
    <w:p w14:paraId="0B5CE961"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132, 29.5.2010, lk 11, ELI: </w:t>
      </w:r>
      <w:hyperlink r:id="rId293" w:history="1">
        <w:r w:rsidRPr="005F2094">
          <w:rPr>
            <w:rStyle w:val="Hyperlink1"/>
            <w:sz w:val="24"/>
            <w:szCs w:val="24"/>
            <w:lang w:val="et-EE"/>
          </w:rPr>
          <w:t>http://data.europa.eu/eli/reg/2010/439/oj</w:t>
        </w:r>
      </w:hyperlink>
      <w:r w:rsidRPr="005F2094">
        <w:rPr>
          <w:sz w:val="24"/>
          <w:szCs w:val="24"/>
          <w:lang w:val="et-EE"/>
        </w:rPr>
        <w:t>.</w:t>
      </w:r>
    </w:p>
  </w:footnote>
  <w:footnote w:id="294">
    <w:p w14:paraId="0671E1A5"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468, 30.12.2021, lk 1, ELI: </w:t>
      </w:r>
      <w:hyperlink r:id="rId294" w:history="1">
        <w:r w:rsidRPr="005F2094">
          <w:rPr>
            <w:rStyle w:val="Hyperlink1"/>
            <w:sz w:val="24"/>
            <w:szCs w:val="24"/>
            <w:lang w:val="et-EE"/>
          </w:rPr>
          <w:t>http://data.europa.eu/eli/reg/2021/2303/oj</w:t>
        </w:r>
      </w:hyperlink>
      <w:r w:rsidRPr="005F2094">
        <w:rPr>
          <w:sz w:val="24"/>
          <w:szCs w:val="24"/>
          <w:lang w:val="et-EE"/>
        </w:rPr>
        <w:t>.</w:t>
      </w:r>
    </w:p>
  </w:footnote>
  <w:footnote w:id="295">
    <w:p w14:paraId="59EA3246"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122, 10.5.2019, lk 1, ELI: </w:t>
      </w:r>
      <w:hyperlink r:id="rId295" w:history="1">
        <w:r w:rsidRPr="005F2094">
          <w:rPr>
            <w:rStyle w:val="Hyperlink1"/>
            <w:sz w:val="24"/>
            <w:szCs w:val="24"/>
            <w:lang w:val="et-EE"/>
          </w:rPr>
          <w:t>http://data.europa.eu/eli/reg_del/2019/715/oj</w:t>
        </w:r>
      </w:hyperlink>
      <w:r w:rsidRPr="005F2094">
        <w:rPr>
          <w:sz w:val="24"/>
          <w:szCs w:val="24"/>
          <w:lang w:val="et-EE"/>
        </w:rPr>
        <w:t>.</w:t>
      </w:r>
    </w:p>
  </w:footnote>
  <w:footnote w:id="296">
    <w:p w14:paraId="089792FC"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C/2024/6332, 24.10.2024, ELI: </w:t>
      </w:r>
      <w:hyperlink r:id="rId296" w:history="1">
        <w:r w:rsidRPr="005F2094">
          <w:rPr>
            <w:rStyle w:val="Hyperlink1"/>
            <w:sz w:val="24"/>
            <w:szCs w:val="24"/>
            <w:lang w:val="et-EE"/>
          </w:rPr>
          <w:t>http://data.europa.eu/eli/C/2024/6332/oj</w:t>
        </w:r>
      </w:hyperlink>
      <w:r w:rsidRPr="005F2094">
        <w:rPr>
          <w:sz w:val="24"/>
          <w:szCs w:val="24"/>
          <w:lang w:val="et-EE"/>
        </w:rPr>
        <w:t>.</w:t>
      </w:r>
    </w:p>
  </w:footnote>
  <w:footnote w:id="297">
    <w:p w14:paraId="39EE7B2E"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C/2024/6041, 10.10.2024, ELI: </w:t>
      </w:r>
      <w:hyperlink r:id="rId297" w:history="1">
        <w:r w:rsidRPr="005F2094">
          <w:rPr>
            <w:rStyle w:val="Hyperlink1"/>
            <w:sz w:val="24"/>
            <w:szCs w:val="24"/>
            <w:lang w:val="et-EE"/>
          </w:rPr>
          <w:t>http://data.europa.eu/eli/C/2024/6041/oj</w:t>
        </w:r>
      </w:hyperlink>
      <w:r w:rsidRPr="005F2094">
        <w:rPr>
          <w:sz w:val="24"/>
          <w:szCs w:val="24"/>
          <w:lang w:val="et-EE"/>
        </w:rPr>
        <w:t>.</w:t>
      </w:r>
    </w:p>
  </w:footnote>
  <w:footnote w:id="298">
    <w:p w14:paraId="0CF85EF1"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193, 30.7.2018, lk 1, ELI: </w:t>
      </w:r>
      <w:hyperlink r:id="rId298" w:history="1">
        <w:r w:rsidRPr="005F2094">
          <w:rPr>
            <w:rStyle w:val="Hyperlink1"/>
            <w:sz w:val="24"/>
            <w:szCs w:val="24"/>
            <w:lang w:val="et-EE"/>
          </w:rPr>
          <w:t>http://data.europa.eu/eli/reg/2018/1046/oj</w:t>
        </w:r>
      </w:hyperlink>
      <w:r w:rsidRPr="005F2094">
        <w:rPr>
          <w:sz w:val="24"/>
          <w:szCs w:val="24"/>
          <w:lang w:val="et-EE"/>
        </w:rPr>
        <w:t>.</w:t>
      </w:r>
    </w:p>
  </w:footnote>
  <w:footnote w:id="299">
    <w:p w14:paraId="2F5F051D"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2024/2509, 26.9.2024, ELI: </w:t>
      </w:r>
      <w:hyperlink r:id="rId299" w:history="1">
        <w:r w:rsidRPr="005F2094">
          <w:rPr>
            <w:rStyle w:val="Hyperlink1"/>
            <w:sz w:val="24"/>
            <w:szCs w:val="24"/>
            <w:lang w:val="et-EE"/>
          </w:rPr>
          <w:t>http://data.europa.eu/eli/reg/2024/2509/oj</w:t>
        </w:r>
      </w:hyperlink>
      <w:r w:rsidRPr="005F2094">
        <w:rPr>
          <w:sz w:val="24"/>
          <w:szCs w:val="24"/>
          <w:lang w:val="fi-FI"/>
        </w:rPr>
        <w:t>.</w:t>
      </w:r>
    </w:p>
  </w:footnote>
  <w:footnote w:id="300">
    <w:p w14:paraId="6B5400E6"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132, 29.5.2010, lk 11, ELI: </w:t>
      </w:r>
      <w:hyperlink r:id="rId300" w:history="1">
        <w:r w:rsidRPr="005F2094">
          <w:rPr>
            <w:rStyle w:val="Hyperlink1"/>
            <w:sz w:val="24"/>
            <w:szCs w:val="24"/>
            <w:lang w:val="et-EE"/>
          </w:rPr>
          <w:t>http://data.europa.eu/eli/reg/2010/439/oj</w:t>
        </w:r>
      </w:hyperlink>
      <w:r w:rsidRPr="005F2094">
        <w:rPr>
          <w:sz w:val="24"/>
          <w:szCs w:val="24"/>
          <w:lang w:val="et-EE"/>
        </w:rPr>
        <w:t>.</w:t>
      </w:r>
    </w:p>
  </w:footnote>
  <w:footnote w:id="301">
    <w:p w14:paraId="10B36FD1"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468, 30.12.2021, lk 1, ELI: </w:t>
      </w:r>
      <w:hyperlink r:id="rId301" w:history="1">
        <w:r w:rsidRPr="005F2094">
          <w:rPr>
            <w:rStyle w:val="Hyperlink1"/>
            <w:sz w:val="24"/>
            <w:szCs w:val="24"/>
            <w:lang w:val="et-EE"/>
          </w:rPr>
          <w:t>http://data.europa.eu/eli/reg/2021/2303/oj</w:t>
        </w:r>
      </w:hyperlink>
      <w:r w:rsidRPr="005F2094">
        <w:rPr>
          <w:sz w:val="24"/>
          <w:szCs w:val="24"/>
          <w:lang w:val="et-EE"/>
        </w:rPr>
        <w:t>.</w:t>
      </w:r>
    </w:p>
  </w:footnote>
  <w:footnote w:id="302">
    <w:p w14:paraId="4ED56CEE"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122, 10.5.2019, lk 1, ELI: </w:t>
      </w:r>
      <w:hyperlink r:id="rId302" w:history="1">
        <w:r w:rsidRPr="005F2094">
          <w:rPr>
            <w:rStyle w:val="Hyperlink1"/>
            <w:sz w:val="24"/>
            <w:szCs w:val="24"/>
            <w:lang w:val="et-EE"/>
          </w:rPr>
          <w:t>http://data.europa.eu/eli/reg_del/2019/715/oj</w:t>
        </w:r>
      </w:hyperlink>
      <w:r w:rsidRPr="005F2094">
        <w:rPr>
          <w:sz w:val="24"/>
          <w:szCs w:val="24"/>
          <w:lang w:val="et-EE"/>
        </w:rPr>
        <w:t>.</w:t>
      </w:r>
    </w:p>
  </w:footnote>
  <w:footnote w:id="303">
    <w:p w14:paraId="6CC0D5A7"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C/2024/6332, 24.10.2024, ELI: </w:t>
      </w:r>
      <w:hyperlink r:id="rId303" w:history="1">
        <w:r w:rsidRPr="005F2094">
          <w:rPr>
            <w:rStyle w:val="Hyperlink1"/>
            <w:sz w:val="24"/>
            <w:szCs w:val="24"/>
            <w:lang w:val="et-EE"/>
          </w:rPr>
          <w:t>http://data.europa.eu/eli/C/2024/6332/oj</w:t>
        </w:r>
      </w:hyperlink>
      <w:r w:rsidRPr="005F2094">
        <w:rPr>
          <w:sz w:val="24"/>
          <w:szCs w:val="24"/>
          <w:lang w:val="et-EE"/>
        </w:rPr>
        <w:t>.</w:t>
      </w:r>
    </w:p>
  </w:footnote>
  <w:footnote w:id="304">
    <w:p w14:paraId="3CD156CA"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C/2024/6041, 10.10.2024, ELI: </w:t>
      </w:r>
      <w:hyperlink r:id="rId304" w:history="1">
        <w:r w:rsidRPr="005F2094">
          <w:rPr>
            <w:rStyle w:val="Hyperlink1"/>
            <w:sz w:val="24"/>
            <w:szCs w:val="24"/>
            <w:lang w:val="et-EE"/>
          </w:rPr>
          <w:t>http://data.europa.eu/eli/C/2024/6041/oj</w:t>
        </w:r>
      </w:hyperlink>
      <w:r w:rsidRPr="005F2094">
        <w:rPr>
          <w:sz w:val="24"/>
          <w:szCs w:val="24"/>
          <w:lang w:val="et-EE"/>
        </w:rPr>
        <w:t>.</w:t>
      </w:r>
    </w:p>
  </w:footnote>
  <w:footnote w:id="305">
    <w:p w14:paraId="45FB453F"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193, 30.7.2018, lk 1, ELI: </w:t>
      </w:r>
      <w:hyperlink r:id="rId305" w:history="1">
        <w:r w:rsidRPr="005F2094">
          <w:rPr>
            <w:rStyle w:val="Hyperlink1"/>
            <w:sz w:val="24"/>
            <w:szCs w:val="24"/>
            <w:lang w:val="et-EE"/>
          </w:rPr>
          <w:t>http://data.europa.eu/eli/reg/2018/1046/oj</w:t>
        </w:r>
      </w:hyperlink>
      <w:r w:rsidRPr="005F2094">
        <w:rPr>
          <w:sz w:val="24"/>
          <w:szCs w:val="24"/>
          <w:lang w:val="et-EE"/>
        </w:rPr>
        <w:t>.</w:t>
      </w:r>
    </w:p>
  </w:footnote>
  <w:footnote w:id="306">
    <w:p w14:paraId="539C4EC3"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2024/2509, 26.9.2024, ELI: </w:t>
      </w:r>
      <w:hyperlink r:id="rId306" w:history="1">
        <w:r w:rsidRPr="005F2094">
          <w:rPr>
            <w:rStyle w:val="Hyperlink1"/>
            <w:sz w:val="24"/>
            <w:szCs w:val="24"/>
            <w:lang w:val="et-EE"/>
          </w:rPr>
          <w:t>http://data.europa.eu/eli/reg/2024/2509/oj</w:t>
        </w:r>
      </w:hyperlink>
      <w:r w:rsidRPr="005F2094">
        <w:rPr>
          <w:sz w:val="24"/>
          <w:szCs w:val="24"/>
          <w:lang w:val="fi-FI"/>
        </w:rPr>
        <w:t>.</w:t>
      </w:r>
    </w:p>
  </w:footnote>
  <w:footnote w:id="307">
    <w:p w14:paraId="2E86769E"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295, 21.11.2018, lk 99, ELI: </w:t>
      </w:r>
      <w:hyperlink r:id="rId307" w:history="1">
        <w:r w:rsidRPr="005F2094">
          <w:rPr>
            <w:rStyle w:val="Hyperlink1"/>
            <w:sz w:val="24"/>
            <w:szCs w:val="24"/>
            <w:lang w:val="et-EE"/>
          </w:rPr>
          <w:t>http://data.europa.eu/eli/reg/2018/1726/oj</w:t>
        </w:r>
      </w:hyperlink>
      <w:r w:rsidRPr="005F2094">
        <w:rPr>
          <w:sz w:val="24"/>
          <w:szCs w:val="24"/>
          <w:lang w:val="et-EE"/>
        </w:rPr>
        <w:t>.</w:t>
      </w:r>
    </w:p>
  </w:footnote>
  <w:footnote w:id="308">
    <w:p w14:paraId="778154D3"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122, 10.5.2019, lk 1, ELI: </w:t>
      </w:r>
      <w:hyperlink r:id="rId308" w:history="1">
        <w:r w:rsidRPr="005F2094">
          <w:rPr>
            <w:rStyle w:val="Hyperlink1"/>
            <w:sz w:val="24"/>
            <w:szCs w:val="24"/>
            <w:lang w:val="et-EE"/>
          </w:rPr>
          <w:t>http://data.europa.eu/eli/reg_del/2019/715/oj</w:t>
        </w:r>
      </w:hyperlink>
      <w:r w:rsidRPr="005F2094">
        <w:rPr>
          <w:sz w:val="24"/>
          <w:szCs w:val="24"/>
          <w:lang w:val="et-EE"/>
        </w:rPr>
        <w:t>.</w:t>
      </w:r>
    </w:p>
  </w:footnote>
  <w:footnote w:id="309">
    <w:p w14:paraId="37A02328"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C/2024/6332, 24.10.2024, ELI: </w:t>
      </w:r>
      <w:hyperlink r:id="rId309" w:history="1">
        <w:r w:rsidRPr="005F2094">
          <w:rPr>
            <w:rStyle w:val="Hyperlink1"/>
            <w:sz w:val="24"/>
            <w:szCs w:val="24"/>
            <w:lang w:val="et-EE"/>
          </w:rPr>
          <w:t>http://data.europa.eu/eli/C/2024/6332/oj</w:t>
        </w:r>
      </w:hyperlink>
      <w:r w:rsidRPr="005F2094">
        <w:rPr>
          <w:sz w:val="24"/>
          <w:szCs w:val="24"/>
          <w:lang w:val="et-EE"/>
        </w:rPr>
        <w:t>.</w:t>
      </w:r>
    </w:p>
  </w:footnote>
  <w:footnote w:id="310">
    <w:p w14:paraId="15717CCA"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C/2024/6041, 10.10.2024, ELI: </w:t>
      </w:r>
      <w:hyperlink r:id="rId310" w:history="1">
        <w:r w:rsidRPr="005F2094">
          <w:rPr>
            <w:rStyle w:val="Hyperlink1"/>
            <w:sz w:val="24"/>
            <w:szCs w:val="24"/>
            <w:lang w:val="et-EE"/>
          </w:rPr>
          <w:t>http://data.europa.eu/eli/C/2024/6041/oj</w:t>
        </w:r>
      </w:hyperlink>
      <w:r w:rsidRPr="005F2094">
        <w:rPr>
          <w:sz w:val="24"/>
          <w:szCs w:val="24"/>
          <w:lang w:val="et-EE"/>
        </w:rPr>
        <w:t>.</w:t>
      </w:r>
    </w:p>
  </w:footnote>
  <w:footnote w:id="311">
    <w:p w14:paraId="3DCD2142"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193, 30.7.2018, lk 1, ELI: </w:t>
      </w:r>
      <w:hyperlink r:id="rId311" w:history="1">
        <w:r w:rsidRPr="005F2094">
          <w:rPr>
            <w:rStyle w:val="Hyperlink1"/>
            <w:sz w:val="24"/>
            <w:szCs w:val="24"/>
            <w:lang w:val="et-EE"/>
          </w:rPr>
          <w:t>http://data.europa.eu/eli/reg/2018/1046/oj</w:t>
        </w:r>
      </w:hyperlink>
      <w:r w:rsidRPr="005F2094">
        <w:rPr>
          <w:sz w:val="24"/>
          <w:szCs w:val="24"/>
          <w:lang w:val="et-EE"/>
        </w:rPr>
        <w:t>.</w:t>
      </w:r>
    </w:p>
  </w:footnote>
  <w:footnote w:id="312">
    <w:p w14:paraId="0181AC95"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2024/2509, 26.9.2024, ELI: </w:t>
      </w:r>
      <w:hyperlink r:id="rId312" w:history="1">
        <w:r w:rsidRPr="005F2094">
          <w:rPr>
            <w:rStyle w:val="Hyperlink1"/>
            <w:sz w:val="24"/>
            <w:szCs w:val="24"/>
            <w:lang w:val="et-EE"/>
          </w:rPr>
          <w:t>http://data.europa.eu/eli/reg/2024/2509/oj</w:t>
        </w:r>
      </w:hyperlink>
      <w:r w:rsidRPr="005F2094">
        <w:rPr>
          <w:rStyle w:val="Hyperlink1"/>
          <w:sz w:val="24"/>
          <w:szCs w:val="24"/>
          <w:lang w:val="et-EE"/>
        </w:rPr>
        <w:t>.</w:t>
      </w:r>
    </w:p>
  </w:footnote>
  <w:footnote w:id="313">
    <w:p w14:paraId="66C68E2B"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295, 21.11.2018, lk 99, ELI: </w:t>
      </w:r>
      <w:hyperlink r:id="rId313" w:history="1">
        <w:r w:rsidRPr="005F2094">
          <w:rPr>
            <w:rStyle w:val="Hyperlink1"/>
            <w:sz w:val="24"/>
            <w:szCs w:val="24"/>
            <w:lang w:val="et-EE"/>
          </w:rPr>
          <w:t>http://data.europa.eu/eli/reg/2018/1726/oj</w:t>
        </w:r>
      </w:hyperlink>
      <w:r w:rsidRPr="005F2094">
        <w:rPr>
          <w:sz w:val="24"/>
          <w:szCs w:val="24"/>
          <w:lang w:val="et-EE"/>
        </w:rPr>
        <w:t>.</w:t>
      </w:r>
    </w:p>
  </w:footnote>
  <w:footnote w:id="314">
    <w:p w14:paraId="6A48F0BF"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122, 10.5.2019, lk 1, ELI: </w:t>
      </w:r>
      <w:hyperlink r:id="rId314" w:history="1">
        <w:r w:rsidRPr="005F2094">
          <w:rPr>
            <w:rStyle w:val="Hyperlink1"/>
            <w:sz w:val="24"/>
            <w:szCs w:val="24"/>
            <w:lang w:val="et-EE"/>
          </w:rPr>
          <w:t>http://data.europa.eu/eli/reg_del/2019/715/oj</w:t>
        </w:r>
      </w:hyperlink>
      <w:r w:rsidRPr="005F2094">
        <w:rPr>
          <w:sz w:val="24"/>
          <w:szCs w:val="24"/>
          <w:lang w:val="et-EE"/>
        </w:rPr>
        <w:t>.</w:t>
      </w:r>
    </w:p>
  </w:footnote>
  <w:footnote w:id="315">
    <w:p w14:paraId="0B48AEA0"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C/2024/6332, 24.10.2024, ELI: </w:t>
      </w:r>
      <w:hyperlink r:id="rId315" w:history="1">
        <w:r w:rsidRPr="005F2094">
          <w:rPr>
            <w:rStyle w:val="Hyperlink1"/>
            <w:sz w:val="24"/>
            <w:szCs w:val="24"/>
            <w:lang w:val="et-EE"/>
          </w:rPr>
          <w:t>http://data.europa.eu/eli/C/2024/6332/oj</w:t>
        </w:r>
      </w:hyperlink>
      <w:r w:rsidRPr="005F2094">
        <w:rPr>
          <w:sz w:val="24"/>
          <w:szCs w:val="24"/>
          <w:lang w:val="et-EE"/>
        </w:rPr>
        <w:t>.</w:t>
      </w:r>
    </w:p>
  </w:footnote>
  <w:footnote w:id="316">
    <w:p w14:paraId="7E5FDE6D"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C/2024/6041, 10.10.2024, ELI: </w:t>
      </w:r>
      <w:hyperlink r:id="rId316" w:history="1">
        <w:r w:rsidRPr="005F2094">
          <w:rPr>
            <w:rStyle w:val="Hyperlink1"/>
            <w:sz w:val="24"/>
            <w:szCs w:val="24"/>
            <w:lang w:val="et-EE"/>
          </w:rPr>
          <w:t>http://data.europa.eu/eli/C/2024/6041/oj</w:t>
        </w:r>
      </w:hyperlink>
      <w:r w:rsidRPr="005F2094">
        <w:rPr>
          <w:sz w:val="24"/>
          <w:szCs w:val="24"/>
          <w:lang w:val="et-EE"/>
        </w:rPr>
        <w:t>.</w:t>
      </w:r>
    </w:p>
  </w:footnote>
  <w:footnote w:id="317">
    <w:p w14:paraId="3EE5058B"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193, 30.7.2018, lk 1, ELI: </w:t>
      </w:r>
      <w:hyperlink r:id="rId317" w:history="1">
        <w:r w:rsidRPr="005F2094">
          <w:rPr>
            <w:rStyle w:val="Hyperlink1"/>
            <w:sz w:val="24"/>
            <w:szCs w:val="24"/>
            <w:lang w:val="et-EE"/>
          </w:rPr>
          <w:t>http://data.europa.eu/eli/reg/2018/1046/oj</w:t>
        </w:r>
      </w:hyperlink>
      <w:r w:rsidRPr="005F2094">
        <w:rPr>
          <w:sz w:val="24"/>
          <w:szCs w:val="24"/>
          <w:lang w:val="et-EE"/>
        </w:rPr>
        <w:t>.</w:t>
      </w:r>
    </w:p>
  </w:footnote>
  <w:footnote w:id="318">
    <w:p w14:paraId="73126867"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2024/2509, 26.9.2024, ELI: </w:t>
      </w:r>
      <w:hyperlink r:id="rId318" w:history="1">
        <w:r w:rsidRPr="005F2094">
          <w:rPr>
            <w:rStyle w:val="Hyperlink1"/>
            <w:sz w:val="24"/>
            <w:szCs w:val="24"/>
            <w:lang w:val="et-EE"/>
          </w:rPr>
          <w:t>http://data.europa.eu/eli/reg/2024/2509/oj</w:t>
        </w:r>
      </w:hyperlink>
      <w:r w:rsidRPr="005F2094">
        <w:rPr>
          <w:sz w:val="24"/>
          <w:szCs w:val="24"/>
          <w:lang w:val="fi-FI"/>
        </w:rPr>
        <w:t>.</w:t>
      </w:r>
    </w:p>
  </w:footnote>
  <w:footnote w:id="319">
    <w:p w14:paraId="243C3F7D"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30, 31.1.2019, lk 58, ELI: </w:t>
      </w:r>
      <w:hyperlink r:id="rId319" w:history="1">
        <w:r w:rsidRPr="005F2094">
          <w:rPr>
            <w:rStyle w:val="Hyperlink1"/>
            <w:sz w:val="24"/>
            <w:szCs w:val="24"/>
            <w:lang w:val="et-EE"/>
          </w:rPr>
          <w:t>http://data.europa.eu/eli/reg/2019/126/oj</w:t>
        </w:r>
      </w:hyperlink>
      <w:r w:rsidRPr="005F2094">
        <w:rPr>
          <w:sz w:val="24"/>
          <w:szCs w:val="24"/>
          <w:lang w:val="et-EE"/>
        </w:rPr>
        <w:t>.</w:t>
      </w:r>
    </w:p>
  </w:footnote>
  <w:footnote w:id="320">
    <w:p w14:paraId="365C72DB"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122, 10.5.2019, lk 1, ELI: </w:t>
      </w:r>
      <w:hyperlink r:id="rId320" w:history="1">
        <w:r w:rsidRPr="005F2094">
          <w:rPr>
            <w:rStyle w:val="Hyperlink1"/>
            <w:sz w:val="24"/>
            <w:szCs w:val="24"/>
            <w:lang w:val="et-EE"/>
          </w:rPr>
          <w:t>http://data.europa.eu/eli/reg_del/2019/715/oj</w:t>
        </w:r>
      </w:hyperlink>
      <w:r w:rsidRPr="005F2094">
        <w:rPr>
          <w:sz w:val="24"/>
          <w:szCs w:val="24"/>
          <w:lang w:val="et-EE"/>
        </w:rPr>
        <w:t>.</w:t>
      </w:r>
    </w:p>
  </w:footnote>
  <w:footnote w:id="321">
    <w:p w14:paraId="13AF0A3D"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C/2024/6332, 24.10.2024, ELI: </w:t>
      </w:r>
      <w:hyperlink r:id="rId321" w:history="1">
        <w:r w:rsidRPr="005F2094">
          <w:rPr>
            <w:rStyle w:val="Hyperlink1"/>
            <w:sz w:val="24"/>
            <w:szCs w:val="24"/>
            <w:lang w:val="et-EE"/>
          </w:rPr>
          <w:t>http://data.europa.eu/eli/C/2024/6332/oj</w:t>
        </w:r>
      </w:hyperlink>
      <w:r w:rsidRPr="005F2094">
        <w:rPr>
          <w:sz w:val="24"/>
          <w:szCs w:val="24"/>
          <w:lang w:val="et-EE"/>
        </w:rPr>
        <w:t>.</w:t>
      </w:r>
    </w:p>
  </w:footnote>
  <w:footnote w:id="322">
    <w:p w14:paraId="3D286EFF"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C/2024/6041, 10.10.2024, ELI: </w:t>
      </w:r>
      <w:hyperlink r:id="rId322" w:history="1">
        <w:r w:rsidRPr="005F2094">
          <w:rPr>
            <w:rStyle w:val="Hyperlink1"/>
            <w:sz w:val="24"/>
            <w:szCs w:val="24"/>
            <w:lang w:val="et-EE"/>
          </w:rPr>
          <w:t>http://data.europa.eu/eli/C/2024/6041/oj</w:t>
        </w:r>
      </w:hyperlink>
      <w:r w:rsidRPr="005F2094">
        <w:rPr>
          <w:sz w:val="24"/>
          <w:szCs w:val="24"/>
          <w:lang w:val="et-EE"/>
        </w:rPr>
        <w:t>.</w:t>
      </w:r>
    </w:p>
  </w:footnote>
  <w:footnote w:id="323">
    <w:p w14:paraId="53370640"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193, 30.7.2018, lk 1, ELI: </w:t>
      </w:r>
      <w:hyperlink r:id="rId323" w:history="1">
        <w:r w:rsidRPr="005F2094">
          <w:rPr>
            <w:rStyle w:val="Hyperlink1"/>
            <w:sz w:val="24"/>
            <w:szCs w:val="24"/>
            <w:lang w:val="et-EE"/>
          </w:rPr>
          <w:t>http://data.europa.eu/eli/reg/2018/1046/oj</w:t>
        </w:r>
      </w:hyperlink>
      <w:r w:rsidRPr="005F2094">
        <w:rPr>
          <w:sz w:val="24"/>
          <w:szCs w:val="24"/>
          <w:lang w:val="et-EE"/>
        </w:rPr>
        <w:t>.</w:t>
      </w:r>
    </w:p>
  </w:footnote>
  <w:footnote w:id="324">
    <w:p w14:paraId="00F7A862"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2024/2509, 26.9.2024, ELI: </w:t>
      </w:r>
      <w:hyperlink r:id="rId324" w:history="1">
        <w:r w:rsidRPr="005F2094">
          <w:rPr>
            <w:rStyle w:val="Hyperlink1"/>
            <w:sz w:val="24"/>
            <w:szCs w:val="24"/>
            <w:lang w:val="et-EE"/>
          </w:rPr>
          <w:t>http://data.europa.eu/eli/reg/2024/2509/oj</w:t>
        </w:r>
      </w:hyperlink>
      <w:r w:rsidRPr="005F2094">
        <w:rPr>
          <w:rStyle w:val="Hyperlink1"/>
          <w:sz w:val="24"/>
          <w:szCs w:val="24"/>
          <w:lang w:val="et-EE"/>
        </w:rPr>
        <w:t>.</w:t>
      </w:r>
    </w:p>
  </w:footnote>
  <w:footnote w:id="325">
    <w:p w14:paraId="380376FE"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30, 31.1.2019, lk 58, ELI: </w:t>
      </w:r>
      <w:hyperlink r:id="rId325" w:history="1">
        <w:r w:rsidRPr="005F2094">
          <w:rPr>
            <w:rStyle w:val="Hyperlink1"/>
            <w:sz w:val="24"/>
            <w:szCs w:val="24"/>
            <w:lang w:val="et-EE"/>
          </w:rPr>
          <w:t>http://data.europa.eu/eli/reg/2019/126/oj</w:t>
        </w:r>
      </w:hyperlink>
      <w:r w:rsidRPr="005F2094">
        <w:rPr>
          <w:sz w:val="24"/>
          <w:szCs w:val="24"/>
          <w:lang w:val="et-EE"/>
        </w:rPr>
        <w:t>.</w:t>
      </w:r>
    </w:p>
  </w:footnote>
  <w:footnote w:id="326">
    <w:p w14:paraId="77F8BB5F"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122, 10.5.2019, lk 1, ELI: </w:t>
      </w:r>
      <w:hyperlink r:id="rId326" w:history="1">
        <w:r w:rsidRPr="005F2094">
          <w:rPr>
            <w:rStyle w:val="Hyperlink1"/>
            <w:sz w:val="24"/>
            <w:szCs w:val="24"/>
            <w:lang w:val="et-EE"/>
          </w:rPr>
          <w:t>http://data.europa.eu/eli/reg_del/2019/715/oj</w:t>
        </w:r>
      </w:hyperlink>
      <w:r w:rsidRPr="005F2094">
        <w:rPr>
          <w:sz w:val="24"/>
          <w:szCs w:val="24"/>
          <w:lang w:val="et-EE"/>
        </w:rPr>
        <w:t>.</w:t>
      </w:r>
    </w:p>
  </w:footnote>
  <w:footnote w:id="327">
    <w:p w14:paraId="1C3933A9"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C/2024/6332, 24.10.2024, ELI: </w:t>
      </w:r>
      <w:hyperlink r:id="rId327" w:history="1">
        <w:r w:rsidRPr="005F2094">
          <w:rPr>
            <w:rStyle w:val="Hyperlink1"/>
            <w:sz w:val="24"/>
            <w:szCs w:val="24"/>
            <w:lang w:val="et-EE"/>
          </w:rPr>
          <w:t>http://data.europa.eu/eli/C/2024/6332/oj</w:t>
        </w:r>
      </w:hyperlink>
      <w:r w:rsidRPr="005F2094">
        <w:rPr>
          <w:sz w:val="24"/>
          <w:szCs w:val="24"/>
          <w:lang w:val="et-EE"/>
        </w:rPr>
        <w:t>.</w:t>
      </w:r>
    </w:p>
  </w:footnote>
  <w:footnote w:id="328">
    <w:p w14:paraId="597F8F84"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C/2024/6041, 10.10.2024, ELI: </w:t>
      </w:r>
      <w:hyperlink r:id="rId328" w:history="1">
        <w:r w:rsidRPr="005F2094">
          <w:rPr>
            <w:rStyle w:val="Hyperlink1"/>
            <w:sz w:val="24"/>
            <w:szCs w:val="24"/>
            <w:lang w:val="et-EE"/>
          </w:rPr>
          <w:t>http://data.europa.eu/eli/C/2024/6041/oj</w:t>
        </w:r>
      </w:hyperlink>
      <w:r w:rsidRPr="005F2094">
        <w:rPr>
          <w:sz w:val="24"/>
          <w:szCs w:val="24"/>
          <w:lang w:val="et-EE"/>
        </w:rPr>
        <w:t>.</w:t>
      </w:r>
    </w:p>
  </w:footnote>
  <w:footnote w:id="329">
    <w:p w14:paraId="0DB1B2D7"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193, 30.7.2018, lk 1, ELI: </w:t>
      </w:r>
      <w:hyperlink r:id="rId329" w:history="1">
        <w:r w:rsidRPr="005F2094">
          <w:rPr>
            <w:rStyle w:val="Hyperlink1"/>
            <w:sz w:val="24"/>
            <w:szCs w:val="24"/>
            <w:lang w:val="et-EE"/>
          </w:rPr>
          <w:t>http://data.europa.eu/eli/reg/2018/1046/oj</w:t>
        </w:r>
      </w:hyperlink>
      <w:r w:rsidRPr="005F2094">
        <w:rPr>
          <w:sz w:val="24"/>
          <w:szCs w:val="24"/>
          <w:lang w:val="et-EE"/>
        </w:rPr>
        <w:t>.</w:t>
      </w:r>
    </w:p>
  </w:footnote>
  <w:footnote w:id="330">
    <w:p w14:paraId="7526AD8E"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2024/2509, 26.9.2024, ELI: </w:t>
      </w:r>
      <w:hyperlink r:id="rId330" w:history="1">
        <w:r w:rsidRPr="005F2094">
          <w:rPr>
            <w:rStyle w:val="Hyperlink1"/>
            <w:sz w:val="24"/>
            <w:szCs w:val="24"/>
            <w:lang w:val="et-EE"/>
          </w:rPr>
          <w:t>http://data.europa.eu/eli/reg/2024/2509/oj</w:t>
        </w:r>
      </w:hyperlink>
      <w:r w:rsidRPr="005F2094">
        <w:rPr>
          <w:rStyle w:val="Hyperlink1"/>
          <w:sz w:val="24"/>
          <w:szCs w:val="24"/>
          <w:lang w:val="et-EE"/>
        </w:rPr>
        <w:t>.</w:t>
      </w:r>
    </w:p>
  </w:footnote>
  <w:footnote w:id="331">
    <w:p w14:paraId="67DD1D6A"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30, 31.1.2019, lk 74, ELI: </w:t>
      </w:r>
      <w:hyperlink r:id="rId331" w:history="1">
        <w:r w:rsidRPr="005F2094">
          <w:rPr>
            <w:rStyle w:val="Hyperlink1"/>
            <w:sz w:val="24"/>
            <w:szCs w:val="24"/>
            <w:lang w:val="et-EE"/>
          </w:rPr>
          <w:t>http://data.europa.eu/eli/reg/2019/127/oj</w:t>
        </w:r>
      </w:hyperlink>
      <w:r w:rsidRPr="005F2094">
        <w:rPr>
          <w:sz w:val="24"/>
          <w:szCs w:val="24"/>
          <w:lang w:val="et-EE"/>
        </w:rPr>
        <w:t>.</w:t>
      </w:r>
    </w:p>
  </w:footnote>
  <w:footnote w:id="332">
    <w:p w14:paraId="28BE5D07"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122, 10.5.2019, lk 1, ELI: </w:t>
      </w:r>
      <w:hyperlink r:id="rId332" w:history="1">
        <w:r w:rsidRPr="005F2094">
          <w:rPr>
            <w:rStyle w:val="Hyperlink1"/>
            <w:sz w:val="24"/>
            <w:szCs w:val="24"/>
            <w:lang w:val="et-EE"/>
          </w:rPr>
          <w:t>http://data.europa.eu/eli/reg_del/2019/715/oj</w:t>
        </w:r>
      </w:hyperlink>
      <w:r w:rsidRPr="005F2094">
        <w:rPr>
          <w:sz w:val="24"/>
          <w:szCs w:val="24"/>
          <w:lang w:val="et-EE"/>
        </w:rPr>
        <w:t>.</w:t>
      </w:r>
    </w:p>
  </w:footnote>
  <w:footnote w:id="333">
    <w:p w14:paraId="2A039023"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C/2024/6332, 24.10.2024, ELI: </w:t>
      </w:r>
      <w:hyperlink r:id="rId333" w:history="1">
        <w:r w:rsidRPr="005F2094">
          <w:rPr>
            <w:rStyle w:val="Hyperlink1"/>
            <w:sz w:val="24"/>
            <w:szCs w:val="24"/>
            <w:lang w:val="et-EE"/>
          </w:rPr>
          <w:t>http://data.europa.eu/eli/C/2024/6332/oj</w:t>
        </w:r>
      </w:hyperlink>
      <w:r w:rsidRPr="005F2094">
        <w:rPr>
          <w:sz w:val="24"/>
          <w:szCs w:val="24"/>
          <w:lang w:val="et-EE"/>
        </w:rPr>
        <w:t>.</w:t>
      </w:r>
    </w:p>
  </w:footnote>
  <w:footnote w:id="334">
    <w:p w14:paraId="65BD6A33"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C/2024/6041, 10.10.2024, ELI: </w:t>
      </w:r>
      <w:hyperlink r:id="rId334" w:history="1">
        <w:r w:rsidRPr="005F2094">
          <w:rPr>
            <w:rStyle w:val="Hyperlink1"/>
            <w:sz w:val="24"/>
            <w:szCs w:val="24"/>
            <w:lang w:val="et-EE"/>
          </w:rPr>
          <w:t>http://data.europa.eu/eli/C/2024/6041/oj</w:t>
        </w:r>
      </w:hyperlink>
      <w:r w:rsidRPr="005F2094">
        <w:rPr>
          <w:sz w:val="24"/>
          <w:szCs w:val="24"/>
          <w:lang w:val="et-EE"/>
        </w:rPr>
        <w:t>.</w:t>
      </w:r>
    </w:p>
  </w:footnote>
  <w:footnote w:id="335">
    <w:p w14:paraId="2EA01E6A"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193, 30.7.2018, lk 1, ELI: </w:t>
      </w:r>
      <w:hyperlink r:id="rId335" w:history="1">
        <w:r w:rsidRPr="005F2094">
          <w:rPr>
            <w:rStyle w:val="Hyperlink1"/>
            <w:sz w:val="24"/>
            <w:szCs w:val="24"/>
            <w:lang w:val="et-EE"/>
          </w:rPr>
          <w:t>http://data.europa.eu/eli/reg/2018/1046/oj</w:t>
        </w:r>
      </w:hyperlink>
      <w:r w:rsidRPr="005F2094">
        <w:rPr>
          <w:sz w:val="24"/>
          <w:szCs w:val="24"/>
          <w:lang w:val="et-EE"/>
        </w:rPr>
        <w:t>.</w:t>
      </w:r>
    </w:p>
  </w:footnote>
  <w:footnote w:id="336">
    <w:p w14:paraId="4FBB93F6"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2024/2509, 26.9.2024, ELI: </w:t>
      </w:r>
      <w:hyperlink r:id="rId336" w:history="1">
        <w:r w:rsidRPr="005F2094">
          <w:rPr>
            <w:rStyle w:val="Hyperlink1"/>
            <w:sz w:val="24"/>
            <w:szCs w:val="24"/>
            <w:lang w:val="et-EE"/>
          </w:rPr>
          <w:t>http://data.europa.eu/eli/reg/2024/2509/oj</w:t>
        </w:r>
      </w:hyperlink>
      <w:r w:rsidRPr="005F2094">
        <w:rPr>
          <w:rStyle w:val="Hyperlink1"/>
          <w:sz w:val="24"/>
          <w:szCs w:val="24"/>
          <w:lang w:val="et-EE"/>
        </w:rPr>
        <w:t>.</w:t>
      </w:r>
    </w:p>
  </w:footnote>
  <w:footnote w:id="337">
    <w:p w14:paraId="6A281AD5"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30, 31.1.2019, lk 74, ELI: </w:t>
      </w:r>
      <w:hyperlink r:id="rId337" w:history="1">
        <w:r w:rsidRPr="005F2094">
          <w:rPr>
            <w:rStyle w:val="Hyperlink1"/>
            <w:sz w:val="24"/>
            <w:szCs w:val="24"/>
            <w:lang w:val="et-EE"/>
          </w:rPr>
          <w:t>http://data.europa.eu/eli/reg/2019/127/oj</w:t>
        </w:r>
      </w:hyperlink>
      <w:r w:rsidRPr="005F2094">
        <w:rPr>
          <w:sz w:val="24"/>
          <w:szCs w:val="24"/>
          <w:lang w:val="et-EE"/>
        </w:rPr>
        <w:t>.</w:t>
      </w:r>
    </w:p>
  </w:footnote>
  <w:footnote w:id="338">
    <w:p w14:paraId="1F9A4EBF"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122, 10.5.2019, lk 1, ELI: </w:t>
      </w:r>
      <w:hyperlink r:id="rId338" w:history="1">
        <w:r w:rsidRPr="005F2094">
          <w:rPr>
            <w:rStyle w:val="Hyperlink1"/>
            <w:sz w:val="24"/>
            <w:szCs w:val="24"/>
            <w:lang w:val="et-EE"/>
          </w:rPr>
          <w:t>http://data.europa.eu/eli/reg_del/2019/715/oj</w:t>
        </w:r>
      </w:hyperlink>
      <w:r w:rsidRPr="005F2094">
        <w:rPr>
          <w:sz w:val="24"/>
          <w:szCs w:val="24"/>
          <w:lang w:val="et-EE"/>
        </w:rPr>
        <w:t>.</w:t>
      </w:r>
    </w:p>
  </w:footnote>
  <w:footnote w:id="339">
    <w:p w14:paraId="7DCBC867"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C/2024/6332, 24.10.2024, ELI: </w:t>
      </w:r>
      <w:hyperlink r:id="rId339" w:history="1">
        <w:r w:rsidRPr="005F2094">
          <w:rPr>
            <w:rStyle w:val="Hyperlink1"/>
            <w:sz w:val="24"/>
            <w:szCs w:val="24"/>
            <w:lang w:val="et-EE"/>
          </w:rPr>
          <w:t>http://data.europa.eu/eli/C/2024/6332/oj</w:t>
        </w:r>
      </w:hyperlink>
      <w:r w:rsidRPr="005F2094">
        <w:rPr>
          <w:sz w:val="24"/>
          <w:szCs w:val="24"/>
          <w:lang w:val="et-EE"/>
        </w:rPr>
        <w:t>.</w:t>
      </w:r>
    </w:p>
  </w:footnote>
  <w:footnote w:id="340">
    <w:p w14:paraId="0DD42184"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C/2024/6041, 10.10.2024, ELI: </w:t>
      </w:r>
      <w:hyperlink r:id="rId340" w:history="1">
        <w:r w:rsidRPr="005F2094">
          <w:rPr>
            <w:rStyle w:val="Hyperlink1"/>
            <w:sz w:val="24"/>
            <w:szCs w:val="24"/>
            <w:lang w:val="et-EE"/>
          </w:rPr>
          <w:t>http://data.europa.eu/eli/C/2024/6041/oj</w:t>
        </w:r>
      </w:hyperlink>
      <w:r w:rsidRPr="005F2094">
        <w:rPr>
          <w:sz w:val="24"/>
          <w:szCs w:val="24"/>
          <w:lang w:val="et-EE"/>
        </w:rPr>
        <w:t>.</w:t>
      </w:r>
    </w:p>
  </w:footnote>
  <w:footnote w:id="341">
    <w:p w14:paraId="1E166F71"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193, 30.7.2018, lk 1, ELI: </w:t>
      </w:r>
      <w:hyperlink r:id="rId341" w:history="1">
        <w:r w:rsidRPr="005F2094">
          <w:rPr>
            <w:rStyle w:val="Hyperlink1"/>
            <w:sz w:val="24"/>
            <w:szCs w:val="24"/>
            <w:lang w:val="et-EE"/>
          </w:rPr>
          <w:t>http://data.europa.eu/eli/reg/2018/1046/oj</w:t>
        </w:r>
      </w:hyperlink>
      <w:r w:rsidRPr="005F2094">
        <w:rPr>
          <w:sz w:val="24"/>
          <w:szCs w:val="24"/>
          <w:lang w:val="et-EE"/>
        </w:rPr>
        <w:t>.</w:t>
      </w:r>
    </w:p>
  </w:footnote>
  <w:footnote w:id="342">
    <w:p w14:paraId="5DBDF527"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2024/2509, 26.9.2024, ELI: </w:t>
      </w:r>
      <w:hyperlink r:id="rId342" w:history="1">
        <w:r w:rsidRPr="005F2094">
          <w:rPr>
            <w:rStyle w:val="Hyperlink1"/>
            <w:sz w:val="24"/>
            <w:szCs w:val="24"/>
            <w:lang w:val="et-EE"/>
          </w:rPr>
          <w:t>http://data.europa.eu/eli/reg/2024/2509/oj</w:t>
        </w:r>
      </w:hyperlink>
      <w:r w:rsidRPr="005F2094">
        <w:rPr>
          <w:rStyle w:val="Hyperlink1"/>
          <w:sz w:val="24"/>
          <w:szCs w:val="24"/>
          <w:lang w:val="et-EE"/>
        </w:rPr>
        <w:t>.</w:t>
      </w:r>
    </w:p>
  </w:footnote>
  <w:footnote w:id="343">
    <w:p w14:paraId="5B72AE5C"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295, 21.11.2018, lk 138, ELI: </w:t>
      </w:r>
      <w:hyperlink r:id="rId343" w:history="1">
        <w:r w:rsidRPr="005F2094">
          <w:rPr>
            <w:rStyle w:val="Hyperlink1"/>
            <w:sz w:val="24"/>
            <w:szCs w:val="24"/>
            <w:lang w:val="et-EE"/>
          </w:rPr>
          <w:t>http://data.europa.eu/eli/reg/2018/1727/oj</w:t>
        </w:r>
      </w:hyperlink>
      <w:r w:rsidRPr="005F2094">
        <w:rPr>
          <w:sz w:val="24"/>
          <w:szCs w:val="24"/>
          <w:lang w:val="et-EE"/>
        </w:rPr>
        <w:t>.</w:t>
      </w:r>
    </w:p>
  </w:footnote>
  <w:footnote w:id="344">
    <w:p w14:paraId="5997ED6A"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122, 10.5.2019, lk 1, ELI: </w:t>
      </w:r>
      <w:hyperlink r:id="rId344" w:history="1">
        <w:r w:rsidRPr="005F2094">
          <w:rPr>
            <w:rStyle w:val="Hyperlink1"/>
            <w:sz w:val="24"/>
            <w:szCs w:val="24"/>
            <w:lang w:val="et-EE"/>
          </w:rPr>
          <w:t>http://data.europa.eu/eli/reg_del/2019/715/oj</w:t>
        </w:r>
      </w:hyperlink>
      <w:r w:rsidRPr="005F2094">
        <w:rPr>
          <w:sz w:val="24"/>
          <w:szCs w:val="24"/>
          <w:lang w:val="et-EE"/>
        </w:rPr>
        <w:t>.</w:t>
      </w:r>
    </w:p>
  </w:footnote>
  <w:footnote w:id="345">
    <w:p w14:paraId="347BEE39"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C/2024/6332, 24.10.2024, ELI: </w:t>
      </w:r>
      <w:hyperlink r:id="rId345" w:history="1">
        <w:r w:rsidRPr="005F2094">
          <w:rPr>
            <w:rStyle w:val="Hyperlink1"/>
            <w:sz w:val="24"/>
            <w:szCs w:val="24"/>
            <w:lang w:val="et-EE"/>
          </w:rPr>
          <w:t>http://data.europa.eu/eli/C/2024/6332/oj</w:t>
        </w:r>
      </w:hyperlink>
      <w:r w:rsidRPr="005F2094">
        <w:rPr>
          <w:sz w:val="24"/>
          <w:szCs w:val="24"/>
          <w:lang w:val="et-EE"/>
        </w:rPr>
        <w:t>.</w:t>
      </w:r>
    </w:p>
  </w:footnote>
  <w:footnote w:id="346">
    <w:p w14:paraId="116EDE12"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C/2024/6041, 10.10.2024, ELI: </w:t>
      </w:r>
      <w:hyperlink r:id="rId346" w:history="1">
        <w:r w:rsidRPr="005F2094">
          <w:rPr>
            <w:rStyle w:val="Hyperlink1"/>
            <w:sz w:val="24"/>
            <w:szCs w:val="24"/>
            <w:lang w:val="et-EE"/>
          </w:rPr>
          <w:t>http://data.europa.eu/eli/C/2024/6041/oj</w:t>
        </w:r>
      </w:hyperlink>
      <w:r w:rsidRPr="005F2094">
        <w:rPr>
          <w:sz w:val="24"/>
          <w:szCs w:val="24"/>
          <w:lang w:val="et-EE"/>
        </w:rPr>
        <w:t>.</w:t>
      </w:r>
    </w:p>
  </w:footnote>
  <w:footnote w:id="347">
    <w:p w14:paraId="654A1873"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193, 30.7.2018, lk 1, ELI: </w:t>
      </w:r>
      <w:hyperlink r:id="rId347" w:history="1">
        <w:r w:rsidRPr="005F2094">
          <w:rPr>
            <w:rStyle w:val="Hyperlink1"/>
            <w:sz w:val="24"/>
            <w:szCs w:val="24"/>
            <w:lang w:val="et-EE"/>
          </w:rPr>
          <w:t>http://data.europa.eu/eli/reg/2018/1046/oj</w:t>
        </w:r>
      </w:hyperlink>
      <w:r w:rsidRPr="005F2094">
        <w:rPr>
          <w:sz w:val="24"/>
          <w:szCs w:val="24"/>
          <w:lang w:val="et-EE"/>
        </w:rPr>
        <w:t>.</w:t>
      </w:r>
    </w:p>
  </w:footnote>
  <w:footnote w:id="348">
    <w:p w14:paraId="6698F1A8"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2024/2509, 26.9.2024, ELI: </w:t>
      </w:r>
      <w:hyperlink r:id="rId348" w:history="1">
        <w:r w:rsidRPr="005F2094">
          <w:rPr>
            <w:rStyle w:val="Hyperlink1"/>
            <w:sz w:val="24"/>
            <w:szCs w:val="24"/>
            <w:lang w:val="et-EE"/>
          </w:rPr>
          <w:t>http://data.europa.eu/eli/reg/2024/2509/oj</w:t>
        </w:r>
      </w:hyperlink>
      <w:r w:rsidRPr="005F2094">
        <w:rPr>
          <w:rStyle w:val="Hyperlink1"/>
          <w:sz w:val="24"/>
          <w:szCs w:val="24"/>
          <w:lang w:val="et-EE"/>
        </w:rPr>
        <w:t>.</w:t>
      </w:r>
    </w:p>
  </w:footnote>
  <w:footnote w:id="349">
    <w:p w14:paraId="147B99DE"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295, 21.11.2018, lk 138, ELI: </w:t>
      </w:r>
      <w:hyperlink r:id="rId349" w:history="1">
        <w:r w:rsidRPr="005F2094">
          <w:rPr>
            <w:rStyle w:val="Hyperlink1"/>
            <w:sz w:val="24"/>
            <w:szCs w:val="24"/>
            <w:lang w:val="et-EE"/>
          </w:rPr>
          <w:t>http://data.europa.eu/eli/reg/2018/1727/oj</w:t>
        </w:r>
      </w:hyperlink>
      <w:r w:rsidRPr="005F2094">
        <w:rPr>
          <w:sz w:val="24"/>
          <w:szCs w:val="24"/>
          <w:lang w:val="et-EE"/>
        </w:rPr>
        <w:t>.</w:t>
      </w:r>
    </w:p>
  </w:footnote>
  <w:footnote w:id="350">
    <w:p w14:paraId="64CA9956"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122, 10.5.2019, lk 1, ELI: </w:t>
      </w:r>
      <w:hyperlink r:id="rId350" w:history="1">
        <w:r w:rsidRPr="005F2094">
          <w:rPr>
            <w:rStyle w:val="Hyperlink1"/>
            <w:sz w:val="24"/>
            <w:szCs w:val="24"/>
            <w:lang w:val="et-EE"/>
          </w:rPr>
          <w:t>http://data.europa.eu/eli/reg_del/2019/715/oj</w:t>
        </w:r>
      </w:hyperlink>
      <w:r w:rsidRPr="005F2094">
        <w:rPr>
          <w:sz w:val="24"/>
          <w:szCs w:val="24"/>
          <w:lang w:val="et-EE"/>
        </w:rPr>
        <w:t>.</w:t>
      </w:r>
    </w:p>
  </w:footnote>
  <w:footnote w:id="351">
    <w:p w14:paraId="4B696137"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C/2024/6332, 24.10.2024, ELI: </w:t>
      </w:r>
      <w:hyperlink r:id="rId351" w:history="1">
        <w:r w:rsidRPr="005F2094">
          <w:rPr>
            <w:rStyle w:val="Hyperlink1"/>
            <w:sz w:val="24"/>
            <w:szCs w:val="24"/>
            <w:lang w:val="et-EE"/>
          </w:rPr>
          <w:t>http://data.europa.eu/eli/C/2024/6332/oj</w:t>
        </w:r>
      </w:hyperlink>
      <w:r w:rsidRPr="005F2094">
        <w:rPr>
          <w:sz w:val="24"/>
          <w:szCs w:val="24"/>
          <w:lang w:val="et-EE"/>
        </w:rPr>
        <w:t>.</w:t>
      </w:r>
    </w:p>
  </w:footnote>
  <w:footnote w:id="352">
    <w:p w14:paraId="24C3672E"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C/2024/6041, 10.10.2024, ELI: </w:t>
      </w:r>
      <w:hyperlink r:id="rId352" w:history="1">
        <w:r w:rsidRPr="005F2094">
          <w:rPr>
            <w:rStyle w:val="Hyperlink1"/>
            <w:sz w:val="24"/>
            <w:szCs w:val="24"/>
            <w:lang w:val="et-EE"/>
          </w:rPr>
          <w:t>http://data.europa.eu/eli/C/2024/6041/oj</w:t>
        </w:r>
      </w:hyperlink>
      <w:r w:rsidRPr="005F2094">
        <w:rPr>
          <w:sz w:val="24"/>
          <w:szCs w:val="24"/>
          <w:lang w:val="et-EE"/>
        </w:rPr>
        <w:t>.</w:t>
      </w:r>
    </w:p>
  </w:footnote>
  <w:footnote w:id="353">
    <w:p w14:paraId="775A0E46"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193, 30.7.2018, lk 1, ELI: </w:t>
      </w:r>
      <w:hyperlink r:id="rId353" w:history="1">
        <w:r w:rsidRPr="005F2094">
          <w:rPr>
            <w:rStyle w:val="Hyperlink1"/>
            <w:sz w:val="24"/>
            <w:szCs w:val="24"/>
            <w:lang w:val="et-EE"/>
          </w:rPr>
          <w:t>http://data.europa.eu/eli/reg/2018/1046/oj</w:t>
        </w:r>
      </w:hyperlink>
      <w:r w:rsidRPr="005F2094">
        <w:rPr>
          <w:sz w:val="24"/>
          <w:szCs w:val="24"/>
          <w:lang w:val="et-EE"/>
        </w:rPr>
        <w:t>.</w:t>
      </w:r>
    </w:p>
  </w:footnote>
  <w:footnote w:id="354">
    <w:p w14:paraId="54E286F8"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2024/2509, 26.9.2024, ELI: </w:t>
      </w:r>
      <w:hyperlink r:id="rId354" w:history="1">
        <w:r w:rsidRPr="005F2094">
          <w:rPr>
            <w:rStyle w:val="Hyperlink1"/>
            <w:sz w:val="24"/>
            <w:szCs w:val="24"/>
            <w:lang w:val="et-EE"/>
          </w:rPr>
          <w:t>http://data.europa.eu/eli/reg/2024/2509/oj</w:t>
        </w:r>
      </w:hyperlink>
      <w:r w:rsidRPr="005F2094">
        <w:rPr>
          <w:rStyle w:val="Hyperlink1"/>
          <w:sz w:val="24"/>
          <w:szCs w:val="24"/>
          <w:lang w:val="et-EE"/>
        </w:rPr>
        <w:t>.</w:t>
      </w:r>
    </w:p>
  </w:footnote>
  <w:footnote w:id="355">
    <w:p w14:paraId="1160B588"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135, 24.5.2016, lk 53, ELI: </w:t>
      </w:r>
      <w:hyperlink r:id="rId355" w:history="1">
        <w:r w:rsidRPr="005F2094">
          <w:rPr>
            <w:rStyle w:val="Hyperlink1"/>
            <w:sz w:val="24"/>
            <w:szCs w:val="24"/>
            <w:lang w:val="et-EE"/>
          </w:rPr>
          <w:t>http://data.europa.eu/eli/reg/2016/794/oj</w:t>
        </w:r>
      </w:hyperlink>
      <w:r w:rsidRPr="005F2094">
        <w:rPr>
          <w:sz w:val="24"/>
          <w:szCs w:val="24"/>
          <w:lang w:val="et-EE"/>
        </w:rPr>
        <w:t>.</w:t>
      </w:r>
    </w:p>
  </w:footnote>
  <w:footnote w:id="356">
    <w:p w14:paraId="4620E94A"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122, 10.5.2019, lk 1, ELI: </w:t>
      </w:r>
      <w:hyperlink r:id="rId356" w:history="1">
        <w:r w:rsidRPr="005F2094">
          <w:rPr>
            <w:rStyle w:val="Hyperlink1"/>
            <w:sz w:val="24"/>
            <w:szCs w:val="24"/>
            <w:lang w:val="et-EE"/>
          </w:rPr>
          <w:t>http://data.europa.eu/eli/reg_del/2019/715/oj</w:t>
        </w:r>
      </w:hyperlink>
      <w:r w:rsidRPr="005F2094">
        <w:rPr>
          <w:sz w:val="24"/>
          <w:szCs w:val="24"/>
          <w:lang w:val="et-EE"/>
        </w:rPr>
        <w:t>.</w:t>
      </w:r>
    </w:p>
  </w:footnote>
  <w:footnote w:id="357">
    <w:p w14:paraId="77A28F46"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C/2024/6332, 24.10.2024, ELI: </w:t>
      </w:r>
      <w:hyperlink r:id="rId357" w:history="1">
        <w:r w:rsidRPr="005F2094">
          <w:rPr>
            <w:rStyle w:val="Hyperlink1"/>
            <w:sz w:val="24"/>
            <w:szCs w:val="24"/>
            <w:lang w:val="et-EE"/>
          </w:rPr>
          <w:t>http://data.europa.eu/eli/C/2024/6332/oj</w:t>
        </w:r>
      </w:hyperlink>
      <w:r w:rsidRPr="005F2094">
        <w:rPr>
          <w:sz w:val="24"/>
          <w:szCs w:val="24"/>
          <w:lang w:val="et-EE"/>
        </w:rPr>
        <w:t>.</w:t>
      </w:r>
    </w:p>
  </w:footnote>
  <w:footnote w:id="358">
    <w:p w14:paraId="325F7701"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C/2024/6041, 10.10.2024, ELI: </w:t>
      </w:r>
      <w:hyperlink r:id="rId358" w:history="1">
        <w:r w:rsidRPr="005F2094">
          <w:rPr>
            <w:rStyle w:val="Hyperlink1"/>
            <w:sz w:val="24"/>
            <w:szCs w:val="24"/>
            <w:lang w:val="et-EE"/>
          </w:rPr>
          <w:t>http://data.europa.eu/eli/C/2024/6041/oj</w:t>
        </w:r>
      </w:hyperlink>
      <w:r w:rsidRPr="005F2094">
        <w:rPr>
          <w:sz w:val="24"/>
          <w:szCs w:val="24"/>
          <w:lang w:val="et-EE"/>
        </w:rPr>
        <w:t>.</w:t>
      </w:r>
    </w:p>
  </w:footnote>
  <w:footnote w:id="359">
    <w:p w14:paraId="13651D89"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193, 30.7.2018, lk 1, ELI: </w:t>
      </w:r>
      <w:hyperlink r:id="rId359" w:history="1">
        <w:r w:rsidRPr="005F2094">
          <w:rPr>
            <w:rStyle w:val="Hyperlink1"/>
            <w:sz w:val="24"/>
            <w:szCs w:val="24"/>
            <w:lang w:val="et-EE"/>
          </w:rPr>
          <w:t>http://data.europa.eu/eli/reg/2018/1046/oj</w:t>
        </w:r>
      </w:hyperlink>
      <w:r w:rsidRPr="005F2094">
        <w:rPr>
          <w:sz w:val="24"/>
          <w:szCs w:val="24"/>
          <w:lang w:val="et-EE"/>
        </w:rPr>
        <w:t>.</w:t>
      </w:r>
    </w:p>
  </w:footnote>
  <w:footnote w:id="360">
    <w:p w14:paraId="292ABEC7"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2024/2509, 26.9.2024, ELI: </w:t>
      </w:r>
      <w:hyperlink r:id="rId360" w:history="1">
        <w:r w:rsidRPr="005F2094">
          <w:rPr>
            <w:rStyle w:val="Hyperlink1"/>
            <w:sz w:val="24"/>
            <w:szCs w:val="24"/>
            <w:lang w:val="et-EE"/>
          </w:rPr>
          <w:t>http://data.europa.eu/eli/reg/2024/2509/oj</w:t>
        </w:r>
      </w:hyperlink>
      <w:r w:rsidRPr="005F2094">
        <w:rPr>
          <w:rStyle w:val="Hyperlink1"/>
          <w:sz w:val="24"/>
          <w:szCs w:val="24"/>
          <w:lang w:val="et-EE"/>
        </w:rPr>
        <w:t>.</w:t>
      </w:r>
    </w:p>
  </w:footnote>
  <w:footnote w:id="361">
    <w:p w14:paraId="67E59FFF"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135, 24.5.2016, lk 53, ELI: </w:t>
      </w:r>
      <w:hyperlink r:id="rId361" w:history="1">
        <w:r w:rsidRPr="005F2094">
          <w:rPr>
            <w:rStyle w:val="Hyperlink1"/>
            <w:sz w:val="24"/>
            <w:szCs w:val="24"/>
            <w:lang w:val="et-EE"/>
          </w:rPr>
          <w:t>http://data.europa.eu/eli/reg/2016/794/oj</w:t>
        </w:r>
      </w:hyperlink>
      <w:r w:rsidRPr="005F2094">
        <w:rPr>
          <w:sz w:val="24"/>
          <w:szCs w:val="24"/>
          <w:lang w:val="et-EE"/>
        </w:rPr>
        <w:t>.</w:t>
      </w:r>
    </w:p>
  </w:footnote>
  <w:footnote w:id="362">
    <w:p w14:paraId="6F37F351"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122, 10.5.2019, lk 1, ELI: </w:t>
      </w:r>
      <w:hyperlink r:id="rId362" w:history="1">
        <w:r w:rsidRPr="005F2094">
          <w:rPr>
            <w:rStyle w:val="Hyperlink1"/>
            <w:sz w:val="24"/>
            <w:szCs w:val="24"/>
            <w:lang w:val="et-EE"/>
          </w:rPr>
          <w:t>http://data.europa.eu/eli/reg_del/2019/715/oj</w:t>
        </w:r>
      </w:hyperlink>
      <w:r w:rsidRPr="005F2094">
        <w:rPr>
          <w:sz w:val="24"/>
          <w:szCs w:val="24"/>
          <w:lang w:val="et-EE"/>
        </w:rPr>
        <w:t>.</w:t>
      </w:r>
    </w:p>
  </w:footnote>
  <w:footnote w:id="363">
    <w:p w14:paraId="507E6A07"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C/2024/6332, 24.10.2024, ELI: </w:t>
      </w:r>
      <w:hyperlink r:id="rId363" w:history="1">
        <w:r w:rsidRPr="005F2094">
          <w:rPr>
            <w:rStyle w:val="Hyperlink1"/>
            <w:sz w:val="24"/>
            <w:szCs w:val="24"/>
            <w:lang w:val="et-EE"/>
          </w:rPr>
          <w:t>http://data.europa.eu/eli/C/2024/6332/oj</w:t>
        </w:r>
      </w:hyperlink>
      <w:r w:rsidRPr="005F2094">
        <w:rPr>
          <w:sz w:val="24"/>
          <w:szCs w:val="24"/>
          <w:lang w:val="et-EE"/>
        </w:rPr>
        <w:t>.</w:t>
      </w:r>
    </w:p>
  </w:footnote>
  <w:footnote w:id="364">
    <w:p w14:paraId="1CB67546"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C/2024/6041, 10.10.2024, ELI: </w:t>
      </w:r>
      <w:hyperlink r:id="rId364" w:history="1">
        <w:r w:rsidRPr="005F2094">
          <w:rPr>
            <w:rStyle w:val="Hyperlink1"/>
            <w:sz w:val="24"/>
            <w:szCs w:val="24"/>
            <w:lang w:val="et-EE"/>
          </w:rPr>
          <w:t>http://data.europa.eu/eli/C/2024/6041/oj</w:t>
        </w:r>
      </w:hyperlink>
      <w:r w:rsidRPr="005F2094">
        <w:rPr>
          <w:sz w:val="24"/>
          <w:szCs w:val="24"/>
          <w:lang w:val="et-EE"/>
        </w:rPr>
        <w:t>.</w:t>
      </w:r>
    </w:p>
  </w:footnote>
  <w:footnote w:id="365">
    <w:p w14:paraId="1EBDB308"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193, 30.7.2018, lk 1, ELI: </w:t>
      </w:r>
      <w:hyperlink r:id="rId365" w:history="1">
        <w:r w:rsidRPr="005F2094">
          <w:rPr>
            <w:rStyle w:val="Hyperlink1"/>
            <w:sz w:val="24"/>
            <w:szCs w:val="24"/>
            <w:lang w:val="et-EE"/>
          </w:rPr>
          <w:t>http://data.europa.eu/eli/reg/2018/1046/oj</w:t>
        </w:r>
      </w:hyperlink>
      <w:r w:rsidRPr="005F2094">
        <w:rPr>
          <w:sz w:val="24"/>
          <w:szCs w:val="24"/>
          <w:lang w:val="et-EE"/>
        </w:rPr>
        <w:t>.</w:t>
      </w:r>
    </w:p>
  </w:footnote>
  <w:footnote w:id="366">
    <w:p w14:paraId="6E8A0103"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2024/2509, 26.9.2024, ELI: </w:t>
      </w:r>
      <w:hyperlink r:id="rId366" w:history="1">
        <w:r w:rsidRPr="005F2094">
          <w:rPr>
            <w:rStyle w:val="Hyperlink1"/>
            <w:sz w:val="24"/>
            <w:szCs w:val="24"/>
            <w:lang w:val="et-EE"/>
          </w:rPr>
          <w:t>http://data.europa.eu/eli/reg/2024/2509/oj</w:t>
        </w:r>
      </w:hyperlink>
      <w:r w:rsidRPr="005F2094">
        <w:rPr>
          <w:rStyle w:val="Hyperlink1"/>
          <w:sz w:val="24"/>
          <w:szCs w:val="24"/>
          <w:lang w:val="et-EE"/>
        </w:rPr>
        <w:t>.</w:t>
      </w:r>
    </w:p>
  </w:footnote>
  <w:footnote w:id="367">
    <w:p w14:paraId="3F55B864"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170, 12.5.2021, lk 69, ELI: </w:t>
      </w:r>
      <w:hyperlink r:id="rId367" w:history="1">
        <w:r w:rsidRPr="005F2094">
          <w:rPr>
            <w:rStyle w:val="Hyperlink1"/>
            <w:sz w:val="24"/>
            <w:szCs w:val="24"/>
            <w:lang w:val="et-EE"/>
          </w:rPr>
          <w:t>http://data.europa.eu/eli/reg/2021/696/oj</w:t>
        </w:r>
      </w:hyperlink>
      <w:r w:rsidRPr="005F2094">
        <w:rPr>
          <w:sz w:val="24"/>
          <w:szCs w:val="24"/>
          <w:lang w:val="et-EE"/>
        </w:rPr>
        <w:t>.</w:t>
      </w:r>
    </w:p>
  </w:footnote>
  <w:footnote w:id="368">
    <w:p w14:paraId="568FA82C"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122, 10.5.2019, lk 1, ELI: </w:t>
      </w:r>
      <w:hyperlink r:id="rId368" w:history="1">
        <w:r w:rsidRPr="005F2094">
          <w:rPr>
            <w:rStyle w:val="Hyperlink1"/>
            <w:sz w:val="24"/>
            <w:szCs w:val="24"/>
            <w:lang w:val="et-EE"/>
          </w:rPr>
          <w:t>http://data.europa.eu/eli/reg_del/2019/715/oj</w:t>
        </w:r>
      </w:hyperlink>
      <w:r w:rsidRPr="005F2094">
        <w:rPr>
          <w:sz w:val="24"/>
          <w:szCs w:val="24"/>
          <w:lang w:val="et-EE"/>
        </w:rPr>
        <w:t>.</w:t>
      </w:r>
    </w:p>
  </w:footnote>
  <w:footnote w:id="369">
    <w:p w14:paraId="603383A3"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C/2024/6332, 24.10.2024, ELI: </w:t>
      </w:r>
      <w:hyperlink r:id="rId369" w:history="1">
        <w:r w:rsidRPr="005F2094">
          <w:rPr>
            <w:rStyle w:val="Hyperlink1"/>
            <w:sz w:val="24"/>
            <w:szCs w:val="24"/>
            <w:lang w:val="et-EE"/>
          </w:rPr>
          <w:t>http://data.europa.eu/eli/C/2024/6332/oj</w:t>
        </w:r>
      </w:hyperlink>
      <w:r w:rsidRPr="005F2094">
        <w:rPr>
          <w:sz w:val="24"/>
          <w:szCs w:val="24"/>
          <w:lang w:val="et-EE"/>
        </w:rPr>
        <w:t>.</w:t>
      </w:r>
    </w:p>
  </w:footnote>
  <w:footnote w:id="370">
    <w:p w14:paraId="334DF462"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C/2024/6041, 10.10.2024, ELI: </w:t>
      </w:r>
      <w:hyperlink r:id="rId370" w:history="1">
        <w:r w:rsidRPr="005F2094">
          <w:rPr>
            <w:rStyle w:val="Hyperlink1"/>
            <w:sz w:val="24"/>
            <w:szCs w:val="24"/>
            <w:lang w:val="et-EE"/>
          </w:rPr>
          <w:t>http://data.europa.eu/eli/C/2024/6041/oj</w:t>
        </w:r>
      </w:hyperlink>
      <w:r w:rsidRPr="005F2094">
        <w:rPr>
          <w:sz w:val="24"/>
          <w:szCs w:val="24"/>
          <w:lang w:val="et-EE"/>
        </w:rPr>
        <w:t>.</w:t>
      </w:r>
    </w:p>
  </w:footnote>
  <w:footnote w:id="371">
    <w:p w14:paraId="50A52A38"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193, 30.7.2018, lk 1, ELI: </w:t>
      </w:r>
      <w:hyperlink r:id="rId371" w:history="1">
        <w:r w:rsidRPr="005F2094">
          <w:rPr>
            <w:rStyle w:val="Hyperlink1"/>
            <w:sz w:val="24"/>
            <w:szCs w:val="24"/>
            <w:lang w:val="et-EE"/>
          </w:rPr>
          <w:t>http://data.europa.eu/eli/reg/2018/1046/oj</w:t>
        </w:r>
      </w:hyperlink>
      <w:r w:rsidRPr="005F2094">
        <w:rPr>
          <w:sz w:val="24"/>
          <w:szCs w:val="24"/>
          <w:lang w:val="et-EE"/>
        </w:rPr>
        <w:t>.</w:t>
      </w:r>
    </w:p>
  </w:footnote>
  <w:footnote w:id="372">
    <w:p w14:paraId="6B517F48"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2024/2509, 26.9.2024, ELI: </w:t>
      </w:r>
      <w:hyperlink r:id="rId372" w:history="1">
        <w:r w:rsidRPr="005F2094">
          <w:rPr>
            <w:rStyle w:val="Hyperlink1"/>
            <w:sz w:val="24"/>
            <w:szCs w:val="24"/>
            <w:lang w:val="et-EE"/>
          </w:rPr>
          <w:t>http://data.europa.eu/eli/reg/2024/2509/oj</w:t>
        </w:r>
      </w:hyperlink>
      <w:r w:rsidRPr="005F2094">
        <w:rPr>
          <w:rStyle w:val="Hyperlink1"/>
          <w:sz w:val="24"/>
          <w:szCs w:val="24"/>
          <w:lang w:val="et-EE"/>
        </w:rPr>
        <w:t>.</w:t>
      </w:r>
    </w:p>
  </w:footnote>
  <w:footnote w:id="373">
    <w:p w14:paraId="308CDE4D"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170, 12.5.2021, lk 69, ELI: </w:t>
      </w:r>
      <w:hyperlink r:id="rId373" w:history="1">
        <w:r w:rsidRPr="005F2094">
          <w:rPr>
            <w:rStyle w:val="Hyperlink1"/>
            <w:sz w:val="24"/>
            <w:szCs w:val="24"/>
            <w:lang w:val="et-EE"/>
          </w:rPr>
          <w:t>http://data.europa.eu/eli/reg/2021/696/oj</w:t>
        </w:r>
      </w:hyperlink>
      <w:r w:rsidRPr="005F2094">
        <w:rPr>
          <w:sz w:val="24"/>
          <w:szCs w:val="24"/>
          <w:lang w:val="et-EE"/>
        </w:rPr>
        <w:t>.</w:t>
      </w:r>
    </w:p>
  </w:footnote>
  <w:footnote w:id="374">
    <w:p w14:paraId="2738EE3D"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122, 10.5.2019, lk 1, ELI: </w:t>
      </w:r>
      <w:hyperlink r:id="rId374" w:history="1">
        <w:r w:rsidRPr="005F2094">
          <w:rPr>
            <w:rStyle w:val="Hyperlink1"/>
            <w:sz w:val="24"/>
            <w:szCs w:val="24"/>
            <w:lang w:val="et-EE"/>
          </w:rPr>
          <w:t>http://data.europa.eu/eli/reg_del/2019/715/oj</w:t>
        </w:r>
      </w:hyperlink>
      <w:r w:rsidRPr="005F2094">
        <w:rPr>
          <w:sz w:val="24"/>
          <w:szCs w:val="24"/>
          <w:lang w:val="et-EE"/>
        </w:rPr>
        <w:t>.</w:t>
      </w:r>
    </w:p>
  </w:footnote>
  <w:footnote w:id="375">
    <w:p w14:paraId="4E1871D3"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C/2024/6332, 24.10.2024, ELI: </w:t>
      </w:r>
      <w:hyperlink r:id="rId375" w:history="1">
        <w:r w:rsidRPr="005F2094">
          <w:rPr>
            <w:rStyle w:val="Hyperlink1"/>
            <w:sz w:val="24"/>
            <w:szCs w:val="24"/>
            <w:lang w:val="et-EE"/>
          </w:rPr>
          <w:t>http://data.europa.eu/eli/C/2024/6332/oj</w:t>
        </w:r>
      </w:hyperlink>
      <w:r w:rsidRPr="005F2094">
        <w:rPr>
          <w:sz w:val="24"/>
          <w:szCs w:val="24"/>
          <w:lang w:val="et-EE"/>
        </w:rPr>
        <w:t>.</w:t>
      </w:r>
    </w:p>
  </w:footnote>
  <w:footnote w:id="376">
    <w:p w14:paraId="1AD3996D"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C/2024/6041, 10.10.2024, ELI: </w:t>
      </w:r>
      <w:hyperlink r:id="rId376" w:history="1">
        <w:r w:rsidRPr="005F2094">
          <w:rPr>
            <w:rStyle w:val="Hyperlink1"/>
            <w:sz w:val="24"/>
            <w:szCs w:val="24"/>
            <w:lang w:val="et-EE"/>
          </w:rPr>
          <w:t>http://data.europa.eu/eli/C/2024/6041/oj</w:t>
        </w:r>
      </w:hyperlink>
      <w:r w:rsidRPr="005F2094">
        <w:rPr>
          <w:sz w:val="24"/>
          <w:szCs w:val="24"/>
          <w:lang w:val="et-EE"/>
        </w:rPr>
        <w:t>.</w:t>
      </w:r>
    </w:p>
  </w:footnote>
  <w:footnote w:id="377">
    <w:p w14:paraId="42B1A20B"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193, 30.7.2018, lk 1, ELI: </w:t>
      </w:r>
      <w:hyperlink r:id="rId377" w:history="1">
        <w:r w:rsidRPr="005F2094">
          <w:rPr>
            <w:rStyle w:val="Hyperlink1"/>
            <w:sz w:val="24"/>
            <w:szCs w:val="24"/>
            <w:lang w:val="et-EE"/>
          </w:rPr>
          <w:t>http://data.europa.eu/eli/reg/2018/1046/oj</w:t>
        </w:r>
      </w:hyperlink>
      <w:r w:rsidRPr="005F2094">
        <w:rPr>
          <w:sz w:val="24"/>
          <w:szCs w:val="24"/>
          <w:lang w:val="et-EE"/>
        </w:rPr>
        <w:t>.</w:t>
      </w:r>
    </w:p>
  </w:footnote>
  <w:footnote w:id="378">
    <w:p w14:paraId="33A269B9"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2024/2509, 26.9.2024, ELI: </w:t>
      </w:r>
      <w:hyperlink r:id="rId378" w:history="1">
        <w:r w:rsidRPr="005F2094">
          <w:rPr>
            <w:rStyle w:val="Hyperlink1"/>
            <w:sz w:val="24"/>
            <w:szCs w:val="24"/>
            <w:lang w:val="et-EE"/>
          </w:rPr>
          <w:t>http://data.europa.eu/eli/reg/2024/2509/oj</w:t>
        </w:r>
      </w:hyperlink>
      <w:r w:rsidRPr="005F2094">
        <w:rPr>
          <w:rStyle w:val="Hyperlink1"/>
          <w:sz w:val="24"/>
          <w:szCs w:val="24"/>
          <w:lang w:val="et-EE"/>
        </w:rPr>
        <w:t>.</w:t>
      </w:r>
    </w:p>
  </w:footnote>
  <w:footnote w:id="379">
    <w:p w14:paraId="78BE9CFE"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53, 22.2.2007, lk 1, ELI: </w:t>
      </w:r>
      <w:hyperlink r:id="rId379" w:history="1">
        <w:r w:rsidRPr="005F2094">
          <w:rPr>
            <w:rStyle w:val="Hyperlink1"/>
            <w:sz w:val="24"/>
            <w:szCs w:val="24"/>
            <w:lang w:val="et-EE"/>
          </w:rPr>
          <w:t>http://data.europa.eu/eli/reg/2007/168/oj</w:t>
        </w:r>
      </w:hyperlink>
      <w:r w:rsidRPr="005F2094">
        <w:rPr>
          <w:sz w:val="24"/>
          <w:szCs w:val="24"/>
          <w:lang w:val="et-EE"/>
        </w:rPr>
        <w:t>.</w:t>
      </w:r>
    </w:p>
  </w:footnote>
  <w:footnote w:id="380">
    <w:p w14:paraId="4399C4B8"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122, 10.5.2019, lk 1, ELI: </w:t>
      </w:r>
      <w:hyperlink r:id="rId380" w:history="1">
        <w:r w:rsidRPr="005F2094">
          <w:rPr>
            <w:rStyle w:val="Hyperlink1"/>
            <w:sz w:val="24"/>
            <w:szCs w:val="24"/>
            <w:lang w:val="et-EE"/>
          </w:rPr>
          <w:t>http://data.europa.eu/eli/reg_del/2019/715/oj</w:t>
        </w:r>
      </w:hyperlink>
      <w:r w:rsidRPr="005F2094">
        <w:rPr>
          <w:sz w:val="24"/>
          <w:szCs w:val="24"/>
          <w:lang w:val="et-EE"/>
        </w:rPr>
        <w:t>.</w:t>
      </w:r>
    </w:p>
  </w:footnote>
  <w:footnote w:id="381">
    <w:p w14:paraId="7D1C97D6"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C/2024/6332, 24.10.2024, ELI: </w:t>
      </w:r>
      <w:hyperlink r:id="rId381" w:history="1">
        <w:r w:rsidRPr="005F2094">
          <w:rPr>
            <w:rStyle w:val="Hyperlink1"/>
            <w:sz w:val="24"/>
            <w:szCs w:val="24"/>
            <w:lang w:val="et-EE"/>
          </w:rPr>
          <w:t>http://data.europa.eu/eli/C/2024/6332/oj</w:t>
        </w:r>
      </w:hyperlink>
      <w:r w:rsidRPr="005F2094">
        <w:rPr>
          <w:sz w:val="24"/>
          <w:szCs w:val="24"/>
          <w:lang w:val="et-EE"/>
        </w:rPr>
        <w:t>.</w:t>
      </w:r>
    </w:p>
  </w:footnote>
  <w:footnote w:id="382">
    <w:p w14:paraId="4CF9FA82"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C/2024/6041, 10.10.2024, ELI: </w:t>
      </w:r>
      <w:hyperlink r:id="rId382" w:history="1">
        <w:r w:rsidRPr="005F2094">
          <w:rPr>
            <w:rStyle w:val="Hyperlink1"/>
            <w:sz w:val="24"/>
            <w:szCs w:val="24"/>
            <w:lang w:val="et-EE"/>
          </w:rPr>
          <w:t>http://data.europa.eu/eli/C/2024/6041/oj</w:t>
        </w:r>
      </w:hyperlink>
      <w:r w:rsidRPr="005F2094">
        <w:rPr>
          <w:sz w:val="24"/>
          <w:szCs w:val="24"/>
          <w:lang w:val="et-EE"/>
        </w:rPr>
        <w:t>.</w:t>
      </w:r>
    </w:p>
  </w:footnote>
  <w:footnote w:id="383">
    <w:p w14:paraId="2D0C1A2E"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193, 30.7.2018, lk 1, ELI: </w:t>
      </w:r>
      <w:hyperlink r:id="rId383" w:history="1">
        <w:r w:rsidRPr="005F2094">
          <w:rPr>
            <w:rStyle w:val="Hyperlink1"/>
            <w:sz w:val="24"/>
            <w:szCs w:val="24"/>
            <w:lang w:val="et-EE"/>
          </w:rPr>
          <w:t>http://data.europa.eu/eli/reg/2018/1046/oj</w:t>
        </w:r>
      </w:hyperlink>
      <w:r w:rsidRPr="005F2094">
        <w:rPr>
          <w:sz w:val="24"/>
          <w:szCs w:val="24"/>
          <w:lang w:val="et-EE"/>
        </w:rPr>
        <w:t>.</w:t>
      </w:r>
    </w:p>
  </w:footnote>
  <w:footnote w:id="384">
    <w:p w14:paraId="44551F17"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2024/2509, 26.9.2024, ELI: </w:t>
      </w:r>
      <w:hyperlink r:id="rId384" w:history="1">
        <w:r w:rsidRPr="005F2094">
          <w:rPr>
            <w:rStyle w:val="Hyperlink1"/>
            <w:sz w:val="24"/>
            <w:szCs w:val="24"/>
            <w:lang w:val="et-EE"/>
          </w:rPr>
          <w:t>http://data.europa.eu/eli/reg/2024/2509/oj</w:t>
        </w:r>
      </w:hyperlink>
      <w:r w:rsidRPr="005F2094">
        <w:rPr>
          <w:sz w:val="24"/>
          <w:szCs w:val="24"/>
          <w:lang w:val="fi-FI"/>
        </w:rPr>
        <w:t>.</w:t>
      </w:r>
    </w:p>
  </w:footnote>
  <w:footnote w:id="385">
    <w:p w14:paraId="1096A108"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53, 22.2.2007, lk 1, ELI: </w:t>
      </w:r>
      <w:hyperlink r:id="rId385" w:history="1">
        <w:r w:rsidRPr="005F2094">
          <w:rPr>
            <w:rStyle w:val="Hyperlink1"/>
            <w:sz w:val="24"/>
            <w:szCs w:val="24"/>
            <w:lang w:val="et-EE"/>
          </w:rPr>
          <w:t>http://data.europa.eu/eli/reg/2007/168/oj</w:t>
        </w:r>
      </w:hyperlink>
      <w:r w:rsidRPr="005F2094">
        <w:rPr>
          <w:sz w:val="24"/>
          <w:szCs w:val="24"/>
          <w:lang w:val="et-EE"/>
        </w:rPr>
        <w:t>.</w:t>
      </w:r>
    </w:p>
  </w:footnote>
  <w:footnote w:id="386">
    <w:p w14:paraId="7DAC640E"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122, 10.5.2019, lk 1, ELI: </w:t>
      </w:r>
      <w:hyperlink r:id="rId386" w:history="1">
        <w:r w:rsidRPr="005F2094">
          <w:rPr>
            <w:rStyle w:val="Hyperlink1"/>
            <w:sz w:val="24"/>
            <w:szCs w:val="24"/>
            <w:lang w:val="et-EE"/>
          </w:rPr>
          <w:t>http://data.europa.eu/eli/reg_del/2019/715/oj</w:t>
        </w:r>
      </w:hyperlink>
      <w:r w:rsidRPr="005F2094">
        <w:rPr>
          <w:sz w:val="24"/>
          <w:szCs w:val="24"/>
          <w:lang w:val="et-EE"/>
        </w:rPr>
        <w:t>.</w:t>
      </w:r>
    </w:p>
  </w:footnote>
  <w:footnote w:id="387">
    <w:p w14:paraId="5987571C"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C/2024/6332, 24.10.2024, ELI: </w:t>
      </w:r>
      <w:hyperlink r:id="rId387" w:history="1">
        <w:r w:rsidRPr="005F2094">
          <w:rPr>
            <w:rStyle w:val="Hyperlink1"/>
            <w:sz w:val="24"/>
            <w:szCs w:val="24"/>
            <w:lang w:val="et-EE"/>
          </w:rPr>
          <w:t>http://data.europa.eu/eli/C/2024/6332/oj</w:t>
        </w:r>
      </w:hyperlink>
      <w:r w:rsidRPr="005F2094">
        <w:rPr>
          <w:sz w:val="24"/>
          <w:szCs w:val="24"/>
          <w:lang w:val="et-EE"/>
        </w:rPr>
        <w:t>.</w:t>
      </w:r>
    </w:p>
  </w:footnote>
  <w:footnote w:id="388">
    <w:p w14:paraId="3825A7E9"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C/2024/6041, 10.10.2024, ELI: </w:t>
      </w:r>
      <w:hyperlink r:id="rId388" w:history="1">
        <w:r w:rsidRPr="005F2094">
          <w:rPr>
            <w:rStyle w:val="Hyperlink1"/>
            <w:sz w:val="24"/>
            <w:szCs w:val="24"/>
            <w:lang w:val="et-EE"/>
          </w:rPr>
          <w:t>http://data.europa.eu/eli/C/2024/6041/oj</w:t>
        </w:r>
      </w:hyperlink>
      <w:r w:rsidRPr="005F2094">
        <w:rPr>
          <w:sz w:val="24"/>
          <w:szCs w:val="24"/>
          <w:lang w:val="et-EE"/>
        </w:rPr>
        <w:t>.</w:t>
      </w:r>
    </w:p>
  </w:footnote>
  <w:footnote w:id="389">
    <w:p w14:paraId="17A76E36"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193, 30.7.2018, lk 1, ELI: </w:t>
      </w:r>
      <w:hyperlink r:id="rId389" w:history="1">
        <w:r w:rsidRPr="005F2094">
          <w:rPr>
            <w:rStyle w:val="Hyperlink1"/>
            <w:sz w:val="24"/>
            <w:szCs w:val="24"/>
            <w:lang w:val="et-EE"/>
          </w:rPr>
          <w:t>http://data.europa.eu/eli/reg/2018/1046/oj</w:t>
        </w:r>
      </w:hyperlink>
      <w:r w:rsidRPr="005F2094">
        <w:rPr>
          <w:sz w:val="24"/>
          <w:szCs w:val="24"/>
          <w:lang w:val="et-EE"/>
        </w:rPr>
        <w:t>.</w:t>
      </w:r>
    </w:p>
  </w:footnote>
  <w:footnote w:id="390">
    <w:p w14:paraId="0D3BDBEC"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2024/2509, 26.9.2024, ELI: </w:t>
      </w:r>
      <w:hyperlink r:id="rId390" w:history="1">
        <w:r w:rsidRPr="005F2094">
          <w:rPr>
            <w:rStyle w:val="Hyperlink1"/>
            <w:sz w:val="24"/>
            <w:szCs w:val="24"/>
            <w:lang w:val="et-EE"/>
          </w:rPr>
          <w:t>http://data.europa.eu/eli/reg/2024/2509/oj</w:t>
        </w:r>
      </w:hyperlink>
      <w:r w:rsidRPr="005F2094">
        <w:rPr>
          <w:sz w:val="24"/>
          <w:szCs w:val="24"/>
          <w:lang w:val="fi-FI"/>
        </w:rPr>
        <w:t>.</w:t>
      </w:r>
    </w:p>
  </w:footnote>
  <w:footnote w:id="391">
    <w:p w14:paraId="4C709917"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295, 14.11.2019, lk 1, ELI: </w:t>
      </w:r>
      <w:hyperlink r:id="rId391" w:history="1">
        <w:r w:rsidRPr="005F2094">
          <w:rPr>
            <w:rStyle w:val="Hyperlink1"/>
            <w:sz w:val="24"/>
            <w:szCs w:val="24"/>
            <w:lang w:val="et-EE"/>
          </w:rPr>
          <w:t>http://data.europa.eu/eli/reg/2019/1896/oj</w:t>
        </w:r>
      </w:hyperlink>
      <w:r w:rsidRPr="005F2094">
        <w:rPr>
          <w:sz w:val="24"/>
          <w:szCs w:val="24"/>
          <w:lang w:val="et-EE"/>
        </w:rPr>
        <w:t>.</w:t>
      </w:r>
    </w:p>
  </w:footnote>
  <w:footnote w:id="392">
    <w:p w14:paraId="16ADF594"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122, 10.5.2019, lk 1, ELI: </w:t>
      </w:r>
      <w:hyperlink r:id="rId392" w:history="1">
        <w:r w:rsidRPr="005F2094">
          <w:rPr>
            <w:rStyle w:val="Hyperlink1"/>
            <w:sz w:val="24"/>
            <w:szCs w:val="24"/>
            <w:lang w:val="et-EE"/>
          </w:rPr>
          <w:t>http://data.europa.eu/eli/reg_del/2019/715/oj</w:t>
        </w:r>
      </w:hyperlink>
      <w:r w:rsidRPr="005F2094">
        <w:rPr>
          <w:sz w:val="24"/>
          <w:szCs w:val="24"/>
          <w:lang w:val="et-EE"/>
        </w:rPr>
        <w:t>.</w:t>
      </w:r>
    </w:p>
  </w:footnote>
  <w:footnote w:id="393">
    <w:p w14:paraId="2AB2E9A9"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C/2024/6332, 24.10.2024, ELI: </w:t>
      </w:r>
      <w:hyperlink r:id="rId393" w:history="1">
        <w:r w:rsidRPr="005F2094">
          <w:rPr>
            <w:rStyle w:val="Hyperlink1"/>
            <w:sz w:val="24"/>
            <w:szCs w:val="24"/>
            <w:lang w:val="et-EE"/>
          </w:rPr>
          <w:t>http://data.europa.eu/eli/C/2024/6332/oj</w:t>
        </w:r>
      </w:hyperlink>
      <w:r w:rsidRPr="005F2094">
        <w:rPr>
          <w:sz w:val="24"/>
          <w:szCs w:val="24"/>
          <w:lang w:val="et-EE"/>
        </w:rPr>
        <w:t>.</w:t>
      </w:r>
    </w:p>
  </w:footnote>
  <w:footnote w:id="394">
    <w:p w14:paraId="2CBAC965"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C, C/2024/6041, 10.10.2024, ELI: </w:t>
      </w:r>
      <w:hyperlink r:id="rId394" w:history="1">
        <w:r w:rsidRPr="005F2094">
          <w:rPr>
            <w:rStyle w:val="Hyperlink1"/>
            <w:sz w:val="24"/>
            <w:szCs w:val="24"/>
            <w:lang w:val="et-EE"/>
          </w:rPr>
          <w:t>http://data.europa.eu/eli/C/2024/6041/oj</w:t>
        </w:r>
      </w:hyperlink>
      <w:r w:rsidRPr="005F2094">
        <w:rPr>
          <w:sz w:val="24"/>
          <w:szCs w:val="24"/>
          <w:lang w:val="et-EE"/>
        </w:rPr>
        <w:t>.</w:t>
      </w:r>
    </w:p>
  </w:footnote>
  <w:footnote w:id="395">
    <w:p w14:paraId="14CCE8BB"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193, 30.7.2018, lk 1, ELI: </w:t>
      </w:r>
      <w:hyperlink r:id="rId395" w:history="1">
        <w:r w:rsidRPr="005F2094">
          <w:rPr>
            <w:rStyle w:val="Hyperlink1"/>
            <w:sz w:val="24"/>
            <w:szCs w:val="24"/>
            <w:lang w:val="et-EE"/>
          </w:rPr>
          <w:t>http://data.europa.eu/eli/reg/2018/1046/oj</w:t>
        </w:r>
      </w:hyperlink>
      <w:r w:rsidRPr="005F2094">
        <w:rPr>
          <w:sz w:val="24"/>
          <w:szCs w:val="24"/>
          <w:lang w:val="et-EE"/>
        </w:rPr>
        <w:t>.</w:t>
      </w:r>
    </w:p>
  </w:footnote>
  <w:footnote w:id="396">
    <w:p w14:paraId="14091AE3"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2024/2509, 26.9.2024, ELI: </w:t>
      </w:r>
      <w:hyperlink r:id="rId396" w:history="1">
        <w:r w:rsidRPr="005F2094">
          <w:rPr>
            <w:rStyle w:val="Hyperlink1"/>
            <w:sz w:val="24"/>
            <w:szCs w:val="24"/>
            <w:lang w:val="et-EE"/>
          </w:rPr>
          <w:t>http://data.europa.eu/eli/reg/2024/2509/oj</w:t>
        </w:r>
      </w:hyperlink>
      <w:r w:rsidRPr="005F2094">
        <w:rPr>
          <w:rStyle w:val="Hyperlink1"/>
          <w:sz w:val="24"/>
          <w:szCs w:val="24"/>
          <w:lang w:val="et-EE"/>
        </w:rPr>
        <w:t>.</w:t>
      </w:r>
    </w:p>
  </w:footnote>
  <w:footnote w:id="397">
    <w:p w14:paraId="3C593ED9"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295, 14.11.2019, lk 1, ELI: </w:t>
      </w:r>
      <w:hyperlink r:id="rId397" w:history="1">
        <w:r w:rsidRPr="005F2094">
          <w:rPr>
            <w:rStyle w:val="Hyperlink1"/>
            <w:sz w:val="24"/>
            <w:szCs w:val="24"/>
            <w:lang w:val="et-EE"/>
          </w:rPr>
          <w:t>http://data.europa.eu/eli/reg/2019/1896/oj</w:t>
        </w:r>
      </w:hyperlink>
      <w:r w:rsidRPr="005F2094">
        <w:rPr>
          <w:sz w:val="24"/>
          <w:szCs w:val="24"/>
          <w:lang w:val="et-EE"/>
        </w:rPr>
        <w:t>.</w:t>
      </w:r>
    </w:p>
  </w:footnote>
  <w:footnote w:id="398">
    <w:p w14:paraId="46CCD024"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rPr>
        <w:t xml:space="preserve">ELT L 122, 10.5.2019, lk 1, ELI: </w:t>
      </w:r>
      <w:hyperlink r:id="rId398" w:history="1">
        <w:r w:rsidRPr="005F2094">
          <w:rPr>
            <w:rStyle w:val="Hyperlink1"/>
            <w:sz w:val="24"/>
            <w:szCs w:val="24"/>
            <w:lang w:val="et-EE"/>
          </w:rPr>
          <w:t>http://data.europa.eu/eli/reg_del/2019/715/oj</w:t>
        </w:r>
      </w:hyperlink>
      <w:r w:rsidRPr="005F2094">
        <w:rPr>
          <w:sz w:val="24"/>
          <w:szCs w:val="24"/>
          <w:lang w:val="et-EE"/>
        </w:rPr>
        <w:t>.</w:t>
      </w:r>
    </w:p>
  </w:footnote>
  <w:footnote w:id="399">
    <w:p w14:paraId="3A59CF98" w14:textId="77777777" w:rsidR="00ED1222" w:rsidRPr="005F2094" w:rsidRDefault="00ED1222" w:rsidP="00ED1222">
      <w:pPr>
        <w:pStyle w:val="FootnoteText"/>
        <w:ind w:left="567" w:hanging="567"/>
        <w:rPr>
          <w:sz w:val="24"/>
          <w:szCs w:val="24"/>
          <w:lang w:val="et-EE"/>
        </w:rPr>
      </w:pPr>
      <w:r w:rsidRPr="005F2094">
        <w:rPr>
          <w:rStyle w:val="FootnoteReference"/>
          <w:rFonts w:eastAsia="Yu Gothic Light"/>
          <w:sz w:val="24"/>
          <w:szCs w:val="24"/>
        </w:rPr>
        <w:footnoteRef/>
      </w:r>
      <w:r w:rsidRPr="005F2094">
        <w:rPr>
          <w:sz w:val="24"/>
          <w:szCs w:val="24"/>
          <w:lang w:val="et-EE"/>
        </w:rPr>
        <w:tab/>
      </w:r>
      <w:r w:rsidRPr="005F2094">
        <w:rPr>
          <w:sz w:val="24"/>
          <w:szCs w:val="24"/>
          <w:lang w:val="et-EE"/>
        </w:rPr>
        <w:t>ELi asutusi on kolme liiki: detsentraliseeritud asutused, rakendusametid ja muud organid;</w:t>
      </w:r>
    </w:p>
  </w:footnote>
  <w:footnote w:id="400">
    <w:p w14:paraId="227DBDE2"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ab/>
      </w:r>
      <w:r w:rsidRPr="005F2094">
        <w:rPr>
          <w:sz w:val="24"/>
          <w:szCs w:val="24"/>
          <w:lang w:val="et-EE" w:eastAsia="en-GB"/>
        </w:rPr>
        <w:t xml:space="preserve">Euroopa Parlamendi ja nõukogu 23. septembri 2024. aasta määrus (EL, Euratom) 2024/2509, mis käsitleb liidu </w:t>
      </w:r>
      <w:proofErr w:type="spellStart"/>
      <w:r w:rsidRPr="005F2094">
        <w:rPr>
          <w:sz w:val="24"/>
          <w:szCs w:val="24"/>
          <w:lang w:val="et-EE" w:eastAsia="en-GB"/>
        </w:rPr>
        <w:t>üldeelarve</w:t>
      </w:r>
      <w:proofErr w:type="spellEnd"/>
      <w:r w:rsidRPr="005F2094">
        <w:rPr>
          <w:sz w:val="24"/>
          <w:szCs w:val="24"/>
          <w:lang w:val="et-EE" w:eastAsia="en-GB"/>
        </w:rPr>
        <w:t xml:space="preserve"> suhtes kohaldatavaid finantsreegleid (ELT L, 2024/2509, 26.9.2024, ELI: </w:t>
      </w:r>
      <w:hyperlink r:id="rId399" w:history="1">
        <w:r w:rsidRPr="005F2094">
          <w:rPr>
            <w:rStyle w:val="Hyperlink"/>
            <w:sz w:val="24"/>
            <w:szCs w:val="24"/>
            <w:lang w:val="et-EE"/>
          </w:rPr>
          <w:t>http://data.europa.eu/eli/reg/2024/2509/oj</w:t>
        </w:r>
      </w:hyperlink>
      <w:r w:rsidRPr="005F2094">
        <w:rPr>
          <w:sz w:val="24"/>
          <w:szCs w:val="24"/>
          <w:lang w:val="et-EE" w:eastAsia="en-GB"/>
        </w:rPr>
        <w:t xml:space="preserve">). </w:t>
      </w:r>
    </w:p>
  </w:footnote>
  <w:footnote w:id="401">
    <w:p w14:paraId="4CEA3B67" w14:textId="77777777" w:rsidR="00ED1222" w:rsidRPr="005F2094" w:rsidRDefault="00ED1222" w:rsidP="00ED1222">
      <w:pPr>
        <w:pStyle w:val="FootnoteText"/>
        <w:ind w:left="567" w:hanging="567"/>
        <w:rPr>
          <w:sz w:val="24"/>
          <w:szCs w:val="24"/>
          <w:lang w:val="et-EE"/>
        </w:rPr>
      </w:pPr>
      <w:r w:rsidRPr="005F2094">
        <w:rPr>
          <w:rStyle w:val="FootnoteReference"/>
          <w:rFonts w:eastAsia="Yu Gothic Light"/>
          <w:sz w:val="24"/>
          <w:szCs w:val="24"/>
        </w:rPr>
        <w:footnoteRef/>
      </w:r>
      <w:r w:rsidRPr="005F2094">
        <w:rPr>
          <w:sz w:val="24"/>
          <w:szCs w:val="24"/>
          <w:lang w:val="et-EE"/>
        </w:rPr>
        <w:tab/>
      </w:r>
      <w:r w:rsidRPr="005F2094">
        <w:rPr>
          <w:sz w:val="24"/>
          <w:szCs w:val="24"/>
          <w:lang w:val="et-EE"/>
        </w:rPr>
        <w:t xml:space="preserve">Euroopa Parlamendi, ELi Nõukogu ja Euroopa Komisjoni </w:t>
      </w:r>
      <w:hyperlink r:id="rId400" w:history="1">
        <w:r w:rsidRPr="005F2094">
          <w:rPr>
            <w:rStyle w:val="Hyperlink"/>
            <w:sz w:val="24"/>
            <w:szCs w:val="24"/>
            <w:lang w:val="et-EE"/>
          </w:rPr>
          <w:t>ühisavaldus</w:t>
        </w:r>
      </w:hyperlink>
      <w:r w:rsidRPr="005F2094">
        <w:rPr>
          <w:sz w:val="24"/>
          <w:szCs w:val="24"/>
          <w:lang w:val="et-EE"/>
        </w:rPr>
        <w:t xml:space="preserve"> detsentraliseeritud asutuste kohta, juuli 2012: </w:t>
      </w:r>
      <w:hyperlink r:id="rId401" w:history="1">
        <w:r w:rsidRPr="005F2094">
          <w:rPr>
            <w:rStyle w:val="Hyperlink"/>
            <w:sz w:val="24"/>
            <w:szCs w:val="24"/>
            <w:lang w:val="et-EE"/>
          </w:rPr>
          <w:t>https://european-union.europa.eu/document/download/d4199ff4-1e3d-45e6-af7e-90cf1a7b10bc_en?filename=joint_statement_on_decentralised_agencies_en.pdf</w:t>
        </w:r>
      </w:hyperlink>
      <w:r w:rsidRPr="005F2094">
        <w:rPr>
          <w:sz w:val="24"/>
          <w:szCs w:val="24"/>
          <w:lang w:val="et-EE"/>
        </w:rPr>
        <w:t>.</w:t>
      </w:r>
    </w:p>
  </w:footnote>
  <w:footnote w:id="402">
    <w:p w14:paraId="50F5B004" w14:textId="77777777" w:rsidR="00ED1222" w:rsidRPr="005F2094" w:rsidRDefault="00ED1222" w:rsidP="00ED1222">
      <w:pPr>
        <w:pStyle w:val="FootnoteText"/>
        <w:ind w:left="567" w:hanging="567"/>
        <w:rPr>
          <w:sz w:val="24"/>
          <w:szCs w:val="24"/>
          <w:lang w:val="et-EE"/>
        </w:rPr>
      </w:pPr>
      <w:r w:rsidRPr="005F2094">
        <w:rPr>
          <w:rStyle w:val="FootnoteReference"/>
          <w:rFonts w:eastAsia="Yu Gothic Light"/>
          <w:sz w:val="24"/>
          <w:szCs w:val="24"/>
        </w:rPr>
        <w:footnoteRef/>
      </w:r>
      <w:r w:rsidRPr="005F2094">
        <w:rPr>
          <w:sz w:val="24"/>
          <w:szCs w:val="24"/>
          <w:lang w:val="et-EE"/>
        </w:rPr>
        <w:tab/>
      </w:r>
      <w:r w:rsidRPr="005F2094">
        <w:rPr>
          <w:sz w:val="24"/>
          <w:szCs w:val="24"/>
          <w:lang w:val="et-EE"/>
        </w:rPr>
        <w:t xml:space="preserve">„ELi asutuste tulevik – võimalus suuremaks paindlikkuseks ja koostööks“, </w:t>
      </w:r>
      <w:hyperlink r:id="rId402" w:history="1">
        <w:r w:rsidRPr="005F2094">
          <w:rPr>
            <w:rStyle w:val="Hyperlink1"/>
            <w:sz w:val="24"/>
            <w:szCs w:val="24"/>
            <w:lang w:val="et-EE"/>
          </w:rPr>
          <w:t>https://op.europa.eu/webpub/eca/special-reports/agencies-performance-audit-22-2020/et/</w:t>
        </w:r>
      </w:hyperlink>
      <w:r w:rsidRPr="005F2094">
        <w:rPr>
          <w:rStyle w:val="Hyperlink1"/>
          <w:sz w:val="24"/>
          <w:szCs w:val="24"/>
          <w:lang w:val="et-EE"/>
        </w:rPr>
        <w:t>.</w:t>
      </w:r>
    </w:p>
  </w:footnote>
  <w:footnote w:id="403">
    <w:p w14:paraId="7C6E5BDF" w14:textId="77777777" w:rsidR="00ED1222" w:rsidRPr="005F2094" w:rsidRDefault="00ED1222" w:rsidP="00ED1222">
      <w:pPr>
        <w:ind w:left="567" w:hanging="567"/>
        <w:rPr>
          <w:szCs w:val="24"/>
        </w:rPr>
      </w:pPr>
      <w:r w:rsidRPr="005F2094">
        <w:rPr>
          <w:rStyle w:val="FootnoteReference"/>
          <w:szCs w:val="24"/>
        </w:rPr>
        <w:footnoteRef/>
      </w:r>
      <w:r w:rsidRPr="005F2094">
        <w:rPr>
          <w:szCs w:val="24"/>
        </w:rPr>
        <w:tab/>
      </w:r>
      <w:r w:rsidRPr="005F2094">
        <w:rPr>
          <w:szCs w:val="24"/>
        </w:rPr>
        <w:t>Ühine lähenemisviis ei ole õiguslikult siduv ning institutsioonid leppisid kokku, et võtavad seda detsentraliseeritud asutusi käsitlevate otsuste tegemisel arvesse.</w:t>
      </w:r>
    </w:p>
  </w:footnote>
  <w:footnote w:id="404">
    <w:p w14:paraId="30C772B9" w14:textId="77777777" w:rsidR="00ED1222" w:rsidRPr="005F2094" w:rsidRDefault="00ED1222" w:rsidP="00ED1222">
      <w:pPr>
        <w:pStyle w:val="FootnoteText"/>
        <w:ind w:left="567" w:hanging="567"/>
        <w:rPr>
          <w:sz w:val="24"/>
          <w:szCs w:val="24"/>
          <w:lang w:val="et-EE"/>
        </w:rPr>
      </w:pPr>
      <w:r w:rsidRPr="005F2094">
        <w:rPr>
          <w:rStyle w:val="FootnoteReference"/>
          <w:rFonts w:eastAsia="Yu Gothic Light"/>
          <w:sz w:val="24"/>
          <w:szCs w:val="24"/>
        </w:rPr>
        <w:footnoteRef/>
      </w:r>
      <w:r w:rsidRPr="005F2094">
        <w:rPr>
          <w:sz w:val="24"/>
          <w:szCs w:val="24"/>
          <w:lang w:val="et-EE"/>
        </w:rPr>
        <w:tab/>
      </w:r>
      <w:r w:rsidRPr="005F2094">
        <w:rPr>
          <w:sz w:val="24"/>
          <w:szCs w:val="24"/>
          <w:lang w:val="et-EE"/>
        </w:rPr>
        <w:t>Euroopa Kutseõppe Arenduskeskus, Euroopa Liidu Uimastiamet, Euroopa Liidu Küberturvalisuse Amet, Euroopa Liidu Raudteeamet, Euroopa Tööohutuse ja Töötervishoiu Amet, Euroopa Elu- ja Töötingimuste Parandamise Sihtasutus, Euroopa Liidu Kriminaalõigusalase Koostöö Amet, Euroopa Liidu Põhiõiguste Amet, Euroopa Innovatsiooni- ja Tehnoloogiainstituut.</w:t>
      </w:r>
    </w:p>
  </w:footnote>
  <w:footnote w:id="405">
    <w:p w14:paraId="6E88EEA8" w14:textId="77777777" w:rsidR="00ED1222" w:rsidRPr="005F2094" w:rsidRDefault="00ED1222" w:rsidP="00ED1222">
      <w:pPr>
        <w:pStyle w:val="FootnoteText"/>
        <w:ind w:left="567" w:hanging="567"/>
        <w:rPr>
          <w:sz w:val="24"/>
          <w:szCs w:val="24"/>
          <w:lang w:val="et-EE"/>
        </w:rPr>
      </w:pPr>
      <w:r w:rsidRPr="005F2094">
        <w:rPr>
          <w:rStyle w:val="FootnoteReference"/>
          <w:rFonts w:eastAsia="Yu Gothic Light"/>
          <w:sz w:val="24"/>
          <w:szCs w:val="24"/>
        </w:rPr>
        <w:footnoteRef/>
      </w:r>
      <w:r w:rsidRPr="005F2094">
        <w:rPr>
          <w:sz w:val="24"/>
          <w:szCs w:val="24"/>
          <w:lang w:val="et-EE"/>
        </w:rPr>
        <w:tab/>
      </w:r>
      <w:proofErr w:type="spellStart"/>
      <w:r w:rsidRPr="005F2094">
        <w:rPr>
          <w:sz w:val="24"/>
          <w:szCs w:val="24"/>
          <w:lang w:val="et-EE"/>
        </w:rPr>
        <w:t>Evaluation</w:t>
      </w:r>
      <w:proofErr w:type="spellEnd"/>
      <w:r w:rsidRPr="005F2094">
        <w:rPr>
          <w:sz w:val="24"/>
          <w:szCs w:val="24"/>
          <w:lang w:val="et-EE"/>
        </w:rPr>
        <w:t xml:space="preserve"> of EU </w:t>
      </w:r>
      <w:proofErr w:type="spellStart"/>
      <w:r w:rsidRPr="005F2094">
        <w:rPr>
          <w:sz w:val="24"/>
          <w:szCs w:val="24"/>
          <w:lang w:val="et-EE"/>
        </w:rPr>
        <w:t>Agencies</w:t>
      </w:r>
      <w:proofErr w:type="spellEnd"/>
      <w:r w:rsidRPr="005F2094">
        <w:rPr>
          <w:sz w:val="24"/>
          <w:szCs w:val="24"/>
          <w:lang w:val="et-EE"/>
        </w:rPr>
        <w:t xml:space="preserve">: </w:t>
      </w:r>
      <w:proofErr w:type="spellStart"/>
      <w:r w:rsidRPr="005F2094">
        <w:rPr>
          <w:sz w:val="24"/>
          <w:szCs w:val="24"/>
          <w:lang w:val="et-EE"/>
        </w:rPr>
        <w:t>Eurofound</w:t>
      </w:r>
      <w:proofErr w:type="spellEnd"/>
      <w:r w:rsidRPr="005F2094">
        <w:rPr>
          <w:sz w:val="24"/>
          <w:szCs w:val="24"/>
          <w:lang w:val="et-EE"/>
        </w:rPr>
        <w:t xml:space="preserve">, </w:t>
      </w:r>
      <w:proofErr w:type="spellStart"/>
      <w:r w:rsidRPr="005F2094">
        <w:rPr>
          <w:sz w:val="24"/>
          <w:szCs w:val="24"/>
          <w:lang w:val="et-EE"/>
        </w:rPr>
        <w:t>Cedefop</w:t>
      </w:r>
      <w:proofErr w:type="spellEnd"/>
      <w:r w:rsidRPr="005F2094">
        <w:rPr>
          <w:sz w:val="24"/>
          <w:szCs w:val="24"/>
          <w:lang w:val="et-EE"/>
        </w:rPr>
        <w:t xml:space="preserve">, ETF and EU-OSHA (ELi asutuste hindamine: </w:t>
      </w:r>
      <w:proofErr w:type="spellStart"/>
      <w:r w:rsidRPr="005F2094">
        <w:rPr>
          <w:sz w:val="24"/>
          <w:szCs w:val="24"/>
          <w:lang w:val="et-EE"/>
        </w:rPr>
        <w:t>Eurofound</w:t>
      </w:r>
      <w:proofErr w:type="spellEnd"/>
      <w:r w:rsidRPr="005F2094">
        <w:rPr>
          <w:sz w:val="24"/>
          <w:szCs w:val="24"/>
          <w:lang w:val="et-EE"/>
        </w:rPr>
        <w:t xml:space="preserve">, </w:t>
      </w:r>
      <w:proofErr w:type="spellStart"/>
      <w:r w:rsidRPr="005F2094">
        <w:rPr>
          <w:sz w:val="24"/>
          <w:szCs w:val="24"/>
          <w:lang w:val="et-EE"/>
        </w:rPr>
        <w:t>Cedefop</w:t>
      </w:r>
      <w:proofErr w:type="spellEnd"/>
      <w:r w:rsidRPr="005F2094">
        <w:rPr>
          <w:sz w:val="24"/>
          <w:szCs w:val="24"/>
          <w:lang w:val="et-EE"/>
        </w:rPr>
        <w:t xml:space="preserve">, ETF ja EU-OSHA) (SWD(2024) 222, lk 42, </w:t>
      </w:r>
      <w:hyperlink r:id="rId403" w:history="1">
        <w:r w:rsidRPr="005F2094">
          <w:rPr>
            <w:rStyle w:val="Hyperlink1"/>
            <w:sz w:val="24"/>
            <w:szCs w:val="24"/>
            <w:lang w:val="et-EE"/>
          </w:rPr>
          <w:t>https://www.parlament.gv.at/dokument/XXVII/EU/198502/imfname_11414247.pdf</w:t>
        </w:r>
      </w:hyperlink>
      <w:r w:rsidRPr="005F2094">
        <w:rPr>
          <w:sz w:val="24"/>
          <w:szCs w:val="24"/>
          <w:lang w:val="et-EE"/>
        </w:rPr>
        <w:t>).</w:t>
      </w:r>
    </w:p>
  </w:footnote>
  <w:footnote w:id="406">
    <w:p w14:paraId="16389FDD" w14:textId="77777777" w:rsidR="00ED1222" w:rsidRPr="005F2094" w:rsidRDefault="00ED1222" w:rsidP="00ED1222">
      <w:pPr>
        <w:pStyle w:val="FootnoteText"/>
        <w:ind w:left="567" w:hanging="567"/>
        <w:rPr>
          <w:sz w:val="24"/>
          <w:szCs w:val="24"/>
          <w:lang w:val="et-EE"/>
        </w:rPr>
      </w:pPr>
      <w:r w:rsidRPr="005F2094">
        <w:rPr>
          <w:rStyle w:val="FootnoteReference"/>
          <w:rFonts w:eastAsia="Yu Gothic Light"/>
          <w:sz w:val="24"/>
          <w:szCs w:val="24"/>
        </w:rPr>
        <w:footnoteRef/>
      </w:r>
      <w:r w:rsidRPr="005F2094">
        <w:rPr>
          <w:sz w:val="24"/>
          <w:szCs w:val="24"/>
          <w:lang w:val="et-EE"/>
        </w:rPr>
        <w:tab/>
      </w:r>
      <w:r w:rsidRPr="005F2094">
        <w:rPr>
          <w:sz w:val="24"/>
          <w:szCs w:val="24"/>
          <w:lang w:val="et-EE"/>
        </w:rPr>
        <w:t xml:space="preserve">Euroopa Parlamendi ja nõukogu 13. novembri 2019. aasta määrus (EL) 2019/1896, mis käsitleb Euroopa piiri- ja rannikuvalvet ning millega tunnistatakse kehtetuks määrused (EL) nr 1052/2013 ning (EL) 2016/1624 (ELT L 295, 14.11.2019, lk 1, </w:t>
      </w:r>
      <w:r w:rsidRPr="005F2094">
        <w:rPr>
          <w:color w:val="333333"/>
          <w:sz w:val="24"/>
          <w:szCs w:val="24"/>
          <w:shd w:val="clear" w:color="auto" w:fill="FFFFFF"/>
          <w:lang w:val="et-EE"/>
        </w:rPr>
        <w:t xml:space="preserve">ELI: </w:t>
      </w:r>
      <w:hyperlink r:id="rId404" w:tooltip="Annab juurdepääsu sellele dokumendile tema ELI URI kaudu." w:history="1">
        <w:r w:rsidRPr="005F2094">
          <w:rPr>
            <w:rStyle w:val="Hyperlink1"/>
            <w:color w:val="337AB7"/>
            <w:sz w:val="24"/>
            <w:szCs w:val="24"/>
            <w:shd w:val="clear" w:color="auto" w:fill="FFFFFF"/>
            <w:lang w:val="et-EE"/>
          </w:rPr>
          <w:t>http://data.europa.eu/eli/reg/2019/1896/oj</w:t>
        </w:r>
      </w:hyperlink>
      <w:r w:rsidRPr="005F2094">
        <w:rPr>
          <w:sz w:val="24"/>
          <w:szCs w:val="24"/>
          <w:lang w:val="et-EE"/>
        </w:rPr>
        <w:t>).</w:t>
      </w:r>
    </w:p>
  </w:footnote>
  <w:footnote w:id="407">
    <w:p w14:paraId="1559AC71" w14:textId="77777777" w:rsidR="00ED1222" w:rsidRPr="005F2094" w:rsidRDefault="00ED1222" w:rsidP="00ED1222">
      <w:pPr>
        <w:pStyle w:val="FootnoteText"/>
        <w:ind w:left="567" w:hanging="567"/>
        <w:rPr>
          <w:sz w:val="24"/>
          <w:szCs w:val="24"/>
          <w:lang w:val="et-EE"/>
        </w:rPr>
      </w:pPr>
      <w:r w:rsidRPr="005F2094">
        <w:rPr>
          <w:rStyle w:val="FootnoteReference"/>
          <w:rFonts w:eastAsia="Yu Gothic Light"/>
          <w:sz w:val="24"/>
          <w:szCs w:val="24"/>
        </w:rPr>
        <w:footnoteRef/>
      </w:r>
      <w:r w:rsidRPr="005F2094">
        <w:rPr>
          <w:sz w:val="24"/>
          <w:szCs w:val="24"/>
          <w:lang w:val="et-EE"/>
        </w:rPr>
        <w:tab/>
      </w:r>
      <w:hyperlink r:id="rId405" w:history="1">
        <w:r w:rsidRPr="005F2094">
          <w:rPr>
            <w:rStyle w:val="Hyperlink1"/>
            <w:sz w:val="24"/>
            <w:szCs w:val="24"/>
            <w:lang w:val="et-EE"/>
          </w:rPr>
          <w:t>https://eur-lex.europa.eu/legal-content/ET/TXT/HTML/?uri=CELEX:52024DC0075</w:t>
        </w:r>
      </w:hyperlink>
      <w:r w:rsidRPr="005F2094">
        <w:rPr>
          <w:sz w:val="24"/>
          <w:szCs w:val="24"/>
          <w:lang w:val="et-EE"/>
        </w:rPr>
        <w:t xml:space="preserve"> – 3. osa.</w:t>
      </w:r>
    </w:p>
  </w:footnote>
  <w:footnote w:id="408">
    <w:p w14:paraId="2C3925A5" w14:textId="77777777" w:rsidR="00ED1222" w:rsidRPr="005F2094" w:rsidRDefault="00ED1222" w:rsidP="00ED1222">
      <w:pPr>
        <w:pStyle w:val="FootnoteText"/>
        <w:ind w:left="567" w:hanging="567"/>
        <w:rPr>
          <w:sz w:val="24"/>
          <w:szCs w:val="24"/>
          <w:lang w:val="et-EE"/>
        </w:rPr>
      </w:pPr>
      <w:r w:rsidRPr="005F2094">
        <w:rPr>
          <w:rStyle w:val="FootnoteReference"/>
          <w:rFonts w:eastAsia="Yu Gothic Light"/>
          <w:sz w:val="24"/>
          <w:szCs w:val="24"/>
        </w:rPr>
        <w:footnoteRef/>
      </w:r>
      <w:r w:rsidRPr="005F2094">
        <w:rPr>
          <w:sz w:val="24"/>
          <w:szCs w:val="24"/>
          <w:lang w:val="et-EE"/>
        </w:rPr>
        <w:tab/>
      </w:r>
      <w:r w:rsidRPr="005F2094">
        <w:rPr>
          <w:sz w:val="24"/>
          <w:szCs w:val="24"/>
          <w:lang w:val="et-EE"/>
        </w:rPr>
        <w:t xml:space="preserve">Andmed vastavalt eelarveaasta 2023 tulude ja kulude eelarvestusele, mis on avaldatud </w:t>
      </w:r>
      <w:r w:rsidRPr="005F2094">
        <w:rPr>
          <w:i/>
          <w:sz w:val="24"/>
          <w:szCs w:val="24"/>
          <w:lang w:val="et-EE"/>
        </w:rPr>
        <w:t>Euroopa Liidu Teatajas</w:t>
      </w:r>
      <w:r w:rsidRPr="005F2094">
        <w:rPr>
          <w:sz w:val="24"/>
          <w:szCs w:val="24"/>
          <w:lang w:val="et-EE"/>
        </w:rPr>
        <w:t xml:space="preserve"> iga asutuse kohta eraldi.</w:t>
      </w:r>
    </w:p>
  </w:footnote>
  <w:footnote w:id="409">
    <w:p w14:paraId="2766066E" w14:textId="77777777" w:rsidR="00ED1222" w:rsidRPr="005F2094" w:rsidRDefault="00ED1222" w:rsidP="00ED1222">
      <w:pPr>
        <w:pStyle w:val="FootnoteText"/>
        <w:ind w:left="567" w:hanging="567"/>
        <w:rPr>
          <w:sz w:val="24"/>
          <w:szCs w:val="24"/>
          <w:lang w:val="et-EE"/>
        </w:rPr>
      </w:pPr>
      <w:r w:rsidRPr="005F2094">
        <w:rPr>
          <w:rStyle w:val="FootnoteReference"/>
          <w:rFonts w:eastAsia="Yu Gothic Light"/>
          <w:sz w:val="24"/>
          <w:szCs w:val="24"/>
        </w:rPr>
        <w:footnoteRef/>
      </w:r>
      <w:r w:rsidRPr="005F2094">
        <w:rPr>
          <w:sz w:val="24"/>
          <w:szCs w:val="24"/>
          <w:lang w:val="et-EE"/>
        </w:rPr>
        <w:tab/>
      </w:r>
      <w:r w:rsidRPr="005F2094">
        <w:rPr>
          <w:sz w:val="24"/>
          <w:szCs w:val="24"/>
          <w:lang w:val="et-EE"/>
        </w:rPr>
        <w:t>2023. aasta eelarveprojekti III töödokument, lk 24.</w:t>
      </w:r>
    </w:p>
  </w:footnote>
  <w:footnote w:id="410">
    <w:p w14:paraId="10117B7C" w14:textId="77777777" w:rsidR="00ED1222" w:rsidRPr="005F2094" w:rsidRDefault="00ED1222" w:rsidP="00ED1222">
      <w:pPr>
        <w:pStyle w:val="FootnoteText"/>
        <w:ind w:left="567" w:hanging="567"/>
        <w:rPr>
          <w:sz w:val="24"/>
          <w:szCs w:val="24"/>
          <w:lang w:val="et-EE"/>
        </w:rPr>
      </w:pPr>
      <w:r w:rsidRPr="005F2094">
        <w:rPr>
          <w:rStyle w:val="FootnoteReference"/>
          <w:rFonts w:eastAsia="Yu Gothic Light"/>
          <w:sz w:val="24"/>
          <w:szCs w:val="24"/>
        </w:rPr>
        <w:footnoteRef/>
      </w:r>
      <w:r w:rsidRPr="005F2094">
        <w:rPr>
          <w:sz w:val="24"/>
          <w:szCs w:val="24"/>
          <w:lang w:val="et-EE"/>
        </w:rPr>
        <w:tab/>
      </w:r>
      <w:r w:rsidRPr="005F2094">
        <w:rPr>
          <w:sz w:val="24"/>
          <w:szCs w:val="24"/>
          <w:lang w:val="et-EE"/>
        </w:rPr>
        <w:t>2023. aasta eelarveprojekti III töödokument, lk 26.</w:t>
      </w:r>
    </w:p>
  </w:footnote>
  <w:footnote w:id="411">
    <w:p w14:paraId="09BB0F81" w14:textId="77777777" w:rsidR="00ED1222" w:rsidRPr="005F2094" w:rsidRDefault="00ED1222" w:rsidP="00ED1222">
      <w:pPr>
        <w:pStyle w:val="FootnoteText"/>
        <w:ind w:left="567" w:hanging="567"/>
        <w:rPr>
          <w:sz w:val="24"/>
          <w:szCs w:val="24"/>
          <w:lang w:val="et-EE"/>
        </w:rPr>
      </w:pPr>
      <w:r w:rsidRPr="005F2094">
        <w:rPr>
          <w:rStyle w:val="FootnoteReference"/>
          <w:rFonts w:eastAsia="Yu Gothic Light"/>
          <w:sz w:val="24"/>
          <w:szCs w:val="24"/>
        </w:rPr>
        <w:footnoteRef/>
      </w:r>
      <w:r w:rsidRPr="005F2094">
        <w:rPr>
          <w:sz w:val="24"/>
          <w:szCs w:val="24"/>
          <w:lang w:val="et-EE"/>
        </w:rPr>
        <w:tab/>
      </w:r>
      <w:r w:rsidRPr="005F2094">
        <w:rPr>
          <w:sz w:val="24"/>
          <w:szCs w:val="24"/>
          <w:lang w:val="et-EE"/>
        </w:rPr>
        <w:t>2023. aasta eelarveprojekti III töödokument, lk 21.</w:t>
      </w:r>
    </w:p>
  </w:footnote>
  <w:footnote w:id="412">
    <w:p w14:paraId="684E77F7" w14:textId="77777777" w:rsidR="00ED1222" w:rsidRPr="005F2094" w:rsidRDefault="00ED1222" w:rsidP="00ED1222">
      <w:pPr>
        <w:pStyle w:val="FootnoteText"/>
        <w:ind w:left="567" w:hanging="567"/>
        <w:rPr>
          <w:sz w:val="24"/>
          <w:szCs w:val="24"/>
          <w:lang w:val="et-EE"/>
        </w:rPr>
      </w:pPr>
      <w:r w:rsidRPr="005F2094">
        <w:rPr>
          <w:rStyle w:val="FootnoteReference"/>
          <w:rFonts w:eastAsia="Yu Gothic Light"/>
          <w:sz w:val="24"/>
          <w:szCs w:val="24"/>
        </w:rPr>
        <w:footnoteRef/>
      </w:r>
      <w:r w:rsidRPr="005F2094">
        <w:rPr>
          <w:sz w:val="24"/>
          <w:szCs w:val="24"/>
          <w:lang w:val="et-EE"/>
        </w:rPr>
        <w:tab/>
      </w:r>
      <w:r w:rsidRPr="005F2094">
        <w:rPr>
          <w:sz w:val="24"/>
          <w:szCs w:val="24"/>
          <w:lang w:val="et-EE"/>
        </w:rPr>
        <w:t>Eelarvekontrollikomisjoni 4. detsembri 2023. aasta koosolek.</w:t>
      </w:r>
    </w:p>
  </w:footnote>
  <w:footnote w:id="413">
    <w:p w14:paraId="255D3019" w14:textId="77777777" w:rsidR="00ED1222" w:rsidRPr="005F2094" w:rsidRDefault="00ED1222" w:rsidP="00ED1222">
      <w:pPr>
        <w:pStyle w:val="FootnoteText"/>
        <w:ind w:left="567" w:hanging="567"/>
        <w:rPr>
          <w:sz w:val="24"/>
          <w:szCs w:val="24"/>
          <w:lang w:val="et-EE"/>
        </w:rPr>
      </w:pPr>
      <w:r w:rsidRPr="005F2094">
        <w:rPr>
          <w:rStyle w:val="FootnoteReference"/>
          <w:rFonts w:eastAsia="Yu Gothic Light"/>
          <w:sz w:val="24"/>
          <w:szCs w:val="24"/>
        </w:rPr>
        <w:footnoteRef/>
      </w:r>
      <w:r w:rsidRPr="005F2094">
        <w:rPr>
          <w:sz w:val="24"/>
          <w:szCs w:val="24"/>
          <w:lang w:val="et-EE"/>
        </w:rPr>
        <w:tab/>
      </w:r>
      <w:r w:rsidRPr="005F2094">
        <w:rPr>
          <w:sz w:val="24"/>
          <w:szCs w:val="24"/>
          <w:lang w:val="et-EE"/>
        </w:rPr>
        <w:t>2022. aastal katseprojektina kasutusele võetud uus eelarve-, raamatupidamis- ja finantssüsteem.</w:t>
      </w:r>
    </w:p>
  </w:footnote>
  <w:footnote w:id="414">
    <w:p w14:paraId="030B021B" w14:textId="77777777" w:rsidR="00ED1222" w:rsidRPr="005F2094" w:rsidRDefault="00ED1222" w:rsidP="00ED1222">
      <w:pPr>
        <w:pStyle w:val="FootnoteText"/>
        <w:ind w:left="567" w:hanging="567"/>
        <w:rPr>
          <w:sz w:val="24"/>
          <w:szCs w:val="24"/>
          <w:lang w:val="et-EE"/>
        </w:rPr>
      </w:pPr>
      <w:r w:rsidRPr="005F2094">
        <w:rPr>
          <w:rStyle w:val="FootnoteReference"/>
          <w:rFonts w:eastAsia="Yu Gothic Light"/>
          <w:sz w:val="24"/>
          <w:szCs w:val="24"/>
        </w:rPr>
        <w:footnoteRef/>
      </w:r>
      <w:r w:rsidRPr="005F2094">
        <w:rPr>
          <w:sz w:val="24"/>
          <w:szCs w:val="24"/>
          <w:lang w:val="et-EE"/>
        </w:rPr>
        <w:tab/>
      </w:r>
      <w:r w:rsidRPr="005F2094">
        <w:rPr>
          <w:sz w:val="24"/>
          <w:szCs w:val="24"/>
          <w:lang w:val="et-EE"/>
        </w:rPr>
        <w:t xml:space="preserve">UniSystems Luxembourg ja </w:t>
      </w:r>
      <w:proofErr w:type="spellStart"/>
      <w:r w:rsidRPr="005F2094">
        <w:rPr>
          <w:sz w:val="24"/>
          <w:szCs w:val="24"/>
          <w:lang w:val="et-EE"/>
        </w:rPr>
        <w:t>Unisystems</w:t>
      </w:r>
      <w:proofErr w:type="spellEnd"/>
      <w:r w:rsidRPr="005F2094">
        <w:rPr>
          <w:sz w:val="24"/>
          <w:szCs w:val="24"/>
          <w:lang w:val="et-EE"/>
        </w:rPr>
        <w:t xml:space="preserve"> </w:t>
      </w:r>
      <w:proofErr w:type="spellStart"/>
      <w:r w:rsidRPr="005F2094">
        <w:rPr>
          <w:sz w:val="24"/>
          <w:szCs w:val="24"/>
          <w:lang w:val="et-EE"/>
        </w:rPr>
        <w:t>systimata</w:t>
      </w:r>
      <w:proofErr w:type="spellEnd"/>
      <w:r w:rsidRPr="005F2094">
        <w:rPr>
          <w:sz w:val="24"/>
          <w:szCs w:val="24"/>
          <w:lang w:val="et-EE"/>
        </w:rPr>
        <w:t xml:space="preserve"> </w:t>
      </w:r>
      <w:proofErr w:type="spellStart"/>
      <w:r w:rsidRPr="005F2094">
        <w:rPr>
          <w:sz w:val="24"/>
          <w:szCs w:val="24"/>
          <w:lang w:val="et-EE"/>
        </w:rPr>
        <w:t>pliroforikis</w:t>
      </w:r>
      <w:proofErr w:type="spellEnd"/>
      <w:r w:rsidRPr="005F2094">
        <w:rPr>
          <w:i/>
          <w:iCs/>
          <w:sz w:val="24"/>
          <w:szCs w:val="24"/>
          <w:lang w:val="et-EE"/>
        </w:rPr>
        <w:t xml:space="preserve"> vs.</w:t>
      </w:r>
      <w:r w:rsidRPr="005F2094">
        <w:rPr>
          <w:sz w:val="24"/>
          <w:szCs w:val="24"/>
          <w:lang w:val="et-EE"/>
        </w:rPr>
        <w:t xml:space="preserve"> ESMA – kohtuasi T-750/22.</w:t>
      </w:r>
    </w:p>
  </w:footnote>
  <w:footnote w:id="415">
    <w:p w14:paraId="585C832C" w14:textId="77777777" w:rsidR="00ED1222" w:rsidRPr="005F2094" w:rsidRDefault="00ED1222" w:rsidP="00ED1222">
      <w:pPr>
        <w:pStyle w:val="FootnoteText"/>
        <w:ind w:left="567" w:hanging="567"/>
        <w:rPr>
          <w:sz w:val="24"/>
          <w:szCs w:val="24"/>
          <w:lang w:val="et-EE"/>
        </w:rPr>
      </w:pPr>
      <w:r w:rsidRPr="005F2094">
        <w:rPr>
          <w:rStyle w:val="FootnoteReference"/>
          <w:rFonts w:eastAsia="Yu Gothic Light"/>
          <w:sz w:val="24"/>
          <w:szCs w:val="24"/>
        </w:rPr>
        <w:footnoteRef/>
      </w:r>
      <w:r w:rsidRPr="005F2094">
        <w:rPr>
          <w:sz w:val="24"/>
          <w:szCs w:val="24"/>
          <w:lang w:val="et-EE"/>
        </w:rPr>
        <w:tab/>
      </w:r>
      <w:r w:rsidRPr="005F2094">
        <w:rPr>
          <w:sz w:val="24"/>
          <w:szCs w:val="24"/>
          <w:lang w:val="et-EE"/>
        </w:rPr>
        <w:t>EBA raamatupidamise aastaaruanne, lk 26, ja kontrollikoda ESMA kohta lk 139.</w:t>
      </w:r>
    </w:p>
  </w:footnote>
  <w:footnote w:id="416">
    <w:p w14:paraId="7021261F" w14:textId="77777777" w:rsidR="00ED1222" w:rsidRPr="005F2094" w:rsidRDefault="00ED1222" w:rsidP="00ED1222">
      <w:pPr>
        <w:pStyle w:val="FootnoteText"/>
        <w:ind w:left="567" w:hanging="567"/>
        <w:rPr>
          <w:sz w:val="24"/>
          <w:szCs w:val="24"/>
          <w:lang w:val="et-EE"/>
        </w:rPr>
      </w:pPr>
      <w:r w:rsidRPr="005F2094">
        <w:rPr>
          <w:rStyle w:val="FootnoteReference"/>
          <w:rFonts w:eastAsia="Yu Gothic Light"/>
          <w:sz w:val="24"/>
          <w:szCs w:val="24"/>
        </w:rPr>
        <w:footnoteRef/>
      </w:r>
      <w:r w:rsidRPr="005F2094">
        <w:rPr>
          <w:sz w:val="24"/>
          <w:szCs w:val="24"/>
          <w:lang w:val="et-EE"/>
        </w:rPr>
        <w:tab/>
      </w:r>
      <w:proofErr w:type="spellStart"/>
      <w:r w:rsidRPr="005F2094">
        <w:rPr>
          <w:sz w:val="24"/>
          <w:szCs w:val="24"/>
          <w:lang w:val="et-EE"/>
        </w:rPr>
        <w:t>eu</w:t>
      </w:r>
      <w:proofErr w:type="spellEnd"/>
      <w:r w:rsidRPr="005F2094">
        <w:rPr>
          <w:sz w:val="24"/>
          <w:szCs w:val="24"/>
          <w:lang w:val="et-EE"/>
        </w:rPr>
        <w:t>-LISA raamatupidamise aastaaruanne, lk 25.</w:t>
      </w:r>
    </w:p>
  </w:footnote>
  <w:footnote w:id="417">
    <w:p w14:paraId="42C05CC3" w14:textId="77777777" w:rsidR="00ED1222" w:rsidRPr="005F2094" w:rsidRDefault="00ED1222" w:rsidP="00ED1222">
      <w:pPr>
        <w:pStyle w:val="FootnoteText"/>
        <w:ind w:left="567" w:hanging="567"/>
        <w:rPr>
          <w:sz w:val="24"/>
          <w:szCs w:val="24"/>
          <w:lang w:val="et-EE"/>
        </w:rPr>
      </w:pPr>
      <w:r w:rsidRPr="005F2094">
        <w:rPr>
          <w:rStyle w:val="FootnoteReference"/>
          <w:rFonts w:eastAsia="Yu Gothic Light"/>
          <w:sz w:val="24"/>
          <w:szCs w:val="24"/>
        </w:rPr>
        <w:footnoteRef/>
      </w:r>
      <w:r w:rsidRPr="005F2094">
        <w:rPr>
          <w:sz w:val="24"/>
          <w:szCs w:val="24"/>
          <w:lang w:val="et-EE"/>
        </w:rPr>
        <w:tab/>
      </w:r>
      <w:proofErr w:type="spellStart"/>
      <w:r w:rsidRPr="005F2094">
        <w:rPr>
          <w:sz w:val="24"/>
          <w:szCs w:val="24"/>
          <w:lang w:val="et-EE"/>
        </w:rPr>
        <w:t>Frontexi</w:t>
      </w:r>
      <w:proofErr w:type="spellEnd"/>
      <w:r w:rsidRPr="005F2094">
        <w:rPr>
          <w:sz w:val="24"/>
          <w:szCs w:val="24"/>
          <w:lang w:val="et-EE"/>
        </w:rPr>
        <w:t xml:space="preserve"> raamatupidamise aastaaruanne, lk 37.</w:t>
      </w:r>
    </w:p>
  </w:footnote>
  <w:footnote w:id="418">
    <w:p w14:paraId="68B37516" w14:textId="77777777" w:rsidR="00ED1222" w:rsidRPr="005F2094" w:rsidRDefault="00ED1222" w:rsidP="00ED1222">
      <w:pPr>
        <w:pStyle w:val="FootnoteText"/>
        <w:ind w:left="567" w:hanging="567"/>
        <w:rPr>
          <w:sz w:val="24"/>
          <w:szCs w:val="24"/>
          <w:lang w:val="et-EE"/>
        </w:rPr>
      </w:pPr>
      <w:r w:rsidRPr="005F2094">
        <w:rPr>
          <w:rStyle w:val="FootnoteReference"/>
          <w:rFonts w:eastAsia="Yu Gothic Light"/>
          <w:sz w:val="24"/>
          <w:szCs w:val="24"/>
        </w:rPr>
        <w:footnoteRef/>
      </w:r>
      <w:r w:rsidRPr="005F2094">
        <w:rPr>
          <w:sz w:val="24"/>
          <w:szCs w:val="24"/>
          <w:lang w:val="et-EE"/>
        </w:rPr>
        <w:tab/>
      </w:r>
      <w:hyperlink r:id="rId406" w:history="1">
        <w:r w:rsidRPr="005F2094">
          <w:rPr>
            <w:rStyle w:val="Hyperlink"/>
            <w:sz w:val="24"/>
            <w:szCs w:val="24"/>
            <w:lang w:val="et-EE"/>
          </w:rPr>
          <w:t>Tegevuskava</w:t>
        </w:r>
      </w:hyperlink>
      <w:r w:rsidRPr="005F2094">
        <w:rPr>
          <w:sz w:val="24"/>
          <w:szCs w:val="24"/>
          <w:lang w:val="et-EE"/>
        </w:rPr>
        <w:t xml:space="preserve"> ELi detsentraliseeritud asutusi käsitleva ühise lähenemisviisi järelmeetmete kohta: </w:t>
      </w:r>
      <w:hyperlink r:id="rId407" w:history="1">
        <w:r w:rsidRPr="005F2094">
          <w:rPr>
            <w:rStyle w:val="Hyperlink"/>
            <w:sz w:val="24"/>
            <w:szCs w:val="24"/>
            <w:lang w:val="et-EE"/>
          </w:rPr>
          <w:t xml:space="preserve">5-AB-12-13_Roadmap on </w:t>
        </w:r>
        <w:proofErr w:type="spellStart"/>
        <w:r w:rsidRPr="005F2094">
          <w:rPr>
            <w:rStyle w:val="Hyperlink"/>
            <w:sz w:val="24"/>
            <w:szCs w:val="24"/>
            <w:lang w:val="et-EE"/>
          </w:rPr>
          <w:t>the</w:t>
        </w:r>
        <w:proofErr w:type="spellEnd"/>
        <w:r w:rsidRPr="005F2094">
          <w:rPr>
            <w:rStyle w:val="Hyperlink"/>
            <w:sz w:val="24"/>
            <w:szCs w:val="24"/>
            <w:lang w:val="et-EE"/>
          </w:rPr>
          <w:t xml:space="preserve"> </w:t>
        </w:r>
        <w:proofErr w:type="spellStart"/>
        <w:r w:rsidRPr="005F2094">
          <w:rPr>
            <w:rStyle w:val="Hyperlink"/>
            <w:sz w:val="24"/>
            <w:szCs w:val="24"/>
            <w:lang w:val="et-EE"/>
          </w:rPr>
          <w:t>follow</w:t>
        </w:r>
        <w:proofErr w:type="spellEnd"/>
        <w:r w:rsidRPr="005F2094">
          <w:rPr>
            <w:rStyle w:val="Hyperlink"/>
            <w:sz w:val="24"/>
            <w:szCs w:val="24"/>
            <w:lang w:val="et-EE"/>
          </w:rPr>
          <w:t xml:space="preserve"> </w:t>
        </w:r>
        <w:proofErr w:type="spellStart"/>
        <w:r w:rsidRPr="005F2094">
          <w:rPr>
            <w:rStyle w:val="Hyperlink"/>
            <w:sz w:val="24"/>
            <w:szCs w:val="24"/>
            <w:lang w:val="et-EE"/>
          </w:rPr>
          <w:t>up</w:t>
        </w:r>
        <w:proofErr w:type="spellEnd"/>
        <w:r w:rsidRPr="005F2094">
          <w:rPr>
            <w:rStyle w:val="Hyperlink"/>
            <w:sz w:val="24"/>
            <w:szCs w:val="24"/>
            <w:lang w:val="et-EE"/>
          </w:rPr>
          <w:t xml:space="preserve"> </w:t>
        </w:r>
        <w:proofErr w:type="spellStart"/>
        <w:r w:rsidRPr="005F2094">
          <w:rPr>
            <w:rStyle w:val="Hyperlink"/>
            <w:sz w:val="24"/>
            <w:szCs w:val="24"/>
            <w:lang w:val="et-EE"/>
          </w:rPr>
          <w:t>to</w:t>
        </w:r>
        <w:proofErr w:type="spellEnd"/>
        <w:r w:rsidRPr="005F2094">
          <w:rPr>
            <w:rStyle w:val="Hyperlink"/>
            <w:sz w:val="24"/>
            <w:szCs w:val="24"/>
            <w:lang w:val="et-EE"/>
          </w:rPr>
          <w:t xml:space="preserve"> </w:t>
        </w:r>
        <w:proofErr w:type="spellStart"/>
        <w:r w:rsidRPr="005F2094">
          <w:rPr>
            <w:rStyle w:val="Hyperlink"/>
            <w:sz w:val="24"/>
            <w:szCs w:val="24"/>
            <w:lang w:val="et-EE"/>
          </w:rPr>
          <w:t>the</w:t>
        </w:r>
        <w:proofErr w:type="spellEnd"/>
        <w:r w:rsidRPr="005F2094">
          <w:rPr>
            <w:rStyle w:val="Hyperlink"/>
            <w:sz w:val="24"/>
            <w:szCs w:val="24"/>
            <w:lang w:val="et-EE"/>
          </w:rPr>
          <w:t xml:space="preserve"> </w:t>
        </w:r>
        <w:proofErr w:type="spellStart"/>
        <w:r w:rsidRPr="005F2094">
          <w:rPr>
            <w:rStyle w:val="Hyperlink"/>
            <w:sz w:val="24"/>
            <w:szCs w:val="24"/>
            <w:lang w:val="et-EE"/>
          </w:rPr>
          <w:t>Common</w:t>
        </w:r>
        <w:proofErr w:type="spellEnd"/>
        <w:r w:rsidRPr="005F2094">
          <w:rPr>
            <w:rStyle w:val="Hyperlink"/>
            <w:sz w:val="24"/>
            <w:szCs w:val="24"/>
            <w:lang w:val="et-EE"/>
          </w:rPr>
          <w:t xml:space="preserve"> </w:t>
        </w:r>
        <w:proofErr w:type="spellStart"/>
        <w:r w:rsidRPr="005F2094">
          <w:rPr>
            <w:rStyle w:val="Hyperlink"/>
            <w:sz w:val="24"/>
            <w:szCs w:val="24"/>
            <w:lang w:val="et-EE"/>
          </w:rPr>
          <w:t>Approach</w:t>
        </w:r>
        <w:proofErr w:type="spellEnd"/>
        <w:r w:rsidRPr="005F2094">
          <w:rPr>
            <w:rStyle w:val="Hyperlink"/>
            <w:sz w:val="24"/>
            <w:szCs w:val="24"/>
            <w:lang w:val="et-EE"/>
          </w:rPr>
          <w:t xml:space="preserve"> on EU </w:t>
        </w:r>
        <w:proofErr w:type="spellStart"/>
        <w:r w:rsidRPr="005F2094">
          <w:rPr>
            <w:rStyle w:val="Hyperlink"/>
            <w:sz w:val="24"/>
            <w:szCs w:val="24"/>
            <w:lang w:val="et-EE"/>
          </w:rPr>
          <w:t>Decentralised</w:t>
        </w:r>
        <w:proofErr w:type="spellEnd"/>
        <w:r w:rsidRPr="005F2094">
          <w:rPr>
            <w:rStyle w:val="Hyperlink"/>
            <w:sz w:val="24"/>
            <w:szCs w:val="24"/>
            <w:lang w:val="et-EE"/>
          </w:rPr>
          <w:t xml:space="preserve"> Agencies.pdf</w:t>
        </w:r>
      </w:hyperlink>
      <w:r w:rsidRPr="005F2094">
        <w:rPr>
          <w:sz w:val="24"/>
          <w:szCs w:val="24"/>
          <w:lang w:val="et-EE"/>
        </w:rPr>
        <w:t>.</w:t>
      </w:r>
    </w:p>
  </w:footnote>
  <w:footnote w:id="419">
    <w:p w14:paraId="479FBB70" w14:textId="77777777" w:rsidR="00ED1222" w:rsidRPr="005F2094" w:rsidRDefault="00ED1222" w:rsidP="00ED1222">
      <w:pPr>
        <w:pStyle w:val="FootnoteText"/>
        <w:ind w:left="567" w:hanging="567"/>
        <w:rPr>
          <w:sz w:val="24"/>
          <w:szCs w:val="24"/>
          <w:lang w:val="et-EE"/>
        </w:rPr>
      </w:pPr>
      <w:r w:rsidRPr="005F2094">
        <w:rPr>
          <w:rStyle w:val="FootnoteReference"/>
          <w:rFonts w:eastAsia="Yu Gothic Light"/>
          <w:sz w:val="24"/>
          <w:szCs w:val="24"/>
        </w:rPr>
        <w:footnoteRef/>
      </w:r>
      <w:r w:rsidRPr="005F2094">
        <w:rPr>
          <w:sz w:val="24"/>
          <w:szCs w:val="24"/>
          <w:lang w:val="et-EE"/>
        </w:rPr>
        <w:tab/>
      </w:r>
      <w:r w:rsidRPr="005F2094">
        <w:rPr>
          <w:sz w:val="24"/>
          <w:szCs w:val="24"/>
          <w:lang w:val="et-EE"/>
        </w:rPr>
        <w:t>Euroopa Komisjon, komisjoni talituste töödokument, „</w:t>
      </w:r>
      <w:proofErr w:type="spellStart"/>
      <w:r w:rsidRPr="005F2094">
        <w:rPr>
          <w:sz w:val="24"/>
          <w:szCs w:val="24"/>
          <w:lang w:val="et-EE"/>
        </w:rPr>
        <w:t>Guidelines</w:t>
      </w:r>
      <w:proofErr w:type="spellEnd"/>
      <w:r w:rsidRPr="005F2094">
        <w:rPr>
          <w:sz w:val="24"/>
          <w:szCs w:val="24"/>
          <w:lang w:val="et-EE"/>
        </w:rPr>
        <w:t xml:space="preserve"> on </w:t>
      </w:r>
      <w:proofErr w:type="spellStart"/>
      <w:r w:rsidRPr="005F2094">
        <w:rPr>
          <w:sz w:val="24"/>
          <w:szCs w:val="24"/>
          <w:lang w:val="et-EE"/>
        </w:rPr>
        <w:t>key</w:t>
      </w:r>
      <w:proofErr w:type="spellEnd"/>
      <w:r w:rsidRPr="005F2094">
        <w:rPr>
          <w:sz w:val="24"/>
          <w:szCs w:val="24"/>
          <w:lang w:val="et-EE"/>
        </w:rPr>
        <w:t xml:space="preserve"> </w:t>
      </w:r>
      <w:proofErr w:type="spellStart"/>
      <w:r w:rsidRPr="005F2094">
        <w:rPr>
          <w:sz w:val="24"/>
          <w:szCs w:val="24"/>
          <w:lang w:val="et-EE"/>
        </w:rPr>
        <w:t>performance</w:t>
      </w:r>
      <w:proofErr w:type="spellEnd"/>
      <w:r w:rsidRPr="005F2094">
        <w:rPr>
          <w:sz w:val="24"/>
          <w:szCs w:val="24"/>
          <w:lang w:val="et-EE"/>
        </w:rPr>
        <w:t xml:space="preserve"> </w:t>
      </w:r>
      <w:proofErr w:type="spellStart"/>
      <w:r w:rsidRPr="005F2094">
        <w:rPr>
          <w:sz w:val="24"/>
          <w:szCs w:val="24"/>
          <w:lang w:val="et-EE"/>
        </w:rPr>
        <w:t>indicators</w:t>
      </w:r>
      <w:proofErr w:type="spellEnd"/>
      <w:r w:rsidRPr="005F2094">
        <w:rPr>
          <w:sz w:val="24"/>
          <w:szCs w:val="24"/>
          <w:lang w:val="et-EE"/>
        </w:rPr>
        <w:t xml:space="preserve"> (KPI) </w:t>
      </w:r>
      <w:proofErr w:type="spellStart"/>
      <w:r w:rsidRPr="005F2094">
        <w:rPr>
          <w:sz w:val="24"/>
          <w:szCs w:val="24"/>
          <w:lang w:val="et-EE"/>
        </w:rPr>
        <w:t>for</w:t>
      </w:r>
      <w:proofErr w:type="spellEnd"/>
      <w:r w:rsidRPr="005F2094">
        <w:rPr>
          <w:sz w:val="24"/>
          <w:szCs w:val="24"/>
          <w:lang w:val="et-EE"/>
        </w:rPr>
        <w:t xml:space="preserve"> </w:t>
      </w:r>
      <w:proofErr w:type="spellStart"/>
      <w:r w:rsidRPr="005F2094">
        <w:rPr>
          <w:sz w:val="24"/>
          <w:szCs w:val="24"/>
          <w:lang w:val="et-EE"/>
        </w:rPr>
        <w:t>directors</w:t>
      </w:r>
      <w:proofErr w:type="spellEnd"/>
      <w:r w:rsidRPr="005F2094">
        <w:rPr>
          <w:sz w:val="24"/>
          <w:szCs w:val="24"/>
          <w:lang w:val="et-EE"/>
        </w:rPr>
        <w:t xml:space="preserve"> of EU </w:t>
      </w:r>
      <w:proofErr w:type="spellStart"/>
      <w:r w:rsidRPr="005F2094">
        <w:rPr>
          <w:sz w:val="24"/>
          <w:szCs w:val="24"/>
          <w:lang w:val="et-EE"/>
        </w:rPr>
        <w:t>decentralised</w:t>
      </w:r>
      <w:proofErr w:type="spellEnd"/>
      <w:r w:rsidRPr="005F2094">
        <w:rPr>
          <w:sz w:val="24"/>
          <w:szCs w:val="24"/>
          <w:lang w:val="et-EE"/>
        </w:rPr>
        <w:t xml:space="preserve"> </w:t>
      </w:r>
      <w:proofErr w:type="spellStart"/>
      <w:r w:rsidRPr="005F2094">
        <w:rPr>
          <w:sz w:val="24"/>
          <w:szCs w:val="24"/>
          <w:lang w:val="et-EE"/>
        </w:rPr>
        <w:t>agencies</w:t>
      </w:r>
      <w:proofErr w:type="spellEnd"/>
      <w:r w:rsidRPr="005F2094">
        <w:rPr>
          <w:sz w:val="24"/>
          <w:szCs w:val="24"/>
          <w:lang w:val="et-EE"/>
        </w:rPr>
        <w:t xml:space="preserve">“ (Suunised ELi detsentraliseeritud asutuste juhtidele tulemuslikkuse põhinäitajate kohta), 13. märts 2015, lk 3: </w:t>
      </w:r>
      <w:hyperlink r:id="rId408" w:history="1">
        <w:r w:rsidRPr="005F2094">
          <w:rPr>
            <w:rStyle w:val="Hyperlink"/>
            <w:sz w:val="24"/>
            <w:szCs w:val="24"/>
            <w:lang w:val="et-EE"/>
          </w:rPr>
          <w:t>https://www.eumonitor.eu/9353000/1/j9vvik7m1c3gyxp/vjx64xley4zd</w:t>
        </w:r>
      </w:hyperlink>
      <w:r w:rsidRPr="005F2094">
        <w:rPr>
          <w:sz w:val="24"/>
          <w:szCs w:val="24"/>
          <w:lang w:val="et-EE"/>
        </w:rPr>
        <w:t>.</w:t>
      </w:r>
    </w:p>
  </w:footnote>
  <w:footnote w:id="420">
    <w:p w14:paraId="55E6877C" w14:textId="77777777" w:rsidR="00ED1222" w:rsidRPr="005F2094" w:rsidRDefault="00ED1222" w:rsidP="00ED1222">
      <w:pPr>
        <w:pStyle w:val="FootnoteText"/>
        <w:ind w:left="567" w:hanging="567"/>
        <w:rPr>
          <w:sz w:val="24"/>
          <w:szCs w:val="24"/>
          <w:lang w:val="et-EE"/>
        </w:rPr>
      </w:pPr>
      <w:r w:rsidRPr="005F2094">
        <w:rPr>
          <w:rStyle w:val="FootnoteReference"/>
          <w:rFonts w:eastAsia="Yu Gothic Light"/>
          <w:sz w:val="24"/>
          <w:szCs w:val="24"/>
        </w:rPr>
        <w:footnoteRef/>
      </w:r>
      <w:r w:rsidRPr="005F2094">
        <w:rPr>
          <w:sz w:val="24"/>
          <w:szCs w:val="24"/>
          <w:lang w:val="et-EE"/>
        </w:rPr>
        <w:tab/>
      </w:r>
      <w:r w:rsidRPr="005F2094">
        <w:rPr>
          <w:sz w:val="24"/>
          <w:szCs w:val="24"/>
          <w:lang w:val="et-EE"/>
        </w:rPr>
        <w:t xml:space="preserve">Euroopa Kontrollikoja eriaruanne nr 22/2020 „ELi asutuste tulevik – võimalus suuremaks paindlikkuseks ja koostööks“: </w:t>
      </w:r>
      <w:hyperlink r:id="rId409" w:history="1">
        <w:r w:rsidRPr="005F2094">
          <w:rPr>
            <w:rStyle w:val="Hyperlink"/>
            <w:sz w:val="24"/>
            <w:szCs w:val="24"/>
            <w:lang w:val="et-EE"/>
          </w:rPr>
          <w:t>https://www.eca.europa.eu/Lists/ECADocuments/SR20_22/SR_Future_of_EU_Agencies_EN.pdf</w:t>
        </w:r>
      </w:hyperlink>
      <w:r w:rsidRPr="005F2094">
        <w:rPr>
          <w:sz w:val="24"/>
          <w:szCs w:val="24"/>
          <w:lang w:val="et-EE"/>
        </w:rPr>
        <w:t>.</w:t>
      </w:r>
    </w:p>
  </w:footnote>
  <w:footnote w:id="421">
    <w:p w14:paraId="07E88B0C" w14:textId="77777777"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ab/>
      </w:r>
      <w:r w:rsidRPr="005F2094">
        <w:rPr>
          <w:sz w:val="24"/>
          <w:szCs w:val="24"/>
          <w:lang w:val="et-EE" w:eastAsia="en-GB"/>
        </w:rPr>
        <w:t xml:space="preserve">Euroopa Parlamendi ja nõukogu 22. novembri 2023. aasta määrus (EL) 2023/2842, millega muudetakse nõukogu määrust (EÜ) nr 1224/2009, nõukogu määruseid (EÜ) nr 1967/2006 ja (EÜ) nr 1005/2008 ning Euroopa Parlamendi ja nõukogu määruseid (EL) 2016/1139, (EL) 2017/2403 ja (EL) 2019/473 kalanduskontrolli osas (ELT L, 2023/2842, 20.12.2023, ELI: </w:t>
      </w:r>
      <w:hyperlink r:id="rId410" w:history="1">
        <w:r w:rsidRPr="005F2094">
          <w:rPr>
            <w:rStyle w:val="Hyperlink"/>
            <w:sz w:val="24"/>
            <w:szCs w:val="24"/>
            <w:lang w:val="et-EE"/>
          </w:rPr>
          <w:t>http://data.europa.eu/eli/reg/2023/2842/oj</w:t>
        </w:r>
      </w:hyperlink>
      <w:r w:rsidRPr="005F2094">
        <w:rPr>
          <w:sz w:val="24"/>
          <w:szCs w:val="24"/>
          <w:lang w:val="et-EE" w:eastAsia="en-GB"/>
        </w:rPr>
        <w:t>).</w:t>
      </w:r>
    </w:p>
  </w:footnote>
  <w:footnote w:id="422">
    <w:p w14:paraId="7F2B0D84" w14:textId="77777777" w:rsidR="00ED1222" w:rsidRPr="005F2094" w:rsidRDefault="00ED1222" w:rsidP="00ED1222">
      <w:pPr>
        <w:pStyle w:val="FootnoteText"/>
        <w:ind w:left="567" w:hanging="567"/>
        <w:rPr>
          <w:rFonts w:eastAsia="Calibri"/>
          <w:sz w:val="24"/>
          <w:szCs w:val="24"/>
          <w:lang w:val="et-EE"/>
        </w:rPr>
      </w:pPr>
      <w:r w:rsidRPr="005F2094">
        <w:rPr>
          <w:rStyle w:val="FootnoteReference"/>
          <w:rFonts w:eastAsia="Yu Gothic Light"/>
          <w:sz w:val="24"/>
          <w:szCs w:val="24"/>
        </w:rPr>
        <w:footnoteRef/>
      </w:r>
      <w:r w:rsidRPr="005F2094">
        <w:rPr>
          <w:sz w:val="24"/>
          <w:szCs w:val="24"/>
          <w:lang w:val="et-EE"/>
        </w:rPr>
        <w:tab/>
      </w:r>
      <w:r w:rsidRPr="005F2094">
        <w:rPr>
          <w:sz w:val="24"/>
          <w:szCs w:val="24"/>
          <w:lang w:val="et-EE"/>
        </w:rPr>
        <w:t xml:space="preserve">Euroopa Parlamendi ja nõukogu 4. oktoobri 2023. aasta määrus (EL) 2023/2131, millega muudetakse Euroopa Parlamendi ja nõukogu määrust (EL) 2018/1727 ning nõukogu otsust 2005/671/JSK terrorismijuhtumeid käsitleva digitaalse teabevahetuse osas (ELT L, 2023/2131, 11.10.2023, ELI: </w:t>
      </w:r>
      <w:hyperlink r:id="rId411" w:tgtFrame="_blank" w:tooltip="Gives access to this document through its ELI URI." w:history="1">
        <w:r w:rsidRPr="005F2094">
          <w:rPr>
            <w:rStyle w:val="Hyperlink1"/>
            <w:sz w:val="24"/>
            <w:szCs w:val="24"/>
            <w:lang w:val="et-EE"/>
          </w:rPr>
          <w:t>http://data.europa.eu/eli/reg/2023/2131/oj</w:t>
        </w:r>
      </w:hyperlink>
      <w:r w:rsidRPr="005F2094">
        <w:rPr>
          <w:sz w:val="24"/>
          <w:szCs w:val="24"/>
          <w:lang w:val="et-EE"/>
        </w:rPr>
        <w:t>).</w:t>
      </w:r>
    </w:p>
  </w:footnote>
  <w:footnote w:id="423">
    <w:p w14:paraId="31B29011" w14:textId="77777777" w:rsidR="00ED1222" w:rsidRPr="005F2094" w:rsidRDefault="00ED1222" w:rsidP="00ED1222">
      <w:pPr>
        <w:pStyle w:val="FootnoteText"/>
        <w:ind w:left="567" w:hanging="567"/>
        <w:rPr>
          <w:sz w:val="24"/>
          <w:szCs w:val="24"/>
          <w:lang w:val="et-EE"/>
        </w:rPr>
      </w:pPr>
      <w:r w:rsidRPr="005F2094">
        <w:rPr>
          <w:rStyle w:val="FootnoteReference"/>
          <w:rFonts w:eastAsia="Yu Gothic Light"/>
          <w:sz w:val="24"/>
          <w:szCs w:val="24"/>
        </w:rPr>
        <w:footnoteRef/>
      </w:r>
      <w:r w:rsidRPr="005F2094">
        <w:rPr>
          <w:sz w:val="24"/>
          <w:szCs w:val="24"/>
          <w:lang w:val="et-EE"/>
        </w:rPr>
        <w:tab/>
      </w:r>
      <w:r w:rsidRPr="005F2094">
        <w:rPr>
          <w:sz w:val="24"/>
          <w:szCs w:val="24"/>
          <w:lang w:val="et-EE"/>
        </w:rPr>
        <w:t xml:space="preserve">Euroopa Parlamendi ja nõukogu 10. mai 2023. aasta määrus (EL) 2023/969, millega luuakse koostööplatvorm ühiste uurimisrühmade tegevuse toetuseks ja muudetakse määrust (EL) 2018/1726 (ELT L 132, 17.5.2023, lk 1, </w:t>
      </w:r>
      <w:r w:rsidRPr="005F2094">
        <w:rPr>
          <w:color w:val="333333"/>
          <w:sz w:val="24"/>
          <w:szCs w:val="24"/>
          <w:shd w:val="clear" w:color="auto" w:fill="FFFFFF"/>
          <w:lang w:val="et-EE"/>
        </w:rPr>
        <w:t xml:space="preserve">ELI: </w:t>
      </w:r>
      <w:hyperlink r:id="rId412" w:tooltip="Gives access to this document through its ELI URI." w:history="1">
        <w:r w:rsidRPr="005F2094">
          <w:rPr>
            <w:rStyle w:val="Hyperlink1"/>
            <w:color w:val="337AB7"/>
            <w:sz w:val="24"/>
            <w:szCs w:val="24"/>
            <w:shd w:val="clear" w:color="auto" w:fill="FFFFFF"/>
            <w:lang w:val="et-EE"/>
          </w:rPr>
          <w:t>http://data.europa.eu/eli/reg/2023/969/oj</w:t>
        </w:r>
      </w:hyperlink>
      <w:r w:rsidRPr="005F2094">
        <w:rPr>
          <w:sz w:val="24"/>
          <w:szCs w:val="24"/>
          <w:lang w:val="et-EE"/>
        </w:rPr>
        <w:t>).</w:t>
      </w:r>
    </w:p>
  </w:footnote>
  <w:footnote w:id="424">
    <w:p w14:paraId="2A4DB39E" w14:textId="77777777" w:rsidR="00ED1222" w:rsidRPr="005F2094" w:rsidRDefault="00ED1222" w:rsidP="00ED1222">
      <w:pPr>
        <w:pStyle w:val="FootnoteText"/>
        <w:ind w:left="567" w:hanging="567"/>
        <w:rPr>
          <w:sz w:val="24"/>
          <w:szCs w:val="24"/>
          <w:lang w:val="et-EE"/>
        </w:rPr>
      </w:pPr>
      <w:r w:rsidRPr="005F2094">
        <w:rPr>
          <w:rStyle w:val="FootnoteReference"/>
          <w:rFonts w:eastAsia="Yu Gothic Light"/>
          <w:sz w:val="24"/>
          <w:szCs w:val="24"/>
        </w:rPr>
        <w:footnoteRef/>
      </w:r>
      <w:r w:rsidRPr="005F2094">
        <w:rPr>
          <w:sz w:val="24"/>
          <w:szCs w:val="24"/>
          <w:lang w:val="et-EE"/>
        </w:rPr>
        <w:tab/>
      </w:r>
      <w:r w:rsidRPr="005F2094">
        <w:rPr>
          <w:sz w:val="24"/>
          <w:szCs w:val="24"/>
          <w:lang w:val="et-EE"/>
        </w:rPr>
        <w:t xml:space="preserve">Euroopa Parlamendi ja nõukogu 11. mai 2016. aasta määrus (EL) 2016/794, mis käsitleb Euroopa Liidu Õiguskaitsekoostöö Ametit (Europol) ning millega asendatakse ja tunnistatakse kehtetuks nõukogu otsused 2009/371/JSK, 2009/934/JSK, 2009/935/JSK, 2009/936/JSK ja 2009/968/JSK (ELT L 135, 24.5.2016, lk 53, </w:t>
      </w:r>
      <w:r w:rsidRPr="005F2094">
        <w:rPr>
          <w:color w:val="333333"/>
          <w:sz w:val="24"/>
          <w:szCs w:val="24"/>
          <w:shd w:val="clear" w:color="auto" w:fill="FFFFFF"/>
          <w:lang w:val="et-EE"/>
        </w:rPr>
        <w:t xml:space="preserve">ELI: </w:t>
      </w:r>
      <w:hyperlink r:id="rId413" w:tooltip="Gives access to this document through its ELI URI." w:history="1">
        <w:r w:rsidRPr="005F2094">
          <w:rPr>
            <w:rStyle w:val="Hyperlink1"/>
            <w:color w:val="337AB7"/>
            <w:sz w:val="24"/>
            <w:szCs w:val="24"/>
            <w:shd w:val="clear" w:color="auto" w:fill="FFFFFF"/>
            <w:lang w:val="et-EE"/>
          </w:rPr>
          <w:t>http://data.europa.eu/eli/reg/2016/794/oj</w:t>
        </w:r>
      </w:hyperlink>
      <w:r w:rsidRPr="005F2094">
        <w:rPr>
          <w:sz w:val="24"/>
          <w:szCs w:val="24"/>
          <w:lang w:val="et-EE"/>
        </w:rPr>
        <w:t>).</w:t>
      </w:r>
    </w:p>
  </w:footnote>
  <w:footnote w:id="425">
    <w:p w14:paraId="01F08D44" w14:textId="77777777" w:rsidR="00ED1222" w:rsidRPr="005F2094" w:rsidRDefault="00ED1222" w:rsidP="00ED1222">
      <w:pPr>
        <w:pStyle w:val="FootnoteText"/>
        <w:ind w:left="567" w:hanging="567"/>
        <w:rPr>
          <w:rStyle w:val="FootnoteReference"/>
          <w:rFonts w:eastAsia="Yu Gothic Light"/>
          <w:sz w:val="24"/>
          <w:szCs w:val="24"/>
          <w:lang w:val="fi-FI"/>
        </w:rPr>
      </w:pPr>
      <w:r w:rsidRPr="005F2094">
        <w:rPr>
          <w:rStyle w:val="FootnoteReference"/>
          <w:rFonts w:eastAsia="Yu Gothic Light"/>
          <w:sz w:val="24"/>
          <w:szCs w:val="24"/>
        </w:rPr>
        <w:footnoteRef/>
      </w:r>
      <w:r w:rsidRPr="005F2094">
        <w:rPr>
          <w:sz w:val="24"/>
          <w:szCs w:val="24"/>
          <w:lang w:val="et-EE"/>
        </w:rPr>
        <w:tab/>
      </w:r>
      <w:r w:rsidRPr="005F2094">
        <w:rPr>
          <w:sz w:val="24"/>
          <w:szCs w:val="24"/>
          <w:lang w:val="et-EE"/>
        </w:rPr>
        <w:t>Kontrollikoja aruanne, lk 37. Ainult tähelepanekud, mis viitavad asutustele, mis on osa käesolevast resolutsioonist.</w:t>
      </w:r>
    </w:p>
  </w:footnote>
  <w:footnote w:id="426">
    <w:p w14:paraId="04682D84" w14:textId="77777777" w:rsidR="00ED1222" w:rsidRPr="005F2094" w:rsidRDefault="00ED1222" w:rsidP="00ED1222">
      <w:pPr>
        <w:pStyle w:val="FootnoteText"/>
        <w:ind w:left="567" w:hanging="567"/>
        <w:rPr>
          <w:sz w:val="24"/>
          <w:szCs w:val="24"/>
          <w:lang w:val="et-EE"/>
        </w:rPr>
      </w:pPr>
      <w:r w:rsidRPr="005F2094">
        <w:rPr>
          <w:rStyle w:val="FootnoteReference"/>
          <w:rFonts w:eastAsia="Yu Gothic Light"/>
          <w:sz w:val="24"/>
          <w:szCs w:val="24"/>
        </w:rPr>
        <w:footnoteRef/>
      </w:r>
      <w:r w:rsidRPr="005F2094">
        <w:rPr>
          <w:sz w:val="24"/>
          <w:szCs w:val="24"/>
          <w:lang w:val="et-EE"/>
        </w:rPr>
        <w:tab/>
      </w:r>
      <w:r w:rsidRPr="005F2094">
        <w:rPr>
          <w:sz w:val="24"/>
          <w:szCs w:val="24"/>
          <w:lang w:val="et-EE"/>
        </w:rPr>
        <w:t xml:space="preserve">Varasemate aastate tähelepanekud, mis mõjutasid 2023. aasta makseid: EASA – 1,6 miljonit eurot; EIGE – 59 600 eurot; ELA – 1,32 miljonit eurot ja alus märkustega arvamuse esitamiseks; ETF – kaks tähelepanekut: 175 500 eurot ja 300 600 eurot; </w:t>
      </w:r>
      <w:proofErr w:type="spellStart"/>
      <w:r w:rsidRPr="005F2094">
        <w:rPr>
          <w:sz w:val="24"/>
          <w:szCs w:val="24"/>
          <w:lang w:val="et-EE"/>
        </w:rPr>
        <w:t>Eurojust</w:t>
      </w:r>
      <w:proofErr w:type="spellEnd"/>
      <w:r w:rsidRPr="005F2094">
        <w:rPr>
          <w:sz w:val="24"/>
          <w:szCs w:val="24"/>
          <w:lang w:val="et-EE"/>
        </w:rPr>
        <w:t xml:space="preserve"> – 59 300 eurot; EUAA – 123 800 eurot; </w:t>
      </w:r>
      <w:proofErr w:type="spellStart"/>
      <w:r w:rsidRPr="005F2094">
        <w:rPr>
          <w:sz w:val="24"/>
          <w:szCs w:val="24"/>
          <w:lang w:val="et-EE"/>
        </w:rPr>
        <w:t>eu</w:t>
      </w:r>
      <w:proofErr w:type="spellEnd"/>
      <w:r w:rsidRPr="005F2094">
        <w:rPr>
          <w:sz w:val="24"/>
          <w:szCs w:val="24"/>
          <w:lang w:val="et-EE"/>
        </w:rPr>
        <w:t xml:space="preserve">-LISA – kolm tähelepanekut: 7,7 miljonit eurot, 1,8 miljonit eurot ja 0,4 miljonit eurot ning alus märkustega arvamuse esitamiseks; CEPOL – 85 000 eurot; </w:t>
      </w:r>
      <w:proofErr w:type="spellStart"/>
      <w:r w:rsidRPr="005F2094">
        <w:rPr>
          <w:sz w:val="24"/>
          <w:szCs w:val="24"/>
          <w:lang w:val="et-EE"/>
        </w:rPr>
        <w:t>CdT</w:t>
      </w:r>
      <w:proofErr w:type="spellEnd"/>
      <w:r w:rsidRPr="005F2094">
        <w:rPr>
          <w:sz w:val="24"/>
          <w:szCs w:val="24"/>
          <w:lang w:val="et-EE"/>
        </w:rPr>
        <w:t xml:space="preserve"> – kaks tähelepanekut: 17 300 eurot ja 257 200 eurot.</w:t>
      </w:r>
    </w:p>
  </w:footnote>
  <w:footnote w:id="427">
    <w:p w14:paraId="2BA6E332" w14:textId="77777777" w:rsidR="00ED1222" w:rsidRPr="005F2094" w:rsidRDefault="00ED1222" w:rsidP="00ED1222">
      <w:pPr>
        <w:pStyle w:val="FootnoteText"/>
        <w:ind w:left="567" w:hanging="567"/>
        <w:rPr>
          <w:sz w:val="24"/>
          <w:szCs w:val="24"/>
          <w:lang w:val="et-EE"/>
        </w:rPr>
      </w:pPr>
      <w:r w:rsidRPr="005F2094">
        <w:rPr>
          <w:rStyle w:val="FootnoteReference"/>
          <w:rFonts w:eastAsia="Yu Gothic Light"/>
          <w:sz w:val="24"/>
          <w:szCs w:val="24"/>
        </w:rPr>
        <w:footnoteRef/>
      </w:r>
      <w:r w:rsidRPr="005F2094">
        <w:rPr>
          <w:sz w:val="24"/>
          <w:szCs w:val="24"/>
          <w:lang w:val="et-EE"/>
        </w:rPr>
        <w:tab/>
      </w:r>
      <w:r w:rsidRPr="005F2094">
        <w:rPr>
          <w:sz w:val="24"/>
          <w:szCs w:val="24"/>
          <w:lang w:val="et-EE"/>
        </w:rPr>
        <w:t>64 % mehi ja 36 % naisi (2022. aastal vastavalt 67 % ja 33 %); 54 % mehi ja 46 % naisi (2022. aastal vastavalt 54 % ja 46 %).</w:t>
      </w:r>
    </w:p>
  </w:footnote>
  <w:footnote w:id="428">
    <w:p w14:paraId="3C66AF26" w14:textId="77777777" w:rsidR="00ED1222" w:rsidRPr="005F2094" w:rsidRDefault="00ED1222" w:rsidP="00ED1222">
      <w:pPr>
        <w:pStyle w:val="FootnoteText"/>
        <w:ind w:left="567" w:hanging="567"/>
        <w:rPr>
          <w:sz w:val="24"/>
          <w:szCs w:val="24"/>
          <w:lang w:val="et-EE"/>
        </w:rPr>
      </w:pPr>
      <w:r w:rsidRPr="005F2094">
        <w:rPr>
          <w:rStyle w:val="FootnoteReference"/>
          <w:rFonts w:eastAsia="Yu Gothic Light"/>
          <w:sz w:val="24"/>
          <w:szCs w:val="24"/>
        </w:rPr>
        <w:footnoteRef/>
      </w:r>
      <w:r w:rsidRPr="005F2094">
        <w:rPr>
          <w:sz w:val="24"/>
          <w:szCs w:val="24"/>
          <w:lang w:val="et-EE"/>
        </w:rPr>
        <w:tab/>
      </w:r>
      <w:r w:rsidRPr="005F2094">
        <w:rPr>
          <w:sz w:val="24"/>
          <w:szCs w:val="24"/>
          <w:lang w:val="et-EE"/>
        </w:rPr>
        <w:t>58 % mehi ja 42 % naisi (2022. aastal vastavalt 60 % ja 40 %).</w:t>
      </w:r>
    </w:p>
  </w:footnote>
  <w:footnote w:id="429">
    <w:p w14:paraId="4A5A2606" w14:textId="77777777" w:rsidR="00ED1222" w:rsidRPr="005F2094" w:rsidRDefault="00ED1222" w:rsidP="00ED1222">
      <w:pPr>
        <w:pStyle w:val="FootnoteText"/>
        <w:ind w:left="567" w:hanging="567"/>
        <w:rPr>
          <w:sz w:val="24"/>
          <w:szCs w:val="24"/>
          <w:lang w:val="et-EE"/>
        </w:rPr>
      </w:pPr>
      <w:r w:rsidRPr="005F2094">
        <w:rPr>
          <w:rStyle w:val="FootnoteReference"/>
          <w:rFonts w:eastAsia="Yu Gothic Light"/>
          <w:sz w:val="24"/>
          <w:szCs w:val="24"/>
        </w:rPr>
        <w:footnoteRef/>
      </w:r>
      <w:r w:rsidRPr="005F2094">
        <w:rPr>
          <w:sz w:val="24"/>
          <w:szCs w:val="24"/>
          <w:lang w:val="et-EE"/>
        </w:rPr>
        <w:tab/>
      </w:r>
      <w:r w:rsidRPr="005F2094">
        <w:rPr>
          <w:sz w:val="24"/>
          <w:szCs w:val="24"/>
          <w:lang w:val="et-EE"/>
        </w:rPr>
        <w:t>54 % mehi ja 46 % naisi (2022. aastal vastavalt 54 % ja 46 %).</w:t>
      </w:r>
    </w:p>
  </w:footnote>
  <w:footnote w:id="430">
    <w:p w14:paraId="7F7194D5" w14:textId="77777777" w:rsidR="00ED1222" w:rsidRPr="005F2094" w:rsidRDefault="00ED1222" w:rsidP="00ED1222">
      <w:pPr>
        <w:pStyle w:val="FootnoteText"/>
        <w:ind w:left="567" w:hanging="567"/>
        <w:rPr>
          <w:sz w:val="24"/>
          <w:szCs w:val="24"/>
          <w:lang w:val="et-EE"/>
        </w:rPr>
      </w:pPr>
      <w:r w:rsidRPr="005F2094">
        <w:rPr>
          <w:rStyle w:val="FootnoteReference"/>
          <w:rFonts w:eastAsia="Yu Gothic Light"/>
          <w:sz w:val="24"/>
          <w:szCs w:val="24"/>
        </w:rPr>
        <w:footnoteRef/>
      </w:r>
      <w:r w:rsidRPr="005F2094">
        <w:rPr>
          <w:sz w:val="24"/>
          <w:szCs w:val="24"/>
          <w:lang w:val="et-EE"/>
        </w:rPr>
        <w:tab/>
      </w:r>
      <w:r w:rsidRPr="005F2094">
        <w:rPr>
          <w:sz w:val="24"/>
          <w:szCs w:val="24"/>
          <w:lang w:val="et-EE"/>
        </w:rPr>
        <w:t xml:space="preserve">Euroopa teemakeskused on EEA liikmesriikide organisatsioonide konsortsiumid, kellel on eksperditeadmised konkreetsetes keskkonnavaldkondades ja kellega EEA on sõlminud lepingu, et toetada EEA tööprogrammide rakendamist: </w:t>
      </w:r>
      <w:hyperlink r:id="rId414" w:history="1">
        <w:r w:rsidRPr="005F2094">
          <w:rPr>
            <w:rStyle w:val="Hyperlink"/>
            <w:sz w:val="24"/>
            <w:szCs w:val="24"/>
            <w:lang w:val="et-EE"/>
          </w:rPr>
          <w:t>https://www.eionet.europa.eu/etcs</w:t>
        </w:r>
      </w:hyperlink>
      <w:r w:rsidRPr="005F2094">
        <w:rPr>
          <w:sz w:val="24"/>
          <w:szCs w:val="24"/>
          <w:lang w:val="et-EE"/>
        </w:rPr>
        <w:t>.</w:t>
      </w:r>
    </w:p>
  </w:footnote>
  <w:footnote w:id="431">
    <w:p w14:paraId="4367BBB8" w14:textId="77777777" w:rsidR="00ED1222" w:rsidRPr="005F2094" w:rsidRDefault="00ED1222" w:rsidP="00ED1222">
      <w:pPr>
        <w:pStyle w:val="FootnoteText"/>
        <w:ind w:left="567" w:hanging="567"/>
        <w:rPr>
          <w:sz w:val="24"/>
          <w:szCs w:val="24"/>
          <w:lang w:val="et-EE"/>
        </w:rPr>
      </w:pPr>
      <w:r w:rsidRPr="005F2094">
        <w:rPr>
          <w:rStyle w:val="FootnoteReference"/>
          <w:rFonts w:eastAsia="Yu Gothic Light"/>
          <w:sz w:val="24"/>
          <w:szCs w:val="24"/>
        </w:rPr>
        <w:footnoteRef/>
      </w:r>
      <w:r w:rsidRPr="005F2094">
        <w:rPr>
          <w:sz w:val="24"/>
          <w:szCs w:val="24"/>
          <w:lang w:val="et-EE"/>
        </w:rPr>
        <w:tab/>
      </w:r>
      <w:r w:rsidRPr="005F2094">
        <w:rPr>
          <w:sz w:val="24"/>
          <w:szCs w:val="24"/>
          <w:lang w:val="et-EE"/>
        </w:rPr>
        <w:t>Näited: Euroopa Pangandusjärelevalve (EBA) – Euroopa Kontrollikoda, lk 97; Euroopa Meresõiduohutuse Amet (EMSA) – Euroopa Kontrollikoda, lk 122; Euroopa Narkootikumide ja Narkomaania Seirekeskus (EMCDDA) – Euroopa Kontrollikoda, lk 287.</w:t>
      </w:r>
    </w:p>
  </w:footnote>
  <w:footnote w:id="432">
    <w:p w14:paraId="7D9963EC" w14:textId="77777777" w:rsidR="00ED1222" w:rsidRPr="005F2094" w:rsidRDefault="00ED1222" w:rsidP="00ED1222">
      <w:pPr>
        <w:pStyle w:val="FootnoteText"/>
        <w:ind w:left="567" w:hanging="567"/>
        <w:rPr>
          <w:sz w:val="24"/>
          <w:szCs w:val="24"/>
          <w:lang w:val="et-EE"/>
        </w:rPr>
      </w:pPr>
      <w:r w:rsidRPr="005F2094">
        <w:rPr>
          <w:rStyle w:val="FootnoteReference"/>
          <w:rFonts w:eastAsia="Yu Gothic Light"/>
          <w:sz w:val="24"/>
          <w:szCs w:val="24"/>
        </w:rPr>
        <w:footnoteRef/>
      </w:r>
      <w:r w:rsidRPr="005F2094">
        <w:rPr>
          <w:sz w:val="24"/>
          <w:szCs w:val="24"/>
          <w:lang w:val="et-EE"/>
        </w:rPr>
        <w:tab/>
      </w:r>
      <w:r w:rsidRPr="005F2094">
        <w:rPr>
          <w:sz w:val="24"/>
          <w:szCs w:val="24"/>
          <w:lang w:val="et-EE"/>
        </w:rPr>
        <w:t xml:space="preserve">Euroopa Parlamendi, Euroopa Liidu Nõukogu ja Euroopa Komisjoni </w:t>
      </w:r>
      <w:hyperlink r:id="rId415" w:history="1">
        <w:r w:rsidRPr="005F2094">
          <w:rPr>
            <w:rStyle w:val="Hyperlink"/>
            <w:sz w:val="24"/>
            <w:szCs w:val="24"/>
            <w:lang w:val="et-EE"/>
          </w:rPr>
          <w:t>20. mai 2021. aasta institutsioonidevaheline kokkulepe</w:t>
        </w:r>
      </w:hyperlink>
      <w:r w:rsidRPr="005F2094">
        <w:rPr>
          <w:sz w:val="24"/>
          <w:szCs w:val="24"/>
          <w:lang w:val="et-EE"/>
        </w:rPr>
        <w:t xml:space="preserve"> kohustusliku läbipaistvusregistri kohta (ELT L 207, 11.6.2021, lk 1, ELI: </w:t>
      </w:r>
      <w:hyperlink r:id="rId416" w:history="1">
        <w:r w:rsidRPr="005F2094">
          <w:rPr>
            <w:rStyle w:val="Hyperlink1"/>
            <w:sz w:val="24"/>
            <w:szCs w:val="24"/>
            <w:lang w:val="et-EE"/>
          </w:rPr>
          <w:t>http://data.europa.eu/eli/agree_interinstit/2021/611/oj</w:t>
        </w:r>
      </w:hyperlink>
      <w:r w:rsidRPr="005F2094">
        <w:rPr>
          <w:sz w:val="24"/>
          <w:szCs w:val="24"/>
          <w:lang w:val="et-EE"/>
        </w:rPr>
        <w:t>).</w:t>
      </w:r>
    </w:p>
  </w:footnote>
  <w:footnote w:id="433">
    <w:p w14:paraId="009B4C06" w14:textId="77777777" w:rsidR="00ED1222" w:rsidRPr="005F2094" w:rsidRDefault="00ED1222" w:rsidP="00ED1222">
      <w:pPr>
        <w:ind w:left="567" w:hanging="567"/>
        <w:rPr>
          <w:szCs w:val="24"/>
        </w:rPr>
      </w:pPr>
      <w:r w:rsidRPr="005F2094">
        <w:rPr>
          <w:rStyle w:val="FootnoteReference"/>
          <w:szCs w:val="24"/>
        </w:rPr>
        <w:footnoteRef/>
      </w:r>
      <w:r w:rsidRPr="005F2094">
        <w:rPr>
          <w:szCs w:val="24"/>
        </w:rPr>
        <w:tab/>
      </w:r>
      <w:r w:rsidRPr="005F2094">
        <w:rPr>
          <w:szCs w:val="24"/>
        </w:rPr>
        <w:t xml:space="preserve">Justiits- ja </w:t>
      </w:r>
      <w:proofErr w:type="spellStart"/>
      <w:r w:rsidRPr="005F2094">
        <w:rPr>
          <w:szCs w:val="24"/>
        </w:rPr>
        <w:t>siseküsimustega</w:t>
      </w:r>
      <w:proofErr w:type="spellEnd"/>
      <w:r w:rsidRPr="005F2094">
        <w:rPr>
          <w:szCs w:val="24"/>
        </w:rPr>
        <w:t xml:space="preserve"> tegelevate asutuste võrgustik – võrgustikku kuulub üheksa asutust: CEPOL, EASO, EIGE, EMCDDA, </w:t>
      </w:r>
      <w:proofErr w:type="spellStart"/>
      <w:r w:rsidRPr="005F2094">
        <w:rPr>
          <w:szCs w:val="24"/>
        </w:rPr>
        <w:t>eu</w:t>
      </w:r>
      <w:proofErr w:type="spellEnd"/>
      <w:r w:rsidRPr="005F2094">
        <w:rPr>
          <w:szCs w:val="24"/>
        </w:rPr>
        <w:t xml:space="preserve">-LISA, </w:t>
      </w:r>
      <w:proofErr w:type="spellStart"/>
      <w:r w:rsidRPr="005F2094">
        <w:rPr>
          <w:szCs w:val="24"/>
        </w:rPr>
        <w:t>Eurojust</w:t>
      </w:r>
      <w:proofErr w:type="spellEnd"/>
      <w:r w:rsidRPr="005F2094">
        <w:rPr>
          <w:szCs w:val="24"/>
        </w:rPr>
        <w:t xml:space="preserve">, Europol, FRA ja </w:t>
      </w:r>
      <w:proofErr w:type="spellStart"/>
      <w:r w:rsidRPr="005F2094">
        <w:rPr>
          <w:szCs w:val="24"/>
        </w:rPr>
        <w:t>Frontex</w:t>
      </w:r>
      <w:proofErr w:type="spellEnd"/>
      <w:r w:rsidRPr="005F2094">
        <w:rPr>
          <w:szCs w:val="24"/>
        </w:rPr>
        <w:t>.</w:t>
      </w:r>
    </w:p>
  </w:footnote>
  <w:footnote w:id="434">
    <w:p w14:paraId="60C03C3F" w14:textId="73B9AF08" w:rsidR="00ED1222" w:rsidRPr="005F2094" w:rsidRDefault="00ED1222" w:rsidP="00ED1222">
      <w:pPr>
        <w:pStyle w:val="FootnoteText"/>
        <w:ind w:left="567" w:hanging="567"/>
        <w:rPr>
          <w:sz w:val="24"/>
          <w:szCs w:val="24"/>
          <w:lang w:val="et-EE"/>
        </w:rPr>
      </w:pPr>
      <w:r w:rsidRPr="005F2094">
        <w:rPr>
          <w:rStyle w:val="FootnoteReference"/>
          <w:sz w:val="24"/>
          <w:szCs w:val="24"/>
        </w:rPr>
        <w:footnoteRef/>
      </w:r>
      <w:r w:rsidRPr="005F2094">
        <w:rPr>
          <w:sz w:val="24"/>
          <w:szCs w:val="24"/>
          <w:lang w:val="et-EE"/>
        </w:rPr>
        <w:t xml:space="preserve"> </w:t>
      </w:r>
      <w:r w:rsidRPr="005F2094">
        <w:rPr>
          <w:sz w:val="24"/>
          <w:szCs w:val="24"/>
          <w:lang w:val="et-EE"/>
        </w:rPr>
        <w:tab/>
      </w:r>
      <w:r w:rsidRPr="005F2094">
        <w:rPr>
          <w:sz w:val="24"/>
          <w:szCs w:val="24"/>
          <w:lang w:val="et-EE" w:eastAsia="en-GB"/>
        </w:rPr>
        <w:t xml:space="preserve">Euroopa Parlamendi ja nõukogu 23. oktoobri 2019. aasta direktiiv (EL) 2019/1937 </w:t>
      </w:r>
      <w:hyperlink r:id="rId417" w:tooltip="32019L1937" w:history="1">
        <w:r w:rsidRPr="005F2094">
          <w:rPr>
            <w:sz w:val="24"/>
            <w:szCs w:val="24"/>
            <w:lang w:val="et-EE"/>
          </w:rPr>
          <w:t>liidu õiguse rikkumisest teavitavate isikute kaitse kohta</w:t>
        </w:r>
      </w:hyperlink>
      <w:r w:rsidRPr="005F2094">
        <w:rPr>
          <w:sz w:val="24"/>
          <w:szCs w:val="24"/>
          <w:lang w:val="et-EE" w:eastAsia="en-GB"/>
        </w:rPr>
        <w:t xml:space="preserve"> (ELT L 305, 26.11.2019, lk 17, ELI: </w:t>
      </w:r>
      <w:hyperlink r:id="rId418" w:history="1">
        <w:r w:rsidRPr="005F2094">
          <w:rPr>
            <w:rStyle w:val="Hyperlink"/>
            <w:sz w:val="24"/>
            <w:szCs w:val="24"/>
            <w:lang w:val="et-EE" w:eastAsia="en-GB"/>
          </w:rPr>
          <w:t>http://data.europa.eu/eli/dir/2019/1937/oj</w:t>
        </w:r>
      </w:hyperlink>
      <w:r w:rsidRPr="005F2094">
        <w:rPr>
          <w:sz w:val="24"/>
          <w:szCs w:val="24"/>
          <w:lang w:val="et-EE" w:eastAsia="en-GB"/>
        </w:rPr>
        <w:t>).</w:t>
      </w:r>
    </w:p>
  </w:footnote>
  <w:footnote w:id="435">
    <w:p w14:paraId="49D43453" w14:textId="77777777" w:rsidR="00ED1222" w:rsidRPr="005F2094" w:rsidRDefault="00ED1222" w:rsidP="00ED1222">
      <w:pPr>
        <w:pStyle w:val="FootnoteText"/>
        <w:ind w:left="567" w:hanging="567"/>
        <w:rPr>
          <w:sz w:val="24"/>
          <w:szCs w:val="24"/>
          <w:lang w:val="et-EE"/>
        </w:rPr>
      </w:pPr>
      <w:r w:rsidRPr="005F2094">
        <w:rPr>
          <w:rStyle w:val="FootnoteReference"/>
          <w:rFonts w:eastAsia="Yu Gothic Light"/>
          <w:sz w:val="24"/>
          <w:szCs w:val="24"/>
        </w:rPr>
        <w:footnoteRef/>
      </w:r>
      <w:r w:rsidRPr="005F2094">
        <w:rPr>
          <w:sz w:val="24"/>
          <w:szCs w:val="24"/>
          <w:lang w:val="et-EE"/>
        </w:rPr>
        <w:tab/>
      </w:r>
      <w:r w:rsidRPr="005F2094">
        <w:rPr>
          <w:sz w:val="24"/>
          <w:szCs w:val="24"/>
          <w:lang w:val="et-EE"/>
        </w:rPr>
        <w:t xml:space="preserve">EBA, ECDC, ECHA, EEA, EFSA, EOIPA, EMSA, Europol, </w:t>
      </w:r>
      <w:proofErr w:type="spellStart"/>
      <w:r w:rsidRPr="005F2094">
        <w:rPr>
          <w:sz w:val="24"/>
          <w:szCs w:val="24"/>
          <w:lang w:val="et-EE"/>
        </w:rPr>
        <w:t>Eurofound</w:t>
      </w:r>
      <w:proofErr w:type="spellEnd"/>
      <w:r w:rsidRPr="005F2094">
        <w:rPr>
          <w:sz w:val="24"/>
          <w:szCs w:val="24"/>
          <w:lang w:val="et-EE"/>
        </w:rPr>
        <w:t>, ETF ja ESMA.</w:t>
      </w:r>
    </w:p>
  </w:footnote>
  <w:footnote w:id="436">
    <w:p w14:paraId="6CE8279F" w14:textId="77777777" w:rsidR="00ED1222" w:rsidRPr="005F2094" w:rsidRDefault="00ED1222" w:rsidP="00ED1222">
      <w:pPr>
        <w:pStyle w:val="FootnoteText"/>
        <w:ind w:left="567" w:hanging="567"/>
        <w:rPr>
          <w:sz w:val="24"/>
          <w:szCs w:val="24"/>
          <w:lang w:val="et-EE"/>
        </w:rPr>
      </w:pPr>
      <w:r w:rsidRPr="005F2094">
        <w:rPr>
          <w:rStyle w:val="FootnoteReference"/>
          <w:rFonts w:eastAsia="Yu Gothic Light"/>
          <w:sz w:val="24"/>
          <w:szCs w:val="24"/>
        </w:rPr>
        <w:footnoteRef/>
      </w:r>
      <w:r w:rsidRPr="005F2094">
        <w:rPr>
          <w:sz w:val="24"/>
          <w:szCs w:val="24"/>
          <w:lang w:val="et-EE"/>
        </w:rPr>
        <w:tab/>
      </w:r>
      <w:proofErr w:type="spellStart"/>
      <w:r w:rsidRPr="005F2094">
        <w:rPr>
          <w:sz w:val="24"/>
          <w:szCs w:val="24"/>
          <w:lang w:val="et-EE"/>
        </w:rPr>
        <w:t>BERECi</w:t>
      </w:r>
      <w:proofErr w:type="spellEnd"/>
      <w:r w:rsidRPr="005F2094">
        <w:rPr>
          <w:sz w:val="24"/>
          <w:szCs w:val="24"/>
          <w:lang w:val="et-EE"/>
        </w:rPr>
        <w:t xml:space="preserve"> Büroo, </w:t>
      </w:r>
      <w:proofErr w:type="spellStart"/>
      <w:r w:rsidRPr="005F2094">
        <w:rPr>
          <w:sz w:val="24"/>
          <w:szCs w:val="24"/>
          <w:lang w:val="et-EE"/>
        </w:rPr>
        <w:t>Cedefop</w:t>
      </w:r>
      <w:proofErr w:type="spellEnd"/>
      <w:r w:rsidRPr="005F2094">
        <w:rPr>
          <w:sz w:val="24"/>
          <w:szCs w:val="24"/>
          <w:lang w:val="et-EE"/>
        </w:rPr>
        <w:t xml:space="preserve">, </w:t>
      </w:r>
      <w:proofErr w:type="spellStart"/>
      <w:r w:rsidRPr="005F2094">
        <w:rPr>
          <w:sz w:val="24"/>
          <w:szCs w:val="24"/>
          <w:lang w:val="et-EE"/>
        </w:rPr>
        <w:t>eu</w:t>
      </w:r>
      <w:proofErr w:type="spellEnd"/>
      <w:r w:rsidRPr="005F2094">
        <w:rPr>
          <w:sz w:val="24"/>
          <w:szCs w:val="24"/>
          <w:lang w:val="et-EE"/>
        </w:rPr>
        <w:t>-LISA, EUSPA ja EMA.</w:t>
      </w:r>
    </w:p>
  </w:footnote>
  <w:footnote w:id="437">
    <w:p w14:paraId="2144E5F1" w14:textId="77777777" w:rsidR="00ED1222" w:rsidRPr="005F2094" w:rsidRDefault="00ED1222" w:rsidP="00ED1222">
      <w:pPr>
        <w:pStyle w:val="FootnoteText"/>
        <w:ind w:left="567" w:hanging="567"/>
        <w:rPr>
          <w:sz w:val="24"/>
          <w:szCs w:val="24"/>
          <w:lang w:val="et-EE"/>
        </w:rPr>
      </w:pPr>
      <w:r w:rsidRPr="005F2094">
        <w:rPr>
          <w:rStyle w:val="FootnoteReference"/>
          <w:rFonts w:eastAsia="Yu Gothic Light"/>
          <w:sz w:val="24"/>
          <w:szCs w:val="24"/>
        </w:rPr>
        <w:footnoteRef/>
      </w:r>
      <w:r w:rsidRPr="005F2094">
        <w:rPr>
          <w:sz w:val="24"/>
          <w:szCs w:val="24"/>
          <w:lang w:val="et-EE"/>
        </w:rPr>
        <w:tab/>
      </w:r>
      <w:r w:rsidRPr="005F2094">
        <w:rPr>
          <w:sz w:val="24"/>
          <w:szCs w:val="24"/>
          <w:lang w:val="et-EE"/>
        </w:rPr>
        <w:t xml:space="preserve">EIT, </w:t>
      </w:r>
      <w:proofErr w:type="spellStart"/>
      <w:r w:rsidRPr="005F2094">
        <w:rPr>
          <w:sz w:val="24"/>
          <w:szCs w:val="24"/>
          <w:lang w:val="et-EE"/>
        </w:rPr>
        <w:t>Frontex</w:t>
      </w:r>
      <w:proofErr w:type="spellEnd"/>
      <w:r w:rsidRPr="005F2094">
        <w:rPr>
          <w:sz w:val="24"/>
          <w:szCs w:val="24"/>
          <w:lang w:val="et-EE"/>
        </w:rPr>
        <w:t>, EUAA ja EASA.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F020C" w14:textId="752B99FE" w:rsidR="00704424" w:rsidRPr="00594E5B" w:rsidRDefault="0070442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D6CE8" w14:textId="643F4E23" w:rsidR="00704424" w:rsidRPr="00594E5B" w:rsidRDefault="0070442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C6031" w14:textId="5FB7B3E1" w:rsidR="00704424" w:rsidRPr="00594E5B" w:rsidRDefault="0070442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9091318"/>
    <w:multiLevelType w:val="hybridMultilevel"/>
    <w:tmpl w:val="143224D2"/>
    <w:lvl w:ilvl="0" w:tplc="4A68EB94">
      <w:start w:val="1"/>
      <w:numFmt w:val="upperLetter"/>
      <w:lvlText w:val="%1."/>
      <w:lvlJc w:val="left"/>
      <w:pPr>
        <w:tabs>
          <w:tab w:val="num" w:pos="360"/>
        </w:tabs>
        <w:ind w:left="360" w:hanging="360"/>
      </w:pPr>
      <w:rPr>
        <w:rFonts w:hint="default"/>
      </w:rPr>
    </w:lvl>
    <w:lvl w:ilvl="1" w:tplc="1D00DDCC" w:tentative="1">
      <w:start w:val="1"/>
      <w:numFmt w:val="lowerLetter"/>
      <w:lvlText w:val="%2."/>
      <w:lvlJc w:val="left"/>
      <w:pPr>
        <w:tabs>
          <w:tab w:val="num" w:pos="1080"/>
        </w:tabs>
        <w:ind w:left="1080" w:hanging="360"/>
      </w:pPr>
    </w:lvl>
    <w:lvl w:ilvl="2" w:tplc="96B047CA" w:tentative="1">
      <w:start w:val="1"/>
      <w:numFmt w:val="lowerRoman"/>
      <w:lvlText w:val="%3."/>
      <w:lvlJc w:val="right"/>
      <w:pPr>
        <w:tabs>
          <w:tab w:val="num" w:pos="1800"/>
        </w:tabs>
        <w:ind w:left="1800" w:hanging="180"/>
      </w:pPr>
    </w:lvl>
    <w:lvl w:ilvl="3" w:tplc="8EEC75CE" w:tentative="1">
      <w:start w:val="1"/>
      <w:numFmt w:val="decimal"/>
      <w:lvlText w:val="%4."/>
      <w:lvlJc w:val="left"/>
      <w:pPr>
        <w:tabs>
          <w:tab w:val="num" w:pos="2520"/>
        </w:tabs>
        <w:ind w:left="2520" w:hanging="360"/>
      </w:pPr>
    </w:lvl>
    <w:lvl w:ilvl="4" w:tplc="EA56AC02" w:tentative="1">
      <w:start w:val="1"/>
      <w:numFmt w:val="lowerLetter"/>
      <w:lvlText w:val="%5."/>
      <w:lvlJc w:val="left"/>
      <w:pPr>
        <w:tabs>
          <w:tab w:val="num" w:pos="3240"/>
        </w:tabs>
        <w:ind w:left="3240" w:hanging="360"/>
      </w:pPr>
    </w:lvl>
    <w:lvl w:ilvl="5" w:tplc="3CACEC60" w:tentative="1">
      <w:start w:val="1"/>
      <w:numFmt w:val="lowerRoman"/>
      <w:lvlText w:val="%6."/>
      <w:lvlJc w:val="right"/>
      <w:pPr>
        <w:tabs>
          <w:tab w:val="num" w:pos="3960"/>
        </w:tabs>
        <w:ind w:left="3960" w:hanging="180"/>
      </w:pPr>
    </w:lvl>
    <w:lvl w:ilvl="6" w:tplc="E1448754" w:tentative="1">
      <w:start w:val="1"/>
      <w:numFmt w:val="decimal"/>
      <w:lvlText w:val="%7."/>
      <w:lvlJc w:val="left"/>
      <w:pPr>
        <w:tabs>
          <w:tab w:val="num" w:pos="4680"/>
        </w:tabs>
        <w:ind w:left="4680" w:hanging="360"/>
      </w:pPr>
    </w:lvl>
    <w:lvl w:ilvl="7" w:tplc="450A0F68" w:tentative="1">
      <w:start w:val="1"/>
      <w:numFmt w:val="lowerLetter"/>
      <w:lvlText w:val="%8."/>
      <w:lvlJc w:val="left"/>
      <w:pPr>
        <w:tabs>
          <w:tab w:val="num" w:pos="5400"/>
        </w:tabs>
        <w:ind w:left="5400" w:hanging="360"/>
      </w:pPr>
    </w:lvl>
    <w:lvl w:ilvl="8" w:tplc="6074C6CE" w:tentative="1">
      <w:start w:val="1"/>
      <w:numFmt w:val="lowerRoman"/>
      <w:lvlText w:val="%9."/>
      <w:lvlJc w:val="right"/>
      <w:pPr>
        <w:tabs>
          <w:tab w:val="num" w:pos="6120"/>
        </w:tabs>
        <w:ind w:left="612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62D6E49"/>
    <w:multiLevelType w:val="hybridMultilevel"/>
    <w:tmpl w:val="78B8CEFC"/>
    <w:lvl w:ilvl="0" w:tplc="C2A02D44">
      <w:start w:val="1"/>
      <w:numFmt w:val="decimal"/>
      <w:lvlText w:val="%1."/>
      <w:lvlJc w:val="left"/>
      <w:pPr>
        <w:tabs>
          <w:tab w:val="num" w:pos="720"/>
        </w:tabs>
        <w:ind w:left="720" w:hanging="360"/>
      </w:pPr>
    </w:lvl>
    <w:lvl w:ilvl="1" w:tplc="132A7B04" w:tentative="1">
      <w:start w:val="1"/>
      <w:numFmt w:val="lowerLetter"/>
      <w:lvlText w:val="%2."/>
      <w:lvlJc w:val="left"/>
      <w:pPr>
        <w:tabs>
          <w:tab w:val="num" w:pos="1440"/>
        </w:tabs>
        <w:ind w:left="1440" w:hanging="360"/>
      </w:pPr>
    </w:lvl>
    <w:lvl w:ilvl="2" w:tplc="AA84257A" w:tentative="1">
      <w:start w:val="1"/>
      <w:numFmt w:val="lowerRoman"/>
      <w:lvlText w:val="%3."/>
      <w:lvlJc w:val="right"/>
      <w:pPr>
        <w:tabs>
          <w:tab w:val="num" w:pos="2160"/>
        </w:tabs>
        <w:ind w:left="2160" w:hanging="180"/>
      </w:pPr>
    </w:lvl>
    <w:lvl w:ilvl="3" w:tplc="21B8FE56" w:tentative="1">
      <w:start w:val="1"/>
      <w:numFmt w:val="decimal"/>
      <w:lvlText w:val="%4."/>
      <w:lvlJc w:val="left"/>
      <w:pPr>
        <w:tabs>
          <w:tab w:val="num" w:pos="2880"/>
        </w:tabs>
        <w:ind w:left="2880" w:hanging="360"/>
      </w:pPr>
    </w:lvl>
    <w:lvl w:ilvl="4" w:tplc="DCE02128" w:tentative="1">
      <w:start w:val="1"/>
      <w:numFmt w:val="lowerLetter"/>
      <w:lvlText w:val="%5."/>
      <w:lvlJc w:val="left"/>
      <w:pPr>
        <w:tabs>
          <w:tab w:val="num" w:pos="3600"/>
        </w:tabs>
        <w:ind w:left="3600" w:hanging="360"/>
      </w:pPr>
    </w:lvl>
    <w:lvl w:ilvl="5" w:tplc="73121A7E" w:tentative="1">
      <w:start w:val="1"/>
      <w:numFmt w:val="lowerRoman"/>
      <w:lvlText w:val="%6."/>
      <w:lvlJc w:val="right"/>
      <w:pPr>
        <w:tabs>
          <w:tab w:val="num" w:pos="4320"/>
        </w:tabs>
        <w:ind w:left="4320" w:hanging="180"/>
      </w:pPr>
    </w:lvl>
    <w:lvl w:ilvl="6" w:tplc="9EC46154" w:tentative="1">
      <w:start w:val="1"/>
      <w:numFmt w:val="decimal"/>
      <w:lvlText w:val="%7."/>
      <w:lvlJc w:val="left"/>
      <w:pPr>
        <w:tabs>
          <w:tab w:val="num" w:pos="5040"/>
        </w:tabs>
        <w:ind w:left="5040" w:hanging="360"/>
      </w:pPr>
    </w:lvl>
    <w:lvl w:ilvl="7" w:tplc="43A219C2" w:tentative="1">
      <w:start w:val="1"/>
      <w:numFmt w:val="lowerLetter"/>
      <w:lvlText w:val="%8."/>
      <w:lvlJc w:val="left"/>
      <w:pPr>
        <w:tabs>
          <w:tab w:val="num" w:pos="5760"/>
        </w:tabs>
        <w:ind w:left="5760" w:hanging="360"/>
      </w:pPr>
    </w:lvl>
    <w:lvl w:ilvl="8" w:tplc="74B02942" w:tentative="1">
      <w:start w:val="1"/>
      <w:numFmt w:val="lowerRoman"/>
      <w:lvlText w:val="%9."/>
      <w:lvlJc w:val="right"/>
      <w:pPr>
        <w:tabs>
          <w:tab w:val="num" w:pos="6480"/>
        </w:tabs>
        <w:ind w:left="6480" w:hanging="180"/>
      </w:pPr>
    </w:lvl>
  </w:abstractNum>
  <w:num w:numId="1" w16cid:durableId="1184056499">
    <w:abstractNumId w:val="9"/>
  </w:num>
  <w:num w:numId="2" w16cid:durableId="1963147753">
    <w:abstractNumId w:val="9"/>
  </w:num>
  <w:num w:numId="3" w16cid:durableId="1947738212">
    <w:abstractNumId w:val="7"/>
  </w:num>
  <w:num w:numId="4" w16cid:durableId="455685557">
    <w:abstractNumId w:val="7"/>
  </w:num>
  <w:num w:numId="5" w16cid:durableId="1689484421">
    <w:abstractNumId w:val="6"/>
  </w:num>
  <w:num w:numId="6" w16cid:durableId="404643550">
    <w:abstractNumId w:val="6"/>
  </w:num>
  <w:num w:numId="7" w16cid:durableId="600604433">
    <w:abstractNumId w:val="5"/>
  </w:num>
  <w:num w:numId="8" w16cid:durableId="28262393">
    <w:abstractNumId w:val="5"/>
  </w:num>
  <w:num w:numId="9" w16cid:durableId="1822425878">
    <w:abstractNumId w:val="4"/>
  </w:num>
  <w:num w:numId="10" w16cid:durableId="224295751">
    <w:abstractNumId w:val="4"/>
  </w:num>
  <w:num w:numId="11" w16cid:durableId="1532842805">
    <w:abstractNumId w:val="8"/>
  </w:num>
  <w:num w:numId="12" w16cid:durableId="104427170">
    <w:abstractNumId w:val="8"/>
  </w:num>
  <w:num w:numId="13" w16cid:durableId="274024921">
    <w:abstractNumId w:val="3"/>
  </w:num>
  <w:num w:numId="14" w16cid:durableId="1552421306">
    <w:abstractNumId w:val="3"/>
  </w:num>
  <w:num w:numId="15" w16cid:durableId="2011635596">
    <w:abstractNumId w:val="2"/>
  </w:num>
  <w:num w:numId="16" w16cid:durableId="713889074">
    <w:abstractNumId w:val="2"/>
  </w:num>
  <w:num w:numId="17" w16cid:durableId="27069804">
    <w:abstractNumId w:val="1"/>
  </w:num>
  <w:num w:numId="18" w16cid:durableId="436827869">
    <w:abstractNumId w:val="1"/>
  </w:num>
  <w:num w:numId="19" w16cid:durableId="1479877860">
    <w:abstractNumId w:val="0"/>
  </w:num>
  <w:num w:numId="20" w16cid:durableId="191771835">
    <w:abstractNumId w:val="0"/>
  </w:num>
  <w:num w:numId="21" w16cid:durableId="1040279885">
    <w:abstractNumId w:val="9"/>
  </w:num>
  <w:num w:numId="22" w16cid:durableId="435633628">
    <w:abstractNumId w:val="7"/>
  </w:num>
  <w:num w:numId="23" w16cid:durableId="377516826">
    <w:abstractNumId w:val="6"/>
  </w:num>
  <w:num w:numId="24" w16cid:durableId="657346412">
    <w:abstractNumId w:val="5"/>
  </w:num>
  <w:num w:numId="25" w16cid:durableId="1170873667">
    <w:abstractNumId w:val="4"/>
  </w:num>
  <w:num w:numId="26" w16cid:durableId="635451706">
    <w:abstractNumId w:val="8"/>
  </w:num>
  <w:num w:numId="27" w16cid:durableId="1000427335">
    <w:abstractNumId w:val="3"/>
  </w:num>
  <w:num w:numId="28" w16cid:durableId="1688215323">
    <w:abstractNumId w:val="2"/>
  </w:num>
  <w:num w:numId="29" w16cid:durableId="971446379">
    <w:abstractNumId w:val="1"/>
  </w:num>
  <w:num w:numId="30" w16cid:durableId="1056123988">
    <w:abstractNumId w:val="0"/>
  </w:num>
  <w:num w:numId="31" w16cid:durableId="1549298123">
    <w:abstractNumId w:val="9"/>
  </w:num>
  <w:num w:numId="32" w16cid:durableId="613485999">
    <w:abstractNumId w:val="7"/>
  </w:num>
  <w:num w:numId="33" w16cid:durableId="627736443">
    <w:abstractNumId w:val="6"/>
  </w:num>
  <w:num w:numId="34" w16cid:durableId="152569300">
    <w:abstractNumId w:val="5"/>
  </w:num>
  <w:num w:numId="35" w16cid:durableId="1717778410">
    <w:abstractNumId w:val="4"/>
  </w:num>
  <w:num w:numId="36" w16cid:durableId="83843776">
    <w:abstractNumId w:val="8"/>
  </w:num>
  <w:num w:numId="37" w16cid:durableId="620763620">
    <w:abstractNumId w:val="3"/>
  </w:num>
  <w:num w:numId="38" w16cid:durableId="487020868">
    <w:abstractNumId w:val="2"/>
  </w:num>
  <w:num w:numId="39" w16cid:durableId="1545294313">
    <w:abstractNumId w:val="1"/>
  </w:num>
  <w:num w:numId="40" w16cid:durableId="1961181619">
    <w:abstractNumId w:val="0"/>
  </w:num>
  <w:num w:numId="41" w16cid:durableId="1049106752">
    <w:abstractNumId w:val="10"/>
  </w:num>
  <w:num w:numId="42" w16cid:durableId="1094086955">
    <w:abstractNumId w:val="10"/>
  </w:num>
  <w:num w:numId="43" w16cid:durableId="1458259380">
    <w:abstractNumId w:val="10"/>
  </w:num>
  <w:num w:numId="44" w16cid:durableId="818378533">
    <w:abstractNumId w:val="12"/>
  </w:num>
  <w:num w:numId="45" w16cid:durableId="1991906266">
    <w:abstractNumId w:val="13"/>
  </w:num>
  <w:num w:numId="46" w16cid:durableId="8042743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65/2025"/>
    <w:docVar w:name="dvlangue" w:val="ET"/>
    <w:docVar w:name="dvnumam" w:val="0"/>
    <w:docVar w:name="dvpe" w:val="765.000"/>
    <w:docVar w:name="dvrapporteur" w:val="Raportöör: "/>
    <w:docVar w:name="dvtitre" w:val="Euroopa Parlamendi .... 2025. aasta otsus Euroopa Liidu asutuste 2023. aasta eelarve täitmisele heakskiidu andmise kohta(2024/2030(DEC))"/>
  </w:docVars>
  <w:rsids>
    <w:rsidRoot w:val="00C04116"/>
    <w:rsid w:val="00002272"/>
    <w:rsid w:val="0002762F"/>
    <w:rsid w:val="00064002"/>
    <w:rsid w:val="000677B9"/>
    <w:rsid w:val="000831BA"/>
    <w:rsid w:val="000A42CC"/>
    <w:rsid w:val="000E7DD9"/>
    <w:rsid w:val="0010095E"/>
    <w:rsid w:val="00125B37"/>
    <w:rsid w:val="00187494"/>
    <w:rsid w:val="001B508A"/>
    <w:rsid w:val="001F32AE"/>
    <w:rsid w:val="002767FF"/>
    <w:rsid w:val="002A7BB5"/>
    <w:rsid w:val="002B18FE"/>
    <w:rsid w:val="002B5493"/>
    <w:rsid w:val="00343214"/>
    <w:rsid w:val="00355DDB"/>
    <w:rsid w:val="00361C00"/>
    <w:rsid w:val="00395FA1"/>
    <w:rsid w:val="003B3F2F"/>
    <w:rsid w:val="003D19C9"/>
    <w:rsid w:val="003E15D4"/>
    <w:rsid w:val="00411CCE"/>
    <w:rsid w:val="0041666E"/>
    <w:rsid w:val="00421060"/>
    <w:rsid w:val="00471C19"/>
    <w:rsid w:val="004867E3"/>
    <w:rsid w:val="004936BC"/>
    <w:rsid w:val="00494A28"/>
    <w:rsid w:val="004C0004"/>
    <w:rsid w:val="004C5D52"/>
    <w:rsid w:val="0050519A"/>
    <w:rsid w:val="005072A1"/>
    <w:rsid w:val="00514517"/>
    <w:rsid w:val="00545827"/>
    <w:rsid w:val="00560270"/>
    <w:rsid w:val="00562BAD"/>
    <w:rsid w:val="00594E5B"/>
    <w:rsid w:val="005C2568"/>
    <w:rsid w:val="005F1B17"/>
    <w:rsid w:val="005F2094"/>
    <w:rsid w:val="006037C0"/>
    <w:rsid w:val="006631B6"/>
    <w:rsid w:val="00680577"/>
    <w:rsid w:val="006F53D5"/>
    <w:rsid w:val="006F74FA"/>
    <w:rsid w:val="00704424"/>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5C48"/>
    <w:rsid w:val="00930C23"/>
    <w:rsid w:val="0093193B"/>
    <w:rsid w:val="009509D8"/>
    <w:rsid w:val="00950B64"/>
    <w:rsid w:val="00951017"/>
    <w:rsid w:val="00981893"/>
    <w:rsid w:val="00A07D8A"/>
    <w:rsid w:val="00A1687D"/>
    <w:rsid w:val="00A23FB9"/>
    <w:rsid w:val="00A43E52"/>
    <w:rsid w:val="00A4678D"/>
    <w:rsid w:val="00A778C7"/>
    <w:rsid w:val="00A87338"/>
    <w:rsid w:val="00AB441E"/>
    <w:rsid w:val="00AB6293"/>
    <w:rsid w:val="00AD53F8"/>
    <w:rsid w:val="00AE0928"/>
    <w:rsid w:val="00AF3B82"/>
    <w:rsid w:val="00B12E95"/>
    <w:rsid w:val="00B22876"/>
    <w:rsid w:val="00B23C85"/>
    <w:rsid w:val="00B558F0"/>
    <w:rsid w:val="00B710B1"/>
    <w:rsid w:val="00B802FC"/>
    <w:rsid w:val="00BD48FE"/>
    <w:rsid w:val="00BD7BD8"/>
    <w:rsid w:val="00BE6ADC"/>
    <w:rsid w:val="00C04116"/>
    <w:rsid w:val="00C05BFE"/>
    <w:rsid w:val="00C23CD4"/>
    <w:rsid w:val="00C61C0C"/>
    <w:rsid w:val="00C941CB"/>
    <w:rsid w:val="00CA6074"/>
    <w:rsid w:val="00CC2357"/>
    <w:rsid w:val="00CF071A"/>
    <w:rsid w:val="00D058B8"/>
    <w:rsid w:val="00D17429"/>
    <w:rsid w:val="00D56C11"/>
    <w:rsid w:val="00D834A0"/>
    <w:rsid w:val="00D872DF"/>
    <w:rsid w:val="00D91E21"/>
    <w:rsid w:val="00DA7FCD"/>
    <w:rsid w:val="00DB401A"/>
    <w:rsid w:val="00E365E1"/>
    <w:rsid w:val="00E76DB5"/>
    <w:rsid w:val="00E820A4"/>
    <w:rsid w:val="00EB006A"/>
    <w:rsid w:val="00EB07F2"/>
    <w:rsid w:val="00EB4772"/>
    <w:rsid w:val="00ED1222"/>
    <w:rsid w:val="00ED169E"/>
    <w:rsid w:val="00ED4235"/>
    <w:rsid w:val="00F04346"/>
    <w:rsid w:val="00F075DC"/>
    <w:rsid w:val="00F149E9"/>
    <w:rsid w:val="00F5134D"/>
    <w:rsid w:val="00F74202"/>
    <w:rsid w:val="00F7467E"/>
    <w:rsid w:val="00F86DEB"/>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DA7FC5"/>
  <w15:chartTrackingRefBased/>
  <w15:docId w15:val="{3A4000BF-1CCF-4BD1-B940-AFDE82F63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3" w:uiPriority="39"/>
    <w:lsdException w:name="toc 7" w:uiPriority="39"/>
    <w:lsdException w:name="toc 8" w:uiPriority="39"/>
    <w:lsdException w:name="toc 9" w:uiPriority="39"/>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E76DB5"/>
    <w:rPr>
      <w:b/>
      <w:kern w:val="28"/>
      <w:sz w:val="28"/>
      <w:lang w:val="fr-FR" w:eastAsia="fr-FR"/>
    </w:rPr>
  </w:style>
  <w:style w:type="character" w:customStyle="1" w:styleId="Heading2Char">
    <w:name w:val="Heading 2 Char"/>
    <w:basedOn w:val="DefaultParagraphFont"/>
    <w:link w:val="Heading2"/>
    <w:uiPriority w:val="9"/>
    <w:semiHidden/>
    <w:rsid w:val="00E76DB5"/>
    <w:rPr>
      <w:sz w:val="24"/>
      <w:lang w:val="fr-FR" w:eastAsia="fr-FR"/>
    </w:rPr>
  </w:style>
  <w:style w:type="character" w:customStyle="1" w:styleId="Heading3Char">
    <w:name w:val="Heading 3 Char"/>
    <w:basedOn w:val="DefaultParagraphFont"/>
    <w:link w:val="Heading3"/>
    <w:uiPriority w:val="9"/>
    <w:semiHidden/>
    <w:rsid w:val="00E76DB5"/>
    <w:rPr>
      <w:rFonts w:ascii="Arial" w:hAnsi="Arial"/>
      <w:sz w:val="24"/>
      <w:lang w:val="fr-FR" w:eastAsia="fr-FR"/>
    </w:rPr>
  </w:style>
  <w:style w:type="character" w:customStyle="1" w:styleId="Heading4Char">
    <w:name w:val="Heading 4 Char"/>
    <w:basedOn w:val="DefaultParagraphFont"/>
    <w:link w:val="Heading4"/>
    <w:uiPriority w:val="9"/>
    <w:semiHidden/>
    <w:rsid w:val="00E76DB5"/>
    <w:rPr>
      <w:sz w:val="24"/>
      <w:lang w:val="en-US" w:eastAsia="fr-FR"/>
    </w:rPr>
  </w:style>
  <w:style w:type="character" w:customStyle="1" w:styleId="Heading5Char">
    <w:name w:val="Heading 5 Char"/>
    <w:basedOn w:val="DefaultParagraphFont"/>
    <w:link w:val="Heading5"/>
    <w:uiPriority w:val="9"/>
    <w:semiHidden/>
    <w:rsid w:val="00E76DB5"/>
    <w:rPr>
      <w:sz w:val="24"/>
      <w:lang w:val="en-US" w:eastAsia="fr-FR"/>
    </w:rPr>
  </w:style>
  <w:style w:type="character" w:customStyle="1" w:styleId="Heading6Char">
    <w:name w:val="Heading 6 Char"/>
    <w:basedOn w:val="DefaultParagraphFont"/>
    <w:link w:val="Heading6"/>
    <w:uiPriority w:val="9"/>
    <w:semiHidden/>
    <w:rsid w:val="00E76DB5"/>
    <w:rPr>
      <w:i/>
      <w:sz w:val="22"/>
      <w:lang w:val="et-EE"/>
    </w:rPr>
  </w:style>
  <w:style w:type="character" w:customStyle="1" w:styleId="Heading7Char">
    <w:name w:val="Heading 7 Char"/>
    <w:basedOn w:val="DefaultParagraphFont"/>
    <w:link w:val="Heading7"/>
    <w:uiPriority w:val="9"/>
    <w:semiHidden/>
    <w:rsid w:val="00E76DB5"/>
    <w:rPr>
      <w:rFonts w:ascii="Arial" w:hAnsi="Arial"/>
      <w:sz w:val="24"/>
      <w:lang w:val="et-EE"/>
    </w:rPr>
  </w:style>
  <w:style w:type="character" w:customStyle="1" w:styleId="Heading8Char">
    <w:name w:val="Heading 8 Char"/>
    <w:basedOn w:val="DefaultParagraphFont"/>
    <w:link w:val="Heading8"/>
    <w:uiPriority w:val="9"/>
    <w:semiHidden/>
    <w:rsid w:val="00E76DB5"/>
    <w:rPr>
      <w:rFonts w:ascii="Arial" w:hAnsi="Arial"/>
      <w:i/>
      <w:sz w:val="24"/>
      <w:lang w:val="et-EE"/>
    </w:rPr>
  </w:style>
  <w:style w:type="character" w:customStyle="1" w:styleId="Heading9Char">
    <w:name w:val="Heading 9 Char"/>
    <w:basedOn w:val="DefaultParagraphFont"/>
    <w:link w:val="Heading9"/>
    <w:uiPriority w:val="9"/>
    <w:semiHidden/>
    <w:rsid w:val="00E76DB5"/>
    <w:rPr>
      <w:rFonts w:ascii="Arial" w:hAnsi="Arial"/>
      <w:b/>
      <w:i/>
      <w:sz w:val="18"/>
      <w:lang w:val="et-EE"/>
    </w:rPr>
  </w:style>
  <w:style w:type="paragraph" w:styleId="TOCHeading">
    <w:name w:val="TOC Heading"/>
    <w:basedOn w:val="Normal"/>
    <w:next w:val="Normal"/>
    <w:uiPriority w:val="39"/>
    <w:unhideWhenUsed/>
    <w:qFormat/>
    <w:rsid w:val="00E76DB5"/>
    <w:pPr>
      <w:widowControl/>
      <w:spacing w:after="240"/>
    </w:pPr>
    <w:rPr>
      <w:lang w:val="en-GB"/>
    </w:rPr>
  </w:style>
  <w:style w:type="paragraph" w:customStyle="1" w:styleId="EPFooter2">
    <w:name w:val="EPFooter2"/>
    <w:basedOn w:val="Normal"/>
    <w:next w:val="Normal"/>
    <w:rsid w:val="00E76DB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76DB5"/>
    <w:pPr>
      <w:spacing w:before="480" w:after="240"/>
    </w:pPr>
  </w:style>
  <w:style w:type="paragraph" w:customStyle="1" w:styleId="TOCPage">
    <w:name w:val="TOC Page"/>
    <w:basedOn w:val="Normal"/>
    <w:next w:val="TOC1"/>
    <w:rsid w:val="00E76DB5"/>
    <w:pPr>
      <w:keepNext/>
      <w:spacing w:after="240"/>
      <w:jc w:val="right"/>
    </w:pPr>
    <w:rPr>
      <w:rFonts w:ascii="Arial" w:hAnsi="Arial"/>
      <w:b/>
    </w:rPr>
  </w:style>
  <w:style w:type="paragraph" w:customStyle="1" w:styleId="PageHeading">
    <w:name w:val="PageHeading"/>
    <w:basedOn w:val="Normal"/>
    <w:link w:val="PageHeadingChar"/>
    <w:rsid w:val="00E76DB5"/>
    <w:pPr>
      <w:keepNext/>
      <w:spacing w:after="480"/>
      <w:jc w:val="center"/>
    </w:pPr>
    <w:rPr>
      <w:rFonts w:ascii="Arial" w:hAnsi="Arial" w:cs="Arial"/>
      <w:b/>
    </w:rPr>
  </w:style>
  <w:style w:type="paragraph" w:customStyle="1" w:styleId="NormalBold">
    <w:name w:val="NormalBold"/>
    <w:basedOn w:val="Normal"/>
    <w:rsid w:val="00E76DB5"/>
    <w:rPr>
      <w:b/>
    </w:rPr>
  </w:style>
  <w:style w:type="paragraph" w:customStyle="1" w:styleId="NormalHanging12a">
    <w:name w:val="NormalHanging12a"/>
    <w:basedOn w:val="Normal"/>
    <w:link w:val="NormalHanging12aChar"/>
    <w:rsid w:val="00E76DB5"/>
    <w:pPr>
      <w:spacing w:after="240"/>
      <w:ind w:left="567" w:hanging="567"/>
    </w:pPr>
  </w:style>
  <w:style w:type="paragraph" w:customStyle="1" w:styleId="CoverNormal24a">
    <w:name w:val="CoverNormal24a"/>
    <w:basedOn w:val="Normal"/>
    <w:rsid w:val="00E76DB5"/>
    <w:pPr>
      <w:spacing w:after="480"/>
      <w:ind w:left="1417"/>
    </w:pPr>
  </w:style>
  <w:style w:type="paragraph" w:customStyle="1" w:styleId="CoverNormal">
    <w:name w:val="CoverNormal"/>
    <w:basedOn w:val="Normal"/>
    <w:rsid w:val="00E76DB5"/>
    <w:pPr>
      <w:ind w:left="1418"/>
    </w:pPr>
  </w:style>
  <w:style w:type="paragraph" w:customStyle="1" w:styleId="NormalCenter12a">
    <w:name w:val="NormalCenter12a"/>
    <w:basedOn w:val="Normal"/>
    <w:rsid w:val="00E76DB5"/>
    <w:pPr>
      <w:spacing w:after="240"/>
      <w:jc w:val="center"/>
    </w:pPr>
  </w:style>
  <w:style w:type="paragraph" w:customStyle="1" w:styleId="CoverReference">
    <w:name w:val="CoverReference"/>
    <w:basedOn w:val="Normal"/>
    <w:rsid w:val="00E76DB5"/>
    <w:pPr>
      <w:spacing w:before="1080"/>
      <w:jc w:val="right"/>
    </w:pPr>
    <w:rPr>
      <w:rFonts w:ascii="Arial" w:hAnsi="Arial" w:cs="Arial"/>
      <w:b/>
    </w:rPr>
  </w:style>
  <w:style w:type="paragraph" w:customStyle="1" w:styleId="CoverDocType24a">
    <w:name w:val="CoverDocType24a"/>
    <w:basedOn w:val="Normal"/>
    <w:rsid w:val="00E76DB5"/>
    <w:pPr>
      <w:spacing w:after="480"/>
      <w:ind w:left="1418"/>
    </w:pPr>
    <w:rPr>
      <w:rFonts w:ascii="Arial" w:hAnsi="Arial"/>
      <w:b/>
      <w:sz w:val="48"/>
    </w:rPr>
  </w:style>
  <w:style w:type="paragraph" w:customStyle="1" w:styleId="CoverDate">
    <w:name w:val="CoverDate"/>
    <w:basedOn w:val="Normal"/>
    <w:rsid w:val="00E76DB5"/>
    <w:pPr>
      <w:spacing w:before="240" w:after="1200"/>
    </w:pPr>
  </w:style>
  <w:style w:type="paragraph" w:styleId="Header">
    <w:name w:val="header"/>
    <w:basedOn w:val="Normal"/>
    <w:link w:val="HeaderChar"/>
    <w:rsid w:val="00E76DB5"/>
    <w:pPr>
      <w:tabs>
        <w:tab w:val="center" w:pos="4513"/>
        <w:tab w:val="right" w:pos="9026"/>
      </w:tabs>
    </w:pPr>
  </w:style>
  <w:style w:type="character" w:customStyle="1" w:styleId="HeaderChar">
    <w:name w:val="Header Char"/>
    <w:basedOn w:val="DefaultParagraphFont"/>
    <w:link w:val="Header"/>
    <w:rsid w:val="00E76DB5"/>
    <w:rPr>
      <w:sz w:val="24"/>
      <w:lang w:val="et-EE"/>
    </w:rPr>
  </w:style>
  <w:style w:type="paragraph" w:customStyle="1" w:styleId="EPBody">
    <w:name w:val="EPBody"/>
    <w:basedOn w:val="Normal"/>
    <w:rsid w:val="00E76DB5"/>
    <w:pPr>
      <w:jc w:val="center"/>
    </w:pPr>
    <w:rPr>
      <w:rFonts w:ascii="Arial" w:hAnsi="Arial" w:cs="Arial"/>
      <w:i/>
      <w:sz w:val="22"/>
      <w:szCs w:val="22"/>
    </w:rPr>
  </w:style>
  <w:style w:type="paragraph" w:customStyle="1" w:styleId="EPFooter">
    <w:name w:val="EPFooter"/>
    <w:basedOn w:val="Normal"/>
    <w:rsid w:val="00E76DB5"/>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E76DB5"/>
    <w:rPr>
      <w:sz w:val="24"/>
      <w:lang w:val="et-EE"/>
    </w:rPr>
  </w:style>
  <w:style w:type="paragraph" w:customStyle="1" w:styleId="PageHeadingDec">
    <w:name w:val="PageHeadingDec"/>
    <w:basedOn w:val="PageHeading"/>
    <w:link w:val="PageHeadingDecChar"/>
    <w:qFormat/>
    <w:rsid w:val="00E76DB5"/>
  </w:style>
  <w:style w:type="character" w:customStyle="1" w:styleId="PageHeadingChar">
    <w:name w:val="PageHeading Char"/>
    <w:basedOn w:val="DefaultParagraphFont"/>
    <w:link w:val="PageHeading"/>
    <w:rsid w:val="00E76DB5"/>
    <w:rPr>
      <w:rFonts w:ascii="Arial" w:hAnsi="Arial" w:cs="Arial"/>
      <w:b/>
      <w:sz w:val="24"/>
      <w:lang w:val="et-EE"/>
    </w:rPr>
  </w:style>
  <w:style w:type="character" w:customStyle="1" w:styleId="PageHeadingDecChar">
    <w:name w:val="PageHeadingDec Char"/>
    <w:basedOn w:val="PageHeadingChar"/>
    <w:link w:val="PageHeadingDec"/>
    <w:rsid w:val="00E76DB5"/>
    <w:rPr>
      <w:rFonts w:ascii="Arial" w:hAnsi="Arial" w:cs="Arial"/>
      <w:b/>
      <w:sz w:val="24"/>
      <w:lang w:val="et-EE"/>
    </w:rPr>
  </w:style>
  <w:style w:type="paragraph" w:styleId="TOC9">
    <w:name w:val="toc 9"/>
    <w:basedOn w:val="Normal"/>
    <w:next w:val="Normal"/>
    <w:autoRedefine/>
    <w:uiPriority w:val="39"/>
    <w:rsid w:val="00E76DB5"/>
    <w:pPr>
      <w:spacing w:after="100"/>
      <w:jc w:val="center"/>
    </w:pPr>
  </w:style>
  <w:style w:type="paragraph" w:styleId="TOC8">
    <w:name w:val="toc 8"/>
    <w:basedOn w:val="Normal"/>
    <w:next w:val="Normal"/>
    <w:autoRedefine/>
    <w:uiPriority w:val="39"/>
    <w:rsid w:val="00E76DB5"/>
    <w:pPr>
      <w:tabs>
        <w:tab w:val="right" w:leader="dot" w:pos="9060"/>
      </w:tabs>
      <w:spacing w:after="240"/>
    </w:pPr>
    <w:rPr>
      <w:b/>
    </w:rPr>
  </w:style>
  <w:style w:type="paragraph" w:customStyle="1" w:styleId="PageHeadingNotTOC">
    <w:name w:val="PageHeadingNotTOC"/>
    <w:basedOn w:val="Normal"/>
    <w:link w:val="PageHeadingNotTOCChar"/>
    <w:rsid w:val="00E76DB5"/>
    <w:pPr>
      <w:keepNext/>
      <w:spacing w:after="480"/>
      <w:jc w:val="center"/>
    </w:pPr>
    <w:rPr>
      <w:rFonts w:ascii="Arial" w:hAnsi="Arial" w:cs="Arial"/>
      <w:b/>
    </w:rPr>
  </w:style>
  <w:style w:type="character" w:styleId="Hyperlink">
    <w:name w:val="Hyperlink"/>
    <w:basedOn w:val="DefaultParagraphFont"/>
    <w:uiPriority w:val="99"/>
    <w:rsid w:val="00E76DB5"/>
    <w:rPr>
      <w:color w:val="0563C1" w:themeColor="hyperlink"/>
      <w:u w:val="single"/>
    </w:rPr>
  </w:style>
  <w:style w:type="character" w:styleId="FollowedHyperlink">
    <w:name w:val="FollowedHyperlink"/>
    <w:basedOn w:val="DefaultParagraphFont"/>
    <w:rsid w:val="00E76DB5"/>
    <w:rPr>
      <w:color w:val="954F72" w:themeColor="followedHyperlink"/>
      <w:u w:val="single"/>
    </w:rPr>
  </w:style>
  <w:style w:type="paragraph" w:styleId="TOC7">
    <w:name w:val="toc 7"/>
    <w:basedOn w:val="Normal"/>
    <w:next w:val="Normal"/>
    <w:autoRedefine/>
    <w:uiPriority w:val="39"/>
    <w:rsid w:val="00E76DB5"/>
    <w:pPr>
      <w:spacing w:after="100"/>
      <w:ind w:left="720" w:hanging="720"/>
    </w:pPr>
  </w:style>
  <w:style w:type="paragraph" w:customStyle="1" w:styleId="Visa">
    <w:name w:val="Visa"/>
    <w:basedOn w:val="Normal"/>
    <w:rsid w:val="00E76DB5"/>
    <w:pPr>
      <w:tabs>
        <w:tab w:val="left" w:pos="357"/>
      </w:tabs>
      <w:snapToGrid w:val="0"/>
      <w:spacing w:after="240"/>
      <w:ind w:left="357" w:hanging="357"/>
    </w:pPr>
    <w:rPr>
      <w:lang w:eastAsia="en-US"/>
    </w:rPr>
  </w:style>
  <w:style w:type="paragraph" w:customStyle="1" w:styleId="Normal6a">
    <w:name w:val="Normal6a"/>
    <w:basedOn w:val="Normal"/>
    <w:rsid w:val="00E76DB5"/>
    <w:pPr>
      <w:spacing w:after="120"/>
    </w:pPr>
  </w:style>
  <w:style w:type="character" w:styleId="CommentReference">
    <w:name w:val="annotation reference"/>
    <w:basedOn w:val="DefaultParagraphFont"/>
    <w:uiPriority w:val="99"/>
    <w:rsid w:val="00E76DB5"/>
    <w:rPr>
      <w:sz w:val="16"/>
      <w:szCs w:val="16"/>
    </w:rPr>
  </w:style>
  <w:style w:type="paragraph" w:styleId="CommentText">
    <w:name w:val="annotation text"/>
    <w:basedOn w:val="Normal"/>
    <w:link w:val="CommentTextChar"/>
    <w:uiPriority w:val="99"/>
    <w:rsid w:val="00E76DB5"/>
    <w:rPr>
      <w:sz w:val="20"/>
    </w:rPr>
  </w:style>
  <w:style w:type="character" w:customStyle="1" w:styleId="CommentTextChar">
    <w:name w:val="Comment Text Char"/>
    <w:basedOn w:val="DefaultParagraphFont"/>
    <w:link w:val="CommentText"/>
    <w:uiPriority w:val="99"/>
    <w:rsid w:val="00E76DB5"/>
    <w:rPr>
      <w:lang w:val="et-EE"/>
    </w:rPr>
  </w:style>
  <w:style w:type="paragraph" w:styleId="CommentSubject">
    <w:name w:val="annotation subject"/>
    <w:basedOn w:val="CommentText"/>
    <w:next w:val="CommentText"/>
    <w:link w:val="CommentSubjectChar"/>
    <w:uiPriority w:val="99"/>
    <w:unhideWhenUsed/>
    <w:rsid w:val="00E76DB5"/>
    <w:rPr>
      <w:b/>
      <w:bCs/>
    </w:rPr>
  </w:style>
  <w:style w:type="character" w:customStyle="1" w:styleId="CommentSubjectChar">
    <w:name w:val="Comment Subject Char"/>
    <w:basedOn w:val="CommentTextChar"/>
    <w:link w:val="CommentSubject"/>
    <w:uiPriority w:val="99"/>
    <w:rsid w:val="00E76DB5"/>
    <w:rPr>
      <w:b/>
      <w:bCs/>
      <w:lang w:val="et-EE"/>
    </w:rPr>
  </w:style>
  <w:style w:type="paragraph" w:styleId="BalloonText">
    <w:name w:val="Balloon Text"/>
    <w:basedOn w:val="Normal"/>
    <w:link w:val="BalloonTextChar"/>
    <w:unhideWhenUsed/>
    <w:rsid w:val="00E76DB5"/>
    <w:rPr>
      <w:rFonts w:ascii="Segoe UI" w:hAnsi="Segoe UI" w:cs="Segoe UI"/>
      <w:sz w:val="18"/>
      <w:szCs w:val="18"/>
    </w:rPr>
  </w:style>
  <w:style w:type="character" w:customStyle="1" w:styleId="BalloonTextChar">
    <w:name w:val="Balloon Text Char"/>
    <w:basedOn w:val="DefaultParagraphFont"/>
    <w:link w:val="BalloonText"/>
    <w:rsid w:val="00E76DB5"/>
    <w:rPr>
      <w:rFonts w:ascii="Segoe UI" w:hAnsi="Segoe UI" w:cs="Segoe UI"/>
      <w:sz w:val="18"/>
      <w:szCs w:val="18"/>
      <w:lang w:val="et-EE"/>
    </w:rPr>
  </w:style>
  <w:style w:type="paragraph" w:customStyle="1" w:styleId="Normal24a">
    <w:name w:val="Normal24a"/>
    <w:basedOn w:val="Normal"/>
    <w:rsid w:val="00E76DB5"/>
    <w:pPr>
      <w:spacing w:after="480"/>
    </w:pPr>
  </w:style>
  <w:style w:type="paragraph" w:customStyle="1" w:styleId="NormalBoldCenter">
    <w:name w:val="NormalBoldCenter"/>
    <w:basedOn w:val="Normal"/>
    <w:rsid w:val="00E76DB5"/>
    <w:pPr>
      <w:jc w:val="center"/>
    </w:pPr>
    <w:rPr>
      <w:b/>
    </w:rPr>
  </w:style>
  <w:style w:type="paragraph" w:customStyle="1" w:styleId="Footprint12b">
    <w:name w:val="Footprint12b"/>
    <w:basedOn w:val="Normal"/>
    <w:rsid w:val="00E76DB5"/>
    <w:pPr>
      <w:spacing w:before="240"/>
    </w:pPr>
    <w:rPr>
      <w:szCs w:val="24"/>
    </w:rPr>
  </w:style>
  <w:style w:type="paragraph" w:customStyle="1" w:styleId="NormalSingle">
    <w:name w:val="NormalSingle"/>
    <w:basedOn w:val="Normal"/>
    <w:qFormat/>
    <w:rsid w:val="00E76DB5"/>
    <w:rPr>
      <w:szCs w:val="24"/>
    </w:rPr>
  </w:style>
  <w:style w:type="paragraph" w:styleId="Revision">
    <w:name w:val="Revision"/>
    <w:hidden/>
    <w:uiPriority w:val="99"/>
    <w:semiHidden/>
    <w:rsid w:val="00E76DB5"/>
    <w:rPr>
      <w:sz w:val="24"/>
    </w:rPr>
  </w:style>
  <w:style w:type="paragraph" w:styleId="ListParagraph">
    <w:name w:val="List Paragraph"/>
    <w:basedOn w:val="Normal"/>
    <w:uiPriority w:val="34"/>
    <w:qFormat/>
    <w:rsid w:val="00E76DB5"/>
    <w:pPr>
      <w:widowControl/>
      <w:ind w:left="720"/>
      <w:contextualSpacing/>
      <w:jc w:val="both"/>
    </w:pPr>
    <w:rPr>
      <w:rFonts w:eastAsiaTheme="minorHAnsi"/>
      <w:szCs w:val="24"/>
      <w:lang w:eastAsia="en-US"/>
    </w:rPr>
  </w:style>
  <w:style w:type="paragraph" w:customStyle="1" w:styleId="Normal12Hanging">
    <w:name w:val="Normal12Hanging"/>
    <w:basedOn w:val="Normal"/>
    <w:rsid w:val="00E76DB5"/>
    <w:pPr>
      <w:spacing w:after="240"/>
      <w:ind w:left="567" w:hanging="567"/>
    </w:pPr>
  </w:style>
  <w:style w:type="paragraph" w:customStyle="1" w:styleId="Normal12a">
    <w:name w:val="Normal12a"/>
    <w:basedOn w:val="Normal"/>
    <w:rsid w:val="00E76DB5"/>
    <w:pPr>
      <w:spacing w:after="240"/>
    </w:pPr>
  </w:style>
  <w:style w:type="paragraph" w:customStyle="1" w:styleId="RollCallSymbols14pt">
    <w:name w:val="RollCallSymbols14pt"/>
    <w:basedOn w:val="Normal"/>
    <w:rsid w:val="00E76DB5"/>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E76DB5"/>
    <w:pPr>
      <w:tabs>
        <w:tab w:val="center" w:pos="284"/>
        <w:tab w:val="left" w:pos="426"/>
      </w:tabs>
    </w:pPr>
    <w:rPr>
      <w:snapToGrid w:val="0"/>
      <w:lang w:eastAsia="en-US"/>
    </w:rPr>
  </w:style>
  <w:style w:type="paragraph" w:customStyle="1" w:styleId="RollCallVotes">
    <w:name w:val="RollCallVotes"/>
    <w:basedOn w:val="Normal"/>
    <w:rsid w:val="00E76DB5"/>
    <w:pPr>
      <w:spacing w:before="120" w:after="120"/>
      <w:jc w:val="center"/>
    </w:pPr>
    <w:rPr>
      <w:b/>
      <w:bCs/>
      <w:snapToGrid w:val="0"/>
      <w:sz w:val="16"/>
      <w:lang w:eastAsia="en-US"/>
    </w:rPr>
  </w:style>
  <w:style w:type="paragraph" w:customStyle="1" w:styleId="RollCallTable">
    <w:name w:val="RollCallTable"/>
    <w:basedOn w:val="Normal"/>
    <w:rsid w:val="00E76DB5"/>
    <w:pPr>
      <w:spacing w:before="120" w:after="120"/>
    </w:pPr>
    <w:rPr>
      <w:snapToGrid w:val="0"/>
      <w:sz w:val="16"/>
      <w:lang w:eastAsia="en-US"/>
    </w:rPr>
  </w:style>
  <w:style w:type="paragraph" w:styleId="NormalWeb">
    <w:name w:val="Normal (Web)"/>
    <w:basedOn w:val="Normal"/>
    <w:uiPriority w:val="99"/>
    <w:unhideWhenUsed/>
    <w:rsid w:val="00E76DB5"/>
    <w:pPr>
      <w:widowControl/>
      <w:spacing w:before="100" w:beforeAutospacing="1" w:after="100" w:afterAutospacing="1"/>
    </w:pPr>
    <w:rPr>
      <w:szCs w:val="24"/>
    </w:rPr>
  </w:style>
  <w:style w:type="paragraph" w:styleId="Footer">
    <w:name w:val="footer"/>
    <w:basedOn w:val="Normal"/>
    <w:link w:val="FooterChar"/>
    <w:rsid w:val="00E76DB5"/>
    <w:pPr>
      <w:tabs>
        <w:tab w:val="center" w:pos="4513"/>
        <w:tab w:val="right" w:pos="9026"/>
      </w:tabs>
    </w:pPr>
    <w:rPr>
      <w:lang w:val="en-GB"/>
    </w:rPr>
  </w:style>
  <w:style w:type="character" w:customStyle="1" w:styleId="FooterChar">
    <w:name w:val="Footer Char"/>
    <w:basedOn w:val="DefaultParagraphFont"/>
    <w:link w:val="Footer"/>
    <w:rsid w:val="00E76DB5"/>
    <w:rPr>
      <w:sz w:val="24"/>
    </w:rPr>
  </w:style>
  <w:style w:type="paragraph" w:customStyle="1" w:styleId="RollCallSubtitle">
    <w:name w:val="RollCallSubtitle"/>
    <w:basedOn w:val="Normal"/>
    <w:qFormat/>
    <w:rsid w:val="00E76DB5"/>
    <w:pPr>
      <w:snapToGrid w:val="0"/>
      <w:spacing w:after="240"/>
    </w:pPr>
    <w:rPr>
      <w:lang w:val="en-GB" w:eastAsia="en-US"/>
    </w:rPr>
  </w:style>
  <w:style w:type="paragraph" w:customStyle="1" w:styleId="msonormal0">
    <w:name w:val="msonormal"/>
    <w:basedOn w:val="Normal"/>
    <w:rsid w:val="00E76DB5"/>
    <w:pPr>
      <w:widowControl/>
      <w:spacing w:before="100" w:beforeAutospacing="1" w:after="100" w:afterAutospacing="1"/>
    </w:pPr>
    <w:rPr>
      <w:szCs w:val="24"/>
      <w:lang w:val="en-GB"/>
    </w:rPr>
  </w:style>
  <w:style w:type="character" w:customStyle="1" w:styleId="PageHeadingNotTOCChar">
    <w:name w:val="PageHeadingNotTOC Char"/>
    <w:basedOn w:val="DefaultParagraphFont"/>
    <w:link w:val="PageHeadingNotTOC"/>
    <w:locked/>
    <w:rsid w:val="00E76DB5"/>
    <w:rPr>
      <w:rFonts w:ascii="Arial" w:hAnsi="Arial" w:cs="Arial"/>
      <w:b/>
      <w:sz w:val="24"/>
      <w:lang w:val="et-EE"/>
    </w:rPr>
  </w:style>
  <w:style w:type="numbering" w:customStyle="1" w:styleId="NoList1">
    <w:name w:val="No List1"/>
    <w:next w:val="NoList"/>
    <w:uiPriority w:val="99"/>
    <w:semiHidden/>
    <w:unhideWhenUsed/>
    <w:rsid w:val="00ED1222"/>
  </w:style>
  <w:style w:type="paragraph" w:customStyle="1" w:styleId="Title1">
    <w:name w:val="Title1"/>
    <w:basedOn w:val="Normal"/>
    <w:next w:val="Normal"/>
    <w:uiPriority w:val="10"/>
    <w:qFormat/>
    <w:rsid w:val="00ED1222"/>
    <w:pPr>
      <w:widowControl/>
      <w:spacing w:before="240" w:after="60"/>
      <w:jc w:val="center"/>
      <w:outlineLvl w:val="0"/>
    </w:pPr>
    <w:rPr>
      <w:rFonts w:ascii="Arial" w:hAnsi="Arial" w:cs="Arial"/>
      <w:b/>
      <w:bCs/>
      <w:kern w:val="28"/>
      <w:sz w:val="32"/>
      <w:szCs w:val="32"/>
      <w:lang w:val="en-GB" w:eastAsia="en-US"/>
      <w14:ligatures w14:val="standardContextual"/>
    </w:rPr>
  </w:style>
  <w:style w:type="character" w:customStyle="1" w:styleId="TitleChar">
    <w:name w:val="Title Char"/>
    <w:basedOn w:val="DefaultParagraphFont"/>
    <w:link w:val="Title"/>
    <w:uiPriority w:val="10"/>
    <w:rsid w:val="00ED1222"/>
    <w:rPr>
      <w:rFonts w:ascii="Arial" w:eastAsia="Times New Roman" w:hAnsi="Arial" w:cs="Arial"/>
      <w:b/>
      <w:bCs/>
      <w:kern w:val="28"/>
      <w:sz w:val="32"/>
      <w:szCs w:val="32"/>
    </w:rPr>
  </w:style>
  <w:style w:type="paragraph" w:customStyle="1" w:styleId="Subtitle1">
    <w:name w:val="Subtitle1"/>
    <w:basedOn w:val="Normal"/>
    <w:next w:val="Normal"/>
    <w:uiPriority w:val="11"/>
    <w:qFormat/>
    <w:rsid w:val="00ED1222"/>
    <w:pPr>
      <w:widowControl/>
      <w:spacing w:after="60"/>
      <w:jc w:val="center"/>
      <w:outlineLvl w:val="1"/>
    </w:pPr>
    <w:rPr>
      <w:rFonts w:ascii="Arial" w:hAnsi="Arial" w:cs="Arial"/>
      <w:kern w:val="2"/>
      <w:szCs w:val="24"/>
      <w:lang w:val="en-GB" w:eastAsia="en-US"/>
      <w14:ligatures w14:val="standardContextual"/>
    </w:rPr>
  </w:style>
  <w:style w:type="character" w:customStyle="1" w:styleId="SubtitleChar">
    <w:name w:val="Subtitle Char"/>
    <w:basedOn w:val="DefaultParagraphFont"/>
    <w:link w:val="Subtitle"/>
    <w:uiPriority w:val="11"/>
    <w:rsid w:val="00ED1222"/>
    <w:rPr>
      <w:rFonts w:ascii="Arial" w:eastAsia="Times New Roman" w:hAnsi="Arial" w:cs="Arial"/>
      <w:sz w:val="24"/>
      <w:szCs w:val="24"/>
    </w:rPr>
  </w:style>
  <w:style w:type="character" w:styleId="Strong">
    <w:name w:val="Strong"/>
    <w:basedOn w:val="DefaultParagraphFont"/>
    <w:uiPriority w:val="22"/>
    <w:qFormat/>
    <w:rsid w:val="00ED1222"/>
    <w:rPr>
      <w:b/>
      <w:bCs/>
    </w:rPr>
  </w:style>
  <w:style w:type="character" w:customStyle="1" w:styleId="Emphasis1">
    <w:name w:val="Emphasis1"/>
    <w:basedOn w:val="DefaultParagraphFont"/>
    <w:uiPriority w:val="20"/>
    <w:qFormat/>
    <w:rsid w:val="00ED1222"/>
    <w:rPr>
      <w:rFonts w:ascii="Aptos" w:hAnsi="Aptos"/>
      <w:b/>
      <w:i/>
      <w:iCs/>
    </w:rPr>
  </w:style>
  <w:style w:type="paragraph" w:styleId="NoSpacing">
    <w:name w:val="No Spacing"/>
    <w:basedOn w:val="Normal"/>
    <w:uiPriority w:val="1"/>
    <w:qFormat/>
    <w:rsid w:val="00ED1222"/>
    <w:pPr>
      <w:widowControl/>
      <w:jc w:val="both"/>
    </w:pPr>
    <w:rPr>
      <w:rFonts w:eastAsia="Aptos"/>
      <w:kern w:val="2"/>
      <w:szCs w:val="32"/>
      <w:lang w:val="en-GB" w:eastAsia="en-US"/>
      <w14:ligatures w14:val="standardContextual"/>
    </w:rPr>
  </w:style>
  <w:style w:type="paragraph" w:styleId="Quote">
    <w:name w:val="Quote"/>
    <w:basedOn w:val="Normal"/>
    <w:next w:val="Normal"/>
    <w:link w:val="QuoteChar"/>
    <w:uiPriority w:val="29"/>
    <w:qFormat/>
    <w:rsid w:val="00ED1222"/>
    <w:pPr>
      <w:widowControl/>
      <w:jc w:val="both"/>
    </w:pPr>
    <w:rPr>
      <w:rFonts w:eastAsia="Aptos"/>
      <w:i/>
      <w:kern w:val="2"/>
      <w:szCs w:val="24"/>
      <w:lang w:val="en-GB" w:eastAsia="en-US"/>
      <w14:ligatures w14:val="standardContextual"/>
    </w:rPr>
  </w:style>
  <w:style w:type="character" w:customStyle="1" w:styleId="QuoteChar">
    <w:name w:val="Quote Char"/>
    <w:basedOn w:val="DefaultParagraphFont"/>
    <w:link w:val="Quote"/>
    <w:uiPriority w:val="29"/>
    <w:rsid w:val="00ED1222"/>
    <w:rPr>
      <w:rFonts w:eastAsia="Aptos"/>
      <w:i/>
      <w:kern w:val="2"/>
      <w:sz w:val="24"/>
      <w:szCs w:val="24"/>
      <w:lang w:eastAsia="en-US"/>
      <w14:ligatures w14:val="standardContextual"/>
    </w:rPr>
  </w:style>
  <w:style w:type="paragraph" w:styleId="IntenseQuote">
    <w:name w:val="Intense Quote"/>
    <w:basedOn w:val="Normal"/>
    <w:next w:val="Normal"/>
    <w:link w:val="IntenseQuoteChar"/>
    <w:uiPriority w:val="30"/>
    <w:qFormat/>
    <w:rsid w:val="00ED1222"/>
    <w:pPr>
      <w:widowControl/>
      <w:ind w:left="720" w:right="720"/>
      <w:jc w:val="both"/>
    </w:pPr>
    <w:rPr>
      <w:rFonts w:eastAsia="Aptos"/>
      <w:b/>
      <w:i/>
      <w:kern w:val="2"/>
      <w:szCs w:val="22"/>
      <w:lang w:val="en-GB" w:eastAsia="en-US"/>
      <w14:ligatures w14:val="standardContextual"/>
    </w:rPr>
  </w:style>
  <w:style w:type="character" w:customStyle="1" w:styleId="IntenseQuoteChar">
    <w:name w:val="Intense Quote Char"/>
    <w:basedOn w:val="DefaultParagraphFont"/>
    <w:link w:val="IntenseQuote"/>
    <w:uiPriority w:val="30"/>
    <w:rsid w:val="00ED1222"/>
    <w:rPr>
      <w:rFonts w:eastAsia="Aptos"/>
      <w:b/>
      <w:i/>
      <w:kern w:val="2"/>
      <w:sz w:val="24"/>
      <w:szCs w:val="22"/>
      <w:lang w:eastAsia="en-US"/>
      <w14:ligatures w14:val="standardContextual"/>
    </w:rPr>
  </w:style>
  <w:style w:type="character" w:customStyle="1" w:styleId="SubtleEmphasis1">
    <w:name w:val="Subtle Emphasis1"/>
    <w:uiPriority w:val="19"/>
    <w:qFormat/>
    <w:rsid w:val="00ED1222"/>
    <w:rPr>
      <w:i/>
      <w:color w:val="5A5A5A"/>
    </w:rPr>
  </w:style>
  <w:style w:type="character" w:styleId="IntenseEmphasis">
    <w:name w:val="Intense Emphasis"/>
    <w:basedOn w:val="DefaultParagraphFont"/>
    <w:uiPriority w:val="21"/>
    <w:qFormat/>
    <w:rsid w:val="00ED1222"/>
    <w:rPr>
      <w:b/>
      <w:i/>
      <w:sz w:val="24"/>
      <w:szCs w:val="24"/>
      <w:u w:val="single"/>
    </w:rPr>
  </w:style>
  <w:style w:type="character" w:styleId="SubtleReference">
    <w:name w:val="Subtle Reference"/>
    <w:basedOn w:val="DefaultParagraphFont"/>
    <w:uiPriority w:val="31"/>
    <w:qFormat/>
    <w:rsid w:val="00ED1222"/>
    <w:rPr>
      <w:sz w:val="24"/>
      <w:szCs w:val="24"/>
      <w:u w:val="single"/>
    </w:rPr>
  </w:style>
  <w:style w:type="character" w:styleId="IntenseReference">
    <w:name w:val="Intense Reference"/>
    <w:basedOn w:val="DefaultParagraphFont"/>
    <w:uiPriority w:val="32"/>
    <w:qFormat/>
    <w:rsid w:val="00ED1222"/>
    <w:rPr>
      <w:b/>
      <w:sz w:val="24"/>
      <w:u w:val="single"/>
    </w:rPr>
  </w:style>
  <w:style w:type="character" w:customStyle="1" w:styleId="BookTitle1">
    <w:name w:val="Book Title1"/>
    <w:basedOn w:val="DefaultParagraphFont"/>
    <w:uiPriority w:val="33"/>
    <w:qFormat/>
    <w:rsid w:val="00ED1222"/>
    <w:rPr>
      <w:rFonts w:ascii="Aptos Display" w:eastAsia="Times New Roman" w:hAnsi="Aptos Display"/>
      <w:b/>
      <w:i/>
      <w:sz w:val="24"/>
      <w:szCs w:val="24"/>
    </w:rPr>
  </w:style>
  <w:style w:type="character" w:customStyle="1" w:styleId="Hyperlink1">
    <w:name w:val="Hyperlink1"/>
    <w:basedOn w:val="DefaultParagraphFont"/>
    <w:uiPriority w:val="99"/>
    <w:rsid w:val="00ED1222"/>
    <w:rPr>
      <w:color w:val="0563C1"/>
      <w:u w:val="single"/>
    </w:rPr>
  </w:style>
  <w:style w:type="paragraph" w:styleId="Title">
    <w:name w:val="Title"/>
    <w:basedOn w:val="Normal"/>
    <w:next w:val="Normal"/>
    <w:link w:val="TitleChar"/>
    <w:uiPriority w:val="10"/>
    <w:qFormat/>
    <w:rsid w:val="00ED1222"/>
    <w:pPr>
      <w:contextualSpacing/>
    </w:pPr>
    <w:rPr>
      <w:rFonts w:ascii="Arial" w:hAnsi="Arial" w:cs="Arial"/>
      <w:b/>
      <w:bCs/>
      <w:kern w:val="28"/>
      <w:sz w:val="32"/>
      <w:szCs w:val="32"/>
      <w:lang w:val="en-GB"/>
    </w:rPr>
  </w:style>
  <w:style w:type="character" w:customStyle="1" w:styleId="TitleChar1">
    <w:name w:val="Title Char1"/>
    <w:basedOn w:val="DefaultParagraphFont"/>
    <w:link w:val="Title"/>
    <w:rsid w:val="00ED1222"/>
    <w:rPr>
      <w:rFonts w:asciiTheme="majorHAnsi" w:eastAsiaTheme="majorEastAsia" w:hAnsiTheme="majorHAnsi" w:cstheme="majorBidi"/>
      <w:spacing w:val="-10"/>
      <w:kern w:val="28"/>
      <w:sz w:val="56"/>
      <w:szCs w:val="56"/>
      <w:lang w:val="et-EE"/>
    </w:rPr>
  </w:style>
  <w:style w:type="paragraph" w:styleId="Subtitle">
    <w:name w:val="Subtitle"/>
    <w:basedOn w:val="Normal"/>
    <w:next w:val="Normal"/>
    <w:link w:val="SubtitleChar"/>
    <w:uiPriority w:val="11"/>
    <w:qFormat/>
    <w:rsid w:val="00ED1222"/>
    <w:pPr>
      <w:numPr>
        <w:ilvl w:val="1"/>
      </w:numPr>
      <w:spacing w:after="160"/>
    </w:pPr>
    <w:rPr>
      <w:rFonts w:ascii="Arial" w:hAnsi="Arial" w:cs="Arial"/>
      <w:szCs w:val="24"/>
      <w:lang w:val="en-GB"/>
    </w:rPr>
  </w:style>
  <w:style w:type="character" w:customStyle="1" w:styleId="SubtitleChar1">
    <w:name w:val="Subtitle Char1"/>
    <w:basedOn w:val="DefaultParagraphFont"/>
    <w:link w:val="Subtitle"/>
    <w:rsid w:val="00ED1222"/>
    <w:rPr>
      <w:rFonts w:asciiTheme="minorHAnsi" w:eastAsiaTheme="minorEastAsia" w:hAnsiTheme="minorHAnsi" w:cstheme="minorBidi"/>
      <w:color w:val="5A5A5A" w:themeColor="text1" w:themeTint="A5"/>
      <w:spacing w:val="15"/>
      <w:sz w:val="22"/>
      <w:szCs w:val="22"/>
      <w:lang w:val="et-EE"/>
    </w:rPr>
  </w:style>
  <w:style w:type="character" w:styleId="Emphasis">
    <w:name w:val="Emphasis"/>
    <w:basedOn w:val="DefaultParagraphFont"/>
    <w:qFormat/>
    <w:rsid w:val="00ED1222"/>
    <w:rPr>
      <w:i/>
      <w:iCs/>
    </w:rPr>
  </w:style>
  <w:style w:type="character" w:styleId="SubtleEmphasis">
    <w:name w:val="Subtle Emphasis"/>
    <w:basedOn w:val="DefaultParagraphFont"/>
    <w:uiPriority w:val="19"/>
    <w:qFormat/>
    <w:rsid w:val="00ED1222"/>
    <w:rPr>
      <w:i/>
      <w:iCs/>
      <w:color w:val="404040" w:themeColor="text1" w:themeTint="BF"/>
    </w:rPr>
  </w:style>
  <w:style w:type="character" w:styleId="BookTitle">
    <w:name w:val="Book Title"/>
    <w:basedOn w:val="DefaultParagraphFont"/>
    <w:uiPriority w:val="33"/>
    <w:qFormat/>
    <w:rsid w:val="00ED1222"/>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17" Type="http://schemas.openxmlformats.org/officeDocument/2006/relationships/hyperlink" Target="http://data.europa.eu/eli/reg/2018/1046/oj" TargetMode="External"/><Relationship Id="rId299" Type="http://schemas.openxmlformats.org/officeDocument/2006/relationships/hyperlink" Target="http://data.europa.eu/eli/reg/2024/2509/oj" TargetMode="External"/><Relationship Id="rId21" Type="http://schemas.openxmlformats.org/officeDocument/2006/relationships/hyperlink" Target="http://data.europa.eu/eli/reg/2018/1046/oj" TargetMode="External"/><Relationship Id="rId63" Type="http://schemas.openxmlformats.org/officeDocument/2006/relationships/hyperlink" Target="http://data.europa.eu/eli/reg/2018/1046/oj" TargetMode="External"/><Relationship Id="rId159" Type="http://schemas.openxmlformats.org/officeDocument/2006/relationships/hyperlink" Target="http://data.europa.eu/eli/reg/2018/1046/oj" TargetMode="External"/><Relationship Id="rId324" Type="http://schemas.openxmlformats.org/officeDocument/2006/relationships/hyperlink" Target="http://data.europa.eu/eli/reg/2024/2509/oj" TargetMode="External"/><Relationship Id="rId366" Type="http://schemas.openxmlformats.org/officeDocument/2006/relationships/hyperlink" Target="http://data.europa.eu/eli/reg/2024/2509/oj" TargetMode="External"/><Relationship Id="rId170" Type="http://schemas.openxmlformats.org/officeDocument/2006/relationships/hyperlink" Target="http://data.europa.eu/eli/C/2024/6041/oj" TargetMode="External"/><Relationship Id="rId226" Type="http://schemas.openxmlformats.org/officeDocument/2006/relationships/hyperlink" Target="http://data.europa.eu/eli/C/2024/6041/oj" TargetMode="External"/><Relationship Id="rId268" Type="http://schemas.openxmlformats.org/officeDocument/2006/relationships/hyperlink" Target="http://data.europa.eu/eli/reg/2024/2509/oj" TargetMode="External"/><Relationship Id="rId32" Type="http://schemas.openxmlformats.org/officeDocument/2006/relationships/hyperlink" Target="http://data.europa.eu/eli/C/2024/6041/oj" TargetMode="External"/><Relationship Id="rId74" Type="http://schemas.openxmlformats.org/officeDocument/2006/relationships/hyperlink" Target="http://data.europa.eu/eli/C/2024/6041/oj" TargetMode="External"/><Relationship Id="rId128" Type="http://schemas.openxmlformats.org/officeDocument/2006/relationships/hyperlink" Target="http://data.europa.eu/eli/C/2024/6041/oj" TargetMode="External"/><Relationship Id="rId335" Type="http://schemas.openxmlformats.org/officeDocument/2006/relationships/hyperlink" Target="http://data.europa.eu/eli/reg/2018/1046/oj" TargetMode="External"/><Relationship Id="rId377" Type="http://schemas.openxmlformats.org/officeDocument/2006/relationships/hyperlink" Target="http://data.europa.eu/eli/reg/2018/1046/oj" TargetMode="External"/><Relationship Id="rId5" Type="http://schemas.openxmlformats.org/officeDocument/2006/relationships/hyperlink" Target="http://data.europa.eu/eli/reg/2019/942/oj" TargetMode="External"/><Relationship Id="rId181" Type="http://schemas.openxmlformats.org/officeDocument/2006/relationships/hyperlink" Target="http://data.europa.eu/eli/C/2024/6332/oj" TargetMode="External"/><Relationship Id="rId237" Type="http://schemas.openxmlformats.org/officeDocument/2006/relationships/hyperlink" Target="http://data.europa.eu/eli/C/2024/6332/oj" TargetMode="External"/><Relationship Id="rId402" Type="http://schemas.openxmlformats.org/officeDocument/2006/relationships/hyperlink" Target="https://op.europa.eu/webpub/eca/special-reports/agencies-performance-audit-22-2020/et/" TargetMode="External"/><Relationship Id="rId279" Type="http://schemas.openxmlformats.org/officeDocument/2006/relationships/hyperlink" Target="http://data.europa.eu/eli/reg/2018/1046/oj" TargetMode="External"/><Relationship Id="rId43" Type="http://schemas.openxmlformats.org/officeDocument/2006/relationships/hyperlink" Target="http://data.europa.eu/eli/C/2024/6332/oj" TargetMode="External"/><Relationship Id="rId139" Type="http://schemas.openxmlformats.org/officeDocument/2006/relationships/hyperlink" Target="http://data.europa.eu/eli/C/2024/6332/oj" TargetMode="External"/><Relationship Id="rId290" Type="http://schemas.openxmlformats.org/officeDocument/2006/relationships/hyperlink" Target="http://data.europa.eu/eli/C/2024/6041/oj" TargetMode="External"/><Relationship Id="rId304" Type="http://schemas.openxmlformats.org/officeDocument/2006/relationships/hyperlink" Target="http://data.europa.eu/eli/C/2024/6041/oj" TargetMode="External"/><Relationship Id="rId346" Type="http://schemas.openxmlformats.org/officeDocument/2006/relationships/hyperlink" Target="http://data.europa.eu/eli/C/2024/6041/oj" TargetMode="External"/><Relationship Id="rId388" Type="http://schemas.openxmlformats.org/officeDocument/2006/relationships/hyperlink" Target="http://data.europa.eu/eli/C/2024/6041/oj" TargetMode="External"/><Relationship Id="rId85" Type="http://schemas.openxmlformats.org/officeDocument/2006/relationships/hyperlink" Target="http://data.europa.eu/eli/C/2024/6332/oj" TargetMode="External"/><Relationship Id="rId150" Type="http://schemas.openxmlformats.org/officeDocument/2006/relationships/hyperlink" Target="http://data.europa.eu/eli/reg_del/2019/715/oj" TargetMode="External"/><Relationship Id="rId192" Type="http://schemas.openxmlformats.org/officeDocument/2006/relationships/hyperlink" Target="http://data.europa.eu/eli/reg_del/2019/715/oj" TargetMode="External"/><Relationship Id="rId206" Type="http://schemas.openxmlformats.org/officeDocument/2006/relationships/hyperlink" Target="http://data.europa.eu/eli/C/2024/6041/oj" TargetMode="External"/><Relationship Id="rId413" Type="http://schemas.openxmlformats.org/officeDocument/2006/relationships/hyperlink" Target="http://data.europa.eu/eli/reg/2016/794/oj" TargetMode="External"/><Relationship Id="rId248" Type="http://schemas.openxmlformats.org/officeDocument/2006/relationships/hyperlink" Target="http://data.europa.eu/eli/reg_del/2019/715/oj" TargetMode="External"/><Relationship Id="rId12" Type="http://schemas.openxmlformats.org/officeDocument/2006/relationships/hyperlink" Target="http://data.europa.eu/eli/reg_del/2019/715/oj" TargetMode="External"/><Relationship Id="rId108" Type="http://schemas.openxmlformats.org/officeDocument/2006/relationships/hyperlink" Target="http://data.europa.eu/eli/reg_del/2019/715/oj" TargetMode="External"/><Relationship Id="rId315" Type="http://schemas.openxmlformats.org/officeDocument/2006/relationships/hyperlink" Target="http://data.europa.eu/eli/C/2024/6332/oj" TargetMode="External"/><Relationship Id="rId357" Type="http://schemas.openxmlformats.org/officeDocument/2006/relationships/hyperlink" Target="http://data.europa.eu/eli/C/2024/6332/oj" TargetMode="External"/><Relationship Id="rId54" Type="http://schemas.openxmlformats.org/officeDocument/2006/relationships/hyperlink" Target="http://data.europa.eu/eli/reg_del/2019/715/oj" TargetMode="External"/><Relationship Id="rId96" Type="http://schemas.openxmlformats.org/officeDocument/2006/relationships/hyperlink" Target="http://data.europa.eu/eli/reg_del/2019/715/oj" TargetMode="External"/><Relationship Id="rId161" Type="http://schemas.openxmlformats.org/officeDocument/2006/relationships/hyperlink" Target="http://data.europa.eu/eli/reg/2010/1094/oj" TargetMode="External"/><Relationship Id="rId217" Type="http://schemas.openxmlformats.org/officeDocument/2006/relationships/hyperlink" Target="http://data.europa.eu/eli/reg/2023/1322/oj" TargetMode="External"/><Relationship Id="rId399" Type="http://schemas.openxmlformats.org/officeDocument/2006/relationships/hyperlink" Target="http://data.europa.eu/eli/reg/2024/2509/oj" TargetMode="External"/><Relationship Id="rId259" Type="http://schemas.openxmlformats.org/officeDocument/2006/relationships/hyperlink" Target="http://data.europa.eu/eli/dec/2008/114(1)/oj" TargetMode="External"/><Relationship Id="rId23" Type="http://schemas.openxmlformats.org/officeDocument/2006/relationships/hyperlink" Target="http://data.europa.eu/eli/reg/2018/1971/oj" TargetMode="External"/><Relationship Id="rId119" Type="http://schemas.openxmlformats.org/officeDocument/2006/relationships/hyperlink" Target="http://data.europa.eu/eli/reg/2009/401/oj" TargetMode="External"/><Relationship Id="rId270" Type="http://schemas.openxmlformats.org/officeDocument/2006/relationships/hyperlink" Target="http://data.europa.eu/eli/reg_del/2019/715/oj" TargetMode="External"/><Relationship Id="rId326" Type="http://schemas.openxmlformats.org/officeDocument/2006/relationships/hyperlink" Target="http://data.europa.eu/eli/reg_del/2019/715/oj" TargetMode="External"/><Relationship Id="rId65" Type="http://schemas.openxmlformats.org/officeDocument/2006/relationships/hyperlink" Target="http://data.europa.eu/eli/reg/2018/1139/oj" TargetMode="External"/><Relationship Id="rId130" Type="http://schemas.openxmlformats.org/officeDocument/2006/relationships/hyperlink" Target="http://data.europa.eu/eli/reg/2024/2509/oj" TargetMode="External"/><Relationship Id="rId368" Type="http://schemas.openxmlformats.org/officeDocument/2006/relationships/hyperlink" Target="http://data.europa.eu/eli/reg_del/2019/715/oj" TargetMode="External"/><Relationship Id="rId172" Type="http://schemas.openxmlformats.org/officeDocument/2006/relationships/hyperlink" Target="http://data.europa.eu/eli/reg/2024/2509/oj" TargetMode="External"/><Relationship Id="rId228" Type="http://schemas.openxmlformats.org/officeDocument/2006/relationships/hyperlink" Target="http://data.europa.eu/eli/reg/2024/2509/oj" TargetMode="External"/><Relationship Id="rId281" Type="http://schemas.openxmlformats.org/officeDocument/2006/relationships/hyperlink" Target="http://data.europa.eu/eli/reg/2008/1339/oj" TargetMode="External"/><Relationship Id="rId337" Type="http://schemas.openxmlformats.org/officeDocument/2006/relationships/hyperlink" Target="http://data.europa.eu/eli/reg/2019/127/oj" TargetMode="External"/><Relationship Id="rId34" Type="http://schemas.openxmlformats.org/officeDocument/2006/relationships/hyperlink" Target="http://data.europa.eu/eli/reg/2024/2509/oj" TargetMode="External"/><Relationship Id="rId76" Type="http://schemas.openxmlformats.org/officeDocument/2006/relationships/hyperlink" Target="http://data.europa.eu/eli/reg/2024/2509/oj" TargetMode="External"/><Relationship Id="rId141" Type="http://schemas.openxmlformats.org/officeDocument/2006/relationships/hyperlink" Target="http://data.europa.eu/eli/reg/2018/1046/oj" TargetMode="External"/><Relationship Id="rId379" Type="http://schemas.openxmlformats.org/officeDocument/2006/relationships/hyperlink" Target="http://data.europa.eu/eli/reg/2007/168/oj" TargetMode="External"/><Relationship Id="rId7" Type="http://schemas.openxmlformats.org/officeDocument/2006/relationships/hyperlink" Target="http://data.europa.eu/eli/C/2024/6332/oj" TargetMode="External"/><Relationship Id="rId183" Type="http://schemas.openxmlformats.org/officeDocument/2006/relationships/hyperlink" Target="http://data.europa.eu/eli/reg/2018/1046/oj" TargetMode="External"/><Relationship Id="rId239" Type="http://schemas.openxmlformats.org/officeDocument/2006/relationships/hyperlink" Target="http://data.europa.eu/eli/reg/2018/1046/oj" TargetMode="External"/><Relationship Id="rId390" Type="http://schemas.openxmlformats.org/officeDocument/2006/relationships/hyperlink" Target="http://data.europa.eu/eli/reg/2024/2509/oj" TargetMode="External"/><Relationship Id="rId404" Type="http://schemas.openxmlformats.org/officeDocument/2006/relationships/hyperlink" Target="http://data.europa.eu/eli/reg/2019/1896/oj" TargetMode="External"/><Relationship Id="rId250" Type="http://schemas.openxmlformats.org/officeDocument/2006/relationships/hyperlink" Target="http://data.europa.eu/eli/C/2024/6041/oj" TargetMode="External"/><Relationship Id="rId292" Type="http://schemas.openxmlformats.org/officeDocument/2006/relationships/hyperlink" Target="http://data.europa.eu/eli/reg/2024/2509/oj" TargetMode="External"/><Relationship Id="rId306" Type="http://schemas.openxmlformats.org/officeDocument/2006/relationships/hyperlink" Target="http://data.europa.eu/eli/reg/2024/2509/oj" TargetMode="External"/><Relationship Id="rId45" Type="http://schemas.openxmlformats.org/officeDocument/2006/relationships/hyperlink" Target="http://data.europa.eu/eli/reg/2018/1046/oj" TargetMode="External"/><Relationship Id="rId87" Type="http://schemas.openxmlformats.org/officeDocument/2006/relationships/hyperlink" Target="http://data.europa.eu/eli/reg/2018/1046/oj" TargetMode="External"/><Relationship Id="rId110" Type="http://schemas.openxmlformats.org/officeDocument/2006/relationships/hyperlink" Target="http://data.europa.eu/eli/C/2024/6041/oj" TargetMode="External"/><Relationship Id="rId348" Type="http://schemas.openxmlformats.org/officeDocument/2006/relationships/hyperlink" Target="http://data.europa.eu/eli/reg/2024/2509/oj" TargetMode="External"/><Relationship Id="rId152" Type="http://schemas.openxmlformats.org/officeDocument/2006/relationships/hyperlink" Target="http://data.europa.eu/eli/C/2024/6041/oj" TargetMode="External"/><Relationship Id="rId194" Type="http://schemas.openxmlformats.org/officeDocument/2006/relationships/hyperlink" Target="http://data.europa.eu/eli/C/2024/6041/oj" TargetMode="External"/><Relationship Id="rId208" Type="http://schemas.openxmlformats.org/officeDocument/2006/relationships/hyperlink" Target="http://data.europa.eu/eli/reg/2024/2509/oj" TargetMode="External"/><Relationship Id="rId415" Type="http://schemas.openxmlformats.org/officeDocument/2006/relationships/hyperlink" Target="https://eur-lex.europa.eu/eli/agree_interinstit/2021/611/oj/eng?eliuri=eli%3Aagree_interinstit%3A2021%3A611%3Aoj&amp;locale=et" TargetMode="External"/><Relationship Id="rId261" Type="http://schemas.openxmlformats.org/officeDocument/2006/relationships/hyperlink" Target="http://data.europa.eu/eli/C/2024/6041/oj" TargetMode="External"/><Relationship Id="rId14" Type="http://schemas.openxmlformats.org/officeDocument/2006/relationships/hyperlink" Target="http://data.europa.eu/eli/C/2024/6041/oj" TargetMode="External"/><Relationship Id="rId56" Type="http://schemas.openxmlformats.org/officeDocument/2006/relationships/hyperlink" Target="http://data.europa.eu/eli/C/2024/6041/oj" TargetMode="External"/><Relationship Id="rId317" Type="http://schemas.openxmlformats.org/officeDocument/2006/relationships/hyperlink" Target="http://data.europa.eu/eli/reg/2018/1046/oj" TargetMode="External"/><Relationship Id="rId359" Type="http://schemas.openxmlformats.org/officeDocument/2006/relationships/hyperlink" Target="http://data.europa.eu/eli/reg/2018/1046/oj" TargetMode="External"/><Relationship Id="rId98" Type="http://schemas.openxmlformats.org/officeDocument/2006/relationships/hyperlink" Target="http://data.europa.eu/eli/C/2024/6041/oj" TargetMode="External"/><Relationship Id="rId121" Type="http://schemas.openxmlformats.org/officeDocument/2006/relationships/hyperlink" Target="http://data.europa.eu/eli/C/2024/6332/oj" TargetMode="External"/><Relationship Id="rId163" Type="http://schemas.openxmlformats.org/officeDocument/2006/relationships/hyperlink" Target="http://data.europa.eu/eli/C/2024/6332/oj" TargetMode="External"/><Relationship Id="rId219" Type="http://schemas.openxmlformats.org/officeDocument/2006/relationships/hyperlink" Target="http://data.europa.eu/eli/C/2024/6332/oj" TargetMode="External"/><Relationship Id="rId370" Type="http://schemas.openxmlformats.org/officeDocument/2006/relationships/hyperlink" Target="http://data.europa.eu/eli/C/2024/6041/oj" TargetMode="External"/><Relationship Id="rId230" Type="http://schemas.openxmlformats.org/officeDocument/2006/relationships/hyperlink" Target="http://data.europa.eu/eli/reg_del/2019/715/oj" TargetMode="External"/><Relationship Id="rId25" Type="http://schemas.openxmlformats.org/officeDocument/2006/relationships/hyperlink" Target="http://data.europa.eu/eli/C/2024/6332/oj" TargetMode="External"/><Relationship Id="rId67" Type="http://schemas.openxmlformats.org/officeDocument/2006/relationships/hyperlink" Target="http://data.europa.eu/eli/C/2024/6332/oj" TargetMode="External"/><Relationship Id="rId272" Type="http://schemas.openxmlformats.org/officeDocument/2006/relationships/hyperlink" Target="http://data.europa.eu/eli/C/2024/6041/oj" TargetMode="External"/><Relationship Id="rId328" Type="http://schemas.openxmlformats.org/officeDocument/2006/relationships/hyperlink" Target="http://data.europa.eu/eli/C/2024/6041/oj" TargetMode="External"/><Relationship Id="rId132" Type="http://schemas.openxmlformats.org/officeDocument/2006/relationships/hyperlink" Target="http://data.europa.eu/eli/reg_del/2019/715/oj" TargetMode="External"/><Relationship Id="rId174" Type="http://schemas.openxmlformats.org/officeDocument/2006/relationships/hyperlink" Target="http://data.europa.eu/eli/reg_del/2019/715/oj" TargetMode="External"/><Relationship Id="rId381" Type="http://schemas.openxmlformats.org/officeDocument/2006/relationships/hyperlink" Target="http://data.europa.eu/eli/C/2024/6332/oj" TargetMode="External"/><Relationship Id="rId241" Type="http://schemas.openxmlformats.org/officeDocument/2006/relationships/hyperlink" Target="http://data.europa.eu/eli/reg/2019/881/oj" TargetMode="External"/><Relationship Id="rId36" Type="http://schemas.openxmlformats.org/officeDocument/2006/relationships/hyperlink" Target="http://data.europa.eu/eli/reg_del/2019/715/oj" TargetMode="External"/><Relationship Id="rId283" Type="http://schemas.openxmlformats.org/officeDocument/2006/relationships/hyperlink" Target="http://data.europa.eu/eli/C/2024/6332/oj" TargetMode="External"/><Relationship Id="rId339" Type="http://schemas.openxmlformats.org/officeDocument/2006/relationships/hyperlink" Target="http://data.europa.eu/eli/C/2024/6332/oj" TargetMode="External"/><Relationship Id="rId78" Type="http://schemas.openxmlformats.org/officeDocument/2006/relationships/hyperlink" Target="http://data.europa.eu/eli/reg_del/2019/715/oj" TargetMode="External"/><Relationship Id="rId101" Type="http://schemas.openxmlformats.org/officeDocument/2006/relationships/hyperlink" Target="http://data.europa.eu/eli/reg/2006/1907/oj" TargetMode="External"/><Relationship Id="rId143" Type="http://schemas.openxmlformats.org/officeDocument/2006/relationships/hyperlink" Target="http://data.europa.eu/eli/reg/2002/178/oj" TargetMode="External"/><Relationship Id="rId185" Type="http://schemas.openxmlformats.org/officeDocument/2006/relationships/hyperlink" Target="http://data.europa.eu/eli/reg/2019/1149/oj" TargetMode="External"/><Relationship Id="rId350" Type="http://schemas.openxmlformats.org/officeDocument/2006/relationships/hyperlink" Target="http://data.europa.eu/eli/reg_del/2019/715/oj" TargetMode="External"/><Relationship Id="rId406" Type="http://schemas.openxmlformats.org/officeDocument/2006/relationships/hyperlink" Target="https://acer.europa.eu/sites/default/files/documents/en/The_agency/Organisation/Administrative_Board/Meetings/12th%20AB%20Meeting%20%20Background%20Documents/5-AB-12-13_Roadmap%20on%20the%20follow%20up%20to%20the%20Common%20Approach%20on%20EU%20Decentralised%20Agencies.pdf" TargetMode="External"/><Relationship Id="rId9" Type="http://schemas.openxmlformats.org/officeDocument/2006/relationships/hyperlink" Target="http://data.europa.eu/eli/reg/2018/1046/oj" TargetMode="External"/><Relationship Id="rId210" Type="http://schemas.openxmlformats.org/officeDocument/2006/relationships/hyperlink" Target="http://data.europa.eu/eli/reg/2023/1322/oj" TargetMode="External"/><Relationship Id="rId392" Type="http://schemas.openxmlformats.org/officeDocument/2006/relationships/hyperlink" Target="http://data.europa.eu/eli/reg_del/2019/715/oj" TargetMode="External"/><Relationship Id="rId252" Type="http://schemas.openxmlformats.org/officeDocument/2006/relationships/hyperlink" Target="http://data.europa.eu/eli/reg/2024/2509/oj" TargetMode="External"/><Relationship Id="rId294" Type="http://schemas.openxmlformats.org/officeDocument/2006/relationships/hyperlink" Target="http://data.europa.eu/eli/reg/2021/2303/oj" TargetMode="External"/><Relationship Id="rId308" Type="http://schemas.openxmlformats.org/officeDocument/2006/relationships/hyperlink" Target="http://data.europa.eu/eli/reg_del/2019/715/oj" TargetMode="External"/><Relationship Id="rId47" Type="http://schemas.openxmlformats.org/officeDocument/2006/relationships/hyperlink" Target="http://data.europa.eu/eli/reg/2019/128/oj" TargetMode="External"/><Relationship Id="rId89" Type="http://schemas.openxmlformats.org/officeDocument/2006/relationships/hyperlink" Target="http://data.europa.eu/eli/reg/2004/851/oj" TargetMode="External"/><Relationship Id="rId112" Type="http://schemas.openxmlformats.org/officeDocument/2006/relationships/hyperlink" Target="http://data.europa.eu/eli/reg/2024/2509/oj" TargetMode="External"/><Relationship Id="rId154" Type="http://schemas.openxmlformats.org/officeDocument/2006/relationships/hyperlink" Target="http://data.europa.eu/eli/reg/2024/2509/oj" TargetMode="External"/><Relationship Id="rId361" Type="http://schemas.openxmlformats.org/officeDocument/2006/relationships/hyperlink" Target="http://data.europa.eu/eli/reg/2016/794/oj" TargetMode="External"/><Relationship Id="rId196" Type="http://schemas.openxmlformats.org/officeDocument/2006/relationships/hyperlink" Target="http://data.europa.eu/eli/reg/2024/2509/oj" TargetMode="External"/><Relationship Id="rId417" Type="http://schemas.openxmlformats.org/officeDocument/2006/relationships/hyperlink" Target="https://eur-lex.europa.eu/legal-content/ET/AUTO/?uri=celex:32019L1937" TargetMode="External"/><Relationship Id="rId16" Type="http://schemas.openxmlformats.org/officeDocument/2006/relationships/hyperlink" Target="http://data.europa.eu/eli/reg/2024/2509/oj" TargetMode="External"/><Relationship Id="rId221" Type="http://schemas.openxmlformats.org/officeDocument/2006/relationships/hyperlink" Target="http://data.europa.eu/eli/reg/2018/1046/oj" TargetMode="External"/><Relationship Id="rId263" Type="http://schemas.openxmlformats.org/officeDocument/2006/relationships/hyperlink" Target="http://data.europa.eu/eli/reg/2024/2509/oj" TargetMode="External"/><Relationship Id="rId319" Type="http://schemas.openxmlformats.org/officeDocument/2006/relationships/hyperlink" Target="http://data.europa.eu/eli/reg/2019/126/oj" TargetMode="External"/><Relationship Id="rId58" Type="http://schemas.openxmlformats.org/officeDocument/2006/relationships/hyperlink" Target="http://data.europa.eu/eli/reg/2024/2509/oj" TargetMode="External"/><Relationship Id="rId123" Type="http://schemas.openxmlformats.org/officeDocument/2006/relationships/hyperlink" Target="http://data.europa.eu/eli/reg/2018/1046/oj" TargetMode="External"/><Relationship Id="rId330" Type="http://schemas.openxmlformats.org/officeDocument/2006/relationships/hyperlink" Target="http://data.europa.eu/eli/reg/2024/2509/oj" TargetMode="External"/><Relationship Id="rId165" Type="http://schemas.openxmlformats.org/officeDocument/2006/relationships/hyperlink" Target="http://data.europa.eu/eli/reg/2018/1046/oj" TargetMode="External"/><Relationship Id="rId372" Type="http://schemas.openxmlformats.org/officeDocument/2006/relationships/hyperlink" Target="http://data.europa.eu/eli/reg/2024/2509/oj" TargetMode="External"/><Relationship Id="rId232" Type="http://schemas.openxmlformats.org/officeDocument/2006/relationships/hyperlink" Target="http://data.europa.eu/eli/C/2024/6041/oj" TargetMode="External"/><Relationship Id="rId274" Type="http://schemas.openxmlformats.org/officeDocument/2006/relationships/hyperlink" Target="http://data.europa.eu/eli/reg/2024/2509/oj" TargetMode="External"/><Relationship Id="rId27" Type="http://schemas.openxmlformats.org/officeDocument/2006/relationships/hyperlink" Target="http://data.europa.eu/eli/reg/2018/1046/oj" TargetMode="External"/><Relationship Id="rId69" Type="http://schemas.openxmlformats.org/officeDocument/2006/relationships/hyperlink" Target="http://data.europa.eu/eli/reg/2018/1046/oj" TargetMode="External"/><Relationship Id="rId134" Type="http://schemas.openxmlformats.org/officeDocument/2006/relationships/hyperlink" Target="http://data.europa.eu/eli/C/2024/6041/oj" TargetMode="External"/><Relationship Id="rId80" Type="http://schemas.openxmlformats.org/officeDocument/2006/relationships/hyperlink" Target="http://data.europa.eu/eli/C/2024/6041/oj" TargetMode="External"/><Relationship Id="rId176" Type="http://schemas.openxmlformats.org/officeDocument/2006/relationships/hyperlink" Target="http://data.europa.eu/eli/C/2024/6041/oj" TargetMode="External"/><Relationship Id="rId341" Type="http://schemas.openxmlformats.org/officeDocument/2006/relationships/hyperlink" Target="http://data.europa.eu/eli/reg/2018/1046/oj" TargetMode="External"/><Relationship Id="rId383" Type="http://schemas.openxmlformats.org/officeDocument/2006/relationships/hyperlink" Target="http://data.europa.eu/eli/reg/2018/1046/oj" TargetMode="External"/><Relationship Id="rId201" Type="http://schemas.openxmlformats.org/officeDocument/2006/relationships/hyperlink" Target="http://data.europa.eu/eli/reg/2018/1046/oj" TargetMode="External"/><Relationship Id="rId222" Type="http://schemas.openxmlformats.org/officeDocument/2006/relationships/hyperlink" Target="http://data.europa.eu/eli/reg/2024/2509/oj" TargetMode="External"/><Relationship Id="rId243" Type="http://schemas.openxmlformats.org/officeDocument/2006/relationships/hyperlink" Target="http://data.europa.eu/eli/C/2024/6332/oj" TargetMode="External"/><Relationship Id="rId264" Type="http://schemas.openxmlformats.org/officeDocument/2006/relationships/hyperlink" Target="http://data.europa.eu/eli/dec/2008/114(1)/oj" TargetMode="External"/><Relationship Id="rId285" Type="http://schemas.openxmlformats.org/officeDocument/2006/relationships/hyperlink" Target="http://data.europa.eu/eli/reg/2018/1046/oj" TargetMode="External"/><Relationship Id="rId17" Type="http://schemas.openxmlformats.org/officeDocument/2006/relationships/hyperlink" Target="http://data.europa.eu/eli/reg/2018/1971/oj" TargetMode="External"/><Relationship Id="rId38" Type="http://schemas.openxmlformats.org/officeDocument/2006/relationships/hyperlink" Target="http://data.europa.eu/eli/C/2024/6041/oj" TargetMode="External"/><Relationship Id="rId59" Type="http://schemas.openxmlformats.org/officeDocument/2006/relationships/hyperlink" Target="http://data.europa.eu/eli/reg/2015/2219/oj" TargetMode="External"/><Relationship Id="rId103" Type="http://schemas.openxmlformats.org/officeDocument/2006/relationships/hyperlink" Target="http://data.europa.eu/eli/C/2024/6332/oj" TargetMode="External"/><Relationship Id="rId124" Type="http://schemas.openxmlformats.org/officeDocument/2006/relationships/hyperlink" Target="http://data.europa.eu/eli/reg/2024/2509/oj" TargetMode="External"/><Relationship Id="rId310" Type="http://schemas.openxmlformats.org/officeDocument/2006/relationships/hyperlink" Target="http://data.europa.eu/eli/C/2024/6041/oj" TargetMode="External"/><Relationship Id="rId70" Type="http://schemas.openxmlformats.org/officeDocument/2006/relationships/hyperlink" Target="http://data.europa.eu/eli/reg/2024/2509/oj" TargetMode="External"/><Relationship Id="rId91" Type="http://schemas.openxmlformats.org/officeDocument/2006/relationships/hyperlink" Target="http://data.europa.eu/eli/C/2024/6332/oj" TargetMode="External"/><Relationship Id="rId145" Type="http://schemas.openxmlformats.org/officeDocument/2006/relationships/hyperlink" Target="http://data.europa.eu/eli/C/2024/6332/oj" TargetMode="External"/><Relationship Id="rId166" Type="http://schemas.openxmlformats.org/officeDocument/2006/relationships/hyperlink" Target="http://data.europa.eu/eli/reg/2024/2509/oj" TargetMode="External"/><Relationship Id="rId187" Type="http://schemas.openxmlformats.org/officeDocument/2006/relationships/hyperlink" Target="http://data.europa.eu/eli/C/2024/6332/oj" TargetMode="External"/><Relationship Id="rId331" Type="http://schemas.openxmlformats.org/officeDocument/2006/relationships/hyperlink" Target="http://data.europa.eu/eli/reg/2019/127/oj" TargetMode="External"/><Relationship Id="rId352" Type="http://schemas.openxmlformats.org/officeDocument/2006/relationships/hyperlink" Target="http://data.europa.eu/eli/C/2024/6041/oj" TargetMode="External"/><Relationship Id="rId373" Type="http://schemas.openxmlformats.org/officeDocument/2006/relationships/hyperlink" Target="http://data.europa.eu/eli/reg/2021/696/oj" TargetMode="External"/><Relationship Id="rId394" Type="http://schemas.openxmlformats.org/officeDocument/2006/relationships/hyperlink" Target="http://data.europa.eu/eli/C/2024/6041/oj" TargetMode="External"/><Relationship Id="rId408" Type="http://schemas.openxmlformats.org/officeDocument/2006/relationships/hyperlink" Target="https://www.eumonitor.eu/9353000/1/j9vvik7m1c3gyxp/vjx64xley4zd" TargetMode="External"/><Relationship Id="rId1" Type="http://schemas.openxmlformats.org/officeDocument/2006/relationships/hyperlink" Target="http://data.europa.eu/eli/C/2024/6332/oj" TargetMode="External"/><Relationship Id="rId212" Type="http://schemas.openxmlformats.org/officeDocument/2006/relationships/hyperlink" Target="http://data.europa.eu/eli/C/2024/6332/oj" TargetMode="External"/><Relationship Id="rId233" Type="http://schemas.openxmlformats.org/officeDocument/2006/relationships/hyperlink" Target="http://data.europa.eu/eli/reg/2018/1046/oj" TargetMode="External"/><Relationship Id="rId254" Type="http://schemas.openxmlformats.org/officeDocument/2006/relationships/hyperlink" Target="http://data.europa.eu/eli/reg_del/2019/715/oj" TargetMode="External"/><Relationship Id="rId28" Type="http://schemas.openxmlformats.org/officeDocument/2006/relationships/hyperlink" Target="http://data.europa.eu/eli/reg/2024/2509/oj" TargetMode="External"/><Relationship Id="rId49" Type="http://schemas.openxmlformats.org/officeDocument/2006/relationships/hyperlink" Target="http://data.europa.eu/eli/C/2024/6332/oj" TargetMode="External"/><Relationship Id="rId114" Type="http://schemas.openxmlformats.org/officeDocument/2006/relationships/hyperlink" Target="http://data.europa.eu/eli/reg_del/2019/715/oj" TargetMode="External"/><Relationship Id="rId275" Type="http://schemas.openxmlformats.org/officeDocument/2006/relationships/hyperlink" Target="http://data.europa.eu/eli/reg/2010/1095/oj" TargetMode="External"/><Relationship Id="rId296" Type="http://schemas.openxmlformats.org/officeDocument/2006/relationships/hyperlink" Target="http://data.europa.eu/eli/C/2024/6332/oj" TargetMode="External"/><Relationship Id="rId300" Type="http://schemas.openxmlformats.org/officeDocument/2006/relationships/hyperlink" Target="http://data.europa.eu/eli/reg/2010/439/oj" TargetMode="External"/><Relationship Id="rId60" Type="http://schemas.openxmlformats.org/officeDocument/2006/relationships/hyperlink" Target="http://data.europa.eu/eli/reg_del/2019/715/oj" TargetMode="External"/><Relationship Id="rId81" Type="http://schemas.openxmlformats.org/officeDocument/2006/relationships/hyperlink" Target="http://data.europa.eu/eli/reg/2018/1046/oj" TargetMode="External"/><Relationship Id="rId135" Type="http://schemas.openxmlformats.org/officeDocument/2006/relationships/hyperlink" Target="http://data.europa.eu/eli/reg/2018/1046/oj" TargetMode="External"/><Relationship Id="rId156" Type="http://schemas.openxmlformats.org/officeDocument/2006/relationships/hyperlink" Target="http://data.europa.eu/eli/reg_del/2019/715/oj" TargetMode="External"/><Relationship Id="rId177" Type="http://schemas.openxmlformats.org/officeDocument/2006/relationships/hyperlink" Target="http://data.europa.eu/eli/reg/2018/1046/oj" TargetMode="External"/><Relationship Id="rId198" Type="http://schemas.openxmlformats.org/officeDocument/2006/relationships/hyperlink" Target="http://data.europa.eu/eli/reg_del/2019/715/oj" TargetMode="External"/><Relationship Id="rId321" Type="http://schemas.openxmlformats.org/officeDocument/2006/relationships/hyperlink" Target="http://data.europa.eu/eli/C/2024/6332/oj" TargetMode="External"/><Relationship Id="rId342" Type="http://schemas.openxmlformats.org/officeDocument/2006/relationships/hyperlink" Target="http://data.europa.eu/eli/reg/2024/2509/oj" TargetMode="External"/><Relationship Id="rId363" Type="http://schemas.openxmlformats.org/officeDocument/2006/relationships/hyperlink" Target="http://data.europa.eu/eli/C/2024/6332/oj" TargetMode="External"/><Relationship Id="rId384" Type="http://schemas.openxmlformats.org/officeDocument/2006/relationships/hyperlink" Target="http://data.europa.eu/eli/reg/2024/2509/oj" TargetMode="External"/><Relationship Id="rId202" Type="http://schemas.openxmlformats.org/officeDocument/2006/relationships/hyperlink" Target="http://data.europa.eu/eli/reg/2024/2509/oj" TargetMode="External"/><Relationship Id="rId223" Type="http://schemas.openxmlformats.org/officeDocument/2006/relationships/hyperlink" Target="http://data.europa.eu/eli/reg/2002/1406/oj" TargetMode="External"/><Relationship Id="rId244" Type="http://schemas.openxmlformats.org/officeDocument/2006/relationships/hyperlink" Target="http://data.europa.eu/eli/C/2024/6041/oj" TargetMode="External"/><Relationship Id="rId18" Type="http://schemas.openxmlformats.org/officeDocument/2006/relationships/hyperlink" Target="http://data.europa.eu/eli/reg_del/2019/715/oj" TargetMode="External"/><Relationship Id="rId39" Type="http://schemas.openxmlformats.org/officeDocument/2006/relationships/hyperlink" Target="http://data.europa.eu/eli/reg/2018/1046/oj" TargetMode="External"/><Relationship Id="rId265" Type="http://schemas.openxmlformats.org/officeDocument/2006/relationships/hyperlink" Target="http://data.europa.eu/eli/C/2024/6332/oj" TargetMode="External"/><Relationship Id="rId286" Type="http://schemas.openxmlformats.org/officeDocument/2006/relationships/hyperlink" Target="http://data.europa.eu/eli/reg/2024/2509/oj" TargetMode="External"/><Relationship Id="rId50" Type="http://schemas.openxmlformats.org/officeDocument/2006/relationships/hyperlink" Target="http://data.europa.eu/eli/C/2024/6041/oj" TargetMode="External"/><Relationship Id="rId104" Type="http://schemas.openxmlformats.org/officeDocument/2006/relationships/hyperlink" Target="http://data.europa.eu/eli/C/2024/6041/oj" TargetMode="External"/><Relationship Id="rId125" Type="http://schemas.openxmlformats.org/officeDocument/2006/relationships/hyperlink" Target="http://data.europa.eu/eli/reg/2019/473/oj" TargetMode="External"/><Relationship Id="rId146" Type="http://schemas.openxmlformats.org/officeDocument/2006/relationships/hyperlink" Target="http://data.europa.eu/eli/C/2024/6041/oj" TargetMode="External"/><Relationship Id="rId167" Type="http://schemas.openxmlformats.org/officeDocument/2006/relationships/hyperlink" Target="http://data.europa.eu/eli/reg/2010/1094/oj" TargetMode="External"/><Relationship Id="rId188" Type="http://schemas.openxmlformats.org/officeDocument/2006/relationships/hyperlink" Target="http://data.europa.eu/eli/C/2024/6041/oj" TargetMode="External"/><Relationship Id="rId311" Type="http://schemas.openxmlformats.org/officeDocument/2006/relationships/hyperlink" Target="http://data.europa.eu/eli/reg/2018/1046/oj" TargetMode="External"/><Relationship Id="rId332" Type="http://schemas.openxmlformats.org/officeDocument/2006/relationships/hyperlink" Target="http://data.europa.eu/eli/reg_del/2019/715/oj" TargetMode="External"/><Relationship Id="rId353" Type="http://schemas.openxmlformats.org/officeDocument/2006/relationships/hyperlink" Target="http://data.europa.eu/eli/reg/2018/1046/oj" TargetMode="External"/><Relationship Id="rId374" Type="http://schemas.openxmlformats.org/officeDocument/2006/relationships/hyperlink" Target="http://data.europa.eu/eli/reg_del/2019/715/oj" TargetMode="External"/><Relationship Id="rId395" Type="http://schemas.openxmlformats.org/officeDocument/2006/relationships/hyperlink" Target="http://data.europa.eu/eli/reg/2018/1046/oj" TargetMode="External"/><Relationship Id="rId409" Type="http://schemas.openxmlformats.org/officeDocument/2006/relationships/hyperlink" Target="https://www.eca.europa.eu/Lists/ECADocuments/SR20_22/SR_Future_of_EU_Agencies_EN.pdf" TargetMode="External"/><Relationship Id="rId71" Type="http://schemas.openxmlformats.org/officeDocument/2006/relationships/hyperlink" Target="http://data.europa.eu/eli/reg/2018/1139/oj" TargetMode="External"/><Relationship Id="rId92" Type="http://schemas.openxmlformats.org/officeDocument/2006/relationships/hyperlink" Target="http://data.europa.eu/eli/C/2024/6041/oj" TargetMode="External"/><Relationship Id="rId213" Type="http://schemas.openxmlformats.org/officeDocument/2006/relationships/hyperlink" Target="http://data.europa.eu/eli/C/2024/6041/oj" TargetMode="External"/><Relationship Id="rId234" Type="http://schemas.openxmlformats.org/officeDocument/2006/relationships/hyperlink" Target="http://data.europa.eu/eli/reg/2024/2509/oj" TargetMode="External"/><Relationship Id="rId2" Type="http://schemas.openxmlformats.org/officeDocument/2006/relationships/hyperlink" Target="http://data.europa.eu/eli/C/2024/6041/oj" TargetMode="External"/><Relationship Id="rId29" Type="http://schemas.openxmlformats.org/officeDocument/2006/relationships/hyperlink" Target="http://data.europa.eu/eli/reg/1994/2965/oj" TargetMode="External"/><Relationship Id="rId255" Type="http://schemas.openxmlformats.org/officeDocument/2006/relationships/hyperlink" Target="http://data.europa.eu/eli/C/2024/6332/oj" TargetMode="External"/><Relationship Id="rId276" Type="http://schemas.openxmlformats.org/officeDocument/2006/relationships/hyperlink" Target="http://data.europa.eu/eli/reg_del/2019/715/oj" TargetMode="External"/><Relationship Id="rId297" Type="http://schemas.openxmlformats.org/officeDocument/2006/relationships/hyperlink" Target="http://data.europa.eu/eli/C/2024/6041/oj" TargetMode="External"/><Relationship Id="rId40" Type="http://schemas.openxmlformats.org/officeDocument/2006/relationships/hyperlink" Target="http://data.europa.eu/eli/reg/2024/2509/oj" TargetMode="External"/><Relationship Id="rId115" Type="http://schemas.openxmlformats.org/officeDocument/2006/relationships/hyperlink" Target="http://data.europa.eu/eli/C/2024/6332/oj" TargetMode="External"/><Relationship Id="rId136" Type="http://schemas.openxmlformats.org/officeDocument/2006/relationships/hyperlink" Target="http://data.europa.eu/eli/reg/2024/2509/oj" TargetMode="External"/><Relationship Id="rId157" Type="http://schemas.openxmlformats.org/officeDocument/2006/relationships/hyperlink" Target="http://data.europa.eu/eli/C/2024/6332/oj" TargetMode="External"/><Relationship Id="rId178" Type="http://schemas.openxmlformats.org/officeDocument/2006/relationships/hyperlink" Target="http://data.europa.eu/eli/reg/2024/2509/oj" TargetMode="External"/><Relationship Id="rId301" Type="http://schemas.openxmlformats.org/officeDocument/2006/relationships/hyperlink" Target="http://data.europa.eu/eli/reg/2021/2303/oj" TargetMode="External"/><Relationship Id="rId322" Type="http://schemas.openxmlformats.org/officeDocument/2006/relationships/hyperlink" Target="http://data.europa.eu/eli/C/2024/6041/oj" TargetMode="External"/><Relationship Id="rId343" Type="http://schemas.openxmlformats.org/officeDocument/2006/relationships/hyperlink" Target="http://data.europa.eu/eli/reg/2018/1727/oj" TargetMode="External"/><Relationship Id="rId364" Type="http://schemas.openxmlformats.org/officeDocument/2006/relationships/hyperlink" Target="http://data.europa.eu/eli/C/2024/6041/oj" TargetMode="External"/><Relationship Id="rId61" Type="http://schemas.openxmlformats.org/officeDocument/2006/relationships/hyperlink" Target="http://data.europa.eu/eli/C/2024/6332/oj" TargetMode="External"/><Relationship Id="rId82" Type="http://schemas.openxmlformats.org/officeDocument/2006/relationships/hyperlink" Target="http://data.europa.eu/eli/reg/2024/2509/oj" TargetMode="External"/><Relationship Id="rId199" Type="http://schemas.openxmlformats.org/officeDocument/2006/relationships/hyperlink" Target="http://data.europa.eu/eli/C/2024/6332/oj" TargetMode="External"/><Relationship Id="rId203" Type="http://schemas.openxmlformats.org/officeDocument/2006/relationships/hyperlink" Target="http://data.europa.eu/eli/reg/2004/726/oj" TargetMode="External"/><Relationship Id="rId385" Type="http://schemas.openxmlformats.org/officeDocument/2006/relationships/hyperlink" Target="http://data.europa.eu/eli/reg/2007/168/oj" TargetMode="External"/><Relationship Id="rId19" Type="http://schemas.openxmlformats.org/officeDocument/2006/relationships/hyperlink" Target="http://data.europa.eu/eli/C/2024/6332/oj" TargetMode="External"/><Relationship Id="rId224" Type="http://schemas.openxmlformats.org/officeDocument/2006/relationships/hyperlink" Target="http://data.europa.eu/eli/reg_del/2019/715/oj" TargetMode="External"/><Relationship Id="rId245" Type="http://schemas.openxmlformats.org/officeDocument/2006/relationships/hyperlink" Target="http://data.europa.eu/eli/reg/2018/1046/oj" TargetMode="External"/><Relationship Id="rId266" Type="http://schemas.openxmlformats.org/officeDocument/2006/relationships/hyperlink" Target="http://data.europa.eu/eli/C/2024/6041/oj" TargetMode="External"/><Relationship Id="rId287" Type="http://schemas.openxmlformats.org/officeDocument/2006/relationships/hyperlink" Target="http://data.europa.eu/eli/reg/2008/1339/oj" TargetMode="External"/><Relationship Id="rId410" Type="http://schemas.openxmlformats.org/officeDocument/2006/relationships/hyperlink" Target="http://data.europa.eu/eli/reg/2023/2842/oj" TargetMode="External"/><Relationship Id="rId30" Type="http://schemas.openxmlformats.org/officeDocument/2006/relationships/hyperlink" Target="http://data.europa.eu/eli/reg_del/2019/715/oj" TargetMode="External"/><Relationship Id="rId105" Type="http://schemas.openxmlformats.org/officeDocument/2006/relationships/hyperlink" Target="http://data.europa.eu/eli/reg/2018/1046/oj" TargetMode="External"/><Relationship Id="rId126" Type="http://schemas.openxmlformats.org/officeDocument/2006/relationships/hyperlink" Target="http://data.europa.eu/eli/reg_del/2019/715/oj" TargetMode="External"/><Relationship Id="rId147" Type="http://schemas.openxmlformats.org/officeDocument/2006/relationships/hyperlink" Target="http://data.europa.eu/eli/reg/2018/1046/oj" TargetMode="External"/><Relationship Id="rId168" Type="http://schemas.openxmlformats.org/officeDocument/2006/relationships/hyperlink" Target="http://data.europa.eu/eli/reg_del/2019/715/oj" TargetMode="External"/><Relationship Id="rId312" Type="http://schemas.openxmlformats.org/officeDocument/2006/relationships/hyperlink" Target="http://data.europa.eu/eli/reg/2024/2509/oj" TargetMode="External"/><Relationship Id="rId333" Type="http://schemas.openxmlformats.org/officeDocument/2006/relationships/hyperlink" Target="http://data.europa.eu/eli/C/2024/6332/oj" TargetMode="External"/><Relationship Id="rId354" Type="http://schemas.openxmlformats.org/officeDocument/2006/relationships/hyperlink" Target="http://data.europa.eu/eli/reg/2024/2509/oj" TargetMode="External"/><Relationship Id="rId51" Type="http://schemas.openxmlformats.org/officeDocument/2006/relationships/hyperlink" Target="http://data.europa.eu/eli/reg/2018/1046/oj" TargetMode="External"/><Relationship Id="rId72" Type="http://schemas.openxmlformats.org/officeDocument/2006/relationships/hyperlink" Target="http://data.europa.eu/eli/reg_del/2019/715/oj" TargetMode="External"/><Relationship Id="rId93" Type="http://schemas.openxmlformats.org/officeDocument/2006/relationships/hyperlink" Target="http://data.europa.eu/eli/reg/2018/1046/oj" TargetMode="External"/><Relationship Id="rId189" Type="http://schemas.openxmlformats.org/officeDocument/2006/relationships/hyperlink" Target="http://data.europa.eu/eli/reg/2018/1046/oj" TargetMode="External"/><Relationship Id="rId375" Type="http://schemas.openxmlformats.org/officeDocument/2006/relationships/hyperlink" Target="http://data.europa.eu/eli/C/2024/6332/oj" TargetMode="External"/><Relationship Id="rId396" Type="http://schemas.openxmlformats.org/officeDocument/2006/relationships/hyperlink" Target="http://data.europa.eu/eli/reg/2024/2509/oj" TargetMode="External"/><Relationship Id="rId3" Type="http://schemas.openxmlformats.org/officeDocument/2006/relationships/hyperlink" Target="http://data.europa.eu/eli/reg/2018/1046/oj" TargetMode="External"/><Relationship Id="rId214" Type="http://schemas.openxmlformats.org/officeDocument/2006/relationships/hyperlink" Target="http://data.europa.eu/eli/reg/2018/1046/oj" TargetMode="External"/><Relationship Id="rId235" Type="http://schemas.openxmlformats.org/officeDocument/2006/relationships/hyperlink" Target="http://data.europa.eu/eli/reg/2019/881/oj" TargetMode="External"/><Relationship Id="rId256" Type="http://schemas.openxmlformats.org/officeDocument/2006/relationships/hyperlink" Target="http://data.europa.eu/eli/C/2024/6041/oj" TargetMode="External"/><Relationship Id="rId277" Type="http://schemas.openxmlformats.org/officeDocument/2006/relationships/hyperlink" Target="http://data.europa.eu/eli/C/2024/6332/oj" TargetMode="External"/><Relationship Id="rId298" Type="http://schemas.openxmlformats.org/officeDocument/2006/relationships/hyperlink" Target="http://data.europa.eu/eli/reg/2018/1046/oj" TargetMode="External"/><Relationship Id="rId400" Type="http://schemas.openxmlformats.org/officeDocument/2006/relationships/hyperlink" Target="https://european-union.europa.eu/document/download/d4199ff4-1e3d-45e6-af7e-90cf1a7b10bc_en?filename=joint_statement_on_decentralised_agencies_en.pdf" TargetMode="External"/><Relationship Id="rId116" Type="http://schemas.openxmlformats.org/officeDocument/2006/relationships/hyperlink" Target="http://data.europa.eu/eli/C/2024/6041/oj" TargetMode="External"/><Relationship Id="rId137" Type="http://schemas.openxmlformats.org/officeDocument/2006/relationships/hyperlink" Target="http://data.europa.eu/eli/reg/2002/178/oj" TargetMode="External"/><Relationship Id="rId158" Type="http://schemas.openxmlformats.org/officeDocument/2006/relationships/hyperlink" Target="http://data.europa.eu/eli/C/2024/6041/oj" TargetMode="External"/><Relationship Id="rId302" Type="http://schemas.openxmlformats.org/officeDocument/2006/relationships/hyperlink" Target="http://data.europa.eu/eli/reg_del/2019/715/oj" TargetMode="External"/><Relationship Id="rId323" Type="http://schemas.openxmlformats.org/officeDocument/2006/relationships/hyperlink" Target="http://data.europa.eu/eli/reg/2018/1046/oj" TargetMode="External"/><Relationship Id="rId344" Type="http://schemas.openxmlformats.org/officeDocument/2006/relationships/hyperlink" Target="http://data.europa.eu/eli/reg_del/2019/715/oj" TargetMode="External"/><Relationship Id="rId20" Type="http://schemas.openxmlformats.org/officeDocument/2006/relationships/hyperlink" Target="http://data.europa.eu/eli/C/2024/6041/oj" TargetMode="External"/><Relationship Id="rId41" Type="http://schemas.openxmlformats.org/officeDocument/2006/relationships/hyperlink" Target="http://data.europa.eu/eli/reg/2019/128/oj" TargetMode="External"/><Relationship Id="rId62" Type="http://schemas.openxmlformats.org/officeDocument/2006/relationships/hyperlink" Target="http://data.europa.eu/eli/C/2024/6041/oj" TargetMode="External"/><Relationship Id="rId83" Type="http://schemas.openxmlformats.org/officeDocument/2006/relationships/hyperlink" Target="http://data.europa.eu/eli/reg/2010/1093/oj" TargetMode="External"/><Relationship Id="rId179" Type="http://schemas.openxmlformats.org/officeDocument/2006/relationships/hyperlink" Target="http://data.europa.eu/eli/reg/2021/819/oj" TargetMode="External"/><Relationship Id="rId365" Type="http://schemas.openxmlformats.org/officeDocument/2006/relationships/hyperlink" Target="http://data.europa.eu/eli/reg/2018/1046/oj" TargetMode="External"/><Relationship Id="rId386" Type="http://schemas.openxmlformats.org/officeDocument/2006/relationships/hyperlink" Target="http://data.europa.eu/eli/reg_del/2019/715/oj" TargetMode="External"/><Relationship Id="rId190" Type="http://schemas.openxmlformats.org/officeDocument/2006/relationships/hyperlink" Target="http://data.europa.eu/eli/reg/2024/2509/oj" TargetMode="External"/><Relationship Id="rId204" Type="http://schemas.openxmlformats.org/officeDocument/2006/relationships/hyperlink" Target="http://data.europa.eu/eli/reg_del/2019/715/oj" TargetMode="External"/><Relationship Id="rId225" Type="http://schemas.openxmlformats.org/officeDocument/2006/relationships/hyperlink" Target="http://data.europa.eu/eli/C/2024/6332/oj" TargetMode="External"/><Relationship Id="rId246" Type="http://schemas.openxmlformats.org/officeDocument/2006/relationships/hyperlink" Target="http://data.europa.eu/eli/reg/2024/2509/oj" TargetMode="External"/><Relationship Id="rId267" Type="http://schemas.openxmlformats.org/officeDocument/2006/relationships/hyperlink" Target="http://data.europa.eu/eli/reg/2018/1046/oj" TargetMode="External"/><Relationship Id="rId288" Type="http://schemas.openxmlformats.org/officeDocument/2006/relationships/hyperlink" Target="http://data.europa.eu/eli/reg_del/2019/715/oj" TargetMode="External"/><Relationship Id="rId411" Type="http://schemas.openxmlformats.org/officeDocument/2006/relationships/hyperlink" Target="http://data.europa.eu/eli/reg/2023/2131/oj" TargetMode="External"/><Relationship Id="rId106" Type="http://schemas.openxmlformats.org/officeDocument/2006/relationships/hyperlink" Target="http://data.europa.eu/eli/reg/2024/2509/oj" TargetMode="External"/><Relationship Id="rId127" Type="http://schemas.openxmlformats.org/officeDocument/2006/relationships/hyperlink" Target="http://data.europa.eu/eli/C/2024/6332/oj" TargetMode="External"/><Relationship Id="rId313" Type="http://schemas.openxmlformats.org/officeDocument/2006/relationships/hyperlink" Target="http://data.europa.eu/eli/reg/2018/1726/oj" TargetMode="External"/><Relationship Id="rId10" Type="http://schemas.openxmlformats.org/officeDocument/2006/relationships/hyperlink" Target="http://data.europa.eu/eli/reg/2024/2509/oj" TargetMode="External"/><Relationship Id="rId31" Type="http://schemas.openxmlformats.org/officeDocument/2006/relationships/hyperlink" Target="http://data.europa.eu/eli/C/2024/6332/oj" TargetMode="External"/><Relationship Id="rId52" Type="http://schemas.openxmlformats.org/officeDocument/2006/relationships/hyperlink" Target="http://data.europa.eu/eli/reg/2024/2509/oj" TargetMode="External"/><Relationship Id="rId73" Type="http://schemas.openxmlformats.org/officeDocument/2006/relationships/hyperlink" Target="http://data.europa.eu/eli/C/2024/6332/oj" TargetMode="External"/><Relationship Id="rId94" Type="http://schemas.openxmlformats.org/officeDocument/2006/relationships/hyperlink" Target="http://data.europa.eu/eli/reg/2024/2509/oj" TargetMode="External"/><Relationship Id="rId148" Type="http://schemas.openxmlformats.org/officeDocument/2006/relationships/hyperlink" Target="http://data.europa.eu/eli/reg/2024/2509/oj" TargetMode="External"/><Relationship Id="rId169" Type="http://schemas.openxmlformats.org/officeDocument/2006/relationships/hyperlink" Target="http://data.europa.eu/eli/C/2024/6332/oj" TargetMode="External"/><Relationship Id="rId334" Type="http://schemas.openxmlformats.org/officeDocument/2006/relationships/hyperlink" Target="http://data.europa.eu/eli/C/2024/6041/oj" TargetMode="External"/><Relationship Id="rId355" Type="http://schemas.openxmlformats.org/officeDocument/2006/relationships/hyperlink" Target="http://data.europa.eu/eli/reg/2016/794/oj" TargetMode="External"/><Relationship Id="rId376" Type="http://schemas.openxmlformats.org/officeDocument/2006/relationships/hyperlink" Target="http://data.europa.eu/eli/C/2024/6041/oj" TargetMode="External"/><Relationship Id="rId397" Type="http://schemas.openxmlformats.org/officeDocument/2006/relationships/hyperlink" Target="http://data.europa.eu/eli/reg/2019/1896/oj" TargetMode="External"/><Relationship Id="rId4" Type="http://schemas.openxmlformats.org/officeDocument/2006/relationships/hyperlink" Target="http://data.europa.eu/eli/reg/2024/2509/oj" TargetMode="External"/><Relationship Id="rId180" Type="http://schemas.openxmlformats.org/officeDocument/2006/relationships/hyperlink" Target="http://data.europa.eu/eli/reg_del/2019/715/oj" TargetMode="External"/><Relationship Id="rId215" Type="http://schemas.openxmlformats.org/officeDocument/2006/relationships/hyperlink" Target="http://data.europa.eu/eli/reg/2024/2509/oj" TargetMode="External"/><Relationship Id="rId236" Type="http://schemas.openxmlformats.org/officeDocument/2006/relationships/hyperlink" Target="http://data.europa.eu/eli/reg_del/2019/715/oj" TargetMode="External"/><Relationship Id="rId257" Type="http://schemas.openxmlformats.org/officeDocument/2006/relationships/hyperlink" Target="http://data.europa.eu/eli/reg/2018/1046/oj" TargetMode="External"/><Relationship Id="rId278" Type="http://schemas.openxmlformats.org/officeDocument/2006/relationships/hyperlink" Target="http://data.europa.eu/eli/C/2024/6041/oj" TargetMode="External"/><Relationship Id="rId401" Type="http://schemas.openxmlformats.org/officeDocument/2006/relationships/hyperlink" Target="https://european-union.europa.eu/document/download/d4199ff4-1e3d-45e6-af7e-90cf1a7b10bc_en?filename=joint_statement_on_decentralised_agencies_en.pdf" TargetMode="External"/><Relationship Id="rId303" Type="http://schemas.openxmlformats.org/officeDocument/2006/relationships/hyperlink" Target="http://data.europa.eu/eli/C/2024/6332/oj" TargetMode="External"/><Relationship Id="rId42" Type="http://schemas.openxmlformats.org/officeDocument/2006/relationships/hyperlink" Target="http://data.europa.eu/eli/reg_del/2019/715/oj" TargetMode="External"/><Relationship Id="rId84" Type="http://schemas.openxmlformats.org/officeDocument/2006/relationships/hyperlink" Target="http://data.europa.eu/eli/reg_del/2019/715/oj" TargetMode="External"/><Relationship Id="rId138" Type="http://schemas.openxmlformats.org/officeDocument/2006/relationships/hyperlink" Target="http://data.europa.eu/eli/reg_del/2019/715/oj" TargetMode="External"/><Relationship Id="rId345" Type="http://schemas.openxmlformats.org/officeDocument/2006/relationships/hyperlink" Target="http://data.europa.eu/eli/C/2024/6332/oj" TargetMode="External"/><Relationship Id="rId387" Type="http://schemas.openxmlformats.org/officeDocument/2006/relationships/hyperlink" Target="http://data.europa.eu/eli/C/2024/6332/oj" TargetMode="External"/><Relationship Id="rId191" Type="http://schemas.openxmlformats.org/officeDocument/2006/relationships/hyperlink" Target="http://data.europa.eu/eli/reg/2019/1149/oj" TargetMode="External"/><Relationship Id="rId205" Type="http://schemas.openxmlformats.org/officeDocument/2006/relationships/hyperlink" Target="http://data.europa.eu/eli/C/2024/6332/oj" TargetMode="External"/><Relationship Id="rId247" Type="http://schemas.openxmlformats.org/officeDocument/2006/relationships/hyperlink" Target="http://data.europa.eu/eli/reg/2016/796/oj" TargetMode="External"/><Relationship Id="rId412" Type="http://schemas.openxmlformats.org/officeDocument/2006/relationships/hyperlink" Target="http://data.europa.eu/eli/reg/2023/969/oj" TargetMode="External"/><Relationship Id="rId107" Type="http://schemas.openxmlformats.org/officeDocument/2006/relationships/hyperlink" Target="http://data.europa.eu/eli/reg/2006/1907/oj" TargetMode="External"/><Relationship Id="rId289" Type="http://schemas.openxmlformats.org/officeDocument/2006/relationships/hyperlink" Target="http://data.europa.eu/eli/C/2024/6332/oj" TargetMode="External"/><Relationship Id="rId11" Type="http://schemas.openxmlformats.org/officeDocument/2006/relationships/hyperlink" Target="http://data.europa.eu/eli/reg/2019/942/oj" TargetMode="External"/><Relationship Id="rId53" Type="http://schemas.openxmlformats.org/officeDocument/2006/relationships/hyperlink" Target="http://data.europa.eu/eli/reg/2015/2219/oj" TargetMode="External"/><Relationship Id="rId149" Type="http://schemas.openxmlformats.org/officeDocument/2006/relationships/hyperlink" Target="http://data.europa.eu/eli/reg/2006/1922/oj" TargetMode="External"/><Relationship Id="rId314" Type="http://schemas.openxmlformats.org/officeDocument/2006/relationships/hyperlink" Target="http://data.europa.eu/eli/reg_del/2019/715/oj" TargetMode="External"/><Relationship Id="rId356" Type="http://schemas.openxmlformats.org/officeDocument/2006/relationships/hyperlink" Target="http://data.europa.eu/eli/reg_del/2019/715/oj" TargetMode="External"/><Relationship Id="rId398" Type="http://schemas.openxmlformats.org/officeDocument/2006/relationships/hyperlink" Target="http://data.europa.eu/eli/reg_del/2019/715/oj" TargetMode="External"/><Relationship Id="rId95" Type="http://schemas.openxmlformats.org/officeDocument/2006/relationships/hyperlink" Target="http://data.europa.eu/eli/reg/2004/851/oj" TargetMode="External"/><Relationship Id="rId160" Type="http://schemas.openxmlformats.org/officeDocument/2006/relationships/hyperlink" Target="http://data.europa.eu/eli/reg/2024/2509/oj" TargetMode="External"/><Relationship Id="rId216" Type="http://schemas.openxmlformats.org/officeDocument/2006/relationships/hyperlink" Target="http://data.europa.eu/eli/reg/2006/1920/oj" TargetMode="External"/><Relationship Id="rId258" Type="http://schemas.openxmlformats.org/officeDocument/2006/relationships/hyperlink" Target="http://data.europa.eu/eli/reg/2024/2509/oj" TargetMode="External"/><Relationship Id="rId22" Type="http://schemas.openxmlformats.org/officeDocument/2006/relationships/hyperlink" Target="http://data.europa.eu/eli/reg/2024/2509/oj" TargetMode="External"/><Relationship Id="rId64" Type="http://schemas.openxmlformats.org/officeDocument/2006/relationships/hyperlink" Target="http://data.europa.eu/eli/reg/2024/2509/oj" TargetMode="External"/><Relationship Id="rId118" Type="http://schemas.openxmlformats.org/officeDocument/2006/relationships/hyperlink" Target="http://data.europa.eu/eli/reg/2024/2509/oj" TargetMode="External"/><Relationship Id="rId325" Type="http://schemas.openxmlformats.org/officeDocument/2006/relationships/hyperlink" Target="http://data.europa.eu/eli/reg/2019/126/oj" TargetMode="External"/><Relationship Id="rId367" Type="http://schemas.openxmlformats.org/officeDocument/2006/relationships/hyperlink" Target="http://data.europa.eu/eli/reg/2021/696/oj" TargetMode="External"/><Relationship Id="rId171" Type="http://schemas.openxmlformats.org/officeDocument/2006/relationships/hyperlink" Target="http://data.europa.eu/eli/reg/2018/1046/oj" TargetMode="External"/><Relationship Id="rId227" Type="http://schemas.openxmlformats.org/officeDocument/2006/relationships/hyperlink" Target="http://data.europa.eu/eli/reg/2018/1046/oj" TargetMode="External"/><Relationship Id="rId269" Type="http://schemas.openxmlformats.org/officeDocument/2006/relationships/hyperlink" Target="http://data.europa.eu/eli/reg/2010/1095/oj" TargetMode="External"/><Relationship Id="rId33" Type="http://schemas.openxmlformats.org/officeDocument/2006/relationships/hyperlink" Target="http://data.europa.eu/eli/reg/2018/1046/oj" TargetMode="External"/><Relationship Id="rId129" Type="http://schemas.openxmlformats.org/officeDocument/2006/relationships/hyperlink" Target="http://data.europa.eu/eli/reg/2018/1046/oj" TargetMode="External"/><Relationship Id="rId280" Type="http://schemas.openxmlformats.org/officeDocument/2006/relationships/hyperlink" Target="http://data.europa.eu/eli/reg/2024/2509/oj" TargetMode="External"/><Relationship Id="rId336" Type="http://schemas.openxmlformats.org/officeDocument/2006/relationships/hyperlink" Target="http://data.europa.eu/eli/reg/2024/2509/oj" TargetMode="External"/><Relationship Id="rId75" Type="http://schemas.openxmlformats.org/officeDocument/2006/relationships/hyperlink" Target="http://data.europa.eu/eli/reg/2018/1046/oj" TargetMode="External"/><Relationship Id="rId140" Type="http://schemas.openxmlformats.org/officeDocument/2006/relationships/hyperlink" Target="http://data.europa.eu/eli/C/2024/6041/oj" TargetMode="External"/><Relationship Id="rId182" Type="http://schemas.openxmlformats.org/officeDocument/2006/relationships/hyperlink" Target="http://data.europa.eu/eli/C/2024/6041/oj" TargetMode="External"/><Relationship Id="rId378" Type="http://schemas.openxmlformats.org/officeDocument/2006/relationships/hyperlink" Target="http://data.europa.eu/eli/reg/2024/2509/oj" TargetMode="External"/><Relationship Id="rId403" Type="http://schemas.openxmlformats.org/officeDocument/2006/relationships/hyperlink" Target="https://www.parlament.gv.at/dokument/XXVII/EU/198502/imfname_11414247.pdf" TargetMode="External"/><Relationship Id="rId6" Type="http://schemas.openxmlformats.org/officeDocument/2006/relationships/hyperlink" Target="http://data.europa.eu/eli/reg_del/2019/715/oj" TargetMode="External"/><Relationship Id="rId238" Type="http://schemas.openxmlformats.org/officeDocument/2006/relationships/hyperlink" Target="http://data.europa.eu/eli/C/2024/6041/oj" TargetMode="External"/><Relationship Id="rId291" Type="http://schemas.openxmlformats.org/officeDocument/2006/relationships/hyperlink" Target="http://data.europa.eu/eli/reg/2018/1046/oj" TargetMode="External"/><Relationship Id="rId305" Type="http://schemas.openxmlformats.org/officeDocument/2006/relationships/hyperlink" Target="http://data.europa.eu/eli/reg/2018/1046/oj" TargetMode="External"/><Relationship Id="rId347" Type="http://schemas.openxmlformats.org/officeDocument/2006/relationships/hyperlink" Target="http://data.europa.eu/eli/reg/2018/1046/oj" TargetMode="External"/><Relationship Id="rId44" Type="http://schemas.openxmlformats.org/officeDocument/2006/relationships/hyperlink" Target="http://data.europa.eu/eli/C/2024/6041/oj" TargetMode="External"/><Relationship Id="rId86" Type="http://schemas.openxmlformats.org/officeDocument/2006/relationships/hyperlink" Target="http://data.europa.eu/eli/C/2024/6041/oj" TargetMode="External"/><Relationship Id="rId151" Type="http://schemas.openxmlformats.org/officeDocument/2006/relationships/hyperlink" Target="http://data.europa.eu/eli/C/2024/6332/oj" TargetMode="External"/><Relationship Id="rId389" Type="http://schemas.openxmlformats.org/officeDocument/2006/relationships/hyperlink" Target="http://data.europa.eu/eli/reg/2018/1046/oj" TargetMode="External"/><Relationship Id="rId193" Type="http://schemas.openxmlformats.org/officeDocument/2006/relationships/hyperlink" Target="http://data.europa.eu/eli/C/2024/6332/oj" TargetMode="External"/><Relationship Id="rId207" Type="http://schemas.openxmlformats.org/officeDocument/2006/relationships/hyperlink" Target="http://data.europa.eu/eli/reg/2018/1046/oj" TargetMode="External"/><Relationship Id="rId249" Type="http://schemas.openxmlformats.org/officeDocument/2006/relationships/hyperlink" Target="http://data.europa.eu/eli/C/2024/6332/oj" TargetMode="External"/><Relationship Id="rId414" Type="http://schemas.openxmlformats.org/officeDocument/2006/relationships/hyperlink" Target="https://www.eionet.europa.eu/etcs" TargetMode="External"/><Relationship Id="rId13" Type="http://schemas.openxmlformats.org/officeDocument/2006/relationships/hyperlink" Target="http://data.europa.eu/eli/C/2024/6332/oj" TargetMode="External"/><Relationship Id="rId109" Type="http://schemas.openxmlformats.org/officeDocument/2006/relationships/hyperlink" Target="http://data.europa.eu/eli/C/2024/6332/oj" TargetMode="External"/><Relationship Id="rId260" Type="http://schemas.openxmlformats.org/officeDocument/2006/relationships/hyperlink" Target="http://data.europa.eu/eli/C/2024/6332/oj" TargetMode="External"/><Relationship Id="rId316" Type="http://schemas.openxmlformats.org/officeDocument/2006/relationships/hyperlink" Target="http://data.europa.eu/eli/C/2024/6041/oj" TargetMode="External"/><Relationship Id="rId55" Type="http://schemas.openxmlformats.org/officeDocument/2006/relationships/hyperlink" Target="http://data.europa.eu/eli/C/2024/6332/oj" TargetMode="External"/><Relationship Id="rId97" Type="http://schemas.openxmlformats.org/officeDocument/2006/relationships/hyperlink" Target="http://data.europa.eu/eli/C/2024/6332/oj" TargetMode="External"/><Relationship Id="rId120" Type="http://schemas.openxmlformats.org/officeDocument/2006/relationships/hyperlink" Target="http://data.europa.eu/eli/reg_del/2019/715/oj" TargetMode="External"/><Relationship Id="rId358" Type="http://schemas.openxmlformats.org/officeDocument/2006/relationships/hyperlink" Target="http://data.europa.eu/eli/C/2024/6041/oj" TargetMode="External"/><Relationship Id="rId162" Type="http://schemas.openxmlformats.org/officeDocument/2006/relationships/hyperlink" Target="http://data.europa.eu/eli/reg_del/2019/715/oj" TargetMode="External"/><Relationship Id="rId218" Type="http://schemas.openxmlformats.org/officeDocument/2006/relationships/hyperlink" Target="http://data.europa.eu/eli/reg_del/2019/715/oj" TargetMode="External"/><Relationship Id="rId271" Type="http://schemas.openxmlformats.org/officeDocument/2006/relationships/hyperlink" Target="http://data.europa.eu/eli/C/2024/6332/oj" TargetMode="External"/><Relationship Id="rId24" Type="http://schemas.openxmlformats.org/officeDocument/2006/relationships/hyperlink" Target="http://data.europa.eu/eli/reg_del/2019/715/oj" TargetMode="External"/><Relationship Id="rId66" Type="http://schemas.openxmlformats.org/officeDocument/2006/relationships/hyperlink" Target="http://data.europa.eu/eli/reg_del/2019/715/oj" TargetMode="External"/><Relationship Id="rId131" Type="http://schemas.openxmlformats.org/officeDocument/2006/relationships/hyperlink" Target="http://data.europa.eu/eli/reg/2019/473/oj" TargetMode="External"/><Relationship Id="rId327" Type="http://schemas.openxmlformats.org/officeDocument/2006/relationships/hyperlink" Target="http://data.europa.eu/eli/C/2024/6332/oj" TargetMode="External"/><Relationship Id="rId369" Type="http://schemas.openxmlformats.org/officeDocument/2006/relationships/hyperlink" Target="http://data.europa.eu/eli/C/2024/6332/oj" TargetMode="External"/><Relationship Id="rId173" Type="http://schemas.openxmlformats.org/officeDocument/2006/relationships/hyperlink" Target="http://data.europa.eu/eli/reg/2021/819/oj" TargetMode="External"/><Relationship Id="rId229" Type="http://schemas.openxmlformats.org/officeDocument/2006/relationships/hyperlink" Target="http://data.europa.eu/eli/reg/2002/1406/oj" TargetMode="External"/><Relationship Id="rId380" Type="http://schemas.openxmlformats.org/officeDocument/2006/relationships/hyperlink" Target="http://data.europa.eu/eli/reg_del/2019/715/oj" TargetMode="External"/><Relationship Id="rId240" Type="http://schemas.openxmlformats.org/officeDocument/2006/relationships/hyperlink" Target="http://data.europa.eu/eli/reg/2024/2509/oj" TargetMode="External"/><Relationship Id="rId35" Type="http://schemas.openxmlformats.org/officeDocument/2006/relationships/hyperlink" Target="http://data.europa.eu/eli/reg/1994/2965/oj" TargetMode="External"/><Relationship Id="rId77" Type="http://schemas.openxmlformats.org/officeDocument/2006/relationships/hyperlink" Target="http://data.europa.eu/eli/reg/2010/1093/oj" TargetMode="External"/><Relationship Id="rId100" Type="http://schemas.openxmlformats.org/officeDocument/2006/relationships/hyperlink" Target="http://data.europa.eu/eli/reg/2024/2509/oj" TargetMode="External"/><Relationship Id="rId282" Type="http://schemas.openxmlformats.org/officeDocument/2006/relationships/hyperlink" Target="http://data.europa.eu/eli/reg_del/2019/715/oj" TargetMode="External"/><Relationship Id="rId338" Type="http://schemas.openxmlformats.org/officeDocument/2006/relationships/hyperlink" Target="http://data.europa.eu/eli/reg_del/2019/715/oj" TargetMode="External"/><Relationship Id="rId8" Type="http://schemas.openxmlformats.org/officeDocument/2006/relationships/hyperlink" Target="http://data.europa.eu/eli/C/2024/6041/oj" TargetMode="External"/><Relationship Id="rId142" Type="http://schemas.openxmlformats.org/officeDocument/2006/relationships/hyperlink" Target="http://data.europa.eu/eli/reg/2024/2509/oj" TargetMode="External"/><Relationship Id="rId184" Type="http://schemas.openxmlformats.org/officeDocument/2006/relationships/hyperlink" Target="http://data.europa.eu/eli/reg/2024/2509/oj" TargetMode="External"/><Relationship Id="rId391" Type="http://schemas.openxmlformats.org/officeDocument/2006/relationships/hyperlink" Target="http://data.europa.eu/eli/reg/2019/1896/oj" TargetMode="External"/><Relationship Id="rId405" Type="http://schemas.openxmlformats.org/officeDocument/2006/relationships/hyperlink" Target="https://eur-lex.europa.eu/legal-content/ET/TXT/HTML/?uri=CELEX:52024DC0075" TargetMode="External"/><Relationship Id="rId251" Type="http://schemas.openxmlformats.org/officeDocument/2006/relationships/hyperlink" Target="http://data.europa.eu/eli/reg/2018/1046/oj" TargetMode="External"/><Relationship Id="rId46" Type="http://schemas.openxmlformats.org/officeDocument/2006/relationships/hyperlink" Target="http://data.europa.eu/eli/reg/2024/2509/oj" TargetMode="External"/><Relationship Id="rId293" Type="http://schemas.openxmlformats.org/officeDocument/2006/relationships/hyperlink" Target="http://data.europa.eu/eli/reg/2010/439/oj" TargetMode="External"/><Relationship Id="rId307" Type="http://schemas.openxmlformats.org/officeDocument/2006/relationships/hyperlink" Target="http://data.europa.eu/eli/reg/2018/1726/oj" TargetMode="External"/><Relationship Id="rId349" Type="http://schemas.openxmlformats.org/officeDocument/2006/relationships/hyperlink" Target="http://data.europa.eu/eli/reg/2018/1727/oj" TargetMode="External"/><Relationship Id="rId88" Type="http://schemas.openxmlformats.org/officeDocument/2006/relationships/hyperlink" Target="http://data.europa.eu/eli/reg/2024/2509/oj" TargetMode="External"/><Relationship Id="rId111" Type="http://schemas.openxmlformats.org/officeDocument/2006/relationships/hyperlink" Target="http://data.europa.eu/eli/reg/2018/1046/oj" TargetMode="External"/><Relationship Id="rId153" Type="http://schemas.openxmlformats.org/officeDocument/2006/relationships/hyperlink" Target="http://data.europa.eu/eli/reg/2018/1046/oj" TargetMode="External"/><Relationship Id="rId195" Type="http://schemas.openxmlformats.org/officeDocument/2006/relationships/hyperlink" Target="http://data.europa.eu/eli/reg/2018/1046/oj" TargetMode="External"/><Relationship Id="rId209" Type="http://schemas.openxmlformats.org/officeDocument/2006/relationships/hyperlink" Target="http://data.europa.eu/eli/reg/2006/1920/oj" TargetMode="External"/><Relationship Id="rId360" Type="http://schemas.openxmlformats.org/officeDocument/2006/relationships/hyperlink" Target="http://data.europa.eu/eli/reg/2024/2509/oj" TargetMode="External"/><Relationship Id="rId416" Type="http://schemas.openxmlformats.org/officeDocument/2006/relationships/hyperlink" Target="http://data.europa.eu/eli/agree_interinstit/2021/611/oj" TargetMode="External"/><Relationship Id="rId220" Type="http://schemas.openxmlformats.org/officeDocument/2006/relationships/hyperlink" Target="http://data.europa.eu/eli/C/2024/6041/oj" TargetMode="External"/><Relationship Id="rId15" Type="http://schemas.openxmlformats.org/officeDocument/2006/relationships/hyperlink" Target="http://data.europa.eu/eli/reg/2018/1046/oj" TargetMode="External"/><Relationship Id="rId57" Type="http://schemas.openxmlformats.org/officeDocument/2006/relationships/hyperlink" Target="http://data.europa.eu/eli/reg/2018/1046/oj" TargetMode="External"/><Relationship Id="rId262" Type="http://schemas.openxmlformats.org/officeDocument/2006/relationships/hyperlink" Target="http://data.europa.eu/eli/reg/2018/1046/oj" TargetMode="External"/><Relationship Id="rId318" Type="http://schemas.openxmlformats.org/officeDocument/2006/relationships/hyperlink" Target="http://data.europa.eu/eli/reg/2024/2509/oj" TargetMode="External"/><Relationship Id="rId99" Type="http://schemas.openxmlformats.org/officeDocument/2006/relationships/hyperlink" Target="http://data.europa.eu/eli/reg/2018/1046/oj" TargetMode="External"/><Relationship Id="rId122" Type="http://schemas.openxmlformats.org/officeDocument/2006/relationships/hyperlink" Target="http://data.europa.eu/eli/C/2024/6041/oj" TargetMode="External"/><Relationship Id="rId164" Type="http://schemas.openxmlformats.org/officeDocument/2006/relationships/hyperlink" Target="http://data.europa.eu/eli/C/2024/6041/oj" TargetMode="External"/><Relationship Id="rId371" Type="http://schemas.openxmlformats.org/officeDocument/2006/relationships/hyperlink" Target="http://data.europa.eu/eli/reg/2018/1046/oj" TargetMode="External"/><Relationship Id="rId26" Type="http://schemas.openxmlformats.org/officeDocument/2006/relationships/hyperlink" Target="http://data.europa.eu/eli/C/2024/6041/oj" TargetMode="External"/><Relationship Id="rId231" Type="http://schemas.openxmlformats.org/officeDocument/2006/relationships/hyperlink" Target="http://data.europa.eu/eli/C/2024/6332/oj" TargetMode="External"/><Relationship Id="rId273" Type="http://schemas.openxmlformats.org/officeDocument/2006/relationships/hyperlink" Target="http://data.europa.eu/eli/reg/2018/1046/oj" TargetMode="External"/><Relationship Id="rId329" Type="http://schemas.openxmlformats.org/officeDocument/2006/relationships/hyperlink" Target="http://data.europa.eu/eli/reg/2018/1046/oj" TargetMode="External"/><Relationship Id="rId68" Type="http://schemas.openxmlformats.org/officeDocument/2006/relationships/hyperlink" Target="http://data.europa.eu/eli/C/2024/6041/oj" TargetMode="External"/><Relationship Id="rId133" Type="http://schemas.openxmlformats.org/officeDocument/2006/relationships/hyperlink" Target="http://data.europa.eu/eli/C/2024/6332/oj" TargetMode="External"/><Relationship Id="rId175" Type="http://schemas.openxmlformats.org/officeDocument/2006/relationships/hyperlink" Target="http://data.europa.eu/eli/C/2024/6332/oj" TargetMode="External"/><Relationship Id="rId340" Type="http://schemas.openxmlformats.org/officeDocument/2006/relationships/hyperlink" Target="http://data.europa.eu/eli/C/2024/6041/oj" TargetMode="External"/><Relationship Id="rId200" Type="http://schemas.openxmlformats.org/officeDocument/2006/relationships/hyperlink" Target="http://data.europa.eu/eli/C/2024/6041/oj" TargetMode="External"/><Relationship Id="rId382" Type="http://schemas.openxmlformats.org/officeDocument/2006/relationships/hyperlink" Target="http://data.europa.eu/eli/C/2024/6041/oj" TargetMode="External"/><Relationship Id="rId242" Type="http://schemas.openxmlformats.org/officeDocument/2006/relationships/hyperlink" Target="http://data.europa.eu/eli/reg_del/2019/715/oj" TargetMode="External"/><Relationship Id="rId284" Type="http://schemas.openxmlformats.org/officeDocument/2006/relationships/hyperlink" Target="http://data.europa.eu/eli/C/2024/6041/oj" TargetMode="External"/><Relationship Id="rId37" Type="http://schemas.openxmlformats.org/officeDocument/2006/relationships/hyperlink" Target="http://data.europa.eu/eli/C/2024/6332/oj" TargetMode="External"/><Relationship Id="rId79" Type="http://schemas.openxmlformats.org/officeDocument/2006/relationships/hyperlink" Target="http://data.europa.eu/eli/C/2024/6332/oj" TargetMode="External"/><Relationship Id="rId102" Type="http://schemas.openxmlformats.org/officeDocument/2006/relationships/hyperlink" Target="http://data.europa.eu/eli/reg_del/2019/715/oj" TargetMode="External"/><Relationship Id="rId144" Type="http://schemas.openxmlformats.org/officeDocument/2006/relationships/hyperlink" Target="http://data.europa.eu/eli/reg_del/2019/715/oj" TargetMode="External"/><Relationship Id="rId90" Type="http://schemas.openxmlformats.org/officeDocument/2006/relationships/hyperlink" Target="http://data.europa.eu/eli/reg_del/2019/715/oj" TargetMode="External"/><Relationship Id="rId186" Type="http://schemas.openxmlformats.org/officeDocument/2006/relationships/hyperlink" Target="http://data.europa.eu/eli/reg_del/2019/715/oj" TargetMode="External"/><Relationship Id="rId351" Type="http://schemas.openxmlformats.org/officeDocument/2006/relationships/hyperlink" Target="http://data.europa.eu/eli/C/2024/6332/oj" TargetMode="External"/><Relationship Id="rId393" Type="http://schemas.openxmlformats.org/officeDocument/2006/relationships/hyperlink" Target="http://data.europa.eu/eli/C/2024/6332/oj" TargetMode="External"/><Relationship Id="rId407" Type="http://schemas.openxmlformats.org/officeDocument/2006/relationships/hyperlink" Target="https://acer.europa.eu/sites/default/files/documents/en/The_agency/Organisation/Administrative_Board/Meetings/12th%20AB%20Meeting%20%20Background%20Documents/5-AB-12-13_Roadmap%20on%20the%20follow%20up%20to%20the%20Common%20Approach%20on%20EU%20Decentralised%20Agencies.pdf" TargetMode="External"/><Relationship Id="rId211" Type="http://schemas.openxmlformats.org/officeDocument/2006/relationships/hyperlink" Target="http://data.europa.eu/eli/reg_del/2019/715/oj" TargetMode="External"/><Relationship Id="rId253" Type="http://schemas.openxmlformats.org/officeDocument/2006/relationships/hyperlink" Target="http://data.europa.eu/eli/reg/2016/796/oj" TargetMode="External"/><Relationship Id="rId295" Type="http://schemas.openxmlformats.org/officeDocument/2006/relationships/hyperlink" Target="http://data.europa.eu/eli/reg_del/2019/715/oj" TargetMode="External"/><Relationship Id="rId309" Type="http://schemas.openxmlformats.org/officeDocument/2006/relationships/hyperlink" Target="http://data.europa.eu/eli/C/2024/6332/oj" TargetMode="External"/><Relationship Id="rId48" Type="http://schemas.openxmlformats.org/officeDocument/2006/relationships/hyperlink" Target="http://data.europa.eu/eli/reg_del/2019/715/oj" TargetMode="External"/><Relationship Id="rId113" Type="http://schemas.openxmlformats.org/officeDocument/2006/relationships/hyperlink" Target="http://data.europa.eu/eli/reg/2009/401/oj" TargetMode="External"/><Relationship Id="rId320" Type="http://schemas.openxmlformats.org/officeDocument/2006/relationships/hyperlink" Target="http://data.europa.eu/eli/reg_del/2019/715/oj" TargetMode="External"/><Relationship Id="rId155" Type="http://schemas.openxmlformats.org/officeDocument/2006/relationships/hyperlink" Target="http://data.europa.eu/eli/reg/2006/1922/oj" TargetMode="External"/><Relationship Id="rId197" Type="http://schemas.openxmlformats.org/officeDocument/2006/relationships/hyperlink" Target="http://data.europa.eu/eli/reg/2004/726/oj" TargetMode="External"/><Relationship Id="rId362" Type="http://schemas.openxmlformats.org/officeDocument/2006/relationships/hyperlink" Target="http://data.europa.eu/eli/reg_del/2019/715/oj" TargetMode="External"/><Relationship Id="rId418" Type="http://schemas.openxmlformats.org/officeDocument/2006/relationships/hyperlink" Target="http://data.europa.eu/eli/dir/2019/193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3F15C2-454C-4F9C-9CAB-9FE0F43FD1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165</Pages>
  <Words>43197</Words>
  <Characters>246227</Characters>
  <Application>Microsoft Office Word</Application>
  <DocSecurity>0</DocSecurity>
  <Lines>2051</Lines>
  <Paragraphs>577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288847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LEPLER Laura</cp:lastModifiedBy>
  <cp:revision>2</cp:revision>
  <cp:lastPrinted>2004-11-19T15:42:00Z</cp:lastPrinted>
  <dcterms:created xsi:type="dcterms:W3CDTF">2025-12-02T15:25:00Z</dcterms:created>
  <dcterms:modified xsi:type="dcterms:W3CDTF">2025-12-02T15:25:00Z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P10_TA(2025)0088_</vt:lpwstr>
  </property>
  <property fmtid="{D5CDD505-2E9C-101B-9397-08002B2CF9AE}" pid="4" name="&lt;Type&gt;">
    <vt:lpwstr>RR</vt:lpwstr>
  </property>
</Properties>
</file>