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3FBA" w14:paraId="3B9D7C7C" w14:textId="77777777" w:rsidTr="0010095E">
        <w:trPr>
          <w:trHeight w:hRule="exact" w:val="1418"/>
        </w:trPr>
        <w:tc>
          <w:tcPr>
            <w:tcW w:w="6804" w:type="dxa"/>
            <w:shd w:val="clear" w:color="auto" w:fill="auto"/>
            <w:vAlign w:val="center"/>
          </w:tcPr>
          <w:p w14:paraId="204888C8" w14:textId="77777777" w:rsidR="00751A4A" w:rsidRPr="00863FBA" w:rsidRDefault="008A24BF" w:rsidP="0010095E">
            <w:pPr>
              <w:pStyle w:val="EPName"/>
            </w:pPr>
            <w:r w:rsidRPr="00863FBA">
              <w:t>Europski parlament</w:t>
            </w:r>
          </w:p>
          <w:p w14:paraId="19B42811" w14:textId="77777777" w:rsidR="00751A4A" w:rsidRPr="00863FBA" w:rsidRDefault="005F1B17" w:rsidP="005F1B17">
            <w:pPr>
              <w:pStyle w:val="EPTerm"/>
              <w:rPr>
                <w:rStyle w:val="HideTWBExt"/>
                <w:noProof w:val="0"/>
                <w:vanish w:val="0"/>
                <w:color w:val="auto"/>
              </w:rPr>
            </w:pPr>
            <w:r w:rsidRPr="00863FBA">
              <w:t>2024</w:t>
            </w:r>
            <w:r w:rsidR="00817416" w:rsidRPr="00863FBA">
              <w:t>-202</w:t>
            </w:r>
            <w:r w:rsidRPr="00863FBA">
              <w:t>9</w:t>
            </w:r>
          </w:p>
        </w:tc>
        <w:tc>
          <w:tcPr>
            <w:tcW w:w="2268" w:type="dxa"/>
            <w:shd w:val="clear" w:color="auto" w:fill="auto"/>
          </w:tcPr>
          <w:p w14:paraId="2F71CBA0" w14:textId="77777777" w:rsidR="00751A4A" w:rsidRPr="00863FBA" w:rsidRDefault="00187494" w:rsidP="0010095E">
            <w:pPr>
              <w:pStyle w:val="EPLogo"/>
            </w:pPr>
            <w:r w:rsidRPr="00863FBA">
              <w:rPr>
                <w:noProof/>
                <w:lang w:val="en-GB" w:eastAsia="zh-CN"/>
              </w:rPr>
              <w:drawing>
                <wp:inline distT="0" distB="0" distL="0" distR="0" wp14:anchorId="3F207134" wp14:editId="5AA3B6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BD8634" w14:textId="77777777" w:rsidR="00D058B8" w:rsidRPr="00863FBA" w:rsidRDefault="00D058B8" w:rsidP="004C5D52">
      <w:pPr>
        <w:pStyle w:val="LineTop"/>
      </w:pPr>
    </w:p>
    <w:p w14:paraId="38D2349C" w14:textId="77777777" w:rsidR="00680577" w:rsidRPr="00863FBA" w:rsidRDefault="008A24BF" w:rsidP="00680577">
      <w:pPr>
        <w:pStyle w:val="EPBodyTA1"/>
      </w:pPr>
      <w:r w:rsidRPr="00863FBA">
        <w:t>USVOJENI TEKSTOVI</w:t>
      </w:r>
    </w:p>
    <w:p w14:paraId="73391597" w14:textId="77777777" w:rsidR="00D058B8" w:rsidRPr="00863FBA" w:rsidRDefault="00D058B8" w:rsidP="00D058B8">
      <w:pPr>
        <w:pStyle w:val="LineBottom"/>
      </w:pPr>
    </w:p>
    <w:p w14:paraId="6FFE48A6" w14:textId="77777777" w:rsidR="008A24BF" w:rsidRPr="00863FBA" w:rsidRDefault="008A24BF" w:rsidP="008A24BF">
      <w:pPr>
        <w:pStyle w:val="ATHeading1"/>
      </w:pPr>
      <w:bookmarkStart w:id="0" w:name="TANumber"/>
      <w:r w:rsidRPr="00863FBA">
        <w:t>P10_TA(2025)00</w:t>
      </w:r>
      <w:r w:rsidR="00C522AE">
        <w:t>88</w:t>
      </w:r>
      <w:bookmarkEnd w:id="0"/>
    </w:p>
    <w:p w14:paraId="0935FFD2" w14:textId="77777777" w:rsidR="008A24BF" w:rsidRPr="00863FBA" w:rsidRDefault="008A24BF" w:rsidP="008A24BF">
      <w:pPr>
        <w:pStyle w:val="ATHeading2"/>
      </w:pPr>
      <w:bookmarkStart w:id="1" w:name="title"/>
      <w:r w:rsidRPr="00863FBA">
        <w:t xml:space="preserve">Razrješnica za 2023.: </w:t>
      </w:r>
      <w:r w:rsidR="00317A09">
        <w:t>A</w:t>
      </w:r>
      <w:r w:rsidRPr="00863FBA">
        <w:t>gencije</w:t>
      </w:r>
      <w:bookmarkEnd w:id="1"/>
    </w:p>
    <w:p w14:paraId="77A3C3F9" w14:textId="77777777" w:rsidR="008A24BF" w:rsidRPr="00863FBA" w:rsidRDefault="008A24BF" w:rsidP="008A24BF">
      <w:pPr>
        <w:rPr>
          <w:i/>
          <w:vanish/>
        </w:rPr>
      </w:pPr>
      <w:r w:rsidRPr="00863FBA">
        <w:rPr>
          <w:i/>
        </w:rPr>
        <w:fldChar w:fldCharType="begin"/>
      </w:r>
      <w:r w:rsidRPr="00863FBA">
        <w:rPr>
          <w:i/>
        </w:rPr>
        <w:instrText xml:space="preserve"> TC"(</w:instrText>
      </w:r>
      <w:bookmarkStart w:id="2" w:name="DocNumber"/>
      <w:r w:rsidRPr="00863FBA">
        <w:rPr>
          <w:i/>
        </w:rPr>
        <w:instrText>A10-0065/2025</w:instrText>
      </w:r>
      <w:bookmarkEnd w:id="2"/>
      <w:r w:rsidRPr="00863FBA">
        <w:rPr>
          <w:i/>
        </w:rPr>
        <w:instrText xml:space="preserve"> - Izvjestitelj: Erik </w:instrText>
      </w:r>
      <w:proofErr w:type="spellStart"/>
      <w:r w:rsidRPr="00863FBA">
        <w:rPr>
          <w:i/>
        </w:rPr>
        <w:instrText>Marquardt</w:instrText>
      </w:r>
      <w:proofErr w:type="spellEnd"/>
      <w:r w:rsidRPr="00863FBA">
        <w:rPr>
          <w:i/>
        </w:rPr>
        <w:instrText xml:space="preserve">)"\l3 \n&gt; \* MERGEFORMAT </w:instrText>
      </w:r>
      <w:r w:rsidRPr="00863FBA">
        <w:rPr>
          <w:i/>
        </w:rPr>
        <w:fldChar w:fldCharType="end"/>
      </w:r>
    </w:p>
    <w:p w14:paraId="60A2197F" w14:textId="77777777" w:rsidR="008A24BF" w:rsidRPr="00863FBA" w:rsidRDefault="008A24BF" w:rsidP="008A24BF">
      <w:pPr>
        <w:rPr>
          <w:vanish/>
        </w:rPr>
      </w:pPr>
      <w:bookmarkStart w:id="3" w:name="Commission"/>
      <w:r w:rsidRPr="00863FBA">
        <w:rPr>
          <w:vanish/>
        </w:rPr>
        <w:t>Odbor za proračunski nadzor</w:t>
      </w:r>
      <w:bookmarkEnd w:id="3"/>
    </w:p>
    <w:p w14:paraId="45B908A9" w14:textId="77777777" w:rsidR="008A24BF" w:rsidRPr="00863FBA" w:rsidRDefault="008A24BF" w:rsidP="008A24BF">
      <w:pPr>
        <w:rPr>
          <w:vanish/>
        </w:rPr>
      </w:pPr>
      <w:bookmarkStart w:id="4" w:name="PE"/>
      <w:r w:rsidRPr="00863FBA">
        <w:rPr>
          <w:vanish/>
        </w:rPr>
        <w:t>PE765.000</w:t>
      </w:r>
      <w:bookmarkEnd w:id="4"/>
    </w:p>
    <w:p w14:paraId="668E07F8" w14:textId="77777777" w:rsidR="008A24BF" w:rsidRPr="00863FBA" w:rsidRDefault="00C70D99" w:rsidP="008A24BF">
      <w:pPr>
        <w:pStyle w:val="ATHeading3"/>
      </w:pPr>
      <w:bookmarkStart w:id="5" w:name="Sujet"/>
      <w:r>
        <w:t xml:space="preserve">1. </w:t>
      </w:r>
      <w:r w:rsidR="008A24BF" w:rsidRPr="00863FBA">
        <w:t xml:space="preserve">Odluka Europskog </w:t>
      </w:r>
      <w:r w:rsidR="004B477B" w:rsidRPr="00863FBA">
        <w:t>parlamenta od 7. svibnja</w:t>
      </w:r>
      <w:r w:rsidR="008A24BF" w:rsidRPr="00863FBA">
        <w:t xml:space="preserve"> 2025. o razr</w:t>
      </w:r>
      <w:r w:rsidR="001C327D">
        <w:t>ješnici za izvršenje proračuna Agencije</w:t>
      </w:r>
      <w:r w:rsidR="008A24BF" w:rsidRPr="00863FBA">
        <w:t xml:space="preserve"> Europske unije </w:t>
      </w:r>
      <w:r w:rsidR="001C327D">
        <w:t xml:space="preserve">za suradnju energetskih regulatora </w:t>
      </w:r>
      <w:r w:rsidR="008A24BF" w:rsidRPr="00863FBA">
        <w:t>za financijsku godinu 2023.</w:t>
      </w:r>
      <w:bookmarkEnd w:id="5"/>
      <w:r w:rsidR="008A24BF" w:rsidRPr="00863FBA">
        <w:t xml:space="preserve"> </w:t>
      </w:r>
      <w:bookmarkStart w:id="6" w:name="References"/>
      <w:r w:rsidR="008A24BF" w:rsidRPr="00863FBA">
        <w:t>(2024/2030(DEC))</w:t>
      </w:r>
      <w:bookmarkEnd w:id="6"/>
    </w:p>
    <w:p w14:paraId="71D4A75B" w14:textId="77777777" w:rsidR="000E5A2E" w:rsidRPr="00863FBA" w:rsidRDefault="000E5A2E" w:rsidP="000E5A2E">
      <w:pPr>
        <w:pStyle w:val="EPComma"/>
      </w:pPr>
      <w:bookmarkStart w:id="7" w:name="TextBodyBegin"/>
      <w:bookmarkEnd w:id="7"/>
      <w:r w:rsidRPr="00863FBA">
        <w:rPr>
          <w:i/>
        </w:rPr>
        <w:t>Europski parlament</w:t>
      </w:r>
      <w:r w:rsidRPr="00863FBA">
        <w:t>,</w:t>
      </w:r>
    </w:p>
    <w:p w14:paraId="27A92CF3" w14:textId="77777777" w:rsidR="00AA43E9" w:rsidRPr="00AA43E9" w:rsidRDefault="000E5A2E" w:rsidP="00AA43E9">
      <w:pPr>
        <w:spacing w:after="240"/>
        <w:ind w:left="567" w:hanging="567"/>
        <w:rPr>
          <w:kern w:val="2"/>
          <w14:ligatures w14:val="standardContextual"/>
        </w:rPr>
      </w:pPr>
      <w:r w:rsidRPr="00863FBA">
        <w:t>–</w:t>
      </w:r>
      <w:r w:rsidRPr="00863FBA">
        <w:tab/>
      </w:r>
      <w:r w:rsidR="00AA43E9" w:rsidRPr="00AA43E9">
        <w:rPr>
          <w:kern w:val="2"/>
          <w14:ligatures w14:val="standardContextual"/>
        </w:rPr>
        <w:t>uzimajući u obzir završnu godišnju računovodstvenu dokumentaciju Agencije Europske unije za suradnju energetskih regulatora za financijsku godinu 2023.,</w:t>
      </w:r>
    </w:p>
    <w:p w14:paraId="202E2093" w14:textId="77777777" w:rsidR="00AA43E9" w:rsidRPr="00AA43E9" w:rsidRDefault="00AA43E9" w:rsidP="00AA43E9">
      <w:pPr>
        <w:spacing w:after="240"/>
        <w:ind w:left="567" w:hanging="567"/>
        <w:jc w:val="both"/>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kern w:val="2"/>
          <w:vertAlign w:val="superscript"/>
          <w14:ligatures w14:val="standardContextual"/>
        </w:rPr>
        <w:footnoteReference w:id="1"/>
      </w:r>
      <w:r w:rsidRPr="00AA43E9">
        <w:rPr>
          <w:kern w:val="2"/>
          <w14:ligatures w14:val="standardContextual"/>
        </w:rPr>
        <w:t>,</w:t>
      </w:r>
    </w:p>
    <w:p w14:paraId="24A4670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kern w:val="2"/>
          <w:vertAlign w:val="superscript"/>
          <w14:ligatures w14:val="standardContextual"/>
        </w:rPr>
        <w:footnoteReference w:id="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210E67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6D6606D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7E208AD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kern w:val="2"/>
          <w:vertAlign w:val="superscript"/>
          <w14:ligatures w14:val="standardContextual"/>
        </w:rPr>
        <w:footnoteReference w:id="3"/>
      </w:r>
      <w:r w:rsidRPr="00AA43E9">
        <w:rPr>
          <w:kern w:val="2"/>
          <w14:ligatures w14:val="standardContextual"/>
        </w:rPr>
        <w:t>, a posebno njezin članak 70.,</w:t>
      </w:r>
    </w:p>
    <w:p w14:paraId="417B515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4"/>
      </w:r>
      <w:r w:rsidRPr="00AA43E9">
        <w:rPr>
          <w:kern w:val="2"/>
          <w14:ligatures w14:val="standardContextual"/>
        </w:rPr>
        <w:t>, a posebno njezin članak 70.,</w:t>
      </w:r>
    </w:p>
    <w:p w14:paraId="32EB69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2019/942 Europskog parlamenta i Vijeća od 5. lipnja 2019. o osnivanju Agencije Europske unije za suradnju energetskih regulatora</w:t>
      </w:r>
      <w:r w:rsidRPr="00AA43E9">
        <w:rPr>
          <w:b/>
          <w:kern w:val="2"/>
          <w:vertAlign w:val="superscript"/>
          <w14:ligatures w14:val="standardContextual"/>
        </w:rPr>
        <w:footnoteReference w:id="5"/>
      </w:r>
      <w:r w:rsidRPr="00AA43E9">
        <w:rPr>
          <w:kern w:val="2"/>
          <w14:ligatures w14:val="standardContextual"/>
        </w:rPr>
        <w:t>, a posebno njezin članak 35.,</w:t>
      </w:r>
    </w:p>
    <w:p w14:paraId="0C4D04E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6"/>
      </w:r>
      <w:r w:rsidRPr="00AA43E9">
        <w:rPr>
          <w:kern w:val="2"/>
          <w14:ligatures w14:val="standardContextual"/>
        </w:rPr>
        <w:t>, a posebno njezin članak 105.,</w:t>
      </w:r>
    </w:p>
    <w:p w14:paraId="01C188B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78A62E1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A440EB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3FF6515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direktoru Agencije Europske unije za suradnju energetskih regulatora za izvršenje proračuna Agencije za financijsku godinu 2023.;</w:t>
      </w:r>
    </w:p>
    <w:p w14:paraId="679B209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453D29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direktoru Agencije Europske unije za suradnju energetskih regulatora,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5676903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D88AC43" w14:textId="17863F7F" w:rsidR="00AA43E9" w:rsidRPr="00AA43E9" w:rsidRDefault="00AA43E9" w:rsidP="00AA43E9">
      <w:pPr>
        <w:pStyle w:val="ATHeading3"/>
      </w:pPr>
      <w:r w:rsidRPr="00AA43E9">
        <w:lastRenderedPageBreak/>
        <w:t>2. Odluka Europskog parlamenta od 7. svibnja 2025. o zaključenju poslovnih knjiga Agencije Europske unije za suradnju energetskih regulatora za financijsku godinu 2023. (2024/2030(DEC))</w:t>
      </w:r>
    </w:p>
    <w:p w14:paraId="1F4544FB" w14:textId="03FA0834" w:rsidR="00AA43E9" w:rsidRPr="00AA43E9" w:rsidRDefault="00AA43E9"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Pr="00AA43E9">
        <w:rPr>
          <w:iCs/>
          <w:kern w:val="2"/>
          <w14:ligatures w14:val="standardContextual"/>
        </w:rPr>
        <w:t>,</w:t>
      </w:r>
    </w:p>
    <w:p w14:paraId="3F74255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suradnju energetskih regulatora za financijsku godinu 2023.,</w:t>
      </w:r>
    </w:p>
    <w:p w14:paraId="65C8E0A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7"/>
      </w:r>
      <w:r w:rsidRPr="00AA43E9">
        <w:rPr>
          <w:kern w:val="2"/>
          <w14:ligatures w14:val="standardContextual"/>
        </w:rPr>
        <w:t>,</w:t>
      </w:r>
    </w:p>
    <w:p w14:paraId="666052E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858F3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277AE88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13854A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9"/>
      </w:r>
      <w:r w:rsidRPr="00AA43E9">
        <w:rPr>
          <w:kern w:val="2"/>
          <w14:ligatures w14:val="standardContextual"/>
        </w:rPr>
        <w:t>, a posebno njezin članak 70.,</w:t>
      </w:r>
    </w:p>
    <w:p w14:paraId="5915101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0"/>
      </w:r>
      <w:r w:rsidRPr="00AA43E9">
        <w:rPr>
          <w:kern w:val="2"/>
          <w14:ligatures w14:val="standardContextual"/>
        </w:rPr>
        <w:t>, a posebno njezin članak 70.,</w:t>
      </w:r>
    </w:p>
    <w:p w14:paraId="181738B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2019/942 Europskog parlamenta i Vijeća od 5. lipnja 2019. o osnivanju Agencije Europske unije za suradnju energetskih regulatora</w:t>
      </w:r>
      <w:r w:rsidRPr="00AA43E9">
        <w:rPr>
          <w:b/>
          <w:kern w:val="2"/>
          <w:vertAlign w:val="superscript"/>
          <w14:ligatures w14:val="standardContextual"/>
        </w:rPr>
        <w:footnoteReference w:id="11"/>
      </w:r>
      <w:r w:rsidRPr="00AA43E9">
        <w:rPr>
          <w:kern w:val="2"/>
          <w14:ligatures w14:val="standardContextual"/>
        </w:rPr>
        <w:t>, a posebno njezin članak 35.,</w:t>
      </w:r>
    </w:p>
    <w:p w14:paraId="4DE8AA9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2"/>
      </w:r>
      <w:r w:rsidRPr="00AA43E9">
        <w:rPr>
          <w:kern w:val="2"/>
          <w14:ligatures w14:val="standardContextual"/>
        </w:rPr>
        <w:t>, a posebno njezin članak 105.,</w:t>
      </w:r>
    </w:p>
    <w:p w14:paraId="71E432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5A7135D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42AF92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3FA63A8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suradnju energetskih regulatora za financijsku godinu 2023.;</w:t>
      </w:r>
    </w:p>
    <w:p w14:paraId="671FCDD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direktoru Agencije Europske unije za suradnju energetskih regulatora,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4A29976A"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8A28836" w14:textId="7FA8948F" w:rsidR="00AA43E9" w:rsidRPr="00AA43E9" w:rsidRDefault="00AA43E9" w:rsidP="00AA43E9">
      <w:pPr>
        <w:pStyle w:val="ATHeading3"/>
      </w:pPr>
      <w:r w:rsidRPr="00AA43E9">
        <w:lastRenderedPageBreak/>
        <w:t>3. Odluka Europskog parlamenta od 7. svibnja 2025. o razrješnici za izvršenje proračuna Agencije za potporu BEREC-u za financijsku godinu 2023. (2024/2030(DEC))</w:t>
      </w:r>
    </w:p>
    <w:p w14:paraId="4E505D21" w14:textId="5CAB5C6A" w:rsidR="00AA43E9" w:rsidRPr="00AA43E9" w:rsidRDefault="00AA43E9"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Pr="00AA43E9">
        <w:rPr>
          <w:iCs/>
          <w:kern w:val="2"/>
          <w14:ligatures w14:val="standardContextual"/>
        </w:rPr>
        <w:t>,</w:t>
      </w:r>
    </w:p>
    <w:p w14:paraId="7C1188D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za potporu BEREC-u za financijsku godinu 2023.,</w:t>
      </w:r>
    </w:p>
    <w:p w14:paraId="47BB6F6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3"/>
      </w:r>
      <w:r w:rsidRPr="00AA43E9">
        <w:rPr>
          <w:kern w:val="2"/>
          <w14:ligatures w14:val="standardContextual"/>
        </w:rPr>
        <w:t>,</w:t>
      </w:r>
    </w:p>
    <w:p w14:paraId="7CACBCF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9DA63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1A1654A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5BAFC6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5"/>
      </w:r>
      <w:r w:rsidRPr="00AA43E9">
        <w:rPr>
          <w:kern w:val="2"/>
          <w14:ligatures w14:val="standardContextual"/>
        </w:rPr>
        <w:t>, a posebno njezin članak 70.,</w:t>
      </w:r>
    </w:p>
    <w:p w14:paraId="51713A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6"/>
      </w:r>
      <w:r w:rsidRPr="00AA43E9">
        <w:rPr>
          <w:kern w:val="2"/>
          <w14:ligatures w14:val="standardContextual"/>
        </w:rPr>
        <w:t>, a posebno njezin članak 70.,</w:t>
      </w:r>
    </w:p>
    <w:p w14:paraId="7FE7E15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2018/1971 Europskog parlamenta i Vijeća od 11. prosinca 2018. o osnivanju Tijela europskih regulatora za elektroničke komunikacije (BEREC) i Agencije za potporu BEREC-u (Ured BEREC-a), izmjeni Uredbe (EU) 2015/2120 i stavljanju izvan snage Uredbe (EZ) br. 1211/2009</w:t>
      </w:r>
      <w:r w:rsidRPr="00AA43E9">
        <w:rPr>
          <w:b/>
          <w:kern w:val="2"/>
          <w:vertAlign w:val="superscript"/>
          <w14:ligatures w14:val="standardContextual"/>
        </w:rPr>
        <w:footnoteReference w:id="17"/>
      </w:r>
      <w:r w:rsidRPr="00AA43E9">
        <w:rPr>
          <w:kern w:val="2"/>
          <w14:ligatures w14:val="standardContextual"/>
        </w:rPr>
        <w:t>, a posebno njezin članak 28.,</w:t>
      </w:r>
    </w:p>
    <w:p w14:paraId="7DBBCD2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18"/>
      </w:r>
      <w:r w:rsidRPr="00AA43E9">
        <w:rPr>
          <w:kern w:val="2"/>
          <w14:ligatures w14:val="standardContextual"/>
        </w:rPr>
        <w:t>, a posebno njezin članak 105.,</w:t>
      </w:r>
    </w:p>
    <w:p w14:paraId="28B9F3D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00CD1C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57D13BC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10EF774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direktorici Agencije za potporu BEREC-u za izvršenje proračuna Agencije za financijsku godinu 2023.;</w:t>
      </w:r>
    </w:p>
    <w:p w14:paraId="4DC0656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8FF864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direktorici Agencije za potporu BEREC-u,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2DCFF5F1"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E1ADA59" w14:textId="77777777" w:rsidR="00AA43E9" w:rsidRPr="00AA43E9" w:rsidRDefault="00AA43E9" w:rsidP="00AA43E9">
      <w:pPr>
        <w:pStyle w:val="ATHeading3"/>
      </w:pPr>
      <w:r w:rsidRPr="00AA43E9">
        <w:lastRenderedPageBreak/>
        <w:t>4. Odluka Europskog parlamenta od 7. svibnja 2025. o zaključenju poslovnih knjiga Agencije za potporu BEREC-u za financijsku godinu 2023. (2024/2030(DEC))</w:t>
      </w:r>
    </w:p>
    <w:p w14:paraId="073739DD" w14:textId="1675E036" w:rsidR="00AA43E9" w:rsidRPr="00AA43E9" w:rsidRDefault="00AA43E9"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Pr="00AA43E9">
        <w:rPr>
          <w:iCs/>
          <w:kern w:val="2"/>
          <w14:ligatures w14:val="standardContextual"/>
        </w:rPr>
        <w:t>,</w:t>
      </w:r>
    </w:p>
    <w:p w14:paraId="6CB3893B" w14:textId="040B4236"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završnu godišnju računovodstvenu dokumentaciju Agencije za potporu BEREC-u za financijsku godinu 2023.,</w:t>
      </w:r>
    </w:p>
    <w:p w14:paraId="3EA4943F" w14:textId="1C4E5478"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9"/>
      </w:r>
      <w:r w:rsidRPr="00AA43E9">
        <w:rPr>
          <w:kern w:val="2"/>
          <w14:ligatures w14:val="standardContextual"/>
        </w:rPr>
        <w:t>,</w:t>
      </w:r>
    </w:p>
    <w:p w14:paraId="4AD7F972" w14:textId="191A2D73"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izjavu o jamstvu</w:t>
      </w:r>
      <w:r w:rsidRPr="00AA43E9">
        <w:rPr>
          <w:b/>
          <w:kern w:val="2"/>
          <w:vertAlign w:val="superscript"/>
          <w14:ligatures w14:val="standardContextual"/>
        </w:rPr>
        <w:footnoteReference w:id="2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A896BF8" w14:textId="3CB8D041"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64FFF5F6" w14:textId="714344F1"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članak 319. Ugovora o funkcioniranju Europske unije,</w:t>
      </w:r>
    </w:p>
    <w:p w14:paraId="4A8BDBA6" w14:textId="19DA92ED"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1"/>
      </w:r>
      <w:r w:rsidRPr="00AA43E9">
        <w:rPr>
          <w:kern w:val="2"/>
          <w14:ligatures w14:val="standardContextual"/>
        </w:rPr>
        <w:t>, a posebno njezin članak 70.,</w:t>
      </w:r>
    </w:p>
    <w:p w14:paraId="72763DC0" w14:textId="155931DC"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2"/>
      </w:r>
      <w:r w:rsidRPr="00AA43E9">
        <w:rPr>
          <w:kern w:val="2"/>
          <w14:ligatures w14:val="standardContextual"/>
        </w:rPr>
        <w:t>, a posebno njezin članak 70.,</w:t>
      </w:r>
    </w:p>
    <w:p w14:paraId="3D2BF5C5" w14:textId="336A700B"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2018/1971 Europskog parlamenta i Vijeća od 11. prosinca 2018. o osnivanju Tijela europskih regulatora za elektroničke komunikacije (BEREC) i Agencije za potporu BEREC-u (Ured BEREC-a), izmjeni Uredbe (EU) 2015/2120 i stavljanju izvan snage Uredbe (EZ) br. 1211/2009</w:t>
      </w:r>
      <w:r w:rsidRPr="00AA43E9">
        <w:rPr>
          <w:b/>
          <w:kern w:val="2"/>
          <w:vertAlign w:val="superscript"/>
          <w14:ligatures w14:val="standardContextual"/>
        </w:rPr>
        <w:footnoteReference w:id="23"/>
      </w:r>
      <w:r w:rsidRPr="00AA43E9">
        <w:rPr>
          <w:kern w:val="2"/>
          <w14:ligatures w14:val="standardContextual"/>
        </w:rPr>
        <w:t>, a posebno njezin članak 28.,</w:t>
      </w:r>
    </w:p>
    <w:p w14:paraId="5A806CB1" w14:textId="2A37A2BA"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4"/>
      </w:r>
      <w:r w:rsidRPr="00AA43E9">
        <w:rPr>
          <w:kern w:val="2"/>
          <w14:ligatures w14:val="standardContextual"/>
        </w:rPr>
        <w:t>, a posebno njezin članak 105.,</w:t>
      </w:r>
    </w:p>
    <w:p w14:paraId="0BD6B23F" w14:textId="7914B383" w:rsidR="00AA43E9" w:rsidRPr="00AA43E9" w:rsidRDefault="00AA43E9" w:rsidP="00AA43E9">
      <w:pPr>
        <w:spacing w:after="240"/>
        <w:ind w:left="567" w:hanging="567"/>
        <w:rPr>
          <w:kern w:val="2"/>
          <w14:ligatures w14:val="standardContextual"/>
        </w:rPr>
      </w:pPr>
      <w:r w:rsidRPr="00863FBA">
        <w:lastRenderedPageBreak/>
        <w:t>–</w:t>
      </w:r>
      <w:r w:rsidRPr="00AA43E9">
        <w:rPr>
          <w:kern w:val="2"/>
          <w14:ligatures w14:val="standardContextual"/>
        </w:rPr>
        <w:tab/>
        <w:t>uzimajući u obzir članak 102. Poslovnika i Prilog V. Poslovniku,</w:t>
      </w:r>
    </w:p>
    <w:p w14:paraId="4680DC99" w14:textId="59C5171E"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589BBEE2" w14:textId="02FDB2E8"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izvješće Odbora za proračunski nadzor (A10-0065/2025),</w:t>
      </w:r>
    </w:p>
    <w:p w14:paraId="69F6D41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za potporu BEREC-u za financijsku godinu 2023.;</w:t>
      </w:r>
    </w:p>
    <w:p w14:paraId="3D3471F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direktorici Agencije za potporu BEREC-u,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20040BBC"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642F553" w14:textId="77777777" w:rsidR="00AA43E9" w:rsidRPr="00AA43E9" w:rsidRDefault="00AA43E9" w:rsidP="00AA43E9">
      <w:pPr>
        <w:pStyle w:val="ATHeading3"/>
      </w:pPr>
      <w:r w:rsidRPr="00AA43E9">
        <w:lastRenderedPageBreak/>
        <w:t>5. Odluka Europskog parlamenta od 7. svibnja 2025. o razrješnici za izvršenje proračuna Prevoditeljskog centra za tijela Europske unije za financijsku godinu 2023. (2024/2030(DEC))</w:t>
      </w:r>
    </w:p>
    <w:p w14:paraId="61CA5CAC" w14:textId="2C7210EE" w:rsidR="00AA43E9" w:rsidRPr="00AA43E9" w:rsidRDefault="00AA43E9"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Pr="00AA43E9">
        <w:rPr>
          <w:iCs/>
          <w:kern w:val="2"/>
          <w14:ligatures w14:val="standardContextual"/>
        </w:rPr>
        <w:t>,</w:t>
      </w:r>
    </w:p>
    <w:p w14:paraId="2B52256D" w14:textId="559A969B"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završnu godišnju računovodstvenu dokumentaciju Prevoditeljskog centra za tijela Europske unije za financijsku godinu 2023.,</w:t>
      </w:r>
    </w:p>
    <w:p w14:paraId="09729281" w14:textId="29AFBAB6"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5"/>
      </w:r>
      <w:r w:rsidRPr="00AA43E9">
        <w:rPr>
          <w:kern w:val="2"/>
          <w14:ligatures w14:val="standardContextual"/>
        </w:rPr>
        <w:t>,</w:t>
      </w:r>
    </w:p>
    <w:p w14:paraId="0B6B126B" w14:textId="650FC970"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izjavu o jamstvu</w:t>
      </w:r>
      <w:r w:rsidRPr="00AA43E9">
        <w:rPr>
          <w:b/>
          <w:kern w:val="2"/>
          <w:vertAlign w:val="superscript"/>
          <w14:ligatures w14:val="standardContextual"/>
        </w:rPr>
        <w:footnoteReference w:id="2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5AE4526" w14:textId="30EBE728"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299F9813" w14:textId="0D487CE4"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članak 319. Ugovora o funkcioniranju Europske unije,</w:t>
      </w:r>
    </w:p>
    <w:p w14:paraId="6A99DF80" w14:textId="345A7508"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7"/>
      </w:r>
      <w:r w:rsidRPr="00AA43E9">
        <w:rPr>
          <w:kern w:val="2"/>
          <w14:ligatures w14:val="standardContextual"/>
        </w:rPr>
        <w:t>, a posebno njezin članak 70.,</w:t>
      </w:r>
    </w:p>
    <w:p w14:paraId="2C202018" w14:textId="622A089D"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8"/>
      </w:r>
      <w:r w:rsidRPr="00AA43E9">
        <w:rPr>
          <w:kern w:val="2"/>
          <w14:ligatures w14:val="standardContextual"/>
        </w:rPr>
        <w:t>, a posebno njezin članak 70.,</w:t>
      </w:r>
    </w:p>
    <w:p w14:paraId="677C1674" w14:textId="104EA69C"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Vijeća (EZ) br. 2965/94 od 28. studenoga 1994. o osnivanju Prevoditeljskog centra za tijela Europske unije</w:t>
      </w:r>
      <w:r w:rsidRPr="00AA43E9">
        <w:rPr>
          <w:b/>
          <w:kern w:val="2"/>
          <w:vertAlign w:val="superscript"/>
          <w14:ligatures w14:val="standardContextual"/>
        </w:rPr>
        <w:footnoteReference w:id="29"/>
      </w:r>
      <w:r w:rsidRPr="00AA43E9">
        <w:rPr>
          <w:kern w:val="2"/>
          <w14:ligatures w14:val="standardContextual"/>
        </w:rPr>
        <w:t>, a posebno njezin članak 14.,</w:t>
      </w:r>
    </w:p>
    <w:p w14:paraId="1E7642E6" w14:textId="4829E026"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0"/>
      </w:r>
      <w:r w:rsidRPr="00AA43E9">
        <w:rPr>
          <w:kern w:val="2"/>
          <w14:ligatures w14:val="standardContextual"/>
        </w:rPr>
        <w:t>, a posebno njezin članak 105.,</w:t>
      </w:r>
    </w:p>
    <w:p w14:paraId="39F13477" w14:textId="7E8179C8"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članak 102. Poslovnika i Prilog V. Poslovniku,</w:t>
      </w:r>
    </w:p>
    <w:p w14:paraId="75769AEF" w14:textId="3C435786" w:rsidR="00AA43E9" w:rsidRPr="00AA43E9" w:rsidRDefault="00AA43E9" w:rsidP="00AA43E9">
      <w:pPr>
        <w:spacing w:after="240"/>
        <w:ind w:left="567" w:hanging="567"/>
        <w:rPr>
          <w:kern w:val="2"/>
          <w14:ligatures w14:val="standardContextual"/>
        </w:rPr>
      </w:pPr>
      <w:r w:rsidRPr="00863FBA">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222BDA1" w14:textId="27E94D33"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izvješće Odbora za proračunski nadzor (A10-0065/2025),</w:t>
      </w:r>
    </w:p>
    <w:p w14:paraId="69D1BE9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direktorici Prevoditeljskog centra za tijela Europske unije za izvršenje proračuna Centra za financijsku godinu 2023.;</w:t>
      </w:r>
    </w:p>
    <w:p w14:paraId="2E89F01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CCD5E0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direktorici Prevoditeljskog centra za tijela Europske unije, Vijeću, Komisiji i Revizorskom sudu te da ih da na objavu u </w:t>
      </w:r>
      <w:r w:rsidRPr="00AA43E9">
        <w:rPr>
          <w:i/>
          <w:iCs/>
          <w:kern w:val="2"/>
          <w14:ligatures w14:val="standardContextual"/>
        </w:rPr>
        <w:t>Službenom listu Europske unije</w:t>
      </w:r>
      <w:r w:rsidRPr="00AA43E9">
        <w:rPr>
          <w:kern w:val="2"/>
          <w14:ligatures w14:val="standardContextual"/>
        </w:rPr>
        <w:t xml:space="preserve"> (serija L).</w:t>
      </w:r>
    </w:p>
    <w:p w14:paraId="6D9D160C"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E63AC97" w14:textId="77777777" w:rsidR="00AA43E9" w:rsidRPr="00AA43E9" w:rsidRDefault="00AA43E9" w:rsidP="00AA43E9">
      <w:pPr>
        <w:pStyle w:val="ATHeading3"/>
      </w:pPr>
      <w:r w:rsidRPr="00AA43E9">
        <w:lastRenderedPageBreak/>
        <w:t>6. Odluka Europskog parlamenta od 7. svibnja 2025. o zaključenju poslovnih knjiga Prevoditeljskog centra za tijela Europske unije za financijsku godinu 2023. (2024/2030(DEC))</w:t>
      </w:r>
    </w:p>
    <w:p w14:paraId="10E0FBCB" w14:textId="3AD330CF" w:rsidR="00AA43E9" w:rsidRPr="00AA43E9" w:rsidRDefault="00AA43E9"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Pr="00AA43E9">
        <w:rPr>
          <w:iCs/>
          <w:kern w:val="2"/>
          <w14:ligatures w14:val="standardContextual"/>
        </w:rPr>
        <w:t>,</w:t>
      </w:r>
    </w:p>
    <w:p w14:paraId="2228538B" w14:textId="4A050AD8"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završnu godišnju računovodstvenu dokumentaciju Prevoditeljskog centra za tijela Europske unije za financijsku godinu 2023.,</w:t>
      </w:r>
    </w:p>
    <w:p w14:paraId="0019C933" w14:textId="05A5F06C"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1"/>
      </w:r>
      <w:r w:rsidRPr="00AA43E9">
        <w:rPr>
          <w:kern w:val="2"/>
          <w14:ligatures w14:val="standardContextual"/>
        </w:rPr>
        <w:t>,</w:t>
      </w:r>
    </w:p>
    <w:p w14:paraId="78486ADD" w14:textId="0DBC2361"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izjavu o jamstvu</w:t>
      </w:r>
      <w:r w:rsidRPr="00AA43E9">
        <w:rPr>
          <w:b/>
          <w:kern w:val="2"/>
          <w:vertAlign w:val="superscript"/>
          <w14:ligatures w14:val="standardContextual"/>
        </w:rPr>
        <w:footnoteReference w:id="3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D38891D" w14:textId="0E4BD1CB"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4CF0E325" w14:textId="2B384542"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članak 319. Ugovora o funkcioniranju Europske unije,</w:t>
      </w:r>
    </w:p>
    <w:p w14:paraId="5046D277" w14:textId="786A908C"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3"/>
      </w:r>
      <w:r w:rsidRPr="00AA43E9">
        <w:rPr>
          <w:kern w:val="2"/>
          <w14:ligatures w14:val="standardContextual"/>
        </w:rPr>
        <w:t>, a posebno njezin članak 70.,</w:t>
      </w:r>
    </w:p>
    <w:p w14:paraId="4804F8C5" w14:textId="2D0A1F96"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4"/>
      </w:r>
      <w:r w:rsidRPr="00AA43E9">
        <w:rPr>
          <w:kern w:val="2"/>
          <w14:ligatures w14:val="standardContextual"/>
        </w:rPr>
        <w:t>, a posebno njezin članak 70.,</w:t>
      </w:r>
    </w:p>
    <w:p w14:paraId="01C879BB" w14:textId="0B5A94C6"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Uredbu Vijeća (EZ) br. 2965/94 od 28. studenoga 1994. o osnivanju Prevoditeljskog centra za tijela Europske unije</w:t>
      </w:r>
      <w:r w:rsidRPr="00AA43E9">
        <w:rPr>
          <w:b/>
          <w:kern w:val="2"/>
          <w:vertAlign w:val="superscript"/>
          <w14:ligatures w14:val="standardContextual"/>
        </w:rPr>
        <w:footnoteReference w:id="35"/>
      </w:r>
      <w:r w:rsidRPr="00AA43E9">
        <w:rPr>
          <w:kern w:val="2"/>
          <w14:ligatures w14:val="standardContextual"/>
        </w:rPr>
        <w:t>, a posebno njezin članak 14.,</w:t>
      </w:r>
    </w:p>
    <w:p w14:paraId="02F2BE73" w14:textId="0171F1EC"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6"/>
      </w:r>
      <w:r w:rsidRPr="00AA43E9">
        <w:rPr>
          <w:kern w:val="2"/>
          <w14:ligatures w14:val="standardContextual"/>
        </w:rPr>
        <w:t>, a posebno njezin članak 105.,</w:t>
      </w:r>
    </w:p>
    <w:p w14:paraId="3580E825" w14:textId="712A5E56"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članak 102. Poslovnika i Prilog V. Poslovniku,</w:t>
      </w:r>
    </w:p>
    <w:p w14:paraId="2D569DEB" w14:textId="318C5F22" w:rsidR="00AA43E9" w:rsidRPr="00AA43E9" w:rsidRDefault="00AA43E9" w:rsidP="00AA43E9">
      <w:pPr>
        <w:spacing w:after="240"/>
        <w:ind w:left="567" w:hanging="567"/>
        <w:rPr>
          <w:kern w:val="2"/>
          <w14:ligatures w14:val="standardContextual"/>
        </w:rPr>
      </w:pPr>
      <w:r w:rsidRPr="00863FBA">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EF50155" w14:textId="29EAD8D0" w:rsidR="00AA43E9" w:rsidRPr="00AA43E9" w:rsidRDefault="00AA43E9" w:rsidP="00AA43E9">
      <w:pPr>
        <w:spacing w:after="240"/>
        <w:ind w:left="567" w:hanging="567"/>
        <w:rPr>
          <w:kern w:val="2"/>
          <w14:ligatures w14:val="standardContextual"/>
        </w:rPr>
      </w:pPr>
      <w:r w:rsidRPr="00863FBA">
        <w:t>–</w:t>
      </w:r>
      <w:r w:rsidRPr="00AA43E9">
        <w:rPr>
          <w:kern w:val="2"/>
          <w14:ligatures w14:val="standardContextual"/>
        </w:rPr>
        <w:tab/>
        <w:t>uzimajući u obzir izvješće Odbora za proračunski nadzor (A10-0065/2025),</w:t>
      </w:r>
    </w:p>
    <w:p w14:paraId="4841063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Prevoditeljskog centra za tijela Europske unije za financijsku godinu 2023.;</w:t>
      </w:r>
    </w:p>
    <w:p w14:paraId="0198AB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direktorici Prevoditeljskog centra za tijela Europske unije,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900AB14"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09AFF410" w14:textId="77777777" w:rsidR="00AA43E9" w:rsidRPr="00AA43E9" w:rsidRDefault="00AA43E9" w:rsidP="00AA43E9">
      <w:pPr>
        <w:pStyle w:val="ATHeading3"/>
      </w:pPr>
      <w:r w:rsidRPr="00AA43E9">
        <w:lastRenderedPageBreak/>
        <w:t>7. Odluka Europskog parlamenta od 7. svibnja 2025. o razrješnici za izvršenje proračuna Europskog centra za razvoj strukovnog osposobljavanja za financijsku godinu 2023. (2024/2030(DEC))</w:t>
      </w:r>
    </w:p>
    <w:p w14:paraId="3E32C7EE" w14:textId="2E1F9321" w:rsidR="00AA43E9" w:rsidRPr="00AA43E9" w:rsidRDefault="00AA43E9"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Pr="00AA43E9">
        <w:rPr>
          <w:iCs/>
          <w:kern w:val="2"/>
          <w14:ligatures w14:val="standardContextual"/>
        </w:rPr>
        <w:t>,</w:t>
      </w:r>
    </w:p>
    <w:p w14:paraId="3D2CBF3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centra za razvoj strukovnog osposobljavanja za financijsku godinu 2023.,</w:t>
      </w:r>
    </w:p>
    <w:p w14:paraId="78AF8A7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7"/>
      </w:r>
      <w:r w:rsidRPr="00AA43E9">
        <w:rPr>
          <w:kern w:val="2"/>
          <w14:ligatures w14:val="standardContextual"/>
        </w:rPr>
        <w:t>,</w:t>
      </w:r>
    </w:p>
    <w:p w14:paraId="015F3AD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D6114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506266F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A1519A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9"/>
      </w:r>
      <w:r w:rsidRPr="00AA43E9">
        <w:rPr>
          <w:kern w:val="2"/>
          <w14:ligatures w14:val="standardContextual"/>
        </w:rPr>
        <w:t>, a posebno njezin članak 70.,</w:t>
      </w:r>
    </w:p>
    <w:p w14:paraId="4685E22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40"/>
      </w:r>
      <w:r w:rsidRPr="00AA43E9">
        <w:rPr>
          <w:kern w:val="2"/>
          <w14:ligatures w14:val="standardContextual"/>
        </w:rPr>
        <w:t>, a posebno njezin članak 70.,</w:t>
      </w:r>
    </w:p>
    <w:p w14:paraId="1942AF4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2019/128 Europskog parlamenta i Vijeća od 16. siječnja 2019. o osnivanju Europskog centra za razvoj strukovnog osposobljavanja (</w:t>
      </w:r>
      <w:proofErr w:type="spellStart"/>
      <w:r w:rsidRPr="00AA43E9">
        <w:rPr>
          <w:kern w:val="2"/>
          <w14:ligatures w14:val="standardContextual"/>
        </w:rPr>
        <w:t>Cedefop</w:t>
      </w:r>
      <w:proofErr w:type="spellEnd"/>
      <w:r w:rsidRPr="00AA43E9">
        <w:rPr>
          <w:kern w:val="2"/>
          <w14:ligatures w14:val="standardContextual"/>
        </w:rPr>
        <w:t>) te stavljanju izvan snage Uredbe Vijeća (EEZ) br. 337/75</w:t>
      </w:r>
      <w:r w:rsidRPr="00AA43E9">
        <w:rPr>
          <w:b/>
          <w:kern w:val="2"/>
          <w:vertAlign w:val="superscript"/>
          <w14:ligatures w14:val="standardContextual"/>
        </w:rPr>
        <w:footnoteReference w:id="41"/>
      </w:r>
      <w:r w:rsidRPr="00AA43E9">
        <w:rPr>
          <w:kern w:val="2"/>
          <w14:ligatures w14:val="standardContextual"/>
        </w:rPr>
        <w:t>, a posebno njezin članak 15.,</w:t>
      </w:r>
    </w:p>
    <w:p w14:paraId="2E4A922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42"/>
      </w:r>
      <w:r w:rsidRPr="00AA43E9">
        <w:rPr>
          <w:kern w:val="2"/>
          <w14:ligatures w14:val="standardContextual"/>
        </w:rPr>
        <w:t>, a posebno njezin članak 105.,</w:t>
      </w:r>
    </w:p>
    <w:p w14:paraId="7DD5C2D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0C9FFEA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0F8489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004D9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Europskog centra za razvoj strukovnog osposobljavanja za izvršenje proračuna Centra za financijsku godinu 2023.;</w:t>
      </w:r>
    </w:p>
    <w:p w14:paraId="552A92C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5D4E938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svojem predsjedniku da ovu Odluku i Rezoluciju, koja je njezin sastavni dio, proslijedi izvršnom direktoru Europskog centra za razvoj strukovnog osposobljavanja,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2A7F37BB"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D89BA8D" w14:textId="77A14AFF" w:rsidR="00AA43E9" w:rsidRPr="00AA43E9" w:rsidRDefault="00AA43E9" w:rsidP="00AA43E9">
      <w:pPr>
        <w:pStyle w:val="ATHeading3"/>
      </w:pPr>
      <w:r w:rsidRPr="00AA43E9">
        <w:lastRenderedPageBreak/>
        <w:t>8. Odluka Europskog parlamenta od 7. svibnja 2025. o zaključenju poslovnih knjiga Europskog centra za razvoj strukovnog osposobljavanja za financijsku godinu 2023. (2024/2030(DEC))</w:t>
      </w:r>
    </w:p>
    <w:p w14:paraId="57C6A736" w14:textId="059AC2E5"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B09A35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centra za razvoj strukovnog osposobljavanja za financijsku godinu 2023.,</w:t>
      </w:r>
    </w:p>
    <w:p w14:paraId="3BCC7A4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43"/>
      </w:r>
      <w:r w:rsidRPr="00AA43E9">
        <w:rPr>
          <w:kern w:val="2"/>
          <w14:ligatures w14:val="standardContextual"/>
        </w:rPr>
        <w:t>,</w:t>
      </w:r>
    </w:p>
    <w:p w14:paraId="2E7BD3D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4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F7A44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709A56F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C06651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45"/>
      </w:r>
      <w:r w:rsidRPr="00AA43E9">
        <w:rPr>
          <w:kern w:val="2"/>
          <w14:ligatures w14:val="standardContextual"/>
        </w:rPr>
        <w:t>, a posebno njezin članak 70.,</w:t>
      </w:r>
    </w:p>
    <w:p w14:paraId="4C621C9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46"/>
      </w:r>
      <w:r w:rsidRPr="00AA43E9">
        <w:rPr>
          <w:kern w:val="2"/>
          <w14:ligatures w14:val="standardContextual"/>
        </w:rPr>
        <w:t>, a posebno njezin članak 70.,</w:t>
      </w:r>
    </w:p>
    <w:p w14:paraId="6AF0C8D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2019/128 Europskog parlamenta i Vijeća od 16. siječnja 2019. o osnivanju Europskog centra za razvoj strukovnog osposobljavanja (</w:t>
      </w:r>
      <w:proofErr w:type="spellStart"/>
      <w:r w:rsidRPr="00AA43E9">
        <w:rPr>
          <w:kern w:val="2"/>
          <w14:ligatures w14:val="standardContextual"/>
        </w:rPr>
        <w:t>Cedefop</w:t>
      </w:r>
      <w:proofErr w:type="spellEnd"/>
      <w:r w:rsidRPr="00AA43E9">
        <w:rPr>
          <w:kern w:val="2"/>
          <w14:ligatures w14:val="standardContextual"/>
        </w:rPr>
        <w:t>) te stavljanju izvan snage Uredbe Vijeća (EEZ) br. 337/75</w:t>
      </w:r>
      <w:r w:rsidRPr="00AA43E9">
        <w:rPr>
          <w:b/>
          <w:kern w:val="2"/>
          <w:vertAlign w:val="superscript"/>
          <w14:ligatures w14:val="standardContextual"/>
        </w:rPr>
        <w:footnoteReference w:id="47"/>
      </w:r>
      <w:r w:rsidRPr="00AA43E9">
        <w:rPr>
          <w:kern w:val="2"/>
          <w14:ligatures w14:val="standardContextual"/>
        </w:rPr>
        <w:t>, a posebno njezin članak 15.,</w:t>
      </w:r>
    </w:p>
    <w:p w14:paraId="3254D79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48"/>
      </w:r>
      <w:r w:rsidRPr="00AA43E9">
        <w:rPr>
          <w:kern w:val="2"/>
          <w14:ligatures w14:val="standardContextual"/>
        </w:rPr>
        <w:t>, a posebno njezin članak 105.,</w:t>
      </w:r>
    </w:p>
    <w:p w14:paraId="7BDF716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460F5D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56934CB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BF255A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centra za razvoj strukovnog osposobljavanja za financijsku godinu 2023.;</w:t>
      </w:r>
    </w:p>
    <w:p w14:paraId="4ACDC83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svojem predsjedniku da ovu Odluku proslijedi izvršnom direktoru Europskog centra za razvoj strukovnog osposobljavanja,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386648E"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5CC8A7A" w14:textId="56F85FD9" w:rsidR="00AA43E9" w:rsidRPr="00AA43E9" w:rsidRDefault="00AA43E9" w:rsidP="00FD5838">
      <w:pPr>
        <w:pStyle w:val="ATHeading3"/>
      </w:pPr>
      <w:r w:rsidRPr="00AA43E9">
        <w:lastRenderedPageBreak/>
        <w:t>9. Odluka Europskog parlamenta od 7. svibnja 2025. o razrješnici za izvršenje proračuna Agencije Europske unije za osposobljavanje u području izvršavanja zakonodavstva za financijsku godinu 2023. (2024/2030(DEC))</w:t>
      </w:r>
    </w:p>
    <w:p w14:paraId="72E963ED" w14:textId="6E3A1F7F"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EAB73B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osposobljavanje u području izvršavanja zakonodavstva za financijsku godinu 2023.,</w:t>
      </w:r>
    </w:p>
    <w:p w14:paraId="1283B7D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49"/>
      </w:r>
      <w:r w:rsidRPr="00AA43E9">
        <w:rPr>
          <w:kern w:val="2"/>
          <w14:ligatures w14:val="standardContextual"/>
        </w:rPr>
        <w:t>,</w:t>
      </w:r>
    </w:p>
    <w:p w14:paraId="62312E3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5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3C5DB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287A059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C3540A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51"/>
      </w:r>
      <w:r w:rsidRPr="00AA43E9">
        <w:rPr>
          <w:kern w:val="2"/>
          <w14:ligatures w14:val="standardContextual"/>
        </w:rPr>
        <w:t>, a posebno njezin članak 70.,</w:t>
      </w:r>
    </w:p>
    <w:p w14:paraId="51FF305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52"/>
      </w:r>
      <w:r w:rsidRPr="00AA43E9">
        <w:rPr>
          <w:kern w:val="2"/>
          <w14:ligatures w14:val="standardContextual"/>
        </w:rPr>
        <w:t>, a posebno njezin članak 70.,</w:t>
      </w:r>
    </w:p>
    <w:p w14:paraId="45EE97C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2015/2219 Europskog parlamenta i Vijeća od 25. studenoga 2015. o Agenciji Europske unije za osposobljavanje u području izvršavanja zakonodavstva (CEPOL) i o zamjeni i stavljanju izvan snage Odluke Vijeća 2005/681/PUP</w:t>
      </w:r>
      <w:r w:rsidRPr="00AA43E9">
        <w:rPr>
          <w:b/>
          <w:kern w:val="2"/>
          <w:vertAlign w:val="superscript"/>
          <w14:ligatures w14:val="standardContextual"/>
        </w:rPr>
        <w:footnoteReference w:id="53"/>
      </w:r>
      <w:r w:rsidRPr="00AA43E9">
        <w:rPr>
          <w:kern w:val="2"/>
          <w14:ligatures w14:val="standardContextual"/>
        </w:rPr>
        <w:t>, a posebno njezin članak 20.,</w:t>
      </w:r>
    </w:p>
    <w:p w14:paraId="6D41982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54"/>
      </w:r>
      <w:r w:rsidRPr="00AA43E9">
        <w:rPr>
          <w:kern w:val="2"/>
          <w14:ligatures w14:val="standardContextual"/>
        </w:rPr>
        <w:t>, a posebno njezin članak 105.,</w:t>
      </w:r>
    </w:p>
    <w:p w14:paraId="087677A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43D9A5D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FBB6D2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457B21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Agencije Europske unije za osposobljavanje u području izvršavanja zakonodavstva za izvršenje proračuna Agencije za financijsku godinu 2023.;</w:t>
      </w:r>
    </w:p>
    <w:p w14:paraId="5358AB7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0BB6150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Agencije Europske unije za osposobljavanje u području izvršavanja zakonodavstva,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635059A5"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C8BF512" w14:textId="659D06A9" w:rsidR="00AA43E9" w:rsidRPr="00AA43E9" w:rsidRDefault="00AA43E9" w:rsidP="00FD5838">
      <w:pPr>
        <w:pStyle w:val="ATHeading3"/>
      </w:pPr>
      <w:r w:rsidRPr="00AA43E9">
        <w:lastRenderedPageBreak/>
        <w:t>10. Odluka Europskog parlamenta od 7. svibnja 2025. o zaključenju poslovnih knjiga Agencije Europske unije za osposobljavanje u području izvršavanja zakonodavstva za financijsku godinu 2023. (2024/2030(DEC))</w:t>
      </w:r>
    </w:p>
    <w:p w14:paraId="40457D1E" w14:textId="74B68F91"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44DDCFF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osposobljavanje u području izvršavanja zakonodavstva za financijsku godinu 2023.,</w:t>
      </w:r>
    </w:p>
    <w:p w14:paraId="0C8068C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55"/>
      </w:r>
      <w:r w:rsidRPr="00AA43E9">
        <w:rPr>
          <w:kern w:val="2"/>
          <w14:ligatures w14:val="standardContextual"/>
        </w:rPr>
        <w:t>,</w:t>
      </w:r>
    </w:p>
    <w:p w14:paraId="353FCA7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5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B4832D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4BD25D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04AC54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57"/>
      </w:r>
      <w:r w:rsidRPr="00AA43E9">
        <w:rPr>
          <w:kern w:val="2"/>
          <w14:ligatures w14:val="standardContextual"/>
        </w:rPr>
        <w:t>, a posebno njezin članak 70.,</w:t>
      </w:r>
    </w:p>
    <w:p w14:paraId="2F7F00E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58"/>
      </w:r>
      <w:r w:rsidRPr="00AA43E9">
        <w:rPr>
          <w:kern w:val="2"/>
          <w14:ligatures w14:val="standardContextual"/>
        </w:rPr>
        <w:t>, a posebno njezin članak 70.,</w:t>
      </w:r>
    </w:p>
    <w:p w14:paraId="3653263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2015/2219 Europskog parlamenta i Vijeća od 25. studenoga 2015. o Agenciji Europske unije za osposobljavanje u području izvršavanja zakonodavstva (CEPOL) i o zamjeni i stavljanju izvan snage Odluke Vijeća 2005/681/PUP</w:t>
      </w:r>
      <w:r w:rsidRPr="00AA43E9">
        <w:rPr>
          <w:b/>
          <w:kern w:val="2"/>
          <w:vertAlign w:val="superscript"/>
          <w14:ligatures w14:val="standardContextual"/>
        </w:rPr>
        <w:footnoteReference w:id="59"/>
      </w:r>
      <w:r w:rsidRPr="00AA43E9">
        <w:rPr>
          <w:kern w:val="2"/>
          <w14:ligatures w14:val="standardContextual"/>
        </w:rPr>
        <w:t>, a posebno njezin članak 20.,</w:t>
      </w:r>
    </w:p>
    <w:p w14:paraId="2EECF2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60"/>
      </w:r>
      <w:r w:rsidRPr="00AA43E9">
        <w:rPr>
          <w:kern w:val="2"/>
          <w14:ligatures w14:val="standardContextual"/>
        </w:rPr>
        <w:t>, a posebno njezin članak 105.,</w:t>
      </w:r>
    </w:p>
    <w:p w14:paraId="530FBFA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1E387A6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7BDA51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4173B9C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osposobljavanje u području izvršavanja zakonodavstva za financijsku godinu 2023.;</w:t>
      </w:r>
    </w:p>
    <w:p w14:paraId="0FABC1E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svojem predsjedniku da ovu Odluku proslijedi izvršnoj direktorici Agencije Europske unije za osposobljavanje u području izvršavanja zakonodavstva,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4B3B230C"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6BC528F" w14:textId="47568B61" w:rsidR="00AA43E9" w:rsidRPr="00AA43E9" w:rsidRDefault="00AA43E9" w:rsidP="00FD5838">
      <w:pPr>
        <w:pStyle w:val="ATHeading3"/>
      </w:pPr>
      <w:r w:rsidRPr="00AA43E9">
        <w:lastRenderedPageBreak/>
        <w:t>11. Odluka Europskog parlamenta od 7. svibnja 2025. o razrješnici za izvršenje proračuna Agencije Europske unije za sigurnost zračnog prometa za financijsku godinu 2023. (2024/2030(DEC))</w:t>
      </w:r>
    </w:p>
    <w:p w14:paraId="71B81190" w14:textId="77777777" w:rsidR="00AA43E9" w:rsidRPr="00AA43E9" w:rsidRDefault="00AA43E9" w:rsidP="00AA43E9">
      <w:pPr>
        <w:spacing w:before="480" w:after="240"/>
        <w:rPr>
          <w:kern w:val="2"/>
          <w14:ligatures w14:val="standardContextual"/>
        </w:rPr>
      </w:pPr>
      <w:r w:rsidRPr="00AA43E9">
        <w:rPr>
          <w:i/>
          <w:kern w:val="2"/>
          <w14:ligatures w14:val="standardContextual"/>
        </w:rPr>
        <w:t>Europski parlament</w:t>
      </w:r>
      <w:r w:rsidRPr="00AA43E9">
        <w:rPr>
          <w:kern w:val="2"/>
          <w14:ligatures w14:val="standardContextual"/>
        </w:rPr>
        <w:t>,</w:t>
      </w:r>
    </w:p>
    <w:p w14:paraId="3D86A471" w14:textId="7D2032C9"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Agencije Europske unije za sigurnost zračnog prometa za financijsku godinu 2023.,</w:t>
      </w:r>
    </w:p>
    <w:p w14:paraId="715F68E0" w14:textId="20306F07"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61"/>
      </w:r>
      <w:r w:rsidR="00AA43E9" w:rsidRPr="00AA43E9">
        <w:rPr>
          <w:kern w:val="2"/>
          <w14:ligatures w14:val="standardContextual"/>
        </w:rPr>
        <w:t>,</w:t>
      </w:r>
    </w:p>
    <w:p w14:paraId="744753CE" w14:textId="6E2518AC"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62"/>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F66FE8B" w14:textId="5426C374"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5D400C50" w14:textId="27C538F4"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7D252F9A" w14:textId="1808E1A5"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63"/>
      </w:r>
      <w:r w:rsidR="00AA43E9" w:rsidRPr="00AA43E9">
        <w:rPr>
          <w:kern w:val="2"/>
          <w14:ligatures w14:val="standardContextual"/>
        </w:rPr>
        <w:t>, a posebno njezin članak 70.,</w:t>
      </w:r>
    </w:p>
    <w:p w14:paraId="16A01F48" w14:textId="20C09B0C"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64"/>
      </w:r>
      <w:r w:rsidR="00AA43E9" w:rsidRPr="00AA43E9">
        <w:rPr>
          <w:kern w:val="2"/>
          <w14:ligatures w14:val="standardContextual"/>
        </w:rPr>
        <w:t>, a posebno njezin članak 70.,</w:t>
      </w:r>
    </w:p>
    <w:p w14:paraId="17DCDC35" w14:textId="40809AD4"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r w:rsidR="00AA43E9" w:rsidRPr="00AA43E9">
        <w:rPr>
          <w:b/>
          <w:kern w:val="2"/>
          <w:vertAlign w:val="superscript"/>
          <w14:ligatures w14:val="standardContextual"/>
        </w:rPr>
        <w:footnoteReference w:id="65"/>
      </w:r>
      <w:r w:rsidR="00AA43E9" w:rsidRPr="00AA43E9">
        <w:rPr>
          <w:kern w:val="2"/>
          <w14:ligatures w14:val="standardContextual"/>
        </w:rPr>
        <w:t>, a posebno njezin članak 121.,</w:t>
      </w:r>
    </w:p>
    <w:p w14:paraId="0EF8A8EF" w14:textId="11E2AFD8"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w:t>
      </w:r>
      <w:r w:rsidR="00AA43E9" w:rsidRPr="00AA43E9">
        <w:rPr>
          <w:kern w:val="2"/>
          <w14:ligatures w14:val="standardContextual"/>
        </w:rPr>
        <w:lastRenderedPageBreak/>
        <w:t xml:space="preserve">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Euratom) 2018/1046 Europskog parlamenta i Vijeća</w:t>
      </w:r>
      <w:r w:rsidR="00AA43E9" w:rsidRPr="00AA43E9">
        <w:rPr>
          <w:b/>
          <w:kern w:val="2"/>
          <w:vertAlign w:val="superscript"/>
          <w14:ligatures w14:val="standardContextual"/>
        </w:rPr>
        <w:footnoteReference w:id="66"/>
      </w:r>
      <w:r w:rsidR="00AA43E9" w:rsidRPr="00AA43E9">
        <w:rPr>
          <w:kern w:val="2"/>
          <w14:ligatures w14:val="standardContextual"/>
        </w:rPr>
        <w:t>, a posebno njezin članak 105.,</w:t>
      </w:r>
    </w:p>
    <w:p w14:paraId="74759DD5" w14:textId="582155BA"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5F34D961" w14:textId="60C747FB"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98458C0" w14:textId="13CAA922"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354D70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Agencije Europske unije za sigurnost zračnog prometa za izvršenje proračuna Agencije za financijsku godinu 2023.;</w:t>
      </w:r>
    </w:p>
    <w:p w14:paraId="76E3B0E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18068C6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Agencije Europske unije za sigurnost zračnog prometa,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4E44EFE8"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45B482BA" w14:textId="77777777" w:rsidR="00AA43E9" w:rsidRPr="00AA43E9" w:rsidRDefault="00AA43E9" w:rsidP="00FD5838">
      <w:pPr>
        <w:pStyle w:val="ATHeading3"/>
      </w:pPr>
      <w:r w:rsidRPr="00AA43E9">
        <w:lastRenderedPageBreak/>
        <w:t>12. Odluka Europskog parlamenta od 7. svibnja 2025. o zaključenju poslovnih knjiga Agencije Europske unije za sigurnost zračnog prometa za financijsku godinu 2023. (2024/2030(DEC))</w:t>
      </w:r>
    </w:p>
    <w:p w14:paraId="3908058B" w14:textId="77777777" w:rsidR="00AA43E9" w:rsidRPr="00AA43E9" w:rsidRDefault="00AA43E9" w:rsidP="00AA43E9">
      <w:pPr>
        <w:spacing w:before="480" w:after="240"/>
        <w:rPr>
          <w:kern w:val="2"/>
          <w14:ligatures w14:val="standardContextual"/>
        </w:rPr>
      </w:pPr>
      <w:r w:rsidRPr="00AA43E9">
        <w:rPr>
          <w:i/>
          <w:kern w:val="2"/>
          <w14:ligatures w14:val="standardContextual"/>
        </w:rPr>
        <w:t>Europski parlament</w:t>
      </w:r>
      <w:r w:rsidRPr="00AA43E9">
        <w:rPr>
          <w:kern w:val="2"/>
          <w14:ligatures w14:val="standardContextual"/>
        </w:rPr>
        <w:t>,</w:t>
      </w:r>
    </w:p>
    <w:p w14:paraId="03C97586" w14:textId="79E900C7"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Agencije Europske unije za sigurnost zračnog prometa za financijsku godinu 2023.,</w:t>
      </w:r>
    </w:p>
    <w:p w14:paraId="62AE48DB" w14:textId="220A22E2"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67"/>
      </w:r>
      <w:r w:rsidR="00AA43E9" w:rsidRPr="00AA43E9">
        <w:rPr>
          <w:kern w:val="2"/>
          <w14:ligatures w14:val="standardContextual"/>
        </w:rPr>
        <w:t>,</w:t>
      </w:r>
    </w:p>
    <w:p w14:paraId="532DD5B8" w14:textId="20777682"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68"/>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06CDDB8" w14:textId="290ADAC5"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0B82A893" w14:textId="4F1D1065"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2E89C2E1" w14:textId="61673304"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69"/>
      </w:r>
      <w:r w:rsidR="00AA43E9" w:rsidRPr="00AA43E9">
        <w:rPr>
          <w:kern w:val="2"/>
          <w14:ligatures w14:val="standardContextual"/>
        </w:rPr>
        <w:t>, a posebno njezin članak 70.,</w:t>
      </w:r>
    </w:p>
    <w:p w14:paraId="76060368" w14:textId="49306A34"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70"/>
      </w:r>
      <w:r w:rsidR="00AA43E9" w:rsidRPr="00AA43E9">
        <w:rPr>
          <w:kern w:val="2"/>
          <w14:ligatures w14:val="standardContextual"/>
        </w:rPr>
        <w:t>, a posebno njezin članak 70.,</w:t>
      </w:r>
    </w:p>
    <w:p w14:paraId="5FBDAC88" w14:textId="642060DA"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r w:rsidR="00AA43E9" w:rsidRPr="00AA43E9">
        <w:rPr>
          <w:b/>
          <w:kern w:val="2"/>
          <w:vertAlign w:val="superscript"/>
          <w14:ligatures w14:val="standardContextual"/>
        </w:rPr>
        <w:footnoteReference w:id="71"/>
      </w:r>
      <w:r w:rsidR="00AA43E9" w:rsidRPr="00AA43E9">
        <w:rPr>
          <w:kern w:val="2"/>
          <w14:ligatures w14:val="standardContextual"/>
        </w:rPr>
        <w:t>, a posebno njezin članak 121.,</w:t>
      </w:r>
    </w:p>
    <w:p w14:paraId="0A90D213" w14:textId="610A5309"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w:t>
      </w:r>
      <w:r w:rsidR="00AA43E9" w:rsidRPr="00AA43E9">
        <w:rPr>
          <w:kern w:val="2"/>
          <w14:ligatures w14:val="standardContextual"/>
        </w:rPr>
        <w:lastRenderedPageBreak/>
        <w:t xml:space="preserve">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Euratom) 2018/1046 Europskog parlamenta i Vijeća</w:t>
      </w:r>
      <w:r w:rsidR="00AA43E9" w:rsidRPr="00AA43E9">
        <w:rPr>
          <w:b/>
          <w:kern w:val="2"/>
          <w:vertAlign w:val="superscript"/>
          <w14:ligatures w14:val="standardContextual"/>
        </w:rPr>
        <w:footnoteReference w:id="72"/>
      </w:r>
      <w:r w:rsidR="00AA43E9" w:rsidRPr="00AA43E9">
        <w:rPr>
          <w:kern w:val="2"/>
          <w14:ligatures w14:val="standardContextual"/>
        </w:rPr>
        <w:t>, a posebno njezin članak 105.,</w:t>
      </w:r>
    </w:p>
    <w:p w14:paraId="70D7CF42" w14:textId="5DC1709E"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22370533" w14:textId="3588D789"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3CF307F" w14:textId="10C375BF"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2E8450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sigurnost zračnog prometa za financijsku godinu 2023.;</w:t>
      </w:r>
    </w:p>
    <w:p w14:paraId="2501D8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Agencije Europske unije za sigurnost zračnog prometa,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2E424E5"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568506B" w14:textId="4586A1A6" w:rsidR="00AA43E9" w:rsidRPr="00AA43E9" w:rsidRDefault="00AA43E9" w:rsidP="00FD5838">
      <w:pPr>
        <w:pStyle w:val="ATHeading3"/>
      </w:pPr>
      <w:r w:rsidRPr="00AA43E9">
        <w:lastRenderedPageBreak/>
        <w:t>13. Odluka Europskog parlamenta od 7. svibnja 2025. o razrješnici za izvršenje proračuna Europskog nadzornog tijela za bankarstvo za financijsku godinu 2023. (2024/2030(DEC))</w:t>
      </w:r>
    </w:p>
    <w:p w14:paraId="5DE1C993" w14:textId="7D08A64E"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39FEE8CA" w14:textId="090EF97C"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Europskog nadzornog tijela za bankarstvo za financijsku godinu 2023.,</w:t>
      </w:r>
    </w:p>
    <w:p w14:paraId="033565CD" w14:textId="684DBB15"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73"/>
      </w:r>
      <w:r w:rsidR="00AA43E9" w:rsidRPr="00AA43E9">
        <w:rPr>
          <w:kern w:val="2"/>
          <w14:ligatures w14:val="standardContextual"/>
        </w:rPr>
        <w:t>,</w:t>
      </w:r>
    </w:p>
    <w:p w14:paraId="328F29D6" w14:textId="2CF90551"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74"/>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944D1B5" w14:textId="1BB29489"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Tijelo za izvršenje proračuna za financijsku godinu 2023. (05755/2025 – C10</w:t>
      </w:r>
      <w:r w:rsidR="00AA43E9" w:rsidRPr="00AA43E9">
        <w:rPr>
          <w:kern w:val="2"/>
          <w14:ligatures w14:val="standardContextual"/>
        </w:rPr>
        <w:noBreakHyphen/>
        <w:t>0024/2025),</w:t>
      </w:r>
    </w:p>
    <w:p w14:paraId="202DEADE" w14:textId="427849C3"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1C97FF86" w14:textId="0FD6E768"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75"/>
      </w:r>
      <w:r w:rsidR="00AA43E9" w:rsidRPr="00AA43E9">
        <w:rPr>
          <w:kern w:val="2"/>
          <w14:ligatures w14:val="standardContextual"/>
        </w:rPr>
        <w:t>, a posebno njezin članak 70.,</w:t>
      </w:r>
    </w:p>
    <w:p w14:paraId="0E3265FD" w14:textId="3384FC7C"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76"/>
      </w:r>
      <w:r w:rsidR="00AA43E9" w:rsidRPr="00AA43E9">
        <w:rPr>
          <w:kern w:val="2"/>
          <w14:ligatures w14:val="standardContextual"/>
        </w:rPr>
        <w:t>, a posebno njezin članak 70.,</w:t>
      </w:r>
    </w:p>
    <w:p w14:paraId="3E7F5821" w14:textId="55297BF3"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br. 1093/2010 Europskog parlamenta i Vijeća od 24. studenoga 2010. o osnivanju europskog nadzornog tijela (Europskog nadzornog tijela za bankarstvo), kojom se izmjenjuje Odluka br. 716/2009/EZ i stavlja izvan snage Odluka Komisije 2009/78/EZ</w:t>
      </w:r>
      <w:r w:rsidR="00AA43E9" w:rsidRPr="00AA43E9">
        <w:rPr>
          <w:b/>
          <w:kern w:val="2"/>
          <w:vertAlign w:val="superscript"/>
          <w14:ligatures w14:val="standardContextual"/>
        </w:rPr>
        <w:footnoteReference w:id="77"/>
      </w:r>
      <w:r w:rsidR="00AA43E9" w:rsidRPr="00AA43E9">
        <w:rPr>
          <w:kern w:val="2"/>
          <w14:ligatures w14:val="standardContextual"/>
        </w:rPr>
        <w:t>, a posebno njezin članak 64.,</w:t>
      </w:r>
    </w:p>
    <w:p w14:paraId="3664ACD3" w14:textId="084B8B3E"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Euratom) 2018/1046 Europskog parlamenta i Vijeća</w:t>
      </w:r>
      <w:r w:rsidR="00AA43E9" w:rsidRPr="00AA43E9">
        <w:rPr>
          <w:b/>
          <w:kern w:val="2"/>
          <w:vertAlign w:val="superscript"/>
          <w14:ligatures w14:val="standardContextual"/>
        </w:rPr>
        <w:footnoteReference w:id="78"/>
      </w:r>
      <w:r w:rsidR="00AA43E9" w:rsidRPr="00AA43E9">
        <w:rPr>
          <w:kern w:val="2"/>
          <w14:ligatures w14:val="standardContextual"/>
        </w:rPr>
        <w:t>, a posebno njezin članak 105.,</w:t>
      </w:r>
    </w:p>
    <w:p w14:paraId="4F46F564" w14:textId="355B3D4D" w:rsidR="00AA43E9" w:rsidRPr="00AA43E9" w:rsidRDefault="00FD5838" w:rsidP="00AA43E9">
      <w:pPr>
        <w:spacing w:after="240"/>
        <w:ind w:left="567" w:hanging="567"/>
        <w:rPr>
          <w:kern w:val="2"/>
          <w14:ligatures w14:val="standardContextual"/>
        </w:rPr>
      </w:pPr>
      <w:r w:rsidRPr="00863FBA">
        <w:lastRenderedPageBreak/>
        <w:t>–</w:t>
      </w:r>
      <w:r w:rsidR="00AA43E9" w:rsidRPr="00AA43E9">
        <w:rPr>
          <w:kern w:val="2"/>
          <w14:ligatures w14:val="standardContextual"/>
        </w:rPr>
        <w:tab/>
        <w:t>uzimajući u obzir članak 102. Poslovnika i Prilog V. Poslovniku,</w:t>
      </w:r>
    </w:p>
    <w:p w14:paraId="7040D5E4" w14:textId="1C02E015"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25A807F" w14:textId="6D060BE2"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6500349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Europskog nadzornog tijela za bankarstvo za izvršenje proračuna Nadzornog tijela za financijsku godinu 2023.;</w:t>
      </w:r>
    </w:p>
    <w:p w14:paraId="53ED93D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5C4E796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Europskog nadzornog tijela za bankarstvo,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499512E7"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7030C9E" w14:textId="77777777" w:rsidR="00AA43E9" w:rsidRPr="00AA43E9" w:rsidRDefault="00AA43E9" w:rsidP="00FD5838">
      <w:pPr>
        <w:pStyle w:val="ATHeading3"/>
      </w:pPr>
      <w:r w:rsidRPr="00AA43E9">
        <w:lastRenderedPageBreak/>
        <w:t>14. Odluka Europskog parlamenta od 7. svibnja 2025. o zaključenju poslovnih knjiga Europskog nadzornog tijela za bankarstvo za financijsku godinu 2023. (2024/2030(DEC))</w:t>
      </w:r>
    </w:p>
    <w:p w14:paraId="4B080E65" w14:textId="02E2A3E7"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F1D226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bankarstvo za financijsku godinu 2023.,</w:t>
      </w:r>
    </w:p>
    <w:p w14:paraId="6BBE21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79"/>
      </w:r>
      <w:r w:rsidRPr="00AA43E9">
        <w:rPr>
          <w:kern w:val="2"/>
          <w14:ligatures w14:val="standardContextual"/>
        </w:rPr>
        <w:t>,</w:t>
      </w:r>
    </w:p>
    <w:p w14:paraId="781E32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8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983435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7BBA61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84AAED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81"/>
      </w:r>
      <w:r w:rsidRPr="00AA43E9">
        <w:rPr>
          <w:kern w:val="2"/>
          <w14:ligatures w14:val="standardContextual"/>
        </w:rPr>
        <w:t>, a posebno njezin članak 70.,</w:t>
      </w:r>
    </w:p>
    <w:p w14:paraId="2422325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82"/>
      </w:r>
      <w:r w:rsidRPr="00AA43E9">
        <w:rPr>
          <w:kern w:val="2"/>
          <w14:ligatures w14:val="standardContextual"/>
        </w:rPr>
        <w:t>, a posebno njezin članak 70.,</w:t>
      </w:r>
    </w:p>
    <w:p w14:paraId="4EF305D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1093/2010 Europskog parlamenta i Vijeća od 24. studenoga 2010. o osnivanju europskog nadzornog tijela (Europskog nadzornog tijela za bankarstvo), kojom se izmjenjuje Odluka br. 716/2009/EZ i stavlja izvan snage Odluka Komisije 2009/78/EZ</w:t>
      </w:r>
      <w:r w:rsidRPr="00AA43E9">
        <w:rPr>
          <w:b/>
          <w:kern w:val="2"/>
          <w:vertAlign w:val="superscript"/>
          <w14:ligatures w14:val="standardContextual"/>
        </w:rPr>
        <w:footnoteReference w:id="83"/>
      </w:r>
      <w:r w:rsidRPr="00AA43E9">
        <w:rPr>
          <w:kern w:val="2"/>
          <w14:ligatures w14:val="standardContextual"/>
        </w:rPr>
        <w:t>, a posebno njezin članak 64.,</w:t>
      </w:r>
    </w:p>
    <w:p w14:paraId="5C33935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84"/>
      </w:r>
      <w:r w:rsidRPr="00AA43E9">
        <w:rPr>
          <w:kern w:val="2"/>
          <w14:ligatures w14:val="standardContextual"/>
        </w:rPr>
        <w:t>, a posebno njezin članak 105.,</w:t>
      </w:r>
    </w:p>
    <w:p w14:paraId="41A978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1D911F0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35F02F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4F02826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nadzornog tijela za bankarstvo za financijsku godinu 2023.;</w:t>
      </w:r>
    </w:p>
    <w:p w14:paraId="2E51386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Europskog nadzornog tijela za bankarstvo,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7CEDADD7"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45331CEC" w14:textId="7E6F31E5" w:rsidR="00AA43E9" w:rsidRPr="00AA43E9" w:rsidRDefault="00AA43E9" w:rsidP="00FD5838">
      <w:pPr>
        <w:pStyle w:val="ATHeading3"/>
      </w:pPr>
      <w:r w:rsidRPr="00AA43E9">
        <w:lastRenderedPageBreak/>
        <w:t>15. Odluka Europskog parlamenta od 7. svibnja 2025. o razrješnici za izvršenje proračuna Europskog centra za sprečavanje i kontrolu bolesti za financijsku godinu 2023. (2024/2030(DEC))</w:t>
      </w:r>
    </w:p>
    <w:p w14:paraId="54E96179" w14:textId="24064DE8"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84D53B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centra za sprečavanje i kontrolu bolesti za financijsku godinu 2023.,</w:t>
      </w:r>
    </w:p>
    <w:p w14:paraId="6990AD5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85"/>
      </w:r>
      <w:r w:rsidRPr="00AA43E9">
        <w:rPr>
          <w:kern w:val="2"/>
          <w14:ligatures w14:val="standardContextual"/>
        </w:rPr>
        <w:t>,</w:t>
      </w:r>
    </w:p>
    <w:p w14:paraId="6E573FC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8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437306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7447C6C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0A20D2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87"/>
      </w:r>
      <w:r w:rsidRPr="00AA43E9">
        <w:rPr>
          <w:kern w:val="2"/>
          <w14:ligatures w14:val="standardContextual"/>
        </w:rPr>
        <w:t>, a posebno njezin članak 70.,</w:t>
      </w:r>
    </w:p>
    <w:p w14:paraId="63DF35A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88"/>
      </w:r>
      <w:r w:rsidRPr="00AA43E9">
        <w:rPr>
          <w:kern w:val="2"/>
          <w14:ligatures w14:val="standardContextual"/>
        </w:rPr>
        <w:t>, a posebno njezin članak 70.,</w:t>
      </w:r>
    </w:p>
    <w:p w14:paraId="051A597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851/2004 Europskog parlamenta i Vijeća od 21. travnja 2004. o osnivanju Europskog centra za sprečavanje i kontrolu bolesti</w:t>
      </w:r>
      <w:r w:rsidRPr="00AA43E9">
        <w:rPr>
          <w:b/>
          <w:kern w:val="2"/>
          <w:vertAlign w:val="superscript"/>
          <w14:ligatures w14:val="standardContextual"/>
        </w:rPr>
        <w:footnoteReference w:id="89"/>
      </w:r>
      <w:r w:rsidRPr="00AA43E9">
        <w:rPr>
          <w:kern w:val="2"/>
          <w14:ligatures w14:val="standardContextual"/>
        </w:rPr>
        <w:t>, a posebno njezin članak 23.,</w:t>
      </w:r>
    </w:p>
    <w:p w14:paraId="5EE794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90"/>
      </w:r>
      <w:r w:rsidRPr="00AA43E9">
        <w:rPr>
          <w:kern w:val="2"/>
          <w14:ligatures w14:val="standardContextual"/>
        </w:rPr>
        <w:t>, a posebno njezin članak 105.,</w:t>
      </w:r>
    </w:p>
    <w:p w14:paraId="75429E7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17C6C3E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F55577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480A64E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direktorici Europskog centra za sprečavanje i kontrolu bolesti za izvršenje proračuna Centra za financijsku godinu 2023.;</w:t>
      </w:r>
    </w:p>
    <w:p w14:paraId="51CE9E0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E90784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direktorici Europskog centra za sprečavanje i kontrolu bolesti,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07626B66"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5BEDF6D" w14:textId="462BFDB4" w:rsidR="00AA43E9" w:rsidRPr="00AA43E9" w:rsidRDefault="00AA43E9" w:rsidP="00FD5838">
      <w:pPr>
        <w:pStyle w:val="ATHeading3"/>
      </w:pPr>
      <w:r w:rsidRPr="00AA43E9">
        <w:lastRenderedPageBreak/>
        <w:t>16. Odluka Europskog parlamenta od 7. svibnja 2025. o zaključenju poslovnih knjiga Europskog centra za sprečavanje i kontrolu bolesti za financijsku godinu 2023. (2024/2030(DEC))</w:t>
      </w:r>
    </w:p>
    <w:p w14:paraId="668E3B5A" w14:textId="20A512A3"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987D4F7" w14:textId="7E6A10B0"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Europskog centra za sprečavanje i kontrolu bolesti za financijsku godinu 2023.,</w:t>
      </w:r>
    </w:p>
    <w:p w14:paraId="6B020FCC" w14:textId="37818222"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91"/>
      </w:r>
      <w:r w:rsidR="00AA43E9" w:rsidRPr="00AA43E9">
        <w:rPr>
          <w:kern w:val="2"/>
          <w14:ligatures w14:val="standardContextual"/>
        </w:rPr>
        <w:t>,</w:t>
      </w:r>
    </w:p>
    <w:p w14:paraId="4924FFEB" w14:textId="3B93FDEF"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92"/>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B7AA91F" w14:textId="211B9E48"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Centar za izvršenje proračuna za financijsku godinu 2023. (05755/2025 – C10</w:t>
      </w:r>
      <w:r w:rsidR="00AA43E9" w:rsidRPr="00AA43E9">
        <w:rPr>
          <w:kern w:val="2"/>
          <w14:ligatures w14:val="standardContextual"/>
        </w:rPr>
        <w:noBreakHyphen/>
        <w:t>0024/2025),</w:t>
      </w:r>
    </w:p>
    <w:p w14:paraId="1BB6E06F" w14:textId="31839C9A"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51CCB174" w14:textId="22DDC963"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93"/>
      </w:r>
      <w:r w:rsidR="00AA43E9" w:rsidRPr="00AA43E9">
        <w:rPr>
          <w:kern w:val="2"/>
          <w14:ligatures w14:val="standardContextual"/>
        </w:rPr>
        <w:t>, a posebno njezin članak 70.,</w:t>
      </w:r>
    </w:p>
    <w:p w14:paraId="34C092A5" w14:textId="62BDB536"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94"/>
      </w:r>
      <w:r w:rsidR="00AA43E9" w:rsidRPr="00AA43E9">
        <w:rPr>
          <w:kern w:val="2"/>
          <w14:ligatures w14:val="standardContextual"/>
        </w:rPr>
        <w:t>, a posebno njezin članak 70.,</w:t>
      </w:r>
    </w:p>
    <w:p w14:paraId="5AC6A62C" w14:textId="661F8853"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(EZ) br. 851/2004 Europskog parlamenta i Vijeća od 21. travnja 2004. o osnivanju Europskog centra za sprečavanje i kontrolu bolesti</w:t>
      </w:r>
      <w:r w:rsidR="00AA43E9" w:rsidRPr="00AA43E9">
        <w:rPr>
          <w:b/>
          <w:kern w:val="2"/>
          <w:vertAlign w:val="superscript"/>
          <w14:ligatures w14:val="standardContextual"/>
        </w:rPr>
        <w:footnoteReference w:id="95"/>
      </w:r>
      <w:r w:rsidR="00AA43E9" w:rsidRPr="00AA43E9">
        <w:rPr>
          <w:kern w:val="2"/>
          <w14:ligatures w14:val="standardContextual"/>
        </w:rPr>
        <w:t>, a posebno njezin članak 23.,</w:t>
      </w:r>
    </w:p>
    <w:p w14:paraId="11E1C4D9" w14:textId="69651690"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Euratom) 2018/1046 Europskog parlamenta i Vijeća</w:t>
      </w:r>
      <w:r w:rsidR="00AA43E9" w:rsidRPr="00AA43E9">
        <w:rPr>
          <w:b/>
          <w:kern w:val="2"/>
          <w:vertAlign w:val="superscript"/>
          <w14:ligatures w14:val="standardContextual"/>
        </w:rPr>
        <w:footnoteReference w:id="96"/>
      </w:r>
      <w:r w:rsidR="00AA43E9" w:rsidRPr="00AA43E9">
        <w:rPr>
          <w:kern w:val="2"/>
          <w14:ligatures w14:val="standardContextual"/>
        </w:rPr>
        <w:t>, a posebno njezin članak 105.,</w:t>
      </w:r>
    </w:p>
    <w:p w14:paraId="1D496AA9" w14:textId="1EEC46CE" w:rsidR="00AA43E9" w:rsidRPr="00AA43E9" w:rsidRDefault="00FD5838" w:rsidP="00AA43E9">
      <w:pPr>
        <w:spacing w:after="240"/>
        <w:ind w:left="567" w:hanging="567"/>
        <w:rPr>
          <w:kern w:val="2"/>
          <w14:ligatures w14:val="standardContextual"/>
        </w:rPr>
      </w:pPr>
      <w:r w:rsidRPr="00863FBA">
        <w:lastRenderedPageBreak/>
        <w:t>–</w:t>
      </w:r>
      <w:r w:rsidR="00AA43E9" w:rsidRPr="00AA43E9">
        <w:rPr>
          <w:kern w:val="2"/>
          <w14:ligatures w14:val="standardContextual"/>
        </w:rPr>
        <w:tab/>
        <w:t>uzimajući u obzir članak 102. Poslovnika i Prilog V. Poslovniku,</w:t>
      </w:r>
    </w:p>
    <w:p w14:paraId="248DA738" w14:textId="609DC06F"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954D04E" w14:textId="187521C8" w:rsidR="00AA43E9" w:rsidRPr="00AA43E9" w:rsidRDefault="00FD5838"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75C82CA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centra za sprečavanje i kontrolu bolesti za financijsku godinu 2023.;</w:t>
      </w:r>
    </w:p>
    <w:p w14:paraId="1B6702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direktorici Europskog centra za sprečavanje i kontrolu bolesti,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9C77E46"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544286F" w14:textId="77777777" w:rsidR="00AA43E9" w:rsidRPr="00AA43E9" w:rsidRDefault="00AA43E9" w:rsidP="00FD5838">
      <w:pPr>
        <w:pStyle w:val="ATHeading3"/>
      </w:pPr>
      <w:r w:rsidRPr="00AA43E9">
        <w:lastRenderedPageBreak/>
        <w:t>17. Odluka Europskog parlamenta od 7. svibnja 2025. o razrješnici za izvršenje proračuna Agencije za kemikalije za financijsku godinu 2023. (2024/2030(DEC))</w:t>
      </w:r>
    </w:p>
    <w:p w14:paraId="32CFFE78" w14:textId="119E490D"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0621A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kemikalije za financijsku godinu 2023.,</w:t>
      </w:r>
    </w:p>
    <w:p w14:paraId="7EA9642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97"/>
      </w:r>
      <w:r w:rsidRPr="00AA43E9">
        <w:rPr>
          <w:kern w:val="2"/>
          <w14:ligatures w14:val="standardContextual"/>
        </w:rPr>
        <w:t>,</w:t>
      </w:r>
    </w:p>
    <w:p w14:paraId="4374511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9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0578AE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197814C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EC13EB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99"/>
      </w:r>
      <w:r w:rsidRPr="00AA43E9">
        <w:rPr>
          <w:kern w:val="2"/>
          <w14:ligatures w14:val="standardContextual"/>
        </w:rPr>
        <w:t>, a posebno njezin članak 70.,</w:t>
      </w:r>
    </w:p>
    <w:p w14:paraId="468F4C4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00"/>
      </w:r>
      <w:r w:rsidRPr="00AA43E9">
        <w:rPr>
          <w:kern w:val="2"/>
          <w14:ligatures w14:val="standardContextual"/>
        </w:rPr>
        <w:t>, a posebno njezin članak 70.,</w:t>
      </w:r>
    </w:p>
    <w:p w14:paraId="026DB47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w:t>
      </w:r>
      <w:r w:rsidRPr="00AA43E9">
        <w:rPr>
          <w:b/>
          <w:kern w:val="2"/>
          <w:vertAlign w:val="superscript"/>
          <w14:ligatures w14:val="standardContextual"/>
        </w:rPr>
        <w:footnoteReference w:id="101"/>
      </w:r>
      <w:r w:rsidRPr="00AA43E9">
        <w:rPr>
          <w:kern w:val="2"/>
          <w14:ligatures w14:val="standardContextual"/>
        </w:rPr>
        <w:t>, a posebno njezin članak 97.,</w:t>
      </w:r>
    </w:p>
    <w:p w14:paraId="45B19C1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102"/>
      </w:r>
      <w:r w:rsidRPr="00AA43E9">
        <w:rPr>
          <w:kern w:val="2"/>
          <w14:ligatures w14:val="standardContextual"/>
        </w:rPr>
        <w:t>, a posebno njezin članak 105.,</w:t>
      </w:r>
    </w:p>
    <w:p w14:paraId="49BEDEA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3A71710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D0A261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7964D0B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Europske agencije za kemikalije za izvršenje proračuna Agencije za financijsku godinu 2023.;</w:t>
      </w:r>
    </w:p>
    <w:p w14:paraId="2BA806C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819A5E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Europske agencije za kemikalije,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3AFFBC42"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FE6022B" w14:textId="77777777" w:rsidR="00AA43E9" w:rsidRPr="00AA43E9" w:rsidRDefault="00AA43E9" w:rsidP="00FD5838">
      <w:pPr>
        <w:pStyle w:val="ATHeading3"/>
      </w:pPr>
      <w:r w:rsidRPr="00AA43E9">
        <w:lastRenderedPageBreak/>
        <w:t>18. Odluka Europskog parlamenta od 7. svibnja 2025. o zaključenju poslovnih knjiga Europske agencije za kemikalije za financijsku godinu 2023. (2024/2030(DEC))</w:t>
      </w:r>
    </w:p>
    <w:p w14:paraId="35EE35CA" w14:textId="2831B495"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E925E2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kemikalije za financijsku godinu 2023.,</w:t>
      </w:r>
    </w:p>
    <w:p w14:paraId="2031C00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03"/>
      </w:r>
      <w:r w:rsidRPr="00AA43E9">
        <w:rPr>
          <w:kern w:val="2"/>
          <w14:ligatures w14:val="standardContextual"/>
        </w:rPr>
        <w:t>,</w:t>
      </w:r>
    </w:p>
    <w:p w14:paraId="2F9F99B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0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8D7DF0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2C943DE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4E17946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05"/>
      </w:r>
      <w:r w:rsidRPr="00AA43E9">
        <w:rPr>
          <w:kern w:val="2"/>
          <w14:ligatures w14:val="standardContextual"/>
        </w:rPr>
        <w:t>, a posebno njezin članak 70.,</w:t>
      </w:r>
    </w:p>
    <w:p w14:paraId="79A4B97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06"/>
      </w:r>
      <w:r w:rsidRPr="00AA43E9">
        <w:rPr>
          <w:kern w:val="2"/>
          <w14:ligatures w14:val="standardContextual"/>
        </w:rPr>
        <w:t>, a posebno njezin članak 70.,</w:t>
      </w:r>
    </w:p>
    <w:p w14:paraId="3F6CBF3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w:t>
      </w:r>
      <w:r w:rsidRPr="00AA43E9">
        <w:rPr>
          <w:b/>
          <w:kern w:val="2"/>
          <w:vertAlign w:val="superscript"/>
          <w14:ligatures w14:val="standardContextual"/>
        </w:rPr>
        <w:footnoteReference w:id="107"/>
      </w:r>
      <w:r w:rsidRPr="00AA43E9">
        <w:rPr>
          <w:kern w:val="2"/>
          <w14:ligatures w14:val="standardContextual"/>
        </w:rPr>
        <w:t>, a posebno njezin članak 97.,</w:t>
      </w:r>
    </w:p>
    <w:p w14:paraId="49F13DE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108"/>
      </w:r>
      <w:r w:rsidRPr="00AA43E9">
        <w:rPr>
          <w:kern w:val="2"/>
          <w14:ligatures w14:val="standardContextual"/>
        </w:rPr>
        <w:t>, a posebno njezin članak 105.,</w:t>
      </w:r>
    </w:p>
    <w:p w14:paraId="46E1CB3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5F3D21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72981B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1E61C70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kemikalije za financijsku godinu 2023.;</w:t>
      </w:r>
    </w:p>
    <w:p w14:paraId="281C71C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Europske agencije za kemikalije,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664638F5"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2F040265" w14:textId="142239CC" w:rsidR="00AA43E9" w:rsidRPr="00AA43E9" w:rsidRDefault="00AA43E9" w:rsidP="00FD5838">
      <w:pPr>
        <w:pStyle w:val="ATHeading3"/>
      </w:pPr>
      <w:r w:rsidRPr="00AA43E9">
        <w:lastRenderedPageBreak/>
        <w:t>19. Odluka Europskog parlamenta od 7. svibnja 2025. o razrješnici za izvršenje proračuna Europske agencije za okoliš za financijsku godinu 2023. (2024/2030(DEC))</w:t>
      </w:r>
    </w:p>
    <w:p w14:paraId="47DCAC0A" w14:textId="039F1075"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7C0E32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okoliš za financijsku godinu 2023.,</w:t>
      </w:r>
    </w:p>
    <w:p w14:paraId="3DD85CF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09"/>
      </w:r>
      <w:r w:rsidRPr="00AA43E9">
        <w:rPr>
          <w:kern w:val="2"/>
          <w14:ligatures w14:val="standardContextual"/>
        </w:rPr>
        <w:t>,</w:t>
      </w:r>
    </w:p>
    <w:p w14:paraId="30732FF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1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E0323F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6986A3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D4A961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11"/>
      </w:r>
      <w:r w:rsidRPr="00AA43E9">
        <w:rPr>
          <w:kern w:val="2"/>
          <w14:ligatures w14:val="standardContextual"/>
        </w:rPr>
        <w:t>, a posebno njezin članak 70.,</w:t>
      </w:r>
    </w:p>
    <w:p w14:paraId="616D64B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12"/>
      </w:r>
      <w:r w:rsidRPr="00AA43E9">
        <w:rPr>
          <w:kern w:val="2"/>
          <w14:ligatures w14:val="standardContextual"/>
        </w:rPr>
        <w:t>, a posebno njezin članak 70.,</w:t>
      </w:r>
    </w:p>
    <w:p w14:paraId="3CBCE73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401/2009 Europskog parlamenta i Vijeća od 23. travnja 2009. o Europskoj agenciji za okoliš i Europskoj informacijskoj i promatračkoj mreži za okoliš</w:t>
      </w:r>
      <w:r w:rsidRPr="00AA43E9">
        <w:rPr>
          <w:b/>
          <w:kern w:val="2"/>
          <w:vertAlign w:val="superscript"/>
          <w14:ligatures w14:val="standardContextual"/>
        </w:rPr>
        <w:footnoteReference w:id="113"/>
      </w:r>
      <w:r w:rsidRPr="00AA43E9">
        <w:rPr>
          <w:kern w:val="2"/>
          <w14:ligatures w14:val="standardContextual"/>
        </w:rPr>
        <w:t>, a posebno njezin članak 13.,</w:t>
      </w:r>
    </w:p>
    <w:p w14:paraId="360002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14"/>
      </w:r>
      <w:r w:rsidRPr="00AA43E9">
        <w:rPr>
          <w:kern w:val="2"/>
          <w14:ligatures w14:val="standardContextual"/>
        </w:rPr>
        <w:t>, a posebno njezin članak 105.,</w:t>
      </w:r>
    </w:p>
    <w:p w14:paraId="396EAA9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65928A9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1DB9DB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13F688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Europske agencije za okoliš za izvršenje proračuna Agencije za financijsku godinu 2023.;</w:t>
      </w:r>
    </w:p>
    <w:p w14:paraId="1899C9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5EC4BDE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Europske agencije za okoliš,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3CB6A12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4552667C" w14:textId="03D76EB5" w:rsidR="00AA43E9" w:rsidRPr="00AA43E9" w:rsidRDefault="00AA43E9" w:rsidP="00FD5838">
      <w:pPr>
        <w:pStyle w:val="ATHeading3"/>
      </w:pPr>
      <w:r w:rsidRPr="00AA43E9">
        <w:lastRenderedPageBreak/>
        <w:t>20. Odluka Europskog parlamenta od 7. svibnja 2025. o zaključenju poslovnih knjiga Europske agencije za okoliš za financijsku godinu 2023. (2024/2030(DEC))</w:t>
      </w:r>
    </w:p>
    <w:p w14:paraId="053277CB" w14:textId="3AC2D752"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C2A6AE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okoliš za financijsku godinu 2023.,</w:t>
      </w:r>
    </w:p>
    <w:p w14:paraId="0255118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15"/>
      </w:r>
      <w:r w:rsidRPr="00AA43E9">
        <w:rPr>
          <w:kern w:val="2"/>
          <w14:ligatures w14:val="standardContextual"/>
        </w:rPr>
        <w:t>,</w:t>
      </w:r>
    </w:p>
    <w:p w14:paraId="148EB65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1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1F543C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7937026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4E64686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17"/>
      </w:r>
      <w:r w:rsidRPr="00AA43E9">
        <w:rPr>
          <w:kern w:val="2"/>
          <w14:ligatures w14:val="standardContextual"/>
        </w:rPr>
        <w:t>, a posebno njezin članak 70.,</w:t>
      </w:r>
    </w:p>
    <w:p w14:paraId="7D065E2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18"/>
      </w:r>
      <w:r w:rsidRPr="00AA43E9">
        <w:rPr>
          <w:kern w:val="2"/>
          <w14:ligatures w14:val="standardContextual"/>
        </w:rPr>
        <w:t>, a posebno njezin članak 70.,</w:t>
      </w:r>
    </w:p>
    <w:p w14:paraId="78561DF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401/2009 Europskog parlamenta i Vijeća od 23. travnja 2009. o Europskoj agenciji za okoliš i Europskoj informacijskoj i promatračkoj mreži za okoliš</w:t>
      </w:r>
      <w:r w:rsidRPr="00AA43E9">
        <w:rPr>
          <w:b/>
          <w:kern w:val="2"/>
          <w:vertAlign w:val="superscript"/>
          <w14:ligatures w14:val="standardContextual"/>
        </w:rPr>
        <w:footnoteReference w:id="119"/>
      </w:r>
      <w:r w:rsidRPr="00AA43E9">
        <w:rPr>
          <w:kern w:val="2"/>
          <w14:ligatures w14:val="standardContextual"/>
        </w:rPr>
        <w:t>, a posebno njezin članak 13.,</w:t>
      </w:r>
    </w:p>
    <w:p w14:paraId="1AC8378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20"/>
      </w:r>
      <w:r w:rsidRPr="00AA43E9">
        <w:rPr>
          <w:kern w:val="2"/>
          <w14:ligatures w14:val="standardContextual"/>
        </w:rPr>
        <w:t>, a posebno njezin članak 105.,</w:t>
      </w:r>
    </w:p>
    <w:p w14:paraId="0E06920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2D1BFC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5A0F7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B30C65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okoliš za financijsku godinu 2023.;</w:t>
      </w:r>
    </w:p>
    <w:p w14:paraId="0936D84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Europske agencije za okoliš,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8148E6A"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7A831D3" w14:textId="77777777" w:rsidR="00AA43E9" w:rsidRPr="00AA43E9" w:rsidRDefault="00AA43E9" w:rsidP="00FD5838">
      <w:pPr>
        <w:pStyle w:val="ATHeading3"/>
      </w:pPr>
      <w:r w:rsidRPr="00AA43E9">
        <w:lastRenderedPageBreak/>
        <w:t>21. Odluka Europskog parlamenta od 7. svibnja 2025. o razrješnici za izvršenje proračuna Europske agencije za kontrolu ribarstva za financijsku godinu 2023. (2024/2030(DEC))</w:t>
      </w:r>
    </w:p>
    <w:p w14:paraId="3A8C6A22" w14:textId="62566E29"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37D0653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kontrolu ribarstva za financijsku godinu 2023.,</w:t>
      </w:r>
    </w:p>
    <w:p w14:paraId="50C7675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21"/>
      </w:r>
      <w:r w:rsidRPr="00AA43E9">
        <w:rPr>
          <w:kern w:val="2"/>
          <w14:ligatures w14:val="standardContextual"/>
        </w:rPr>
        <w:t>,</w:t>
      </w:r>
    </w:p>
    <w:p w14:paraId="0CD43A3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2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4CA200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193A9FE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79153D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23"/>
      </w:r>
      <w:r w:rsidRPr="00AA43E9">
        <w:rPr>
          <w:kern w:val="2"/>
          <w14:ligatures w14:val="standardContextual"/>
        </w:rPr>
        <w:t>, a posebno njezin članak 70.,</w:t>
      </w:r>
    </w:p>
    <w:p w14:paraId="3ED5122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24"/>
      </w:r>
      <w:r w:rsidRPr="00AA43E9">
        <w:rPr>
          <w:kern w:val="2"/>
          <w14:ligatures w14:val="standardContextual"/>
        </w:rPr>
        <w:t>, a posebno njezin članak 70.,</w:t>
      </w:r>
    </w:p>
    <w:p w14:paraId="0F25BBE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2019/473 Europskog parlamenta i Vijeća od 19. ožujka 2019. o Europskoj agenciji za kontrolu ribarstva</w:t>
      </w:r>
      <w:r w:rsidRPr="00AA43E9">
        <w:rPr>
          <w:b/>
          <w:kern w:val="2"/>
          <w:vertAlign w:val="superscript"/>
          <w14:ligatures w14:val="standardContextual"/>
        </w:rPr>
        <w:footnoteReference w:id="125"/>
      </w:r>
      <w:r w:rsidRPr="00AA43E9">
        <w:rPr>
          <w:kern w:val="2"/>
          <w14:ligatures w14:val="standardContextual"/>
        </w:rPr>
        <w:t>, a posebno njezin članak 45.,</w:t>
      </w:r>
    </w:p>
    <w:p w14:paraId="35A5878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26"/>
      </w:r>
      <w:r w:rsidRPr="00AA43E9">
        <w:rPr>
          <w:kern w:val="2"/>
          <w14:ligatures w14:val="standardContextual"/>
        </w:rPr>
        <w:t>, a posebno njezin članak 105.,</w:t>
      </w:r>
    </w:p>
    <w:p w14:paraId="2A4DD36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06B43CE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B91815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81C10D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Europske agencije za kontrolu ribarstva za izvršenje proračuna Agencije za financijsku godinu 2023.;</w:t>
      </w:r>
    </w:p>
    <w:p w14:paraId="57BEFC5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54E2A51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Europske agencije za kontrolu ribarstva,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15E33766"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48D0FCB3" w14:textId="77777777" w:rsidR="00AA43E9" w:rsidRPr="00AA43E9" w:rsidRDefault="00AA43E9" w:rsidP="00FD5838">
      <w:pPr>
        <w:pStyle w:val="ATHeading3"/>
      </w:pPr>
      <w:r w:rsidRPr="00AA43E9">
        <w:lastRenderedPageBreak/>
        <w:t>22. Odluka Europskog parlamenta od 7. svibnja 2025. o zaključenju poslovnih knjiga Europske agencije za kontrolu ribarstva za financijsku godinu 2023. (2024/2030(DEC))</w:t>
      </w:r>
    </w:p>
    <w:p w14:paraId="147B4528" w14:textId="69D468A6"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5818D91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kontrolu ribarstva za financijsku godinu 2023.,</w:t>
      </w:r>
    </w:p>
    <w:p w14:paraId="4C4DEF3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27"/>
      </w:r>
      <w:r w:rsidRPr="00AA43E9">
        <w:rPr>
          <w:kern w:val="2"/>
          <w14:ligatures w14:val="standardContextual"/>
        </w:rPr>
        <w:t>,</w:t>
      </w:r>
    </w:p>
    <w:p w14:paraId="64E0293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2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699067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37997F2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16B10F4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29"/>
      </w:r>
      <w:r w:rsidRPr="00AA43E9">
        <w:rPr>
          <w:kern w:val="2"/>
          <w14:ligatures w14:val="standardContextual"/>
        </w:rPr>
        <w:t>, a posebno njezin članak 70.,</w:t>
      </w:r>
    </w:p>
    <w:p w14:paraId="21A321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30"/>
      </w:r>
      <w:r w:rsidRPr="00AA43E9">
        <w:rPr>
          <w:kern w:val="2"/>
          <w14:ligatures w14:val="standardContextual"/>
        </w:rPr>
        <w:t>, a posebno njezin članak 70.,</w:t>
      </w:r>
    </w:p>
    <w:p w14:paraId="0A360EE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2019/473 Europskog parlamenta i Vijeća od 19. ožujka 2019. o Europskoj agenciji za kontrolu ribarstva</w:t>
      </w:r>
      <w:r w:rsidRPr="00AA43E9">
        <w:rPr>
          <w:b/>
          <w:kern w:val="2"/>
          <w:vertAlign w:val="superscript"/>
          <w14:ligatures w14:val="standardContextual"/>
        </w:rPr>
        <w:footnoteReference w:id="131"/>
      </w:r>
      <w:r w:rsidRPr="00AA43E9">
        <w:rPr>
          <w:kern w:val="2"/>
          <w14:ligatures w14:val="standardContextual"/>
        </w:rPr>
        <w:t>, a posebno njezin članak 45.,</w:t>
      </w:r>
    </w:p>
    <w:p w14:paraId="56E5E70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32"/>
      </w:r>
      <w:r w:rsidRPr="00AA43E9">
        <w:rPr>
          <w:kern w:val="2"/>
          <w14:ligatures w14:val="standardContextual"/>
        </w:rPr>
        <w:t>, a posebno njezin članak 105.,</w:t>
      </w:r>
    </w:p>
    <w:p w14:paraId="4CDD5C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6341BD7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C0E7D3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2E73C1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kontrolu ribarstva za financijsku godinu 2023.;</w:t>
      </w:r>
    </w:p>
    <w:p w14:paraId="7BF826E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Europske agencije za kontrolu ribarstva,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79FA2844"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0CE7A547" w14:textId="77777777" w:rsidR="00AA43E9" w:rsidRPr="00AA43E9" w:rsidRDefault="00AA43E9" w:rsidP="00FD5838">
      <w:pPr>
        <w:pStyle w:val="ATHeading3"/>
      </w:pPr>
      <w:r w:rsidRPr="00AA43E9">
        <w:lastRenderedPageBreak/>
        <w:t>23. Odluka Europskog parlamenta od 7. svibnja 2025. o razrješnici za izvršenje proračuna Europske agencije za sigurnost hrane za financijsku godinu 2023. (2024/2030(DEC))</w:t>
      </w:r>
    </w:p>
    <w:p w14:paraId="2DBC4FEA" w14:textId="5516D8A0" w:rsidR="00AA43E9" w:rsidRPr="00AA43E9" w:rsidRDefault="00FD5838"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2C52838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sigurnost hrane za financijsku godinu 2023.,</w:t>
      </w:r>
    </w:p>
    <w:p w14:paraId="748D6CE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33"/>
      </w:r>
      <w:r w:rsidRPr="00AA43E9">
        <w:rPr>
          <w:kern w:val="2"/>
          <w14:ligatures w14:val="standardContextual"/>
        </w:rPr>
        <w:t>,</w:t>
      </w:r>
    </w:p>
    <w:p w14:paraId="709781A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3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F54E1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7667F12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C9B6A7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35"/>
      </w:r>
      <w:r w:rsidRPr="00AA43E9">
        <w:rPr>
          <w:kern w:val="2"/>
          <w14:ligatures w14:val="standardContextual"/>
        </w:rPr>
        <w:t>, a posebno njezin članak 70.,</w:t>
      </w:r>
    </w:p>
    <w:p w14:paraId="4150367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36"/>
      </w:r>
      <w:r w:rsidRPr="00AA43E9">
        <w:rPr>
          <w:kern w:val="2"/>
          <w14:ligatures w14:val="standardContextual"/>
        </w:rPr>
        <w:t>, a posebno njezin članak 70.,</w:t>
      </w:r>
    </w:p>
    <w:p w14:paraId="3D4647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178/2002 Europskog parlamenta i Vijeća od 28. siječnja 2002. o utvrđivanju općih načela i uvjeta zakona o hrani, osnivanju Europske agencije za sigurnost hrane te utvrđivanju postupaka u područjima sigurnosti hrane</w:t>
      </w:r>
      <w:r w:rsidRPr="00AA43E9">
        <w:rPr>
          <w:b/>
          <w:kern w:val="2"/>
          <w:vertAlign w:val="superscript"/>
          <w14:ligatures w14:val="standardContextual"/>
        </w:rPr>
        <w:footnoteReference w:id="137"/>
      </w:r>
      <w:r w:rsidRPr="00AA43E9">
        <w:rPr>
          <w:kern w:val="2"/>
          <w14:ligatures w14:val="standardContextual"/>
        </w:rPr>
        <w:t>, a posebno njezin članak 44.,</w:t>
      </w:r>
    </w:p>
    <w:p w14:paraId="4C41262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38"/>
      </w:r>
      <w:r w:rsidRPr="00AA43E9">
        <w:rPr>
          <w:kern w:val="2"/>
          <w14:ligatures w14:val="standardContextual"/>
        </w:rPr>
        <w:t>, a posebno njezin članak 105.,</w:t>
      </w:r>
    </w:p>
    <w:p w14:paraId="7A60CF8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6F072EF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1A16C0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8B95E1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vršitelju dužnosti izvršnog direktora Europske agencije za sigurnost hrane za izvršenje proračuna Agencije za financijsku godinu 2023.;</w:t>
      </w:r>
    </w:p>
    <w:p w14:paraId="6A5AAE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33D637C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vršitelju dužnosti izvršnog direktora Europske agencije za sigurnost hrane,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3C26E074"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A7D9217" w14:textId="0D4C38DF" w:rsidR="00AA43E9" w:rsidRPr="00AA43E9" w:rsidRDefault="00AA43E9" w:rsidP="00F56A77">
      <w:pPr>
        <w:pStyle w:val="ATHeading3"/>
      </w:pPr>
      <w:r w:rsidRPr="00AA43E9">
        <w:lastRenderedPageBreak/>
        <w:t>24. Odluka Europskog parlamenta od 7. svibnja 2025. o zaključenju poslovnih knjiga Europske agencije za sigurnost hrane za financijsku godinu 2023. (2024/2030(DEC))</w:t>
      </w:r>
    </w:p>
    <w:p w14:paraId="7E5A4EEC" w14:textId="4BBEE6D1"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992BA6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sigurnost hrane za financijsku godinu 2023.,</w:t>
      </w:r>
    </w:p>
    <w:p w14:paraId="3D0504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39"/>
      </w:r>
      <w:r w:rsidRPr="00AA43E9">
        <w:rPr>
          <w:kern w:val="2"/>
          <w14:ligatures w14:val="standardContextual"/>
        </w:rPr>
        <w:t>,</w:t>
      </w:r>
    </w:p>
    <w:p w14:paraId="049676C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4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B579A9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0AD36F9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C6C1B8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41"/>
      </w:r>
      <w:r w:rsidRPr="00AA43E9">
        <w:rPr>
          <w:kern w:val="2"/>
          <w14:ligatures w14:val="standardContextual"/>
        </w:rPr>
        <w:t>, a posebno njezin članak 70.,</w:t>
      </w:r>
    </w:p>
    <w:p w14:paraId="0A686AE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42"/>
      </w:r>
      <w:r w:rsidRPr="00AA43E9">
        <w:rPr>
          <w:kern w:val="2"/>
          <w14:ligatures w14:val="standardContextual"/>
        </w:rPr>
        <w:t>, a posebno njezin članak 70.,</w:t>
      </w:r>
    </w:p>
    <w:p w14:paraId="62D8D7A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178/2002 Europskog parlamenta i Vijeća od 28. siječnja 2002. o utvrđivanju općih načela i uvjeta zakona o hrani, osnivanju Europske agencije za sigurnost hrane te utvrđivanju postupaka u područjima sigurnosti hrane</w:t>
      </w:r>
      <w:r w:rsidRPr="00AA43E9">
        <w:rPr>
          <w:b/>
          <w:kern w:val="2"/>
          <w:vertAlign w:val="superscript"/>
          <w14:ligatures w14:val="standardContextual"/>
        </w:rPr>
        <w:footnoteReference w:id="143"/>
      </w:r>
      <w:r w:rsidRPr="00AA43E9">
        <w:rPr>
          <w:kern w:val="2"/>
          <w14:ligatures w14:val="standardContextual"/>
        </w:rPr>
        <w:t>, a posebno njezin članak 44.,</w:t>
      </w:r>
    </w:p>
    <w:p w14:paraId="33D54D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44"/>
      </w:r>
      <w:r w:rsidRPr="00AA43E9">
        <w:rPr>
          <w:kern w:val="2"/>
          <w14:ligatures w14:val="standardContextual"/>
        </w:rPr>
        <w:t>, a posebno njezin članak 105.,</w:t>
      </w:r>
    </w:p>
    <w:p w14:paraId="191A47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20379B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04CCF5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DBAAFD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sigurnost hrane za financijsku godinu 2023.;</w:t>
      </w:r>
    </w:p>
    <w:p w14:paraId="2DF9B62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vršitelju dužnosti izvršnog direktora Europske agencije za sigurnost hrane,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FCD1223"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93DB61C" w14:textId="21EB055C" w:rsidR="00AA43E9" w:rsidRPr="00AA43E9" w:rsidRDefault="00AA43E9" w:rsidP="00F56A77">
      <w:pPr>
        <w:pStyle w:val="ATHeading3"/>
      </w:pPr>
      <w:r w:rsidRPr="00AA43E9">
        <w:lastRenderedPageBreak/>
        <w:t>25. Odluka Europskog parlamenta od 7. svibnja 2025. o razrješnici za izvršenje proračuna Europskog instituta za jednakost spolova za financijsku godinu 2023. (2024/2030(DEC))</w:t>
      </w:r>
    </w:p>
    <w:p w14:paraId="2F803181" w14:textId="03065663"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3F7F9D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instituta za jednakost spolova za financijsku godinu 2023.,</w:t>
      </w:r>
    </w:p>
    <w:p w14:paraId="3B381D4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45"/>
      </w:r>
      <w:r w:rsidRPr="00AA43E9">
        <w:rPr>
          <w:kern w:val="2"/>
          <w14:ligatures w14:val="standardContextual"/>
        </w:rPr>
        <w:t>,</w:t>
      </w:r>
    </w:p>
    <w:p w14:paraId="72C8B9E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4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991F10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Institut za izvršenje proračuna za financijsku godinu 2023. (05755/2025 – C10</w:t>
      </w:r>
      <w:r w:rsidRPr="00AA43E9">
        <w:rPr>
          <w:kern w:val="2"/>
          <w14:ligatures w14:val="standardContextual"/>
        </w:rPr>
        <w:noBreakHyphen/>
        <w:t>0024/2025),</w:t>
      </w:r>
    </w:p>
    <w:p w14:paraId="0ED9308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D2681D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47"/>
      </w:r>
      <w:r w:rsidRPr="00AA43E9">
        <w:rPr>
          <w:kern w:val="2"/>
          <w14:ligatures w14:val="standardContextual"/>
        </w:rPr>
        <w:t>, a posebno njezin članak 70.,</w:t>
      </w:r>
    </w:p>
    <w:p w14:paraId="095082D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48"/>
      </w:r>
      <w:r w:rsidRPr="00AA43E9">
        <w:rPr>
          <w:kern w:val="2"/>
          <w14:ligatures w14:val="standardContextual"/>
        </w:rPr>
        <w:t>, a posebno njezin članak 70.,</w:t>
      </w:r>
    </w:p>
    <w:p w14:paraId="70B8CC4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1922/2006 Europskog parlamenta i Vijeća od 20. prosinca 2006. o osnivanju Europskog instituta za jednakost spolova</w:t>
      </w:r>
      <w:r w:rsidRPr="00AA43E9">
        <w:rPr>
          <w:b/>
          <w:kern w:val="2"/>
          <w:vertAlign w:val="superscript"/>
          <w14:ligatures w14:val="standardContextual"/>
        </w:rPr>
        <w:footnoteReference w:id="149"/>
      </w:r>
      <w:r w:rsidRPr="00AA43E9">
        <w:rPr>
          <w:kern w:val="2"/>
          <w14:ligatures w14:val="standardContextual"/>
        </w:rPr>
        <w:t>, a posebno njezin članak 15.,</w:t>
      </w:r>
    </w:p>
    <w:p w14:paraId="7C82570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50"/>
      </w:r>
      <w:r w:rsidRPr="00AA43E9">
        <w:rPr>
          <w:kern w:val="2"/>
          <w14:ligatures w14:val="standardContextual"/>
        </w:rPr>
        <w:t>, a posebno njezin članak 105.,</w:t>
      </w:r>
    </w:p>
    <w:p w14:paraId="2F5266A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0739529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D23161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61468E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direktorici Europskog instituta za ravnopravnost spolova za izvršenje proračuna Instituta za financijsku godinu 2023.;</w:t>
      </w:r>
    </w:p>
    <w:p w14:paraId="5808030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466949C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direktorici Europskog instituta za ravnopravnost spolova,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5041665C"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800C14B" w14:textId="77777777" w:rsidR="00AA43E9" w:rsidRPr="00AA43E9" w:rsidRDefault="00AA43E9" w:rsidP="00F56A77">
      <w:pPr>
        <w:pStyle w:val="ATHeading3"/>
      </w:pPr>
      <w:r w:rsidRPr="00AA43E9">
        <w:lastRenderedPageBreak/>
        <w:t>26. Odluka Europskog parlamenta od 7. svibnja 2025. o zaključenju poslovnih knjiga Europskog instituta za jednakost spolova za financijsku godinu 2023. (2024/2030(DEC))</w:t>
      </w:r>
    </w:p>
    <w:p w14:paraId="50044D56" w14:textId="1CEF0D32"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5017B61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instituta za jednakost spolova za financijsku godinu 2023.,</w:t>
      </w:r>
    </w:p>
    <w:p w14:paraId="38B1154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51"/>
      </w:r>
      <w:r w:rsidRPr="00AA43E9">
        <w:rPr>
          <w:kern w:val="2"/>
          <w14:ligatures w14:val="standardContextual"/>
        </w:rPr>
        <w:t>,</w:t>
      </w:r>
    </w:p>
    <w:p w14:paraId="7C8B045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5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C3332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Institut za izvršenje proračuna za financijsku godinu 2023. (05755/2025 – C10</w:t>
      </w:r>
      <w:r w:rsidRPr="00AA43E9">
        <w:rPr>
          <w:kern w:val="2"/>
          <w14:ligatures w14:val="standardContextual"/>
        </w:rPr>
        <w:noBreakHyphen/>
        <w:t>0024/2025),</w:t>
      </w:r>
    </w:p>
    <w:p w14:paraId="531268D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44CF28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53"/>
      </w:r>
      <w:r w:rsidRPr="00AA43E9">
        <w:rPr>
          <w:kern w:val="2"/>
          <w14:ligatures w14:val="standardContextual"/>
        </w:rPr>
        <w:t>, a posebno njezin članak 70.,</w:t>
      </w:r>
    </w:p>
    <w:p w14:paraId="1700C02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54"/>
      </w:r>
      <w:r w:rsidRPr="00AA43E9">
        <w:rPr>
          <w:kern w:val="2"/>
          <w14:ligatures w14:val="standardContextual"/>
        </w:rPr>
        <w:t>, a posebno njezin članak 70.,</w:t>
      </w:r>
    </w:p>
    <w:p w14:paraId="12D9020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1922/2006 Europskog parlamenta i Vijeća od 20. prosinca 2006. o osnivanju Europskog instituta za jednakost spolova</w:t>
      </w:r>
      <w:r w:rsidRPr="00AA43E9">
        <w:rPr>
          <w:b/>
          <w:kern w:val="2"/>
          <w:vertAlign w:val="superscript"/>
          <w14:ligatures w14:val="standardContextual"/>
        </w:rPr>
        <w:footnoteReference w:id="155"/>
      </w:r>
      <w:r w:rsidRPr="00AA43E9">
        <w:rPr>
          <w:kern w:val="2"/>
          <w14:ligatures w14:val="standardContextual"/>
        </w:rPr>
        <w:t>, a posebno njezin članak 15.,</w:t>
      </w:r>
    </w:p>
    <w:p w14:paraId="2A2F4FD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56"/>
      </w:r>
      <w:r w:rsidRPr="00AA43E9">
        <w:rPr>
          <w:kern w:val="2"/>
          <w14:ligatures w14:val="standardContextual"/>
        </w:rPr>
        <w:t>, a posebno njezin članak 105.,</w:t>
      </w:r>
    </w:p>
    <w:p w14:paraId="74168C4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20112B5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DB923B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529B0AC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instituta za jednakost spolova za financijsku godinu 2023.;</w:t>
      </w:r>
    </w:p>
    <w:p w14:paraId="20F9471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direktorici Europskog instituta za ravnopravnost spolova,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6290C2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FC51DD9" w14:textId="77777777" w:rsidR="00AA43E9" w:rsidRPr="00AA43E9" w:rsidRDefault="00AA43E9" w:rsidP="00F56A77">
      <w:pPr>
        <w:pStyle w:val="ATHeading3"/>
      </w:pPr>
      <w:r w:rsidRPr="00AA43E9">
        <w:lastRenderedPageBreak/>
        <w:t>27. Odluka Europskog parlamenta od 7. svibnja 2025. o razrješnici za izvršenje proračuna Europskog nadzornog tijela za osiguranje i strukovno mirovinsko osiguranje za financijsku godinu 2023. (2024/2030(DEC))</w:t>
      </w:r>
    </w:p>
    <w:p w14:paraId="0816DF35" w14:textId="47925724"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07DB1C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osiguranje i strukovno mirovinsko osiguranje za financijsku godinu 2023.,</w:t>
      </w:r>
    </w:p>
    <w:p w14:paraId="2119B14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57"/>
      </w:r>
      <w:r w:rsidRPr="00AA43E9">
        <w:rPr>
          <w:kern w:val="2"/>
          <w14:ligatures w14:val="standardContextual"/>
        </w:rPr>
        <w:t>,</w:t>
      </w:r>
    </w:p>
    <w:p w14:paraId="71B2BB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5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0BE956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5A7736F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A84566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59"/>
      </w:r>
      <w:r w:rsidRPr="00AA43E9">
        <w:rPr>
          <w:kern w:val="2"/>
          <w14:ligatures w14:val="standardContextual"/>
        </w:rPr>
        <w:t>, a posebno njezin članak 70.,</w:t>
      </w:r>
    </w:p>
    <w:p w14:paraId="31F3A1D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60"/>
      </w:r>
      <w:r w:rsidRPr="00AA43E9">
        <w:rPr>
          <w:kern w:val="2"/>
          <w14:ligatures w14:val="standardContextual"/>
        </w:rPr>
        <w:t>, a posebno njezin članak 70.,</w:t>
      </w:r>
    </w:p>
    <w:p w14:paraId="6A9532B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1094/2010 Europskog parlamenta i Vijeća od 24. studenoga 2010. o osnivanju Europskog nadzornog tijela (Europsko nadzorno tijelo za osiguranje i strukovno mirovinsko osiguranje), o izmjeni Odluke br. 716/2009/EZ i o stavljanju izvan snage Odluke Komisije 2009/79/EZ</w:t>
      </w:r>
      <w:r w:rsidRPr="00AA43E9">
        <w:rPr>
          <w:b/>
          <w:kern w:val="2"/>
          <w:vertAlign w:val="superscript"/>
          <w14:ligatures w14:val="standardContextual"/>
        </w:rPr>
        <w:footnoteReference w:id="161"/>
      </w:r>
      <w:r w:rsidRPr="00AA43E9">
        <w:rPr>
          <w:kern w:val="2"/>
          <w14:ligatures w14:val="standardContextual"/>
        </w:rPr>
        <w:t>, a posebno njezin članak 64.,</w:t>
      </w:r>
    </w:p>
    <w:p w14:paraId="78C850E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162"/>
      </w:r>
      <w:r w:rsidRPr="00AA43E9">
        <w:rPr>
          <w:kern w:val="2"/>
          <w14:ligatures w14:val="standardContextual"/>
        </w:rPr>
        <w:t>, a posebno njezin članak 105.,</w:t>
      </w:r>
    </w:p>
    <w:p w14:paraId="37D3A7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4DDBF1A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9D24CC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3D7BE6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Europskog nadzornog tijela za osiguranje i strukovno mirovinsko osiguranje za izvršenje proračuna Tijela za financijsku godinu 2023.;</w:t>
      </w:r>
    </w:p>
    <w:p w14:paraId="66B0BFB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25B8068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Europskog nadzornog tijela za osiguranje i strukovno mirovinsko osiguranje, Vijeću, Komisiji i Revizorskom sudu te da ih da na objavu u </w:t>
      </w:r>
      <w:r w:rsidRPr="00AA43E9">
        <w:rPr>
          <w:i/>
          <w:iCs/>
          <w:kern w:val="2"/>
          <w14:ligatures w14:val="standardContextual"/>
        </w:rPr>
        <w:t>Službenom listu Europske unije</w:t>
      </w:r>
      <w:r w:rsidRPr="00AA43E9">
        <w:rPr>
          <w:kern w:val="2"/>
          <w14:ligatures w14:val="standardContextual"/>
        </w:rPr>
        <w:t xml:space="preserve"> (serija L).</w:t>
      </w:r>
    </w:p>
    <w:p w14:paraId="1FDF5F95"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762983E" w14:textId="77777777" w:rsidR="00AA43E9" w:rsidRPr="00AA43E9" w:rsidRDefault="00AA43E9" w:rsidP="00F56A77">
      <w:pPr>
        <w:pStyle w:val="ATHeading3"/>
      </w:pPr>
      <w:r w:rsidRPr="00AA43E9">
        <w:lastRenderedPageBreak/>
        <w:t>28. Odluka Europskog parlamenta od 7. svibnja 2025. o zaključenju poslovnih knjiga Europskog nadzornog tijela za osiguranje i strukovno mirovinsko osiguranje za financijsku godinu 2023. (2024/2030(DEC))</w:t>
      </w:r>
    </w:p>
    <w:p w14:paraId="7C775671" w14:textId="65937149"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93C17A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osiguranje i strukovno mirovinsko osiguranje za financijsku godinu 2023.,</w:t>
      </w:r>
    </w:p>
    <w:p w14:paraId="61650D9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63"/>
      </w:r>
      <w:r w:rsidRPr="00AA43E9">
        <w:rPr>
          <w:kern w:val="2"/>
          <w14:ligatures w14:val="standardContextual"/>
        </w:rPr>
        <w:t>,</w:t>
      </w:r>
    </w:p>
    <w:p w14:paraId="7CC7D14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6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8B4155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4FA46DC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7214085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65"/>
      </w:r>
      <w:r w:rsidRPr="00AA43E9">
        <w:rPr>
          <w:kern w:val="2"/>
          <w14:ligatures w14:val="standardContextual"/>
        </w:rPr>
        <w:t>, a posebno njezin članak 70.,</w:t>
      </w:r>
    </w:p>
    <w:p w14:paraId="0591C3E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66"/>
      </w:r>
      <w:r w:rsidRPr="00AA43E9">
        <w:rPr>
          <w:kern w:val="2"/>
          <w14:ligatures w14:val="standardContextual"/>
        </w:rPr>
        <w:t>, a posebno njezin članak 70.,</w:t>
      </w:r>
    </w:p>
    <w:p w14:paraId="4415795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1094/2010 Europskog parlamenta i Vijeća od 24. studenoga 2010. o osnivanju Europskog nadzornog tijela (Europsko nadzorno tijelo za osiguranje i strukovno mirovinsko osiguranje), o izmjeni Odluke br. 716/2009/EZ i o stavljanju izvan snage Odluke Komisije 2009/79/EZ</w:t>
      </w:r>
      <w:r w:rsidRPr="00AA43E9">
        <w:rPr>
          <w:b/>
          <w:kern w:val="2"/>
          <w:vertAlign w:val="superscript"/>
          <w14:ligatures w14:val="standardContextual"/>
        </w:rPr>
        <w:footnoteReference w:id="167"/>
      </w:r>
      <w:r w:rsidRPr="00AA43E9">
        <w:rPr>
          <w:kern w:val="2"/>
          <w14:ligatures w14:val="standardContextual"/>
        </w:rPr>
        <w:t>, a posebno njezin članak 64.,</w:t>
      </w:r>
    </w:p>
    <w:p w14:paraId="06DBF0B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168"/>
      </w:r>
      <w:r w:rsidRPr="00AA43E9">
        <w:rPr>
          <w:kern w:val="2"/>
          <w14:ligatures w14:val="standardContextual"/>
        </w:rPr>
        <w:t>, a posebno njezin članak 105.,</w:t>
      </w:r>
    </w:p>
    <w:p w14:paraId="3EAD8F1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2357489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68782A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77ACC97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nadzornog tijela za osiguranje i strukovno mirovinsko osiguranje za financijsku godinu 2023.;</w:t>
      </w:r>
    </w:p>
    <w:p w14:paraId="3AB9B0E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Europskog nadzornog tijela za osiguranje i strukovno mirovinsko osiguranje,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00C52DB9"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2777B979" w14:textId="758B8ECF" w:rsidR="00AA43E9" w:rsidRPr="00AA43E9" w:rsidRDefault="00AA43E9" w:rsidP="00F56A77">
      <w:pPr>
        <w:pStyle w:val="ATHeading3"/>
      </w:pPr>
      <w:r w:rsidRPr="00AA43E9">
        <w:lastRenderedPageBreak/>
        <w:t>29. Odluka Europskog parlamenta od 7. svibnja 2025. o razrješnici za izvršenje proračuna Europskog instituta za inovacije i tehnologiju za financijsku godinu 2023. (2024/2030(DEC))</w:t>
      </w:r>
    </w:p>
    <w:p w14:paraId="37131154" w14:textId="2382C02B"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18C959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instituta za inovacije i tehnologiju za financijsku godinu 2023.,</w:t>
      </w:r>
    </w:p>
    <w:p w14:paraId="3953FB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69"/>
      </w:r>
      <w:r w:rsidRPr="00AA43E9">
        <w:rPr>
          <w:kern w:val="2"/>
          <w14:ligatures w14:val="standardContextual"/>
        </w:rPr>
        <w:t>,</w:t>
      </w:r>
    </w:p>
    <w:p w14:paraId="65D408B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7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25EC47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Institut za izvršenje proračuna za financijsku godinu 2023. (05755/2025 – C10</w:t>
      </w:r>
      <w:r w:rsidRPr="00AA43E9">
        <w:rPr>
          <w:kern w:val="2"/>
          <w14:ligatures w14:val="standardContextual"/>
        </w:rPr>
        <w:noBreakHyphen/>
        <w:t>0024/2025),</w:t>
      </w:r>
    </w:p>
    <w:p w14:paraId="58A3283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649FD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71"/>
      </w:r>
      <w:r w:rsidRPr="00AA43E9">
        <w:rPr>
          <w:kern w:val="2"/>
          <w14:ligatures w14:val="standardContextual"/>
        </w:rPr>
        <w:t>, a posebno njezin članak 70.,</w:t>
      </w:r>
    </w:p>
    <w:p w14:paraId="5F9884B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72"/>
      </w:r>
      <w:r w:rsidRPr="00AA43E9">
        <w:rPr>
          <w:kern w:val="2"/>
          <w14:ligatures w14:val="standardContextual"/>
        </w:rPr>
        <w:t>, a posebno njezin članak 70.,</w:t>
      </w:r>
    </w:p>
    <w:p w14:paraId="7927614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2021/819 Europskog parlamenta i Vijeća od 20. svibnja 2021. o Europskom institutu za inovacije i tehnologiju</w:t>
      </w:r>
      <w:r w:rsidRPr="00AA43E9">
        <w:rPr>
          <w:b/>
          <w:kern w:val="2"/>
          <w:vertAlign w:val="superscript"/>
          <w14:ligatures w14:val="standardContextual"/>
        </w:rPr>
        <w:footnoteReference w:id="173"/>
      </w:r>
      <w:r w:rsidRPr="00AA43E9">
        <w:rPr>
          <w:kern w:val="2"/>
          <w14:ligatures w14:val="standardContextual"/>
        </w:rPr>
        <w:t>, a posebno njezin članak 23.,</w:t>
      </w:r>
    </w:p>
    <w:p w14:paraId="76CAC41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74"/>
      </w:r>
      <w:r w:rsidRPr="00AA43E9">
        <w:rPr>
          <w:kern w:val="2"/>
          <w14:ligatures w14:val="standardContextual"/>
        </w:rPr>
        <w:t>, a posebno njezin članak 105.,</w:t>
      </w:r>
    </w:p>
    <w:p w14:paraId="5BD294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3887B3B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906FF6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C81C10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direktoru Europskog instituta za inovacije i tehnologiju za izvršenje proračuna Instituta za financijsku godinu 2023.;</w:t>
      </w:r>
    </w:p>
    <w:p w14:paraId="08D8025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1DF802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direktoru Europskog instituta za inovacije i tehnologiju,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564528B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638FE87" w14:textId="77777777" w:rsidR="00AA43E9" w:rsidRPr="00AA43E9" w:rsidRDefault="00AA43E9" w:rsidP="00F56A77">
      <w:pPr>
        <w:pStyle w:val="ATHeading3"/>
      </w:pPr>
      <w:r w:rsidRPr="00AA43E9">
        <w:lastRenderedPageBreak/>
        <w:t>30. Odluka Europskog parlamenta od 7. svibnja 2025. o zaključenju poslovnih knjiga Europskog instituta za inovacije i tehnologiju za financijsku godinu 2023. (2024/2030(DEC))</w:t>
      </w:r>
    </w:p>
    <w:p w14:paraId="43896466" w14:textId="0D65CC83"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8DD715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instituta za inovacije i tehnologiju za financijsku godinu 2023.,</w:t>
      </w:r>
    </w:p>
    <w:p w14:paraId="32524A6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75"/>
      </w:r>
      <w:r w:rsidRPr="00AA43E9">
        <w:rPr>
          <w:kern w:val="2"/>
          <w14:ligatures w14:val="standardContextual"/>
        </w:rPr>
        <w:t>,</w:t>
      </w:r>
    </w:p>
    <w:p w14:paraId="19FE5BC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7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E13471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Institut za izvršenje proračuna za financijsku godinu 2023. (05755/2025 – C10</w:t>
      </w:r>
      <w:r w:rsidRPr="00AA43E9">
        <w:rPr>
          <w:kern w:val="2"/>
          <w14:ligatures w14:val="standardContextual"/>
        </w:rPr>
        <w:noBreakHyphen/>
        <w:t>0024/2025),</w:t>
      </w:r>
    </w:p>
    <w:p w14:paraId="549A415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CC9DBE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77"/>
      </w:r>
      <w:r w:rsidRPr="00AA43E9">
        <w:rPr>
          <w:kern w:val="2"/>
          <w14:ligatures w14:val="standardContextual"/>
        </w:rPr>
        <w:t>, a posebno njezin članak 70.,</w:t>
      </w:r>
    </w:p>
    <w:p w14:paraId="2707292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78"/>
      </w:r>
      <w:r w:rsidRPr="00AA43E9">
        <w:rPr>
          <w:kern w:val="2"/>
          <w14:ligatures w14:val="standardContextual"/>
        </w:rPr>
        <w:t>, a posebno njezin članak 70.,</w:t>
      </w:r>
    </w:p>
    <w:p w14:paraId="58C39CE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2021/819 Europskog parlamenta i Vijeća od 20. svibnja 2021. o Europskom institutu za inovacije i tehnologiju</w:t>
      </w:r>
      <w:r w:rsidRPr="00AA43E9">
        <w:rPr>
          <w:b/>
          <w:kern w:val="2"/>
          <w:vertAlign w:val="superscript"/>
          <w14:ligatures w14:val="standardContextual"/>
        </w:rPr>
        <w:footnoteReference w:id="179"/>
      </w:r>
      <w:r w:rsidRPr="00AA43E9">
        <w:rPr>
          <w:kern w:val="2"/>
          <w14:ligatures w14:val="standardContextual"/>
        </w:rPr>
        <w:t>, a posebno njezin članak 23.,</w:t>
      </w:r>
    </w:p>
    <w:p w14:paraId="6366556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80"/>
      </w:r>
      <w:r w:rsidRPr="00AA43E9">
        <w:rPr>
          <w:kern w:val="2"/>
          <w14:ligatures w14:val="standardContextual"/>
        </w:rPr>
        <w:t>, a posebno njezin članak 105.,</w:t>
      </w:r>
    </w:p>
    <w:p w14:paraId="67E73F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2D74B3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10FAFF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1DEA7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instituta za inovacije i tehnologiju za financijsku godinu 2023.;</w:t>
      </w:r>
    </w:p>
    <w:p w14:paraId="55DAC35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direktoru Europskog instituta za inovacije i tehnologiju,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4484DCB0"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81334FD" w14:textId="091E5EE5" w:rsidR="00AA43E9" w:rsidRPr="00AA43E9" w:rsidRDefault="00AA43E9" w:rsidP="00F56A77">
      <w:pPr>
        <w:pStyle w:val="ATHeading3"/>
      </w:pPr>
      <w:r w:rsidRPr="00AA43E9">
        <w:lastRenderedPageBreak/>
        <w:t>31. Odluka Europskog parlamenta od 7. svibnja 2025. o razrješnici za izvršenje proračuna Europskog nadzornog tijela za rad za financijsku godinu 2023. (2024/2030(DEC))</w:t>
      </w:r>
    </w:p>
    <w:p w14:paraId="53E49AB6" w14:textId="68B216E0"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41018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rad za financijsku godinu 2023.,</w:t>
      </w:r>
    </w:p>
    <w:p w14:paraId="789909A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81"/>
      </w:r>
      <w:r w:rsidRPr="00AA43E9">
        <w:rPr>
          <w:kern w:val="2"/>
          <w14:ligatures w14:val="standardContextual"/>
        </w:rPr>
        <w:t>,</w:t>
      </w:r>
    </w:p>
    <w:p w14:paraId="2213FF1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8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42D206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024087C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0A5A30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83"/>
      </w:r>
      <w:r w:rsidRPr="00AA43E9">
        <w:rPr>
          <w:kern w:val="2"/>
          <w14:ligatures w14:val="standardContextual"/>
        </w:rPr>
        <w:t>, a posebno njezin članak 70.,</w:t>
      </w:r>
    </w:p>
    <w:p w14:paraId="6D6D07A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84"/>
      </w:r>
      <w:r w:rsidRPr="00AA43E9">
        <w:rPr>
          <w:kern w:val="2"/>
          <w14:ligatures w14:val="standardContextual"/>
        </w:rPr>
        <w:t>, a posebno njezin članak 70.,</w:t>
      </w:r>
    </w:p>
    <w:p w14:paraId="0ACCAC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2019/1149 Europskog parlamenta i Vijeća od 20. lipnja 2019. o osnivanju Europskog nadzornog tijela za rad, izmjeni uredaba (EZ) br. 883/2004, (EU) br. 492/2011 i (EU) 2016/589 i stavljanju izvan snage Odluke (EU) 2016/344</w:t>
      </w:r>
      <w:r w:rsidRPr="00AA43E9">
        <w:rPr>
          <w:b/>
          <w:kern w:val="2"/>
          <w:vertAlign w:val="superscript"/>
          <w14:ligatures w14:val="standardContextual"/>
        </w:rPr>
        <w:footnoteReference w:id="185"/>
      </w:r>
      <w:r w:rsidRPr="00AA43E9">
        <w:rPr>
          <w:kern w:val="2"/>
          <w14:ligatures w14:val="standardContextual"/>
        </w:rPr>
        <w:t>, a posebno njezin članak 28.,</w:t>
      </w:r>
    </w:p>
    <w:p w14:paraId="6910A7D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86"/>
      </w:r>
      <w:r w:rsidRPr="00AA43E9">
        <w:rPr>
          <w:kern w:val="2"/>
          <w14:ligatures w14:val="standardContextual"/>
        </w:rPr>
        <w:t>, a posebno njezin članak 105.,</w:t>
      </w:r>
    </w:p>
    <w:p w14:paraId="3F03281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7724C28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5848AC2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7700799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Europskog nadzornog tijela za rad za izvršenje proračuna Nadzornog tijela za financijsku godinu 2023.;</w:t>
      </w:r>
    </w:p>
    <w:p w14:paraId="68450B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3BE31DE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Europskog nadzornog tijela za rad,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12FE091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6B0AF92" w14:textId="2D7087EA" w:rsidR="00AA43E9" w:rsidRPr="00AA43E9" w:rsidRDefault="00AA43E9" w:rsidP="00F56A77">
      <w:pPr>
        <w:pStyle w:val="ATHeading3"/>
      </w:pPr>
      <w:r w:rsidRPr="00AA43E9">
        <w:lastRenderedPageBreak/>
        <w:t>32. Odluka Europskog parlamenta od 7. svibnja 2025. o zaključenju poslovnih knjiga Europskog nadzornog tijela za rad za financijsku godinu 2023. (2024/2030(DEC))</w:t>
      </w:r>
    </w:p>
    <w:p w14:paraId="334C4E8E" w14:textId="47EB21C7"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16E614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rad za financijsku godinu 2023.,</w:t>
      </w:r>
    </w:p>
    <w:p w14:paraId="529588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87"/>
      </w:r>
      <w:r w:rsidRPr="00AA43E9">
        <w:rPr>
          <w:kern w:val="2"/>
          <w14:ligatures w14:val="standardContextual"/>
        </w:rPr>
        <w:t>,</w:t>
      </w:r>
    </w:p>
    <w:p w14:paraId="4DA45AD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8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53CFCB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7FB7A47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432D349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89"/>
      </w:r>
      <w:r w:rsidRPr="00AA43E9">
        <w:rPr>
          <w:kern w:val="2"/>
          <w14:ligatures w14:val="standardContextual"/>
        </w:rPr>
        <w:t>, a posebno njezin članak 70.,</w:t>
      </w:r>
    </w:p>
    <w:p w14:paraId="3848145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90"/>
      </w:r>
      <w:r w:rsidRPr="00AA43E9">
        <w:rPr>
          <w:kern w:val="2"/>
          <w14:ligatures w14:val="standardContextual"/>
        </w:rPr>
        <w:t>, a posebno njezin članak 70.,</w:t>
      </w:r>
    </w:p>
    <w:p w14:paraId="40406AD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2019/1149 Europskog parlamenta i Vijeća od 20. lipnja 2019. o osnivanju Europskog nadzornog tijela za rad, izmjeni uredaba (EZ) br. 883/2004, (EU) br. 492/2011 i (EU) 2016/589 i stavljanju izvan snage Odluke (EU) 2016/344</w:t>
      </w:r>
      <w:r w:rsidRPr="00AA43E9">
        <w:rPr>
          <w:b/>
          <w:kern w:val="2"/>
          <w:vertAlign w:val="superscript"/>
          <w14:ligatures w14:val="standardContextual"/>
        </w:rPr>
        <w:footnoteReference w:id="191"/>
      </w:r>
      <w:r w:rsidRPr="00AA43E9">
        <w:rPr>
          <w:kern w:val="2"/>
          <w14:ligatures w14:val="standardContextual"/>
        </w:rPr>
        <w:t>, a posebno njezin članak 28.,</w:t>
      </w:r>
    </w:p>
    <w:p w14:paraId="024FF7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92"/>
      </w:r>
      <w:r w:rsidRPr="00AA43E9">
        <w:rPr>
          <w:kern w:val="2"/>
          <w14:ligatures w14:val="standardContextual"/>
        </w:rPr>
        <w:t>, a posebno njezin članak 105.,</w:t>
      </w:r>
    </w:p>
    <w:p w14:paraId="50DA909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6BE9827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83EF4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223D66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nadzornog tijela za rad za financijsku godinu 2023.;</w:t>
      </w:r>
    </w:p>
    <w:p w14:paraId="53E519F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Europskog nadzornog tijela za rad,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722E052"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004625C" w14:textId="77777777" w:rsidR="00AA43E9" w:rsidRPr="00AA43E9" w:rsidRDefault="00AA43E9" w:rsidP="00F56A77">
      <w:pPr>
        <w:pStyle w:val="ATHeading3"/>
      </w:pPr>
      <w:r w:rsidRPr="00AA43E9">
        <w:lastRenderedPageBreak/>
        <w:t>33. Odluka Europskog parlamenta od 7. svibnja 2025. o razrješnici za izvršenje proračuna Agencije za lijekove za financijsku godinu 2023. (2024/2030(DEC))</w:t>
      </w:r>
    </w:p>
    <w:p w14:paraId="333E4295" w14:textId="455B1328" w:rsidR="00AA43E9" w:rsidRPr="00AA43E9" w:rsidRDefault="00F56A77" w:rsidP="00AA43E9">
      <w:pPr>
        <w:spacing w:before="480" w:after="240"/>
        <w:rPr>
          <w:iCs/>
          <w:kern w:val="2"/>
          <w14:ligatures w14:val="standardContextual"/>
        </w:rPr>
      </w:pPr>
      <w:r w:rsidRPr="00AA43E9">
        <w:rPr>
          <w:i/>
          <w:kern w:val="2"/>
          <w14:ligatures w14:val="standardContextual"/>
        </w:rPr>
        <w:t xml:space="preserve">Europski </w:t>
      </w:r>
      <w:r>
        <w:rPr>
          <w:i/>
          <w:kern w:val="2"/>
          <w14:ligatures w14:val="standardContextual"/>
        </w:rPr>
        <w:t>p</w:t>
      </w:r>
      <w:r w:rsidRPr="00AA43E9">
        <w:rPr>
          <w:i/>
          <w:kern w:val="2"/>
          <w14:ligatures w14:val="standardContextual"/>
        </w:rPr>
        <w:t>arlament</w:t>
      </w:r>
      <w:r w:rsidR="00AA43E9" w:rsidRPr="00AA43E9">
        <w:rPr>
          <w:iCs/>
          <w:kern w:val="2"/>
          <w14:ligatures w14:val="standardContextual"/>
        </w:rPr>
        <w:t>,</w:t>
      </w:r>
    </w:p>
    <w:p w14:paraId="768D1BD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lijekove za financijsku godinu 2023.,</w:t>
      </w:r>
    </w:p>
    <w:p w14:paraId="1E717BB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93"/>
      </w:r>
      <w:r w:rsidRPr="00AA43E9">
        <w:rPr>
          <w:kern w:val="2"/>
          <w14:ligatures w14:val="standardContextual"/>
        </w:rPr>
        <w:t>,</w:t>
      </w:r>
    </w:p>
    <w:p w14:paraId="02A404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19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946029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3DDE6E6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193DD5C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195"/>
      </w:r>
      <w:r w:rsidRPr="00AA43E9">
        <w:rPr>
          <w:kern w:val="2"/>
          <w14:ligatures w14:val="standardContextual"/>
        </w:rPr>
        <w:t>, a posebno njezin članak 70.,</w:t>
      </w:r>
    </w:p>
    <w:p w14:paraId="743E4EB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196"/>
      </w:r>
      <w:r w:rsidRPr="00AA43E9">
        <w:rPr>
          <w:kern w:val="2"/>
          <w14:ligatures w14:val="standardContextual"/>
        </w:rPr>
        <w:t>, a posebno njezin članak 70.,</w:t>
      </w:r>
    </w:p>
    <w:p w14:paraId="155F8BA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726/2004 Europskog parlamenta i Vijeća od 31. ožujka 2004. o utvrđivanju postupaka Unije za odobravanje primjene i nadzor nad primjenom lijekova koji se rabe u humanoj medicini te uspostavi Europske agencije za lijekove</w:t>
      </w:r>
      <w:r w:rsidRPr="00AA43E9">
        <w:rPr>
          <w:b/>
          <w:kern w:val="2"/>
          <w:vertAlign w:val="superscript"/>
          <w14:ligatures w14:val="standardContextual"/>
        </w:rPr>
        <w:footnoteReference w:id="197"/>
      </w:r>
      <w:r w:rsidRPr="00AA43E9">
        <w:rPr>
          <w:kern w:val="2"/>
          <w14:ligatures w14:val="standardContextual"/>
        </w:rPr>
        <w:t>, a posebno njezin članak 68.,</w:t>
      </w:r>
    </w:p>
    <w:p w14:paraId="0D7CEA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198"/>
      </w:r>
      <w:r w:rsidRPr="00AA43E9">
        <w:rPr>
          <w:kern w:val="2"/>
          <w14:ligatures w14:val="standardContextual"/>
        </w:rPr>
        <w:t>, a posebno njezin članak 105.,</w:t>
      </w:r>
    </w:p>
    <w:p w14:paraId="0C3BD9E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6F236A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CC24C6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4FA7F9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Europske agencije za lijekove za izvršenje proračuna Agencije za financijsku godinu 2023.;</w:t>
      </w:r>
    </w:p>
    <w:p w14:paraId="18FE5C3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1255E7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Europske agencije za lijekove,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41A5A797"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0B1B13B7" w14:textId="2BBD21D8" w:rsidR="00AA43E9" w:rsidRPr="00AA43E9" w:rsidRDefault="00AA43E9" w:rsidP="00F56A77">
      <w:pPr>
        <w:pStyle w:val="ATHeading3"/>
      </w:pPr>
      <w:r w:rsidRPr="00AA43E9">
        <w:lastRenderedPageBreak/>
        <w:t>34. Odluka Europskog parlamenta od 7. svibnja 2025. o zaključenju poslovnih knjiga Europske agencije za lijekove za financijsku godinu 2023. (2024/2030(DEC))</w:t>
      </w:r>
    </w:p>
    <w:p w14:paraId="28D00E60" w14:textId="31B39DB8"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50C449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lijekove za financijsku godinu 2023.,</w:t>
      </w:r>
    </w:p>
    <w:p w14:paraId="1552D76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199"/>
      </w:r>
      <w:r w:rsidRPr="00AA43E9">
        <w:rPr>
          <w:kern w:val="2"/>
          <w14:ligatures w14:val="standardContextual"/>
        </w:rPr>
        <w:t>,</w:t>
      </w:r>
    </w:p>
    <w:p w14:paraId="261ECA7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0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649D94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5A20318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01A157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01"/>
      </w:r>
      <w:r w:rsidRPr="00AA43E9">
        <w:rPr>
          <w:kern w:val="2"/>
          <w14:ligatures w14:val="standardContextual"/>
        </w:rPr>
        <w:t>, a posebno njezin članak 70.,</w:t>
      </w:r>
    </w:p>
    <w:p w14:paraId="23B639E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02"/>
      </w:r>
      <w:r w:rsidRPr="00AA43E9">
        <w:rPr>
          <w:kern w:val="2"/>
          <w14:ligatures w14:val="standardContextual"/>
        </w:rPr>
        <w:t>, a posebno njezin članak 70.,</w:t>
      </w:r>
    </w:p>
    <w:p w14:paraId="20D7BA7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726/2004 Europskog parlamenta i Vijeća od 31. ožujka 2004. o utvrđivanju postupaka Unije za odobravanje primjene i nadzor nad primjenom lijekova koji se rabe u humanoj medicini te uspostavi Europske agencije za lijekove</w:t>
      </w:r>
      <w:r w:rsidRPr="00AA43E9">
        <w:rPr>
          <w:b/>
          <w:kern w:val="2"/>
          <w:vertAlign w:val="superscript"/>
          <w14:ligatures w14:val="standardContextual"/>
        </w:rPr>
        <w:footnoteReference w:id="203"/>
      </w:r>
      <w:r w:rsidRPr="00AA43E9">
        <w:rPr>
          <w:kern w:val="2"/>
          <w14:ligatures w14:val="standardContextual"/>
        </w:rPr>
        <w:t>, a posebno njezin članak 68.,</w:t>
      </w:r>
    </w:p>
    <w:p w14:paraId="0F1A456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04"/>
      </w:r>
      <w:r w:rsidRPr="00AA43E9">
        <w:rPr>
          <w:kern w:val="2"/>
          <w14:ligatures w14:val="standardContextual"/>
        </w:rPr>
        <w:t>, a posebno njezin članak 105.,</w:t>
      </w:r>
    </w:p>
    <w:p w14:paraId="7DE41F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33A9E62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7EFF17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B0E2C2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lijekove za financijsku godinu 2023.;</w:t>
      </w:r>
    </w:p>
    <w:p w14:paraId="19C0C58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Europske agencije za lijekove,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366EBDE"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E7367FB" w14:textId="77777777" w:rsidR="00AA43E9" w:rsidRPr="00AA43E9" w:rsidRDefault="00AA43E9" w:rsidP="00F56A77">
      <w:pPr>
        <w:pStyle w:val="ATHeading3"/>
      </w:pPr>
      <w:r w:rsidRPr="00AA43E9">
        <w:lastRenderedPageBreak/>
        <w:t>35. Odluka Europskog parlamenta od 7. svibnja 2025. o razrješnici za izvršenje proračuna Europskog centra za praćenje droga i ovisnosti o drogama (sada Agencija Europske unije za droge) za financijsku godinu 2023. (2024/2030(DEC))</w:t>
      </w:r>
    </w:p>
    <w:p w14:paraId="5C68FB32" w14:textId="1AC88109"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4279A6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centra za praćenje droga i ovisnosti o drogama za financijsku godinu 2023.,</w:t>
      </w:r>
    </w:p>
    <w:p w14:paraId="4FF44CB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05"/>
      </w:r>
      <w:r w:rsidRPr="00AA43E9">
        <w:rPr>
          <w:kern w:val="2"/>
          <w14:ligatures w14:val="standardContextual"/>
        </w:rPr>
        <w:t>,</w:t>
      </w:r>
    </w:p>
    <w:p w14:paraId="6A3003B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0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F0C3BC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235E447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727671A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07"/>
      </w:r>
      <w:r w:rsidRPr="00AA43E9">
        <w:rPr>
          <w:kern w:val="2"/>
          <w14:ligatures w14:val="standardContextual"/>
        </w:rPr>
        <w:t>, a posebno njezin članak 70.,</w:t>
      </w:r>
    </w:p>
    <w:p w14:paraId="44F2483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08"/>
      </w:r>
      <w:r w:rsidRPr="00AA43E9">
        <w:rPr>
          <w:kern w:val="2"/>
          <w14:ligatures w14:val="standardContextual"/>
        </w:rPr>
        <w:t>, a posebno njezin članak 70.,</w:t>
      </w:r>
    </w:p>
    <w:p w14:paraId="1DC9434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1920/2006 Europskog parlamenta i Vijeća od 12. prosinca 2006. o Europskom centru za praćenje droga i ovisnosti o drogama</w:t>
      </w:r>
      <w:r w:rsidRPr="00AA43E9">
        <w:rPr>
          <w:b/>
          <w:kern w:val="2"/>
          <w:vertAlign w:val="superscript"/>
          <w14:ligatures w14:val="standardContextual"/>
        </w:rPr>
        <w:footnoteReference w:id="209"/>
      </w:r>
      <w:r w:rsidRPr="00AA43E9">
        <w:rPr>
          <w:kern w:val="2"/>
          <w14:ligatures w14:val="standardContextual"/>
        </w:rPr>
        <w:t>, a posebno njezin članak 15.,</w:t>
      </w:r>
    </w:p>
    <w:p w14:paraId="4D26670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2023/1322 Europskog parlamenta i Vijeća od 27. lipnja 2023. o Agenciji Europske unije za droge (EUDA) i stavljanju izvan snage Uredbe (EZ) br. 1920/2006</w:t>
      </w:r>
      <w:r w:rsidRPr="00AA43E9">
        <w:rPr>
          <w:b/>
          <w:kern w:val="2"/>
          <w:vertAlign w:val="superscript"/>
          <w14:ligatures w14:val="standardContextual"/>
        </w:rPr>
        <w:footnoteReference w:id="210"/>
      </w:r>
      <w:r w:rsidRPr="00AA43E9">
        <w:rPr>
          <w:kern w:val="2"/>
          <w14:ligatures w14:val="standardContextual"/>
        </w:rPr>
        <w:t>, a posebno njezin članak 41.,</w:t>
      </w:r>
    </w:p>
    <w:p w14:paraId="554AB9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w:t>
      </w:r>
      <w:r w:rsidRPr="00AA43E9">
        <w:rPr>
          <w:kern w:val="2"/>
          <w14:ligatures w14:val="standardContextual"/>
        </w:rPr>
        <w:lastRenderedPageBreak/>
        <w:t xml:space="preserve">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11"/>
      </w:r>
      <w:r w:rsidRPr="00AA43E9">
        <w:rPr>
          <w:kern w:val="2"/>
          <w14:ligatures w14:val="standardContextual"/>
        </w:rPr>
        <w:t>, a posebno njezin članak 105.,</w:t>
      </w:r>
    </w:p>
    <w:p w14:paraId="2EC3F40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2E759A1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0A6481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36296AD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direktoru Agencije Europske unije za droge za izvršenje proračuna Centra za financijsku godinu 2023.;</w:t>
      </w:r>
    </w:p>
    <w:p w14:paraId="6DF54A2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62B421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direktoru Agencije Europske unije za droge,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7492561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2CFEDC46" w14:textId="77777777" w:rsidR="00AA43E9" w:rsidRPr="00AA43E9" w:rsidRDefault="00AA43E9" w:rsidP="00F56A77">
      <w:pPr>
        <w:pStyle w:val="ATHeading3"/>
      </w:pPr>
      <w:r w:rsidRPr="00AA43E9">
        <w:lastRenderedPageBreak/>
        <w:t>36. Odluka Europskog parlamenta od 7. svibnja 2025. o zaključenju poslovnih knjiga Europskog centra za praćenje droga i ovisnosti o drogama (sada Agencija Europske unije za droge) za financijsku godinu 2023. (2024/2030(DEC))</w:t>
      </w:r>
    </w:p>
    <w:p w14:paraId="48552A64" w14:textId="2616733F"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6482AA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centra za praćenje droga i ovisnosti o drogama za financijsku godinu 2023.,</w:t>
      </w:r>
    </w:p>
    <w:p w14:paraId="1999FB5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12"/>
      </w:r>
      <w:r w:rsidRPr="00AA43E9">
        <w:rPr>
          <w:kern w:val="2"/>
          <w14:ligatures w14:val="standardContextual"/>
        </w:rPr>
        <w:t>,</w:t>
      </w:r>
    </w:p>
    <w:p w14:paraId="434C70A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13"/>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689AE8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Centar za izvršenje proračuna za financijsku godinu 2023. (05755/2025 – C10</w:t>
      </w:r>
      <w:r w:rsidRPr="00AA43E9">
        <w:rPr>
          <w:kern w:val="2"/>
          <w14:ligatures w14:val="standardContextual"/>
        </w:rPr>
        <w:noBreakHyphen/>
        <w:t>0024/2025),</w:t>
      </w:r>
    </w:p>
    <w:p w14:paraId="4AF922F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52BE76B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14"/>
      </w:r>
      <w:r w:rsidRPr="00AA43E9">
        <w:rPr>
          <w:kern w:val="2"/>
          <w14:ligatures w14:val="standardContextual"/>
        </w:rPr>
        <w:t>, a posebno njezin članak 70.,</w:t>
      </w:r>
    </w:p>
    <w:p w14:paraId="6FDCBA9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15"/>
      </w:r>
      <w:r w:rsidRPr="00AA43E9">
        <w:rPr>
          <w:kern w:val="2"/>
          <w14:ligatures w14:val="standardContextual"/>
        </w:rPr>
        <w:t>, a posebno njezin članak 70.,</w:t>
      </w:r>
    </w:p>
    <w:p w14:paraId="01EF45F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1920/2006 Europskog parlamenta i Vijeća od 12. prosinca 2006. o Europskom centru za praćenje droga i ovisnosti o drogama</w:t>
      </w:r>
      <w:r w:rsidRPr="00AA43E9">
        <w:rPr>
          <w:b/>
          <w:kern w:val="2"/>
          <w:vertAlign w:val="superscript"/>
          <w14:ligatures w14:val="standardContextual"/>
        </w:rPr>
        <w:footnoteReference w:id="216"/>
      </w:r>
      <w:r w:rsidRPr="00AA43E9">
        <w:rPr>
          <w:kern w:val="2"/>
          <w14:ligatures w14:val="standardContextual"/>
        </w:rPr>
        <w:t>, a posebno njezin članak 15.,</w:t>
      </w:r>
    </w:p>
    <w:p w14:paraId="535AF79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2023/1322 Europskog parlamenta i Vijeća od 27. lipnja 2023. o Agenciji Europske unije za droge (EUDA) i stavljanju izvan snage Uredbe (EZ) br. 1920/2006</w:t>
      </w:r>
      <w:r w:rsidRPr="00AA43E9">
        <w:rPr>
          <w:b/>
          <w:kern w:val="2"/>
          <w:vertAlign w:val="superscript"/>
          <w14:ligatures w14:val="standardContextual"/>
        </w:rPr>
        <w:footnoteReference w:id="217"/>
      </w:r>
      <w:r w:rsidRPr="00AA43E9">
        <w:rPr>
          <w:kern w:val="2"/>
          <w14:ligatures w14:val="standardContextual"/>
        </w:rPr>
        <w:t>, a posebno njezin članak 41.,</w:t>
      </w:r>
    </w:p>
    <w:p w14:paraId="63D9D2F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w:t>
      </w:r>
      <w:r w:rsidRPr="00AA43E9">
        <w:rPr>
          <w:kern w:val="2"/>
          <w14:ligatures w14:val="standardContextual"/>
        </w:rPr>
        <w:lastRenderedPageBreak/>
        <w:t xml:space="preserve">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18"/>
      </w:r>
      <w:r w:rsidRPr="00AA43E9">
        <w:rPr>
          <w:kern w:val="2"/>
          <w14:ligatures w14:val="standardContextual"/>
        </w:rPr>
        <w:t>, a posebno njezin članak 105.,</w:t>
      </w:r>
    </w:p>
    <w:p w14:paraId="367F66E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509AD06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5E3AEE1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15CDCCC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centra za praćenje droga i ovisnosti o drogama za financijsku godinu 2023.;</w:t>
      </w:r>
    </w:p>
    <w:p w14:paraId="13363DB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direktoru Agencije Europske unije za droge,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22E9A71D"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8BCC804" w14:textId="429D2A59" w:rsidR="00AA43E9" w:rsidRPr="00AA43E9" w:rsidRDefault="00AA43E9" w:rsidP="00F56A77">
      <w:pPr>
        <w:pStyle w:val="ATHeading3"/>
      </w:pPr>
      <w:r w:rsidRPr="00AA43E9">
        <w:lastRenderedPageBreak/>
        <w:t>37. Odluka Europskog parlamenta od 7. svibnja 2025. o razrješnici za izvršenje proračuna Europske agencije za pomorsku sigurnost za financijsku godinu 2023. (2024/2030(DEC))</w:t>
      </w:r>
    </w:p>
    <w:p w14:paraId="7D524267" w14:textId="1305A91E"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57CA5A7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pomorsku sigurnost za financijsku godinu 2023.,</w:t>
      </w:r>
    </w:p>
    <w:p w14:paraId="08FE24A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19"/>
      </w:r>
      <w:r w:rsidRPr="00AA43E9">
        <w:rPr>
          <w:kern w:val="2"/>
          <w14:ligatures w14:val="standardContextual"/>
        </w:rPr>
        <w:t>,</w:t>
      </w:r>
    </w:p>
    <w:p w14:paraId="18D02FA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2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5C1A4A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70D5E22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58528D7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21"/>
      </w:r>
      <w:r w:rsidRPr="00AA43E9">
        <w:rPr>
          <w:kern w:val="2"/>
          <w14:ligatures w14:val="standardContextual"/>
        </w:rPr>
        <w:t>, a posebno njezin članak 70.,</w:t>
      </w:r>
    </w:p>
    <w:p w14:paraId="720A2C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22"/>
      </w:r>
      <w:r w:rsidRPr="00AA43E9">
        <w:rPr>
          <w:kern w:val="2"/>
          <w14:ligatures w14:val="standardContextual"/>
        </w:rPr>
        <w:t>, a posebno njezin članak 70.,</w:t>
      </w:r>
    </w:p>
    <w:p w14:paraId="0B5C160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1406/2002 Europskog parlamenta i Vijeća od 27. lipnja 2002. o osnivanju Europske agencije za pomorsku sigurnost</w:t>
      </w:r>
      <w:r w:rsidRPr="00AA43E9">
        <w:rPr>
          <w:b/>
          <w:kern w:val="2"/>
          <w:vertAlign w:val="superscript"/>
          <w14:ligatures w14:val="standardContextual"/>
        </w:rPr>
        <w:footnoteReference w:id="223"/>
      </w:r>
      <w:r w:rsidRPr="00AA43E9">
        <w:rPr>
          <w:kern w:val="2"/>
          <w14:ligatures w14:val="standardContextual"/>
        </w:rPr>
        <w:t>, a posebno njezin članak 19.,</w:t>
      </w:r>
    </w:p>
    <w:p w14:paraId="66C51D1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24"/>
      </w:r>
      <w:r w:rsidRPr="00AA43E9">
        <w:rPr>
          <w:kern w:val="2"/>
          <w14:ligatures w14:val="standardContextual"/>
        </w:rPr>
        <w:t>, a posebno njezin članak 105.,</w:t>
      </w:r>
    </w:p>
    <w:p w14:paraId="32F92D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1C4AF2A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24BE62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34C95F2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Europske agencije za pomorsku sigurnost za izvršenje proračuna Agencije za financijsku godinu 2023.;</w:t>
      </w:r>
    </w:p>
    <w:p w14:paraId="2C5528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5A0371F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Europske agencije za pomorsku sigurnost,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5137D849"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6715444" w14:textId="5C0E5769" w:rsidR="00AA43E9" w:rsidRPr="00AA43E9" w:rsidRDefault="00AA43E9" w:rsidP="00F56A77">
      <w:pPr>
        <w:pStyle w:val="ATHeading3"/>
      </w:pPr>
      <w:r w:rsidRPr="00AA43E9">
        <w:lastRenderedPageBreak/>
        <w:t>38. Odluka Europskog parlamenta od 7. svibnja 2025. o zaključenju poslovnih knjiga Europske agencije za pomorsku sigurnost za financijsku godinu 2023. (2024/2030(DEC))</w:t>
      </w:r>
    </w:p>
    <w:p w14:paraId="24BA9630" w14:textId="3FFB7518"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25206EF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pomorsku sigurnost za financijsku godinu 2023.,</w:t>
      </w:r>
    </w:p>
    <w:p w14:paraId="684E47D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25"/>
      </w:r>
      <w:r w:rsidRPr="00AA43E9">
        <w:rPr>
          <w:kern w:val="2"/>
          <w14:ligatures w14:val="standardContextual"/>
        </w:rPr>
        <w:t>,</w:t>
      </w:r>
    </w:p>
    <w:p w14:paraId="1E27910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2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EF26A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64F8A82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257739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27"/>
      </w:r>
      <w:r w:rsidRPr="00AA43E9">
        <w:rPr>
          <w:kern w:val="2"/>
          <w14:ligatures w14:val="standardContextual"/>
        </w:rPr>
        <w:t>, a posebno njezin članak 70.,</w:t>
      </w:r>
    </w:p>
    <w:p w14:paraId="5FF9A9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28"/>
      </w:r>
      <w:r w:rsidRPr="00AA43E9">
        <w:rPr>
          <w:kern w:val="2"/>
          <w14:ligatures w14:val="standardContextual"/>
        </w:rPr>
        <w:t>, a posebno njezin članak 70.,</w:t>
      </w:r>
    </w:p>
    <w:p w14:paraId="07FA413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1406/2002 Europskog parlamenta i Vijeća od 27. lipnja 2002. o osnivanju Europske agencije za pomorsku sigurnost</w:t>
      </w:r>
      <w:r w:rsidRPr="00AA43E9">
        <w:rPr>
          <w:b/>
          <w:kern w:val="2"/>
          <w:vertAlign w:val="superscript"/>
          <w14:ligatures w14:val="standardContextual"/>
        </w:rPr>
        <w:footnoteReference w:id="229"/>
      </w:r>
      <w:r w:rsidRPr="00AA43E9">
        <w:rPr>
          <w:kern w:val="2"/>
          <w14:ligatures w14:val="standardContextual"/>
        </w:rPr>
        <w:t>, a posebno njezin članak 19.,</w:t>
      </w:r>
    </w:p>
    <w:p w14:paraId="26A4EF0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30"/>
      </w:r>
      <w:r w:rsidRPr="00AA43E9">
        <w:rPr>
          <w:kern w:val="2"/>
          <w14:ligatures w14:val="standardContextual"/>
        </w:rPr>
        <w:t>, a posebno njezin članak 105.,</w:t>
      </w:r>
    </w:p>
    <w:p w14:paraId="2073297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7D0AF4C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85E414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42FA19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pomorsku sigurnost za financijsku godinu 2023.;</w:t>
      </w:r>
    </w:p>
    <w:p w14:paraId="0FC1859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Europske agencije za pomorsku sigurnost,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0E2EF2A9"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A1FFA16" w14:textId="77777777" w:rsidR="00AA43E9" w:rsidRPr="00AA43E9" w:rsidRDefault="00AA43E9" w:rsidP="00F56A77">
      <w:pPr>
        <w:pStyle w:val="ATHeading3"/>
      </w:pPr>
      <w:r w:rsidRPr="00AA43E9">
        <w:lastRenderedPageBreak/>
        <w:t xml:space="preserve">39. Odluka Europskog parlamenta od 7. svibnja 2025. o razrješnici za izvršenje proračuna Agencije Europske unije za </w:t>
      </w:r>
      <w:proofErr w:type="spellStart"/>
      <w:r w:rsidRPr="00AA43E9">
        <w:t>kibersigurnost</w:t>
      </w:r>
      <w:proofErr w:type="spellEnd"/>
      <w:r w:rsidRPr="00AA43E9">
        <w:t xml:space="preserve"> za financijsku godinu 2023. (2024/2030(DEC))</w:t>
      </w:r>
    </w:p>
    <w:p w14:paraId="77C9FCC6" w14:textId="0759B77D"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AF32F8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završnu godišnju računovodstvenu dokumentaciju Agencije Europske unije za </w:t>
      </w:r>
      <w:proofErr w:type="spellStart"/>
      <w:r w:rsidRPr="00AA43E9">
        <w:rPr>
          <w:kern w:val="2"/>
          <w14:ligatures w14:val="standardContextual"/>
        </w:rPr>
        <w:t>kibersigurnost</w:t>
      </w:r>
      <w:proofErr w:type="spellEnd"/>
      <w:r w:rsidRPr="00AA43E9">
        <w:rPr>
          <w:kern w:val="2"/>
          <w14:ligatures w14:val="standardContextual"/>
        </w:rPr>
        <w:t xml:space="preserve"> za financijsku godinu 2023.,</w:t>
      </w:r>
    </w:p>
    <w:p w14:paraId="7E72B0E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31"/>
      </w:r>
      <w:r w:rsidRPr="00AA43E9">
        <w:rPr>
          <w:kern w:val="2"/>
          <w14:ligatures w14:val="standardContextual"/>
        </w:rPr>
        <w:t>,</w:t>
      </w:r>
    </w:p>
    <w:p w14:paraId="10F9282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3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185DD1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477FD0C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D78AA0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33"/>
      </w:r>
      <w:r w:rsidRPr="00AA43E9">
        <w:rPr>
          <w:kern w:val="2"/>
          <w14:ligatures w14:val="standardContextual"/>
        </w:rPr>
        <w:t>, a posebno njezin članak 70.,</w:t>
      </w:r>
    </w:p>
    <w:p w14:paraId="691F723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34"/>
      </w:r>
      <w:r w:rsidRPr="00AA43E9">
        <w:rPr>
          <w:kern w:val="2"/>
          <w14:ligatures w14:val="standardContextual"/>
        </w:rPr>
        <w:t>, a posebno njezin članak 70.,</w:t>
      </w:r>
    </w:p>
    <w:p w14:paraId="766D46C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Uredbu (EU) 2019/881 Europskog parlamenta i Vijeća od 17. travnja 2019. o ENISA-i (Agencija Europske unije za </w:t>
      </w:r>
      <w:proofErr w:type="spellStart"/>
      <w:r w:rsidRPr="00AA43E9">
        <w:rPr>
          <w:kern w:val="2"/>
          <w14:ligatures w14:val="standardContextual"/>
        </w:rPr>
        <w:t>kibersigurnost</w:t>
      </w:r>
      <w:proofErr w:type="spellEnd"/>
      <w:r w:rsidRPr="00AA43E9">
        <w:rPr>
          <w:kern w:val="2"/>
          <w14:ligatures w14:val="standardContextual"/>
        </w:rPr>
        <w:t xml:space="preserve">) te o </w:t>
      </w:r>
      <w:proofErr w:type="spellStart"/>
      <w:r w:rsidRPr="00AA43E9">
        <w:rPr>
          <w:kern w:val="2"/>
          <w14:ligatures w14:val="standardContextual"/>
        </w:rPr>
        <w:t>kibersigurnosnoj</w:t>
      </w:r>
      <w:proofErr w:type="spellEnd"/>
      <w:r w:rsidRPr="00AA43E9">
        <w:rPr>
          <w:kern w:val="2"/>
          <w14:ligatures w14:val="standardContextual"/>
        </w:rPr>
        <w:t xml:space="preserve"> certifikaciji u području informacijske i komunikacijske tehnologije i stavljanju izvan snage Uredbe (EU) br. 526/2013 (Akt o </w:t>
      </w:r>
      <w:proofErr w:type="spellStart"/>
      <w:r w:rsidRPr="00AA43E9">
        <w:rPr>
          <w:kern w:val="2"/>
          <w14:ligatures w14:val="standardContextual"/>
        </w:rPr>
        <w:t>kibersigurnosti</w:t>
      </w:r>
      <w:proofErr w:type="spellEnd"/>
      <w:r w:rsidRPr="00AA43E9">
        <w:rPr>
          <w:kern w:val="2"/>
          <w14:ligatures w14:val="standardContextual"/>
        </w:rPr>
        <w:t>)</w:t>
      </w:r>
      <w:r w:rsidRPr="00AA43E9">
        <w:rPr>
          <w:b/>
          <w:kern w:val="2"/>
          <w:vertAlign w:val="superscript"/>
          <w14:ligatures w14:val="standardContextual"/>
        </w:rPr>
        <w:footnoteReference w:id="235"/>
      </w:r>
      <w:r w:rsidRPr="00AA43E9">
        <w:rPr>
          <w:kern w:val="2"/>
          <w14:ligatures w14:val="standardContextual"/>
        </w:rPr>
        <w:t>, a posebno njezin članak 31.,</w:t>
      </w:r>
    </w:p>
    <w:p w14:paraId="59410CD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236"/>
      </w:r>
      <w:r w:rsidRPr="00AA43E9">
        <w:rPr>
          <w:kern w:val="2"/>
          <w14:ligatures w14:val="standardContextual"/>
        </w:rPr>
        <w:t>, a posebno njezin članak 105.,</w:t>
      </w:r>
    </w:p>
    <w:p w14:paraId="2F97931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64F1B4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7ACAE2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6A20A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 xml:space="preserve">daje razrješnicu izvršnom direktoru Agencije Europske unije za </w:t>
      </w:r>
      <w:proofErr w:type="spellStart"/>
      <w:r w:rsidRPr="00AA43E9">
        <w:rPr>
          <w:kern w:val="2"/>
          <w14:ligatures w14:val="standardContextual"/>
        </w:rPr>
        <w:t>kibersigurnost</w:t>
      </w:r>
      <w:proofErr w:type="spellEnd"/>
      <w:r w:rsidRPr="00AA43E9">
        <w:rPr>
          <w:kern w:val="2"/>
          <w14:ligatures w14:val="standardContextual"/>
        </w:rPr>
        <w:t xml:space="preserve"> za izvršenje proračuna Agencije za financijsku godinu 2023.;</w:t>
      </w:r>
    </w:p>
    <w:p w14:paraId="317B8AC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B87E00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Agencije Europske unije za </w:t>
      </w:r>
      <w:proofErr w:type="spellStart"/>
      <w:r w:rsidRPr="00AA43E9">
        <w:rPr>
          <w:kern w:val="2"/>
          <w14:ligatures w14:val="standardContextual"/>
        </w:rPr>
        <w:t>kibersigurnost</w:t>
      </w:r>
      <w:proofErr w:type="spellEnd"/>
      <w:r w:rsidRPr="00AA43E9">
        <w:rPr>
          <w:kern w:val="2"/>
          <w14:ligatures w14:val="standardContextual"/>
        </w:rPr>
        <w:t xml:space="preserv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56AAC11D"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FBF5B83" w14:textId="1E5659F6" w:rsidR="00AA43E9" w:rsidRPr="00AA43E9" w:rsidRDefault="00AA43E9" w:rsidP="00F56A77">
      <w:pPr>
        <w:pStyle w:val="ATHeading3"/>
      </w:pPr>
      <w:r w:rsidRPr="00AA43E9">
        <w:lastRenderedPageBreak/>
        <w:t xml:space="preserve">40. Odluka Europskog parlamenta od 7. svibnja 2025. o zaključenju poslovnih knjiga Agencije Europske unije za </w:t>
      </w:r>
      <w:proofErr w:type="spellStart"/>
      <w:r w:rsidRPr="00AA43E9">
        <w:t>kibersigurnost</w:t>
      </w:r>
      <w:proofErr w:type="spellEnd"/>
      <w:r w:rsidRPr="00AA43E9">
        <w:t xml:space="preserve"> za financijsku godinu 2023. (2024/2030(DEC))</w:t>
      </w:r>
    </w:p>
    <w:p w14:paraId="1B269299" w14:textId="37663F20"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31D2C18A" w14:textId="6100D142"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završnu godišnju računovodstvenu dokumentaciju Agencije Europske unije za </w:t>
      </w:r>
      <w:proofErr w:type="spellStart"/>
      <w:r w:rsidR="00AA43E9" w:rsidRPr="00AA43E9">
        <w:rPr>
          <w:kern w:val="2"/>
          <w14:ligatures w14:val="standardContextual"/>
        </w:rPr>
        <w:t>kibersigurnost</w:t>
      </w:r>
      <w:proofErr w:type="spellEnd"/>
      <w:r w:rsidR="00AA43E9" w:rsidRPr="00AA43E9">
        <w:rPr>
          <w:kern w:val="2"/>
          <w14:ligatures w14:val="standardContextual"/>
        </w:rPr>
        <w:t xml:space="preserve"> za financijsku godinu 2023.,</w:t>
      </w:r>
    </w:p>
    <w:p w14:paraId="7D578952" w14:textId="782FE8BF"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237"/>
      </w:r>
      <w:r w:rsidR="00AA43E9" w:rsidRPr="00AA43E9">
        <w:rPr>
          <w:kern w:val="2"/>
          <w14:ligatures w14:val="standardContextual"/>
        </w:rPr>
        <w:t>,</w:t>
      </w:r>
    </w:p>
    <w:p w14:paraId="223C05DA" w14:textId="7314989E"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238"/>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3B947CC" w14:textId="32A15A5E"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26044184" w14:textId="4D1B7D43"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0C5227B8" w14:textId="56B3DC69"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239"/>
      </w:r>
      <w:r w:rsidR="00AA43E9" w:rsidRPr="00AA43E9">
        <w:rPr>
          <w:kern w:val="2"/>
          <w14:ligatures w14:val="standardContextual"/>
        </w:rPr>
        <w:t>, a posebno njezin članak 70.,</w:t>
      </w:r>
    </w:p>
    <w:p w14:paraId="46CA6B40" w14:textId="2DE8CAAB"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240"/>
      </w:r>
      <w:r w:rsidR="00AA43E9" w:rsidRPr="00AA43E9">
        <w:rPr>
          <w:kern w:val="2"/>
          <w14:ligatures w14:val="standardContextual"/>
        </w:rPr>
        <w:t>, a posebno njezin članak 70.,</w:t>
      </w:r>
    </w:p>
    <w:p w14:paraId="5E8152EF" w14:textId="7A65C94F"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Uredbu (EU) 2019/881 Europskog parlamenta i Vijeća od 17. travnja 2019. o ENISA-i (Agencija Europske unije za </w:t>
      </w:r>
      <w:proofErr w:type="spellStart"/>
      <w:r w:rsidR="00AA43E9" w:rsidRPr="00AA43E9">
        <w:rPr>
          <w:kern w:val="2"/>
          <w14:ligatures w14:val="standardContextual"/>
        </w:rPr>
        <w:t>kibersigurnost</w:t>
      </w:r>
      <w:proofErr w:type="spellEnd"/>
      <w:r w:rsidR="00AA43E9" w:rsidRPr="00AA43E9">
        <w:rPr>
          <w:kern w:val="2"/>
          <w14:ligatures w14:val="standardContextual"/>
        </w:rPr>
        <w:t xml:space="preserve">) te o </w:t>
      </w:r>
      <w:proofErr w:type="spellStart"/>
      <w:r w:rsidR="00AA43E9" w:rsidRPr="00AA43E9">
        <w:rPr>
          <w:kern w:val="2"/>
          <w14:ligatures w14:val="standardContextual"/>
        </w:rPr>
        <w:t>kibersigurnosnoj</w:t>
      </w:r>
      <w:proofErr w:type="spellEnd"/>
      <w:r w:rsidR="00AA43E9" w:rsidRPr="00AA43E9">
        <w:rPr>
          <w:kern w:val="2"/>
          <w14:ligatures w14:val="standardContextual"/>
        </w:rPr>
        <w:t xml:space="preserve"> certifikaciji u području informacijske i komunikacijske tehnologije i stavljanju izvan snage Uredbe (EU) br. 526/2013 (Akt o </w:t>
      </w:r>
      <w:proofErr w:type="spellStart"/>
      <w:r w:rsidR="00AA43E9" w:rsidRPr="00AA43E9">
        <w:rPr>
          <w:kern w:val="2"/>
          <w14:ligatures w14:val="standardContextual"/>
        </w:rPr>
        <w:t>kibersigurnosti</w:t>
      </w:r>
      <w:proofErr w:type="spellEnd"/>
      <w:r w:rsidR="00AA43E9" w:rsidRPr="00AA43E9">
        <w:rPr>
          <w:kern w:val="2"/>
          <w14:ligatures w14:val="standardContextual"/>
        </w:rPr>
        <w:t>)</w:t>
      </w:r>
      <w:r w:rsidR="00AA43E9" w:rsidRPr="00AA43E9">
        <w:rPr>
          <w:b/>
          <w:kern w:val="2"/>
          <w:vertAlign w:val="superscript"/>
          <w14:ligatures w14:val="standardContextual"/>
        </w:rPr>
        <w:footnoteReference w:id="241"/>
      </w:r>
      <w:r w:rsidR="00AA43E9" w:rsidRPr="00AA43E9">
        <w:rPr>
          <w:kern w:val="2"/>
          <w14:ligatures w14:val="standardContextual"/>
        </w:rPr>
        <w:t>, a posebno njezin članak 31.,</w:t>
      </w:r>
    </w:p>
    <w:p w14:paraId="22578F1D" w14:textId="1C5EC2D9"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w:t>
      </w:r>
      <w:r w:rsidR="00AA43E9" w:rsidRPr="00AA43E9">
        <w:rPr>
          <w:kern w:val="2"/>
          <w14:ligatures w14:val="standardContextual"/>
        </w:rPr>
        <w:lastRenderedPageBreak/>
        <w:t>Euratom) 2018/1046 Europskog parlamenta i Vijeća</w:t>
      </w:r>
      <w:r w:rsidR="00AA43E9" w:rsidRPr="00AA43E9">
        <w:rPr>
          <w:b/>
          <w:kern w:val="2"/>
          <w:vertAlign w:val="superscript"/>
          <w14:ligatures w14:val="standardContextual"/>
        </w:rPr>
        <w:footnoteReference w:id="242"/>
      </w:r>
      <w:r w:rsidR="00AA43E9" w:rsidRPr="00AA43E9">
        <w:rPr>
          <w:kern w:val="2"/>
          <w14:ligatures w14:val="standardContextual"/>
        </w:rPr>
        <w:t>, a posebno njezin članak 105.,</w:t>
      </w:r>
    </w:p>
    <w:p w14:paraId="141A21C8" w14:textId="3A925F4C"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498EABC1" w14:textId="07ED6D9A"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15FEA80" w14:textId="3B535B96"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57B3ECB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 xml:space="preserve">odobrava zaključenje poslovnih knjiga Agencije Europske unije za </w:t>
      </w:r>
      <w:proofErr w:type="spellStart"/>
      <w:r w:rsidRPr="00AA43E9">
        <w:rPr>
          <w:kern w:val="2"/>
          <w14:ligatures w14:val="standardContextual"/>
        </w:rPr>
        <w:t>kibersigurnost</w:t>
      </w:r>
      <w:proofErr w:type="spellEnd"/>
      <w:r w:rsidRPr="00AA43E9">
        <w:rPr>
          <w:kern w:val="2"/>
          <w14:ligatures w14:val="standardContextual"/>
        </w:rPr>
        <w:t xml:space="preserve"> za financijsku godinu 2023.;</w:t>
      </w:r>
    </w:p>
    <w:p w14:paraId="2C8E105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Agencije Europske unije za </w:t>
      </w:r>
      <w:proofErr w:type="spellStart"/>
      <w:r w:rsidRPr="00AA43E9">
        <w:rPr>
          <w:kern w:val="2"/>
          <w14:ligatures w14:val="standardContextual"/>
        </w:rPr>
        <w:t>kibersigurnost</w:t>
      </w:r>
      <w:proofErr w:type="spellEnd"/>
      <w:r w:rsidRPr="00AA43E9">
        <w:rPr>
          <w:kern w:val="2"/>
          <w14:ligatures w14:val="standardContextual"/>
        </w:rPr>
        <w:t xml:space="preserv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61168ED5"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972736C" w14:textId="77777777" w:rsidR="00AA43E9" w:rsidRPr="00AA43E9" w:rsidRDefault="00AA43E9" w:rsidP="00F56A77">
      <w:pPr>
        <w:pStyle w:val="ATHeading3"/>
      </w:pPr>
      <w:r w:rsidRPr="00AA43E9">
        <w:lastRenderedPageBreak/>
        <w:t>41. Odluka Europskog parlamenta od 7. svibnja 2025. o razrješnici za izvršenje proračuna Agencije Europske unije za željeznice za financijsku godinu 2023. (2024/2030(DEC))</w:t>
      </w:r>
    </w:p>
    <w:p w14:paraId="76C2BB3E" w14:textId="21E64888"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27961E8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željeznice za financijsku godinu 2023.,</w:t>
      </w:r>
    </w:p>
    <w:p w14:paraId="451DF53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43"/>
      </w:r>
      <w:r w:rsidRPr="00AA43E9">
        <w:rPr>
          <w:kern w:val="2"/>
          <w14:ligatures w14:val="standardContextual"/>
        </w:rPr>
        <w:t>,</w:t>
      </w:r>
    </w:p>
    <w:p w14:paraId="29540B9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4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84DF2A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0161E29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33F1F2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45"/>
      </w:r>
      <w:r w:rsidRPr="00AA43E9">
        <w:rPr>
          <w:kern w:val="2"/>
          <w14:ligatures w14:val="standardContextual"/>
        </w:rPr>
        <w:t>, a posebno njezin članak 70.,</w:t>
      </w:r>
    </w:p>
    <w:p w14:paraId="479B535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46"/>
      </w:r>
      <w:r w:rsidRPr="00AA43E9">
        <w:rPr>
          <w:kern w:val="2"/>
          <w14:ligatures w14:val="standardContextual"/>
        </w:rPr>
        <w:t>, a posebno njezin članak 70.,</w:t>
      </w:r>
    </w:p>
    <w:p w14:paraId="2CD9281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2016/796 Europskog parlamenta i Vijeća od 11. svibnja 2016. o Agenciji Europske unije za željeznice i stavljanju izvan snage Uredbe (EZ) br. 881/2004</w:t>
      </w:r>
      <w:r w:rsidRPr="00AA43E9">
        <w:rPr>
          <w:b/>
          <w:kern w:val="2"/>
          <w:vertAlign w:val="superscript"/>
          <w14:ligatures w14:val="standardContextual"/>
        </w:rPr>
        <w:footnoteReference w:id="247"/>
      </w:r>
      <w:r w:rsidRPr="00AA43E9">
        <w:rPr>
          <w:kern w:val="2"/>
          <w14:ligatures w14:val="standardContextual"/>
        </w:rPr>
        <w:t>, a posebno njezin članak 65.,</w:t>
      </w:r>
    </w:p>
    <w:p w14:paraId="21E365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48"/>
      </w:r>
      <w:r w:rsidRPr="00AA43E9">
        <w:rPr>
          <w:kern w:val="2"/>
          <w14:ligatures w14:val="standardContextual"/>
        </w:rPr>
        <w:t>, a posebno njezin članak 105.,</w:t>
      </w:r>
    </w:p>
    <w:p w14:paraId="2BCBF21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4A129C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471C96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EBF21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privremenom izvršnom direktoru Agencije Europske unije za željeznice za izvršenje proračuna Agencije za financijsku godinu 2023.;</w:t>
      </w:r>
    </w:p>
    <w:p w14:paraId="757DABE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1393DE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privremenom izvršnom direktoru Agencije Europske unije za željeznice,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3C0961C6"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4EF8B714" w14:textId="77777777" w:rsidR="00AA43E9" w:rsidRPr="00AA43E9" w:rsidRDefault="00AA43E9" w:rsidP="00F56A77">
      <w:pPr>
        <w:pStyle w:val="ATHeading3"/>
      </w:pPr>
      <w:r w:rsidRPr="00AA43E9">
        <w:lastRenderedPageBreak/>
        <w:t>42. Odluka Europskog parlamenta od 7. svibnja 2025. o zaključenju poslovnih knjiga Agencije Europske unije za željeznice za financijsku godinu 2023. (2024/2030(DEC))</w:t>
      </w:r>
    </w:p>
    <w:p w14:paraId="3694656A" w14:textId="53598520"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60363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željeznice za financijsku godinu 2023.,</w:t>
      </w:r>
    </w:p>
    <w:p w14:paraId="7B1111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49"/>
      </w:r>
      <w:r w:rsidRPr="00AA43E9">
        <w:rPr>
          <w:kern w:val="2"/>
          <w14:ligatures w14:val="standardContextual"/>
        </w:rPr>
        <w:t>,</w:t>
      </w:r>
    </w:p>
    <w:p w14:paraId="58E556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5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1462C0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2C14E54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8ABFC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51"/>
      </w:r>
      <w:r w:rsidRPr="00AA43E9">
        <w:rPr>
          <w:kern w:val="2"/>
          <w14:ligatures w14:val="standardContextual"/>
        </w:rPr>
        <w:t>, a posebno njezin članak 70.,</w:t>
      </w:r>
    </w:p>
    <w:p w14:paraId="390681C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52"/>
      </w:r>
      <w:r w:rsidRPr="00AA43E9">
        <w:rPr>
          <w:kern w:val="2"/>
          <w14:ligatures w14:val="standardContextual"/>
        </w:rPr>
        <w:t>, a posebno njezin članak 70.,</w:t>
      </w:r>
    </w:p>
    <w:p w14:paraId="49AE77D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2016/796 Europskog parlamenta i Vijeća od 11. svibnja 2016. o Agenciji Europske unije za željeznice i stavljanju izvan snage Uredbe (EZ) br. 881/2004</w:t>
      </w:r>
      <w:r w:rsidRPr="00AA43E9">
        <w:rPr>
          <w:b/>
          <w:kern w:val="2"/>
          <w:vertAlign w:val="superscript"/>
          <w14:ligatures w14:val="standardContextual"/>
        </w:rPr>
        <w:footnoteReference w:id="253"/>
      </w:r>
      <w:r w:rsidRPr="00AA43E9">
        <w:rPr>
          <w:kern w:val="2"/>
          <w14:ligatures w14:val="standardContextual"/>
        </w:rPr>
        <w:t>, a posebno njezin članak 65.,</w:t>
      </w:r>
    </w:p>
    <w:p w14:paraId="4538D2F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54"/>
      </w:r>
      <w:r w:rsidRPr="00AA43E9">
        <w:rPr>
          <w:kern w:val="2"/>
          <w14:ligatures w14:val="standardContextual"/>
        </w:rPr>
        <w:t>, a posebno njezin članak 105.,</w:t>
      </w:r>
    </w:p>
    <w:p w14:paraId="30032A3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04779F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C26471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3818D6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željeznice za financijsku godinu 2023.;</w:t>
      </w:r>
    </w:p>
    <w:p w14:paraId="7C1A78A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privremenom izvršnom direktoru Agencije Europske unije za željeznice,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E940034"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2ED89AD7" w14:textId="7F76EE86" w:rsidR="00AA43E9" w:rsidRPr="00AA43E9" w:rsidRDefault="00AA43E9" w:rsidP="00F56A77">
      <w:pPr>
        <w:pStyle w:val="ATHeading3"/>
      </w:pPr>
      <w:r w:rsidRPr="00AA43E9">
        <w:lastRenderedPageBreak/>
        <w:t xml:space="preserve">43. Odluka Europskog parlamenta od 7. svibnja 2025. o razrješnici za izvršenje proračuna Agencije za opskrbu </w:t>
      </w:r>
      <w:proofErr w:type="spellStart"/>
      <w:r w:rsidRPr="00AA43E9">
        <w:t>Euratoma</w:t>
      </w:r>
      <w:proofErr w:type="spellEnd"/>
      <w:r w:rsidRPr="00AA43E9">
        <w:t xml:space="preserve"> za financijsku godinu 2023. (2024/2030(DEC))</w:t>
      </w:r>
    </w:p>
    <w:p w14:paraId="46B8FCAD" w14:textId="77777777" w:rsidR="00AA43E9" w:rsidRPr="00AA43E9" w:rsidRDefault="00AA43E9" w:rsidP="00AA43E9">
      <w:pPr>
        <w:spacing w:before="480" w:after="240"/>
        <w:rPr>
          <w:kern w:val="2"/>
          <w14:ligatures w14:val="standardContextual"/>
        </w:rPr>
      </w:pPr>
      <w:r w:rsidRPr="00AA43E9">
        <w:rPr>
          <w:i/>
          <w:kern w:val="2"/>
          <w14:ligatures w14:val="standardContextual"/>
        </w:rPr>
        <w:t>Europski parlament</w:t>
      </w:r>
      <w:r w:rsidRPr="00AA43E9">
        <w:rPr>
          <w:kern w:val="2"/>
          <w14:ligatures w14:val="standardContextual"/>
        </w:rPr>
        <w:t>,</w:t>
      </w:r>
    </w:p>
    <w:p w14:paraId="41C25921" w14:textId="6191A7F3"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završnu godišnju računovodstvenu dokumentaciju Agencije za opskrbu </w:t>
      </w:r>
      <w:proofErr w:type="spellStart"/>
      <w:r w:rsidR="00AA43E9" w:rsidRPr="00AA43E9">
        <w:rPr>
          <w:kern w:val="2"/>
          <w14:ligatures w14:val="standardContextual"/>
        </w:rPr>
        <w:t>Euratoma</w:t>
      </w:r>
      <w:proofErr w:type="spellEnd"/>
      <w:r w:rsidR="00AA43E9" w:rsidRPr="00AA43E9">
        <w:rPr>
          <w:kern w:val="2"/>
          <w14:ligatures w14:val="standardContextual"/>
        </w:rPr>
        <w:t xml:space="preserve"> za financijsku godinu 2023.,</w:t>
      </w:r>
    </w:p>
    <w:p w14:paraId="57E2307C" w14:textId="726D2E2F"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255"/>
      </w:r>
      <w:r w:rsidR="00AA43E9" w:rsidRPr="00AA43E9">
        <w:rPr>
          <w:kern w:val="2"/>
          <w14:ligatures w14:val="standardContextual"/>
        </w:rPr>
        <w:t>,</w:t>
      </w:r>
    </w:p>
    <w:p w14:paraId="1B6AFBA9" w14:textId="50B60867"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256"/>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2454A79" w14:textId="5BCFDF4A"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6746FA1E" w14:textId="4B7ED576"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28F63BF9" w14:textId="5822D629"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106.a Ugovora o osnivanju Europske zajednice za atomsku energiju,</w:t>
      </w:r>
    </w:p>
    <w:p w14:paraId="09678897" w14:textId="17DB6E4A"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257"/>
      </w:r>
      <w:r w:rsidR="00AA43E9" w:rsidRPr="00AA43E9">
        <w:rPr>
          <w:kern w:val="2"/>
          <w14:ligatures w14:val="standardContextual"/>
        </w:rPr>
        <w:t>, a posebno njezin članak 68.,</w:t>
      </w:r>
    </w:p>
    <w:p w14:paraId="63EFC71E" w14:textId="2794F082"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258"/>
      </w:r>
      <w:r w:rsidR="00AA43E9" w:rsidRPr="00AA43E9">
        <w:rPr>
          <w:kern w:val="2"/>
          <w14:ligatures w14:val="standardContextual"/>
        </w:rPr>
        <w:t>, a posebno njezin članak 68.,</w:t>
      </w:r>
    </w:p>
    <w:p w14:paraId="00B6C7EF" w14:textId="6AFDD9AF"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Odluku Vijeća 2008/114/EZ, Euratom od 12. veljače 2008. o utvrđivanju Statuta Agencije za opskrbu </w:t>
      </w:r>
      <w:proofErr w:type="spellStart"/>
      <w:r w:rsidR="00AA43E9" w:rsidRPr="00AA43E9">
        <w:rPr>
          <w:kern w:val="2"/>
          <w14:ligatures w14:val="standardContextual"/>
        </w:rPr>
        <w:t>Euratoma</w:t>
      </w:r>
      <w:proofErr w:type="spellEnd"/>
      <w:r w:rsidR="00AA43E9" w:rsidRPr="00AA43E9">
        <w:rPr>
          <w:b/>
          <w:kern w:val="2"/>
          <w:vertAlign w:val="superscript"/>
          <w14:ligatures w14:val="standardContextual"/>
        </w:rPr>
        <w:footnoteReference w:id="259"/>
      </w:r>
      <w:r w:rsidR="00AA43E9" w:rsidRPr="00AA43E9">
        <w:rPr>
          <w:kern w:val="2"/>
          <w14:ligatures w14:val="standardContextual"/>
        </w:rPr>
        <w:t>, a posebno članak 8. njezina Priloga,</w:t>
      </w:r>
    </w:p>
    <w:p w14:paraId="7F20BCDD" w14:textId="41E78C4A"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25FA6E76" w14:textId="57A0764F"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mišljenja Odbora za zapošljavanje i socijalna pitanja, Odbora za okoliš, klimu i sigurnost hrane, Odbora za promet i turizam, Odbora za ribarstvo, </w:t>
      </w:r>
      <w:r w:rsidR="00AA43E9" w:rsidRPr="00AA43E9">
        <w:rPr>
          <w:kern w:val="2"/>
          <w14:ligatures w14:val="standardContextual"/>
        </w:rPr>
        <w:lastRenderedPageBreak/>
        <w:t>Odbora za kulturu i obrazovanje, Odbora za građanske slobode, pravosuđe i unutarnje poslove te Odbora za prava žena i rodnu ravnopravnost,</w:t>
      </w:r>
    </w:p>
    <w:p w14:paraId="136C73C5" w14:textId="2EC1B098" w:rsidR="00AA43E9" w:rsidRPr="00AA43E9" w:rsidRDefault="00F56A77"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42A20A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 xml:space="preserve">daje razrješnicu glavnom direktoru Agencije za opskrbu </w:t>
      </w:r>
      <w:proofErr w:type="spellStart"/>
      <w:r w:rsidRPr="00AA43E9">
        <w:rPr>
          <w:kern w:val="2"/>
          <w14:ligatures w14:val="standardContextual"/>
        </w:rPr>
        <w:t>Euratoma</w:t>
      </w:r>
      <w:proofErr w:type="spellEnd"/>
      <w:r w:rsidRPr="00AA43E9">
        <w:rPr>
          <w:kern w:val="2"/>
          <w14:ligatures w14:val="standardContextual"/>
        </w:rPr>
        <w:t xml:space="preserve"> za izvršenje proračuna Agencije za financijsku godinu 2023.;</w:t>
      </w:r>
    </w:p>
    <w:p w14:paraId="5D7245F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03F25F8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glavnom direktoru Agencije za opskrbu </w:t>
      </w:r>
      <w:proofErr w:type="spellStart"/>
      <w:r w:rsidRPr="00AA43E9">
        <w:rPr>
          <w:kern w:val="2"/>
          <w14:ligatures w14:val="standardContextual"/>
        </w:rPr>
        <w:t>Euratoma</w:t>
      </w:r>
      <w:proofErr w:type="spellEnd"/>
      <w:r w:rsidRPr="00AA43E9">
        <w:rPr>
          <w:kern w:val="2"/>
          <w14:ligatures w14:val="standardContextual"/>
        </w:rPr>
        <w:t xml:space="preserv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0447BF99"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4F8E063B" w14:textId="77777777" w:rsidR="00AA43E9" w:rsidRPr="00AA43E9" w:rsidRDefault="00AA43E9" w:rsidP="00F56A77">
      <w:pPr>
        <w:pStyle w:val="ATHeading3"/>
      </w:pPr>
      <w:r w:rsidRPr="00AA43E9">
        <w:lastRenderedPageBreak/>
        <w:t xml:space="preserve">44. Odluka Europskog parlamenta od 7. svibnja 2025. o zaključenju poslovnih knjiga Agencije za opskrbu </w:t>
      </w:r>
      <w:proofErr w:type="spellStart"/>
      <w:r w:rsidRPr="00AA43E9">
        <w:t>Euratoma</w:t>
      </w:r>
      <w:proofErr w:type="spellEnd"/>
      <w:r w:rsidRPr="00AA43E9">
        <w:t xml:space="preserve"> za financijsku godinu 2023. (2024/2030(DEC))</w:t>
      </w:r>
    </w:p>
    <w:p w14:paraId="1691E160" w14:textId="6087CD75"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57FCE7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završnu godišnju računovodstvenu dokumentaciju Agencije za opskrbu </w:t>
      </w:r>
      <w:proofErr w:type="spellStart"/>
      <w:r w:rsidRPr="00AA43E9">
        <w:rPr>
          <w:kern w:val="2"/>
          <w14:ligatures w14:val="standardContextual"/>
        </w:rPr>
        <w:t>Euratoma</w:t>
      </w:r>
      <w:proofErr w:type="spellEnd"/>
      <w:r w:rsidRPr="00AA43E9">
        <w:rPr>
          <w:kern w:val="2"/>
          <w14:ligatures w14:val="standardContextual"/>
        </w:rPr>
        <w:t xml:space="preserve"> za financijsku godinu 2023.,</w:t>
      </w:r>
    </w:p>
    <w:p w14:paraId="43211DC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60"/>
      </w:r>
      <w:r w:rsidRPr="00AA43E9">
        <w:rPr>
          <w:kern w:val="2"/>
          <w14:ligatures w14:val="standardContextual"/>
        </w:rPr>
        <w:t>,</w:t>
      </w:r>
    </w:p>
    <w:p w14:paraId="68800DB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61"/>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39B2F0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4368CC1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66A0A9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106.a Ugovora o osnivanju Europske zajednice za atomsku energiju,</w:t>
      </w:r>
    </w:p>
    <w:p w14:paraId="4D25D95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62"/>
      </w:r>
      <w:r w:rsidRPr="00AA43E9">
        <w:rPr>
          <w:kern w:val="2"/>
          <w14:ligatures w14:val="standardContextual"/>
        </w:rPr>
        <w:t>, a posebno njezin članak 68.,</w:t>
      </w:r>
    </w:p>
    <w:p w14:paraId="4010A4B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63"/>
      </w:r>
      <w:r w:rsidRPr="00AA43E9">
        <w:rPr>
          <w:kern w:val="2"/>
          <w14:ligatures w14:val="standardContextual"/>
        </w:rPr>
        <w:t>, a posebno njezin članak 68.,</w:t>
      </w:r>
    </w:p>
    <w:p w14:paraId="598B075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Odluku Vijeća 2008/114/EZ, Euratom od 12. veljače 2008. o utvrđivanju Statuta Agencije za opskrbu </w:t>
      </w:r>
      <w:proofErr w:type="spellStart"/>
      <w:r w:rsidRPr="00AA43E9">
        <w:rPr>
          <w:kern w:val="2"/>
          <w14:ligatures w14:val="standardContextual"/>
        </w:rPr>
        <w:t>Euratoma</w:t>
      </w:r>
      <w:proofErr w:type="spellEnd"/>
      <w:r w:rsidRPr="00AA43E9">
        <w:rPr>
          <w:b/>
          <w:kern w:val="2"/>
          <w:vertAlign w:val="superscript"/>
          <w14:ligatures w14:val="standardContextual"/>
        </w:rPr>
        <w:footnoteReference w:id="264"/>
      </w:r>
      <w:r w:rsidRPr="00AA43E9">
        <w:rPr>
          <w:kern w:val="2"/>
          <w14:ligatures w14:val="standardContextual"/>
        </w:rPr>
        <w:t>, a posebno članak 8. njezina Priloga,</w:t>
      </w:r>
    </w:p>
    <w:p w14:paraId="45A4B9A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5B72B52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mišljenja Odbora za zapošljavanje i socijalna pitanja, Odbora za okoliš, klimu i sigurnost hrane, Odbora za promet i turizam, Odbora za ribarstvo, Odbora za kulturu i obrazovanje, Odbora za građanske slobode, pravosuđe i unutarnje </w:t>
      </w:r>
      <w:r w:rsidRPr="00AA43E9">
        <w:rPr>
          <w:kern w:val="2"/>
          <w14:ligatures w14:val="standardContextual"/>
        </w:rPr>
        <w:lastRenderedPageBreak/>
        <w:t>poslove te Odbora za prava žena i rodnu ravnopravnost,</w:t>
      </w:r>
    </w:p>
    <w:p w14:paraId="5A9C543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3A577A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 xml:space="preserve">odobrava zaključenje poslovnih knjiga Agencije za opskrbu </w:t>
      </w:r>
      <w:proofErr w:type="spellStart"/>
      <w:r w:rsidRPr="00AA43E9">
        <w:rPr>
          <w:kern w:val="2"/>
          <w14:ligatures w14:val="standardContextual"/>
        </w:rPr>
        <w:t>Euratoma</w:t>
      </w:r>
      <w:proofErr w:type="spellEnd"/>
      <w:r w:rsidRPr="00AA43E9">
        <w:rPr>
          <w:kern w:val="2"/>
          <w14:ligatures w14:val="standardContextual"/>
        </w:rPr>
        <w:t xml:space="preserve"> za financijsku godinu 2023.;</w:t>
      </w:r>
    </w:p>
    <w:p w14:paraId="4905526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glavnom direktoru Agencije za opskrbu </w:t>
      </w:r>
      <w:proofErr w:type="spellStart"/>
      <w:r w:rsidRPr="00AA43E9">
        <w:rPr>
          <w:kern w:val="2"/>
          <w14:ligatures w14:val="standardContextual"/>
        </w:rPr>
        <w:t>Euratoma</w:t>
      </w:r>
      <w:proofErr w:type="spellEnd"/>
      <w:r w:rsidRPr="00AA43E9">
        <w:rPr>
          <w:kern w:val="2"/>
          <w14:ligatures w14:val="standardContextual"/>
        </w:rPr>
        <w:t xml:space="preserv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6C36474D"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95A3CAC" w14:textId="77777777" w:rsidR="00AA43E9" w:rsidRPr="00AA43E9" w:rsidRDefault="00AA43E9" w:rsidP="00F56A77">
      <w:pPr>
        <w:pStyle w:val="ATHeading3"/>
      </w:pPr>
      <w:r w:rsidRPr="00AA43E9">
        <w:lastRenderedPageBreak/>
        <w:t>45. Odluka Europskog parlamenta od 7. svibnja 2025. o razrješnici za izvršenje proračuna Europskog nadzornog tijela za vrijednosne papire i tržišta kapitala za financijsku godinu 2023. (2024/2030(DEC))</w:t>
      </w:r>
    </w:p>
    <w:p w14:paraId="15D67B50" w14:textId="1516EDEC"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045640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vrijednosne papire i tržišta kapitala za financijsku godinu 2023.,</w:t>
      </w:r>
    </w:p>
    <w:p w14:paraId="611B7B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65"/>
      </w:r>
      <w:r w:rsidRPr="00AA43E9">
        <w:rPr>
          <w:kern w:val="2"/>
          <w14:ligatures w14:val="standardContextual"/>
        </w:rPr>
        <w:t>,</w:t>
      </w:r>
    </w:p>
    <w:p w14:paraId="764C43A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6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6CCB57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565A4E8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1826E2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67"/>
      </w:r>
      <w:r w:rsidRPr="00AA43E9">
        <w:rPr>
          <w:kern w:val="2"/>
          <w14:ligatures w14:val="standardContextual"/>
        </w:rPr>
        <w:t>, a posebno njezin članak 70.,</w:t>
      </w:r>
    </w:p>
    <w:p w14:paraId="63C885F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68"/>
      </w:r>
      <w:r w:rsidRPr="00AA43E9">
        <w:rPr>
          <w:kern w:val="2"/>
          <w14:ligatures w14:val="standardContextual"/>
        </w:rPr>
        <w:t>, a posebno njezin članak 70.,</w:t>
      </w:r>
    </w:p>
    <w:p w14:paraId="1EC9211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1095/2010 Europskog parlamenta i Vijeća od 24. studenoga 2010. o osnivanju europskog nadzornog tijela (Europskog nadzornog tijela za vrijednosne papire i tržišta kapitala), izmjeni Odluke br. 716/2009/EZ i stavljanju izvan snage Odluke Komisije 2009/77/EZ</w:t>
      </w:r>
      <w:r w:rsidRPr="00AA43E9">
        <w:rPr>
          <w:b/>
          <w:kern w:val="2"/>
          <w:vertAlign w:val="superscript"/>
          <w14:ligatures w14:val="standardContextual"/>
        </w:rPr>
        <w:footnoteReference w:id="269"/>
      </w:r>
      <w:r w:rsidRPr="00AA43E9">
        <w:rPr>
          <w:kern w:val="2"/>
          <w14:ligatures w14:val="standardContextual"/>
        </w:rPr>
        <w:t>, a posebno njezin članak 64.,</w:t>
      </w:r>
    </w:p>
    <w:p w14:paraId="2508261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70"/>
      </w:r>
      <w:r w:rsidRPr="00AA43E9">
        <w:rPr>
          <w:kern w:val="2"/>
          <w14:ligatures w14:val="standardContextual"/>
        </w:rPr>
        <w:t>, a posebno njezin članak 105.,</w:t>
      </w:r>
    </w:p>
    <w:p w14:paraId="44A9D79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42C054C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7824F5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D2A4A5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Europskog nadzornog tijela za vrijednosne papire i tržišta kapitala za izvršenje proračuna Nadzornog tijela za financijsku godinu 2023.;</w:t>
      </w:r>
    </w:p>
    <w:p w14:paraId="2A71E87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EF0957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Europskog nadzornog tijela za vrijednosne papire i tržišta kapitala,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1EA2EDD2"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B8A40DE" w14:textId="77777777" w:rsidR="00AA43E9" w:rsidRPr="00AA43E9" w:rsidRDefault="00AA43E9" w:rsidP="00F56A77">
      <w:pPr>
        <w:pStyle w:val="ATHeading3"/>
      </w:pPr>
      <w:r w:rsidRPr="00AA43E9">
        <w:lastRenderedPageBreak/>
        <w:t>46. Odluka Europskog parlamenta od 7. svibnja 2025. o zaključenju poslovnih knjiga Europskog nadzornog tijela za vrijednosne papire i tržišta kapitala za financijsku godinu 2023. (2024/2030(DEC))</w:t>
      </w:r>
    </w:p>
    <w:p w14:paraId="31E76B9A" w14:textId="67267837"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617BC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Europskog nadzornog tijela za vrijednosne papire i tržišta kapitala za financijsku godinu 2023.,</w:t>
      </w:r>
    </w:p>
    <w:p w14:paraId="27AB28A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71"/>
      </w:r>
      <w:r w:rsidRPr="00AA43E9">
        <w:rPr>
          <w:kern w:val="2"/>
          <w14:ligatures w14:val="standardContextual"/>
        </w:rPr>
        <w:t>,</w:t>
      </w:r>
    </w:p>
    <w:p w14:paraId="6C42634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72"/>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9E897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Tijelo za izvršenje proračuna za financijsku godinu 2023. (05755/2025 – C10</w:t>
      </w:r>
      <w:r w:rsidRPr="00AA43E9">
        <w:rPr>
          <w:kern w:val="2"/>
          <w14:ligatures w14:val="standardContextual"/>
        </w:rPr>
        <w:noBreakHyphen/>
        <w:t>0024/2025),</w:t>
      </w:r>
    </w:p>
    <w:p w14:paraId="7B11A61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F1DB34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73"/>
      </w:r>
      <w:r w:rsidRPr="00AA43E9">
        <w:rPr>
          <w:kern w:val="2"/>
          <w14:ligatures w14:val="standardContextual"/>
        </w:rPr>
        <w:t>, a posebno njezin članak 70.,</w:t>
      </w:r>
    </w:p>
    <w:p w14:paraId="617436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74"/>
      </w:r>
      <w:r w:rsidRPr="00AA43E9">
        <w:rPr>
          <w:kern w:val="2"/>
          <w14:ligatures w14:val="standardContextual"/>
        </w:rPr>
        <w:t>, a posebno njezin članak 70.,</w:t>
      </w:r>
    </w:p>
    <w:p w14:paraId="4261D95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1095/2010 Europskog parlamenta i Vijeća od 24. studenoga 2010. o osnivanju europskog nadzornog tijela (Europskog nadzornog tijela za vrijednosne papire i tržišta kapitala), izmjeni Odluke br. 716/2009/EZ i stavljanju izvan snage Odluke Komisije 2009/77/EZ</w:t>
      </w:r>
      <w:r w:rsidRPr="00AA43E9">
        <w:rPr>
          <w:b/>
          <w:kern w:val="2"/>
          <w:vertAlign w:val="superscript"/>
          <w14:ligatures w14:val="standardContextual"/>
        </w:rPr>
        <w:footnoteReference w:id="275"/>
      </w:r>
      <w:r w:rsidRPr="00AA43E9">
        <w:rPr>
          <w:kern w:val="2"/>
          <w14:ligatures w14:val="standardContextual"/>
        </w:rPr>
        <w:t>, a posebno njezin članak 64.,</w:t>
      </w:r>
    </w:p>
    <w:p w14:paraId="3EDAF62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76"/>
      </w:r>
      <w:r w:rsidRPr="00AA43E9">
        <w:rPr>
          <w:kern w:val="2"/>
          <w14:ligatures w14:val="standardContextual"/>
        </w:rPr>
        <w:t>, a posebno njezin članak 105.,</w:t>
      </w:r>
    </w:p>
    <w:p w14:paraId="71222E6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475BF9E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E8E880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D064D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Europskog nadzornog tijela za vrijednosne papire i tržišta kapitala za financijsku godinu 2023.;</w:t>
      </w:r>
    </w:p>
    <w:p w14:paraId="65E9BE2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Europskog nadzornog tijela za vrijednosne papire i tržišta kapitala,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3305AD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011AF728" w14:textId="77777777" w:rsidR="00AA43E9" w:rsidRPr="00AA43E9" w:rsidRDefault="00AA43E9" w:rsidP="00F56A77">
      <w:pPr>
        <w:pStyle w:val="ATHeading3"/>
      </w:pPr>
      <w:r w:rsidRPr="00AA43E9">
        <w:lastRenderedPageBreak/>
        <w:t>47. Odluka Europskog parlamenta od 7. svibnja 2025. o razrješnici za izvršenje proračuna Europske zaklade za osposobljavanje za financijsku godinu 2023. (2024/2030(DEC))</w:t>
      </w:r>
    </w:p>
    <w:p w14:paraId="02885A5B" w14:textId="5172FB68"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43FEF7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zaklade za osposobljavanje za financijsku godinu 2023.,</w:t>
      </w:r>
    </w:p>
    <w:p w14:paraId="276DAA2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77"/>
      </w:r>
      <w:r w:rsidRPr="00AA43E9">
        <w:rPr>
          <w:kern w:val="2"/>
          <w14:ligatures w14:val="standardContextual"/>
        </w:rPr>
        <w:t>,</w:t>
      </w:r>
    </w:p>
    <w:p w14:paraId="35260F5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7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02716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Zaklada za izvršenje proračuna za financijsku godinu 2023. (05755/2025 – C10</w:t>
      </w:r>
      <w:r w:rsidRPr="00AA43E9">
        <w:rPr>
          <w:kern w:val="2"/>
          <w14:ligatures w14:val="standardContextual"/>
        </w:rPr>
        <w:noBreakHyphen/>
        <w:t>0024/2025),</w:t>
      </w:r>
    </w:p>
    <w:p w14:paraId="468F93C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D2583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79"/>
      </w:r>
      <w:r w:rsidRPr="00AA43E9">
        <w:rPr>
          <w:kern w:val="2"/>
          <w14:ligatures w14:val="standardContextual"/>
        </w:rPr>
        <w:t>, a posebno njezin članak 70.,</w:t>
      </w:r>
    </w:p>
    <w:p w14:paraId="7344CE4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80"/>
      </w:r>
      <w:r w:rsidRPr="00AA43E9">
        <w:rPr>
          <w:kern w:val="2"/>
          <w14:ligatures w14:val="standardContextual"/>
        </w:rPr>
        <w:t>, a posebno njezin članak 70.,</w:t>
      </w:r>
    </w:p>
    <w:p w14:paraId="31A99BE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1339/2008 Europskog parlamenta i Vijeća od 16. prosinca 2008. o osnivanju Europske zaklade za osposobljavanje</w:t>
      </w:r>
      <w:r w:rsidRPr="00AA43E9">
        <w:rPr>
          <w:b/>
          <w:kern w:val="2"/>
          <w:vertAlign w:val="superscript"/>
          <w14:ligatures w14:val="standardContextual"/>
        </w:rPr>
        <w:footnoteReference w:id="281"/>
      </w:r>
      <w:r w:rsidRPr="00AA43E9">
        <w:rPr>
          <w:kern w:val="2"/>
          <w14:ligatures w14:val="standardContextual"/>
        </w:rPr>
        <w:t>, a posebno njezin članak 17.,</w:t>
      </w:r>
    </w:p>
    <w:p w14:paraId="52CEFCB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82"/>
      </w:r>
      <w:r w:rsidRPr="00AA43E9">
        <w:rPr>
          <w:kern w:val="2"/>
          <w14:ligatures w14:val="standardContextual"/>
        </w:rPr>
        <w:t>, a posebno njezin članak 105.,</w:t>
      </w:r>
    </w:p>
    <w:p w14:paraId="69C1750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3DB3A6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0063F6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7ABA5A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direktorici Europske zaklade za osposobljavanje za izvršenje proračuna Zaklade za financijsku godinu 2023.;</w:t>
      </w:r>
    </w:p>
    <w:p w14:paraId="5A389B3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48A880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direktorici Europske zaklade za osposobljavanje,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035871B3"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30E96A6" w14:textId="799A150D" w:rsidR="00AA43E9" w:rsidRPr="00AA43E9" w:rsidRDefault="00AA43E9" w:rsidP="00F56A77">
      <w:pPr>
        <w:pStyle w:val="ATHeading3"/>
      </w:pPr>
      <w:r w:rsidRPr="00AA43E9">
        <w:lastRenderedPageBreak/>
        <w:t>48. Odluka Europskog parlamenta od 7. svibnja 2025. o zaključenju poslovnih knjiga Europske zaklade za osposobljavanje za financijsku godinu 2023. (2024/2030(DEC))</w:t>
      </w:r>
    </w:p>
    <w:p w14:paraId="11B6481B" w14:textId="400D821E" w:rsidR="00AA43E9" w:rsidRPr="00AA43E9" w:rsidRDefault="00F56A77"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8F8F99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zaklade za osposobljavanje za financijsku godinu 2023.,</w:t>
      </w:r>
    </w:p>
    <w:p w14:paraId="228B0DA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83"/>
      </w:r>
      <w:r w:rsidRPr="00AA43E9">
        <w:rPr>
          <w:kern w:val="2"/>
          <w14:ligatures w14:val="standardContextual"/>
        </w:rPr>
        <w:t>,</w:t>
      </w:r>
    </w:p>
    <w:p w14:paraId="4B96F78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8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9A2397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Zaklada za izvršenje proračuna za financijsku godinu 2023. (05755/2025 – C10</w:t>
      </w:r>
      <w:r w:rsidRPr="00AA43E9">
        <w:rPr>
          <w:kern w:val="2"/>
          <w14:ligatures w14:val="standardContextual"/>
        </w:rPr>
        <w:noBreakHyphen/>
        <w:t>0024/2025),</w:t>
      </w:r>
    </w:p>
    <w:p w14:paraId="5F84C65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3B974D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85"/>
      </w:r>
      <w:r w:rsidRPr="00AA43E9">
        <w:rPr>
          <w:kern w:val="2"/>
          <w14:ligatures w14:val="standardContextual"/>
        </w:rPr>
        <w:t>, a posebno njezin članak 70.,</w:t>
      </w:r>
    </w:p>
    <w:p w14:paraId="7CC3F3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86"/>
      </w:r>
      <w:r w:rsidRPr="00AA43E9">
        <w:rPr>
          <w:kern w:val="2"/>
          <w14:ligatures w14:val="standardContextual"/>
        </w:rPr>
        <w:t>, a posebno njezin članak 70.,</w:t>
      </w:r>
    </w:p>
    <w:p w14:paraId="0471E88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(EZ) br. 1339/2008 Europskog parlamenta i Vijeća od 16. prosinca 2008. o osnivanju Europske zaklade za osposobljavanje</w:t>
      </w:r>
      <w:r w:rsidRPr="00AA43E9">
        <w:rPr>
          <w:b/>
          <w:kern w:val="2"/>
          <w:vertAlign w:val="superscript"/>
          <w14:ligatures w14:val="standardContextual"/>
        </w:rPr>
        <w:footnoteReference w:id="287"/>
      </w:r>
      <w:r w:rsidRPr="00AA43E9">
        <w:rPr>
          <w:kern w:val="2"/>
          <w14:ligatures w14:val="standardContextual"/>
        </w:rPr>
        <w:t>, a posebno njezin članak 17.,</w:t>
      </w:r>
    </w:p>
    <w:p w14:paraId="20F2284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88"/>
      </w:r>
      <w:r w:rsidRPr="00AA43E9">
        <w:rPr>
          <w:kern w:val="2"/>
          <w14:ligatures w14:val="standardContextual"/>
        </w:rPr>
        <w:t>, a posebno njezin članak 105.,</w:t>
      </w:r>
    </w:p>
    <w:p w14:paraId="0500369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7439F51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E7BADA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19C27C5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zaklade za osposobljavanje za financijsku godinu 2023.;</w:t>
      </w:r>
    </w:p>
    <w:p w14:paraId="552831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direktorici Europske zaklade za osposobljavanje,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0208818B"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B5E643A" w14:textId="6E7BAFC3" w:rsidR="00AA43E9" w:rsidRPr="00AA43E9" w:rsidRDefault="00AA43E9" w:rsidP="008C189B">
      <w:pPr>
        <w:pStyle w:val="ATHeading3"/>
      </w:pPr>
      <w:r w:rsidRPr="00AA43E9">
        <w:lastRenderedPageBreak/>
        <w:t>49. Odluka Europskog parlamenta od 7. svibnja 2025. o razrješnici za izvršenje proračuna Agencije Europske unije za azil za financijsku godinu 2023. (2024/2030(DEC))</w:t>
      </w:r>
    </w:p>
    <w:p w14:paraId="0F37B76E" w14:textId="34D2EBD8"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7849D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azil za financijsku godinu 2023.,</w:t>
      </w:r>
    </w:p>
    <w:p w14:paraId="659A12B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89"/>
      </w:r>
      <w:r w:rsidRPr="00AA43E9">
        <w:rPr>
          <w:kern w:val="2"/>
          <w14:ligatures w14:val="standardContextual"/>
        </w:rPr>
        <w:t>,</w:t>
      </w:r>
    </w:p>
    <w:p w14:paraId="62CD7FB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9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0A9DCB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0F84F94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7B5CC7E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91"/>
      </w:r>
      <w:r w:rsidRPr="00AA43E9">
        <w:rPr>
          <w:kern w:val="2"/>
          <w14:ligatures w14:val="standardContextual"/>
        </w:rPr>
        <w:t>, a posebno njezin članak 70.,</w:t>
      </w:r>
    </w:p>
    <w:p w14:paraId="316CDD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92"/>
      </w:r>
      <w:r w:rsidRPr="00AA43E9">
        <w:rPr>
          <w:kern w:val="2"/>
          <w14:ligatures w14:val="standardContextual"/>
        </w:rPr>
        <w:t>, a posebno njezin članak 70.,</w:t>
      </w:r>
    </w:p>
    <w:p w14:paraId="388C191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439/2010 Europskog parlamenta i Vijeća od 19. svibnja 2010. o osnivanju Europskog potpornog ureda za azil</w:t>
      </w:r>
      <w:r w:rsidRPr="00AA43E9">
        <w:rPr>
          <w:b/>
          <w:kern w:val="2"/>
          <w:vertAlign w:val="superscript"/>
          <w14:ligatures w14:val="standardContextual"/>
        </w:rPr>
        <w:footnoteReference w:id="293"/>
      </w:r>
      <w:r w:rsidRPr="00AA43E9">
        <w:rPr>
          <w:kern w:val="2"/>
          <w14:ligatures w14:val="standardContextual"/>
        </w:rPr>
        <w:t>, a posebno njezin članak 36.,</w:t>
      </w:r>
    </w:p>
    <w:p w14:paraId="71AB17F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2021/2303 Europskog parlamenta i Vijeća od 15. prosinca 2021. o Agenciji Europske unije za azil i stavljanju izvan snage Uredbe (EU) br. 439/2010</w:t>
      </w:r>
      <w:r w:rsidRPr="00AA43E9">
        <w:rPr>
          <w:b/>
          <w:kern w:val="2"/>
          <w:vertAlign w:val="superscript"/>
          <w14:ligatures w14:val="standardContextual"/>
        </w:rPr>
        <w:footnoteReference w:id="294"/>
      </w:r>
      <w:r w:rsidRPr="00AA43E9">
        <w:rPr>
          <w:kern w:val="2"/>
          <w14:ligatures w14:val="standardContextual"/>
        </w:rPr>
        <w:t>, a posebno njezin članak 55.,</w:t>
      </w:r>
    </w:p>
    <w:p w14:paraId="4BC42B3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w:t>
      </w:r>
      <w:r w:rsidRPr="00AA43E9">
        <w:rPr>
          <w:kern w:val="2"/>
          <w14:ligatures w14:val="standardContextual"/>
        </w:rPr>
        <w:lastRenderedPageBreak/>
        <w:t xml:space="preserve">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295"/>
      </w:r>
      <w:r w:rsidRPr="00AA43E9">
        <w:rPr>
          <w:kern w:val="2"/>
          <w14:ligatures w14:val="standardContextual"/>
        </w:rPr>
        <w:t>, a posebno njezin članak 105.,</w:t>
      </w:r>
    </w:p>
    <w:p w14:paraId="3FB9A80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506FFB5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30A40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B68A0E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odgađa svoju Odluku o razrješnici izvršnoj direktorici Agencije Europske unije za azil za izvršenje proračuna Agencije za financijsku godinu 2023.;</w:t>
      </w:r>
    </w:p>
    <w:p w14:paraId="27F1A6B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C96A55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Agencije Europske unije za azil,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3A528833"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0B3FD4FD" w14:textId="5E7AC7EB" w:rsidR="00AA43E9" w:rsidRPr="00AA43E9" w:rsidRDefault="00AA43E9" w:rsidP="008C189B">
      <w:pPr>
        <w:pStyle w:val="ATHeading3"/>
      </w:pPr>
      <w:r w:rsidRPr="00AA43E9">
        <w:lastRenderedPageBreak/>
        <w:t>50. Odluka Europskog parlamenta od 7. svibnja 2025. o zaključenju poslovnih knjiga Agencije Europske unije za azil za financijsku godinu 2023. (2024/2030(DEC))</w:t>
      </w:r>
    </w:p>
    <w:p w14:paraId="2ADA93D3" w14:textId="12F38BDD"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E65DC0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azil za financijsku godinu 2023.,</w:t>
      </w:r>
    </w:p>
    <w:p w14:paraId="44B77C6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296"/>
      </w:r>
      <w:r w:rsidRPr="00AA43E9">
        <w:rPr>
          <w:kern w:val="2"/>
          <w14:ligatures w14:val="standardContextual"/>
        </w:rPr>
        <w:t>,</w:t>
      </w:r>
    </w:p>
    <w:p w14:paraId="4E2C05D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297"/>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9E89FB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3C44C39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5105EF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298"/>
      </w:r>
      <w:r w:rsidRPr="00AA43E9">
        <w:rPr>
          <w:kern w:val="2"/>
          <w14:ligatures w14:val="standardContextual"/>
        </w:rPr>
        <w:t>, a posebno njezin članak 70.,</w:t>
      </w:r>
    </w:p>
    <w:p w14:paraId="5017B47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299"/>
      </w:r>
      <w:r w:rsidRPr="00AA43E9">
        <w:rPr>
          <w:kern w:val="2"/>
          <w14:ligatures w14:val="standardContextual"/>
        </w:rPr>
        <w:t>, a posebno njezin članak 70.,</w:t>
      </w:r>
    </w:p>
    <w:p w14:paraId="387252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br. 439/2010 Europskog parlamenta i Vijeća od 19. svibnja 2010. o osnivanju Europskog potpornog ureda za azil</w:t>
      </w:r>
      <w:r w:rsidRPr="00AA43E9">
        <w:rPr>
          <w:b/>
          <w:kern w:val="2"/>
          <w:vertAlign w:val="superscript"/>
          <w14:ligatures w14:val="standardContextual"/>
        </w:rPr>
        <w:footnoteReference w:id="300"/>
      </w:r>
      <w:r w:rsidRPr="00AA43E9">
        <w:rPr>
          <w:kern w:val="2"/>
          <w14:ligatures w14:val="standardContextual"/>
        </w:rPr>
        <w:t>, a posebno njezin članak 36.,</w:t>
      </w:r>
    </w:p>
    <w:p w14:paraId="14CB57F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2021/2303 Europskog parlamenta i Vijeća od 15. prosinca 2021. o Agenciji Europske unije za azil i stavljanju izvan snage Uredbe (EU) br. 439/2010</w:t>
      </w:r>
      <w:r w:rsidRPr="00AA43E9">
        <w:rPr>
          <w:b/>
          <w:kern w:val="2"/>
          <w:vertAlign w:val="superscript"/>
          <w14:ligatures w14:val="standardContextual"/>
        </w:rPr>
        <w:footnoteReference w:id="301"/>
      </w:r>
      <w:r w:rsidRPr="00AA43E9">
        <w:rPr>
          <w:kern w:val="2"/>
          <w14:ligatures w14:val="standardContextual"/>
        </w:rPr>
        <w:t>, a posebno njezin članak 55.,</w:t>
      </w:r>
    </w:p>
    <w:p w14:paraId="57FA875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302"/>
      </w:r>
      <w:r w:rsidRPr="00AA43E9">
        <w:rPr>
          <w:kern w:val="2"/>
          <w14:ligatures w14:val="standardContextual"/>
        </w:rPr>
        <w:t>, a posebno njezin članak 105.,</w:t>
      </w:r>
    </w:p>
    <w:p w14:paraId="4126913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7F9E7DF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E535E6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5F5937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odgađa zaključenje poslovnih knjiga Agencije Europske unije za azil za financijsku godinu 2023.;</w:t>
      </w:r>
    </w:p>
    <w:p w14:paraId="7CB928A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Agencije Europske unije za azil,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665A96B1"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C53EB54" w14:textId="77777777" w:rsidR="00AA43E9" w:rsidRPr="00AA43E9" w:rsidRDefault="00AA43E9" w:rsidP="008C189B">
      <w:pPr>
        <w:pStyle w:val="ATHeading3"/>
      </w:pPr>
      <w:r w:rsidRPr="00AA43E9">
        <w:lastRenderedPageBreak/>
        <w:t>51. Odluka Europskog parlamenta od 7. svibnja 2025. o razrješnici za izvršenje proračuna Agencije Europske unije za operativno upravljanje opsežnim informacijskim sustavima u području slobode, sigurnosti i pravde za financijsku godinu 2023. (2024/2030(DEC))</w:t>
      </w:r>
    </w:p>
    <w:p w14:paraId="7A77C5FC" w14:textId="772BDD0C"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5FF357E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operativno upravljanje opsežnim informacijskim sustavima u području slobode, sigurnosti i pravde za financijsku godinu 2023.,</w:t>
      </w:r>
    </w:p>
    <w:p w14:paraId="157FD61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03"/>
      </w:r>
      <w:r w:rsidRPr="00AA43E9">
        <w:rPr>
          <w:kern w:val="2"/>
          <w14:ligatures w14:val="standardContextual"/>
        </w:rPr>
        <w:t>,</w:t>
      </w:r>
    </w:p>
    <w:p w14:paraId="644416E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0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32F75C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6EC5652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5C63C3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05"/>
      </w:r>
      <w:r w:rsidRPr="00AA43E9">
        <w:rPr>
          <w:kern w:val="2"/>
          <w14:ligatures w14:val="standardContextual"/>
        </w:rPr>
        <w:t>, a posebno njezin članak 70.,</w:t>
      </w:r>
    </w:p>
    <w:p w14:paraId="4100187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06"/>
      </w:r>
      <w:r w:rsidRPr="00AA43E9">
        <w:rPr>
          <w:kern w:val="2"/>
          <w14:ligatures w14:val="standardContextual"/>
        </w:rPr>
        <w:t>, a posebno njezin članak 70.,</w:t>
      </w:r>
    </w:p>
    <w:p w14:paraId="3BB75FF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2018/1726 Europskog parlamenta i Vijeća od 14. studenoga 2018. o Agenciji Europske unije za operativno upravljanje opsežnim informacijskim sustavima u području slobode, sigurnosti i pravde (</w:t>
      </w:r>
      <w:proofErr w:type="spellStart"/>
      <w:r w:rsidRPr="00AA43E9">
        <w:rPr>
          <w:kern w:val="2"/>
          <w14:ligatures w14:val="standardContextual"/>
        </w:rPr>
        <w:t>eu</w:t>
      </w:r>
      <w:proofErr w:type="spellEnd"/>
      <w:r w:rsidRPr="00AA43E9">
        <w:rPr>
          <w:kern w:val="2"/>
          <w14:ligatures w14:val="standardContextual"/>
        </w:rPr>
        <w:t>-LISA) te izmjeni Uredbe (EZ) br. 1987/2006 i Odluke Vijeća 2007/533/PUP i stavljanju izvan snage Uredbe (EU) br. 1077/2011</w:t>
      </w:r>
      <w:r w:rsidRPr="00AA43E9">
        <w:rPr>
          <w:b/>
          <w:kern w:val="2"/>
          <w:vertAlign w:val="superscript"/>
          <w14:ligatures w14:val="standardContextual"/>
        </w:rPr>
        <w:footnoteReference w:id="307"/>
      </w:r>
      <w:r w:rsidRPr="00AA43E9">
        <w:rPr>
          <w:kern w:val="2"/>
          <w14:ligatures w14:val="standardContextual"/>
        </w:rPr>
        <w:t>, a posebno njezin članak 47.,</w:t>
      </w:r>
    </w:p>
    <w:p w14:paraId="04E8DB8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w:t>
      </w:r>
      <w:r w:rsidRPr="00AA43E9">
        <w:rPr>
          <w:kern w:val="2"/>
          <w14:ligatures w14:val="standardContextual"/>
        </w:rPr>
        <w:lastRenderedPageBreak/>
        <w:t xml:space="preserve">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08"/>
      </w:r>
      <w:r w:rsidRPr="00AA43E9">
        <w:rPr>
          <w:kern w:val="2"/>
          <w14:ligatures w14:val="standardContextual"/>
        </w:rPr>
        <w:t>, a posebno njezin članak 105.,</w:t>
      </w:r>
    </w:p>
    <w:p w14:paraId="7439786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5BCC8BB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5117C66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1823A46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privremenoj izvršnoj direktorici Agencije Europske unije za operativno upravljanje opsežnim informacijskim sustavima u području slobode, sigurnosti i pravde za izvršenje proračuna Agencije za financijsku godinu 2023.;</w:t>
      </w:r>
    </w:p>
    <w:p w14:paraId="2A67D43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C45546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privremenoj izvršnoj direktorici Agencije Europske unije za operativno upravljanje opsežnim informacijskim sustavima u području slobode, sigurnosti i pravde,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3AC35752"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72F9BA48" w14:textId="68AF0F01" w:rsidR="00AA43E9" w:rsidRPr="00AA43E9" w:rsidRDefault="00AA43E9" w:rsidP="008C189B">
      <w:pPr>
        <w:pStyle w:val="ATHeading3"/>
      </w:pPr>
      <w:r w:rsidRPr="00AA43E9">
        <w:lastRenderedPageBreak/>
        <w:t>52. Odluka Europskog parlamenta od 7. svibnja 2025. o zaključenju poslovnih knjiga Agencije Europske unije za operativno upravljanje opsežnim informacijskim sustavima u području slobode, sigurnosti i pravde za financijsku godinu 2023. (2024/2030(DEC))</w:t>
      </w:r>
    </w:p>
    <w:p w14:paraId="716C3FA9" w14:textId="27D2A0F3"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0D318A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operativno upravljanje opsežnim informacijskim sustavima u području slobode, sigurnosti i pravde za financijsku godinu 2023.,</w:t>
      </w:r>
    </w:p>
    <w:p w14:paraId="1D64911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09"/>
      </w:r>
      <w:r w:rsidRPr="00AA43E9">
        <w:rPr>
          <w:kern w:val="2"/>
          <w14:ligatures w14:val="standardContextual"/>
        </w:rPr>
        <w:t>,</w:t>
      </w:r>
    </w:p>
    <w:p w14:paraId="361DCB9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1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018ED6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47573D3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78D4297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11"/>
      </w:r>
      <w:r w:rsidRPr="00AA43E9">
        <w:rPr>
          <w:kern w:val="2"/>
          <w14:ligatures w14:val="standardContextual"/>
        </w:rPr>
        <w:t>, a posebno njezin članak 70.,</w:t>
      </w:r>
    </w:p>
    <w:p w14:paraId="7E46B2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12"/>
      </w:r>
      <w:r w:rsidRPr="00AA43E9">
        <w:rPr>
          <w:kern w:val="2"/>
          <w14:ligatures w14:val="standardContextual"/>
        </w:rPr>
        <w:t>, a posebno njezin članak 70.,</w:t>
      </w:r>
    </w:p>
    <w:p w14:paraId="79336E0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2018/1726 Europskog parlamenta i Vijeća od 14. studenoga 2018. o Agenciji Europske unije za operativno upravljanje opsežnim informacijskim sustavima u području slobode, sigurnosti i pravde (</w:t>
      </w:r>
      <w:proofErr w:type="spellStart"/>
      <w:r w:rsidRPr="00AA43E9">
        <w:rPr>
          <w:kern w:val="2"/>
          <w14:ligatures w14:val="standardContextual"/>
        </w:rPr>
        <w:t>eu</w:t>
      </w:r>
      <w:proofErr w:type="spellEnd"/>
      <w:r w:rsidRPr="00AA43E9">
        <w:rPr>
          <w:kern w:val="2"/>
          <w14:ligatures w14:val="standardContextual"/>
        </w:rPr>
        <w:t>-LISA) te izmjeni Uredbe (EZ) br. 1987/2006 i Odluke Vijeća 2007/533/PUP i stavljanju izvan snage Uredbe (EU) br. 1077/2011</w:t>
      </w:r>
      <w:r w:rsidRPr="00AA43E9">
        <w:rPr>
          <w:b/>
          <w:kern w:val="2"/>
          <w:vertAlign w:val="superscript"/>
          <w14:ligatures w14:val="standardContextual"/>
        </w:rPr>
        <w:footnoteReference w:id="313"/>
      </w:r>
      <w:r w:rsidRPr="00AA43E9">
        <w:rPr>
          <w:kern w:val="2"/>
          <w14:ligatures w14:val="standardContextual"/>
        </w:rPr>
        <w:t>, a posebno njezin članak 47.,</w:t>
      </w:r>
    </w:p>
    <w:p w14:paraId="4510904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314"/>
      </w:r>
      <w:r w:rsidRPr="00AA43E9">
        <w:rPr>
          <w:kern w:val="2"/>
          <w14:ligatures w14:val="standardContextual"/>
        </w:rPr>
        <w:t>, a posebno njezin članak 105.,</w:t>
      </w:r>
    </w:p>
    <w:p w14:paraId="277AF0B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32728EC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FDC356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DF93A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operativno upravljanje opsežnim informacijskim sustavima u području slobode, sigurnosti i pravde za financijsku godinu 2023.;</w:t>
      </w:r>
    </w:p>
    <w:p w14:paraId="0D33422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privremenoj izvršnoj direktorici Agencije Europske unije za operativno upravljanje opsežnim informacijskim sustavima u području slobode, sigurnosti i pravde,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027DD3D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035D599" w14:textId="77777777" w:rsidR="00AA43E9" w:rsidRPr="00AA43E9" w:rsidRDefault="00AA43E9" w:rsidP="008C189B">
      <w:pPr>
        <w:pStyle w:val="ATHeading3"/>
      </w:pPr>
      <w:r w:rsidRPr="00AA43E9">
        <w:lastRenderedPageBreak/>
        <w:t>53. Odluka Europskog parlamenta od 7. svibnja 2025. o razrješnici za izvršenje proračuna Europske agencije za sigurnost i zdravlje na radu za financijsku godinu 2023. (2024/2030(DEC))</w:t>
      </w:r>
    </w:p>
    <w:p w14:paraId="1C502248" w14:textId="5FBF16B3"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493FEA8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agencije za sigurnost i zdravlje na radu za financijsku godinu 2023.,</w:t>
      </w:r>
    </w:p>
    <w:p w14:paraId="341492E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15"/>
      </w:r>
      <w:r w:rsidRPr="00AA43E9">
        <w:rPr>
          <w:kern w:val="2"/>
          <w14:ligatures w14:val="standardContextual"/>
        </w:rPr>
        <w:t>,</w:t>
      </w:r>
    </w:p>
    <w:p w14:paraId="1455B18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1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687F4D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18C988F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6976A6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17"/>
      </w:r>
      <w:r w:rsidRPr="00AA43E9">
        <w:rPr>
          <w:kern w:val="2"/>
          <w14:ligatures w14:val="standardContextual"/>
        </w:rPr>
        <w:t>, a posebno njezin članak 70.,</w:t>
      </w:r>
    </w:p>
    <w:p w14:paraId="79D9DDF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18"/>
      </w:r>
      <w:r w:rsidRPr="00AA43E9">
        <w:rPr>
          <w:kern w:val="2"/>
          <w14:ligatures w14:val="standardContextual"/>
        </w:rPr>
        <w:t>, a posebno njezin članak 70.,</w:t>
      </w:r>
    </w:p>
    <w:p w14:paraId="3626145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2019/126 Europskog parlamenta i Vijeća od 16. siječnja 2019. o osnivanju Europske agencije za sigurnost i zdravlje na radu (EU-OSHA) i stavljanju izvan snage Uredbe Vijeća (EZ) br. 2062/94</w:t>
      </w:r>
      <w:r w:rsidRPr="00AA43E9">
        <w:rPr>
          <w:b/>
          <w:kern w:val="2"/>
          <w:vertAlign w:val="superscript"/>
          <w14:ligatures w14:val="standardContextual"/>
        </w:rPr>
        <w:footnoteReference w:id="319"/>
      </w:r>
      <w:r w:rsidRPr="00AA43E9">
        <w:rPr>
          <w:kern w:val="2"/>
          <w14:ligatures w14:val="standardContextual"/>
        </w:rPr>
        <w:t>, a posebno njezin članak 16.,</w:t>
      </w:r>
    </w:p>
    <w:p w14:paraId="6DE6465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20"/>
      </w:r>
      <w:r w:rsidRPr="00AA43E9">
        <w:rPr>
          <w:kern w:val="2"/>
          <w14:ligatures w14:val="standardContextual"/>
        </w:rPr>
        <w:t>, a posebno njezin članak 105.,</w:t>
      </w:r>
    </w:p>
    <w:p w14:paraId="3626169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6E3D1F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A00AF7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4757FC3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Europske agencije za sigurnost i zdravlje na radu za izvršenje proračuna Agencije za financijsku godinu 2023.;</w:t>
      </w:r>
    </w:p>
    <w:p w14:paraId="157476B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2FFC34E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Europske agencije za sigurnost i zdravlje na radu (EU-OSHA),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798698F8"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BA7697D" w14:textId="3A2A30A8" w:rsidR="00AA43E9" w:rsidRPr="00AA43E9" w:rsidRDefault="00AA43E9" w:rsidP="008C189B">
      <w:pPr>
        <w:pStyle w:val="ATHeading3"/>
      </w:pPr>
      <w:r w:rsidRPr="00AA43E9">
        <w:lastRenderedPageBreak/>
        <w:t>54. Odluka Europskog parlamenta od 7. svibnja 2025. o zaključenju poslovnih knjiga Europske agencije za sigurnost i zdravlje na radu za financijsku godinu 2023. (2024/2030(DEC))</w:t>
      </w:r>
    </w:p>
    <w:p w14:paraId="2086C2F1" w14:textId="762A837B"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CF16BEB" w14:textId="30B304FC"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Europske agencije za sigurnost i zdravlje na radu za financijsku godinu 2023.,</w:t>
      </w:r>
    </w:p>
    <w:p w14:paraId="04C60472" w14:textId="654C06F0"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321"/>
      </w:r>
      <w:r w:rsidR="00AA43E9" w:rsidRPr="00AA43E9">
        <w:rPr>
          <w:kern w:val="2"/>
          <w14:ligatures w14:val="standardContextual"/>
        </w:rPr>
        <w:t>,</w:t>
      </w:r>
    </w:p>
    <w:p w14:paraId="3BA53672" w14:textId="2519AE9A"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322"/>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C26939F" w14:textId="011F33FA"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7EFA1D4A" w14:textId="4C3750AF"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5C429A9D" w14:textId="0624C8C8"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323"/>
      </w:r>
      <w:r w:rsidR="00AA43E9" w:rsidRPr="00AA43E9">
        <w:rPr>
          <w:kern w:val="2"/>
          <w14:ligatures w14:val="standardContextual"/>
        </w:rPr>
        <w:t>, a posebno njezin članak 70.,</w:t>
      </w:r>
    </w:p>
    <w:p w14:paraId="02326742" w14:textId="1F6F2680"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324"/>
      </w:r>
      <w:r w:rsidR="00AA43E9" w:rsidRPr="00AA43E9">
        <w:rPr>
          <w:kern w:val="2"/>
          <w14:ligatures w14:val="standardContextual"/>
        </w:rPr>
        <w:t>, a posebno njezin članak 70.,</w:t>
      </w:r>
    </w:p>
    <w:p w14:paraId="62B009DE" w14:textId="55FE7F8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2019/126 Europskog parlamenta i Vijeća od 16. siječnja 2019. o osnivanju Europske agencije za sigurnost i zdravlje na radu (EU-OSHA) i stavljanju izvan snage Uredbe Vijeća (EZ) br. 2062/94</w:t>
      </w:r>
      <w:r w:rsidR="00AA43E9" w:rsidRPr="00AA43E9">
        <w:rPr>
          <w:b/>
          <w:kern w:val="2"/>
          <w:vertAlign w:val="superscript"/>
          <w14:ligatures w14:val="standardContextual"/>
        </w:rPr>
        <w:footnoteReference w:id="325"/>
      </w:r>
      <w:r w:rsidR="00AA43E9" w:rsidRPr="00AA43E9">
        <w:rPr>
          <w:kern w:val="2"/>
          <w14:ligatures w14:val="standardContextual"/>
        </w:rPr>
        <w:t>, a posebno njezin članak 16.,</w:t>
      </w:r>
    </w:p>
    <w:p w14:paraId="16778104" w14:textId="4FD5BE9D"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Euratom) 2018/1046 Europskog parlamenta i Vijeća</w:t>
      </w:r>
      <w:r w:rsidR="00AA43E9" w:rsidRPr="00AA43E9">
        <w:rPr>
          <w:b/>
          <w:kern w:val="2"/>
          <w:vertAlign w:val="superscript"/>
          <w14:ligatures w14:val="standardContextual"/>
        </w:rPr>
        <w:footnoteReference w:id="326"/>
      </w:r>
      <w:r w:rsidR="00AA43E9" w:rsidRPr="00AA43E9">
        <w:rPr>
          <w:kern w:val="2"/>
          <w14:ligatures w14:val="standardContextual"/>
        </w:rPr>
        <w:t>, a posebno njezin članak 105.,</w:t>
      </w:r>
    </w:p>
    <w:p w14:paraId="019D2822" w14:textId="5F8A185E" w:rsidR="00AA43E9" w:rsidRPr="00AA43E9" w:rsidRDefault="008C189B" w:rsidP="00AA43E9">
      <w:pPr>
        <w:spacing w:after="240"/>
        <w:ind w:left="567" w:hanging="567"/>
        <w:rPr>
          <w:kern w:val="2"/>
          <w14:ligatures w14:val="standardContextual"/>
        </w:rPr>
      </w:pPr>
      <w:r w:rsidRPr="00863FBA">
        <w:lastRenderedPageBreak/>
        <w:t>–</w:t>
      </w:r>
      <w:r w:rsidR="00AA43E9" w:rsidRPr="00AA43E9">
        <w:rPr>
          <w:kern w:val="2"/>
          <w14:ligatures w14:val="standardContextual"/>
        </w:rPr>
        <w:tab/>
        <w:t>uzimajući u obzir članak 102. Poslovnika i Prilog V. Poslovniku,</w:t>
      </w:r>
    </w:p>
    <w:p w14:paraId="0519643E" w14:textId="58D431DF"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A27415E" w14:textId="19EA9EA0"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0F0383E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agencije za sigurnost i zdravlje na radu za financijsku godinu 2023.;</w:t>
      </w:r>
    </w:p>
    <w:p w14:paraId="14E7295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Europske agencije za sigurnost i zdravlje na radu (EU-OSHA),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03294626"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174CFFB" w14:textId="161036E7" w:rsidR="00AA43E9" w:rsidRPr="00AA43E9" w:rsidRDefault="00AA43E9" w:rsidP="008C189B">
      <w:pPr>
        <w:pStyle w:val="ATHeading3"/>
      </w:pPr>
      <w:r w:rsidRPr="00AA43E9">
        <w:lastRenderedPageBreak/>
        <w:t>55. Odluka Europskog parlamenta od 7. svibnja 2025. o razrješnici za izvršenje proračuna Europske zaklade za poboljšanje životnih i radnih uvjeta za financijsku godinu 2023. (2024/2030(DEC))</w:t>
      </w:r>
    </w:p>
    <w:p w14:paraId="595BC885" w14:textId="7A2A8945"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31287C3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zaklade za poboljšanje životnih i radnih uvjeta za financijsku godinu 2023.,</w:t>
      </w:r>
    </w:p>
    <w:p w14:paraId="79324B6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27"/>
      </w:r>
      <w:r w:rsidRPr="00AA43E9">
        <w:rPr>
          <w:kern w:val="2"/>
          <w14:ligatures w14:val="standardContextual"/>
        </w:rPr>
        <w:t>,</w:t>
      </w:r>
    </w:p>
    <w:p w14:paraId="1982BCA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2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78D1D2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Zaklada za izvršenje proračuna za financijsku godinu 2023. (05755/2025 – C10</w:t>
      </w:r>
      <w:r w:rsidRPr="00AA43E9">
        <w:rPr>
          <w:kern w:val="2"/>
          <w14:ligatures w14:val="standardContextual"/>
        </w:rPr>
        <w:noBreakHyphen/>
        <w:t>0024/2025),</w:t>
      </w:r>
    </w:p>
    <w:p w14:paraId="0BA5298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5A3611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29"/>
      </w:r>
      <w:r w:rsidRPr="00AA43E9">
        <w:rPr>
          <w:kern w:val="2"/>
          <w14:ligatures w14:val="standardContextual"/>
        </w:rPr>
        <w:t>, a posebno njezin članak 70.,</w:t>
      </w:r>
    </w:p>
    <w:p w14:paraId="6753F56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30"/>
      </w:r>
      <w:r w:rsidRPr="00AA43E9">
        <w:rPr>
          <w:kern w:val="2"/>
          <w14:ligatures w14:val="standardContextual"/>
        </w:rPr>
        <w:t>, a posebno njezin članak 70.,</w:t>
      </w:r>
    </w:p>
    <w:p w14:paraId="1AFB280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2019/127 Europskog parlamenta i Vijeća od 16. siječnja 2019. o osnivanju Europske zaklade za poboljšanje životnih i radnih uvjeta (</w:t>
      </w:r>
      <w:proofErr w:type="spellStart"/>
      <w:r w:rsidRPr="00AA43E9">
        <w:rPr>
          <w:kern w:val="2"/>
          <w14:ligatures w14:val="standardContextual"/>
        </w:rPr>
        <w:t>Eurofound</w:t>
      </w:r>
      <w:proofErr w:type="spellEnd"/>
      <w:r w:rsidRPr="00AA43E9">
        <w:rPr>
          <w:kern w:val="2"/>
          <w14:ligatures w14:val="standardContextual"/>
        </w:rPr>
        <w:t>) i stavljanju izvan snage Uredbe Vijeća (EEZ) br. 1365/75</w:t>
      </w:r>
      <w:r w:rsidRPr="00AA43E9">
        <w:rPr>
          <w:b/>
          <w:kern w:val="2"/>
          <w:vertAlign w:val="superscript"/>
          <w14:ligatures w14:val="standardContextual"/>
        </w:rPr>
        <w:footnoteReference w:id="331"/>
      </w:r>
      <w:r w:rsidRPr="00AA43E9">
        <w:rPr>
          <w:kern w:val="2"/>
          <w14:ligatures w14:val="standardContextual"/>
        </w:rPr>
        <w:t>, a posebno njezin članak 16.,</w:t>
      </w:r>
    </w:p>
    <w:p w14:paraId="303C18D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32"/>
      </w:r>
      <w:r w:rsidRPr="00AA43E9">
        <w:rPr>
          <w:kern w:val="2"/>
          <w14:ligatures w14:val="standardContextual"/>
        </w:rPr>
        <w:t>, a posebno njezin članak 105.,</w:t>
      </w:r>
    </w:p>
    <w:p w14:paraId="0C91F10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55D997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785B0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7EDCC72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Europske zaklade za poboljšanje životnih i radnih uvjeta za izvršenje proračuna Zaklade za financijsku godinu 2023.;</w:t>
      </w:r>
    </w:p>
    <w:p w14:paraId="76D1B1E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5A20F4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Europske zaklade za poboljšanje životnih i radnih uvjeta,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15311174"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6774FE2" w14:textId="77777777" w:rsidR="00AA43E9" w:rsidRPr="00AA43E9" w:rsidRDefault="00AA43E9" w:rsidP="008C189B">
      <w:pPr>
        <w:pStyle w:val="ATHeading3"/>
      </w:pPr>
      <w:r w:rsidRPr="00AA43E9">
        <w:lastRenderedPageBreak/>
        <w:t>56. Odluka Europskog parlamenta od 7. svibnja 2025. o zaključenju poslovnih knjiga Europske zaklade za poboljšanje životnih i radnih uvjeta za financijsku godinu 2023. (2024/2030(DEC))</w:t>
      </w:r>
    </w:p>
    <w:p w14:paraId="7A40422D" w14:textId="0927110D"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E37B79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Europske zaklade za poboljšanje životnih i radnih uvjeta za financijsku godinu 2023.,</w:t>
      </w:r>
    </w:p>
    <w:p w14:paraId="0A8A6CB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33"/>
      </w:r>
      <w:r w:rsidRPr="00AA43E9">
        <w:rPr>
          <w:kern w:val="2"/>
          <w14:ligatures w14:val="standardContextual"/>
        </w:rPr>
        <w:t>,</w:t>
      </w:r>
    </w:p>
    <w:p w14:paraId="7B79EBB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3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F55BF8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Zaklada za izvršenje proračuna za financijsku godinu 2023. (05755/2025 – C10</w:t>
      </w:r>
      <w:r w:rsidRPr="00AA43E9">
        <w:rPr>
          <w:kern w:val="2"/>
          <w14:ligatures w14:val="standardContextual"/>
        </w:rPr>
        <w:noBreakHyphen/>
        <w:t>0024/2025),</w:t>
      </w:r>
    </w:p>
    <w:p w14:paraId="67A0657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0F62845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35"/>
      </w:r>
      <w:r w:rsidRPr="00AA43E9">
        <w:rPr>
          <w:kern w:val="2"/>
          <w14:ligatures w14:val="standardContextual"/>
        </w:rPr>
        <w:t>, a posebno njezin članak 70.,</w:t>
      </w:r>
    </w:p>
    <w:p w14:paraId="517CCBB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36"/>
      </w:r>
      <w:r w:rsidRPr="00AA43E9">
        <w:rPr>
          <w:kern w:val="2"/>
          <w14:ligatures w14:val="standardContextual"/>
        </w:rPr>
        <w:t>, a posebno njezin članak 70.,</w:t>
      </w:r>
    </w:p>
    <w:p w14:paraId="3B9FDC7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2019/127 Europskog parlamenta i Vijeća od 16. siječnja 2019. o osnivanju Europske zaklade za poboljšanje životnih i radnih uvjeta (</w:t>
      </w:r>
      <w:proofErr w:type="spellStart"/>
      <w:r w:rsidRPr="00AA43E9">
        <w:rPr>
          <w:kern w:val="2"/>
          <w14:ligatures w14:val="standardContextual"/>
        </w:rPr>
        <w:t>Eurofound</w:t>
      </w:r>
      <w:proofErr w:type="spellEnd"/>
      <w:r w:rsidRPr="00AA43E9">
        <w:rPr>
          <w:kern w:val="2"/>
          <w14:ligatures w14:val="standardContextual"/>
        </w:rPr>
        <w:t>) i stavljanju izvan snage Uredbe Vijeća (EEZ) br. 1365/75</w:t>
      </w:r>
      <w:r w:rsidRPr="00AA43E9">
        <w:rPr>
          <w:b/>
          <w:kern w:val="2"/>
          <w:vertAlign w:val="superscript"/>
          <w14:ligatures w14:val="standardContextual"/>
        </w:rPr>
        <w:footnoteReference w:id="337"/>
      </w:r>
      <w:r w:rsidRPr="00AA43E9">
        <w:rPr>
          <w:kern w:val="2"/>
          <w14:ligatures w14:val="standardContextual"/>
        </w:rPr>
        <w:t>, a posebno njezin članak 16.,</w:t>
      </w:r>
    </w:p>
    <w:p w14:paraId="7EDA52F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38"/>
      </w:r>
      <w:r w:rsidRPr="00AA43E9">
        <w:rPr>
          <w:kern w:val="2"/>
          <w14:ligatures w14:val="standardContextual"/>
        </w:rPr>
        <w:t>, a posebno njezin članak 105.,</w:t>
      </w:r>
    </w:p>
    <w:p w14:paraId="18ACD5D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3994A7B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6F2248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270A9E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Europske zaklade za poboljšanje životnih i radnih uvjeta za financijsku godinu 2023.;</w:t>
      </w:r>
    </w:p>
    <w:p w14:paraId="173319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nalaže svojoj predsjednici da ovu Odluku proslijedi izvršnom direktoru Europske zaklade za poboljšanje životnih i radnih uvjeta (</w:t>
      </w:r>
      <w:proofErr w:type="spellStart"/>
      <w:r w:rsidRPr="00AA43E9">
        <w:rPr>
          <w:kern w:val="2"/>
          <w14:ligatures w14:val="standardContextual"/>
        </w:rPr>
        <w:t>Eurofound</w:t>
      </w:r>
      <w:proofErr w:type="spellEnd"/>
      <w:r w:rsidRPr="00AA43E9">
        <w:rPr>
          <w:kern w:val="2"/>
          <w14:ligatures w14:val="standardContextual"/>
        </w:rPr>
        <w:t xml:space="preserv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E55C80B"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BE8152D" w14:textId="77777777" w:rsidR="00AA43E9" w:rsidRPr="00AA43E9" w:rsidRDefault="00AA43E9" w:rsidP="008C189B">
      <w:pPr>
        <w:pStyle w:val="ATHeading3"/>
      </w:pPr>
      <w:r w:rsidRPr="00AA43E9">
        <w:lastRenderedPageBreak/>
        <w:t>57. Odluka Europskog parlamenta od 7. svibnja 2025. o razrješnici za izvršenje proračuna Agencije Europske unije za suradnju u kaznenom pravosuđu za financijsku godinu 2023. (2024/2030(DEC))</w:t>
      </w:r>
    </w:p>
    <w:p w14:paraId="71814E9D" w14:textId="2F2A930B"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8B1D32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suradnju u kaznenom pravosuđu za financijsku godinu 2023.,</w:t>
      </w:r>
    </w:p>
    <w:p w14:paraId="28FD304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39"/>
      </w:r>
      <w:r w:rsidRPr="00AA43E9">
        <w:rPr>
          <w:kern w:val="2"/>
          <w14:ligatures w14:val="standardContextual"/>
        </w:rPr>
        <w:t>,</w:t>
      </w:r>
    </w:p>
    <w:p w14:paraId="1432738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4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E86EA6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48DBE5A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37074A1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41"/>
      </w:r>
      <w:r w:rsidRPr="00AA43E9">
        <w:rPr>
          <w:kern w:val="2"/>
          <w14:ligatures w14:val="standardContextual"/>
        </w:rPr>
        <w:t>, a posebno njezin članak 70.,</w:t>
      </w:r>
    </w:p>
    <w:p w14:paraId="2DB2DE5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42"/>
      </w:r>
      <w:r w:rsidRPr="00AA43E9">
        <w:rPr>
          <w:kern w:val="2"/>
          <w14:ligatures w14:val="standardContextual"/>
        </w:rPr>
        <w:t>, a posebno njezin članak 70.,</w:t>
      </w:r>
    </w:p>
    <w:p w14:paraId="4208F5C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2018/1727 Europskog parlamenta i Vijeća od 14. studenoga 2018. o Agenciji Europske unije za suradnju u kaznenom pravosuđu (</w:t>
      </w:r>
      <w:proofErr w:type="spellStart"/>
      <w:r w:rsidRPr="00AA43E9">
        <w:rPr>
          <w:kern w:val="2"/>
          <w14:ligatures w14:val="standardContextual"/>
        </w:rPr>
        <w:t>Eurojust</w:t>
      </w:r>
      <w:proofErr w:type="spellEnd"/>
      <w:r w:rsidRPr="00AA43E9">
        <w:rPr>
          <w:kern w:val="2"/>
          <w14:ligatures w14:val="standardContextual"/>
        </w:rPr>
        <w:t>) te zamjeni i stavljanju izvan snage Odluke Vijeća 2002/187/PUP</w:t>
      </w:r>
      <w:r w:rsidRPr="00AA43E9">
        <w:rPr>
          <w:b/>
          <w:kern w:val="2"/>
          <w:vertAlign w:val="superscript"/>
          <w14:ligatures w14:val="standardContextual"/>
        </w:rPr>
        <w:footnoteReference w:id="343"/>
      </w:r>
      <w:r w:rsidRPr="00AA43E9">
        <w:rPr>
          <w:kern w:val="2"/>
          <w14:ligatures w14:val="standardContextual"/>
        </w:rPr>
        <w:t>, a posebno njezin članak 63.,</w:t>
      </w:r>
    </w:p>
    <w:p w14:paraId="6CCA311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44"/>
      </w:r>
      <w:r w:rsidRPr="00AA43E9">
        <w:rPr>
          <w:kern w:val="2"/>
          <w14:ligatures w14:val="standardContextual"/>
        </w:rPr>
        <w:t>, a posebno njezin članak 105.,</w:t>
      </w:r>
    </w:p>
    <w:p w14:paraId="23C9BF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0DBC00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05CC23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193402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upravnom direktoru Agencije Europske unije za suradnju u kaznenom pravosuđu za izvršenje proračuna Agencije za financijsku godinu 2023.;</w:t>
      </w:r>
    </w:p>
    <w:p w14:paraId="0910C3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339464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nalaže svojoj predsjednici da ovu Odluku i Rezoluciju, koja je njezin sastavni dio, proslijedi upravnom direktoru Agencije Europske unije za suradnju u kaznenom pravosuđu (</w:t>
      </w:r>
      <w:proofErr w:type="spellStart"/>
      <w:r w:rsidRPr="00AA43E9">
        <w:rPr>
          <w:kern w:val="2"/>
          <w14:ligatures w14:val="standardContextual"/>
        </w:rPr>
        <w:t>Eurojust</w:t>
      </w:r>
      <w:proofErr w:type="spellEnd"/>
      <w:r w:rsidRPr="00AA43E9">
        <w:rPr>
          <w:kern w:val="2"/>
          <w14:ligatures w14:val="standardContextual"/>
        </w:rPr>
        <w:t xml:space="preserve">),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274B1061"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05C01E40" w14:textId="0B6CFD8F" w:rsidR="00AA43E9" w:rsidRPr="00AA43E9" w:rsidRDefault="00AA43E9" w:rsidP="008C189B">
      <w:pPr>
        <w:pStyle w:val="ATHeading3"/>
      </w:pPr>
      <w:r w:rsidRPr="00AA43E9">
        <w:lastRenderedPageBreak/>
        <w:t>58. Odluka Europskog parlamenta od 7. svibnja 2025. o zaključenju poslovnih knjiga Agencije Europske unije za suradnju u kaznenom pravosuđu za financijsku godinu 2023. (2024/2030(DEC))</w:t>
      </w:r>
    </w:p>
    <w:p w14:paraId="36553BE4" w14:textId="6EE53706"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EE76DF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suradnju u kaznenom pravosuđu za financijsku godinu 2023.,</w:t>
      </w:r>
    </w:p>
    <w:p w14:paraId="0F72C2A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45"/>
      </w:r>
      <w:r w:rsidRPr="00AA43E9">
        <w:rPr>
          <w:kern w:val="2"/>
          <w14:ligatures w14:val="standardContextual"/>
        </w:rPr>
        <w:t>,</w:t>
      </w:r>
    </w:p>
    <w:p w14:paraId="40A12D9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4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25F064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12806E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40A61D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47"/>
      </w:r>
      <w:r w:rsidRPr="00AA43E9">
        <w:rPr>
          <w:kern w:val="2"/>
          <w14:ligatures w14:val="standardContextual"/>
        </w:rPr>
        <w:t>, a posebno njezin članak 70.,</w:t>
      </w:r>
    </w:p>
    <w:p w14:paraId="7D57FDF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48"/>
      </w:r>
      <w:r w:rsidRPr="00AA43E9">
        <w:rPr>
          <w:kern w:val="2"/>
          <w14:ligatures w14:val="standardContextual"/>
        </w:rPr>
        <w:t>, a posebno njezin članak 70.,</w:t>
      </w:r>
    </w:p>
    <w:p w14:paraId="33B6176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2018/1727 Europskog parlamenta i Vijeća od 14. studenoga 2018. o Agenciji Europske unije za suradnju u kaznenom pravosuđu (</w:t>
      </w:r>
      <w:proofErr w:type="spellStart"/>
      <w:r w:rsidRPr="00AA43E9">
        <w:rPr>
          <w:kern w:val="2"/>
          <w14:ligatures w14:val="standardContextual"/>
        </w:rPr>
        <w:t>Eurojust</w:t>
      </w:r>
      <w:proofErr w:type="spellEnd"/>
      <w:r w:rsidRPr="00AA43E9">
        <w:rPr>
          <w:kern w:val="2"/>
          <w14:ligatures w14:val="standardContextual"/>
        </w:rPr>
        <w:t>) te zamjeni i stavljanju izvan snage Odluke Vijeća 2002/187/PUP</w:t>
      </w:r>
      <w:r w:rsidRPr="00AA43E9">
        <w:rPr>
          <w:b/>
          <w:kern w:val="2"/>
          <w:vertAlign w:val="superscript"/>
          <w14:ligatures w14:val="standardContextual"/>
        </w:rPr>
        <w:footnoteReference w:id="349"/>
      </w:r>
      <w:r w:rsidRPr="00AA43E9">
        <w:rPr>
          <w:kern w:val="2"/>
          <w14:ligatures w14:val="standardContextual"/>
        </w:rPr>
        <w:t>, a posebno njezin članak 63.,</w:t>
      </w:r>
    </w:p>
    <w:p w14:paraId="6BAC0F2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50"/>
      </w:r>
      <w:r w:rsidRPr="00AA43E9">
        <w:rPr>
          <w:kern w:val="2"/>
          <w14:ligatures w14:val="standardContextual"/>
        </w:rPr>
        <w:t>, a posebno njezin članak 105.,</w:t>
      </w:r>
    </w:p>
    <w:p w14:paraId="42CE0B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75891C4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80E8D6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5152CE6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suradnju u kaznenom pravosuđu za financijsku godinu 2023.;</w:t>
      </w:r>
    </w:p>
    <w:p w14:paraId="70C6260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upravnom direktoru Agencije Europske unije za suradnju u kaznenom pravosuđu,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7CADD319"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3887053" w14:textId="78C3A20B" w:rsidR="00AA43E9" w:rsidRPr="00AA43E9" w:rsidRDefault="00AA43E9" w:rsidP="008C189B">
      <w:pPr>
        <w:pStyle w:val="ATHeading3"/>
      </w:pPr>
      <w:r w:rsidRPr="00AA43E9">
        <w:lastRenderedPageBreak/>
        <w:t>59. Odluka Europskog parlamenta od 7. svibnja 2025. o razrješnici za izvršenje proračuna Agencije Europske unije za suradnju tijela za izvršavanje zakonodavstva za financijsku godinu 2023. (2024/2030(DEC))</w:t>
      </w:r>
    </w:p>
    <w:p w14:paraId="1449FEF1" w14:textId="69912526"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75C60E68" w14:textId="4D08EC8E"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Agencije Europske unije za suradnju tijela za izvršavanje zakonodavstva za financijsku godinu 2023.,</w:t>
      </w:r>
    </w:p>
    <w:p w14:paraId="4A23A816" w14:textId="04A1C4D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351"/>
      </w:r>
      <w:r w:rsidR="00AA43E9" w:rsidRPr="00AA43E9">
        <w:rPr>
          <w:kern w:val="2"/>
          <w14:ligatures w14:val="standardContextual"/>
        </w:rPr>
        <w:t>,</w:t>
      </w:r>
    </w:p>
    <w:p w14:paraId="54F43B05" w14:textId="3FCBB313"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352"/>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888FF4A" w14:textId="77DBA16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7AB696DE" w14:textId="38A6F39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49C6AC72" w14:textId="03B4582A"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353"/>
      </w:r>
      <w:r w:rsidR="00AA43E9" w:rsidRPr="00AA43E9">
        <w:rPr>
          <w:kern w:val="2"/>
          <w14:ligatures w14:val="standardContextual"/>
        </w:rPr>
        <w:t>, a posebno njezin članak 70.,</w:t>
      </w:r>
    </w:p>
    <w:p w14:paraId="65D27D89" w14:textId="6D3ACC1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354"/>
      </w:r>
      <w:r w:rsidR="00AA43E9" w:rsidRPr="00AA43E9">
        <w:rPr>
          <w:kern w:val="2"/>
          <w14:ligatures w14:val="standardContextual"/>
        </w:rPr>
        <w:t>, a posebno njezin članak 70.,</w:t>
      </w:r>
    </w:p>
    <w:p w14:paraId="5726CEBB" w14:textId="0E26453C"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2016/794 Europskog parlamenta i Vijeća od 11. svibnja 2016. o Agenciji Europske unije za suradnju tijela za izvršavanje zakonodavstva (</w:t>
      </w:r>
      <w:proofErr w:type="spellStart"/>
      <w:r w:rsidR="00AA43E9" w:rsidRPr="00AA43E9">
        <w:rPr>
          <w:kern w:val="2"/>
          <w14:ligatures w14:val="standardContextual"/>
        </w:rPr>
        <w:t>Europol</w:t>
      </w:r>
      <w:proofErr w:type="spellEnd"/>
      <w:r w:rsidR="00AA43E9" w:rsidRPr="00AA43E9">
        <w:rPr>
          <w:kern w:val="2"/>
          <w14:ligatures w14:val="standardContextual"/>
        </w:rPr>
        <w:t>) te zamjeni i stavljanju izvan snage odluka Vijeća 2009/371/PUP, 2009/934/PUP, 2009/935/PUP, 2009/936/PUP i 2009/968/PUP</w:t>
      </w:r>
      <w:r w:rsidR="00AA43E9" w:rsidRPr="00AA43E9">
        <w:rPr>
          <w:b/>
          <w:kern w:val="2"/>
          <w:vertAlign w:val="superscript"/>
          <w14:ligatures w14:val="standardContextual"/>
        </w:rPr>
        <w:footnoteReference w:id="355"/>
      </w:r>
      <w:r w:rsidR="00AA43E9" w:rsidRPr="00AA43E9">
        <w:rPr>
          <w:kern w:val="2"/>
          <w14:ligatures w14:val="standardContextual"/>
        </w:rPr>
        <w:t>, a posebno njezin članak 60.,</w:t>
      </w:r>
    </w:p>
    <w:p w14:paraId="06D5AD3C" w14:textId="5F3EFABE"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w:t>
      </w:r>
      <w:r w:rsidR="00AA43E9" w:rsidRPr="00AA43E9">
        <w:rPr>
          <w:kern w:val="2"/>
          <w14:ligatures w14:val="standardContextual"/>
        </w:rPr>
        <w:lastRenderedPageBreak/>
        <w:t>Euratom) 2018/1046 Europskog parlamenta i Vijeća</w:t>
      </w:r>
      <w:r w:rsidR="00AA43E9" w:rsidRPr="00AA43E9">
        <w:rPr>
          <w:b/>
          <w:kern w:val="2"/>
          <w:vertAlign w:val="superscript"/>
          <w14:ligatures w14:val="standardContextual"/>
        </w:rPr>
        <w:footnoteReference w:id="356"/>
      </w:r>
      <w:r w:rsidR="00AA43E9" w:rsidRPr="00AA43E9">
        <w:rPr>
          <w:kern w:val="2"/>
          <w14:ligatures w14:val="standardContextual"/>
        </w:rPr>
        <w:t>, a posebno njezin članak 105.,</w:t>
      </w:r>
    </w:p>
    <w:p w14:paraId="4E638D58" w14:textId="2A0A111B"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5C324BCC" w14:textId="3767F40B"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092C15B" w14:textId="4E694424"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6910774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izvršnoj direktorici Agencije Europske unije za suradnju tijela za izvršavanje zakonodavstva za izvršenje proračuna Agencije za financijsku godinu 2023.;</w:t>
      </w:r>
    </w:p>
    <w:p w14:paraId="37BCD9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630316F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izvršnoj direktorici Agencije Europske unije za suradnju tijela za izvršavanje zakonodavstva,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08952F6B"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E48D0FE" w14:textId="14F97911" w:rsidR="00AA43E9" w:rsidRPr="00AA43E9" w:rsidRDefault="00AA43E9" w:rsidP="008C189B">
      <w:pPr>
        <w:pStyle w:val="ATHeading3"/>
      </w:pPr>
      <w:r w:rsidRPr="00AA43E9">
        <w:lastRenderedPageBreak/>
        <w:t>60. Odluka Europskog parlamenta od 7. svibnja 2025. o zaključenju poslovnih knjiga Agencije Europske unije za suradnju tijela za izvršavanje zakonodavstva za financijsku godinu 2023. (2024/2030(DEC))</w:t>
      </w:r>
    </w:p>
    <w:p w14:paraId="2A869829" w14:textId="39D83BA8"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888285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suradnju tijela za izvršavanje zakonodavstva za financijsku godinu 2023.,</w:t>
      </w:r>
    </w:p>
    <w:p w14:paraId="6A80B4C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57"/>
      </w:r>
      <w:r w:rsidRPr="00AA43E9">
        <w:rPr>
          <w:kern w:val="2"/>
          <w14:ligatures w14:val="standardContextual"/>
        </w:rPr>
        <w:t>,</w:t>
      </w:r>
    </w:p>
    <w:p w14:paraId="66A4E7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5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F51065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426D1B5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EBE830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59"/>
      </w:r>
      <w:r w:rsidRPr="00AA43E9">
        <w:rPr>
          <w:kern w:val="2"/>
          <w14:ligatures w14:val="standardContextual"/>
        </w:rPr>
        <w:t>, a posebno njezin članak 70.,</w:t>
      </w:r>
    </w:p>
    <w:p w14:paraId="1DB502F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60"/>
      </w:r>
      <w:r w:rsidRPr="00AA43E9">
        <w:rPr>
          <w:kern w:val="2"/>
          <w14:ligatures w14:val="standardContextual"/>
        </w:rPr>
        <w:t>, a posebno njezin članak 70.,</w:t>
      </w:r>
    </w:p>
    <w:p w14:paraId="443EFDA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2016/794 Europskog parlamenta i Vijeća od 11. svibnja 2016. o Agenciji Europske unije za suradnju tijela za izvršavanje zakonodavstva (</w:t>
      </w:r>
      <w:proofErr w:type="spellStart"/>
      <w:r w:rsidRPr="00AA43E9">
        <w:rPr>
          <w:kern w:val="2"/>
          <w14:ligatures w14:val="standardContextual"/>
        </w:rPr>
        <w:t>Europol</w:t>
      </w:r>
      <w:proofErr w:type="spellEnd"/>
      <w:r w:rsidRPr="00AA43E9">
        <w:rPr>
          <w:kern w:val="2"/>
          <w14:ligatures w14:val="standardContextual"/>
        </w:rPr>
        <w:t>) te zamjeni i stavljanju izvan snage odluka Vijeća 2009/371/PUP, 2009/934/PUP, 2009/935/PUP, 2009/936/PUP i 2009/968/PUP</w:t>
      </w:r>
      <w:r w:rsidRPr="00AA43E9">
        <w:rPr>
          <w:b/>
          <w:kern w:val="2"/>
          <w:vertAlign w:val="superscript"/>
          <w14:ligatures w14:val="standardContextual"/>
        </w:rPr>
        <w:footnoteReference w:id="361"/>
      </w:r>
      <w:r w:rsidRPr="00AA43E9">
        <w:rPr>
          <w:kern w:val="2"/>
          <w14:ligatures w14:val="standardContextual"/>
        </w:rPr>
        <w:t>, a posebno njezin članak 60.,</w:t>
      </w:r>
    </w:p>
    <w:p w14:paraId="3F96575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362"/>
      </w:r>
      <w:r w:rsidRPr="00AA43E9">
        <w:rPr>
          <w:kern w:val="2"/>
          <w14:ligatures w14:val="standardContextual"/>
        </w:rPr>
        <w:t>, a posebno njezin članak 105.,</w:t>
      </w:r>
    </w:p>
    <w:p w14:paraId="05A1BD1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28DFC0F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AFACA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7249AD5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suradnju tijela za izvršavanje zakonodavstva za financijsku godinu 2023.;</w:t>
      </w:r>
    </w:p>
    <w:p w14:paraId="0F8BB84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izvršnoj direktorici Agencije Europske unije za suradnju tijela za izvršavanje zakonodavstva,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7E283A66"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8556260" w14:textId="13771E3C" w:rsidR="00AA43E9" w:rsidRPr="00AA43E9" w:rsidRDefault="00AA43E9" w:rsidP="008C189B">
      <w:pPr>
        <w:pStyle w:val="ATHeading3"/>
      </w:pPr>
      <w:r w:rsidRPr="00AA43E9">
        <w:lastRenderedPageBreak/>
        <w:t>61. Odluka Europskog parlamenta od 7. svibnja 2025. o razrješnici za izvršenje proračuna Agencije Europske unije za svemirski program za financijsku godinu 2023. (2024/2030(DEC))</w:t>
      </w:r>
    </w:p>
    <w:p w14:paraId="2EABD884" w14:textId="7A4341AA"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19DF90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svemirski program za financijsku godinu 2023.,</w:t>
      </w:r>
    </w:p>
    <w:p w14:paraId="74682A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63"/>
      </w:r>
      <w:r w:rsidRPr="00AA43E9">
        <w:rPr>
          <w:kern w:val="2"/>
          <w14:ligatures w14:val="standardContextual"/>
        </w:rPr>
        <w:t>,</w:t>
      </w:r>
    </w:p>
    <w:p w14:paraId="5B43EA0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6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7766BF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7518662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4414B3D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65"/>
      </w:r>
      <w:r w:rsidRPr="00AA43E9">
        <w:rPr>
          <w:kern w:val="2"/>
          <w14:ligatures w14:val="standardContextual"/>
        </w:rPr>
        <w:t>, a posebno njezin članak 70.,</w:t>
      </w:r>
    </w:p>
    <w:p w14:paraId="694379A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66"/>
      </w:r>
      <w:r w:rsidRPr="00AA43E9">
        <w:rPr>
          <w:kern w:val="2"/>
          <w14:ligatures w14:val="standardContextual"/>
        </w:rPr>
        <w:t>, a posebno njezin članak 70.,</w:t>
      </w:r>
    </w:p>
    <w:p w14:paraId="5C9EA08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2021/696 Europskog parlamenta i Vijeća od 28. travnja 2021. o uspostavi Svemirskog programa Unije i osnivanju Agencije Europske unije za svemirski program te o stavljanju izvan snage uredaba (EU) br. 912/2010, (EU) br. 1285/2013 i (EU) br. 377/2014 i Odluke br. 541/2014/EU</w:t>
      </w:r>
      <w:r w:rsidRPr="00AA43E9">
        <w:rPr>
          <w:b/>
          <w:kern w:val="2"/>
          <w:vertAlign w:val="superscript"/>
          <w14:ligatures w14:val="standardContextual"/>
        </w:rPr>
        <w:footnoteReference w:id="367"/>
      </w:r>
      <w:r w:rsidRPr="00AA43E9">
        <w:rPr>
          <w:kern w:val="2"/>
          <w14:ligatures w14:val="standardContextual"/>
        </w:rPr>
        <w:t>, a posebno njezine članke 85. i 86.,</w:t>
      </w:r>
    </w:p>
    <w:p w14:paraId="4C81695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368"/>
      </w:r>
      <w:r w:rsidRPr="00AA43E9">
        <w:rPr>
          <w:kern w:val="2"/>
          <w14:ligatures w14:val="standardContextual"/>
        </w:rPr>
        <w:t>, a posebno njezin članak 105.,</w:t>
      </w:r>
    </w:p>
    <w:p w14:paraId="1BB2B93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327977C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78F521F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6F244F8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Agencije Europske unije za svemirski program za izvršenje proračuna Agencije za financijsku godinu 2023.;</w:t>
      </w:r>
    </w:p>
    <w:p w14:paraId="5F0AD4D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3D931E6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Agencije Europske unije za svemirski program,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500161E1"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6014CB21" w14:textId="77777777" w:rsidR="00AA43E9" w:rsidRPr="00AA43E9" w:rsidRDefault="00AA43E9" w:rsidP="008C189B">
      <w:pPr>
        <w:pStyle w:val="ATHeading3"/>
      </w:pPr>
      <w:r w:rsidRPr="00AA43E9">
        <w:lastRenderedPageBreak/>
        <w:t>62. Odluka Europskog parlamenta od 7. svibnja 2025. o zaključenju poslovnih knjiga Agencije Europske unije za svemirski program za financijsku godinu 2023. (2024/2030(DEC))</w:t>
      </w:r>
    </w:p>
    <w:p w14:paraId="18C19B64" w14:textId="4C438190"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5672FC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svemirski program za financijsku godinu 2023.,</w:t>
      </w:r>
    </w:p>
    <w:p w14:paraId="143E7B2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69"/>
      </w:r>
      <w:r w:rsidRPr="00AA43E9">
        <w:rPr>
          <w:kern w:val="2"/>
          <w14:ligatures w14:val="standardContextual"/>
        </w:rPr>
        <w:t>,</w:t>
      </w:r>
    </w:p>
    <w:p w14:paraId="3C07CE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70"/>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28BDE5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1ADCED9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2893B91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71"/>
      </w:r>
      <w:r w:rsidRPr="00AA43E9">
        <w:rPr>
          <w:kern w:val="2"/>
          <w14:ligatures w14:val="standardContextual"/>
        </w:rPr>
        <w:t>, a posebno njezin članak 70.,</w:t>
      </w:r>
    </w:p>
    <w:p w14:paraId="463044C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72"/>
      </w:r>
      <w:r w:rsidRPr="00AA43E9">
        <w:rPr>
          <w:kern w:val="2"/>
          <w14:ligatures w14:val="standardContextual"/>
        </w:rPr>
        <w:t>, a posebno njezin članak 70.,</w:t>
      </w:r>
    </w:p>
    <w:p w14:paraId="44CC551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2021/696 Europskog parlamenta i Vijeća od 28. travnja 2021. o uspostavi Svemirskog programa Unije i osnivanju Agencije Europske unije za svemirski program te o stavljanju izvan snage uredaba (EU) br. 912/2010, (EU) br. 1285/2013 i (EU) br. 377/2014 i Odluke br. 541/2014/EU</w:t>
      </w:r>
      <w:r w:rsidRPr="00AA43E9">
        <w:rPr>
          <w:b/>
          <w:kern w:val="2"/>
          <w:vertAlign w:val="superscript"/>
          <w14:ligatures w14:val="standardContextual"/>
        </w:rPr>
        <w:footnoteReference w:id="373"/>
      </w:r>
      <w:r w:rsidRPr="00AA43E9">
        <w:rPr>
          <w:kern w:val="2"/>
          <w14:ligatures w14:val="standardContextual"/>
        </w:rPr>
        <w:t>, a posebno njezine članke 85. i 86.,</w:t>
      </w:r>
    </w:p>
    <w:p w14:paraId="6DE8834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w:t>
      </w:r>
      <w:r w:rsidRPr="00AA43E9">
        <w:rPr>
          <w:kern w:val="2"/>
          <w14:ligatures w14:val="standardContextual"/>
        </w:rPr>
        <w:lastRenderedPageBreak/>
        <w:t>Euratom) 2018/1046 Europskog parlamenta i Vijeća</w:t>
      </w:r>
      <w:r w:rsidRPr="00AA43E9">
        <w:rPr>
          <w:b/>
          <w:kern w:val="2"/>
          <w:vertAlign w:val="superscript"/>
          <w14:ligatures w14:val="standardContextual"/>
        </w:rPr>
        <w:footnoteReference w:id="374"/>
      </w:r>
      <w:r w:rsidRPr="00AA43E9">
        <w:rPr>
          <w:kern w:val="2"/>
          <w14:ligatures w14:val="standardContextual"/>
        </w:rPr>
        <w:t>, a posebno njezin članak 105.,</w:t>
      </w:r>
    </w:p>
    <w:p w14:paraId="0C004E2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02C2D34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072F617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3FBA1D6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svemirski program za financijsku godinu 2023.;</w:t>
      </w:r>
    </w:p>
    <w:p w14:paraId="62077BE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Agencije Europske unije za svemirski program,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4287ED8"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3096F3F8" w14:textId="77777777" w:rsidR="00AA43E9" w:rsidRPr="00AA43E9" w:rsidRDefault="00AA43E9" w:rsidP="008C189B">
      <w:pPr>
        <w:pStyle w:val="ATHeading3"/>
      </w:pPr>
      <w:r w:rsidRPr="00AA43E9">
        <w:lastRenderedPageBreak/>
        <w:t>63. Odluka Europskog parlamenta od 7. svibnja 2025. o razrješnici za izvršenje proračuna Agencije Europske unije za temeljna prava za financijsku godinu 2023. (2024/2030(DEC))</w:t>
      </w:r>
    </w:p>
    <w:p w14:paraId="2A1A4038" w14:textId="30BF87A1"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4C1E76F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Europske unije za temeljna prava za financijsku godinu 2023.,</w:t>
      </w:r>
    </w:p>
    <w:p w14:paraId="47C7AF2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75"/>
      </w:r>
      <w:r w:rsidRPr="00AA43E9">
        <w:rPr>
          <w:kern w:val="2"/>
          <w14:ligatures w14:val="standardContextual"/>
        </w:rPr>
        <w:t>,</w:t>
      </w:r>
    </w:p>
    <w:p w14:paraId="52979D4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76"/>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D79570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530D78A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46DA337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77"/>
      </w:r>
      <w:r w:rsidRPr="00AA43E9">
        <w:rPr>
          <w:kern w:val="2"/>
          <w14:ligatures w14:val="standardContextual"/>
        </w:rPr>
        <w:t>, a posebno njezin članak 70.,</w:t>
      </w:r>
    </w:p>
    <w:p w14:paraId="3BF67C0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78"/>
      </w:r>
      <w:r w:rsidRPr="00AA43E9">
        <w:rPr>
          <w:kern w:val="2"/>
          <w14:ligatures w14:val="standardContextual"/>
        </w:rPr>
        <w:t>, a posebno njezin članak 70.,</w:t>
      </w:r>
    </w:p>
    <w:p w14:paraId="7A002FA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Vijeća (EZ) br. 168/2007 od 15. veljače 2007. o osnivanju Agencije Europske unije za temeljna prava</w:t>
      </w:r>
      <w:r w:rsidRPr="00AA43E9">
        <w:rPr>
          <w:b/>
          <w:kern w:val="2"/>
          <w:vertAlign w:val="superscript"/>
          <w14:ligatures w14:val="standardContextual"/>
        </w:rPr>
        <w:footnoteReference w:id="379"/>
      </w:r>
      <w:r w:rsidRPr="00AA43E9">
        <w:rPr>
          <w:kern w:val="2"/>
          <w14:ligatures w14:val="standardContextual"/>
        </w:rPr>
        <w:t>, a posebno njezin članak 21.,</w:t>
      </w:r>
    </w:p>
    <w:p w14:paraId="74309B6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80"/>
      </w:r>
      <w:r w:rsidRPr="00AA43E9">
        <w:rPr>
          <w:kern w:val="2"/>
          <w14:ligatures w14:val="standardContextual"/>
        </w:rPr>
        <w:t>, a posebno njezin članak 105.,</w:t>
      </w:r>
    </w:p>
    <w:p w14:paraId="07C62C1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102. Poslovnika i Prilog V. Poslovniku,</w:t>
      </w:r>
    </w:p>
    <w:p w14:paraId="5895287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D3E687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0E39C9F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direktorici Agencije Europske unije za temeljna prava za izvršenje proračuna Agencije za financijsku godinu 2023.;</w:t>
      </w:r>
    </w:p>
    <w:p w14:paraId="5A06AA0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4CB5B47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direktorici Agencije Europske unije za temeljna prava,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71D85473"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32CB438" w14:textId="3CD2B977" w:rsidR="00AA43E9" w:rsidRPr="00AA43E9" w:rsidRDefault="00AA43E9" w:rsidP="008C189B">
      <w:pPr>
        <w:pStyle w:val="ATHeading3"/>
      </w:pPr>
      <w:r w:rsidRPr="00AA43E9">
        <w:lastRenderedPageBreak/>
        <w:t>64. Odluka Europskog parlamenta od 7. svibnja 2025. o zaključenju poslovnih knjiga Agencije Europske unije za temeljna prava za financijsku godinu 2023. (2024/2030(DEC))</w:t>
      </w:r>
    </w:p>
    <w:p w14:paraId="350A864F" w14:textId="2A9B31E8"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6FCF66DA" w14:textId="49D55FE8"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završnu godišnju računovodstvenu dokumentaciju Agencije Europske unije za temeljna prava za financijsku godinu 2023.,</w:t>
      </w:r>
    </w:p>
    <w:p w14:paraId="02A9B774" w14:textId="2313CE12"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godišnje izvješće Revizorskog suda o agencijama EU-a za financijsku godinu 2023., kojemu su priloženi odgovori agencija</w:t>
      </w:r>
      <w:r w:rsidR="00AA43E9" w:rsidRPr="00AA43E9">
        <w:rPr>
          <w:b/>
          <w:kern w:val="2"/>
          <w:vertAlign w:val="superscript"/>
          <w14:ligatures w14:val="standardContextual"/>
        </w:rPr>
        <w:footnoteReference w:id="381"/>
      </w:r>
      <w:r w:rsidR="00AA43E9" w:rsidRPr="00AA43E9">
        <w:rPr>
          <w:kern w:val="2"/>
          <w14:ligatures w14:val="standardContextual"/>
        </w:rPr>
        <w:t>,</w:t>
      </w:r>
    </w:p>
    <w:p w14:paraId="43EF932A" w14:textId="68CD3269"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izjavu o jamstvu</w:t>
      </w:r>
      <w:r w:rsidR="00AA43E9" w:rsidRPr="00AA43E9">
        <w:rPr>
          <w:b/>
          <w:kern w:val="2"/>
          <w:vertAlign w:val="superscript"/>
          <w14:ligatures w14:val="standardContextual"/>
        </w:rPr>
        <w:footnoteReference w:id="382"/>
      </w:r>
      <w:r w:rsidR="00AA43E9"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8ED8AAD" w14:textId="6F8552FA"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preporuku Vijeća od 17. veljače 2025. o razrješnici koju treba dobiti Agencija za izvršenje proračuna za financijsku godinu 2023. (05755/2025 – C10</w:t>
      </w:r>
      <w:r w:rsidR="00AA43E9" w:rsidRPr="00AA43E9">
        <w:rPr>
          <w:kern w:val="2"/>
          <w14:ligatures w14:val="standardContextual"/>
        </w:rPr>
        <w:noBreakHyphen/>
        <w:t>0024/2025),</w:t>
      </w:r>
    </w:p>
    <w:p w14:paraId="2BEDE637" w14:textId="2C6D132C"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319. Ugovora o funkcioniranju Europske unije,</w:t>
      </w:r>
    </w:p>
    <w:p w14:paraId="60A59DE0" w14:textId="675E6C49"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00AA43E9" w:rsidRPr="00AA43E9">
        <w:rPr>
          <w:b/>
          <w:kern w:val="2"/>
          <w:vertAlign w:val="superscript"/>
          <w14:ligatures w14:val="standardContextual"/>
        </w:rPr>
        <w:footnoteReference w:id="383"/>
      </w:r>
      <w:r w:rsidR="00AA43E9" w:rsidRPr="00AA43E9">
        <w:rPr>
          <w:kern w:val="2"/>
          <w14:ligatures w14:val="standardContextual"/>
        </w:rPr>
        <w:t>, a posebno njezin članak 70.,</w:t>
      </w:r>
    </w:p>
    <w:p w14:paraId="4CA688AB" w14:textId="178F167D"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(EU, Euratom) 2024/2509 Europskog parlamenta i Vijeća od 23. rujna 2024. o financijskim pravilima koja se primjenjuju na opći proračun Unije</w:t>
      </w:r>
      <w:r w:rsidR="00AA43E9" w:rsidRPr="00AA43E9">
        <w:rPr>
          <w:kern w:val="2"/>
          <w:vertAlign w:val="superscript"/>
          <w14:ligatures w14:val="standardContextual"/>
        </w:rPr>
        <w:footnoteReference w:id="384"/>
      </w:r>
      <w:r w:rsidR="00AA43E9" w:rsidRPr="00AA43E9">
        <w:rPr>
          <w:kern w:val="2"/>
          <w14:ligatures w14:val="standardContextual"/>
        </w:rPr>
        <w:t>, a posebno njezin članak 70.,</w:t>
      </w:r>
    </w:p>
    <w:p w14:paraId="2BD5F059" w14:textId="7C3BA753"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Uredbu Vijeća (EZ) br. 168/2007 od 15. veljače 2007. o osnivanju Agencije Europske unije za temeljna prava</w:t>
      </w:r>
      <w:r w:rsidR="00AA43E9" w:rsidRPr="00AA43E9">
        <w:rPr>
          <w:b/>
          <w:kern w:val="2"/>
          <w:vertAlign w:val="superscript"/>
          <w14:ligatures w14:val="standardContextual"/>
        </w:rPr>
        <w:footnoteReference w:id="385"/>
      </w:r>
      <w:r w:rsidR="00AA43E9" w:rsidRPr="00AA43E9">
        <w:rPr>
          <w:kern w:val="2"/>
          <w14:ligatures w14:val="standardContextual"/>
        </w:rPr>
        <w:t>, a posebno njezin članak 21.,</w:t>
      </w:r>
    </w:p>
    <w:p w14:paraId="49725335" w14:textId="1641FAB5"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00AA43E9" w:rsidRPr="00AA43E9">
        <w:rPr>
          <w:kern w:val="2"/>
          <w14:ligatures w14:val="standardContextual"/>
        </w:rPr>
        <w:t>Euratomu</w:t>
      </w:r>
      <w:proofErr w:type="spellEnd"/>
      <w:r w:rsidR="00AA43E9" w:rsidRPr="00AA43E9">
        <w:rPr>
          <w:kern w:val="2"/>
          <w14:ligatures w14:val="standardContextual"/>
        </w:rPr>
        <w:t xml:space="preserve"> na koja se upućuje u članku 70. Uredbe (EU, Euratom) 2018/1046 Europskog parlamenta i Vijeća</w:t>
      </w:r>
      <w:r w:rsidR="00AA43E9" w:rsidRPr="00AA43E9">
        <w:rPr>
          <w:b/>
          <w:kern w:val="2"/>
          <w:vertAlign w:val="superscript"/>
          <w14:ligatures w14:val="standardContextual"/>
        </w:rPr>
        <w:footnoteReference w:id="386"/>
      </w:r>
      <w:r w:rsidR="00AA43E9" w:rsidRPr="00AA43E9">
        <w:rPr>
          <w:kern w:val="2"/>
          <w14:ligatures w14:val="standardContextual"/>
        </w:rPr>
        <w:t>, a posebno njezin članak 105.,</w:t>
      </w:r>
    </w:p>
    <w:p w14:paraId="41EF0008" w14:textId="21E62C6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08E0FC57" w14:textId="37AA78B9" w:rsidR="00AA43E9" w:rsidRPr="00AA43E9" w:rsidRDefault="008C189B" w:rsidP="00AA43E9">
      <w:pPr>
        <w:spacing w:after="240"/>
        <w:ind w:left="567" w:hanging="567"/>
        <w:rPr>
          <w:kern w:val="2"/>
          <w14:ligatures w14:val="standardContextual"/>
        </w:rPr>
      </w:pPr>
      <w:r w:rsidRPr="00863FBA">
        <w:lastRenderedPageBreak/>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3A3D4962" w14:textId="5172AED8"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5C34FBC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Europske unije za temeljna prava za financijsku godinu 2023.;</w:t>
      </w:r>
    </w:p>
    <w:p w14:paraId="77AC16E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direktorici Agencije Europske unije za temeljna prava,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1FF851D3"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1467C952" w14:textId="77777777" w:rsidR="00AA43E9" w:rsidRPr="00AA43E9" w:rsidRDefault="00AA43E9" w:rsidP="008C189B">
      <w:pPr>
        <w:pStyle w:val="ATHeading3"/>
      </w:pPr>
      <w:r w:rsidRPr="00AA43E9">
        <w:lastRenderedPageBreak/>
        <w:t>65. Odluka Europskog parlamenta od 7. svibnja 2025. o razrješnici za izvršenje proračuna Agencije za europsku graničnu i obalnu stražu za financijsku godinu 2023. (2024/2030(DEC))</w:t>
      </w:r>
    </w:p>
    <w:p w14:paraId="6CA31512" w14:textId="1870FB46"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476C3BE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za europsku graničnu i obalnu stražu za financijsku godinu 2023.,</w:t>
      </w:r>
    </w:p>
    <w:p w14:paraId="1E435AE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87"/>
      </w:r>
      <w:r w:rsidRPr="00AA43E9">
        <w:rPr>
          <w:kern w:val="2"/>
          <w14:ligatures w14:val="standardContextual"/>
        </w:rPr>
        <w:t>,</w:t>
      </w:r>
    </w:p>
    <w:p w14:paraId="1902E9B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88"/>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FCC17B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73B6E7A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4AE2BF0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89"/>
      </w:r>
      <w:r w:rsidRPr="00AA43E9">
        <w:rPr>
          <w:kern w:val="2"/>
          <w14:ligatures w14:val="standardContextual"/>
        </w:rPr>
        <w:t>, a posebno njezin članak 70.,</w:t>
      </w:r>
    </w:p>
    <w:p w14:paraId="77C727A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90"/>
      </w:r>
      <w:r w:rsidRPr="00AA43E9">
        <w:rPr>
          <w:kern w:val="2"/>
          <w14:ligatures w14:val="standardContextual"/>
        </w:rPr>
        <w:t>, a posebno njezin članak 70.,</w:t>
      </w:r>
    </w:p>
    <w:p w14:paraId="2E4980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2019/1896 Europskog parlamenta i Vijeća od 13. studenoga 2019. o europskoj graničnoj i obalnoj straži i stavljanju izvan snage uredaba (EU) br. 1052/2013 i (EU) 2016/1624</w:t>
      </w:r>
      <w:r w:rsidRPr="00AA43E9">
        <w:rPr>
          <w:b/>
          <w:kern w:val="2"/>
          <w:vertAlign w:val="superscript"/>
          <w14:ligatures w14:val="standardContextual"/>
        </w:rPr>
        <w:footnoteReference w:id="391"/>
      </w:r>
      <w:r w:rsidRPr="00AA43E9">
        <w:rPr>
          <w:kern w:val="2"/>
          <w14:ligatures w14:val="standardContextual"/>
        </w:rPr>
        <w:t>, a posebno njezin članak 116.,</w:t>
      </w:r>
    </w:p>
    <w:p w14:paraId="54D2620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92"/>
      </w:r>
      <w:r w:rsidRPr="00AA43E9">
        <w:rPr>
          <w:kern w:val="2"/>
          <w14:ligatures w14:val="standardContextual"/>
        </w:rPr>
        <w:t>, a posebno njezin članak 105.,</w:t>
      </w:r>
    </w:p>
    <w:p w14:paraId="26073F4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7F1311A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199940D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27590D5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daje razrješnicu izvršnom direktoru Agencije za europsku graničnu i obalnu stražu za izvršenje proračuna Agencije za financijsku godinu 2023.;</w:t>
      </w:r>
    </w:p>
    <w:p w14:paraId="1E60790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iznosi svoje primjedbe u Rezoluciji u nastavku;</w:t>
      </w:r>
    </w:p>
    <w:p w14:paraId="7610AA0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 xml:space="preserve">nalaže svojoj predsjednici da ovu Odluku i Rezoluciju, koja je njezin sastavni dio, proslijedi izvršnom direktoru Agencije za europsku graničnu i obalnu stražu, Vijeću, Komisiji i Revizorskom sudu te da ih da na objavu u </w:t>
      </w:r>
      <w:r w:rsidRPr="00AA43E9">
        <w:rPr>
          <w:i/>
          <w:kern w:val="2"/>
          <w14:ligatures w14:val="standardContextual"/>
        </w:rPr>
        <w:t>Službenom listu Europske unije</w:t>
      </w:r>
      <w:r w:rsidRPr="00AA43E9">
        <w:rPr>
          <w:kern w:val="2"/>
          <w14:ligatures w14:val="standardContextual"/>
        </w:rPr>
        <w:t xml:space="preserve"> (serija L).</w:t>
      </w:r>
    </w:p>
    <w:p w14:paraId="7857EB97"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FF5F544" w14:textId="77777777" w:rsidR="00AA43E9" w:rsidRPr="00AA43E9" w:rsidRDefault="00AA43E9" w:rsidP="008C189B">
      <w:pPr>
        <w:pStyle w:val="ATHeading3"/>
      </w:pPr>
      <w:r w:rsidRPr="00AA43E9">
        <w:lastRenderedPageBreak/>
        <w:t>66. Odluka Europskog parlamenta od 7. svibnja 2025. o zaključenju poslovnih knjiga Agencije za europsku graničnu i obalnu stražu za financijsku godinu 2023. (2024/2030(DEC))</w:t>
      </w:r>
    </w:p>
    <w:p w14:paraId="79CF23D1" w14:textId="60EA582D"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1A9DFB4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završnu godišnju računovodstvenu dokumentaciju Agencije za europsku graničnu i obalnu stražu za financijsku godinu 2023.,</w:t>
      </w:r>
    </w:p>
    <w:p w14:paraId="39BD40B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godišnje izvješće Revizorskog suda o agencijama EU-a za financijsku godinu 2023., kojemu su priloženi odgovori agencija</w:t>
      </w:r>
      <w:r w:rsidRPr="00AA43E9">
        <w:rPr>
          <w:b/>
          <w:kern w:val="2"/>
          <w:vertAlign w:val="superscript"/>
          <w14:ligatures w14:val="standardContextual"/>
        </w:rPr>
        <w:footnoteReference w:id="393"/>
      </w:r>
      <w:r w:rsidRPr="00AA43E9">
        <w:rPr>
          <w:kern w:val="2"/>
          <w14:ligatures w14:val="standardContextual"/>
        </w:rPr>
        <w:t>,</w:t>
      </w:r>
    </w:p>
    <w:p w14:paraId="2C694EC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izjavu o jamstvu</w:t>
      </w:r>
      <w:r w:rsidRPr="00AA43E9">
        <w:rPr>
          <w:b/>
          <w:kern w:val="2"/>
          <w:vertAlign w:val="superscript"/>
          <w14:ligatures w14:val="standardContextual"/>
        </w:rPr>
        <w:footnoteReference w:id="394"/>
      </w:r>
      <w:r w:rsidRPr="00AA43E9">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EFF0F8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preporuku Vijeća od 17. veljače 2025. o razrješnici koju treba dobiti Agencija za izvršenje proračuna za financijsku godinu 2023. (05755/2025 – C10</w:t>
      </w:r>
      <w:r w:rsidRPr="00AA43E9">
        <w:rPr>
          <w:kern w:val="2"/>
          <w14:ligatures w14:val="standardContextual"/>
        </w:rPr>
        <w:noBreakHyphen/>
        <w:t>0024/2025),</w:t>
      </w:r>
    </w:p>
    <w:p w14:paraId="7A0306C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članak 319. Ugovora o funkcioniranju Europske unije,</w:t>
      </w:r>
    </w:p>
    <w:p w14:paraId="6127F99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A43E9">
        <w:rPr>
          <w:b/>
          <w:kern w:val="2"/>
          <w:vertAlign w:val="superscript"/>
          <w14:ligatures w14:val="standardContextual"/>
        </w:rPr>
        <w:footnoteReference w:id="395"/>
      </w:r>
      <w:r w:rsidRPr="00AA43E9">
        <w:rPr>
          <w:kern w:val="2"/>
          <w14:ligatures w14:val="standardContextual"/>
        </w:rPr>
        <w:t>, a posebno njezin članak 70.,</w:t>
      </w:r>
    </w:p>
    <w:p w14:paraId="559F65C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Euratom) 2024/2509 Europskog parlamenta i Vijeća od 23. rujna 2024. o financijskim pravilima koja se primjenjuju na opći proračun Unije</w:t>
      </w:r>
      <w:r w:rsidRPr="00AA43E9">
        <w:rPr>
          <w:kern w:val="2"/>
          <w:vertAlign w:val="superscript"/>
          <w14:ligatures w14:val="standardContextual"/>
        </w:rPr>
        <w:footnoteReference w:id="396"/>
      </w:r>
      <w:r w:rsidRPr="00AA43E9">
        <w:rPr>
          <w:kern w:val="2"/>
          <w14:ligatures w14:val="standardContextual"/>
        </w:rPr>
        <w:t>, a posebno njezin članak 70.,</w:t>
      </w:r>
    </w:p>
    <w:p w14:paraId="5F10858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Uredbu (EU) 2019/1896 Europskog parlamenta i Vijeća od 13. studenoga 2019. o europskoj graničnoj i obalnoj straži i stavljanju izvan snage uredaba (EU) br. 1052/2013 i (EU) 2016/1624</w:t>
      </w:r>
      <w:r w:rsidRPr="00AA43E9">
        <w:rPr>
          <w:b/>
          <w:kern w:val="2"/>
          <w:vertAlign w:val="superscript"/>
          <w14:ligatures w14:val="standardContextual"/>
        </w:rPr>
        <w:footnoteReference w:id="397"/>
      </w:r>
      <w:r w:rsidRPr="00AA43E9">
        <w:rPr>
          <w:kern w:val="2"/>
          <w14:ligatures w14:val="standardContextual"/>
        </w:rPr>
        <w:t>, a posebno njezin članak 116.,</w:t>
      </w:r>
    </w:p>
    <w:p w14:paraId="17DF0D5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AA43E9">
        <w:rPr>
          <w:kern w:val="2"/>
          <w14:ligatures w14:val="standardContextual"/>
        </w:rPr>
        <w:t>Euratomu</w:t>
      </w:r>
      <w:proofErr w:type="spellEnd"/>
      <w:r w:rsidRPr="00AA43E9">
        <w:rPr>
          <w:kern w:val="2"/>
          <w14:ligatures w14:val="standardContextual"/>
        </w:rPr>
        <w:t xml:space="preserve"> na koja se upućuje u članku 70. Uredbe (EU, Euratom) 2018/1046 Europskog parlamenta i Vijeća</w:t>
      </w:r>
      <w:r w:rsidRPr="00AA43E9">
        <w:rPr>
          <w:b/>
          <w:kern w:val="2"/>
          <w:vertAlign w:val="superscript"/>
          <w14:ligatures w14:val="standardContextual"/>
        </w:rPr>
        <w:footnoteReference w:id="398"/>
      </w:r>
      <w:r w:rsidRPr="00AA43E9">
        <w:rPr>
          <w:kern w:val="2"/>
          <w14:ligatures w14:val="standardContextual"/>
        </w:rPr>
        <w:t>, a posebno njezin članak 105.,</w:t>
      </w:r>
    </w:p>
    <w:p w14:paraId="630EB9A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w:t>
      </w:r>
      <w:r w:rsidRPr="00AA43E9">
        <w:rPr>
          <w:kern w:val="2"/>
          <w14:ligatures w14:val="standardContextual"/>
        </w:rPr>
        <w:tab/>
        <w:t>uzimajući u obzir članak 102. Poslovnika i Prilog V. Poslovniku,</w:t>
      </w:r>
    </w:p>
    <w:p w14:paraId="46F47A8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2C0E795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w:t>
      </w:r>
      <w:r w:rsidRPr="00AA43E9">
        <w:rPr>
          <w:kern w:val="2"/>
          <w14:ligatures w14:val="standardContextual"/>
        </w:rPr>
        <w:tab/>
        <w:t>uzimajući u obzir izvješće Odbora za proračunski nadzor (A10-0065/2025),</w:t>
      </w:r>
    </w:p>
    <w:p w14:paraId="4252040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odobrava zaključenje poslovnih knjiga Agencije za europsku graničnu i obalnu stražu za financijsku godinu 2023.;</w:t>
      </w:r>
    </w:p>
    <w:p w14:paraId="5F7253D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w:t>
      </w:r>
      <w:r w:rsidRPr="00AA43E9">
        <w:rPr>
          <w:kern w:val="2"/>
          <w14:ligatures w14:val="standardContextual"/>
        </w:rPr>
        <w:tab/>
        <w:t xml:space="preserve">nalaže svojoj predsjednici da ovu Odluku proslijedi izvršnom direktoru Agencije za europsku graničnu i obalnu stražu,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400664BF" w14:textId="77777777" w:rsidR="00AA43E9" w:rsidRPr="00AA43E9" w:rsidRDefault="00AA43E9" w:rsidP="00AA43E9">
      <w:pPr>
        <w:widowControl/>
        <w:jc w:val="both"/>
        <w:rPr>
          <w:rFonts w:eastAsia="Aptos"/>
          <w:kern w:val="2"/>
          <w:szCs w:val="24"/>
          <w:lang w:eastAsia="en-US"/>
          <w14:ligatures w14:val="standardContextual"/>
        </w:rPr>
        <w:sectPr w:rsidR="00AA43E9" w:rsidRPr="00AA43E9" w:rsidSect="00AA43E9">
          <w:footnotePr>
            <w:numRestart w:val="eachSect"/>
          </w:footnotePr>
          <w:endnotePr>
            <w:numFmt w:val="decimal"/>
          </w:endnotePr>
          <w:pgSz w:w="11906" w:h="16838"/>
          <w:pgMar w:top="1440" w:right="1440" w:bottom="1440" w:left="1440" w:header="708" w:footer="708" w:gutter="0"/>
          <w:cols w:space="708"/>
          <w:docGrid w:linePitch="360"/>
        </w:sectPr>
      </w:pPr>
    </w:p>
    <w:p w14:paraId="5053DBD6" w14:textId="77777777" w:rsidR="00AA43E9" w:rsidRPr="00AA43E9" w:rsidRDefault="00AA43E9" w:rsidP="008C189B">
      <w:pPr>
        <w:pStyle w:val="ATHeading3"/>
      </w:pPr>
      <w:r w:rsidRPr="00AA43E9">
        <w:lastRenderedPageBreak/>
        <w:t>67. Rezolucija Europskog parlamenta od 7. svibnja 2025. s primjedbama koje su sastavni dio odluka o razrješnici za izvršenje proračuna agencija Europske unije za financijsku godinu 2023. (2024/2030(DEC))</w:t>
      </w:r>
    </w:p>
    <w:p w14:paraId="3C258286" w14:textId="037B2C7D" w:rsidR="00AA43E9" w:rsidRPr="00AA43E9" w:rsidRDefault="008C189B" w:rsidP="00AA43E9">
      <w:pPr>
        <w:spacing w:before="480" w:after="240"/>
        <w:rPr>
          <w:iCs/>
          <w:kern w:val="2"/>
          <w14:ligatures w14:val="standardContextual"/>
        </w:rPr>
      </w:pPr>
      <w:r>
        <w:rPr>
          <w:i/>
          <w:kern w:val="2"/>
          <w14:ligatures w14:val="standardContextual"/>
        </w:rPr>
        <w:t>E</w:t>
      </w:r>
      <w:r w:rsidRPr="00AA43E9">
        <w:rPr>
          <w:i/>
          <w:kern w:val="2"/>
          <w14:ligatures w14:val="standardContextual"/>
        </w:rPr>
        <w:t>uropski parlament</w:t>
      </w:r>
      <w:r w:rsidR="00AA43E9" w:rsidRPr="00AA43E9">
        <w:rPr>
          <w:iCs/>
          <w:kern w:val="2"/>
          <w14:ligatures w14:val="standardContextual"/>
        </w:rPr>
        <w:t>,</w:t>
      </w:r>
    </w:p>
    <w:p w14:paraId="060D2A19" w14:textId="1EB07B64"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suradnju energetskih regulatora za financijsku godinu 2023.,</w:t>
      </w:r>
    </w:p>
    <w:p w14:paraId="4214A546" w14:textId="688057AD"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za potporu BEREC-u za financijsku godinu 2023.,</w:t>
      </w:r>
    </w:p>
    <w:p w14:paraId="2D153E01" w14:textId="644C91C0"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Prevoditeljskog centra za tijela Europske unije za financijsku godinu 2023.,</w:t>
      </w:r>
    </w:p>
    <w:p w14:paraId="22F88275" w14:textId="747915F7"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centra za razvoj strukovnog osposobljavanja za financijsku godinu 2023.,</w:t>
      </w:r>
    </w:p>
    <w:p w14:paraId="32B19108" w14:textId="5F69AF5B"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osposobljavanje u području izvršavanja zakonodavstva za financijsku godinu 2023.,</w:t>
      </w:r>
    </w:p>
    <w:p w14:paraId="6115A12B" w14:textId="1F501CB3"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sigurnost zračnog prometa za financijsku godinu 2023.,</w:t>
      </w:r>
    </w:p>
    <w:p w14:paraId="15D4D07B" w14:textId="79612833"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nadzornog tijela za bankarstvo za financijsku godinu 2023.,</w:t>
      </w:r>
    </w:p>
    <w:p w14:paraId="204EBAB4" w14:textId="28DE75FD"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centra za sprečavanje i kontrolu bolesti za financijsku godinu 2023.,</w:t>
      </w:r>
    </w:p>
    <w:p w14:paraId="075D51D4" w14:textId="603D4073"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kemikalije za financijsku godinu 2023.,</w:t>
      </w:r>
    </w:p>
    <w:p w14:paraId="2218DB9A" w14:textId="6F7B1764"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okoliš za financijsku godinu 2023.,</w:t>
      </w:r>
    </w:p>
    <w:p w14:paraId="2EAD7585" w14:textId="46D83521"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kontrolu ribarstva za financijsku godinu 2023.,</w:t>
      </w:r>
    </w:p>
    <w:p w14:paraId="4F82293C" w14:textId="086C8934"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sigurnost hrane za financijsku godinu 2023.,</w:t>
      </w:r>
    </w:p>
    <w:p w14:paraId="4F74CC4C" w14:textId="1A8C036F"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instituta za ravnopravnost spolova za financijsku godinu 2023.,</w:t>
      </w:r>
    </w:p>
    <w:p w14:paraId="4ECE4FDB" w14:textId="56447010"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nadzornog tijela za osiguranje i strukovno mirovinsko osiguranje za financijsku godinu 2023.,</w:t>
      </w:r>
    </w:p>
    <w:p w14:paraId="5BDA7300" w14:textId="681705BF"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svoju Odluku o razrješnici za izvršenje proračuna Europskog instituta </w:t>
      </w:r>
      <w:r w:rsidR="00AA43E9" w:rsidRPr="00AA43E9">
        <w:rPr>
          <w:kern w:val="2"/>
          <w14:ligatures w14:val="standardContextual"/>
        </w:rPr>
        <w:lastRenderedPageBreak/>
        <w:t>za inovacije i tehnologiju za financijsku godinu 2023.,</w:t>
      </w:r>
    </w:p>
    <w:p w14:paraId="667ABD29" w14:textId="28232A35"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nadzornog tijela za rad za financijsku godinu 2023.,</w:t>
      </w:r>
    </w:p>
    <w:p w14:paraId="0DB7B8E5" w14:textId="69276A3A"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lijekove za financijsku godinu 2023.,</w:t>
      </w:r>
    </w:p>
    <w:p w14:paraId="5C3CEB5A" w14:textId="5BFF3880"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centra za praćenje droga i ovisnosti o drogama za financijsku godinu 2023.,</w:t>
      </w:r>
    </w:p>
    <w:p w14:paraId="281DC472" w14:textId="7BB14DB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pomorsku sigurnost za financijsku godinu 2023.,</w:t>
      </w:r>
    </w:p>
    <w:p w14:paraId="190620B5" w14:textId="663E362D"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svoju Odluku o razrješnici za izvršenje proračuna Agencije Europske unije za </w:t>
      </w:r>
      <w:proofErr w:type="spellStart"/>
      <w:r w:rsidR="00AA43E9" w:rsidRPr="00AA43E9">
        <w:rPr>
          <w:kern w:val="2"/>
          <w14:ligatures w14:val="standardContextual"/>
        </w:rPr>
        <w:t>kibersigurnost</w:t>
      </w:r>
      <w:proofErr w:type="spellEnd"/>
      <w:r w:rsidR="00AA43E9" w:rsidRPr="00AA43E9">
        <w:rPr>
          <w:kern w:val="2"/>
          <w14:ligatures w14:val="standardContextual"/>
        </w:rPr>
        <w:t xml:space="preserve"> za financijsku godinu 2023.,</w:t>
      </w:r>
    </w:p>
    <w:p w14:paraId="1B218AAF" w14:textId="36D6B72E"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željeznice za financijsku godinu 2023.,</w:t>
      </w:r>
    </w:p>
    <w:p w14:paraId="70D227A0" w14:textId="65382B01"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svoju Odluku o razrješnici za izvršenje proračuna Agencije za opskrbu </w:t>
      </w:r>
      <w:proofErr w:type="spellStart"/>
      <w:r w:rsidR="00AA43E9" w:rsidRPr="00AA43E9">
        <w:rPr>
          <w:kern w:val="2"/>
          <w14:ligatures w14:val="standardContextual"/>
        </w:rPr>
        <w:t>Euratoma</w:t>
      </w:r>
      <w:proofErr w:type="spellEnd"/>
      <w:r w:rsidR="00AA43E9" w:rsidRPr="00AA43E9">
        <w:rPr>
          <w:kern w:val="2"/>
          <w14:ligatures w14:val="standardContextual"/>
        </w:rPr>
        <w:t xml:space="preserve"> za financijsku godinu 2023.,</w:t>
      </w:r>
    </w:p>
    <w:p w14:paraId="49470CFA" w14:textId="41B8AFAC"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Europskog nadzornog tijela za vrijednosne papire i tržišta kapitala za financijsku godinu 2023.,</w:t>
      </w:r>
    </w:p>
    <w:p w14:paraId="45C9A35E" w14:textId="12EDA3FC"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zaklade za osposobljavanje za financijsku godinu 2023.,</w:t>
      </w:r>
    </w:p>
    <w:p w14:paraId="638D311A" w14:textId="1CBCD2BF"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azil za financijsku godinu 2023.,</w:t>
      </w:r>
    </w:p>
    <w:p w14:paraId="3AA19820" w14:textId="34BB9E83"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operativno upravljanje opsežnim informacijskim sustavima u području slobode, sigurnosti i pravde za financijsku godinu 2023.,</w:t>
      </w:r>
    </w:p>
    <w:p w14:paraId="6455C9C2" w14:textId="03254BC5"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agencije za sigurnost i zdravlje na radu za financijsku godinu 2023.,</w:t>
      </w:r>
    </w:p>
    <w:p w14:paraId="4A29F1EA" w14:textId="100DF965"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Europske zaklade za poboljšanje životnih i radnih uvjeta za financijsku godinu 2023.,</w:t>
      </w:r>
    </w:p>
    <w:p w14:paraId="46328110" w14:textId="76680829"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suradnju u kaznenom pravosuđu za financijsku godinu 2023.,</w:t>
      </w:r>
    </w:p>
    <w:p w14:paraId="1A8E2199" w14:textId="1DF90CAD"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suradnju tijela za izvršavanje zakonodavstva za financijsku godinu 2023.,</w:t>
      </w:r>
    </w:p>
    <w:p w14:paraId="59ABBBCE" w14:textId="79B7DF28"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Europske unije za svemirski program za financijsku godinu 2023.,</w:t>
      </w:r>
    </w:p>
    <w:p w14:paraId="2C50A3C8" w14:textId="071CDF8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 xml:space="preserve">uzimajući u obzir svoju Odluku o razrješnici za izvršenje proračuna Agencije Europske </w:t>
      </w:r>
      <w:r w:rsidR="00AA43E9" w:rsidRPr="00AA43E9">
        <w:rPr>
          <w:kern w:val="2"/>
          <w14:ligatures w14:val="standardContextual"/>
        </w:rPr>
        <w:lastRenderedPageBreak/>
        <w:t>unije za temeljna prava za financijsku godinu 2023.,</w:t>
      </w:r>
    </w:p>
    <w:p w14:paraId="2CA7F03F" w14:textId="4DC48486"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svoju Odluku o razrješnici za izvršenje proračuna Agencije za europsku graničnu i obalnu stražu za financijsku godinu 2023.,</w:t>
      </w:r>
    </w:p>
    <w:p w14:paraId="41B86A64" w14:textId="533C5CE4"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članak 102. Poslovnika i Prilog V. Poslovniku,</w:t>
      </w:r>
    </w:p>
    <w:p w14:paraId="5AD65F6F" w14:textId="0E4DA194"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mišljenja Odbora za zapošljavanje i socijalna pitanja, Odbora za okoliš, klimu i sigurnost hrane, Odbora za promet i turizam, Odbora za ribarstvo, Odbora za kulturu i obrazovanje, Odbora za građanske slobode, pravosuđe i unutarnje poslove te Odbora za prava žena i rodnu ravnopravnost,</w:t>
      </w:r>
    </w:p>
    <w:p w14:paraId="6D180EBF" w14:textId="399117DF" w:rsidR="00AA43E9" w:rsidRPr="00AA43E9" w:rsidRDefault="008C189B" w:rsidP="00AA43E9">
      <w:pPr>
        <w:spacing w:after="240"/>
        <w:ind w:left="567" w:hanging="567"/>
        <w:rPr>
          <w:kern w:val="2"/>
          <w14:ligatures w14:val="standardContextual"/>
        </w:rPr>
      </w:pPr>
      <w:r w:rsidRPr="00863FBA">
        <w:t>–</w:t>
      </w:r>
      <w:r w:rsidR="00AA43E9" w:rsidRPr="00AA43E9">
        <w:rPr>
          <w:kern w:val="2"/>
          <w14:ligatures w14:val="standardContextual"/>
        </w:rPr>
        <w:tab/>
        <w:t>uzimajući u obzir izvješće Odbora za proračunski nadzor (A10-0065/2025),</w:t>
      </w:r>
    </w:p>
    <w:p w14:paraId="4EFAA508" w14:textId="7EA5392B" w:rsidR="00AA43E9" w:rsidRPr="00AA43E9" w:rsidRDefault="00AA43E9" w:rsidP="00AA43E9">
      <w:pPr>
        <w:spacing w:after="240"/>
        <w:ind w:left="567" w:hanging="567"/>
        <w:rPr>
          <w:kern w:val="2"/>
          <w14:ligatures w14:val="standardContextual"/>
        </w:rPr>
      </w:pPr>
      <w:r w:rsidRPr="00AA43E9">
        <w:rPr>
          <w:kern w:val="2"/>
          <w14:ligatures w14:val="standardContextual"/>
        </w:rPr>
        <w:t>A.</w:t>
      </w:r>
      <w:r w:rsidRPr="00AA43E9">
        <w:rPr>
          <w:kern w:val="2"/>
          <w14:ligatures w14:val="standardContextual"/>
        </w:rPr>
        <w:tab/>
        <w:t>budući da su agencije EU-a</w:t>
      </w:r>
      <w:r w:rsidRPr="00AA43E9">
        <w:rPr>
          <w:b/>
          <w:kern w:val="2"/>
          <w:vertAlign w:val="superscript"/>
          <w14:ligatures w14:val="standardContextual"/>
        </w:rPr>
        <w:footnoteReference w:id="399"/>
      </w:r>
      <w:r w:rsidRPr="00AA43E9">
        <w:rPr>
          <w:kern w:val="2"/>
          <w14:ligatures w14:val="standardContextual"/>
        </w:rPr>
        <w:t xml:space="preserve"> zasebni pravni subjekti osnovani radi obavljanja posebnih tehničkih, znanstvenih ili upravljačkih zadaća kojima se institucijama Unije pomaže u osmišljanju i provedbi politika; budući da su smještene u različitim državama članicama i imaju znatan utjecaj u područjima koja imaju ključnu važnost za svakodnevni život europskih građana, kao što su zdravlje, sigurnost, sloboda i pravosuđe;</w:t>
      </w:r>
    </w:p>
    <w:p w14:paraId="0099F043" w14:textId="238F2D6B" w:rsidR="00AA43E9" w:rsidRPr="00AA43E9" w:rsidRDefault="00AA43E9" w:rsidP="00AA43E9">
      <w:pPr>
        <w:spacing w:after="240"/>
        <w:ind w:left="567" w:hanging="567"/>
        <w:rPr>
          <w:kern w:val="2"/>
          <w14:ligatures w14:val="standardContextual"/>
        </w:rPr>
      </w:pPr>
      <w:r w:rsidRPr="00AA43E9">
        <w:rPr>
          <w:kern w:val="2"/>
          <w14:ligatures w14:val="standardContextual"/>
        </w:rPr>
        <w:t>B.</w:t>
      </w:r>
      <w:r w:rsidRPr="00AA43E9">
        <w:rPr>
          <w:kern w:val="2"/>
          <w14:ligatures w14:val="standardContextual"/>
        </w:rPr>
        <w:tab/>
        <w:t>budući da ova Rezolucija za svako tijelo u smislu članka 70. Uredbe (EU, Euratom) 2024/2509 Europskog parlamenta i Vijeća</w:t>
      </w:r>
      <w:r w:rsidRPr="00AA43E9">
        <w:rPr>
          <w:b/>
          <w:kern w:val="2"/>
          <w:vertAlign w:val="superscript"/>
          <w14:ligatures w14:val="standardContextual"/>
        </w:rPr>
        <w:footnoteReference w:id="400"/>
      </w:r>
      <w:r w:rsidRPr="00AA43E9">
        <w:rPr>
          <w:kern w:val="2"/>
          <w14:ligatures w14:val="standardContextual"/>
        </w:rPr>
        <w:t xml:space="preserve">, i za Agenciju za opskrbu </w:t>
      </w:r>
      <w:proofErr w:type="spellStart"/>
      <w:r w:rsidRPr="00AA43E9">
        <w:rPr>
          <w:kern w:val="2"/>
          <w14:ligatures w14:val="standardContextual"/>
        </w:rPr>
        <w:t>Euratoma</w:t>
      </w:r>
      <w:proofErr w:type="spellEnd"/>
      <w:r w:rsidRPr="00AA43E9">
        <w:rPr>
          <w:kern w:val="2"/>
          <w14:ligatures w14:val="standardContextual"/>
        </w:rPr>
        <w:t>, sadrži horizontalne primjedbe priložene odlukama o razrješnici u skladu s člankom 268. Uredbe (EU, Euratom) 2024/2509 i člankom 3. Priloga V. Poslovniku Parlamenta;</w:t>
      </w:r>
    </w:p>
    <w:p w14:paraId="2CA2F15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C.</w:t>
      </w:r>
      <w:r w:rsidRPr="00AA43E9">
        <w:rPr>
          <w:kern w:val="2"/>
          <w14:ligatures w14:val="standardContextual"/>
        </w:rPr>
        <w:tab/>
        <w:t xml:space="preserve">budući da bi se decentralizirane agencije Unije i Agencija za opskrbu </w:t>
      </w:r>
      <w:proofErr w:type="spellStart"/>
      <w:r w:rsidRPr="00AA43E9">
        <w:rPr>
          <w:kern w:val="2"/>
          <w14:ligatures w14:val="standardContextual"/>
        </w:rPr>
        <w:t>Euratoma</w:t>
      </w:r>
      <w:proofErr w:type="spellEnd"/>
      <w:r w:rsidRPr="00AA43E9">
        <w:rPr>
          <w:kern w:val="2"/>
          <w14:ligatures w14:val="standardContextual"/>
        </w:rPr>
        <w:t xml:space="preserve"> trebale usredotočiti na misije s jasnom europskom dodanom vrijednošću i da bi organizaciju takvih misija trebalo optimizirati kako bi se u najboljem interesu poreznih obveznika Unije izbjegla preklapanja;</w:t>
      </w:r>
    </w:p>
    <w:p w14:paraId="0211568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D.</w:t>
      </w:r>
      <w:r w:rsidRPr="00AA43E9">
        <w:rPr>
          <w:kern w:val="2"/>
          <w14:ligatures w14:val="standardContextual"/>
        </w:rPr>
        <w:tab/>
        <w:t>budući da tijelo nadležno za davanje razrješnice u kontekstu postupka davanja razrješnica nastoji istaknuti veliku važnost jačanja demokratskog legitimiteta institucija Unije; budući da to uključuje povećanje transparentnosti i odgovornosti, provedbu izrade proračuna na temelju uspješnosti i osiguravanje dobrog upravljanja ljudskim resursima;</w:t>
      </w:r>
    </w:p>
    <w:p w14:paraId="6E310F5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E.</w:t>
      </w:r>
      <w:r w:rsidRPr="00AA43E9">
        <w:rPr>
          <w:kern w:val="2"/>
          <w14:ligatures w14:val="standardContextual"/>
        </w:rPr>
        <w:tab/>
        <w:t>budući da se djelovanje Unije u području proračunskog nadzora zasniva na dvama načelima: s jedne strane osigurati pravilno i transparentno trošenje proračuna Unije, a s druge zaštititi financijske interese Unije te se boriti protiv prijevara;</w:t>
      </w:r>
    </w:p>
    <w:p w14:paraId="6B261E5C" w14:textId="46CE3305" w:rsidR="00AA43E9" w:rsidRPr="00AA43E9" w:rsidRDefault="00AA43E9" w:rsidP="00AA43E9">
      <w:pPr>
        <w:spacing w:after="240"/>
        <w:ind w:left="567" w:hanging="567"/>
        <w:rPr>
          <w:kern w:val="2"/>
          <w14:ligatures w14:val="standardContextual"/>
        </w:rPr>
      </w:pPr>
      <w:r w:rsidRPr="00AA43E9">
        <w:rPr>
          <w:kern w:val="2"/>
          <w14:ligatures w14:val="standardContextual"/>
        </w:rPr>
        <w:t>F.</w:t>
      </w:r>
      <w:r w:rsidRPr="00AA43E9">
        <w:rPr>
          <w:kern w:val="2"/>
          <w14:ligatures w14:val="standardContextual"/>
        </w:rPr>
        <w:tab/>
        <w:t>budući da su 2012. Europski parlament, Vijeće Europske unije i Europska komisija donijeli „Zajedničku izjavu” i sveobuhvatan skup vodećih načela nazvan „Zajednički pristup”</w:t>
      </w:r>
      <w:r w:rsidRPr="00AA43E9">
        <w:rPr>
          <w:rFonts w:eastAsia="Calibri"/>
          <w:b/>
          <w:kern w:val="2"/>
          <w:vertAlign w:val="superscript"/>
          <w14:ligatures w14:val="standardContextual"/>
        </w:rPr>
        <w:footnoteReference w:id="401"/>
      </w:r>
      <w:r w:rsidRPr="00AA43E9">
        <w:rPr>
          <w:kern w:val="2"/>
          <w14:ligatures w14:val="standardContextual"/>
        </w:rPr>
        <w:t xml:space="preserve">, kako bi agencije postale dosljednije, učinkovitije i odgovornije; budući da se </w:t>
      </w:r>
      <w:r w:rsidRPr="00AA43E9">
        <w:rPr>
          <w:kern w:val="2"/>
          <w14:ligatures w14:val="standardContextual"/>
        </w:rPr>
        <w:lastRenderedPageBreak/>
        <w:t>Komisija obvezala da će poduzeti daljnje mjere u vezi s tim sporazumom, prema potrebi u suradnji s agencijama;</w:t>
      </w:r>
    </w:p>
    <w:p w14:paraId="3067AC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G.</w:t>
      </w:r>
      <w:r w:rsidRPr="00AA43E9">
        <w:rPr>
          <w:kern w:val="2"/>
          <w14:ligatures w14:val="standardContextual"/>
        </w:rPr>
        <w:tab/>
        <w:t>budući da će institucije, uvažavajući pravno neobvezujuću prirodu Zajedničke izjave i zajedničkog pristupa u njezinu prilogu te ne dovodeći u pitanje ono što im se pripisuje u zakonodavnim i godišnjim proračunskim postupcima, uzeti u obzir taj zajednički pristup u kontekstu svih svojih budućih odluka koje se odnose na decentralizirane agencije Unije, nakon analize pojedinačnih slučajeva;</w:t>
      </w:r>
    </w:p>
    <w:p w14:paraId="1461E388" w14:textId="77777777" w:rsidR="00AA43E9" w:rsidRPr="00AA43E9" w:rsidRDefault="00AA43E9" w:rsidP="00AA43E9">
      <w:pPr>
        <w:spacing w:after="240"/>
        <w:ind w:left="567" w:hanging="567"/>
        <w:rPr>
          <w:b/>
          <w:iCs/>
          <w:kern w:val="2"/>
          <w:szCs w:val="24"/>
          <w14:ligatures w14:val="standardContextual"/>
        </w:rPr>
      </w:pPr>
      <w:r w:rsidRPr="00AA43E9">
        <w:rPr>
          <w:b/>
          <w:iCs/>
          <w:kern w:val="2"/>
          <w14:ligatures w14:val="standardContextual"/>
        </w:rPr>
        <w:t>Općenito</w:t>
      </w:r>
    </w:p>
    <w:p w14:paraId="0A628D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w:t>
      </w:r>
      <w:r w:rsidRPr="00AA43E9">
        <w:rPr>
          <w:kern w:val="2"/>
          <w14:ligatures w14:val="standardContextual"/>
        </w:rPr>
        <w:tab/>
        <w:t>napominje da postoje tri vrste agencija EU-a: decentralizirane agencije, izvršne agencije i druga tijela;</w:t>
      </w:r>
    </w:p>
    <w:p w14:paraId="01D3CC52"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2.</w:t>
      </w:r>
      <w:r w:rsidRPr="00AA43E9">
        <w:rPr>
          <w:kern w:val="2"/>
          <w14:ligatures w14:val="standardContextual"/>
        </w:rPr>
        <w:tab/>
        <w:t xml:space="preserve">podsjeća da su ovom Rezolucijom obuhvaćene 31 od 33 decentralizirane agencije i dva od preostala četiri tijela (Europski institut za inovacije i tehnologiju (EIT) i Agencija za opskrbu </w:t>
      </w:r>
      <w:proofErr w:type="spellStart"/>
      <w:r w:rsidRPr="00AA43E9">
        <w:rPr>
          <w:kern w:val="2"/>
          <w14:ligatures w14:val="standardContextual"/>
        </w:rPr>
        <w:t>Euratoma</w:t>
      </w:r>
      <w:proofErr w:type="spellEnd"/>
      <w:r w:rsidRPr="00AA43E9">
        <w:rPr>
          <w:kern w:val="2"/>
          <w14:ligatures w14:val="standardContextual"/>
        </w:rPr>
        <w:t xml:space="preserve"> (ESA)); ističe da postupcima proračuna i davanja razrješnice za dvije decentralizirane agencije koje se u potpunosti financiraju vlastitim sredstvima, odnosno Ured Zajednice za biljne sorte (CPVO) i Ured Europske unije za intelektualno vlasništvo (EUIPO), upravljaju Upravno vijeće CPVO-a odnosno Odbor za proračun EUIPO-a te da oni nisu dio ove rezolucije; napominje da je, slično tome, godišnji proračunski postupak i postupak davanja razrješnice Jedinstvenog sanacijskog odbora u isključivoj nadležnosti njegova Odbora; naglašava potrebu za osiguravanjem učinkovite uporabe europskih sredstava; u skladu s Revizorskim sudom poziva na temeljitu evaluaciju decentraliziranih agencija u cilju procjene mogućih reformi, kako bi se uklonila redundancija, poboljšala učinkovitost i postigla ušteda troškova; podsjeća na važnost jačanja upravljačkih struktura, istodobno osiguravajući da agencije ostanu učinkovite i spremne odgovoriti na potrebe koje se mijenjaju;</w:t>
      </w:r>
    </w:p>
    <w:p w14:paraId="3552173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w:t>
      </w:r>
      <w:r w:rsidRPr="00AA43E9">
        <w:rPr>
          <w:kern w:val="2"/>
          <w14:ligatures w14:val="standardContextual"/>
        </w:rPr>
        <w:tab/>
        <w:t>ističe važnost postupka davanja razrješnice jer on nije samo obveza koja se temelji na ugovoru, već se njime također promiče i nastoji osigurati transparentnost, odgovornost i otvoreni dijalog o financijama Unije; napominje da se njime agencijama također daje mogućnost da predstave svoj rad i pokažu svoju dodanu vrijednost za Uniju i njezine građane; nadalje naglašava da agencije pružaju odgovore na upitnike koje šalje Parlament i da ih tijelo nadležno za davanje razrješnice poziva na javna saslušanja te da se time građanima, poduzećima, nevladinim organizacijama i drugim dionicima pruža mogućnost da prate sastanke i da se uvjere da su prihodi i rashodi u skladu s načelima dobrog financijskog upravljanja;</w:t>
      </w:r>
    </w:p>
    <w:p w14:paraId="29527A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w:t>
      </w:r>
      <w:r w:rsidRPr="00AA43E9">
        <w:rPr>
          <w:kern w:val="2"/>
          <w14:ligatures w14:val="standardContextual"/>
        </w:rPr>
        <w:tab/>
        <w:t>smatra da bi koncept davanja razrješnice od strane unutarnjeg tijela nadležnog za davanje razrješnice, kao što je slučaj s EUIPO-om, CPVO-om i Jedinstvenim sanacijskim odborom, mogao dovesti do sukoba interesa; smatra da se razrješnicom koju daje Parlament izbjegava mogućnost sukoba interesa i doprinosi transparentnosti i slici agencija u javnosti;</w:t>
      </w:r>
    </w:p>
    <w:p w14:paraId="5C40833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w:t>
      </w:r>
      <w:r w:rsidRPr="00AA43E9">
        <w:rPr>
          <w:kern w:val="2"/>
          <w14:ligatures w14:val="standardContextual"/>
        </w:rPr>
        <w:tab/>
        <w:t>smatra da bi se, bez obzira na pravni okvir, ista načela odgovornosti i transparentnosti trebala primjenjivati na sva tijela povezana s EU-om;</w:t>
      </w:r>
    </w:p>
    <w:p w14:paraId="31F6DCC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w:t>
      </w:r>
      <w:r w:rsidRPr="00AA43E9">
        <w:rPr>
          <w:kern w:val="2"/>
          <w14:ligatures w14:val="standardContextual"/>
        </w:rPr>
        <w:tab/>
        <w:t xml:space="preserve">podsjeća na točku 58. Zajedničkog pristupa o agencijama koje se u potpunosti financiraju vlastitim sredstvima kako bi se zajamčio javni nadzor Parlamenta u kojoj se navodi: „Trebalo bi istražiti mogućnosti za osiguravanje demokratske odgovornosti za </w:t>
      </w:r>
      <w:r w:rsidRPr="00AA43E9">
        <w:rPr>
          <w:kern w:val="2"/>
          <w14:ligatures w14:val="standardContextual"/>
        </w:rPr>
        <w:lastRenderedPageBreak/>
        <w:t>agencije koje se u potpunosti financiraju vlastitim sredstvima (tj. koje financiraju njihovi klijenti) jer su one tijela Unije zadužena za provedbu politika EU-a, ali ne podliježu davanju razrješnice u smislu UFEU-a. Jedna od mogućnosti mogla bi biti da predmetne agencije Europskom parlamentu, Vijeću i Komisiji podnesu godišnje izvješće o izvršenju svojeg proračuna i razmotre zahtjeve ili preporuke koje izdaju Parlament i Vijeće.”;</w:t>
      </w:r>
    </w:p>
    <w:p w14:paraId="667F90A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w:t>
      </w:r>
      <w:r w:rsidRPr="00AA43E9">
        <w:rPr>
          <w:kern w:val="2"/>
          <w14:ligatures w14:val="standardContextual"/>
        </w:rPr>
        <w:tab/>
        <w:t>ističe da je, iako je cilj osnivanja ili širenja agencija EU-a jačanje kapaciteta Unije, ključno osigurati da se taj postupak vodi temeljitim evaluacijama, procjenama učinka i jasnim dokazom dodane vrijednosti; kako bi se mogle izvući pouke i, prema potrebi, razmotriti ukidanje njihova mandata; ističe da se tim pristupom ne bi samo osiguralo bolje uređenje već bi se i poboljšala učinkovitost, odgovornost, transparentnost i usklađenost institucijskog okružja Unije;</w:t>
      </w:r>
    </w:p>
    <w:p w14:paraId="46DE68BC" w14:textId="6F8815CA" w:rsidR="00AA43E9" w:rsidRPr="00AA43E9" w:rsidRDefault="00AA43E9" w:rsidP="00AA43E9">
      <w:pPr>
        <w:widowControl/>
        <w:spacing w:after="240"/>
        <w:ind w:left="567" w:hanging="567"/>
        <w:rPr>
          <w:kern w:val="2"/>
          <w:szCs w:val="24"/>
          <w14:ligatures w14:val="standardContextual"/>
        </w:rPr>
      </w:pPr>
      <w:r w:rsidRPr="00AA43E9">
        <w:rPr>
          <w:kern w:val="2"/>
          <w14:ligatures w14:val="standardContextual"/>
        </w:rPr>
        <w:t>8.</w:t>
      </w:r>
      <w:r w:rsidRPr="00AA43E9">
        <w:rPr>
          <w:kern w:val="2"/>
          <w14:ligatures w14:val="standardContextual"/>
        </w:rPr>
        <w:tab/>
        <w:t xml:space="preserve">podsjeća da se u točki 60. Zajedničkog pristupa navodi da bi se svaka agencija EU-a trebala evaluirati svakih pet godina; poziva Komisiju da istraži dodatne sinergije i konsolidaciju aktivnosti te moguće spajanje agencija koje obavljaju komplementarne aktivnosti kako bi se osigurala troškovna učinkovitost i uskladile funkcije agencija, uključujući moguće revizije mandata kod kojih se utvrde </w:t>
      </w:r>
      <w:proofErr w:type="spellStart"/>
      <w:r w:rsidRPr="00AA43E9">
        <w:rPr>
          <w:kern w:val="2"/>
          <w14:ligatures w14:val="standardContextual"/>
        </w:rPr>
        <w:t>neučikovitosti</w:t>
      </w:r>
      <w:proofErr w:type="spellEnd"/>
      <w:r w:rsidRPr="00AA43E9">
        <w:rPr>
          <w:kern w:val="2"/>
          <w14:ligatures w14:val="standardContextual"/>
        </w:rPr>
        <w:t xml:space="preserve"> ili preklapanja; potiče primjenu klauzule o vremenskom ograničenju postojanja ili klauzule o preispitivanju, kad je to potrebno, kako bi se zadržala učinkovitost i osigurala optimalna uporaba resursa; smatra da je proračunska učinkovitost ključna za funkcioniranje agencija; ponavlja preporuku Revizorskog suda iz tematskog izvješća 22/2020</w:t>
      </w:r>
      <w:r w:rsidRPr="00AA43E9">
        <w:rPr>
          <w:b/>
          <w:kern w:val="2"/>
          <w:szCs w:val="24"/>
          <w:vertAlign w:val="superscript"/>
          <w14:ligatures w14:val="standardContextual"/>
        </w:rPr>
        <w:footnoteReference w:id="402"/>
      </w:r>
      <w:r w:rsidRPr="00AA43E9">
        <w:rPr>
          <w:kern w:val="2"/>
          <w14:ligatures w14:val="standardContextual"/>
        </w:rPr>
        <w:t xml:space="preserve"> u kojem se Komisiji savjetuje da poveća upotrebu međusektorskih evaluacija agencija u kontekstu njezinih provjera primjerenosti u različitim područjima politike;</w:t>
      </w:r>
    </w:p>
    <w:p w14:paraId="5D64C1FF"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9.</w:t>
      </w:r>
      <w:r w:rsidRPr="00AA43E9">
        <w:rPr>
          <w:kern w:val="2"/>
          <w14:ligatures w14:val="standardContextual"/>
        </w:rPr>
        <w:tab/>
        <w:t>ponavlja važnost transparentnosti, odgovornosti i izrade proračuna na temelju uspješnosti u svim agencijama EU-a, uz osiguravanje učinkovitog financijskog upravljanja; ističe da se agencije moraju strogo pridržavati svojih mandata; potvrđuje da bi određenim agencijama mogao biti potreban osnaženi mandat; poziva na poboljšanje mehanizama upravljanja kako bi se izbjeglo udvostručivanje nadležnosti i unaprijedila operativna učinkovitost;</w:t>
      </w:r>
    </w:p>
    <w:p w14:paraId="7D733B5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w:t>
      </w:r>
      <w:r w:rsidRPr="00AA43E9">
        <w:rPr>
          <w:kern w:val="2"/>
          <w14:ligatures w14:val="standardContextual"/>
        </w:rPr>
        <w:tab/>
        <w:t>ističe potrebu za dostatnim sredstvima kako bi se osiguralo da agencije mogu ispuniti nove zadaće koje se od njih zahtijevaju novim zakonodavstvom;</w:t>
      </w:r>
    </w:p>
    <w:p w14:paraId="48B83B1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11.</w:t>
      </w:r>
      <w:r w:rsidRPr="00AA43E9">
        <w:rPr>
          <w:kern w:val="2"/>
          <w14:ligatures w14:val="standardContextual"/>
        </w:rPr>
        <w:tab/>
        <w:t>ističe da je važno da agencije povećaju svoju prisutnost u medijima, na internetu i na društvenim mrežama kako bi se povećala osviještenost javnosti o njihovu radu;</w:t>
      </w:r>
    </w:p>
    <w:p w14:paraId="5EBED982"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12.</w:t>
      </w:r>
      <w:r w:rsidRPr="00AA43E9">
        <w:rPr>
          <w:kern w:val="2"/>
          <w14:ligatures w14:val="standardContextual"/>
        </w:rPr>
        <w:tab/>
        <w:t>ističe sve veću zabunu koja proizlazi iz brojnih slučajeva u kojima su nazivi i pokrate agencija istovjetni ili gotovo identični; poziva odnosna tijela da istraže načine za poboljšanje te situacije;</w:t>
      </w:r>
    </w:p>
    <w:p w14:paraId="5AAB445D" w14:textId="77777777" w:rsidR="00AA43E9" w:rsidRPr="00AA43E9" w:rsidRDefault="00AA43E9" w:rsidP="00AA43E9">
      <w:pPr>
        <w:spacing w:after="240"/>
        <w:ind w:left="567" w:hanging="567"/>
        <w:rPr>
          <w:b/>
          <w:iCs/>
          <w:kern w:val="2"/>
          <w:szCs w:val="24"/>
          <w14:ligatures w14:val="standardContextual"/>
        </w:rPr>
      </w:pPr>
      <w:r w:rsidRPr="00AA43E9">
        <w:rPr>
          <w:b/>
          <w:iCs/>
          <w:kern w:val="2"/>
          <w14:ligatures w14:val="standardContextual"/>
        </w:rPr>
        <w:t>Upravljanje</w:t>
      </w:r>
    </w:p>
    <w:p w14:paraId="776A9274" w14:textId="52B8D174"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13.</w:t>
      </w:r>
      <w:r w:rsidRPr="00AA43E9">
        <w:rPr>
          <w:kern w:val="2"/>
          <w14:ligatures w14:val="standardContextual"/>
        </w:rPr>
        <w:tab/>
        <w:t xml:space="preserve">podsjeća da se u zajedničkom pristupu daje pregled upravljačke strukture </w:t>
      </w:r>
      <w:r w:rsidRPr="00AA43E9">
        <w:rPr>
          <w:kern w:val="2"/>
          <w14:ligatures w14:val="standardContextual"/>
        </w:rPr>
        <w:lastRenderedPageBreak/>
        <w:t>decentraliziranih agencija</w:t>
      </w:r>
      <w:r w:rsidRPr="00AA43E9">
        <w:rPr>
          <w:kern w:val="2"/>
          <w:szCs w:val="24"/>
          <w:vertAlign w:val="superscript"/>
          <w14:ligatures w14:val="standardContextual"/>
        </w:rPr>
        <w:footnoteReference w:id="403"/>
      </w:r>
      <w:r w:rsidRPr="00AA43E9">
        <w:rPr>
          <w:kern w:val="2"/>
          <w14:ligatures w14:val="standardContextual"/>
        </w:rPr>
        <w:t>; priznaje napredak koji su agencije EU-a postigle u poboljšanju financijskog upravljanja i upravljačkih struktura, a istodobno uviđa da postoji potreba za daljnjim poboljšanjima u području učinkovitosti i odgovornosti; podsjeća da upravni odbori svih decentraliziranih agencija imaju ključnu ulogu u osiguravanju dobrog upravljanja i odgovornosti; podsjeća da se u zajedničkom pristupu predlaže da bi se upravni odbor trebao sastojati od po jednog predstavnika svake države članice, dvaju predstavnika Komisije, jednog člana kojeg imenuje Parlament (prema potrebi) i „pravedno ograničenog” broja predstavnika dionika (prema potrebi), osiguravajući pritom uključivanje raznolikog raspona interesa i transparentan postupak njihova odabira;</w:t>
      </w:r>
    </w:p>
    <w:p w14:paraId="4E8150D8" w14:textId="499A915A" w:rsidR="00AA43E9" w:rsidRPr="00AA43E9" w:rsidRDefault="00AA43E9" w:rsidP="00AA43E9">
      <w:pPr>
        <w:spacing w:after="240"/>
        <w:ind w:left="567" w:hanging="567"/>
        <w:rPr>
          <w:kern w:val="2"/>
          <w14:ligatures w14:val="standardContextual"/>
        </w:rPr>
      </w:pPr>
      <w:r w:rsidRPr="00AA43E9">
        <w:rPr>
          <w:kern w:val="2"/>
          <w14:ligatures w14:val="standardContextual"/>
        </w:rPr>
        <w:t>14.</w:t>
      </w:r>
      <w:r w:rsidRPr="00AA43E9">
        <w:rPr>
          <w:kern w:val="2"/>
          <w14:ligatures w14:val="standardContextual"/>
        </w:rPr>
        <w:tab/>
        <w:t>primjećuje da je upravljačka struktura decentraliziranih agencija općenito prilično slična za sve agencije; napominje da sve one imaju upravni odbor i direktora; napominje da devet agencija ima izvršni odbor (</w:t>
      </w:r>
      <w:proofErr w:type="spellStart"/>
      <w:r w:rsidRPr="00AA43E9">
        <w:rPr>
          <w:kern w:val="2"/>
          <w14:ligatures w14:val="standardContextual"/>
        </w:rPr>
        <w:t>Cedefop</w:t>
      </w:r>
      <w:proofErr w:type="spellEnd"/>
      <w:r w:rsidRPr="00AA43E9">
        <w:rPr>
          <w:kern w:val="2"/>
          <w14:ligatures w14:val="standardContextual"/>
        </w:rPr>
        <w:t xml:space="preserve">, EUDA, ENISA, ERA, EU-OSHA, </w:t>
      </w:r>
      <w:proofErr w:type="spellStart"/>
      <w:r w:rsidRPr="00AA43E9">
        <w:rPr>
          <w:kern w:val="2"/>
          <w14:ligatures w14:val="standardContextual"/>
        </w:rPr>
        <w:t>Eurofound</w:t>
      </w:r>
      <w:proofErr w:type="spellEnd"/>
      <w:r w:rsidRPr="00AA43E9">
        <w:rPr>
          <w:kern w:val="2"/>
          <w14:ligatures w14:val="standardContextual"/>
        </w:rPr>
        <w:t xml:space="preserve">, </w:t>
      </w:r>
      <w:proofErr w:type="spellStart"/>
      <w:r w:rsidRPr="00AA43E9">
        <w:rPr>
          <w:kern w:val="2"/>
          <w14:ligatures w14:val="standardContextual"/>
        </w:rPr>
        <w:t>Eurojust</w:t>
      </w:r>
      <w:proofErr w:type="spellEnd"/>
      <w:r w:rsidRPr="00AA43E9">
        <w:rPr>
          <w:kern w:val="2"/>
          <w14:ligatures w14:val="standardContextual"/>
        </w:rPr>
        <w:t>, FRA, EIT)</w:t>
      </w:r>
      <w:r w:rsidRPr="00AA43E9">
        <w:rPr>
          <w:b/>
          <w:kern w:val="2"/>
          <w:vertAlign w:val="superscript"/>
          <w14:ligatures w14:val="standardContextual"/>
        </w:rPr>
        <w:footnoteReference w:id="404"/>
      </w:r>
      <w:r w:rsidRPr="00AA43E9">
        <w:rPr>
          <w:kern w:val="2"/>
          <w14:ligatures w14:val="standardContextual"/>
        </w:rPr>
        <w:t>, dok samo agencije povezane sa svemirskim programom Europske unije imaju odbor za sigurnosnu akreditaciju; nadalje napominje da su tri europska nadzorna tijela (Europsko nadzorno tijelo za bankarstvo (EBA), Europsko nadzorno tijelo za vrijednosne papire i tržišta kapitala (ESMA) i Europsko nadzorno tijelo za osiguranje i strukovno mirovinsko osiguranje (EIOPA)) i dvije agencije u klasteru jedinstvenog tržišta (Agencija Europske unije za suradnju energetskih regulatora (ACER) i Agencija za potporu BEREC-u (Ured BEREC-a)) osnovali Odbor regulatora ili Odbor nadzornih tijela;</w:t>
      </w:r>
    </w:p>
    <w:p w14:paraId="52074D1A" w14:textId="17483EB6" w:rsidR="00AA43E9" w:rsidRPr="00AA43E9" w:rsidRDefault="00AA43E9" w:rsidP="00AA43E9">
      <w:pPr>
        <w:spacing w:after="240"/>
        <w:ind w:left="567" w:hanging="567"/>
        <w:rPr>
          <w:kern w:val="2"/>
          <w14:ligatures w14:val="standardContextual"/>
        </w:rPr>
      </w:pPr>
      <w:r w:rsidRPr="00AA43E9">
        <w:rPr>
          <w:kern w:val="2"/>
          <w14:ligatures w14:val="standardContextual"/>
        </w:rPr>
        <w:t>15.</w:t>
      </w:r>
      <w:r w:rsidRPr="00AA43E9">
        <w:rPr>
          <w:kern w:val="2"/>
          <w14:ligatures w14:val="standardContextual"/>
        </w:rPr>
        <w:tab/>
        <w:t xml:space="preserve">podsjeća da upravni odbori </w:t>
      </w:r>
      <w:proofErr w:type="spellStart"/>
      <w:r w:rsidRPr="00AA43E9">
        <w:rPr>
          <w:kern w:val="2"/>
          <w14:ligatures w14:val="standardContextual"/>
        </w:rPr>
        <w:t>Eurofounda</w:t>
      </w:r>
      <w:proofErr w:type="spellEnd"/>
      <w:r w:rsidRPr="00AA43E9">
        <w:rPr>
          <w:kern w:val="2"/>
          <w14:ligatures w14:val="standardContextual"/>
        </w:rPr>
        <w:t xml:space="preserve">, </w:t>
      </w:r>
      <w:proofErr w:type="spellStart"/>
      <w:r w:rsidRPr="00AA43E9">
        <w:rPr>
          <w:kern w:val="2"/>
          <w14:ligatures w14:val="standardContextual"/>
        </w:rPr>
        <w:t>Cedefopa</w:t>
      </w:r>
      <w:proofErr w:type="spellEnd"/>
      <w:r w:rsidRPr="00AA43E9">
        <w:rPr>
          <w:kern w:val="2"/>
          <w14:ligatures w14:val="standardContextual"/>
        </w:rPr>
        <w:t xml:space="preserve"> i EU-OSHA-e imaju trostranu strukturu; napominje da svaku državu članicu u svakom odboru predstavljaju vlada, poslodavac i član sindikata (ukupno 81 predstavnik); napominje da Europska komisija ima tri predstavnika i da postoji neovisni stručnjak (bez prava glasa) kojeg imenuje Parlament; podsjeća na manju veličinu Upravnog odbora ETF-a, koji uključuje 27 predstavnika država članica (bez socijalnih partnera), tri predstavnika Komisije (koji dijele jedan glas u Odboru), tri stručnjaka koje imenuje Parlament (u odnosu na jednog po tripartitnoj agenciji) i tri predstavnika partnerskih zemalja koje imenuje Komisija</w:t>
      </w:r>
      <w:r w:rsidRPr="00AA43E9">
        <w:rPr>
          <w:kern w:val="2"/>
          <w:vertAlign w:val="superscript"/>
          <w14:ligatures w14:val="standardContextual"/>
        </w:rPr>
        <w:footnoteReference w:id="405"/>
      </w:r>
      <w:r w:rsidRPr="00AA43E9">
        <w:rPr>
          <w:kern w:val="2"/>
          <w14:ligatures w14:val="standardContextual"/>
        </w:rPr>
        <w:t>;</w:t>
      </w:r>
    </w:p>
    <w:p w14:paraId="7D25C817"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16.</w:t>
      </w:r>
      <w:r w:rsidRPr="00AA43E9">
        <w:rPr>
          <w:kern w:val="2"/>
          <w14:ligatures w14:val="standardContextual"/>
        </w:rPr>
        <w:tab/>
        <w:t xml:space="preserve">prima na znanje zaključke evaluacije </w:t>
      </w:r>
      <w:proofErr w:type="spellStart"/>
      <w:r w:rsidRPr="00AA43E9">
        <w:rPr>
          <w:kern w:val="2"/>
          <w14:ligatures w14:val="standardContextual"/>
        </w:rPr>
        <w:t>Eurofounda</w:t>
      </w:r>
      <w:proofErr w:type="spellEnd"/>
      <w:r w:rsidRPr="00AA43E9">
        <w:rPr>
          <w:kern w:val="2"/>
          <w14:ligatures w14:val="standardContextual"/>
        </w:rPr>
        <w:t xml:space="preserve">, </w:t>
      </w:r>
      <w:proofErr w:type="spellStart"/>
      <w:r w:rsidRPr="00AA43E9">
        <w:rPr>
          <w:kern w:val="2"/>
          <w14:ligatures w14:val="standardContextual"/>
        </w:rPr>
        <w:t>Cedefopa</w:t>
      </w:r>
      <w:proofErr w:type="spellEnd"/>
      <w:r w:rsidRPr="00AA43E9">
        <w:rPr>
          <w:kern w:val="2"/>
          <w14:ligatures w14:val="standardContextual"/>
        </w:rPr>
        <w:t>, ETF-a i EU-OSHA-e o trostranoj upravljačkoj strukturi (</w:t>
      </w:r>
      <w:proofErr w:type="spellStart"/>
      <w:r w:rsidRPr="00AA43E9">
        <w:rPr>
          <w:kern w:val="2"/>
          <w14:ligatures w14:val="standardContextual"/>
        </w:rPr>
        <w:t>Eurofound</w:t>
      </w:r>
      <w:proofErr w:type="spellEnd"/>
      <w:r w:rsidRPr="00AA43E9">
        <w:rPr>
          <w:kern w:val="2"/>
          <w14:ligatures w14:val="standardContextual"/>
        </w:rPr>
        <w:t xml:space="preserve">, </w:t>
      </w:r>
      <w:proofErr w:type="spellStart"/>
      <w:r w:rsidRPr="00AA43E9">
        <w:rPr>
          <w:kern w:val="2"/>
          <w14:ligatures w14:val="standardContextual"/>
        </w:rPr>
        <w:t>Cedefop</w:t>
      </w:r>
      <w:proofErr w:type="spellEnd"/>
      <w:r w:rsidRPr="00AA43E9">
        <w:rPr>
          <w:kern w:val="2"/>
          <w14:ligatures w14:val="standardContextual"/>
        </w:rPr>
        <w:t xml:space="preserve"> i EU-OSHA); primjećuje da trostrana struktura donosi koristi kao što su zastupljenost, strateško usmjeravanje i razmjena znanja, ali veličina i raznolikost upravnih odbora predstavljaju izazove u snalaženju u kompromisima o temeljnim poslovnim i administrativnim odlukama; ističe da se u evaluaciji razmatralo da alternativni modeli upravljanja učinkovitije obuhvate socijalne partnere; ističe povećan potencijal za uštede i sinergije u aktivnostima tih </w:t>
      </w:r>
      <w:r w:rsidRPr="00AA43E9">
        <w:rPr>
          <w:kern w:val="2"/>
          <w14:ligatures w14:val="standardContextual"/>
        </w:rPr>
        <w:lastRenderedPageBreak/>
        <w:t>agencija; naglašava potrebu za strogim financijskim nadzorom agencija EU-a kako bi se osigurala troškovna učinkovitost i spriječila zlouporaba javnih sredstava; ističe potrebu za primjenom odgovornog pristupa financiranju agencija temeljenog na potrebama, čime bi se spriječilo povećanje birokratskog opterećenja, a istodobno osiguralo da agencije raspolažu dostatnim sredstvima za ispunjavanje svojih mandata;</w:t>
      </w:r>
    </w:p>
    <w:p w14:paraId="2D7A1EE8" w14:textId="49C6FD3D" w:rsidR="00AA43E9" w:rsidRPr="00AA43E9" w:rsidRDefault="00AA43E9" w:rsidP="00AA43E9">
      <w:pPr>
        <w:spacing w:before="100" w:beforeAutospacing="1" w:after="100" w:afterAutospacing="1"/>
        <w:ind w:left="567" w:hanging="567"/>
        <w:rPr>
          <w:kern w:val="2"/>
          <w:szCs w:val="24"/>
          <w14:ligatures w14:val="standardContextual"/>
        </w:rPr>
      </w:pPr>
      <w:r w:rsidRPr="00AA43E9">
        <w:rPr>
          <w:kern w:val="2"/>
          <w14:ligatures w14:val="standardContextual"/>
        </w:rPr>
        <w:t>17.</w:t>
      </w:r>
      <w:r w:rsidRPr="00AA43E9">
        <w:rPr>
          <w:kern w:val="2"/>
          <w14:ligatures w14:val="standardContextual"/>
        </w:rPr>
        <w:tab/>
        <w:t>prima na znanje zaključke izvješća o evaluaciji Uredbe (EU) 2019/1896 Europskog parlamenta i Vijeća</w:t>
      </w:r>
      <w:r w:rsidRPr="00AA43E9">
        <w:rPr>
          <w:b/>
          <w:kern w:val="2"/>
          <w:szCs w:val="24"/>
          <w:vertAlign w:val="superscript"/>
          <w14:ligatures w14:val="standardContextual"/>
        </w:rPr>
        <w:footnoteReference w:id="406"/>
      </w:r>
      <w:r w:rsidRPr="00AA43E9">
        <w:rPr>
          <w:kern w:val="2"/>
          <w14:ligatures w14:val="standardContextual"/>
        </w:rPr>
        <w:t xml:space="preserve"> o europskoj graničnoj i obalnoj straži (</w:t>
      </w:r>
      <w:proofErr w:type="spellStart"/>
      <w:r w:rsidRPr="00AA43E9">
        <w:rPr>
          <w:kern w:val="2"/>
          <w14:ligatures w14:val="standardContextual"/>
        </w:rPr>
        <w:t>Frontex</w:t>
      </w:r>
      <w:proofErr w:type="spellEnd"/>
      <w:r w:rsidRPr="00AA43E9">
        <w:rPr>
          <w:kern w:val="2"/>
          <w14:ligatures w14:val="standardContextual"/>
        </w:rPr>
        <w:t xml:space="preserve">) i njegove nalaze prema kojima se Uredba smatra primjerenom svrsi, uključujući preispitivanje stalnih snaga objavljeno u veljači 2024.: napominje da, iako se uredbom osigurava okvir za učinkovito upravljanje granicama, i dalje postoje izazovi povezani s upravljanjem, odgovornošću i učinkovitošću; priznajte da je potrebno prilagoditi strukturu upravljanja kako bi se osiguralo da </w:t>
      </w:r>
      <w:proofErr w:type="spellStart"/>
      <w:r w:rsidRPr="00AA43E9">
        <w:rPr>
          <w:kern w:val="2"/>
          <w14:ligatures w14:val="standardContextual"/>
        </w:rPr>
        <w:t>Frontex</w:t>
      </w:r>
      <w:proofErr w:type="spellEnd"/>
      <w:r w:rsidRPr="00AA43E9">
        <w:rPr>
          <w:kern w:val="2"/>
          <w14:ligatures w14:val="standardContextual"/>
        </w:rPr>
        <w:t xml:space="preserve"> može u potpunosti izvršavati svoj mandat, među ostalim rješavanjem pitanja uravnoteženosti zastupljenosti u Upravnom odboru, usklađivanjem internih postupaka donošenja odluka i izbjegavanjem preklapanja u odgovornostima; pozdravlja novu organizacijsku strukturu koju je donio Upravni odbor u studenome 2023. kao korak ususret poboljšanju upravljanja, strateške koordinacije i raspodjele sredstava; potvrđuje administrativne neučinkovitosti istaknute u izvješću o evaluaciji, posebno kad je riječ o postupcima povrata troškova i birokratskim preprekama s kojima se suočavaju države članice pri raspoređivanju osoblja u </w:t>
      </w:r>
      <w:proofErr w:type="spellStart"/>
      <w:r w:rsidRPr="00AA43E9">
        <w:rPr>
          <w:kern w:val="2"/>
          <w14:ligatures w14:val="standardContextual"/>
        </w:rPr>
        <w:t>Frontex</w:t>
      </w:r>
      <w:proofErr w:type="spellEnd"/>
      <w:r w:rsidRPr="00AA43E9">
        <w:rPr>
          <w:kern w:val="2"/>
          <w14:ligatures w14:val="standardContextual"/>
        </w:rPr>
        <w:t xml:space="preserve">; poziva Komisiju da istraži načine za pojednostavnjenje tih postupaka kako bi se smanjilo nepotrebno opterećenje nacionalnih tijela; prima na znanje važnost provedbe preporuka iz godišnjeg izvješća službenika za temeljna prava; iako prepoznaje postignuti napredak, poziva </w:t>
      </w:r>
      <w:proofErr w:type="spellStart"/>
      <w:r w:rsidRPr="00AA43E9">
        <w:rPr>
          <w:kern w:val="2"/>
          <w14:ligatures w14:val="standardContextual"/>
        </w:rPr>
        <w:t>Frontex</w:t>
      </w:r>
      <w:proofErr w:type="spellEnd"/>
      <w:r w:rsidRPr="00AA43E9">
        <w:rPr>
          <w:kern w:val="2"/>
          <w14:ligatures w14:val="standardContextual"/>
        </w:rPr>
        <w:t xml:space="preserve"> da i dalje radi na poboljšanju transparentnosti, potpunoj suradnji u istragama i provedbi mjera za osiguravanje zaštite temeljnih prava u svim svojim aktivnostima;</w:t>
      </w:r>
    </w:p>
    <w:p w14:paraId="41006A32" w14:textId="71EDFB4D" w:rsidR="00AA43E9" w:rsidRPr="00AA43E9" w:rsidRDefault="00AA43E9" w:rsidP="00AA43E9">
      <w:pPr>
        <w:widowControl/>
        <w:spacing w:after="240"/>
        <w:ind w:left="567" w:hanging="567"/>
        <w:rPr>
          <w:kern w:val="2"/>
          <w:szCs w:val="24"/>
          <w14:ligatures w14:val="standardContextual"/>
        </w:rPr>
      </w:pPr>
      <w:r w:rsidRPr="00AA43E9">
        <w:rPr>
          <w:kern w:val="2"/>
          <w14:ligatures w14:val="standardContextual"/>
        </w:rPr>
        <w:t>18.</w:t>
      </w:r>
      <w:r w:rsidRPr="00AA43E9">
        <w:rPr>
          <w:kern w:val="2"/>
          <w14:ligatures w14:val="standardContextual"/>
        </w:rPr>
        <w:tab/>
        <w:t xml:space="preserve">naglašava da je uravnotežen pristup kojim se kombiniraju učinkovita granična kontrola sa snažnim mjerama zaštite temeljnih prava ključan za održavanje sigurnog </w:t>
      </w:r>
      <w:proofErr w:type="spellStart"/>
      <w:r w:rsidRPr="00AA43E9">
        <w:rPr>
          <w:kern w:val="2"/>
          <w14:ligatures w14:val="standardContextual"/>
        </w:rPr>
        <w:t>schengenskog</w:t>
      </w:r>
      <w:proofErr w:type="spellEnd"/>
      <w:r w:rsidRPr="00AA43E9">
        <w:rPr>
          <w:kern w:val="2"/>
          <w14:ligatures w14:val="standardContextual"/>
        </w:rPr>
        <w:t xml:space="preserve"> područja i vjerodostojnog okvira Unije za upravljanje migracijama; stoga ponovno ističe važnost strukturiranog i kontinuiranog osposobljavanja službenika stalnih snaga (</w:t>
      </w:r>
      <w:proofErr w:type="spellStart"/>
      <w:r w:rsidRPr="00AA43E9">
        <w:rPr>
          <w:kern w:val="2"/>
          <w14:ligatures w14:val="standardContextual"/>
        </w:rPr>
        <w:t>Frontex</w:t>
      </w:r>
      <w:proofErr w:type="spellEnd"/>
      <w:r w:rsidRPr="00AA43E9">
        <w:rPr>
          <w:kern w:val="2"/>
          <w14:ligatures w14:val="standardContextual"/>
        </w:rPr>
        <w:t>) o temeljnim pravima, čime bi se osigurala njihova osviještenost o relevantnim obvezama i standardima u pogledu temeljnih prava te njihovo poštovanje, kao i osviještenost o međunarodnom pravu o ljudskim pravima i humanitarnom pravu te njihovo poštovanje</w:t>
      </w:r>
      <w:r w:rsidRPr="00AA43E9">
        <w:rPr>
          <w:b/>
          <w:kern w:val="2"/>
          <w:szCs w:val="24"/>
          <w:vertAlign w:val="superscript"/>
          <w14:ligatures w14:val="standardContextual"/>
        </w:rPr>
        <w:footnoteReference w:id="407"/>
      </w:r>
      <w:r w:rsidRPr="00AA43E9">
        <w:rPr>
          <w:kern w:val="2"/>
          <w14:ligatures w14:val="standardContextual"/>
        </w:rPr>
        <w:t>; nadalje naglašava te važnost izvješćivanja o kršenju temeljnih prava ako se takvom kršenju svjedoči izdavanjem izvješća o ozbiljnim incidentima;</w:t>
      </w:r>
    </w:p>
    <w:p w14:paraId="47F6D7AE" w14:textId="77777777" w:rsidR="00AA43E9" w:rsidRPr="00AA43E9" w:rsidRDefault="00AA43E9" w:rsidP="00AA43E9">
      <w:pPr>
        <w:spacing w:after="240"/>
        <w:ind w:left="567" w:hanging="567"/>
        <w:rPr>
          <w:iCs/>
          <w:kern w:val="2"/>
          <w14:ligatures w14:val="standardContextual"/>
        </w:rPr>
      </w:pPr>
      <w:r w:rsidRPr="00AA43E9">
        <w:rPr>
          <w:b/>
          <w:iCs/>
          <w:kern w:val="2"/>
          <w14:ligatures w14:val="standardContextual"/>
        </w:rPr>
        <w:t>Upravljanje proračunom i financijama</w:t>
      </w:r>
    </w:p>
    <w:p w14:paraId="63BD0E0B" w14:textId="51CEB9A0" w:rsidR="00AA43E9" w:rsidRPr="00AA43E9" w:rsidRDefault="00AA43E9" w:rsidP="00AA43E9">
      <w:pPr>
        <w:spacing w:after="240"/>
        <w:ind w:left="567" w:hanging="567"/>
        <w:rPr>
          <w:kern w:val="2"/>
          <w14:ligatures w14:val="standardContextual"/>
        </w:rPr>
      </w:pPr>
      <w:r w:rsidRPr="00AA43E9">
        <w:rPr>
          <w:kern w:val="2"/>
          <w14:ligatures w14:val="standardContextual"/>
        </w:rPr>
        <w:t>19.</w:t>
      </w:r>
      <w:r w:rsidRPr="00AA43E9">
        <w:rPr>
          <w:kern w:val="2"/>
          <w14:ligatures w14:val="standardContextual"/>
        </w:rPr>
        <w:tab/>
        <w:t>prima na znanje da su ukupni konačni prihodi za 2023. (nakon izmjena proračuna) i komparativni iznosi za 2022. za 33 agencije EU-a koje su dio ove Rezolucije raščlanjeni na sljedeći način</w:t>
      </w:r>
      <w:r w:rsidRPr="00AA43E9">
        <w:rPr>
          <w:b/>
          <w:kern w:val="2"/>
          <w:vertAlign w:val="superscript"/>
          <w14:ligatures w14:val="standardContextual"/>
        </w:rPr>
        <w:footnoteReference w:id="408"/>
      </w:r>
      <w:r w:rsidRPr="00AA43E9">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AA43E9" w:rsidRPr="00AA43E9" w14:paraId="6B10DD8E" w14:textId="77777777" w:rsidTr="00FF61F3">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66D0A20C" w14:textId="77777777" w:rsidR="00AA43E9" w:rsidRPr="00AA43E9" w:rsidRDefault="00AA43E9" w:rsidP="00AA43E9">
            <w:pPr>
              <w:rPr>
                <w:bCs/>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6CE58F55" w14:textId="77777777" w:rsidR="00AA43E9" w:rsidRPr="00AA43E9" w:rsidRDefault="00AA43E9" w:rsidP="00AA43E9">
            <w:pPr>
              <w:ind w:left="567" w:hanging="567"/>
              <w:rPr>
                <w:bCs/>
                <w:szCs w:val="22"/>
              </w:rPr>
            </w:pPr>
            <w:r w:rsidRPr="00AA43E9">
              <w:rPr>
                <w:bCs/>
              </w:rPr>
              <w:t>Prihodi 2023. (EUR)</w:t>
            </w:r>
          </w:p>
        </w:tc>
        <w:tc>
          <w:tcPr>
            <w:tcW w:w="2360" w:type="dxa"/>
            <w:tcBorders>
              <w:top w:val="single" w:sz="4" w:space="0" w:color="auto"/>
              <w:left w:val="single" w:sz="4" w:space="0" w:color="auto"/>
              <w:bottom w:val="single" w:sz="4" w:space="0" w:color="auto"/>
              <w:right w:val="single" w:sz="4" w:space="0" w:color="auto"/>
            </w:tcBorders>
            <w:noWrap/>
            <w:hideMark/>
          </w:tcPr>
          <w:p w14:paraId="3DB89C13" w14:textId="77777777" w:rsidR="00AA43E9" w:rsidRPr="00AA43E9" w:rsidRDefault="00AA43E9" w:rsidP="00AA43E9">
            <w:pPr>
              <w:ind w:left="567" w:hanging="567"/>
              <w:rPr>
                <w:bCs/>
                <w:szCs w:val="22"/>
              </w:rPr>
            </w:pPr>
            <w:r w:rsidRPr="00AA43E9">
              <w:rPr>
                <w:bCs/>
              </w:rPr>
              <w:t>Prihodi 2022. (EUR)</w:t>
            </w:r>
          </w:p>
        </w:tc>
        <w:tc>
          <w:tcPr>
            <w:tcW w:w="1555" w:type="dxa"/>
            <w:tcBorders>
              <w:top w:val="single" w:sz="4" w:space="0" w:color="auto"/>
              <w:left w:val="single" w:sz="4" w:space="0" w:color="auto"/>
              <w:bottom w:val="single" w:sz="4" w:space="0" w:color="auto"/>
              <w:right w:val="single" w:sz="4" w:space="0" w:color="auto"/>
            </w:tcBorders>
            <w:noWrap/>
            <w:hideMark/>
          </w:tcPr>
          <w:p w14:paraId="6E4869D4" w14:textId="77777777" w:rsidR="00AA43E9" w:rsidRPr="00AA43E9" w:rsidRDefault="00AA43E9" w:rsidP="00AA43E9">
            <w:pPr>
              <w:ind w:left="567" w:hanging="567"/>
              <w:rPr>
                <w:bCs/>
                <w:szCs w:val="22"/>
              </w:rPr>
            </w:pPr>
            <w:r w:rsidRPr="00AA43E9">
              <w:rPr>
                <w:bCs/>
              </w:rPr>
              <w:t>∆ (%)</w:t>
            </w:r>
          </w:p>
        </w:tc>
      </w:tr>
      <w:tr w:rsidR="00AA43E9" w:rsidRPr="00AA43E9" w14:paraId="18DC6AC3"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1106E07" w14:textId="77777777" w:rsidR="00AA43E9" w:rsidRPr="00AA43E9" w:rsidRDefault="00AA43E9" w:rsidP="00AA43E9">
            <w:pPr>
              <w:ind w:left="567" w:hanging="567"/>
              <w:rPr>
                <w:b/>
                <w:bCs/>
                <w:szCs w:val="22"/>
              </w:rPr>
            </w:pPr>
            <w:r w:rsidRPr="00AA43E9">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6E59A322" w14:textId="77777777" w:rsidR="00AA43E9" w:rsidRPr="00AA43E9" w:rsidRDefault="00AA43E9" w:rsidP="00AA43E9">
            <w:pPr>
              <w:ind w:left="567" w:hanging="567"/>
              <w:rPr>
                <w:bCs/>
                <w:szCs w:val="22"/>
              </w:rPr>
            </w:pPr>
            <w:r w:rsidRPr="00AA43E9">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7FD45013" w14:textId="77777777" w:rsidR="00AA43E9" w:rsidRPr="00AA43E9" w:rsidRDefault="00AA43E9" w:rsidP="00AA43E9">
            <w:pPr>
              <w:ind w:left="567" w:hanging="567"/>
              <w:rPr>
                <w:bCs/>
                <w:szCs w:val="22"/>
              </w:rPr>
            </w:pPr>
            <w:r w:rsidRPr="00AA43E9">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0F10F6E5" w14:textId="77777777" w:rsidR="00AA43E9" w:rsidRPr="00AA43E9" w:rsidRDefault="00AA43E9" w:rsidP="00AA43E9">
            <w:pPr>
              <w:ind w:left="567" w:hanging="567"/>
              <w:rPr>
                <w:szCs w:val="22"/>
              </w:rPr>
            </w:pPr>
            <w:r w:rsidRPr="00AA43E9">
              <w:t>19,15</w:t>
            </w:r>
          </w:p>
        </w:tc>
      </w:tr>
      <w:tr w:rsidR="00AA43E9" w:rsidRPr="00AA43E9" w14:paraId="40371B36"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AF87DD3" w14:textId="77777777" w:rsidR="00AA43E9" w:rsidRPr="00AA43E9" w:rsidRDefault="00AA43E9" w:rsidP="00AA43E9">
            <w:pPr>
              <w:ind w:left="567" w:hanging="567"/>
              <w:rPr>
                <w:b/>
                <w:bCs/>
                <w:szCs w:val="22"/>
              </w:rPr>
            </w:pPr>
            <w:r w:rsidRPr="00AA43E9">
              <w:rPr>
                <w:b/>
              </w:rPr>
              <w:t>URED BEREC-a</w:t>
            </w:r>
          </w:p>
        </w:tc>
        <w:tc>
          <w:tcPr>
            <w:tcW w:w="2038" w:type="dxa"/>
            <w:tcBorders>
              <w:top w:val="single" w:sz="4" w:space="0" w:color="auto"/>
              <w:left w:val="single" w:sz="4" w:space="0" w:color="auto"/>
              <w:bottom w:val="single" w:sz="4" w:space="0" w:color="auto"/>
              <w:right w:val="single" w:sz="4" w:space="0" w:color="auto"/>
            </w:tcBorders>
            <w:noWrap/>
            <w:hideMark/>
          </w:tcPr>
          <w:p w14:paraId="09FFF055" w14:textId="77777777" w:rsidR="00AA43E9" w:rsidRPr="00AA43E9" w:rsidRDefault="00AA43E9" w:rsidP="00AA43E9">
            <w:pPr>
              <w:ind w:left="567" w:hanging="567"/>
              <w:rPr>
                <w:bCs/>
                <w:szCs w:val="22"/>
              </w:rPr>
            </w:pPr>
            <w:r w:rsidRPr="00AA43E9">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3AB396D7" w14:textId="77777777" w:rsidR="00AA43E9" w:rsidRPr="00AA43E9" w:rsidRDefault="00AA43E9" w:rsidP="00AA43E9">
            <w:pPr>
              <w:ind w:left="567" w:hanging="567"/>
              <w:rPr>
                <w:bCs/>
                <w:szCs w:val="22"/>
              </w:rPr>
            </w:pPr>
            <w:r w:rsidRPr="00AA43E9">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16AE8528" w14:textId="77777777" w:rsidR="00AA43E9" w:rsidRPr="00AA43E9" w:rsidRDefault="00AA43E9" w:rsidP="00AA43E9">
            <w:pPr>
              <w:ind w:left="567" w:hanging="567"/>
              <w:rPr>
                <w:szCs w:val="22"/>
              </w:rPr>
            </w:pPr>
            <w:r w:rsidRPr="00AA43E9">
              <w:t>3,62</w:t>
            </w:r>
          </w:p>
        </w:tc>
      </w:tr>
      <w:tr w:rsidR="00AA43E9" w:rsidRPr="00AA43E9" w14:paraId="1CE1A0A4"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D1BABA1" w14:textId="77777777" w:rsidR="00AA43E9" w:rsidRPr="00AA43E9" w:rsidRDefault="00AA43E9" w:rsidP="00AA43E9">
            <w:pPr>
              <w:ind w:left="567" w:hanging="567"/>
              <w:rPr>
                <w:b/>
                <w:bCs/>
                <w:szCs w:val="22"/>
              </w:rPr>
            </w:pPr>
            <w:r w:rsidRPr="00AA43E9">
              <w:rPr>
                <w:b/>
              </w:rPr>
              <w:t>CDT </w:t>
            </w:r>
            <w:r w:rsidRPr="00AA43E9">
              <w:rPr>
                <w:bCs/>
              </w:rPr>
              <w:t>(</w:t>
            </w:r>
            <w:r w:rsidRPr="00AA43E9">
              <w:rPr>
                <w:bCs/>
                <w:vertAlign w:val="superscript"/>
              </w:rPr>
              <w:t>1</w:t>
            </w:r>
            <w:r w:rsidRPr="00AA43E9">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4993FE21" w14:textId="77777777" w:rsidR="00AA43E9" w:rsidRPr="00AA43E9" w:rsidRDefault="00AA43E9" w:rsidP="00AA43E9">
            <w:pPr>
              <w:ind w:left="567" w:hanging="567"/>
              <w:rPr>
                <w:bCs/>
                <w:szCs w:val="22"/>
              </w:rPr>
            </w:pPr>
            <w:r w:rsidRPr="00AA43E9">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4D890C22" w14:textId="77777777" w:rsidR="00AA43E9" w:rsidRPr="00AA43E9" w:rsidRDefault="00AA43E9" w:rsidP="00AA43E9">
            <w:pPr>
              <w:ind w:left="567" w:hanging="567"/>
              <w:rPr>
                <w:bCs/>
                <w:szCs w:val="22"/>
              </w:rPr>
            </w:pPr>
            <w:r w:rsidRPr="00AA43E9">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1DA34D85" w14:textId="77777777" w:rsidR="00AA43E9" w:rsidRPr="00AA43E9" w:rsidRDefault="00AA43E9" w:rsidP="00AA43E9">
            <w:pPr>
              <w:ind w:left="567" w:hanging="567"/>
              <w:rPr>
                <w:szCs w:val="22"/>
              </w:rPr>
            </w:pPr>
            <w:r w:rsidRPr="00AA43E9">
              <w:t>– 3,24</w:t>
            </w:r>
          </w:p>
        </w:tc>
      </w:tr>
      <w:tr w:rsidR="00AA43E9" w:rsidRPr="00AA43E9" w14:paraId="1807B9A5"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6DC6555" w14:textId="77777777" w:rsidR="00AA43E9" w:rsidRPr="00AA43E9" w:rsidRDefault="00AA43E9" w:rsidP="00AA43E9">
            <w:pPr>
              <w:ind w:left="567" w:hanging="567"/>
              <w:rPr>
                <w:b/>
                <w:bCs/>
                <w:szCs w:val="22"/>
              </w:rPr>
            </w:pPr>
            <w:r w:rsidRPr="00AA43E9">
              <w:rPr>
                <w:b/>
              </w:rPr>
              <w:t>CEDEFOP</w:t>
            </w:r>
          </w:p>
        </w:tc>
        <w:tc>
          <w:tcPr>
            <w:tcW w:w="2038" w:type="dxa"/>
            <w:tcBorders>
              <w:top w:val="single" w:sz="4" w:space="0" w:color="auto"/>
              <w:left w:val="single" w:sz="4" w:space="0" w:color="auto"/>
              <w:bottom w:val="single" w:sz="4" w:space="0" w:color="auto"/>
              <w:right w:val="single" w:sz="4" w:space="0" w:color="auto"/>
            </w:tcBorders>
            <w:noWrap/>
            <w:hideMark/>
          </w:tcPr>
          <w:p w14:paraId="202838BC" w14:textId="77777777" w:rsidR="00AA43E9" w:rsidRPr="00AA43E9" w:rsidRDefault="00AA43E9" w:rsidP="00AA43E9">
            <w:pPr>
              <w:ind w:left="567" w:hanging="567"/>
              <w:rPr>
                <w:bCs/>
                <w:szCs w:val="22"/>
              </w:rPr>
            </w:pPr>
            <w:r w:rsidRPr="00AA43E9">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42154962" w14:textId="77777777" w:rsidR="00AA43E9" w:rsidRPr="00AA43E9" w:rsidRDefault="00AA43E9" w:rsidP="00AA43E9">
            <w:pPr>
              <w:ind w:left="567" w:hanging="567"/>
              <w:rPr>
                <w:bCs/>
                <w:szCs w:val="22"/>
              </w:rPr>
            </w:pPr>
            <w:r w:rsidRPr="00AA43E9">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45ACFA36" w14:textId="77777777" w:rsidR="00AA43E9" w:rsidRPr="00AA43E9" w:rsidRDefault="00AA43E9" w:rsidP="00AA43E9">
            <w:pPr>
              <w:ind w:left="567" w:hanging="567"/>
              <w:rPr>
                <w:szCs w:val="22"/>
              </w:rPr>
            </w:pPr>
            <w:r w:rsidRPr="00AA43E9">
              <w:t>9,26</w:t>
            </w:r>
          </w:p>
        </w:tc>
      </w:tr>
      <w:tr w:rsidR="00AA43E9" w:rsidRPr="00AA43E9" w14:paraId="2ED46B5C"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B69A21D" w14:textId="77777777" w:rsidR="00AA43E9" w:rsidRPr="00AA43E9" w:rsidRDefault="00AA43E9" w:rsidP="00AA43E9">
            <w:pPr>
              <w:ind w:left="567" w:hanging="567"/>
              <w:rPr>
                <w:b/>
                <w:bCs/>
                <w:szCs w:val="22"/>
              </w:rPr>
            </w:pPr>
            <w:r w:rsidRPr="00AA43E9">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1E7D3510" w14:textId="77777777" w:rsidR="00AA43E9" w:rsidRPr="00AA43E9" w:rsidRDefault="00AA43E9" w:rsidP="00AA43E9">
            <w:pPr>
              <w:ind w:left="567" w:hanging="567"/>
              <w:rPr>
                <w:bCs/>
                <w:szCs w:val="22"/>
              </w:rPr>
            </w:pPr>
            <w:r w:rsidRPr="00AA43E9">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44696A79" w14:textId="77777777" w:rsidR="00AA43E9" w:rsidRPr="00AA43E9" w:rsidRDefault="00AA43E9" w:rsidP="00AA43E9">
            <w:pPr>
              <w:ind w:left="567" w:hanging="567"/>
              <w:rPr>
                <w:bCs/>
                <w:szCs w:val="22"/>
              </w:rPr>
            </w:pPr>
            <w:r w:rsidRPr="00AA43E9">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1B267E9F" w14:textId="77777777" w:rsidR="00AA43E9" w:rsidRPr="00AA43E9" w:rsidRDefault="00AA43E9" w:rsidP="00AA43E9">
            <w:pPr>
              <w:ind w:left="567" w:hanging="567"/>
              <w:rPr>
                <w:szCs w:val="22"/>
              </w:rPr>
            </w:pPr>
            <w:r w:rsidRPr="00AA43E9">
              <w:t>2,94</w:t>
            </w:r>
          </w:p>
        </w:tc>
      </w:tr>
      <w:tr w:rsidR="00AA43E9" w:rsidRPr="00AA43E9" w14:paraId="4DAB52DE"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6277AD8" w14:textId="77777777" w:rsidR="00AA43E9" w:rsidRPr="00AA43E9" w:rsidRDefault="00AA43E9" w:rsidP="00AA43E9">
            <w:pPr>
              <w:ind w:left="567" w:hanging="567"/>
              <w:rPr>
                <w:b/>
                <w:bCs/>
                <w:szCs w:val="22"/>
              </w:rPr>
            </w:pPr>
            <w:r w:rsidRPr="00AA43E9">
              <w:rPr>
                <w:b/>
              </w:rPr>
              <w:t>EASA </w:t>
            </w:r>
            <w:r w:rsidRPr="00AA43E9">
              <w:rPr>
                <w:bCs/>
              </w:rPr>
              <w:t>(</w:t>
            </w:r>
            <w:r w:rsidRPr="00AA43E9">
              <w:rPr>
                <w:bCs/>
                <w:vertAlign w:val="superscript"/>
              </w:rPr>
              <w:t>2</w:t>
            </w:r>
            <w:r w:rsidRPr="00AA43E9">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53A082D0" w14:textId="77777777" w:rsidR="00AA43E9" w:rsidRPr="00AA43E9" w:rsidRDefault="00AA43E9" w:rsidP="00AA43E9">
            <w:pPr>
              <w:ind w:left="567" w:hanging="567"/>
              <w:rPr>
                <w:bCs/>
                <w:szCs w:val="22"/>
              </w:rPr>
            </w:pPr>
            <w:r w:rsidRPr="00AA43E9">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4FC7574E" w14:textId="77777777" w:rsidR="00AA43E9" w:rsidRPr="00AA43E9" w:rsidRDefault="00AA43E9" w:rsidP="00AA43E9">
            <w:pPr>
              <w:ind w:left="567" w:hanging="567"/>
              <w:rPr>
                <w:bCs/>
                <w:szCs w:val="22"/>
              </w:rPr>
            </w:pPr>
            <w:r w:rsidRPr="00AA43E9">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2D6D1AD6" w14:textId="77777777" w:rsidR="00AA43E9" w:rsidRPr="00AA43E9" w:rsidRDefault="00AA43E9" w:rsidP="00AA43E9">
            <w:pPr>
              <w:ind w:left="567" w:hanging="567"/>
              <w:rPr>
                <w:szCs w:val="22"/>
              </w:rPr>
            </w:pPr>
            <w:r w:rsidRPr="00AA43E9">
              <w:t>3,85</w:t>
            </w:r>
          </w:p>
        </w:tc>
      </w:tr>
      <w:tr w:rsidR="00AA43E9" w:rsidRPr="00AA43E9" w14:paraId="1CE48433"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096E14B" w14:textId="77777777" w:rsidR="00AA43E9" w:rsidRPr="00AA43E9" w:rsidRDefault="00AA43E9" w:rsidP="00AA43E9">
            <w:pPr>
              <w:ind w:left="567" w:hanging="567"/>
              <w:rPr>
                <w:b/>
                <w:bCs/>
                <w:szCs w:val="22"/>
              </w:rPr>
            </w:pPr>
            <w:r w:rsidRPr="00AA43E9">
              <w:rPr>
                <w:b/>
              </w:rPr>
              <w:t>EBA</w:t>
            </w:r>
          </w:p>
        </w:tc>
        <w:tc>
          <w:tcPr>
            <w:tcW w:w="2038" w:type="dxa"/>
            <w:tcBorders>
              <w:top w:val="single" w:sz="4" w:space="0" w:color="auto"/>
              <w:left w:val="single" w:sz="4" w:space="0" w:color="auto"/>
              <w:bottom w:val="single" w:sz="4" w:space="0" w:color="auto"/>
              <w:right w:val="single" w:sz="4" w:space="0" w:color="auto"/>
            </w:tcBorders>
            <w:noWrap/>
            <w:hideMark/>
          </w:tcPr>
          <w:p w14:paraId="774DE17F" w14:textId="77777777" w:rsidR="00AA43E9" w:rsidRPr="00AA43E9" w:rsidRDefault="00AA43E9" w:rsidP="00AA43E9">
            <w:pPr>
              <w:ind w:left="567" w:hanging="567"/>
              <w:rPr>
                <w:bCs/>
                <w:szCs w:val="22"/>
              </w:rPr>
            </w:pPr>
            <w:r w:rsidRPr="00AA43E9">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01D0AA85" w14:textId="77777777" w:rsidR="00AA43E9" w:rsidRPr="00AA43E9" w:rsidRDefault="00AA43E9" w:rsidP="00AA43E9">
            <w:pPr>
              <w:ind w:left="567" w:hanging="567"/>
              <w:rPr>
                <w:bCs/>
                <w:szCs w:val="22"/>
              </w:rPr>
            </w:pPr>
            <w:r w:rsidRPr="00AA43E9">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3D2A5AA7" w14:textId="77777777" w:rsidR="00AA43E9" w:rsidRPr="00AA43E9" w:rsidRDefault="00AA43E9" w:rsidP="00AA43E9">
            <w:pPr>
              <w:ind w:left="567" w:hanging="567"/>
              <w:rPr>
                <w:szCs w:val="22"/>
              </w:rPr>
            </w:pPr>
            <w:r w:rsidRPr="00AA43E9">
              <w:t>4,68</w:t>
            </w:r>
          </w:p>
        </w:tc>
      </w:tr>
      <w:tr w:rsidR="00AA43E9" w:rsidRPr="00AA43E9" w14:paraId="7D816A81"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5B0669B" w14:textId="77777777" w:rsidR="00AA43E9" w:rsidRPr="00AA43E9" w:rsidRDefault="00AA43E9" w:rsidP="00AA43E9">
            <w:pPr>
              <w:ind w:left="567" w:hanging="567"/>
              <w:rPr>
                <w:b/>
                <w:bCs/>
                <w:szCs w:val="22"/>
              </w:rPr>
            </w:pPr>
            <w:r w:rsidRPr="00AA43E9">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5B5D0620" w14:textId="77777777" w:rsidR="00AA43E9" w:rsidRPr="00AA43E9" w:rsidRDefault="00AA43E9" w:rsidP="00AA43E9">
            <w:pPr>
              <w:ind w:left="567" w:hanging="567"/>
              <w:rPr>
                <w:bCs/>
                <w:szCs w:val="22"/>
              </w:rPr>
            </w:pPr>
            <w:r w:rsidRPr="00AA43E9">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1AC0CDD9" w14:textId="77777777" w:rsidR="00AA43E9" w:rsidRPr="00AA43E9" w:rsidRDefault="00AA43E9" w:rsidP="00AA43E9">
            <w:pPr>
              <w:ind w:left="567" w:hanging="567"/>
              <w:rPr>
                <w:bCs/>
                <w:szCs w:val="22"/>
              </w:rPr>
            </w:pPr>
            <w:r w:rsidRPr="00AA43E9">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71A5B799" w14:textId="77777777" w:rsidR="00AA43E9" w:rsidRPr="00AA43E9" w:rsidRDefault="00AA43E9" w:rsidP="00AA43E9">
            <w:pPr>
              <w:ind w:left="567" w:hanging="567"/>
              <w:rPr>
                <w:szCs w:val="22"/>
              </w:rPr>
            </w:pPr>
            <w:r w:rsidRPr="00AA43E9">
              <w:t>– 9,10</w:t>
            </w:r>
          </w:p>
        </w:tc>
      </w:tr>
      <w:tr w:rsidR="00AA43E9" w:rsidRPr="00AA43E9" w14:paraId="6A7F549D"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8DFD5DD" w14:textId="77777777" w:rsidR="00AA43E9" w:rsidRPr="00AA43E9" w:rsidRDefault="00AA43E9" w:rsidP="00AA43E9">
            <w:pPr>
              <w:ind w:left="567" w:hanging="567"/>
              <w:rPr>
                <w:b/>
                <w:bCs/>
                <w:szCs w:val="22"/>
              </w:rPr>
            </w:pPr>
            <w:r w:rsidRPr="00AA43E9">
              <w:rPr>
                <w:b/>
              </w:rPr>
              <w:t>ECHA</w:t>
            </w:r>
          </w:p>
        </w:tc>
        <w:tc>
          <w:tcPr>
            <w:tcW w:w="2038" w:type="dxa"/>
            <w:tcBorders>
              <w:top w:val="single" w:sz="4" w:space="0" w:color="auto"/>
              <w:left w:val="single" w:sz="4" w:space="0" w:color="auto"/>
              <w:bottom w:val="single" w:sz="4" w:space="0" w:color="auto"/>
              <w:right w:val="single" w:sz="4" w:space="0" w:color="auto"/>
            </w:tcBorders>
            <w:noWrap/>
            <w:hideMark/>
          </w:tcPr>
          <w:p w14:paraId="6E1C7AFD" w14:textId="77777777" w:rsidR="00AA43E9" w:rsidRPr="00AA43E9" w:rsidRDefault="00AA43E9" w:rsidP="00AA43E9">
            <w:pPr>
              <w:ind w:left="567" w:hanging="567"/>
              <w:rPr>
                <w:bCs/>
                <w:szCs w:val="22"/>
              </w:rPr>
            </w:pPr>
            <w:r w:rsidRPr="00AA43E9">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55A737D7" w14:textId="77777777" w:rsidR="00AA43E9" w:rsidRPr="00AA43E9" w:rsidRDefault="00AA43E9" w:rsidP="00AA43E9">
            <w:pPr>
              <w:ind w:left="567" w:hanging="567"/>
              <w:rPr>
                <w:bCs/>
                <w:szCs w:val="22"/>
              </w:rPr>
            </w:pPr>
            <w:r w:rsidRPr="00AA43E9">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0B161DBB" w14:textId="77777777" w:rsidR="00AA43E9" w:rsidRPr="00AA43E9" w:rsidRDefault="00AA43E9" w:rsidP="00AA43E9">
            <w:pPr>
              <w:ind w:left="567" w:hanging="567"/>
              <w:rPr>
                <w:szCs w:val="22"/>
              </w:rPr>
            </w:pPr>
            <w:r w:rsidRPr="00AA43E9">
              <w:t>5,38</w:t>
            </w:r>
          </w:p>
        </w:tc>
      </w:tr>
      <w:tr w:rsidR="00AA43E9" w:rsidRPr="00AA43E9" w14:paraId="6F610E79"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1DE0864" w14:textId="77777777" w:rsidR="00AA43E9" w:rsidRPr="00AA43E9" w:rsidRDefault="00AA43E9" w:rsidP="00AA43E9">
            <w:pPr>
              <w:ind w:left="567" w:hanging="567"/>
              <w:rPr>
                <w:b/>
                <w:bCs/>
                <w:szCs w:val="22"/>
              </w:rPr>
            </w:pPr>
            <w:r w:rsidRPr="00AA43E9">
              <w:rPr>
                <w:b/>
              </w:rPr>
              <w:t>EEA</w:t>
            </w:r>
          </w:p>
        </w:tc>
        <w:tc>
          <w:tcPr>
            <w:tcW w:w="2038" w:type="dxa"/>
            <w:tcBorders>
              <w:top w:val="single" w:sz="4" w:space="0" w:color="auto"/>
              <w:left w:val="single" w:sz="4" w:space="0" w:color="auto"/>
              <w:bottom w:val="single" w:sz="4" w:space="0" w:color="auto"/>
              <w:right w:val="single" w:sz="4" w:space="0" w:color="auto"/>
            </w:tcBorders>
            <w:noWrap/>
            <w:hideMark/>
          </w:tcPr>
          <w:p w14:paraId="2DF4B9BF" w14:textId="77777777" w:rsidR="00AA43E9" w:rsidRPr="00AA43E9" w:rsidRDefault="00AA43E9" w:rsidP="00AA43E9">
            <w:pPr>
              <w:ind w:left="567" w:hanging="567"/>
              <w:rPr>
                <w:bCs/>
                <w:szCs w:val="22"/>
              </w:rPr>
            </w:pPr>
            <w:r w:rsidRPr="00AA43E9">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2086B0ED" w14:textId="77777777" w:rsidR="00AA43E9" w:rsidRPr="00AA43E9" w:rsidRDefault="00AA43E9" w:rsidP="00AA43E9">
            <w:pPr>
              <w:ind w:left="567" w:hanging="567"/>
              <w:rPr>
                <w:bCs/>
                <w:szCs w:val="22"/>
              </w:rPr>
            </w:pPr>
            <w:r w:rsidRPr="00AA43E9">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6A3E3416" w14:textId="77777777" w:rsidR="00AA43E9" w:rsidRPr="00AA43E9" w:rsidRDefault="00AA43E9" w:rsidP="00AA43E9">
            <w:pPr>
              <w:ind w:left="567" w:hanging="567"/>
              <w:rPr>
                <w:szCs w:val="22"/>
              </w:rPr>
            </w:pPr>
            <w:r w:rsidRPr="00AA43E9">
              <w:t>– 18,04</w:t>
            </w:r>
          </w:p>
        </w:tc>
      </w:tr>
      <w:tr w:rsidR="00AA43E9" w:rsidRPr="00AA43E9" w14:paraId="783B1948"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9753A08" w14:textId="77777777" w:rsidR="00AA43E9" w:rsidRPr="00AA43E9" w:rsidRDefault="00AA43E9" w:rsidP="00AA43E9">
            <w:pPr>
              <w:ind w:left="567" w:hanging="567"/>
              <w:rPr>
                <w:b/>
                <w:bCs/>
                <w:szCs w:val="22"/>
              </w:rPr>
            </w:pPr>
            <w:r w:rsidRPr="00AA43E9">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21402B56" w14:textId="77777777" w:rsidR="00AA43E9" w:rsidRPr="00AA43E9" w:rsidRDefault="00AA43E9" w:rsidP="00AA43E9">
            <w:pPr>
              <w:ind w:left="567" w:hanging="567"/>
              <w:rPr>
                <w:bCs/>
                <w:szCs w:val="22"/>
              </w:rPr>
            </w:pPr>
            <w:r w:rsidRPr="00AA43E9">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35CB4168" w14:textId="77777777" w:rsidR="00AA43E9" w:rsidRPr="00AA43E9" w:rsidRDefault="00AA43E9" w:rsidP="00AA43E9">
            <w:pPr>
              <w:ind w:left="567" w:hanging="567"/>
              <w:rPr>
                <w:bCs/>
                <w:szCs w:val="22"/>
              </w:rPr>
            </w:pPr>
            <w:r w:rsidRPr="00AA43E9">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51991157" w14:textId="77777777" w:rsidR="00AA43E9" w:rsidRPr="00AA43E9" w:rsidRDefault="00AA43E9" w:rsidP="00AA43E9">
            <w:pPr>
              <w:ind w:left="567" w:hanging="567"/>
              <w:rPr>
                <w:szCs w:val="22"/>
              </w:rPr>
            </w:pPr>
            <w:r w:rsidRPr="00AA43E9">
              <w:t>– 13,63</w:t>
            </w:r>
          </w:p>
        </w:tc>
      </w:tr>
      <w:tr w:rsidR="00AA43E9" w:rsidRPr="00AA43E9" w14:paraId="0ABCBD82"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45E7D4" w14:textId="77777777" w:rsidR="00AA43E9" w:rsidRPr="00AA43E9" w:rsidRDefault="00AA43E9" w:rsidP="00AA43E9">
            <w:pPr>
              <w:ind w:left="567" w:hanging="567"/>
              <w:rPr>
                <w:b/>
                <w:bCs/>
                <w:szCs w:val="22"/>
              </w:rPr>
            </w:pPr>
            <w:r w:rsidRPr="00AA43E9">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2ADB6F7B" w14:textId="77777777" w:rsidR="00AA43E9" w:rsidRPr="00AA43E9" w:rsidRDefault="00AA43E9" w:rsidP="00AA43E9">
            <w:pPr>
              <w:ind w:left="567" w:hanging="567"/>
              <w:rPr>
                <w:bCs/>
                <w:szCs w:val="22"/>
              </w:rPr>
            </w:pPr>
            <w:r w:rsidRPr="00AA43E9">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3F5095C1" w14:textId="77777777" w:rsidR="00AA43E9" w:rsidRPr="00AA43E9" w:rsidRDefault="00AA43E9" w:rsidP="00AA43E9">
            <w:pPr>
              <w:ind w:left="567" w:hanging="567"/>
              <w:rPr>
                <w:bCs/>
                <w:szCs w:val="22"/>
              </w:rPr>
            </w:pPr>
            <w:r w:rsidRPr="00AA43E9">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118DDF50" w14:textId="77777777" w:rsidR="00AA43E9" w:rsidRPr="00AA43E9" w:rsidRDefault="00AA43E9" w:rsidP="00AA43E9">
            <w:pPr>
              <w:ind w:left="567" w:hanging="567"/>
              <w:rPr>
                <w:szCs w:val="22"/>
              </w:rPr>
            </w:pPr>
            <w:r w:rsidRPr="00AA43E9">
              <w:t>10,52</w:t>
            </w:r>
          </w:p>
        </w:tc>
      </w:tr>
      <w:tr w:rsidR="00AA43E9" w:rsidRPr="00AA43E9" w14:paraId="10D44653"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5BED59C" w14:textId="77777777" w:rsidR="00AA43E9" w:rsidRPr="00AA43E9" w:rsidRDefault="00AA43E9" w:rsidP="00AA43E9">
            <w:pPr>
              <w:ind w:left="567" w:hanging="567"/>
              <w:rPr>
                <w:b/>
                <w:bCs/>
                <w:szCs w:val="22"/>
              </w:rPr>
            </w:pPr>
            <w:r w:rsidRPr="00AA43E9">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051569B0" w14:textId="77777777" w:rsidR="00AA43E9" w:rsidRPr="00AA43E9" w:rsidRDefault="00AA43E9" w:rsidP="00AA43E9">
            <w:pPr>
              <w:ind w:left="567" w:hanging="567"/>
              <w:rPr>
                <w:bCs/>
                <w:szCs w:val="22"/>
              </w:rPr>
            </w:pPr>
            <w:r w:rsidRPr="00AA43E9">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21843844" w14:textId="77777777" w:rsidR="00AA43E9" w:rsidRPr="00AA43E9" w:rsidRDefault="00AA43E9" w:rsidP="00AA43E9">
            <w:pPr>
              <w:ind w:left="567" w:hanging="567"/>
              <w:rPr>
                <w:bCs/>
                <w:szCs w:val="22"/>
              </w:rPr>
            </w:pPr>
            <w:r w:rsidRPr="00AA43E9">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686F4C70" w14:textId="77777777" w:rsidR="00AA43E9" w:rsidRPr="00AA43E9" w:rsidRDefault="00AA43E9" w:rsidP="00AA43E9">
            <w:pPr>
              <w:ind w:left="567" w:hanging="567"/>
              <w:rPr>
                <w:szCs w:val="22"/>
              </w:rPr>
            </w:pPr>
            <w:r w:rsidRPr="00AA43E9">
              <w:t>10,98</w:t>
            </w:r>
          </w:p>
        </w:tc>
      </w:tr>
      <w:tr w:rsidR="00AA43E9" w:rsidRPr="00AA43E9" w14:paraId="00122A42"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9A8544" w14:textId="77777777" w:rsidR="00AA43E9" w:rsidRPr="00AA43E9" w:rsidRDefault="00AA43E9" w:rsidP="00AA43E9">
            <w:pPr>
              <w:ind w:left="567" w:hanging="567"/>
              <w:rPr>
                <w:b/>
                <w:bCs/>
                <w:szCs w:val="22"/>
              </w:rPr>
            </w:pPr>
            <w:r w:rsidRPr="00AA43E9">
              <w:rPr>
                <w:b/>
              </w:rPr>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54F7547F" w14:textId="77777777" w:rsidR="00AA43E9" w:rsidRPr="00AA43E9" w:rsidRDefault="00AA43E9" w:rsidP="00AA43E9">
            <w:pPr>
              <w:ind w:left="567" w:hanging="567"/>
              <w:rPr>
                <w:bCs/>
                <w:szCs w:val="22"/>
              </w:rPr>
            </w:pPr>
            <w:r w:rsidRPr="00AA43E9">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2F718153" w14:textId="77777777" w:rsidR="00AA43E9" w:rsidRPr="00AA43E9" w:rsidRDefault="00AA43E9" w:rsidP="00AA43E9">
            <w:pPr>
              <w:ind w:left="567" w:hanging="567"/>
              <w:rPr>
                <w:bCs/>
                <w:szCs w:val="22"/>
              </w:rPr>
            </w:pPr>
            <w:r w:rsidRPr="00AA43E9">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307B2A4A" w14:textId="77777777" w:rsidR="00AA43E9" w:rsidRPr="00AA43E9" w:rsidRDefault="00AA43E9" w:rsidP="00AA43E9">
            <w:pPr>
              <w:ind w:left="567" w:hanging="567"/>
              <w:rPr>
                <w:szCs w:val="22"/>
              </w:rPr>
            </w:pPr>
            <w:r w:rsidRPr="00AA43E9">
              <w:t>6,20</w:t>
            </w:r>
          </w:p>
        </w:tc>
      </w:tr>
      <w:tr w:rsidR="00AA43E9" w:rsidRPr="00AA43E9" w14:paraId="2F1E85F3"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3EBE37E" w14:textId="77777777" w:rsidR="00AA43E9" w:rsidRPr="00AA43E9" w:rsidRDefault="00AA43E9" w:rsidP="00AA43E9">
            <w:pPr>
              <w:ind w:left="567" w:hanging="567"/>
              <w:rPr>
                <w:b/>
                <w:bCs/>
                <w:szCs w:val="22"/>
              </w:rPr>
            </w:pPr>
            <w:r w:rsidRPr="00AA43E9">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1B83377D" w14:textId="77777777" w:rsidR="00AA43E9" w:rsidRPr="00AA43E9" w:rsidRDefault="00AA43E9" w:rsidP="00AA43E9">
            <w:pPr>
              <w:ind w:left="567" w:hanging="567"/>
              <w:rPr>
                <w:bCs/>
                <w:szCs w:val="22"/>
              </w:rPr>
            </w:pPr>
            <w:r w:rsidRPr="00AA43E9">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13F467F1" w14:textId="77777777" w:rsidR="00AA43E9" w:rsidRPr="00AA43E9" w:rsidRDefault="00AA43E9" w:rsidP="00AA43E9">
            <w:pPr>
              <w:ind w:left="567" w:hanging="567"/>
              <w:rPr>
                <w:bCs/>
                <w:szCs w:val="22"/>
              </w:rPr>
            </w:pPr>
            <w:r w:rsidRPr="00AA43E9">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22443E80" w14:textId="77777777" w:rsidR="00AA43E9" w:rsidRPr="00AA43E9" w:rsidRDefault="00AA43E9" w:rsidP="00AA43E9">
            <w:pPr>
              <w:ind w:left="567" w:hanging="567"/>
              <w:rPr>
                <w:szCs w:val="22"/>
              </w:rPr>
            </w:pPr>
            <w:r w:rsidRPr="00AA43E9">
              <w:t>– 18,11</w:t>
            </w:r>
          </w:p>
        </w:tc>
      </w:tr>
      <w:tr w:rsidR="00AA43E9" w:rsidRPr="00AA43E9" w14:paraId="16925A07"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1057FC3" w14:textId="77777777" w:rsidR="00AA43E9" w:rsidRPr="00AA43E9" w:rsidRDefault="00AA43E9" w:rsidP="00AA43E9">
            <w:pPr>
              <w:ind w:left="567" w:hanging="567"/>
              <w:rPr>
                <w:b/>
                <w:bCs/>
                <w:szCs w:val="22"/>
              </w:rPr>
            </w:pPr>
            <w:r w:rsidRPr="00AA43E9">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0B03366F" w14:textId="77777777" w:rsidR="00AA43E9" w:rsidRPr="00AA43E9" w:rsidRDefault="00AA43E9" w:rsidP="00AA43E9">
            <w:pPr>
              <w:ind w:left="567" w:hanging="567"/>
              <w:rPr>
                <w:bCs/>
                <w:szCs w:val="22"/>
              </w:rPr>
            </w:pPr>
            <w:r w:rsidRPr="00AA43E9">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154BE498" w14:textId="77777777" w:rsidR="00AA43E9" w:rsidRPr="00AA43E9" w:rsidRDefault="00AA43E9" w:rsidP="00AA43E9">
            <w:pPr>
              <w:ind w:left="567" w:hanging="567"/>
              <w:rPr>
                <w:bCs/>
                <w:szCs w:val="22"/>
              </w:rPr>
            </w:pPr>
            <w:r w:rsidRPr="00AA43E9">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1B8D4B66" w14:textId="77777777" w:rsidR="00AA43E9" w:rsidRPr="00AA43E9" w:rsidRDefault="00AA43E9" w:rsidP="00AA43E9">
            <w:pPr>
              <w:ind w:left="567" w:hanging="567"/>
              <w:rPr>
                <w:szCs w:val="22"/>
              </w:rPr>
            </w:pPr>
            <w:r w:rsidRPr="00AA43E9">
              <w:t>15,23</w:t>
            </w:r>
          </w:p>
        </w:tc>
      </w:tr>
      <w:tr w:rsidR="00AA43E9" w:rsidRPr="00AA43E9" w14:paraId="3F7950D5"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948D72" w14:textId="77777777" w:rsidR="00AA43E9" w:rsidRPr="00AA43E9" w:rsidRDefault="00AA43E9" w:rsidP="00AA43E9">
            <w:pPr>
              <w:ind w:left="567" w:hanging="567"/>
              <w:rPr>
                <w:b/>
                <w:bCs/>
                <w:szCs w:val="22"/>
              </w:rPr>
            </w:pPr>
            <w:r w:rsidRPr="00AA43E9">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69030C27" w14:textId="77777777" w:rsidR="00AA43E9" w:rsidRPr="00AA43E9" w:rsidRDefault="00AA43E9" w:rsidP="00AA43E9">
            <w:pPr>
              <w:ind w:left="567" w:hanging="567"/>
              <w:rPr>
                <w:bCs/>
                <w:szCs w:val="22"/>
              </w:rPr>
            </w:pPr>
            <w:r w:rsidRPr="00AA43E9">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34F627C9" w14:textId="77777777" w:rsidR="00AA43E9" w:rsidRPr="00AA43E9" w:rsidRDefault="00AA43E9" w:rsidP="00AA43E9">
            <w:pPr>
              <w:ind w:left="567" w:hanging="567"/>
              <w:rPr>
                <w:bCs/>
                <w:szCs w:val="22"/>
              </w:rPr>
            </w:pPr>
            <w:r w:rsidRPr="00AA43E9">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626107E9" w14:textId="77777777" w:rsidR="00AA43E9" w:rsidRPr="00AA43E9" w:rsidRDefault="00AA43E9" w:rsidP="00AA43E9">
            <w:pPr>
              <w:ind w:left="567" w:hanging="567"/>
              <w:rPr>
                <w:szCs w:val="22"/>
              </w:rPr>
            </w:pPr>
            <w:r w:rsidRPr="00AA43E9">
              <w:t>6,35</w:t>
            </w:r>
          </w:p>
        </w:tc>
      </w:tr>
      <w:tr w:rsidR="00AA43E9" w:rsidRPr="00AA43E9" w14:paraId="50824F1E"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C1ED764" w14:textId="77777777" w:rsidR="00AA43E9" w:rsidRPr="00AA43E9" w:rsidRDefault="00AA43E9" w:rsidP="00AA43E9">
            <w:pPr>
              <w:ind w:left="567" w:hanging="567"/>
              <w:jc w:val="both"/>
              <w:rPr>
                <w:b/>
                <w:bCs/>
                <w:szCs w:val="22"/>
              </w:rPr>
            </w:pPr>
            <w:r w:rsidRPr="00AA43E9">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3639F344" w14:textId="77777777" w:rsidR="00AA43E9" w:rsidRPr="00AA43E9" w:rsidRDefault="00AA43E9" w:rsidP="00AA43E9">
            <w:pPr>
              <w:ind w:left="567" w:hanging="567"/>
              <w:rPr>
                <w:bCs/>
                <w:szCs w:val="22"/>
              </w:rPr>
            </w:pPr>
            <w:r w:rsidRPr="00AA43E9">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68364CAB" w14:textId="77777777" w:rsidR="00AA43E9" w:rsidRPr="00AA43E9" w:rsidRDefault="00AA43E9" w:rsidP="00AA43E9">
            <w:pPr>
              <w:ind w:left="567" w:hanging="567"/>
              <w:rPr>
                <w:bCs/>
                <w:szCs w:val="22"/>
              </w:rPr>
            </w:pPr>
            <w:r w:rsidRPr="00AA43E9">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06283B94" w14:textId="77777777" w:rsidR="00AA43E9" w:rsidRPr="00AA43E9" w:rsidRDefault="00AA43E9" w:rsidP="00AA43E9">
            <w:pPr>
              <w:ind w:left="567" w:hanging="567"/>
              <w:rPr>
                <w:szCs w:val="22"/>
              </w:rPr>
            </w:pPr>
            <w:r w:rsidRPr="00AA43E9">
              <w:t>17,21</w:t>
            </w:r>
          </w:p>
        </w:tc>
      </w:tr>
      <w:tr w:rsidR="00AA43E9" w:rsidRPr="00AA43E9" w14:paraId="2313DACF"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2220E23" w14:textId="77777777" w:rsidR="00AA43E9" w:rsidRPr="00AA43E9" w:rsidRDefault="00AA43E9" w:rsidP="00AA43E9">
            <w:pPr>
              <w:ind w:left="567" w:hanging="567"/>
              <w:rPr>
                <w:b/>
                <w:bCs/>
                <w:szCs w:val="22"/>
              </w:rPr>
            </w:pPr>
            <w:r w:rsidRPr="00AA43E9">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5F851F31" w14:textId="77777777" w:rsidR="00AA43E9" w:rsidRPr="00AA43E9" w:rsidRDefault="00AA43E9" w:rsidP="00AA43E9">
            <w:pPr>
              <w:ind w:left="567" w:hanging="567"/>
              <w:rPr>
                <w:bCs/>
                <w:szCs w:val="22"/>
              </w:rPr>
            </w:pPr>
            <w:r w:rsidRPr="00AA43E9">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110A89C6" w14:textId="77777777" w:rsidR="00AA43E9" w:rsidRPr="00AA43E9" w:rsidRDefault="00AA43E9" w:rsidP="00AA43E9">
            <w:pPr>
              <w:ind w:left="567" w:hanging="567"/>
              <w:rPr>
                <w:bCs/>
                <w:szCs w:val="22"/>
              </w:rPr>
            </w:pPr>
            <w:r w:rsidRPr="00AA43E9">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5C5424C7" w14:textId="77777777" w:rsidR="00AA43E9" w:rsidRPr="00AA43E9" w:rsidRDefault="00AA43E9" w:rsidP="00AA43E9">
            <w:pPr>
              <w:ind w:left="567" w:hanging="567"/>
              <w:rPr>
                <w:szCs w:val="22"/>
              </w:rPr>
            </w:pPr>
            <w:r w:rsidRPr="00AA43E9">
              <w:t>– 3,33</w:t>
            </w:r>
          </w:p>
        </w:tc>
      </w:tr>
      <w:tr w:rsidR="00AA43E9" w:rsidRPr="00AA43E9" w14:paraId="3F0ED740"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BBDFBFC" w14:textId="77777777" w:rsidR="00AA43E9" w:rsidRPr="00AA43E9" w:rsidRDefault="00AA43E9" w:rsidP="00AA43E9">
            <w:pPr>
              <w:ind w:left="567" w:hanging="567"/>
              <w:rPr>
                <w:b/>
                <w:bCs/>
                <w:szCs w:val="22"/>
              </w:rPr>
            </w:pPr>
            <w:r w:rsidRPr="00AA43E9">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5278C2A5" w14:textId="77777777" w:rsidR="00AA43E9" w:rsidRPr="00AA43E9" w:rsidRDefault="00AA43E9" w:rsidP="00AA43E9">
            <w:pPr>
              <w:ind w:left="567" w:hanging="567"/>
              <w:rPr>
                <w:bCs/>
                <w:szCs w:val="22"/>
              </w:rPr>
            </w:pPr>
            <w:r w:rsidRPr="00AA43E9">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7DD01472" w14:textId="77777777" w:rsidR="00AA43E9" w:rsidRPr="00AA43E9" w:rsidRDefault="00AA43E9" w:rsidP="00AA43E9">
            <w:pPr>
              <w:ind w:left="567" w:hanging="567"/>
              <w:rPr>
                <w:bCs/>
                <w:szCs w:val="22"/>
              </w:rPr>
            </w:pPr>
            <w:r w:rsidRPr="00AA43E9">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32AD57D2" w14:textId="77777777" w:rsidR="00AA43E9" w:rsidRPr="00AA43E9" w:rsidRDefault="00AA43E9" w:rsidP="00AA43E9">
            <w:pPr>
              <w:ind w:left="567" w:hanging="567"/>
              <w:rPr>
                <w:szCs w:val="22"/>
              </w:rPr>
            </w:pPr>
            <w:r w:rsidRPr="00AA43E9">
              <w:t>– 35,77</w:t>
            </w:r>
          </w:p>
        </w:tc>
      </w:tr>
      <w:tr w:rsidR="00AA43E9" w:rsidRPr="00AA43E9" w14:paraId="2D1B67F3"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64826D" w14:textId="77777777" w:rsidR="00AA43E9" w:rsidRPr="00AA43E9" w:rsidRDefault="00AA43E9" w:rsidP="00AA43E9">
            <w:pPr>
              <w:ind w:left="567" w:hanging="567"/>
              <w:rPr>
                <w:b/>
                <w:bCs/>
                <w:szCs w:val="22"/>
              </w:rPr>
            </w:pPr>
            <w:r w:rsidRPr="00AA43E9">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25EC50B6" w14:textId="77777777" w:rsidR="00AA43E9" w:rsidRPr="00AA43E9" w:rsidRDefault="00AA43E9" w:rsidP="00AA43E9">
            <w:pPr>
              <w:ind w:left="567" w:hanging="567"/>
              <w:rPr>
                <w:bCs/>
                <w:szCs w:val="22"/>
              </w:rPr>
            </w:pPr>
            <w:r w:rsidRPr="00AA43E9">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75E12A09" w14:textId="77777777" w:rsidR="00AA43E9" w:rsidRPr="00AA43E9" w:rsidRDefault="00AA43E9" w:rsidP="00AA43E9">
            <w:pPr>
              <w:ind w:left="567" w:hanging="567"/>
              <w:rPr>
                <w:bCs/>
                <w:szCs w:val="22"/>
              </w:rPr>
            </w:pPr>
            <w:r w:rsidRPr="00AA43E9">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5A1685E4" w14:textId="77777777" w:rsidR="00AA43E9" w:rsidRPr="00AA43E9" w:rsidRDefault="00AA43E9" w:rsidP="00AA43E9">
            <w:pPr>
              <w:ind w:left="567" w:hanging="567"/>
              <w:rPr>
                <w:szCs w:val="22"/>
              </w:rPr>
            </w:pPr>
            <w:r w:rsidRPr="00AA43E9">
              <w:t>13,38</w:t>
            </w:r>
          </w:p>
        </w:tc>
      </w:tr>
      <w:tr w:rsidR="00AA43E9" w:rsidRPr="00AA43E9" w14:paraId="59459D7C"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6FB33E" w14:textId="77777777" w:rsidR="00AA43E9" w:rsidRPr="00AA43E9" w:rsidRDefault="00AA43E9" w:rsidP="00AA43E9">
            <w:pPr>
              <w:ind w:left="567" w:hanging="567"/>
              <w:rPr>
                <w:b/>
                <w:bCs/>
                <w:szCs w:val="22"/>
              </w:rPr>
            </w:pPr>
            <w:r w:rsidRPr="00AA43E9">
              <w:rPr>
                <w:b/>
              </w:rPr>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4B3BFC75" w14:textId="77777777" w:rsidR="00AA43E9" w:rsidRPr="00AA43E9" w:rsidRDefault="00AA43E9" w:rsidP="00AA43E9">
            <w:pPr>
              <w:ind w:left="567" w:hanging="567"/>
              <w:rPr>
                <w:bCs/>
                <w:szCs w:val="22"/>
              </w:rPr>
            </w:pPr>
            <w:r w:rsidRPr="00AA43E9">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5750F16A" w14:textId="77777777" w:rsidR="00AA43E9" w:rsidRPr="00AA43E9" w:rsidRDefault="00AA43E9" w:rsidP="00AA43E9">
            <w:pPr>
              <w:ind w:left="567" w:hanging="567"/>
              <w:rPr>
                <w:bCs/>
                <w:szCs w:val="22"/>
              </w:rPr>
            </w:pPr>
            <w:r w:rsidRPr="00AA43E9">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574A5256" w14:textId="77777777" w:rsidR="00AA43E9" w:rsidRPr="00AA43E9" w:rsidRDefault="00AA43E9" w:rsidP="00AA43E9">
            <w:pPr>
              <w:ind w:left="567" w:hanging="567"/>
              <w:rPr>
                <w:szCs w:val="22"/>
              </w:rPr>
            </w:pPr>
            <w:r w:rsidRPr="00AA43E9">
              <w:t>54,59</w:t>
            </w:r>
          </w:p>
        </w:tc>
      </w:tr>
      <w:tr w:rsidR="00AA43E9" w:rsidRPr="00AA43E9" w14:paraId="46A39479"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EB77BA1" w14:textId="77777777" w:rsidR="00AA43E9" w:rsidRPr="00AA43E9" w:rsidRDefault="00AA43E9" w:rsidP="00AA43E9">
            <w:pPr>
              <w:ind w:left="567" w:hanging="567"/>
              <w:rPr>
                <w:b/>
                <w:bCs/>
                <w:szCs w:val="22"/>
              </w:rPr>
            </w:pPr>
            <w:r w:rsidRPr="00AA43E9">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400ECAAC" w14:textId="77777777" w:rsidR="00AA43E9" w:rsidRPr="00AA43E9" w:rsidRDefault="00AA43E9" w:rsidP="00AA43E9">
            <w:pPr>
              <w:ind w:left="567" w:hanging="567"/>
              <w:rPr>
                <w:bCs/>
                <w:szCs w:val="22"/>
              </w:rPr>
            </w:pPr>
            <w:r w:rsidRPr="00AA43E9">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1281F3A4" w14:textId="77777777" w:rsidR="00AA43E9" w:rsidRPr="00AA43E9" w:rsidRDefault="00AA43E9" w:rsidP="00AA43E9">
            <w:pPr>
              <w:ind w:left="567" w:hanging="567"/>
              <w:rPr>
                <w:bCs/>
                <w:szCs w:val="22"/>
              </w:rPr>
            </w:pPr>
            <w:r w:rsidRPr="00AA43E9">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1E6C952D" w14:textId="77777777" w:rsidR="00AA43E9" w:rsidRPr="00AA43E9" w:rsidRDefault="00AA43E9" w:rsidP="00AA43E9">
            <w:pPr>
              <w:ind w:left="567" w:hanging="567"/>
              <w:rPr>
                <w:szCs w:val="22"/>
              </w:rPr>
            </w:pPr>
            <w:r w:rsidRPr="00AA43E9">
              <w:t>6,52</w:t>
            </w:r>
          </w:p>
        </w:tc>
      </w:tr>
      <w:tr w:rsidR="00AA43E9" w:rsidRPr="00AA43E9" w14:paraId="79D19648"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C83B77C" w14:textId="77777777" w:rsidR="00AA43E9" w:rsidRPr="00AA43E9" w:rsidRDefault="00AA43E9" w:rsidP="00AA43E9">
            <w:pPr>
              <w:ind w:left="567" w:hanging="567"/>
              <w:rPr>
                <w:b/>
                <w:bCs/>
                <w:szCs w:val="22"/>
              </w:rPr>
            </w:pPr>
            <w:r w:rsidRPr="00AA43E9">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3422B523" w14:textId="77777777" w:rsidR="00AA43E9" w:rsidRPr="00AA43E9" w:rsidRDefault="00AA43E9" w:rsidP="00AA43E9">
            <w:pPr>
              <w:ind w:left="567" w:hanging="567"/>
              <w:rPr>
                <w:bCs/>
                <w:szCs w:val="22"/>
              </w:rPr>
            </w:pPr>
            <w:r w:rsidRPr="00AA43E9">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328BD62F" w14:textId="77777777" w:rsidR="00AA43E9" w:rsidRPr="00AA43E9" w:rsidRDefault="00AA43E9" w:rsidP="00AA43E9">
            <w:pPr>
              <w:ind w:left="567" w:hanging="567"/>
              <w:rPr>
                <w:bCs/>
                <w:szCs w:val="22"/>
              </w:rPr>
            </w:pPr>
            <w:r w:rsidRPr="00AA43E9">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39A49414" w14:textId="77777777" w:rsidR="00AA43E9" w:rsidRPr="00AA43E9" w:rsidRDefault="00AA43E9" w:rsidP="00AA43E9">
            <w:pPr>
              <w:ind w:left="567" w:hanging="567"/>
              <w:rPr>
                <w:szCs w:val="22"/>
              </w:rPr>
            </w:pPr>
            <w:r w:rsidRPr="00AA43E9">
              <w:t>13,94</w:t>
            </w:r>
          </w:p>
        </w:tc>
      </w:tr>
      <w:tr w:rsidR="00AA43E9" w:rsidRPr="00AA43E9" w14:paraId="6C5D2C9B"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87F523F" w14:textId="77777777" w:rsidR="00AA43E9" w:rsidRPr="00AA43E9" w:rsidRDefault="00AA43E9" w:rsidP="00AA43E9">
            <w:pPr>
              <w:ind w:left="567" w:hanging="567"/>
              <w:rPr>
                <w:b/>
                <w:bCs/>
                <w:szCs w:val="22"/>
              </w:rPr>
            </w:pPr>
            <w:r w:rsidRPr="00AA43E9">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47833219" w14:textId="77777777" w:rsidR="00AA43E9" w:rsidRPr="00AA43E9" w:rsidRDefault="00AA43E9" w:rsidP="00AA43E9">
            <w:pPr>
              <w:ind w:left="567" w:hanging="567"/>
              <w:rPr>
                <w:bCs/>
                <w:szCs w:val="22"/>
              </w:rPr>
            </w:pPr>
            <w:r w:rsidRPr="00AA43E9">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0F25C2A0" w14:textId="77777777" w:rsidR="00AA43E9" w:rsidRPr="00AA43E9" w:rsidRDefault="00AA43E9" w:rsidP="00AA43E9">
            <w:pPr>
              <w:ind w:left="567" w:hanging="567"/>
              <w:rPr>
                <w:bCs/>
                <w:szCs w:val="22"/>
              </w:rPr>
            </w:pPr>
            <w:r w:rsidRPr="00AA43E9">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36A829ED" w14:textId="77777777" w:rsidR="00AA43E9" w:rsidRPr="00AA43E9" w:rsidRDefault="00AA43E9" w:rsidP="00AA43E9">
            <w:pPr>
              <w:ind w:left="567" w:hanging="567"/>
              <w:rPr>
                <w:szCs w:val="22"/>
              </w:rPr>
            </w:pPr>
            <w:r w:rsidRPr="00AA43E9">
              <w:t>0,77</w:t>
            </w:r>
          </w:p>
        </w:tc>
      </w:tr>
      <w:tr w:rsidR="00AA43E9" w:rsidRPr="00AA43E9" w14:paraId="54F14B12"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D852966" w14:textId="77777777" w:rsidR="00AA43E9" w:rsidRPr="00AA43E9" w:rsidRDefault="00AA43E9" w:rsidP="00AA43E9">
            <w:pPr>
              <w:ind w:left="567" w:hanging="567"/>
              <w:rPr>
                <w:b/>
                <w:bCs/>
                <w:szCs w:val="22"/>
              </w:rPr>
            </w:pPr>
            <w:r w:rsidRPr="00AA43E9">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089207E6" w14:textId="77777777" w:rsidR="00AA43E9" w:rsidRPr="00AA43E9" w:rsidRDefault="00AA43E9" w:rsidP="00AA43E9">
            <w:pPr>
              <w:ind w:left="567" w:hanging="567"/>
              <w:rPr>
                <w:bCs/>
                <w:szCs w:val="22"/>
              </w:rPr>
            </w:pPr>
            <w:r w:rsidRPr="00AA43E9">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6545ADDC" w14:textId="77777777" w:rsidR="00AA43E9" w:rsidRPr="00AA43E9" w:rsidRDefault="00AA43E9" w:rsidP="00AA43E9">
            <w:pPr>
              <w:ind w:left="567" w:hanging="567"/>
              <w:rPr>
                <w:bCs/>
                <w:szCs w:val="22"/>
              </w:rPr>
            </w:pPr>
            <w:r w:rsidRPr="00AA43E9">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3D2BD0AD" w14:textId="77777777" w:rsidR="00AA43E9" w:rsidRPr="00AA43E9" w:rsidRDefault="00AA43E9" w:rsidP="00AA43E9">
            <w:pPr>
              <w:ind w:left="567" w:hanging="567"/>
              <w:rPr>
                <w:szCs w:val="22"/>
              </w:rPr>
            </w:pPr>
            <w:r w:rsidRPr="00AA43E9">
              <w:t>1,35</w:t>
            </w:r>
          </w:p>
        </w:tc>
      </w:tr>
      <w:tr w:rsidR="00AA43E9" w:rsidRPr="00AA43E9" w14:paraId="0227F373"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7D9E3A8" w14:textId="77777777" w:rsidR="00AA43E9" w:rsidRPr="00AA43E9" w:rsidRDefault="00AA43E9" w:rsidP="00AA43E9">
            <w:pPr>
              <w:ind w:left="567" w:hanging="567"/>
              <w:rPr>
                <w:b/>
                <w:bCs/>
                <w:szCs w:val="22"/>
              </w:rPr>
            </w:pPr>
            <w:r w:rsidRPr="00AA43E9">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0CFF7003" w14:textId="77777777" w:rsidR="00AA43E9" w:rsidRPr="00AA43E9" w:rsidRDefault="00AA43E9" w:rsidP="00AA43E9">
            <w:pPr>
              <w:ind w:left="567" w:hanging="567"/>
              <w:rPr>
                <w:bCs/>
                <w:szCs w:val="22"/>
              </w:rPr>
            </w:pPr>
            <w:r w:rsidRPr="00AA43E9">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3E78DD9C" w14:textId="77777777" w:rsidR="00AA43E9" w:rsidRPr="00AA43E9" w:rsidRDefault="00AA43E9" w:rsidP="00AA43E9">
            <w:pPr>
              <w:ind w:left="567" w:hanging="567"/>
              <w:rPr>
                <w:bCs/>
                <w:szCs w:val="22"/>
              </w:rPr>
            </w:pPr>
            <w:r w:rsidRPr="00AA43E9">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3DDA7E31" w14:textId="77777777" w:rsidR="00AA43E9" w:rsidRPr="00AA43E9" w:rsidRDefault="00AA43E9" w:rsidP="00AA43E9">
            <w:pPr>
              <w:ind w:left="567" w:hanging="567"/>
              <w:rPr>
                <w:szCs w:val="22"/>
              </w:rPr>
            </w:pPr>
            <w:r w:rsidRPr="00AA43E9">
              <w:t>3,86</w:t>
            </w:r>
          </w:p>
        </w:tc>
      </w:tr>
      <w:tr w:rsidR="00AA43E9" w:rsidRPr="00AA43E9" w14:paraId="13C30182"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1B3277E" w14:textId="77777777" w:rsidR="00AA43E9" w:rsidRPr="00AA43E9" w:rsidRDefault="00AA43E9" w:rsidP="00AA43E9">
            <w:pPr>
              <w:ind w:left="567" w:hanging="567"/>
              <w:rPr>
                <w:b/>
                <w:bCs/>
                <w:szCs w:val="22"/>
              </w:rPr>
            </w:pPr>
            <w:r w:rsidRPr="00AA43E9">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60FEE6C3" w14:textId="77777777" w:rsidR="00AA43E9" w:rsidRPr="00AA43E9" w:rsidRDefault="00AA43E9" w:rsidP="00AA43E9">
            <w:pPr>
              <w:ind w:left="567" w:hanging="567"/>
              <w:rPr>
                <w:bCs/>
                <w:szCs w:val="22"/>
              </w:rPr>
            </w:pPr>
            <w:r w:rsidRPr="00AA43E9">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2DE7BD74" w14:textId="77777777" w:rsidR="00AA43E9" w:rsidRPr="00AA43E9" w:rsidRDefault="00AA43E9" w:rsidP="00AA43E9">
            <w:pPr>
              <w:ind w:left="567" w:hanging="567"/>
              <w:rPr>
                <w:bCs/>
                <w:szCs w:val="22"/>
              </w:rPr>
            </w:pPr>
            <w:r w:rsidRPr="00AA43E9">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2E5BD339" w14:textId="77777777" w:rsidR="00AA43E9" w:rsidRPr="00AA43E9" w:rsidRDefault="00AA43E9" w:rsidP="00AA43E9">
            <w:pPr>
              <w:ind w:left="567" w:hanging="567"/>
              <w:rPr>
                <w:szCs w:val="22"/>
              </w:rPr>
            </w:pPr>
            <w:r w:rsidRPr="00AA43E9">
              <w:t>13,07</w:t>
            </w:r>
          </w:p>
        </w:tc>
      </w:tr>
      <w:tr w:rsidR="00AA43E9" w:rsidRPr="00AA43E9" w14:paraId="650F2FF7"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B1D9CDD" w14:textId="77777777" w:rsidR="00AA43E9" w:rsidRPr="00AA43E9" w:rsidRDefault="00AA43E9" w:rsidP="00AA43E9">
            <w:pPr>
              <w:ind w:left="567" w:hanging="567"/>
              <w:rPr>
                <w:b/>
                <w:bCs/>
                <w:szCs w:val="22"/>
              </w:rPr>
            </w:pPr>
            <w:r w:rsidRPr="00AA43E9">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7A178C72" w14:textId="77777777" w:rsidR="00AA43E9" w:rsidRPr="00AA43E9" w:rsidRDefault="00AA43E9" w:rsidP="00AA43E9">
            <w:pPr>
              <w:ind w:left="567" w:hanging="567"/>
              <w:rPr>
                <w:bCs/>
                <w:szCs w:val="22"/>
              </w:rPr>
            </w:pPr>
            <w:r w:rsidRPr="00AA43E9">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7473DA29" w14:textId="77777777" w:rsidR="00AA43E9" w:rsidRPr="00AA43E9" w:rsidRDefault="00AA43E9" w:rsidP="00AA43E9">
            <w:pPr>
              <w:ind w:left="567" w:hanging="567"/>
              <w:rPr>
                <w:bCs/>
                <w:szCs w:val="22"/>
              </w:rPr>
            </w:pPr>
            <w:r w:rsidRPr="00AA43E9">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1B8554B4" w14:textId="77777777" w:rsidR="00AA43E9" w:rsidRPr="00AA43E9" w:rsidRDefault="00AA43E9" w:rsidP="00AA43E9">
            <w:pPr>
              <w:ind w:left="567" w:hanging="567"/>
              <w:rPr>
                <w:szCs w:val="22"/>
              </w:rPr>
            </w:pPr>
            <w:r w:rsidRPr="00AA43E9">
              <w:t>20,86</w:t>
            </w:r>
          </w:p>
        </w:tc>
      </w:tr>
      <w:tr w:rsidR="00AA43E9" w:rsidRPr="00AA43E9" w14:paraId="446817A7"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2B007E0" w14:textId="77777777" w:rsidR="00AA43E9" w:rsidRPr="00AA43E9" w:rsidRDefault="00AA43E9" w:rsidP="00AA43E9">
            <w:pPr>
              <w:ind w:left="567" w:hanging="567"/>
              <w:rPr>
                <w:b/>
                <w:bCs/>
                <w:szCs w:val="22"/>
              </w:rPr>
            </w:pPr>
            <w:r w:rsidRPr="00AA43E9">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062ADA7F" w14:textId="77777777" w:rsidR="00AA43E9" w:rsidRPr="00AA43E9" w:rsidRDefault="00AA43E9" w:rsidP="00AA43E9">
            <w:pPr>
              <w:ind w:left="567" w:hanging="567"/>
              <w:rPr>
                <w:bCs/>
                <w:szCs w:val="22"/>
              </w:rPr>
            </w:pPr>
            <w:r w:rsidRPr="00AA43E9">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350CDD81" w14:textId="77777777" w:rsidR="00AA43E9" w:rsidRPr="00AA43E9" w:rsidRDefault="00AA43E9" w:rsidP="00AA43E9">
            <w:pPr>
              <w:ind w:left="567" w:hanging="567"/>
              <w:rPr>
                <w:bCs/>
                <w:szCs w:val="22"/>
              </w:rPr>
            </w:pPr>
            <w:r w:rsidRPr="00AA43E9">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499A6D83" w14:textId="77777777" w:rsidR="00AA43E9" w:rsidRPr="00AA43E9" w:rsidRDefault="00AA43E9" w:rsidP="00AA43E9">
            <w:pPr>
              <w:ind w:left="567" w:hanging="567"/>
              <w:rPr>
                <w:szCs w:val="22"/>
              </w:rPr>
            </w:pPr>
            <w:r w:rsidRPr="00AA43E9">
              <w:t>7,67</w:t>
            </w:r>
          </w:p>
        </w:tc>
      </w:tr>
      <w:tr w:rsidR="00AA43E9" w:rsidRPr="00AA43E9" w14:paraId="1AA8E3D2"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8602C12" w14:textId="77777777" w:rsidR="00AA43E9" w:rsidRPr="00AA43E9" w:rsidRDefault="00AA43E9" w:rsidP="00AA43E9">
            <w:pPr>
              <w:ind w:left="567" w:hanging="567"/>
              <w:rPr>
                <w:b/>
                <w:bCs/>
                <w:szCs w:val="22"/>
              </w:rPr>
            </w:pPr>
            <w:r w:rsidRPr="00AA43E9">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4C87968A" w14:textId="77777777" w:rsidR="00AA43E9" w:rsidRPr="00AA43E9" w:rsidRDefault="00AA43E9" w:rsidP="00AA43E9">
            <w:pPr>
              <w:ind w:left="567" w:hanging="567"/>
              <w:rPr>
                <w:bCs/>
                <w:szCs w:val="22"/>
              </w:rPr>
            </w:pPr>
            <w:r w:rsidRPr="00AA43E9">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08A70A79" w14:textId="77777777" w:rsidR="00AA43E9" w:rsidRPr="00AA43E9" w:rsidRDefault="00AA43E9" w:rsidP="00AA43E9">
            <w:pPr>
              <w:ind w:left="567" w:hanging="567"/>
              <w:rPr>
                <w:bCs/>
                <w:szCs w:val="22"/>
              </w:rPr>
            </w:pPr>
            <w:r w:rsidRPr="00AA43E9">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0B496B5F" w14:textId="77777777" w:rsidR="00AA43E9" w:rsidRPr="00AA43E9" w:rsidRDefault="00AA43E9" w:rsidP="00AA43E9">
            <w:pPr>
              <w:ind w:left="567" w:hanging="567"/>
              <w:rPr>
                <w:szCs w:val="22"/>
              </w:rPr>
            </w:pPr>
            <w:r w:rsidRPr="00AA43E9">
              <w:t>17,63</w:t>
            </w:r>
          </w:p>
        </w:tc>
      </w:tr>
      <w:tr w:rsidR="00AA43E9" w:rsidRPr="00AA43E9" w14:paraId="0FA80939"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C38ADA1" w14:textId="77777777" w:rsidR="00AA43E9" w:rsidRPr="00AA43E9" w:rsidRDefault="00AA43E9" w:rsidP="00AA43E9">
            <w:pPr>
              <w:ind w:left="567" w:hanging="567"/>
              <w:rPr>
                <w:b/>
                <w:bCs/>
                <w:szCs w:val="22"/>
              </w:rPr>
            </w:pPr>
            <w:r w:rsidRPr="00AA43E9">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0569D820" w14:textId="77777777" w:rsidR="00AA43E9" w:rsidRPr="00AA43E9" w:rsidRDefault="00AA43E9" w:rsidP="00AA43E9">
            <w:pPr>
              <w:ind w:left="567" w:hanging="567"/>
              <w:rPr>
                <w:bCs/>
                <w:szCs w:val="22"/>
              </w:rPr>
            </w:pPr>
            <w:r w:rsidRPr="00AA43E9">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489506E9" w14:textId="77777777" w:rsidR="00AA43E9" w:rsidRPr="00AA43E9" w:rsidRDefault="00AA43E9" w:rsidP="00AA43E9">
            <w:pPr>
              <w:ind w:left="567" w:hanging="567"/>
              <w:rPr>
                <w:bCs/>
                <w:szCs w:val="22"/>
              </w:rPr>
            </w:pPr>
            <w:r w:rsidRPr="00AA43E9">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1836F6D5" w14:textId="77777777" w:rsidR="00AA43E9" w:rsidRPr="00AA43E9" w:rsidRDefault="00AA43E9" w:rsidP="00AA43E9">
            <w:pPr>
              <w:ind w:left="567" w:hanging="567"/>
              <w:rPr>
                <w:szCs w:val="22"/>
              </w:rPr>
            </w:pPr>
            <w:r w:rsidRPr="00AA43E9">
              <w:t>1,29</w:t>
            </w:r>
          </w:p>
        </w:tc>
      </w:tr>
      <w:tr w:rsidR="00AA43E9" w:rsidRPr="00AA43E9" w14:paraId="5B54FF50"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C7679E4" w14:textId="77777777" w:rsidR="00AA43E9" w:rsidRPr="00AA43E9" w:rsidRDefault="00AA43E9" w:rsidP="00AA43E9">
            <w:pPr>
              <w:ind w:left="567" w:hanging="567"/>
              <w:rPr>
                <w:b/>
                <w:bCs/>
                <w:szCs w:val="22"/>
              </w:rPr>
            </w:pPr>
            <w:r w:rsidRPr="00AA43E9">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282F03C9" w14:textId="77777777" w:rsidR="00AA43E9" w:rsidRPr="00AA43E9" w:rsidRDefault="00AA43E9" w:rsidP="00AA43E9">
            <w:pPr>
              <w:ind w:left="567" w:hanging="567"/>
              <w:rPr>
                <w:bCs/>
                <w:szCs w:val="22"/>
              </w:rPr>
            </w:pPr>
            <w:r w:rsidRPr="00AA43E9">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2EB0F556" w14:textId="77777777" w:rsidR="00AA43E9" w:rsidRPr="00AA43E9" w:rsidRDefault="00AA43E9" w:rsidP="00AA43E9">
            <w:pPr>
              <w:ind w:left="567" w:hanging="567"/>
              <w:rPr>
                <w:bCs/>
                <w:szCs w:val="22"/>
              </w:rPr>
            </w:pPr>
            <w:r w:rsidRPr="00AA43E9">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55C0AA60" w14:textId="77777777" w:rsidR="00AA43E9" w:rsidRPr="00AA43E9" w:rsidRDefault="00AA43E9" w:rsidP="00AA43E9">
            <w:pPr>
              <w:ind w:left="567" w:hanging="567"/>
              <w:rPr>
                <w:szCs w:val="22"/>
              </w:rPr>
            </w:pPr>
            <w:r w:rsidRPr="00AA43E9">
              <w:t>19,65</w:t>
            </w:r>
          </w:p>
        </w:tc>
      </w:tr>
      <w:tr w:rsidR="00AA43E9" w:rsidRPr="00AA43E9" w14:paraId="30AE3FAD" w14:textId="77777777" w:rsidTr="00FF61F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6D3831E" w14:textId="77777777" w:rsidR="00AA43E9" w:rsidRPr="00AA43E9" w:rsidRDefault="00AA43E9" w:rsidP="00AA43E9">
            <w:pPr>
              <w:ind w:left="567" w:hanging="567"/>
              <w:jc w:val="right"/>
              <w:rPr>
                <w:b/>
                <w:bCs/>
                <w:szCs w:val="22"/>
              </w:rPr>
            </w:pPr>
            <w:r w:rsidRPr="00AA43E9">
              <w:rPr>
                <w:b/>
              </w:rPr>
              <w:t>UKUPNO</w:t>
            </w:r>
          </w:p>
        </w:tc>
        <w:tc>
          <w:tcPr>
            <w:tcW w:w="2038" w:type="dxa"/>
            <w:tcBorders>
              <w:top w:val="single" w:sz="4" w:space="0" w:color="auto"/>
              <w:left w:val="single" w:sz="4" w:space="0" w:color="auto"/>
              <w:bottom w:val="single" w:sz="4" w:space="0" w:color="auto"/>
              <w:right w:val="single" w:sz="4" w:space="0" w:color="auto"/>
            </w:tcBorders>
            <w:noWrap/>
            <w:hideMark/>
          </w:tcPr>
          <w:p w14:paraId="5B59F4AE" w14:textId="77777777" w:rsidR="00AA43E9" w:rsidRPr="00AA43E9" w:rsidRDefault="00AA43E9" w:rsidP="00AA43E9">
            <w:pPr>
              <w:ind w:left="567" w:hanging="567"/>
              <w:rPr>
                <w:b/>
                <w:szCs w:val="22"/>
              </w:rPr>
            </w:pPr>
            <w:r w:rsidRPr="00AA43E9">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250CAECC" w14:textId="77777777" w:rsidR="00AA43E9" w:rsidRPr="00AA43E9" w:rsidRDefault="00AA43E9" w:rsidP="00AA43E9">
            <w:pPr>
              <w:ind w:left="567" w:hanging="567"/>
              <w:rPr>
                <w:b/>
                <w:szCs w:val="22"/>
              </w:rPr>
            </w:pPr>
            <w:r w:rsidRPr="00AA43E9">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729A9E0D" w14:textId="77777777" w:rsidR="00AA43E9" w:rsidRPr="00AA43E9" w:rsidRDefault="00AA43E9" w:rsidP="00AA43E9">
            <w:pPr>
              <w:ind w:left="567" w:hanging="567"/>
              <w:rPr>
                <w:b/>
                <w:szCs w:val="22"/>
              </w:rPr>
            </w:pPr>
            <w:r w:rsidRPr="00AA43E9">
              <w:rPr>
                <w:b/>
              </w:rPr>
              <w:t>3,80</w:t>
            </w:r>
          </w:p>
        </w:tc>
      </w:tr>
    </w:tbl>
    <w:p w14:paraId="27CD9981" w14:textId="77777777" w:rsidR="00AA43E9" w:rsidRPr="00AA43E9" w:rsidRDefault="00AA43E9" w:rsidP="00AA43E9">
      <w:pPr>
        <w:spacing w:after="240"/>
        <w:ind w:left="567" w:hanging="567"/>
        <w:rPr>
          <w:rFonts w:eastAsia="Aptos"/>
          <w:kern w:val="2"/>
          <w:lang w:eastAsia="en-US"/>
          <w14:ligatures w14:val="standardContextual"/>
        </w:rPr>
      </w:pPr>
      <w:r w:rsidRPr="00AA43E9">
        <w:rPr>
          <w:rFonts w:eastAsia="Aptos"/>
          <w:kern w:val="2"/>
          <w:lang w:eastAsia="en-US"/>
          <w14:ligatures w14:val="standardContextual"/>
        </w:rPr>
        <w:t>(</w:t>
      </w:r>
      <w:r w:rsidRPr="00AA43E9">
        <w:rPr>
          <w:rFonts w:eastAsia="Aptos"/>
          <w:kern w:val="2"/>
          <w:vertAlign w:val="superscript"/>
          <w:lang w:eastAsia="en-US"/>
          <w14:ligatures w14:val="standardContextual"/>
        </w:rPr>
        <w:t>1</w:t>
      </w:r>
      <w:r w:rsidRPr="00AA43E9">
        <w:rPr>
          <w:rFonts w:eastAsia="Aptos"/>
          <w:kern w:val="2"/>
          <w:lang w:eastAsia="en-US"/>
          <w14:ligatures w14:val="standardContextual"/>
        </w:rPr>
        <w:t>)</w:t>
      </w:r>
      <w:r w:rsidRPr="00AA43E9">
        <w:rPr>
          <w:rFonts w:eastAsia="Aptos"/>
          <w:kern w:val="2"/>
          <w:lang w:eastAsia="en-US"/>
          <w14:ligatures w14:val="standardContextual"/>
        </w:rPr>
        <w:tab/>
        <w:t>Odbijen višak koji je prenesen iz prethodne financijske godine.</w:t>
      </w:r>
    </w:p>
    <w:p w14:paraId="1586B28C" w14:textId="77777777" w:rsidR="00AA43E9" w:rsidRPr="00AA43E9" w:rsidRDefault="00AA43E9" w:rsidP="00AA43E9">
      <w:pPr>
        <w:spacing w:after="240"/>
        <w:ind w:left="567" w:hanging="567"/>
        <w:rPr>
          <w:kern w:val="2"/>
          <w14:ligatures w14:val="standardContextual"/>
        </w:rPr>
      </w:pPr>
      <w:r w:rsidRPr="00AA43E9">
        <w:rPr>
          <w:rFonts w:eastAsia="Aptos"/>
          <w:kern w:val="2"/>
          <w:lang w:eastAsia="en-US"/>
          <w14:ligatures w14:val="standardContextual"/>
        </w:rPr>
        <w:t>(</w:t>
      </w:r>
      <w:r w:rsidRPr="00AA43E9">
        <w:rPr>
          <w:rFonts w:eastAsia="Aptos"/>
          <w:kern w:val="2"/>
          <w:vertAlign w:val="superscript"/>
          <w:lang w:eastAsia="en-US"/>
          <w14:ligatures w14:val="standardContextual"/>
        </w:rPr>
        <w:t>2</w:t>
      </w:r>
      <w:r w:rsidRPr="00AA43E9">
        <w:rPr>
          <w:rFonts w:eastAsia="Aptos"/>
          <w:kern w:val="2"/>
          <w:lang w:eastAsia="en-US"/>
          <w14:ligatures w14:val="standardContextual"/>
        </w:rPr>
        <w:t>)</w:t>
      </w:r>
      <w:r w:rsidRPr="00AA43E9">
        <w:rPr>
          <w:rFonts w:eastAsia="Aptos"/>
          <w:kern w:val="2"/>
          <w:lang w:eastAsia="en-US"/>
          <w14:ligatures w14:val="standardContextual"/>
        </w:rPr>
        <w:tab/>
        <w:t>Odbijeni proračunski ispravci koji odgovaraju akumuliranom višku.</w:t>
      </w:r>
    </w:p>
    <w:p w14:paraId="6B7C5FAD" w14:textId="77777777" w:rsidR="00AA43E9" w:rsidRPr="00AA43E9" w:rsidRDefault="00AA43E9" w:rsidP="00AA43E9">
      <w:pPr>
        <w:spacing w:after="240"/>
        <w:ind w:left="567" w:hanging="567"/>
        <w:rPr>
          <w:kern w:val="2"/>
          <w14:ligatures w14:val="standardContextual"/>
        </w:rPr>
      </w:pPr>
    </w:p>
    <w:p w14:paraId="1D6F603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20.</w:t>
      </w:r>
      <w:r w:rsidRPr="00AA43E9">
        <w:rPr>
          <w:kern w:val="2"/>
          <w14:ligatures w14:val="standardContextual"/>
        </w:rPr>
        <w:tab/>
        <w:t xml:space="preserve">ističe da je povećanje prihoda od 2022. do 2023. u nekim agencijama bilo znatno, odnosno 54,59 % za ESA-u, 20,86 % za </w:t>
      </w:r>
      <w:proofErr w:type="spellStart"/>
      <w:r w:rsidRPr="00AA43E9">
        <w:rPr>
          <w:kern w:val="2"/>
          <w14:ligatures w14:val="standardContextual"/>
        </w:rPr>
        <w:t>Eurojust</w:t>
      </w:r>
      <w:proofErr w:type="spellEnd"/>
      <w:r w:rsidRPr="00AA43E9">
        <w:rPr>
          <w:kern w:val="2"/>
          <w14:ligatures w14:val="standardContextual"/>
        </w:rPr>
        <w:t xml:space="preserve">, 19,65 % za </w:t>
      </w:r>
      <w:proofErr w:type="spellStart"/>
      <w:r w:rsidRPr="00AA43E9">
        <w:rPr>
          <w:kern w:val="2"/>
          <w14:ligatures w14:val="standardContextual"/>
        </w:rPr>
        <w:t>Frontex</w:t>
      </w:r>
      <w:proofErr w:type="spellEnd"/>
      <w:r w:rsidRPr="00AA43E9">
        <w:rPr>
          <w:kern w:val="2"/>
          <w14:ligatures w14:val="standardContextual"/>
        </w:rPr>
        <w:t xml:space="preserve"> i 19,15 % za ACER; pozdravlja veće financiranje agencija za izvršavanje zakonodavstva;</w:t>
      </w:r>
    </w:p>
    <w:p w14:paraId="54CBEFAE" w14:textId="212CC1CD" w:rsidR="00AA43E9" w:rsidRPr="00AA43E9" w:rsidRDefault="00AA43E9" w:rsidP="00AA43E9">
      <w:pPr>
        <w:spacing w:after="240"/>
        <w:ind w:left="567" w:hanging="567"/>
        <w:rPr>
          <w:kern w:val="2"/>
          <w14:ligatures w14:val="standardContextual"/>
        </w:rPr>
      </w:pPr>
      <w:r w:rsidRPr="00AA43E9">
        <w:rPr>
          <w:kern w:val="2"/>
          <w14:ligatures w14:val="standardContextual"/>
        </w:rPr>
        <w:t>21.</w:t>
      </w:r>
      <w:r w:rsidRPr="00AA43E9">
        <w:rPr>
          <w:kern w:val="2"/>
          <w14:ligatures w14:val="standardContextual"/>
        </w:rPr>
        <w:tab/>
        <w:t xml:space="preserve">napominje da je povećanje u ESA-i uglavnom posljedica stalnog razvoja informatičkog </w:t>
      </w:r>
      <w:r w:rsidRPr="00AA43E9">
        <w:rPr>
          <w:kern w:val="2"/>
          <w14:ligatures w14:val="standardContextual"/>
        </w:rPr>
        <w:lastRenderedPageBreak/>
        <w:t xml:space="preserve">sustava nuklearnog opservatorija i upravljanja informacijama ESA-e (NOEMI) te pružanja računovodstvenih usluga za tu agenciju; u </w:t>
      </w:r>
      <w:proofErr w:type="spellStart"/>
      <w:r w:rsidRPr="00AA43E9">
        <w:rPr>
          <w:kern w:val="2"/>
          <w14:ligatures w14:val="standardContextual"/>
        </w:rPr>
        <w:t>Eurojustu</w:t>
      </w:r>
      <w:proofErr w:type="spellEnd"/>
      <w:r w:rsidRPr="00AA43E9">
        <w:rPr>
          <w:kern w:val="2"/>
          <w14:ligatures w14:val="standardContextual"/>
        </w:rPr>
        <w:t xml:space="preserve"> je povećanje uglavnom posljedica dodatnih sredstava potrebnih za obavljanje zadaća dodanih u okviru triju prijedloga Komisije za uredbe i posebno ozbiljnog učinka inflacije</w:t>
      </w:r>
      <w:r w:rsidRPr="00AA43E9">
        <w:rPr>
          <w:kern w:val="2"/>
          <w:vertAlign w:val="superscript"/>
          <w14:ligatures w14:val="standardContextual"/>
        </w:rPr>
        <w:footnoteReference w:id="409"/>
      </w:r>
      <w:r w:rsidRPr="00AA43E9">
        <w:rPr>
          <w:kern w:val="2"/>
          <w14:ligatures w14:val="standardContextual"/>
        </w:rPr>
        <w:t xml:space="preserve">; u </w:t>
      </w:r>
      <w:proofErr w:type="spellStart"/>
      <w:r w:rsidRPr="00AA43E9">
        <w:rPr>
          <w:kern w:val="2"/>
          <w14:ligatures w14:val="standardContextual"/>
        </w:rPr>
        <w:t>Frontexu</w:t>
      </w:r>
      <w:proofErr w:type="spellEnd"/>
      <w:r w:rsidRPr="00AA43E9">
        <w:rPr>
          <w:kern w:val="2"/>
          <w14:ligatures w14:val="standardContextual"/>
        </w:rPr>
        <w:t xml:space="preserve"> se povećanjem proračuna nastoji nastaviti izgradnja stalnih snaga službenika graničnog nadzora, uključujući opremu</w:t>
      </w:r>
      <w:r w:rsidRPr="00AA43E9">
        <w:rPr>
          <w:kern w:val="2"/>
          <w:vertAlign w:val="superscript"/>
          <w14:ligatures w14:val="standardContextual"/>
        </w:rPr>
        <w:footnoteReference w:id="410"/>
      </w:r>
      <w:r w:rsidRPr="00AA43E9">
        <w:rPr>
          <w:kern w:val="2"/>
          <w14:ligatures w14:val="standardContextual"/>
        </w:rPr>
        <w:t>; u slučaju ACER-a povećanje je uglavnom posljedica dodatnih zadaća delegiranih u planiranim revidiranim uredbama o energetskoj infrastrukturi i smanjenju emisija metana</w:t>
      </w:r>
      <w:r w:rsidRPr="00AA43E9">
        <w:rPr>
          <w:kern w:val="2"/>
          <w:vertAlign w:val="superscript"/>
          <w14:ligatures w14:val="standardContextual"/>
        </w:rPr>
        <w:footnoteReference w:id="411"/>
      </w:r>
      <w:r w:rsidRPr="00AA43E9">
        <w:rPr>
          <w:kern w:val="2"/>
          <w14:ligatures w14:val="standardContextual"/>
        </w:rPr>
        <w:t xml:space="preserve">, povezane godišnje </w:t>
      </w:r>
      <w:proofErr w:type="spellStart"/>
      <w:r w:rsidRPr="00AA43E9">
        <w:rPr>
          <w:kern w:val="2"/>
          <w14:ligatures w14:val="standardContextual"/>
        </w:rPr>
        <w:t>indeksacije</w:t>
      </w:r>
      <w:proofErr w:type="spellEnd"/>
      <w:r w:rsidRPr="00AA43E9">
        <w:rPr>
          <w:kern w:val="2"/>
          <w14:ligatures w14:val="standardContextual"/>
        </w:rPr>
        <w:t xml:space="preserve"> naknada, većih pravnih troškova i veće dodjele proračunskih sredstava koja proizlazi iz naknada za određene projekte;</w:t>
      </w:r>
    </w:p>
    <w:p w14:paraId="2EB6D927"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22.</w:t>
      </w:r>
      <w:r w:rsidRPr="00AA43E9">
        <w:rPr>
          <w:kern w:val="2"/>
          <w14:ligatures w14:val="standardContextual"/>
        </w:rPr>
        <w:tab/>
        <w:t xml:space="preserve">prima na znanje odgovor na pisano pitanje u kojem se navodi da su prijenosi </w:t>
      </w:r>
      <w:proofErr w:type="spellStart"/>
      <w:r w:rsidRPr="00AA43E9">
        <w:rPr>
          <w:kern w:val="2"/>
          <w14:ligatures w14:val="standardContextual"/>
        </w:rPr>
        <w:t>Frontexa</w:t>
      </w:r>
      <w:proofErr w:type="spellEnd"/>
      <w:r w:rsidRPr="00AA43E9">
        <w:rPr>
          <w:kern w:val="2"/>
          <w14:ligatures w14:val="standardContextual"/>
        </w:rPr>
        <w:t xml:space="preserve"> (45 % u 2023.) povezani s njegovim operativnim ciklusom, koji nije u skladu s kalendarskom godinom i ne može se lako prilagoditi jer uključuje sve države članice; svjestan je da su politički prioriteti Komisije i očekivanja građana Unije povezana sa sigurnošću razlozi zbog kojih je povećan proračun </w:t>
      </w:r>
      <w:proofErr w:type="spellStart"/>
      <w:r w:rsidRPr="00AA43E9">
        <w:rPr>
          <w:kern w:val="2"/>
          <w14:ligatures w14:val="standardContextual"/>
        </w:rPr>
        <w:t>Frontexa</w:t>
      </w:r>
      <w:proofErr w:type="spellEnd"/>
      <w:r w:rsidRPr="00AA43E9">
        <w:rPr>
          <w:kern w:val="2"/>
          <w14:ligatures w14:val="standardContextual"/>
        </w:rPr>
        <w:t xml:space="preserve">; inzistira na tome da je ključno osigurati prikladne resurse za učinkovit rad </w:t>
      </w:r>
      <w:proofErr w:type="spellStart"/>
      <w:r w:rsidRPr="00AA43E9">
        <w:rPr>
          <w:kern w:val="2"/>
          <w14:ligatures w14:val="standardContextual"/>
        </w:rPr>
        <w:t>Frontexa</w:t>
      </w:r>
      <w:proofErr w:type="spellEnd"/>
      <w:r w:rsidRPr="00AA43E9">
        <w:rPr>
          <w:kern w:val="2"/>
          <w14:ligatures w14:val="standardContextual"/>
        </w:rPr>
        <w:t>, a istodobno kontinuirano provoditi procjene toga je li njegov proračun primjeren svrsi i ostvaruje li rezultate; podsjeća na potrebu za praćenjem napretka kapaciteta apsorpcije te agencije, posebno zapošljavanjem osoblja na granicama i osoblja obalne straže, s naglaskom na važnosti dobrog planiranja kako bi se osigurala njezina učinkovitost; osim toga poziva EUAN da surađuje s agencijama i Revizorskim sudom kako bi se razvila standardizirana prezentacija prijenosa koja je bolje usklađena s načelom jedne godine iz Financijske uredbe;</w:t>
      </w:r>
    </w:p>
    <w:p w14:paraId="37B5791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23.</w:t>
      </w:r>
      <w:r w:rsidRPr="00AA43E9">
        <w:rPr>
          <w:kern w:val="2"/>
          <w14:ligatures w14:val="standardContextual"/>
        </w:rPr>
        <w:tab/>
        <w:t>podsjeća da većina agencija EU-a prima sredstva u cijelosti iz doprinosa iz proračuna Unije; no napominje da se neke agencije u potpunosti ili djelomično financiraju iz alternativnih izvora prihoda, uključujući certifikate, odobrenja, registraciju tvari, doprinose, prikupljanje podataka, nadzor tržišta, nadzor i druge usluge kao što su prevođenje i terminologija koje pruža Prevoditeljski centar za tijela Europske unije (</w:t>
      </w:r>
      <w:proofErr w:type="spellStart"/>
      <w:r w:rsidRPr="00AA43E9">
        <w:rPr>
          <w:kern w:val="2"/>
          <w14:ligatures w14:val="standardContextual"/>
        </w:rPr>
        <w:t>CdT</w:t>
      </w:r>
      <w:proofErr w:type="spellEnd"/>
      <w:r w:rsidRPr="00AA43E9">
        <w:rPr>
          <w:kern w:val="2"/>
          <w14:ligatures w14:val="standardContextual"/>
        </w:rPr>
        <w:t>);</w:t>
      </w:r>
    </w:p>
    <w:p w14:paraId="47F2817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24.</w:t>
      </w:r>
      <w:r w:rsidRPr="00AA43E9">
        <w:rPr>
          <w:kern w:val="2"/>
          <w14:ligatures w14:val="standardContextual"/>
        </w:rPr>
        <w:tab/>
        <w:t>posebno potvrđuje sljedeće:</w:t>
      </w:r>
    </w:p>
    <w:p w14:paraId="3D5D17C8" w14:textId="5A1EB544"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agencije koje se djelomično financiraju vlastitim sredstvima uključuju Europsku agenciju za sigurnost zračnog prometa (EASA), Agenciju Europske unije za željeznice (ERA), Agenciju za suradnju energetskih regulatora (ACER), Europsku agenciju za kemikalije (ECHA) i Europsku agenciju za lijekove (EMA),</w:t>
      </w:r>
    </w:p>
    <w:p w14:paraId="376628ED" w14:textId="0AD4BA79"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 xml:space="preserve">agencije koje se u potpunosti financiraju vlastitim sredstvima uključuju </w:t>
      </w:r>
      <w:proofErr w:type="spellStart"/>
      <w:r w:rsidR="00AA43E9" w:rsidRPr="00AA43E9">
        <w:rPr>
          <w:kern w:val="2"/>
          <w14:ligatures w14:val="standardContextual"/>
        </w:rPr>
        <w:t>CdT</w:t>
      </w:r>
      <w:proofErr w:type="spellEnd"/>
      <w:r w:rsidR="00AA43E9" w:rsidRPr="00AA43E9">
        <w:rPr>
          <w:kern w:val="2"/>
          <w14:ligatures w14:val="standardContextual"/>
        </w:rPr>
        <w:t>, kao i</w:t>
      </w:r>
    </w:p>
    <w:p w14:paraId="653CDAB2" w14:textId="4C79076D"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agencije koje djelomično sufinanciraju nacionalna javna tijela uključuju Europsko nadzorno tijelo za bankarstvo (EBA), Europsko nadzorno tijelo za osiguranje i strukovno mirovinsko osiguranje (EIOPA) i Europsko nadzorno tijelo za vrijednosne papire i tržišta kapitala (ESMA);</w:t>
      </w:r>
    </w:p>
    <w:p w14:paraId="6A9ECD42" w14:textId="77777777" w:rsidR="00AA43E9" w:rsidRPr="00AA43E9" w:rsidRDefault="00AA43E9" w:rsidP="00AA43E9">
      <w:pPr>
        <w:spacing w:after="120"/>
        <w:ind w:left="567" w:hanging="567"/>
        <w:rPr>
          <w:kern w:val="2"/>
          <w14:ligatures w14:val="standardContextual"/>
        </w:rPr>
      </w:pPr>
      <w:r w:rsidRPr="00AA43E9">
        <w:rPr>
          <w:kern w:val="2"/>
          <w14:ligatures w14:val="standardContextual"/>
        </w:rPr>
        <w:t>25.</w:t>
      </w:r>
      <w:r w:rsidRPr="00AA43E9">
        <w:rPr>
          <w:kern w:val="2"/>
          <w14:ligatures w14:val="standardContextual"/>
        </w:rPr>
        <w:tab/>
        <w:t xml:space="preserve">napominje da je za 2023. izvor financiranja za agencije koje se financiraju vlastitim </w:t>
      </w:r>
      <w:r w:rsidRPr="00AA43E9">
        <w:rPr>
          <w:kern w:val="2"/>
          <w14:ligatures w14:val="standardContextual"/>
        </w:rPr>
        <w:lastRenderedPageBreak/>
        <w:t>sredstvima koje su dio ove Rezolucije imao sljedeću raščlambu:</w:t>
      </w:r>
    </w:p>
    <w:tbl>
      <w:tblPr>
        <w:tblStyle w:val="TableGrid"/>
        <w:tblW w:w="7948" w:type="dxa"/>
        <w:tblLook w:val="04A0" w:firstRow="1" w:lastRow="0" w:firstColumn="1" w:lastColumn="0" w:noHBand="0" w:noVBand="1"/>
      </w:tblPr>
      <w:tblGrid>
        <w:gridCol w:w="1256"/>
        <w:gridCol w:w="1630"/>
        <w:gridCol w:w="1423"/>
        <w:gridCol w:w="696"/>
        <w:gridCol w:w="1477"/>
        <w:gridCol w:w="664"/>
        <w:gridCol w:w="1423"/>
      </w:tblGrid>
      <w:tr w:rsidR="00AA43E9" w:rsidRPr="00AA43E9" w14:paraId="07E74B8E" w14:textId="77777777" w:rsidTr="00FF61F3">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69353AB6" w14:textId="77777777" w:rsidR="00AA43E9" w:rsidRPr="00AA43E9" w:rsidRDefault="00AA43E9" w:rsidP="00AA43E9">
            <w:pPr>
              <w:widowControl/>
              <w:spacing w:after="120"/>
              <w:ind w:left="567" w:hanging="567"/>
              <w:rPr>
                <w:bCs/>
              </w:rPr>
            </w:pPr>
          </w:p>
        </w:tc>
        <w:tc>
          <w:tcPr>
            <w:tcW w:w="1630" w:type="dxa"/>
            <w:tcBorders>
              <w:top w:val="single" w:sz="4" w:space="0" w:color="auto"/>
              <w:left w:val="single" w:sz="4" w:space="0" w:color="auto"/>
              <w:bottom w:val="single" w:sz="4" w:space="0" w:color="auto"/>
              <w:right w:val="single" w:sz="4" w:space="0" w:color="auto"/>
            </w:tcBorders>
            <w:noWrap/>
            <w:hideMark/>
          </w:tcPr>
          <w:p w14:paraId="3A1A3AE0" w14:textId="77777777" w:rsidR="00AA43E9" w:rsidRPr="00AA43E9" w:rsidRDefault="00AA43E9" w:rsidP="00AA43E9">
            <w:pPr>
              <w:spacing w:after="120"/>
              <w:ind w:left="567" w:hanging="567"/>
              <w:rPr>
                <w:bCs/>
                <w:noProof/>
              </w:rPr>
            </w:pPr>
            <w:r w:rsidRPr="00AA43E9">
              <w:rPr>
                <w:bCs/>
              </w:rPr>
              <w:t>Prihodi 2023. (EUR)</w:t>
            </w:r>
          </w:p>
        </w:tc>
        <w:tc>
          <w:tcPr>
            <w:tcW w:w="1280" w:type="dxa"/>
            <w:tcBorders>
              <w:top w:val="single" w:sz="4" w:space="0" w:color="auto"/>
              <w:left w:val="single" w:sz="4" w:space="0" w:color="auto"/>
              <w:bottom w:val="single" w:sz="4" w:space="0" w:color="auto"/>
              <w:right w:val="single" w:sz="4" w:space="0" w:color="auto"/>
            </w:tcBorders>
            <w:noWrap/>
            <w:hideMark/>
          </w:tcPr>
          <w:p w14:paraId="1B51664A" w14:textId="77777777" w:rsidR="00AA43E9" w:rsidRPr="00AA43E9" w:rsidRDefault="00AA43E9" w:rsidP="00AA43E9">
            <w:pPr>
              <w:spacing w:after="120"/>
              <w:ind w:left="567" w:hanging="567"/>
              <w:rPr>
                <w:bCs/>
                <w:noProof/>
              </w:rPr>
            </w:pPr>
            <w:r w:rsidRPr="00AA43E9">
              <w:rPr>
                <w:bCs/>
              </w:rPr>
              <w:t>Subvencija EU-a (EUR)</w:t>
            </w:r>
          </w:p>
        </w:tc>
        <w:tc>
          <w:tcPr>
            <w:tcW w:w="696" w:type="dxa"/>
            <w:tcBorders>
              <w:top w:val="single" w:sz="4" w:space="0" w:color="auto"/>
              <w:left w:val="single" w:sz="4" w:space="0" w:color="auto"/>
              <w:bottom w:val="single" w:sz="4" w:space="0" w:color="auto"/>
              <w:right w:val="single" w:sz="4" w:space="0" w:color="auto"/>
            </w:tcBorders>
            <w:noWrap/>
            <w:hideMark/>
          </w:tcPr>
          <w:p w14:paraId="1CCDE03A" w14:textId="77777777" w:rsidR="00AA43E9" w:rsidRPr="00AA43E9" w:rsidRDefault="00AA43E9" w:rsidP="00AA43E9">
            <w:pPr>
              <w:spacing w:after="120"/>
              <w:ind w:left="567" w:hanging="567"/>
              <w:rPr>
                <w:bCs/>
                <w:noProof/>
              </w:rPr>
            </w:pPr>
            <w:r w:rsidRPr="00AA43E9">
              <w:rPr>
                <w:bCs/>
              </w:rPr>
              <w:t>%</w:t>
            </w:r>
          </w:p>
        </w:tc>
        <w:tc>
          <w:tcPr>
            <w:tcW w:w="1461" w:type="dxa"/>
            <w:tcBorders>
              <w:top w:val="single" w:sz="4" w:space="0" w:color="auto"/>
              <w:left w:val="single" w:sz="4" w:space="0" w:color="auto"/>
              <w:bottom w:val="single" w:sz="4" w:space="0" w:color="auto"/>
              <w:right w:val="single" w:sz="4" w:space="0" w:color="auto"/>
            </w:tcBorders>
            <w:noWrap/>
            <w:hideMark/>
          </w:tcPr>
          <w:p w14:paraId="211FE584" w14:textId="77777777" w:rsidR="00AA43E9" w:rsidRPr="00AA43E9" w:rsidRDefault="00AA43E9" w:rsidP="00AA43E9">
            <w:pPr>
              <w:spacing w:after="120"/>
              <w:ind w:left="567" w:hanging="567"/>
              <w:rPr>
                <w:bCs/>
                <w:noProof/>
              </w:rPr>
            </w:pPr>
            <w:r w:rsidRPr="00AA43E9">
              <w:rPr>
                <w:bCs/>
              </w:rPr>
              <w:t>Vlastiti prihodi (EUR)</w:t>
            </w:r>
          </w:p>
        </w:tc>
        <w:tc>
          <w:tcPr>
            <w:tcW w:w="664" w:type="dxa"/>
            <w:tcBorders>
              <w:top w:val="single" w:sz="4" w:space="0" w:color="auto"/>
              <w:left w:val="single" w:sz="4" w:space="0" w:color="auto"/>
              <w:bottom w:val="single" w:sz="4" w:space="0" w:color="auto"/>
              <w:right w:val="single" w:sz="4" w:space="0" w:color="auto"/>
            </w:tcBorders>
            <w:noWrap/>
            <w:hideMark/>
          </w:tcPr>
          <w:p w14:paraId="5FB4C7A0" w14:textId="77777777" w:rsidR="00AA43E9" w:rsidRPr="00AA43E9" w:rsidRDefault="00AA43E9" w:rsidP="00AA43E9">
            <w:pPr>
              <w:spacing w:after="120"/>
              <w:ind w:left="567" w:hanging="567"/>
              <w:rPr>
                <w:bCs/>
                <w:noProof/>
              </w:rPr>
            </w:pPr>
            <w:r w:rsidRPr="00AA43E9">
              <w:rPr>
                <w:bCs/>
              </w:rPr>
              <w:t>%</w:t>
            </w:r>
          </w:p>
        </w:tc>
        <w:tc>
          <w:tcPr>
            <w:tcW w:w="1300" w:type="dxa"/>
            <w:tcBorders>
              <w:top w:val="single" w:sz="4" w:space="0" w:color="auto"/>
              <w:left w:val="single" w:sz="4" w:space="0" w:color="auto"/>
              <w:bottom w:val="single" w:sz="4" w:space="0" w:color="auto"/>
              <w:right w:val="single" w:sz="4" w:space="0" w:color="auto"/>
            </w:tcBorders>
            <w:noWrap/>
            <w:hideMark/>
          </w:tcPr>
          <w:p w14:paraId="355B3AB0" w14:textId="77777777" w:rsidR="00AA43E9" w:rsidRPr="00AA43E9" w:rsidRDefault="00AA43E9" w:rsidP="00AA43E9">
            <w:pPr>
              <w:spacing w:after="120"/>
              <w:ind w:left="567" w:hanging="567"/>
              <w:rPr>
                <w:bCs/>
                <w:noProof/>
              </w:rPr>
            </w:pPr>
            <w:r w:rsidRPr="00AA43E9">
              <w:rPr>
                <w:bCs/>
              </w:rPr>
              <w:t>Drugo (EUR)</w:t>
            </w:r>
          </w:p>
        </w:tc>
      </w:tr>
      <w:tr w:rsidR="00AA43E9" w:rsidRPr="00AA43E9" w14:paraId="4076CAC1"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F4A435A" w14:textId="77777777" w:rsidR="00AA43E9" w:rsidRPr="00AA43E9" w:rsidRDefault="00AA43E9" w:rsidP="00AA43E9">
            <w:pPr>
              <w:spacing w:after="120"/>
              <w:ind w:left="567" w:hanging="567"/>
              <w:rPr>
                <w:b/>
                <w:bCs/>
                <w:noProof/>
              </w:rPr>
            </w:pPr>
            <w:r w:rsidRPr="00AA43E9">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6F06B972" w14:textId="77777777" w:rsidR="00AA43E9" w:rsidRPr="00AA43E9" w:rsidRDefault="00AA43E9" w:rsidP="00AA43E9">
            <w:pPr>
              <w:spacing w:after="120"/>
              <w:ind w:left="567" w:hanging="567"/>
              <w:rPr>
                <w:bCs/>
                <w:noProof/>
              </w:rPr>
            </w:pPr>
            <w:r w:rsidRPr="00AA43E9">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70053DE0" w14:textId="77777777" w:rsidR="00AA43E9" w:rsidRPr="00AA43E9" w:rsidRDefault="00AA43E9" w:rsidP="00AA43E9">
            <w:pPr>
              <w:spacing w:after="120"/>
              <w:ind w:left="567" w:hanging="567"/>
              <w:rPr>
                <w:bCs/>
                <w:noProof/>
              </w:rPr>
            </w:pPr>
            <w:r w:rsidRPr="00AA43E9">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1423B722" w14:textId="77777777" w:rsidR="00AA43E9" w:rsidRPr="00AA43E9" w:rsidRDefault="00AA43E9" w:rsidP="00AA43E9">
            <w:pPr>
              <w:spacing w:after="120"/>
              <w:ind w:left="567" w:hanging="567"/>
              <w:rPr>
                <w:bCs/>
                <w:noProof/>
              </w:rPr>
            </w:pPr>
            <w:r w:rsidRPr="00AA43E9">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39355776" w14:textId="77777777" w:rsidR="00AA43E9" w:rsidRPr="00AA43E9" w:rsidRDefault="00AA43E9" w:rsidP="00AA43E9">
            <w:pPr>
              <w:spacing w:after="120"/>
              <w:ind w:left="567" w:hanging="567"/>
              <w:rPr>
                <w:bCs/>
                <w:noProof/>
              </w:rPr>
            </w:pPr>
            <w:r w:rsidRPr="00AA43E9">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4E6927FA" w14:textId="77777777" w:rsidR="00AA43E9" w:rsidRPr="00AA43E9" w:rsidRDefault="00AA43E9" w:rsidP="00AA43E9">
            <w:pPr>
              <w:spacing w:after="120"/>
              <w:ind w:left="567" w:hanging="567"/>
              <w:rPr>
                <w:bCs/>
                <w:noProof/>
              </w:rPr>
            </w:pPr>
            <w:r w:rsidRPr="00AA43E9">
              <w:rPr>
                <w:bCs/>
              </w:rPr>
              <w:t>34</w:t>
            </w:r>
          </w:p>
        </w:tc>
        <w:tc>
          <w:tcPr>
            <w:tcW w:w="1300" w:type="dxa"/>
            <w:tcBorders>
              <w:top w:val="single" w:sz="4" w:space="0" w:color="auto"/>
              <w:left w:val="single" w:sz="4" w:space="0" w:color="auto"/>
              <w:bottom w:val="single" w:sz="4" w:space="0" w:color="auto"/>
              <w:right w:val="single" w:sz="4" w:space="0" w:color="auto"/>
            </w:tcBorders>
            <w:noWrap/>
            <w:hideMark/>
          </w:tcPr>
          <w:p w14:paraId="332F810E" w14:textId="77777777" w:rsidR="00AA43E9" w:rsidRPr="00AA43E9" w:rsidRDefault="00AA43E9" w:rsidP="00AA43E9">
            <w:pPr>
              <w:spacing w:after="120"/>
              <w:ind w:left="567" w:hanging="567"/>
              <w:rPr>
                <w:bCs/>
                <w:noProof/>
              </w:rPr>
            </w:pPr>
            <w:r w:rsidRPr="00AA43E9">
              <w:rPr>
                <w:bCs/>
              </w:rPr>
              <w:t>120</w:t>
            </w:r>
          </w:p>
        </w:tc>
      </w:tr>
      <w:tr w:rsidR="00AA43E9" w:rsidRPr="00AA43E9" w14:paraId="11D4FA52"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84D31B2" w14:textId="77777777" w:rsidR="00AA43E9" w:rsidRPr="00AA43E9" w:rsidRDefault="00AA43E9" w:rsidP="00AA43E9">
            <w:pPr>
              <w:spacing w:after="120"/>
              <w:ind w:left="567" w:hanging="567"/>
              <w:rPr>
                <w:b/>
                <w:bCs/>
                <w:noProof/>
              </w:rPr>
            </w:pPr>
            <w:r w:rsidRPr="00AA43E9">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34783C80" w14:textId="77777777" w:rsidR="00AA43E9" w:rsidRPr="00AA43E9" w:rsidRDefault="00AA43E9" w:rsidP="00AA43E9">
            <w:pPr>
              <w:spacing w:after="120"/>
              <w:ind w:left="567" w:hanging="567"/>
              <w:rPr>
                <w:bCs/>
                <w:noProof/>
              </w:rPr>
            </w:pPr>
            <w:r w:rsidRPr="00AA43E9">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03B5D53E" w14:textId="77777777" w:rsidR="00AA43E9" w:rsidRPr="00AA43E9" w:rsidRDefault="00AA43E9" w:rsidP="00AA43E9">
            <w:pPr>
              <w:spacing w:after="120"/>
              <w:ind w:left="567" w:hanging="567"/>
              <w:rPr>
                <w:bCs/>
                <w:noProof/>
              </w:rPr>
            </w:pPr>
            <w:r w:rsidRPr="00AA43E9">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71C25DB9" w14:textId="77777777" w:rsidR="00AA43E9" w:rsidRPr="00AA43E9" w:rsidRDefault="00AA43E9" w:rsidP="00AA43E9">
            <w:pPr>
              <w:spacing w:after="120"/>
              <w:ind w:left="567" w:hanging="567"/>
              <w:rPr>
                <w:bCs/>
                <w:noProof/>
              </w:rPr>
            </w:pPr>
            <w:r w:rsidRPr="00AA43E9">
              <w:rPr>
                <w:bCs/>
              </w:rPr>
              <w:t>0</w:t>
            </w:r>
          </w:p>
        </w:tc>
        <w:tc>
          <w:tcPr>
            <w:tcW w:w="1461" w:type="dxa"/>
            <w:tcBorders>
              <w:top w:val="single" w:sz="4" w:space="0" w:color="auto"/>
              <w:left w:val="single" w:sz="4" w:space="0" w:color="auto"/>
              <w:bottom w:val="single" w:sz="4" w:space="0" w:color="auto"/>
              <w:right w:val="single" w:sz="4" w:space="0" w:color="auto"/>
            </w:tcBorders>
            <w:noWrap/>
            <w:hideMark/>
          </w:tcPr>
          <w:p w14:paraId="489276DF" w14:textId="77777777" w:rsidR="00AA43E9" w:rsidRPr="00AA43E9" w:rsidRDefault="00AA43E9" w:rsidP="00AA43E9">
            <w:pPr>
              <w:spacing w:after="120"/>
              <w:ind w:left="567" w:hanging="567"/>
              <w:rPr>
                <w:bCs/>
                <w:noProof/>
              </w:rPr>
            </w:pPr>
            <w:r w:rsidRPr="00AA43E9">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35E71BCF" w14:textId="77777777" w:rsidR="00AA43E9" w:rsidRPr="00AA43E9" w:rsidRDefault="00AA43E9" w:rsidP="00AA43E9">
            <w:pPr>
              <w:spacing w:after="120"/>
              <w:ind w:left="567" w:hanging="567"/>
              <w:rPr>
                <w:bCs/>
                <w:noProof/>
              </w:rPr>
            </w:pPr>
            <w:r w:rsidRPr="00AA43E9">
              <w:rPr>
                <w:bCs/>
              </w:rPr>
              <w:t>98</w:t>
            </w:r>
          </w:p>
        </w:tc>
        <w:tc>
          <w:tcPr>
            <w:tcW w:w="1300" w:type="dxa"/>
            <w:tcBorders>
              <w:top w:val="single" w:sz="4" w:space="0" w:color="auto"/>
              <w:left w:val="single" w:sz="4" w:space="0" w:color="auto"/>
              <w:bottom w:val="single" w:sz="4" w:space="0" w:color="auto"/>
              <w:right w:val="single" w:sz="4" w:space="0" w:color="auto"/>
            </w:tcBorders>
            <w:noWrap/>
            <w:hideMark/>
          </w:tcPr>
          <w:p w14:paraId="7E22A305" w14:textId="77777777" w:rsidR="00AA43E9" w:rsidRPr="00AA43E9" w:rsidRDefault="00AA43E9" w:rsidP="00AA43E9">
            <w:pPr>
              <w:spacing w:after="120"/>
              <w:ind w:left="567" w:hanging="567"/>
              <w:rPr>
                <w:bCs/>
                <w:noProof/>
              </w:rPr>
            </w:pPr>
            <w:r w:rsidRPr="00AA43E9">
              <w:rPr>
                <w:bCs/>
              </w:rPr>
              <w:t>845 100</w:t>
            </w:r>
          </w:p>
        </w:tc>
      </w:tr>
      <w:tr w:rsidR="00AA43E9" w:rsidRPr="00AA43E9" w14:paraId="4C2A8299"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293C6E0" w14:textId="77777777" w:rsidR="00AA43E9" w:rsidRPr="00AA43E9" w:rsidRDefault="00AA43E9" w:rsidP="00AA43E9">
            <w:pPr>
              <w:spacing w:after="120"/>
              <w:ind w:left="567" w:hanging="567"/>
              <w:rPr>
                <w:b/>
                <w:bCs/>
                <w:noProof/>
              </w:rPr>
            </w:pPr>
            <w:r w:rsidRPr="00AA43E9">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6A4143DB" w14:textId="77777777" w:rsidR="00AA43E9" w:rsidRPr="00AA43E9" w:rsidRDefault="00AA43E9" w:rsidP="00AA43E9">
            <w:pPr>
              <w:spacing w:after="120"/>
              <w:ind w:left="567" w:hanging="567"/>
              <w:rPr>
                <w:bCs/>
                <w:noProof/>
              </w:rPr>
            </w:pPr>
            <w:r w:rsidRPr="00AA43E9">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64D52982" w14:textId="77777777" w:rsidR="00AA43E9" w:rsidRPr="00AA43E9" w:rsidRDefault="00AA43E9" w:rsidP="00AA43E9">
            <w:pPr>
              <w:spacing w:after="120"/>
              <w:ind w:left="567" w:hanging="567"/>
              <w:rPr>
                <w:bCs/>
                <w:noProof/>
              </w:rPr>
            </w:pPr>
            <w:r w:rsidRPr="00AA43E9">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60A65137" w14:textId="77777777" w:rsidR="00AA43E9" w:rsidRPr="00AA43E9" w:rsidRDefault="00AA43E9" w:rsidP="00AA43E9">
            <w:pPr>
              <w:spacing w:after="120"/>
              <w:ind w:left="567" w:hanging="567"/>
              <w:rPr>
                <w:bCs/>
                <w:noProof/>
              </w:rPr>
            </w:pPr>
            <w:r w:rsidRPr="00AA43E9">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6786A7E2" w14:textId="77777777" w:rsidR="00AA43E9" w:rsidRPr="00AA43E9" w:rsidRDefault="00AA43E9" w:rsidP="00AA43E9">
            <w:pPr>
              <w:spacing w:after="120"/>
              <w:ind w:left="567" w:hanging="567"/>
              <w:rPr>
                <w:bCs/>
                <w:noProof/>
              </w:rPr>
            </w:pPr>
            <w:r w:rsidRPr="00AA43E9">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33E38170" w14:textId="77777777" w:rsidR="00AA43E9" w:rsidRPr="00AA43E9" w:rsidRDefault="00AA43E9" w:rsidP="00AA43E9">
            <w:pPr>
              <w:spacing w:after="120"/>
              <w:ind w:left="567" w:hanging="567"/>
              <w:rPr>
                <w:bCs/>
                <w:noProof/>
              </w:rPr>
            </w:pPr>
            <w:r w:rsidRPr="00AA43E9">
              <w:rPr>
                <w:bCs/>
              </w:rPr>
              <w:t>71</w:t>
            </w:r>
          </w:p>
        </w:tc>
        <w:tc>
          <w:tcPr>
            <w:tcW w:w="1300" w:type="dxa"/>
            <w:tcBorders>
              <w:top w:val="single" w:sz="4" w:space="0" w:color="auto"/>
              <w:left w:val="single" w:sz="4" w:space="0" w:color="auto"/>
              <w:bottom w:val="single" w:sz="4" w:space="0" w:color="auto"/>
              <w:right w:val="single" w:sz="4" w:space="0" w:color="auto"/>
            </w:tcBorders>
            <w:noWrap/>
            <w:hideMark/>
          </w:tcPr>
          <w:p w14:paraId="39E97496" w14:textId="77777777" w:rsidR="00AA43E9" w:rsidRPr="00AA43E9" w:rsidRDefault="00AA43E9" w:rsidP="00AA43E9">
            <w:pPr>
              <w:spacing w:after="120"/>
              <w:ind w:left="567" w:hanging="567"/>
              <w:rPr>
                <w:bCs/>
                <w:noProof/>
              </w:rPr>
            </w:pPr>
            <w:r w:rsidRPr="00AA43E9">
              <w:rPr>
                <w:bCs/>
              </w:rPr>
              <w:t>4 398 508</w:t>
            </w:r>
          </w:p>
        </w:tc>
      </w:tr>
      <w:tr w:rsidR="00AA43E9" w:rsidRPr="00AA43E9" w14:paraId="5E794BC1"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5E0F4D6" w14:textId="77777777" w:rsidR="00AA43E9" w:rsidRPr="00AA43E9" w:rsidRDefault="00AA43E9" w:rsidP="00AA43E9">
            <w:pPr>
              <w:spacing w:after="120"/>
              <w:ind w:left="567" w:hanging="567"/>
              <w:rPr>
                <w:b/>
                <w:bCs/>
                <w:noProof/>
              </w:rPr>
            </w:pPr>
            <w:r w:rsidRPr="00AA43E9">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721D73A1" w14:textId="77777777" w:rsidR="00AA43E9" w:rsidRPr="00AA43E9" w:rsidRDefault="00AA43E9" w:rsidP="00AA43E9">
            <w:pPr>
              <w:spacing w:after="120"/>
              <w:ind w:left="567" w:hanging="567"/>
              <w:rPr>
                <w:bCs/>
                <w:noProof/>
              </w:rPr>
            </w:pPr>
            <w:r w:rsidRPr="00AA43E9">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6EE9E909" w14:textId="77777777" w:rsidR="00AA43E9" w:rsidRPr="00AA43E9" w:rsidRDefault="00AA43E9" w:rsidP="00AA43E9">
            <w:pPr>
              <w:spacing w:after="120"/>
              <w:ind w:left="567" w:hanging="567"/>
              <w:rPr>
                <w:bCs/>
                <w:noProof/>
              </w:rPr>
            </w:pPr>
            <w:r w:rsidRPr="00AA43E9">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1E9E00B9" w14:textId="77777777" w:rsidR="00AA43E9" w:rsidRPr="00AA43E9" w:rsidRDefault="00AA43E9" w:rsidP="00AA43E9">
            <w:pPr>
              <w:spacing w:after="120"/>
              <w:ind w:left="567" w:hanging="567"/>
              <w:rPr>
                <w:bCs/>
                <w:noProof/>
              </w:rPr>
            </w:pPr>
            <w:r w:rsidRPr="00AA43E9">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2E8E75D3" w14:textId="77777777" w:rsidR="00AA43E9" w:rsidRPr="00AA43E9" w:rsidRDefault="00AA43E9" w:rsidP="00AA43E9">
            <w:pPr>
              <w:spacing w:after="120"/>
              <w:ind w:left="567" w:hanging="567"/>
              <w:rPr>
                <w:bCs/>
                <w:noProof/>
              </w:rPr>
            </w:pPr>
            <w:r w:rsidRPr="00AA43E9">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2A4AF778" w14:textId="77777777" w:rsidR="00AA43E9" w:rsidRPr="00AA43E9" w:rsidRDefault="00AA43E9" w:rsidP="00AA43E9">
            <w:pPr>
              <w:spacing w:after="120"/>
              <w:ind w:left="567" w:hanging="567"/>
              <w:rPr>
                <w:bCs/>
                <w:noProof/>
              </w:rPr>
            </w:pPr>
            <w:r w:rsidRPr="00AA43E9">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19048BF1" w14:textId="77777777" w:rsidR="00AA43E9" w:rsidRPr="00AA43E9" w:rsidRDefault="00AA43E9" w:rsidP="00AA43E9">
            <w:pPr>
              <w:spacing w:after="120"/>
              <w:ind w:left="567" w:hanging="567"/>
              <w:rPr>
                <w:bCs/>
                <w:noProof/>
              </w:rPr>
            </w:pPr>
            <w:r w:rsidRPr="00AA43E9">
              <w:rPr>
                <w:bCs/>
              </w:rPr>
              <w:t>1 764 364</w:t>
            </w:r>
          </w:p>
        </w:tc>
      </w:tr>
      <w:tr w:rsidR="00AA43E9" w:rsidRPr="00AA43E9" w14:paraId="310FB2A8"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E5C1595" w14:textId="77777777" w:rsidR="00AA43E9" w:rsidRPr="00AA43E9" w:rsidRDefault="00AA43E9" w:rsidP="00AA43E9">
            <w:pPr>
              <w:spacing w:after="120"/>
              <w:ind w:left="567" w:hanging="567"/>
              <w:rPr>
                <w:b/>
                <w:bCs/>
                <w:noProof/>
              </w:rPr>
            </w:pPr>
            <w:r w:rsidRPr="00AA43E9">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5DB4F99A" w14:textId="77777777" w:rsidR="00AA43E9" w:rsidRPr="00AA43E9" w:rsidRDefault="00AA43E9" w:rsidP="00AA43E9">
            <w:pPr>
              <w:spacing w:after="120"/>
              <w:ind w:left="567" w:hanging="567"/>
              <w:rPr>
                <w:bCs/>
                <w:noProof/>
              </w:rPr>
            </w:pPr>
            <w:r w:rsidRPr="00AA43E9">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02D8682F" w14:textId="77777777" w:rsidR="00AA43E9" w:rsidRPr="00AA43E9" w:rsidRDefault="00AA43E9" w:rsidP="00AA43E9">
            <w:pPr>
              <w:spacing w:after="120"/>
              <w:ind w:left="567" w:hanging="567"/>
              <w:rPr>
                <w:bCs/>
                <w:noProof/>
              </w:rPr>
            </w:pPr>
            <w:r w:rsidRPr="00AA43E9">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43218161" w14:textId="77777777" w:rsidR="00AA43E9" w:rsidRPr="00AA43E9" w:rsidRDefault="00AA43E9" w:rsidP="00AA43E9">
            <w:pPr>
              <w:spacing w:after="120"/>
              <w:ind w:left="567" w:hanging="567"/>
              <w:rPr>
                <w:bCs/>
                <w:noProof/>
              </w:rPr>
            </w:pPr>
            <w:r w:rsidRPr="00AA43E9">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776D49D1" w14:textId="77777777" w:rsidR="00AA43E9" w:rsidRPr="00AA43E9" w:rsidRDefault="00AA43E9" w:rsidP="00AA43E9">
            <w:pPr>
              <w:spacing w:after="120"/>
              <w:ind w:left="567" w:hanging="567"/>
              <w:rPr>
                <w:bCs/>
                <w:noProof/>
              </w:rPr>
            </w:pPr>
            <w:r w:rsidRPr="00AA43E9">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36B5D721" w14:textId="77777777" w:rsidR="00AA43E9" w:rsidRPr="00AA43E9" w:rsidRDefault="00AA43E9" w:rsidP="00AA43E9">
            <w:pPr>
              <w:spacing w:after="120"/>
              <w:ind w:left="567" w:hanging="567"/>
              <w:rPr>
                <w:bCs/>
                <w:noProof/>
              </w:rPr>
            </w:pPr>
            <w:r w:rsidRPr="00AA43E9">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790ADEBB" w14:textId="77777777" w:rsidR="00AA43E9" w:rsidRPr="00AA43E9" w:rsidRDefault="00AA43E9" w:rsidP="00AA43E9">
            <w:pPr>
              <w:spacing w:after="120"/>
              <w:ind w:left="567" w:hanging="567"/>
              <w:rPr>
                <w:bCs/>
                <w:noProof/>
              </w:rPr>
            </w:pPr>
            <w:r w:rsidRPr="00AA43E9">
              <w:rPr>
                <w:bCs/>
              </w:rPr>
              <w:t>8 898 088</w:t>
            </w:r>
          </w:p>
        </w:tc>
      </w:tr>
      <w:tr w:rsidR="00AA43E9" w:rsidRPr="00AA43E9" w14:paraId="750000B1"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245A149" w14:textId="77777777" w:rsidR="00AA43E9" w:rsidRPr="00AA43E9" w:rsidRDefault="00AA43E9" w:rsidP="00AA43E9">
            <w:pPr>
              <w:spacing w:after="120"/>
              <w:ind w:left="567" w:hanging="567"/>
              <w:rPr>
                <w:b/>
                <w:bCs/>
                <w:noProof/>
              </w:rPr>
            </w:pPr>
            <w:r w:rsidRPr="00AA43E9">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04494796" w14:textId="77777777" w:rsidR="00AA43E9" w:rsidRPr="00AA43E9" w:rsidRDefault="00AA43E9" w:rsidP="00AA43E9">
            <w:pPr>
              <w:spacing w:after="120"/>
              <w:ind w:left="567" w:hanging="567"/>
              <w:rPr>
                <w:bCs/>
                <w:noProof/>
              </w:rPr>
            </w:pPr>
            <w:r w:rsidRPr="00AA43E9">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0A4C05B6" w14:textId="77777777" w:rsidR="00AA43E9" w:rsidRPr="00AA43E9" w:rsidRDefault="00AA43E9" w:rsidP="00AA43E9">
            <w:pPr>
              <w:spacing w:after="120"/>
              <w:ind w:left="567" w:hanging="567"/>
              <w:rPr>
                <w:bCs/>
                <w:noProof/>
              </w:rPr>
            </w:pPr>
            <w:r w:rsidRPr="00AA43E9">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2183BDC8" w14:textId="77777777" w:rsidR="00AA43E9" w:rsidRPr="00AA43E9" w:rsidRDefault="00AA43E9" w:rsidP="00AA43E9">
            <w:pPr>
              <w:spacing w:after="120"/>
              <w:ind w:left="567" w:hanging="567"/>
              <w:rPr>
                <w:bCs/>
                <w:noProof/>
              </w:rPr>
            </w:pPr>
            <w:r w:rsidRPr="00AA43E9">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56147101" w14:textId="77777777" w:rsidR="00AA43E9" w:rsidRPr="00AA43E9" w:rsidRDefault="00AA43E9" w:rsidP="00AA43E9">
            <w:pPr>
              <w:spacing w:after="120"/>
              <w:ind w:left="567" w:hanging="567"/>
              <w:rPr>
                <w:bCs/>
                <w:noProof/>
              </w:rPr>
            </w:pPr>
            <w:r w:rsidRPr="00AA43E9">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69401AE9" w14:textId="77777777" w:rsidR="00AA43E9" w:rsidRPr="00AA43E9" w:rsidRDefault="00AA43E9" w:rsidP="00AA43E9">
            <w:pPr>
              <w:spacing w:after="120"/>
              <w:ind w:left="567" w:hanging="567"/>
              <w:rPr>
                <w:bCs/>
                <w:noProof/>
              </w:rPr>
            </w:pPr>
            <w:r w:rsidRPr="00AA43E9">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5B555DE5" w14:textId="77777777" w:rsidR="00AA43E9" w:rsidRPr="00AA43E9" w:rsidRDefault="00AA43E9" w:rsidP="00AA43E9">
            <w:pPr>
              <w:spacing w:after="120"/>
              <w:ind w:left="567" w:hanging="567"/>
              <w:rPr>
                <w:bCs/>
                <w:noProof/>
              </w:rPr>
            </w:pPr>
            <w:r w:rsidRPr="00AA43E9">
              <w:rPr>
                <w:bCs/>
              </w:rPr>
              <w:t>1 156 819</w:t>
            </w:r>
          </w:p>
        </w:tc>
      </w:tr>
      <w:tr w:rsidR="00AA43E9" w:rsidRPr="00AA43E9" w14:paraId="581A7197"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C2772B9" w14:textId="77777777" w:rsidR="00AA43E9" w:rsidRPr="00AA43E9" w:rsidRDefault="00AA43E9" w:rsidP="00AA43E9">
            <w:pPr>
              <w:spacing w:after="120"/>
              <w:ind w:left="567" w:hanging="567"/>
              <w:rPr>
                <w:b/>
                <w:bCs/>
                <w:noProof/>
              </w:rPr>
            </w:pPr>
            <w:r w:rsidRPr="00AA43E9">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3068F6C1" w14:textId="77777777" w:rsidR="00AA43E9" w:rsidRPr="00AA43E9" w:rsidRDefault="00AA43E9" w:rsidP="00AA43E9">
            <w:pPr>
              <w:spacing w:after="120"/>
              <w:ind w:left="567" w:hanging="567"/>
              <w:rPr>
                <w:bCs/>
                <w:noProof/>
              </w:rPr>
            </w:pPr>
            <w:r w:rsidRPr="00AA43E9">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45CF11E5" w14:textId="77777777" w:rsidR="00AA43E9" w:rsidRPr="00AA43E9" w:rsidRDefault="00AA43E9" w:rsidP="00AA43E9">
            <w:pPr>
              <w:spacing w:after="120"/>
              <w:ind w:left="567" w:hanging="567"/>
              <w:rPr>
                <w:bCs/>
                <w:noProof/>
              </w:rPr>
            </w:pPr>
            <w:r w:rsidRPr="00AA43E9">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33EE587B" w14:textId="77777777" w:rsidR="00AA43E9" w:rsidRPr="00AA43E9" w:rsidRDefault="00AA43E9" w:rsidP="00AA43E9">
            <w:pPr>
              <w:spacing w:after="120"/>
              <w:ind w:left="567" w:hanging="567"/>
              <w:rPr>
                <w:bCs/>
                <w:noProof/>
              </w:rPr>
            </w:pPr>
            <w:r w:rsidRPr="00AA43E9">
              <w:rPr>
                <w:bCs/>
              </w:rPr>
              <w:t>11</w:t>
            </w:r>
          </w:p>
        </w:tc>
        <w:tc>
          <w:tcPr>
            <w:tcW w:w="1461" w:type="dxa"/>
            <w:tcBorders>
              <w:top w:val="single" w:sz="4" w:space="0" w:color="auto"/>
              <w:left w:val="single" w:sz="4" w:space="0" w:color="auto"/>
              <w:bottom w:val="single" w:sz="4" w:space="0" w:color="auto"/>
              <w:right w:val="single" w:sz="4" w:space="0" w:color="auto"/>
            </w:tcBorders>
            <w:noWrap/>
            <w:hideMark/>
          </w:tcPr>
          <w:p w14:paraId="59C53BCD" w14:textId="77777777" w:rsidR="00AA43E9" w:rsidRPr="00AA43E9" w:rsidRDefault="00AA43E9" w:rsidP="00AA43E9">
            <w:pPr>
              <w:spacing w:after="120"/>
              <w:ind w:left="567" w:hanging="567"/>
              <w:rPr>
                <w:bCs/>
                <w:noProof/>
              </w:rPr>
            </w:pPr>
            <w:r w:rsidRPr="00AA43E9">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7E940E7F" w14:textId="77777777" w:rsidR="00AA43E9" w:rsidRPr="00AA43E9" w:rsidRDefault="00AA43E9" w:rsidP="00AA43E9">
            <w:pPr>
              <w:spacing w:after="120"/>
              <w:ind w:left="567" w:hanging="567"/>
              <w:rPr>
                <w:bCs/>
                <w:noProof/>
              </w:rPr>
            </w:pPr>
            <w:r w:rsidRPr="00AA43E9">
              <w:rPr>
                <w:bCs/>
              </w:rPr>
              <w:t>89</w:t>
            </w:r>
          </w:p>
        </w:tc>
        <w:tc>
          <w:tcPr>
            <w:tcW w:w="1300" w:type="dxa"/>
            <w:tcBorders>
              <w:top w:val="single" w:sz="4" w:space="0" w:color="auto"/>
              <w:left w:val="single" w:sz="4" w:space="0" w:color="auto"/>
              <w:bottom w:val="single" w:sz="4" w:space="0" w:color="auto"/>
              <w:right w:val="single" w:sz="4" w:space="0" w:color="auto"/>
            </w:tcBorders>
            <w:noWrap/>
            <w:hideMark/>
          </w:tcPr>
          <w:p w14:paraId="10FD14FA" w14:textId="77777777" w:rsidR="00AA43E9" w:rsidRPr="00AA43E9" w:rsidRDefault="00AA43E9" w:rsidP="00AA43E9">
            <w:pPr>
              <w:spacing w:after="120"/>
              <w:ind w:left="567" w:hanging="567"/>
              <w:rPr>
                <w:bCs/>
                <w:noProof/>
              </w:rPr>
            </w:pPr>
            <w:r w:rsidRPr="00AA43E9">
              <w:rPr>
                <w:bCs/>
              </w:rPr>
              <w:t>367 000</w:t>
            </w:r>
          </w:p>
        </w:tc>
      </w:tr>
      <w:tr w:rsidR="00AA43E9" w:rsidRPr="00AA43E9" w14:paraId="601DC153"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984A598" w14:textId="77777777" w:rsidR="00AA43E9" w:rsidRPr="00AA43E9" w:rsidRDefault="00AA43E9" w:rsidP="00AA43E9">
            <w:pPr>
              <w:spacing w:after="120"/>
              <w:ind w:left="567" w:hanging="567"/>
              <w:rPr>
                <w:b/>
                <w:bCs/>
                <w:noProof/>
              </w:rPr>
            </w:pPr>
            <w:r w:rsidRPr="00AA43E9">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40D175BC" w14:textId="77777777" w:rsidR="00AA43E9" w:rsidRPr="00AA43E9" w:rsidRDefault="00AA43E9" w:rsidP="00AA43E9">
            <w:pPr>
              <w:spacing w:after="120"/>
              <w:ind w:left="567" w:hanging="567"/>
              <w:rPr>
                <w:bCs/>
                <w:noProof/>
              </w:rPr>
            </w:pPr>
            <w:r w:rsidRPr="00AA43E9">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3E9E8C02" w14:textId="77777777" w:rsidR="00AA43E9" w:rsidRPr="00AA43E9" w:rsidRDefault="00AA43E9" w:rsidP="00AA43E9">
            <w:pPr>
              <w:spacing w:after="120"/>
              <w:ind w:left="567" w:hanging="567"/>
              <w:rPr>
                <w:bCs/>
                <w:noProof/>
              </w:rPr>
            </w:pPr>
            <w:r w:rsidRPr="00AA43E9">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636DF2FB" w14:textId="77777777" w:rsidR="00AA43E9" w:rsidRPr="00AA43E9" w:rsidRDefault="00AA43E9" w:rsidP="00AA43E9">
            <w:pPr>
              <w:spacing w:after="120"/>
              <w:ind w:left="567" w:hanging="567"/>
              <w:rPr>
                <w:bCs/>
                <w:noProof/>
              </w:rPr>
            </w:pPr>
            <w:r w:rsidRPr="00AA43E9">
              <w:rPr>
                <w:bCs/>
              </w:rPr>
              <w:t>71</w:t>
            </w:r>
          </w:p>
        </w:tc>
        <w:tc>
          <w:tcPr>
            <w:tcW w:w="1461" w:type="dxa"/>
            <w:tcBorders>
              <w:top w:val="single" w:sz="4" w:space="0" w:color="auto"/>
              <w:left w:val="single" w:sz="4" w:space="0" w:color="auto"/>
              <w:bottom w:val="single" w:sz="4" w:space="0" w:color="auto"/>
              <w:right w:val="single" w:sz="4" w:space="0" w:color="auto"/>
            </w:tcBorders>
            <w:noWrap/>
            <w:hideMark/>
          </w:tcPr>
          <w:p w14:paraId="0C0F6140" w14:textId="77777777" w:rsidR="00AA43E9" w:rsidRPr="00AA43E9" w:rsidRDefault="00AA43E9" w:rsidP="00AA43E9">
            <w:pPr>
              <w:spacing w:after="120"/>
              <w:ind w:left="567" w:hanging="567"/>
              <w:rPr>
                <w:bCs/>
                <w:noProof/>
              </w:rPr>
            </w:pPr>
            <w:r w:rsidRPr="00AA43E9">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45129477" w14:textId="77777777" w:rsidR="00AA43E9" w:rsidRPr="00AA43E9" w:rsidRDefault="00AA43E9" w:rsidP="00AA43E9">
            <w:pPr>
              <w:spacing w:after="120"/>
              <w:ind w:left="567" w:hanging="567"/>
              <w:rPr>
                <w:bCs/>
                <w:noProof/>
              </w:rPr>
            </w:pPr>
            <w:r w:rsidRPr="00AA43E9">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74D66641" w14:textId="77777777" w:rsidR="00AA43E9" w:rsidRPr="00AA43E9" w:rsidRDefault="00AA43E9" w:rsidP="00AA43E9">
            <w:pPr>
              <w:spacing w:after="120"/>
              <w:ind w:left="567" w:hanging="567"/>
              <w:rPr>
                <w:bCs/>
                <w:noProof/>
              </w:rPr>
            </w:pPr>
            <w:r w:rsidRPr="00AA43E9">
              <w:rPr>
                <w:bCs/>
              </w:rPr>
              <w:t>801 315</w:t>
            </w:r>
          </w:p>
        </w:tc>
      </w:tr>
      <w:tr w:rsidR="00AA43E9" w:rsidRPr="00AA43E9" w14:paraId="26BE3BCC"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08E74C7" w14:textId="77777777" w:rsidR="00AA43E9" w:rsidRPr="00AA43E9" w:rsidRDefault="00AA43E9" w:rsidP="00AA43E9">
            <w:pPr>
              <w:spacing w:after="120"/>
              <w:ind w:left="567" w:hanging="567"/>
              <w:rPr>
                <w:b/>
                <w:bCs/>
                <w:noProof/>
              </w:rPr>
            </w:pPr>
            <w:r w:rsidRPr="00AA43E9">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2422D827" w14:textId="77777777" w:rsidR="00AA43E9" w:rsidRPr="00AA43E9" w:rsidRDefault="00AA43E9" w:rsidP="00AA43E9">
            <w:pPr>
              <w:spacing w:after="120"/>
              <w:ind w:left="567" w:hanging="567"/>
              <w:rPr>
                <w:bCs/>
                <w:noProof/>
              </w:rPr>
            </w:pPr>
            <w:r w:rsidRPr="00AA43E9">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67CB0C55" w14:textId="77777777" w:rsidR="00AA43E9" w:rsidRPr="00AA43E9" w:rsidRDefault="00AA43E9" w:rsidP="00AA43E9">
            <w:pPr>
              <w:spacing w:after="120"/>
              <w:ind w:left="567" w:hanging="567"/>
              <w:rPr>
                <w:bCs/>
                <w:noProof/>
              </w:rPr>
            </w:pPr>
            <w:r w:rsidRPr="00AA43E9">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73A5139C" w14:textId="77777777" w:rsidR="00AA43E9" w:rsidRPr="00AA43E9" w:rsidRDefault="00AA43E9" w:rsidP="00AA43E9">
            <w:pPr>
              <w:spacing w:after="120"/>
              <w:ind w:left="567" w:hanging="567"/>
              <w:rPr>
                <w:bCs/>
                <w:noProof/>
              </w:rPr>
            </w:pPr>
            <w:r w:rsidRPr="00AA43E9">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1EEE35BE" w14:textId="77777777" w:rsidR="00AA43E9" w:rsidRPr="00AA43E9" w:rsidRDefault="00AA43E9" w:rsidP="00AA43E9">
            <w:pPr>
              <w:spacing w:after="120"/>
              <w:ind w:left="567" w:hanging="567"/>
              <w:rPr>
                <w:bCs/>
                <w:noProof/>
              </w:rPr>
            </w:pPr>
            <w:r w:rsidRPr="00AA43E9">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33908D6B" w14:textId="77777777" w:rsidR="00AA43E9" w:rsidRPr="00AA43E9" w:rsidRDefault="00AA43E9" w:rsidP="00AA43E9">
            <w:pPr>
              <w:spacing w:after="120"/>
              <w:ind w:left="567" w:hanging="567"/>
              <w:rPr>
                <w:bCs/>
                <w:noProof/>
              </w:rPr>
            </w:pPr>
            <w:r w:rsidRPr="00AA43E9">
              <w:rPr>
                <w:bCs/>
              </w:rPr>
              <w:t>72</w:t>
            </w:r>
          </w:p>
        </w:tc>
        <w:tc>
          <w:tcPr>
            <w:tcW w:w="1300" w:type="dxa"/>
            <w:tcBorders>
              <w:top w:val="single" w:sz="4" w:space="0" w:color="auto"/>
              <w:left w:val="single" w:sz="4" w:space="0" w:color="auto"/>
              <w:bottom w:val="single" w:sz="4" w:space="0" w:color="auto"/>
              <w:right w:val="single" w:sz="4" w:space="0" w:color="auto"/>
            </w:tcBorders>
            <w:noWrap/>
            <w:hideMark/>
          </w:tcPr>
          <w:p w14:paraId="4B8E2214" w14:textId="77777777" w:rsidR="00AA43E9" w:rsidRPr="00AA43E9" w:rsidRDefault="00AA43E9" w:rsidP="00AA43E9">
            <w:pPr>
              <w:spacing w:after="120"/>
              <w:ind w:left="567" w:hanging="567"/>
              <w:rPr>
                <w:bCs/>
                <w:noProof/>
              </w:rPr>
            </w:pPr>
            <w:r w:rsidRPr="00AA43E9">
              <w:rPr>
                <w:bCs/>
              </w:rPr>
              <w:t>1 696 965</w:t>
            </w:r>
          </w:p>
        </w:tc>
      </w:tr>
      <w:tr w:rsidR="00AA43E9" w:rsidRPr="00AA43E9" w14:paraId="22A913DD" w14:textId="77777777" w:rsidTr="00FF61F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B08D57A" w14:textId="77777777" w:rsidR="00AA43E9" w:rsidRPr="00AA43E9" w:rsidRDefault="00AA43E9" w:rsidP="00AA43E9">
            <w:pPr>
              <w:spacing w:after="120"/>
              <w:ind w:left="567" w:hanging="567"/>
              <w:jc w:val="right"/>
              <w:rPr>
                <w:b/>
                <w:bCs/>
                <w:noProof/>
              </w:rPr>
            </w:pPr>
            <w:r w:rsidRPr="00AA43E9">
              <w:rPr>
                <w:b/>
              </w:rPr>
              <w:t>UKUPNO</w:t>
            </w:r>
          </w:p>
        </w:tc>
        <w:tc>
          <w:tcPr>
            <w:tcW w:w="1630" w:type="dxa"/>
            <w:tcBorders>
              <w:top w:val="single" w:sz="4" w:space="0" w:color="auto"/>
              <w:left w:val="single" w:sz="4" w:space="0" w:color="auto"/>
              <w:bottom w:val="single" w:sz="4" w:space="0" w:color="auto"/>
              <w:right w:val="single" w:sz="4" w:space="0" w:color="auto"/>
            </w:tcBorders>
            <w:noWrap/>
            <w:hideMark/>
          </w:tcPr>
          <w:p w14:paraId="4CF29764" w14:textId="77777777" w:rsidR="00AA43E9" w:rsidRPr="00AA43E9" w:rsidRDefault="00AA43E9" w:rsidP="00AA43E9">
            <w:pPr>
              <w:spacing w:after="120"/>
              <w:ind w:left="567" w:hanging="567"/>
              <w:rPr>
                <w:b/>
                <w:noProof/>
              </w:rPr>
            </w:pPr>
            <w:r w:rsidRPr="00AA43E9">
              <w:rPr>
                <w:b/>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11A6AABA" w14:textId="77777777" w:rsidR="00AA43E9" w:rsidRPr="00AA43E9" w:rsidRDefault="00AA43E9" w:rsidP="00AA43E9">
            <w:pPr>
              <w:spacing w:after="120"/>
              <w:ind w:left="567" w:hanging="567"/>
              <w:rPr>
                <w:b/>
                <w:noProof/>
              </w:rPr>
            </w:pPr>
            <w:r w:rsidRPr="00AA43E9">
              <w:rPr>
                <w:b/>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41F05B6A" w14:textId="77777777" w:rsidR="00AA43E9" w:rsidRPr="00AA43E9" w:rsidRDefault="00AA43E9" w:rsidP="00AA43E9">
            <w:pPr>
              <w:spacing w:after="120"/>
              <w:ind w:left="567" w:hanging="567"/>
              <w:rPr>
                <w:b/>
                <w:noProof/>
              </w:rPr>
            </w:pPr>
          </w:p>
        </w:tc>
        <w:tc>
          <w:tcPr>
            <w:tcW w:w="1461" w:type="dxa"/>
            <w:tcBorders>
              <w:top w:val="single" w:sz="4" w:space="0" w:color="auto"/>
              <w:left w:val="single" w:sz="4" w:space="0" w:color="auto"/>
              <w:bottom w:val="single" w:sz="4" w:space="0" w:color="auto"/>
              <w:right w:val="single" w:sz="4" w:space="0" w:color="auto"/>
            </w:tcBorders>
            <w:noWrap/>
            <w:hideMark/>
          </w:tcPr>
          <w:p w14:paraId="3CEFD40A" w14:textId="77777777" w:rsidR="00AA43E9" w:rsidRPr="00AA43E9" w:rsidRDefault="00AA43E9" w:rsidP="00AA43E9">
            <w:pPr>
              <w:spacing w:after="120"/>
              <w:ind w:left="567" w:hanging="567"/>
              <w:rPr>
                <w:b/>
                <w:noProof/>
              </w:rPr>
            </w:pPr>
            <w:r w:rsidRPr="00AA43E9">
              <w:rPr>
                <w:b/>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57A65800" w14:textId="77777777" w:rsidR="00AA43E9" w:rsidRPr="00AA43E9" w:rsidRDefault="00AA43E9" w:rsidP="00AA43E9">
            <w:pPr>
              <w:spacing w:after="120"/>
              <w:ind w:left="567" w:hanging="567"/>
              <w:rPr>
                <w:b/>
                <w:noProof/>
              </w:rPr>
            </w:pPr>
            <w:r w:rsidRPr="00AA43E9">
              <w:rPr>
                <w:b/>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238AE612" w14:textId="77777777" w:rsidR="00AA43E9" w:rsidRPr="00AA43E9" w:rsidRDefault="00AA43E9" w:rsidP="00AA43E9">
            <w:pPr>
              <w:spacing w:after="120"/>
              <w:ind w:left="567" w:hanging="567"/>
              <w:rPr>
                <w:b/>
                <w:noProof/>
              </w:rPr>
            </w:pPr>
            <w:r w:rsidRPr="00AA43E9">
              <w:rPr>
                <w:b/>
              </w:rPr>
              <w:t>19 928 279</w:t>
            </w:r>
          </w:p>
        </w:tc>
      </w:tr>
    </w:tbl>
    <w:p w14:paraId="4B6BB829" w14:textId="77777777" w:rsidR="00AA43E9" w:rsidRPr="00AA43E9" w:rsidRDefault="00AA43E9" w:rsidP="00AA43E9">
      <w:pPr>
        <w:spacing w:after="240"/>
        <w:ind w:left="567" w:hanging="567"/>
        <w:rPr>
          <w:kern w:val="2"/>
          <w14:ligatures w14:val="standardContextual"/>
        </w:rPr>
      </w:pPr>
    </w:p>
    <w:p w14:paraId="7E84E38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26.</w:t>
      </w:r>
      <w:r w:rsidRPr="00AA43E9">
        <w:rPr>
          <w:kern w:val="2"/>
          <w14:ligatures w14:val="standardContextual"/>
        </w:rPr>
        <w:tab/>
        <w:t>prima na znanje opažanje Revizorskog suda da su Agencija Europske unije za suradnju energetskih regulatora (ACER), Agencija Europske unije za sigurnost zračnog prometa (EASA), Europska agencija za kemikalije (ECHA), Europska agencija za lijekove (EMA), Agencija Europske unije za željeznice (ERA) i Europsko nadzorno tijelo za vrijednosne papire i tržišta kapitala (ESMA) zakonski dužne utvrditi i odvojeno obračunavati troškove aktivnosti koje se financiraju iz vlastitih prihoda; napominje da te agencije imaju uspostavljene sustave za ispunjavanje tog zahtjeva i napominje da određene agencije kao što su EMA, EASA i ERA nadilaze te zahtjeve;</w:t>
      </w:r>
    </w:p>
    <w:p w14:paraId="4B1A45D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27.</w:t>
      </w:r>
      <w:r w:rsidRPr="00AA43E9">
        <w:rPr>
          <w:kern w:val="2"/>
          <w14:ligatures w14:val="standardContextual"/>
        </w:rPr>
        <w:tab/>
        <w:t>primjećuje da je uredbama o osnivanju triju europskih nadzornih tijela (EBA, EIOPA i ESMA, uz iznimku aktivnosti koje se financiraju naknadama za nadzor), utvrđeno da bi doprinosi koje primaju od nacionalnih nadležnih tijela u početku trebali činiti 60 % njihovih proračuna, dok preostalih 40 % dolazi iz proračuna Unije; napominje da taj aranžman odražava kombinaciju regulatornih zadaća, koje su prikladne za financiranje sredstvima EU-a, i zadaća konvergencije nadzora, koje su prikladne za doprinose nacionalnih nadležnih tijela, u mandatima tih triju nadzornih tijela; ističe da, zbog nepostojanja jasnog razgraničenja između aktivnosti koje se financiraju iz tih dvaju izvora u uredbama o osnivanju, ta tijela ne razlikuju troškove obuhvaćene subvencijom iz proračuna Unije i troškove obuhvaćene nacionalnim doprinosima;</w:t>
      </w:r>
    </w:p>
    <w:p w14:paraId="49F6ADD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28.</w:t>
      </w:r>
      <w:r w:rsidRPr="00AA43E9">
        <w:rPr>
          <w:kern w:val="2"/>
          <w14:ligatures w14:val="standardContextual"/>
        </w:rPr>
        <w:tab/>
        <w:t>poziva EBA-u, EIOPA-u i ESMA-u da razviju taj kapacitet da bi se utvrdili i zasebno uzeli u obzir troškovi aktivnosti kojima se ostvaruje svaki od vlastitih tokova prihoda kako bi se poboljšalo njihovo donošenje odluka i kvaliteta informacija koje pružaju dionicima u pogledu manjkova ili viškova koje stvaraju takve aktivnosti;</w:t>
      </w:r>
    </w:p>
    <w:p w14:paraId="1778BFD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29.</w:t>
      </w:r>
      <w:r w:rsidRPr="00AA43E9">
        <w:rPr>
          <w:kern w:val="2"/>
          <w14:ligatures w14:val="standardContextual"/>
        </w:rPr>
        <w:tab/>
        <w:t xml:space="preserve">napominje da </w:t>
      </w:r>
      <w:proofErr w:type="spellStart"/>
      <w:r w:rsidRPr="00AA43E9">
        <w:rPr>
          <w:kern w:val="2"/>
          <w14:ligatures w14:val="standardContextual"/>
        </w:rPr>
        <w:t>CdT</w:t>
      </w:r>
      <w:proofErr w:type="spellEnd"/>
      <w:r w:rsidRPr="00AA43E9">
        <w:rPr>
          <w:kern w:val="2"/>
          <w14:ligatures w14:val="standardContextual"/>
        </w:rPr>
        <w:t xml:space="preserve"> ima uspostavljen sustav za praćenje troškova svake aktivnosti i proizvoda koji stvaraju vlastite prihode, čime mu se omogućuje izračun dobiti ili gubitaka; ističe da je 2023. 10 od 17 glavnih proizvoda </w:t>
      </w:r>
      <w:proofErr w:type="spellStart"/>
      <w:r w:rsidRPr="00AA43E9">
        <w:rPr>
          <w:kern w:val="2"/>
          <w14:ligatures w14:val="standardContextual"/>
        </w:rPr>
        <w:t>CdT</w:t>
      </w:r>
      <w:proofErr w:type="spellEnd"/>
      <w:r w:rsidRPr="00AA43E9">
        <w:rPr>
          <w:kern w:val="2"/>
          <w14:ligatures w14:val="standardContextual"/>
        </w:rPr>
        <w:t>-a prijavilo gubitke u ukupnom iznosu od 3,4 milijuna EUR;</w:t>
      </w:r>
    </w:p>
    <w:p w14:paraId="0E63882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30.</w:t>
      </w:r>
      <w:r w:rsidRPr="00AA43E9">
        <w:rPr>
          <w:kern w:val="2"/>
          <w14:ligatures w14:val="standardContextual"/>
        </w:rPr>
        <w:tab/>
        <w:t xml:space="preserve">ističe da je tijekom posljednjeg desetljeća </w:t>
      </w:r>
      <w:proofErr w:type="spellStart"/>
      <w:r w:rsidRPr="00AA43E9">
        <w:rPr>
          <w:kern w:val="2"/>
          <w14:ligatures w14:val="standardContextual"/>
        </w:rPr>
        <w:t>CdT</w:t>
      </w:r>
      <w:proofErr w:type="spellEnd"/>
      <w:r w:rsidRPr="00AA43E9">
        <w:rPr>
          <w:kern w:val="2"/>
          <w14:ligatures w14:val="standardContextual"/>
        </w:rPr>
        <w:t xml:space="preserve"> zabilježio sedam godina proračunskog deficita i šest godina računovodstvenih gubitaka zbog smanjenja obujma poslovanja; prima na znanje da se </w:t>
      </w:r>
      <w:proofErr w:type="spellStart"/>
      <w:r w:rsidRPr="00AA43E9">
        <w:rPr>
          <w:kern w:val="2"/>
          <w14:ligatures w14:val="standardContextual"/>
        </w:rPr>
        <w:t>CdT</w:t>
      </w:r>
      <w:proofErr w:type="spellEnd"/>
      <w:r w:rsidRPr="00AA43E9">
        <w:rPr>
          <w:kern w:val="2"/>
          <w14:ligatures w14:val="standardContextual"/>
        </w:rPr>
        <w:t xml:space="preserve">, kako bi riješio problem pada obujma poslovanja, koristi posebnom rezervom koja je uspostavljena 2011. kako bi se zajamčila stabilnost proračuna i cijena; napominje da je ta pričuva 2014. dosegnula vrhunac od 15,6 milijuna EUR, nakon čega je 2022. pala na 10,3 milijuna EUR, a 2023. na 8,9 milijuna EUR; svjestan je da će se, nakon što se pričuva u potpunosti iscrpi, svi daljnji deficiti morati pokriti subvencijama iz proračuna Unije, kako je predviđeno uredbom o osnivanju </w:t>
      </w:r>
      <w:proofErr w:type="spellStart"/>
      <w:r w:rsidRPr="00AA43E9">
        <w:rPr>
          <w:kern w:val="2"/>
          <w14:ligatures w14:val="standardContextual"/>
        </w:rPr>
        <w:t>CdT</w:t>
      </w:r>
      <w:proofErr w:type="spellEnd"/>
      <w:r w:rsidRPr="00AA43E9">
        <w:rPr>
          <w:kern w:val="2"/>
          <w14:ligatures w14:val="standardContextual"/>
        </w:rPr>
        <w:t xml:space="preserve">-a; poziva </w:t>
      </w:r>
      <w:proofErr w:type="spellStart"/>
      <w:r w:rsidRPr="00AA43E9">
        <w:rPr>
          <w:kern w:val="2"/>
          <w14:ligatures w14:val="standardContextual"/>
        </w:rPr>
        <w:t>CdT</w:t>
      </w:r>
      <w:proofErr w:type="spellEnd"/>
      <w:r w:rsidRPr="00AA43E9">
        <w:rPr>
          <w:kern w:val="2"/>
          <w14:ligatures w14:val="standardContextual"/>
        </w:rPr>
        <w:t xml:space="preserve"> da tijelo nadležno za davanje razrješnice izvijesti o svojim planovima za ublažavanje rizika kontinuiteta poslovanja;</w:t>
      </w:r>
    </w:p>
    <w:p w14:paraId="1B6BD24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31.</w:t>
      </w:r>
      <w:r w:rsidRPr="00AA43E9">
        <w:rPr>
          <w:kern w:val="2"/>
          <w14:ligatures w14:val="standardContextual"/>
        </w:rPr>
        <w:tab/>
        <w:t>prima na znanje potrebu da agencije poboljšaju mehanizme financijskog izvještavanja i unutarnje kontrole; poziva agencije da svake godine dostave detaljnu raščlambu rashoda, među ostalim raščlanjene podatke o vanjskim ugovorima, savjetodavnim uslugama i podizvođačima; ustraje u potrebi za digitalnim alatima za izvješćivanje u stvarnom vremenu kojima se poboljšava financijski nadzor i odgovornost prema Europskom parlamentu i javnosti; potiče daljnji napredak u revizijskim preporukama;</w:t>
      </w:r>
    </w:p>
    <w:p w14:paraId="126DF264" w14:textId="77777777" w:rsidR="00AA43E9" w:rsidRPr="00AA43E9" w:rsidRDefault="00AA43E9" w:rsidP="00AA43E9">
      <w:pPr>
        <w:spacing w:after="240"/>
        <w:ind w:left="567" w:hanging="567"/>
        <w:rPr>
          <w:b/>
          <w:iCs/>
          <w:kern w:val="2"/>
          <w:szCs w:val="24"/>
          <w14:ligatures w14:val="standardContextual"/>
        </w:rPr>
      </w:pPr>
      <w:r w:rsidRPr="00AA43E9">
        <w:rPr>
          <w:b/>
          <w:iCs/>
          <w:kern w:val="2"/>
          <w14:ligatures w14:val="standardContextual"/>
        </w:rPr>
        <w:t>Glavni rizici koje je utvrdio Revizorski sud</w:t>
      </w:r>
    </w:p>
    <w:p w14:paraId="1EF8939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32.</w:t>
      </w:r>
      <w:r w:rsidRPr="00AA43E9">
        <w:rPr>
          <w:kern w:val="2"/>
          <w14:ligatures w14:val="standardContextual"/>
        </w:rPr>
        <w:tab/>
      </w:r>
      <w:r w:rsidRPr="00AA43E9">
        <w:rPr>
          <w:color w:val="000000"/>
          <w:kern w:val="2"/>
          <w14:ligatures w14:val="standardContextual"/>
        </w:rPr>
        <w:t>prima na znanje zaključak Revizorskog suda u njegovu Godišnjem izvješću o agencijama EU-a za financijsku godinu 2023. („izvješće Suda”) da su revizijom utvrđeni slični rezultati kao i prethodne godine (2022.), pri čemu su glavni izvor nepravilnih plaćanja i dalje manjkavosti u postupcima javne nabave;</w:t>
      </w:r>
    </w:p>
    <w:p w14:paraId="4142B03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33.</w:t>
      </w:r>
      <w:r w:rsidRPr="00AA43E9">
        <w:rPr>
          <w:kern w:val="2"/>
          <w14:ligatures w14:val="standardContextual"/>
        </w:rPr>
        <w:tab/>
      </w:r>
      <w:r w:rsidRPr="00AA43E9">
        <w:rPr>
          <w:color w:val="000000"/>
          <w:kern w:val="2"/>
          <w14:ligatures w14:val="standardContextual"/>
        </w:rPr>
        <w:t>na temelju izvješća Revizorskog suda napominje da je ukupni rizik za pouzdanost računovodstvene dokumentacije agencija, utvrđen primjenom računovodstvenih pravila koja je usvojio računovodstveni službenik Komisije i koja se temelje na međunarodnim računovodstvenim standardima, općenito nizak, kao što je bio slučaj 2022.;</w:t>
      </w:r>
    </w:p>
    <w:p w14:paraId="367010B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34.</w:t>
      </w:r>
      <w:r w:rsidRPr="00AA43E9">
        <w:rPr>
          <w:kern w:val="2"/>
          <w14:ligatures w14:val="standardContextual"/>
        </w:rPr>
        <w:tab/>
      </w:r>
      <w:r w:rsidRPr="00AA43E9">
        <w:rPr>
          <w:color w:val="000000"/>
          <w:kern w:val="2"/>
          <w14:ligatures w14:val="standardContextual"/>
        </w:rPr>
        <w:t>ističe da Revizorski sud cjelokupni rizik za zakonitost i pravilnost prihoda povezanih s računovodstvenom dokumentacijom smatra niskim za većinu agencija, a srednje visokim za agencije koje se djelomično financiraju vlastitim sredstvima, u slučaju kojih se primjenjuju posebni propisi o naplati naknada i drugim doprinosima od prihoda, kao što je bio slučaj 2022. godine;</w:t>
      </w:r>
    </w:p>
    <w:p w14:paraId="043D2BC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35.</w:t>
      </w:r>
      <w:r w:rsidRPr="00AA43E9">
        <w:rPr>
          <w:kern w:val="2"/>
          <w14:ligatures w14:val="standardContextual"/>
        </w:rPr>
        <w:tab/>
      </w:r>
      <w:r w:rsidRPr="00AA43E9">
        <w:rPr>
          <w:color w:val="000000"/>
          <w:kern w:val="2"/>
          <w14:ligatures w14:val="standardContextual"/>
        </w:rPr>
        <w:t>primjećuje da Revizorski sud rizik za zakonitost i pravilnost plaćanja povezanih s računovodstvenom dokumentacijom agencija općenito smatra srednje visokim, no da on varira od niskog do visokog, ovisno o proračunskim naslovima; prima na znanje da Revizorski sud smatra da je rizik za glavu I. (rashodi za osoblje) općenito nizak, za glavu II. (administrativni rashodi) srednje visok, dok za glavu III. (operativni rashodi) varira između niskog i visokog, ovisno o agenciji i prirodi njezinih operativnih rashoda; ističe da Revizorski sud smatra da je rizik u pogledu glave III. sličan riziku iz glave II., ali s obzirom na to da su u okviru glave III. u pitanju mnogo veći iznosi, smatra se da je učinak veći;</w:t>
      </w:r>
    </w:p>
    <w:p w14:paraId="39C5EE4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36.</w:t>
      </w:r>
      <w:r w:rsidRPr="00AA43E9">
        <w:rPr>
          <w:kern w:val="2"/>
          <w14:ligatures w14:val="standardContextual"/>
        </w:rPr>
        <w:tab/>
        <w:t>zabrinut je zbog toga što Revizorski sud već šestu godinu u nizu smatra da je rizik za dobro financijsko upravljanje srednje visok i da je ponajprije povezan s postupcima javne nabave kojima se nije osiguralo postizanje najbolje moguće vrijednosti za novac;</w:t>
      </w:r>
    </w:p>
    <w:p w14:paraId="7951EF7A" w14:textId="77777777" w:rsidR="00AA43E9" w:rsidRPr="00AA43E9" w:rsidRDefault="00AA43E9" w:rsidP="00AA43E9">
      <w:pPr>
        <w:spacing w:after="240"/>
        <w:ind w:left="567" w:hanging="567"/>
        <w:rPr>
          <w:color w:val="000000"/>
          <w:kern w:val="2"/>
          <w14:ligatures w14:val="standardContextual"/>
        </w:rPr>
      </w:pPr>
      <w:r w:rsidRPr="00AA43E9">
        <w:rPr>
          <w:kern w:val="2"/>
          <w14:ligatures w14:val="standardContextual"/>
        </w:rPr>
        <w:t>37.</w:t>
      </w:r>
      <w:r w:rsidRPr="00AA43E9">
        <w:rPr>
          <w:kern w:val="2"/>
          <w14:ligatures w14:val="standardContextual"/>
        </w:rPr>
        <w:tab/>
      </w:r>
      <w:r w:rsidRPr="00AA43E9">
        <w:rPr>
          <w:color w:val="000000"/>
          <w:kern w:val="2"/>
          <w14:ligatures w14:val="standardContextual"/>
        </w:rPr>
        <w:t xml:space="preserve">prima na znanje da Revizorski sud smatra da je rizik za upravljanje proračunom nizak, </w:t>
      </w:r>
      <w:r w:rsidRPr="00AA43E9">
        <w:rPr>
          <w:color w:val="000000"/>
          <w:kern w:val="2"/>
          <w14:ligatures w14:val="standardContextual"/>
        </w:rPr>
        <w:lastRenderedPageBreak/>
        <w:t>pri čemu je revizija Revizorskog suda pokazala visoku razinu prijenosa odobrenih sredstava za koja su preuzete obveze;</w:t>
      </w:r>
    </w:p>
    <w:p w14:paraId="575D208B" w14:textId="77777777" w:rsidR="00AA43E9" w:rsidRPr="00AA43E9" w:rsidRDefault="00AA43E9" w:rsidP="00AA43E9">
      <w:pPr>
        <w:spacing w:after="240"/>
        <w:ind w:left="567" w:hanging="567"/>
        <w:rPr>
          <w:color w:val="000000"/>
          <w:kern w:val="2"/>
          <w14:ligatures w14:val="standardContextual"/>
        </w:rPr>
      </w:pPr>
      <w:r w:rsidRPr="00AA43E9">
        <w:rPr>
          <w:color w:val="000000"/>
          <w:kern w:val="2"/>
          <w14:ligatures w14:val="standardContextual"/>
        </w:rPr>
        <w:t>38.</w:t>
      </w:r>
      <w:r w:rsidRPr="00AA43E9">
        <w:rPr>
          <w:color w:val="000000"/>
          <w:kern w:val="2"/>
          <w14:ligatures w14:val="standardContextual"/>
        </w:rPr>
        <w:tab/>
        <w:t xml:space="preserve">napominje da su, prema izvješću Revizorskog suda, prevladavajuća pitanja u svim agencijama bila sljedeća: i. broj nedostataka u javnoj nabavi, koji je i dalje najveći izvor nepravilnih plaćanja; ii. izazovi u proračunskom upravljanju, kao što su prekomjerni prijenosi i zakašnjela plaćanja; iii. manjkavosti unutarnje kontrole, posebno u osiguravanju usklađenosti s financijskim propisima i </w:t>
      </w:r>
      <w:proofErr w:type="spellStart"/>
      <w:r w:rsidRPr="00AA43E9">
        <w:rPr>
          <w:color w:val="000000"/>
          <w:kern w:val="2"/>
          <w14:ligatures w14:val="standardContextual"/>
        </w:rPr>
        <w:t>postupovnim</w:t>
      </w:r>
      <w:proofErr w:type="spellEnd"/>
      <w:r w:rsidRPr="00AA43E9">
        <w:rPr>
          <w:color w:val="000000"/>
          <w:kern w:val="2"/>
          <w14:ligatures w14:val="standardContextual"/>
        </w:rPr>
        <w:t xml:space="preserve"> smjernicama;</w:t>
      </w:r>
    </w:p>
    <w:p w14:paraId="2AB64CD7" w14:textId="77777777" w:rsidR="00AA43E9" w:rsidRPr="00AA43E9" w:rsidRDefault="00AA43E9" w:rsidP="00AA43E9">
      <w:pPr>
        <w:spacing w:after="240"/>
        <w:ind w:left="567" w:hanging="567"/>
        <w:rPr>
          <w:b/>
          <w:iCs/>
          <w:kern w:val="2"/>
          <w14:ligatures w14:val="standardContextual"/>
        </w:rPr>
      </w:pPr>
      <w:r w:rsidRPr="00AA43E9">
        <w:rPr>
          <w:b/>
          <w:iCs/>
          <w:kern w:val="2"/>
          <w14:ligatures w14:val="standardContextual"/>
        </w:rPr>
        <w:t>Pregled rezultata revizije</w:t>
      </w:r>
    </w:p>
    <w:p w14:paraId="2EAE8D8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39.</w:t>
      </w:r>
      <w:r w:rsidRPr="00AA43E9">
        <w:rPr>
          <w:kern w:val="2"/>
          <w14:ligatures w14:val="standardContextual"/>
        </w:rPr>
        <w:tab/>
        <w:t xml:space="preserve">napominje da je Revizorski sud izdao bezuvjetno revizorsko mišljenje o pouzdanosti računovodstvene dokumentacije svih agencija; prima na znanje da je Revizorski sud izdao bezuvjetno mišljenje o zakonitosti i pravilnosti prihoda na kojima se temelji računovodstvena dokumentacija za sve agencije; no primjećuje da je, unatoč tome što je izdano bezuvjetno mišljenje o zakonitosti i pravilnosti plaćanja na kojima se temelji računovodstvena dokumentacija za većinu agencija, zabilježena su izuzeća za njih četiri: Europski institut za inovacije i tehnologiju (EIT), Europsko nadzorno tijelo za rad (ELA), Agencija Europske unije za </w:t>
      </w:r>
      <w:proofErr w:type="spellStart"/>
      <w:r w:rsidRPr="00AA43E9">
        <w:rPr>
          <w:kern w:val="2"/>
          <w14:ligatures w14:val="standardContextual"/>
        </w:rPr>
        <w:t>kibersigurnost</w:t>
      </w:r>
      <w:proofErr w:type="spellEnd"/>
      <w:r w:rsidRPr="00AA43E9">
        <w:rPr>
          <w:kern w:val="2"/>
          <w14:ligatures w14:val="standardContextual"/>
        </w:rPr>
        <w:t xml:space="preserve"> (ENISA) i Agencija Europske unije za operativno upravljanje opsežnim informacijskim sustavima (</w:t>
      </w:r>
      <w:proofErr w:type="spellStart"/>
      <w:r w:rsidRPr="00AA43E9">
        <w:rPr>
          <w:kern w:val="2"/>
          <w14:ligatures w14:val="standardContextual"/>
        </w:rPr>
        <w:t>eu</w:t>
      </w:r>
      <w:proofErr w:type="spellEnd"/>
      <w:r w:rsidRPr="00AA43E9">
        <w:rPr>
          <w:kern w:val="2"/>
          <w14:ligatures w14:val="standardContextual"/>
        </w:rPr>
        <w:t>-LISA);</w:t>
      </w:r>
    </w:p>
    <w:p w14:paraId="7977469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40.</w:t>
      </w:r>
      <w:r w:rsidRPr="00AA43E9">
        <w:rPr>
          <w:kern w:val="2"/>
          <w14:ligatures w14:val="standardContextual"/>
        </w:rPr>
        <w:tab/>
        <w:t xml:space="preserve">primjećuje da se za EIT to izuzeće odnosi na nepravilna plaćanja bespovratnih sredstava, pri čemu je EIT proveo </w:t>
      </w:r>
      <w:r w:rsidRPr="00AA43E9">
        <w:rPr>
          <w:i/>
          <w:iCs/>
          <w:kern w:val="2"/>
          <w14:ligatures w14:val="standardContextual"/>
        </w:rPr>
        <w:t>ex post</w:t>
      </w:r>
      <w:r w:rsidRPr="00AA43E9">
        <w:rPr>
          <w:kern w:val="2"/>
          <w14:ligatures w14:val="standardContextual"/>
        </w:rPr>
        <w:t xml:space="preserve"> provjeru na uzorku od 174 troškovne stavke; napominje da je EIT odbio troškove povezane s 27 troškovnih stavki i da je Revizorski sud utvrdio tri dodatne troškovne stavke za koje EIT nije mogao pružiti dokaze da su korisnici ispunili ključne uvjete sporazuma o dodjeli bespovratnih sredstava, što je dovelo do procijenjenog ukupnog iznosa od 12,2 milijuna EUR u nepravilnim plaćanjima bespovratnih sredstava, što odgovara procijenjenoj stopi pogreške od 3,4 %; napominje da EIT osporava jednu od pogrešaka o kojima je izvijestio Revizorski sud, koja utječe na tri troškovne stavke koje su, prema njegovu mišljenju, prihvatljive. nadalje napominje da bi, prema navodima EIT-a, bez tog slučaja procijenjena stopa pogreške o kojoj je izvijestio Revizorski sud bila ispod praga značajnosti od 2 %, što bi dovelo do pozitivnog revizorskog mišljenja o zakonitosti i pravilnosti plaćanja EIT-a.</w:t>
      </w:r>
    </w:p>
    <w:p w14:paraId="6FDBAF3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41.</w:t>
      </w:r>
      <w:r w:rsidRPr="00AA43E9">
        <w:rPr>
          <w:kern w:val="2"/>
          <w14:ligatures w14:val="standardContextual"/>
        </w:rPr>
        <w:tab/>
        <w:t xml:space="preserve">žali zbog toga što se, kad je riječ o ELA-i, to izuzeće odnosi na plaćanja u iznosu od 1,6 milijuna EUR 2023., što predstavlja 3,8 % ukupnih dostupnih odobrenih sredstava za plaćanje; napominje da taj iznos uključuje 1,3 milijuna EUR povezanih s ugovorom koji se smatra nepravilnim u izvješću o reviziji za 2022. jer dodijeljena vrijednost premašuje utvrđenu maksimalnu granicu ugovora te 0,3 milijuna EUR povezanih s nedostacima u </w:t>
      </w:r>
      <w:r w:rsidRPr="00AA43E9">
        <w:rPr>
          <w:i/>
          <w:iCs/>
          <w:kern w:val="2"/>
          <w14:ligatures w14:val="standardContextual"/>
        </w:rPr>
        <w:t xml:space="preserve">ex </w:t>
      </w:r>
      <w:proofErr w:type="spellStart"/>
      <w:r w:rsidRPr="00AA43E9">
        <w:rPr>
          <w:i/>
          <w:iCs/>
          <w:kern w:val="2"/>
          <w14:ligatures w14:val="standardContextual"/>
        </w:rPr>
        <w:t>ante</w:t>
      </w:r>
      <w:proofErr w:type="spellEnd"/>
      <w:r w:rsidRPr="00AA43E9">
        <w:rPr>
          <w:kern w:val="2"/>
          <w14:ligatures w14:val="standardContextual"/>
        </w:rPr>
        <w:t xml:space="preserve"> provjerama provedbe ugovora; prima na znanje odgovor ELA-e u kojem se objašnjava da je nepravilni ugovor istekao u veljači 2024. i da je zamijenjen novim okvirnim sporazumom sklopljenim u studenome 2023.; svjestan je odluke ELA-e da privremeno nastavi s nepravilnim ugovorom kako bi se ublažili rizici, zaštitio njezin ugled i osiguralo neprekinuto pružanje usluga, čime bi joj se omogućilo održavanje dosljednog poslovanja i izvršavanje planiranih aktivnosti dok novi sporazum ne stupi na snagu;</w:t>
      </w:r>
    </w:p>
    <w:p w14:paraId="59DE098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42.</w:t>
      </w:r>
      <w:r w:rsidRPr="00AA43E9">
        <w:rPr>
          <w:kern w:val="2"/>
          <w14:ligatures w14:val="standardContextual"/>
        </w:rPr>
        <w:tab/>
        <w:t xml:space="preserve">napominje da se za ENISA-u to izuzeće odnosi na nepravilna plaćanja u iznosu od 1,8 milijuna EUR izvršena 2023., što predstavlja 4,1 % ukupnih dostupnih odobrenih sredstava za plaćanje 2023.; podsjeća da je ENISA u kolovozu 2022. primila dodatnih 15 milijuna EUR u svoj proračun za pružanje pojačane </w:t>
      </w:r>
      <w:proofErr w:type="spellStart"/>
      <w:r w:rsidRPr="00AA43E9">
        <w:rPr>
          <w:kern w:val="2"/>
          <w14:ligatures w14:val="standardContextual"/>
        </w:rPr>
        <w:t>kibersigurnosne</w:t>
      </w:r>
      <w:proofErr w:type="spellEnd"/>
      <w:r w:rsidRPr="00AA43E9">
        <w:rPr>
          <w:kern w:val="2"/>
          <w14:ligatures w14:val="standardContextual"/>
        </w:rPr>
        <w:t xml:space="preserve"> potpore </w:t>
      </w:r>
      <w:r w:rsidRPr="00AA43E9">
        <w:rPr>
          <w:kern w:val="2"/>
          <w14:ligatures w14:val="standardContextual"/>
        </w:rPr>
        <w:lastRenderedPageBreak/>
        <w:t xml:space="preserve">državama članicama nakon ruske invazije na Ukrajinu; nadalje napominje da je ENISA u rujnu 2022. pokrenula postupak javne nabave s 28 grupa i zatim potpisala 28 zasebnih okvirnih ugovora u vrijednosti od 14,4 milijuna EUR; svjestan je da je početkom 2023. upravni odbor iznimno i privremeno odstupio od svojih financijskih propisa kako bi ispunio revidirane zahtjeve država članica za potporu u području </w:t>
      </w:r>
      <w:proofErr w:type="spellStart"/>
      <w:r w:rsidRPr="00AA43E9">
        <w:rPr>
          <w:kern w:val="2"/>
          <w14:ligatures w14:val="standardContextual"/>
        </w:rPr>
        <w:t>kibersigurnosti</w:t>
      </w:r>
      <w:proofErr w:type="spellEnd"/>
      <w:r w:rsidRPr="00AA43E9">
        <w:rPr>
          <w:kern w:val="2"/>
          <w14:ligatures w14:val="standardContextual"/>
        </w:rPr>
        <w:t>; prima na znanje da je, prema navodima iz odgovora ENISA-e, odluka upravnog odbora bila iznimka (ograničena s obzirom na trajanje i područje primjene) kako bi se odgovorilo na posebnu i iznimnu situaciju u izrazito teškom međunarodnom kontekstu; napominje da je ta iznimka propisno evidentirana u skladu s primjenom Okvira za unutarnju kontrolu ENISA-e te je, u skladu s time, zabilježena u Konsolidiranom godišnjem izvješću o radu za 2023.;</w:t>
      </w:r>
    </w:p>
    <w:p w14:paraId="3620689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43.</w:t>
      </w:r>
      <w:r w:rsidRPr="00AA43E9">
        <w:rPr>
          <w:kern w:val="2"/>
          <w14:ligatures w14:val="standardContextual"/>
        </w:rPr>
        <w:tab/>
        <w:t xml:space="preserve">primjećuje da se za agenciju </w:t>
      </w:r>
      <w:proofErr w:type="spellStart"/>
      <w:r w:rsidRPr="00AA43E9">
        <w:rPr>
          <w:kern w:val="2"/>
          <w14:ligatures w14:val="standardContextual"/>
        </w:rPr>
        <w:t>eu</w:t>
      </w:r>
      <w:proofErr w:type="spellEnd"/>
      <w:r w:rsidRPr="00AA43E9">
        <w:rPr>
          <w:kern w:val="2"/>
          <w14:ligatures w14:val="standardContextual"/>
        </w:rPr>
        <w:t>-LISA to izuzeće odnosi na nepravilna plaćanja u ukupnom iznosu od 12,6 milijuna EUR izvršena 2023., što predstavlja 3,2 % ukupnih dostupnih odobrenih sredstava za plaćanje, uključujući 2,7 milijuna EUR za ugovore revidirane 2023. i 9,9 milijuna EUR za ugovore koji su u izvješću o reviziji za 2022. ocijenjeni kao nepravilni;</w:t>
      </w:r>
    </w:p>
    <w:p w14:paraId="14586B6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44.</w:t>
      </w:r>
      <w:r w:rsidRPr="00AA43E9">
        <w:rPr>
          <w:kern w:val="2"/>
          <w14:ligatures w14:val="standardContextual"/>
        </w:rPr>
        <w:tab/>
        <w:t xml:space="preserve">sa zabrinutošću prima na znanje ponavljanje uvjetnog mišljenja o zakonitosti i pravilnosti plaćanja agencije </w:t>
      </w:r>
      <w:proofErr w:type="spellStart"/>
      <w:r w:rsidRPr="00AA43E9">
        <w:rPr>
          <w:kern w:val="2"/>
          <w14:ligatures w14:val="standardContextual"/>
        </w:rPr>
        <w:t>eu</w:t>
      </w:r>
      <w:proofErr w:type="spellEnd"/>
      <w:r w:rsidRPr="00AA43E9">
        <w:rPr>
          <w:kern w:val="2"/>
          <w14:ligatures w14:val="standardContextual"/>
        </w:rPr>
        <w:t xml:space="preserve">-LISA, što odražava stalna pitanja koja je Revizorski sud istaknuo u prethodnim izvješćima od 2020.; prima na znanje opažanje Revizorskog suda da je većina ugovora s pogreškama istekla ili ih je </w:t>
      </w:r>
      <w:proofErr w:type="spellStart"/>
      <w:r w:rsidRPr="00AA43E9">
        <w:rPr>
          <w:kern w:val="2"/>
          <w14:ligatures w14:val="standardContextual"/>
        </w:rPr>
        <w:t>eu</w:t>
      </w:r>
      <w:proofErr w:type="spellEnd"/>
      <w:r w:rsidRPr="00AA43E9">
        <w:rPr>
          <w:kern w:val="2"/>
          <w14:ligatures w14:val="standardContextual"/>
        </w:rPr>
        <w:t>-LISA raskinula 2023.;</w:t>
      </w:r>
    </w:p>
    <w:p w14:paraId="1F1E0BE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45.</w:t>
      </w:r>
      <w:r w:rsidRPr="00AA43E9">
        <w:rPr>
          <w:kern w:val="2"/>
          <w14:ligatures w14:val="standardContextual"/>
        </w:rPr>
        <w:tab/>
        <w:t>primjećuje da je osnova za uvjetno mišljenje (</w:t>
      </w:r>
      <w:proofErr w:type="spellStart"/>
      <w:r w:rsidRPr="00AA43E9">
        <w:rPr>
          <w:kern w:val="2"/>
          <w14:ligatures w14:val="standardContextual"/>
        </w:rPr>
        <w:t>eu</w:t>
      </w:r>
      <w:proofErr w:type="spellEnd"/>
      <w:r w:rsidRPr="00AA43E9">
        <w:rPr>
          <w:kern w:val="2"/>
          <w14:ligatures w14:val="standardContextual"/>
        </w:rPr>
        <w:t>-LISA) 2023. uključivala sljedeće nepravilnosti:</w:t>
      </w:r>
    </w:p>
    <w:p w14:paraId="5EBAF4C1" w14:textId="573237B6"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 xml:space="preserve">nepravilnost u okvirnom ugovoru: napominje da je </w:t>
      </w:r>
      <w:proofErr w:type="spellStart"/>
      <w:r w:rsidR="00AA43E9" w:rsidRPr="00AA43E9">
        <w:rPr>
          <w:kern w:val="2"/>
          <w14:ligatures w14:val="standardContextual"/>
        </w:rPr>
        <w:t>eu</w:t>
      </w:r>
      <w:proofErr w:type="spellEnd"/>
      <w:r w:rsidR="00AA43E9" w:rsidRPr="00AA43E9">
        <w:rPr>
          <w:kern w:val="2"/>
          <w14:ligatures w14:val="standardContextual"/>
        </w:rPr>
        <w:t>-LISA unijela znatne promjene u neke cjenovne elemente financijskih ponuda dvaju ponuditelja, nadilazeći ispravke dopuštene člankom 151. Financijske uredbe, što je izravno utjecalo na ishod natječaja, pri čemu su povezana plaćanja 2023. iznosila ukupno 2,7 milijuna EUR;</w:t>
      </w:r>
    </w:p>
    <w:p w14:paraId="454C8287" w14:textId="3C901A48"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neopravdan pregovarački postupak: nadalje prima na znanje nepravilna plaćanja u iznosu od 7,7 milijuna EUR povezana s okvirnim ugovorom dodijeljenim putem pregovaračkog postupka bez odgovarajućeg obrazloženja, što je u suprotnosti sa standardima javne nabave;</w:t>
      </w:r>
    </w:p>
    <w:p w14:paraId="23385CE5" w14:textId="7F4D1BD6"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neovlaštenu izmjenu ugovora: primjećuje da su plaćanja u iznosu od 1,8 milijuna EUR klasificirana kao nepravilna nakon neovlaštene izmjene kojom je vrijednost ugovora s fiksnom cijenom povećana za 3,6 milijuna EUR;</w:t>
      </w:r>
    </w:p>
    <w:p w14:paraId="44508D97" w14:textId="4C31DF39" w:rsidR="00AA43E9" w:rsidRPr="00AA43E9" w:rsidRDefault="00AD431A" w:rsidP="00AA43E9">
      <w:pPr>
        <w:spacing w:after="240"/>
        <w:ind w:left="1134" w:hanging="567"/>
        <w:rPr>
          <w:kern w:val="2"/>
          <w14:ligatures w14:val="standardContextual"/>
        </w:rPr>
      </w:pPr>
      <w:r w:rsidRPr="00863FBA">
        <w:t>–</w:t>
      </w:r>
      <w:r w:rsidR="00AA43E9" w:rsidRPr="00AA43E9">
        <w:rPr>
          <w:kern w:val="2"/>
          <w14:ligatures w14:val="standardContextual"/>
        </w:rPr>
        <w:tab/>
        <w:t>nepoštovanje uvjeta okvirnog ugovora: sa zabrinutošću napominje da su plaćanja okvirnog ugovora za održavanje zajedničke infrastrukture u ukupnom iznosu od 0,4 milijuna EUR bila nepravilna jer je konkretni ugovor odstupao od okvirnog ugovora;</w:t>
      </w:r>
    </w:p>
    <w:p w14:paraId="6154AF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46.</w:t>
      </w:r>
      <w:r w:rsidRPr="00AA43E9">
        <w:rPr>
          <w:kern w:val="2"/>
          <w14:ligatures w14:val="standardContextual"/>
        </w:rPr>
        <w:tab/>
        <w:t xml:space="preserve">izražava duboku zabrinutost zbog ponavljanja problema u javnoj nabavi koji četvrtu godinu zaredom rezultiraju uvjetnim mišljenjem te potiče agenciju </w:t>
      </w:r>
      <w:proofErr w:type="spellStart"/>
      <w:r w:rsidRPr="00AA43E9">
        <w:rPr>
          <w:kern w:val="2"/>
          <w14:ligatures w14:val="standardContextual"/>
        </w:rPr>
        <w:t>eu</w:t>
      </w:r>
      <w:proofErr w:type="spellEnd"/>
      <w:r w:rsidRPr="00AA43E9">
        <w:rPr>
          <w:kern w:val="2"/>
          <w14:ligatures w14:val="standardContextual"/>
        </w:rPr>
        <w:t xml:space="preserve">-LISA da smjesta poduzme korektivne mjere kako bi riješila i spriječila te probleme u budućim praksama financijskog upravljanja i javne nabave, osiguravajući potpunu usklađenost s Financijskom uredbom; traži da se Europski parlament obavijesti o tom napretku prije </w:t>
      </w:r>
      <w:r w:rsidRPr="00AA43E9">
        <w:rPr>
          <w:kern w:val="2"/>
          <w14:ligatures w14:val="standardContextual"/>
        </w:rPr>
        <w:lastRenderedPageBreak/>
        <w:t>30. lipnja 2025.;</w:t>
      </w:r>
    </w:p>
    <w:p w14:paraId="08EBEBEF" w14:textId="304D5890" w:rsidR="00AA43E9" w:rsidRPr="00AA43E9" w:rsidRDefault="00AA43E9" w:rsidP="00AA43E9">
      <w:pPr>
        <w:spacing w:after="240"/>
        <w:ind w:left="567" w:hanging="567"/>
        <w:rPr>
          <w:kern w:val="2"/>
          <w14:ligatures w14:val="standardContextual"/>
        </w:rPr>
      </w:pPr>
      <w:r w:rsidRPr="00AA43E9">
        <w:rPr>
          <w:kern w:val="2"/>
          <w14:ligatures w14:val="standardContextual"/>
        </w:rPr>
        <w:t>47.</w:t>
      </w:r>
      <w:r w:rsidRPr="00AA43E9">
        <w:rPr>
          <w:kern w:val="2"/>
          <w14:ligatures w14:val="standardContextual"/>
        </w:rPr>
        <w:tab/>
        <w:t>pozdravlja činjenicu da je Revizorski sud tijekom saslušanja</w:t>
      </w:r>
      <w:r w:rsidRPr="00AA43E9">
        <w:rPr>
          <w:kern w:val="2"/>
          <w:vertAlign w:val="superscript"/>
          <w14:ligatures w14:val="standardContextual"/>
        </w:rPr>
        <w:footnoteReference w:id="412"/>
      </w:r>
      <w:r w:rsidRPr="00AA43E9">
        <w:rPr>
          <w:kern w:val="2"/>
          <w14:ligatures w14:val="standardContextual"/>
        </w:rPr>
        <w:t xml:space="preserve"> potvrdio da se, unatoč mišljenju izdanom za 2023. (</w:t>
      </w:r>
      <w:proofErr w:type="spellStart"/>
      <w:r w:rsidRPr="00AA43E9">
        <w:rPr>
          <w:kern w:val="2"/>
          <w14:ligatures w14:val="standardContextual"/>
        </w:rPr>
        <w:t>eu</w:t>
      </w:r>
      <w:proofErr w:type="spellEnd"/>
      <w:r w:rsidRPr="00AA43E9">
        <w:rPr>
          <w:kern w:val="2"/>
          <w14:ligatures w14:val="standardContextual"/>
        </w:rPr>
        <w:t>-LISA), utvrđeni nedostaci rješavaju i da su zabilježena poboljšanja;</w:t>
      </w:r>
    </w:p>
    <w:p w14:paraId="5DC6F53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48.</w:t>
      </w:r>
      <w:r w:rsidRPr="00AA43E9">
        <w:rPr>
          <w:kern w:val="2"/>
          <w14:ligatures w14:val="standardContextual"/>
        </w:rPr>
        <w:tab/>
        <w:t xml:space="preserve">ustraje u tome da, iako se u Financijskoj uredbi ne postavljaju gornje granice za prijenose sredstava, opetovano i pretjerano visoke razine prijenosa ugrožavaju proračunsko načelo jedne godine i upućuju na strukturne probleme u proračunskom postupku i ciklusu izvršenja proračuna; napominje da je u 14 agencija (ENISA, </w:t>
      </w:r>
      <w:proofErr w:type="spellStart"/>
      <w:r w:rsidRPr="00AA43E9">
        <w:rPr>
          <w:kern w:val="2"/>
          <w14:ligatures w14:val="standardContextual"/>
        </w:rPr>
        <w:t>Eurofound</w:t>
      </w:r>
      <w:proofErr w:type="spellEnd"/>
      <w:r w:rsidRPr="00AA43E9">
        <w:rPr>
          <w:kern w:val="2"/>
          <w14:ligatures w14:val="standardContextual"/>
        </w:rPr>
        <w:t xml:space="preserve">, EIGE, </w:t>
      </w:r>
      <w:proofErr w:type="spellStart"/>
      <w:r w:rsidRPr="00AA43E9">
        <w:rPr>
          <w:kern w:val="2"/>
          <w14:ligatures w14:val="standardContextual"/>
        </w:rPr>
        <w:t>eu</w:t>
      </w:r>
      <w:proofErr w:type="spellEnd"/>
      <w:r w:rsidRPr="00AA43E9">
        <w:rPr>
          <w:kern w:val="2"/>
          <w14:ligatures w14:val="standardContextual"/>
        </w:rPr>
        <w:t xml:space="preserve">-LISA, EMA, EUSPA, ELA, FRA, EFCA, ECDC, EU-OSHA, ACER, </w:t>
      </w:r>
      <w:proofErr w:type="spellStart"/>
      <w:r w:rsidRPr="00AA43E9">
        <w:rPr>
          <w:kern w:val="2"/>
          <w14:ligatures w14:val="standardContextual"/>
        </w:rPr>
        <w:t>Frontex</w:t>
      </w:r>
      <w:proofErr w:type="spellEnd"/>
      <w:r w:rsidRPr="00AA43E9">
        <w:rPr>
          <w:kern w:val="2"/>
          <w14:ligatures w14:val="standardContextual"/>
        </w:rPr>
        <w:t xml:space="preserve"> i ESA) razina prijenosa koji utječu na sve proračunske glave zajedno viša od 15 %; napominje da u slučaju </w:t>
      </w:r>
      <w:proofErr w:type="spellStart"/>
      <w:r w:rsidRPr="00AA43E9">
        <w:rPr>
          <w:kern w:val="2"/>
          <w14:ligatures w14:val="standardContextual"/>
        </w:rPr>
        <w:t>Frontexa</w:t>
      </w:r>
      <w:proofErr w:type="spellEnd"/>
      <w:r w:rsidRPr="00AA43E9">
        <w:rPr>
          <w:kern w:val="2"/>
          <w14:ligatures w14:val="standardContextual"/>
        </w:rPr>
        <w:t xml:space="preserve"> i ESA-e prijenosi iznose više od 40 % odnosno 50 %;</w:t>
      </w:r>
    </w:p>
    <w:p w14:paraId="34B9D3B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49.</w:t>
      </w:r>
      <w:r w:rsidRPr="00AA43E9">
        <w:rPr>
          <w:kern w:val="2"/>
          <w14:ligatures w14:val="standardContextual"/>
        </w:rPr>
        <w:tab/>
        <w:t xml:space="preserve">podsjeća da je regulatornim okvirom propisano da agencije izvršavaju plaćanja u određenim rokovima; napominje da nepoštovanje tih rokova može dovesti do toga da vjerovnici imaju pravo na zatezne kamate; primjećuje da Revizorski sud za 2023. izvješćuje da, iako se ukupni iznos nastalih zateznih kamata smatrao neznatnim, valja napomenuti da devet agencija (ACER, ECDC, EEA, EUDA, ENISA, ERA, EU-OSHA, </w:t>
      </w:r>
      <w:proofErr w:type="spellStart"/>
      <w:r w:rsidRPr="00AA43E9">
        <w:rPr>
          <w:kern w:val="2"/>
          <w14:ligatures w14:val="standardContextual"/>
        </w:rPr>
        <w:t>Eurojust</w:t>
      </w:r>
      <w:proofErr w:type="spellEnd"/>
      <w:r w:rsidRPr="00AA43E9">
        <w:rPr>
          <w:kern w:val="2"/>
          <w14:ligatures w14:val="standardContextual"/>
        </w:rPr>
        <w:t xml:space="preserve"> i </w:t>
      </w:r>
      <w:proofErr w:type="spellStart"/>
      <w:r w:rsidRPr="00AA43E9">
        <w:rPr>
          <w:kern w:val="2"/>
          <w14:ligatures w14:val="standardContextual"/>
        </w:rPr>
        <w:t>Frontex</w:t>
      </w:r>
      <w:proofErr w:type="spellEnd"/>
      <w:r w:rsidRPr="00AA43E9">
        <w:rPr>
          <w:kern w:val="2"/>
          <w14:ligatures w14:val="standardContextual"/>
        </w:rPr>
        <w:t>) često nije poštovalo svoje rokove za plaćanje; traži od tih agencija da osiguraju poštovanje zakonskih rokova za plaćanja; ističe da, iako je iznos zateznih kamata bio manji, velika učestalost zakašnjelih plaćanja može negativno utjecati na ugled agencija;</w:t>
      </w:r>
    </w:p>
    <w:p w14:paraId="57FCB93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50.</w:t>
      </w:r>
      <w:r w:rsidRPr="00AA43E9">
        <w:rPr>
          <w:kern w:val="2"/>
          <w14:ligatures w14:val="standardContextual"/>
        </w:rPr>
        <w:tab/>
        <w:t xml:space="preserve">ističe da je Revizorski sud izdao „odlomke s posebnim napomenama” kako bi naglasio važna pitanja objavljena ili prikazana u računovodstvenoj dokumentaciji bez čijeg poznavanja ne bi bilo moguće razumjeti tu dokumentaciju ili povezane prihode i plaćanja; nadalje napominje da je Revizorski sud za financijsku godinu 2023. upotrijebio „odlomke s posebnom napomenama” za sljedeće agencije koje su dio ove Rezolucije: </w:t>
      </w:r>
      <w:proofErr w:type="spellStart"/>
      <w:r w:rsidRPr="00AA43E9">
        <w:rPr>
          <w:kern w:val="2"/>
          <w14:ligatures w14:val="standardContextual"/>
        </w:rPr>
        <w:t>CdT</w:t>
      </w:r>
      <w:proofErr w:type="spellEnd"/>
      <w:r w:rsidRPr="00AA43E9">
        <w:rPr>
          <w:kern w:val="2"/>
          <w14:ligatures w14:val="standardContextual"/>
        </w:rPr>
        <w:t xml:space="preserve">, EBA, EIT, EMA, ERA, ESMA, </w:t>
      </w:r>
      <w:proofErr w:type="spellStart"/>
      <w:r w:rsidRPr="00AA43E9">
        <w:rPr>
          <w:kern w:val="2"/>
          <w14:ligatures w14:val="standardContextual"/>
        </w:rPr>
        <w:t>Eurojust</w:t>
      </w:r>
      <w:proofErr w:type="spellEnd"/>
      <w:r w:rsidRPr="00AA43E9">
        <w:rPr>
          <w:kern w:val="2"/>
          <w14:ligatures w14:val="standardContextual"/>
        </w:rPr>
        <w:t xml:space="preserve">, </w:t>
      </w:r>
      <w:proofErr w:type="spellStart"/>
      <w:r w:rsidRPr="00AA43E9">
        <w:rPr>
          <w:kern w:val="2"/>
          <w14:ligatures w14:val="standardContextual"/>
        </w:rPr>
        <w:t>eu</w:t>
      </w:r>
      <w:proofErr w:type="spellEnd"/>
      <w:r w:rsidRPr="00AA43E9">
        <w:rPr>
          <w:kern w:val="2"/>
          <w14:ligatures w14:val="standardContextual"/>
        </w:rPr>
        <w:t xml:space="preserve">-LISA i </w:t>
      </w:r>
      <w:proofErr w:type="spellStart"/>
      <w:r w:rsidRPr="00AA43E9">
        <w:rPr>
          <w:kern w:val="2"/>
          <w14:ligatures w14:val="standardContextual"/>
        </w:rPr>
        <w:t>Frontex</w:t>
      </w:r>
      <w:proofErr w:type="spellEnd"/>
      <w:r w:rsidRPr="00AA43E9">
        <w:rPr>
          <w:kern w:val="2"/>
          <w14:ligatures w14:val="standardContextual"/>
        </w:rPr>
        <w:t>;</w:t>
      </w:r>
    </w:p>
    <w:p w14:paraId="1559B49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51.</w:t>
      </w:r>
      <w:r w:rsidRPr="00AA43E9">
        <w:rPr>
          <w:kern w:val="2"/>
          <w14:ligatures w14:val="standardContextual"/>
        </w:rPr>
        <w:tab/>
        <w:t xml:space="preserve">podsjeća da </w:t>
      </w:r>
      <w:proofErr w:type="spellStart"/>
      <w:r w:rsidRPr="00AA43E9">
        <w:rPr>
          <w:kern w:val="2"/>
          <w14:ligatures w14:val="standardContextual"/>
        </w:rPr>
        <w:t>CdT</w:t>
      </w:r>
      <w:proofErr w:type="spellEnd"/>
      <w:r w:rsidRPr="00AA43E9">
        <w:rPr>
          <w:kern w:val="2"/>
          <w14:ligatures w14:val="standardContextual"/>
        </w:rPr>
        <w:t xml:space="preserve"> u svojim financijskim izvještajima objavljuje informacije o padu prihoda od poslovanja, što je negativno utjecalo na njegov gospodarski ishod;</w:t>
      </w:r>
    </w:p>
    <w:p w14:paraId="2D70ECC1" w14:textId="224B5166" w:rsidR="00AA43E9" w:rsidRPr="00AA43E9" w:rsidRDefault="00AA43E9" w:rsidP="00AA43E9">
      <w:pPr>
        <w:spacing w:after="240"/>
        <w:ind w:left="567" w:hanging="567"/>
        <w:rPr>
          <w:kern w:val="2"/>
          <w14:ligatures w14:val="standardContextual"/>
        </w:rPr>
      </w:pPr>
      <w:r w:rsidRPr="00AA43E9">
        <w:rPr>
          <w:kern w:val="2"/>
          <w14:ligatures w14:val="standardContextual"/>
        </w:rPr>
        <w:t>52.</w:t>
      </w:r>
      <w:r w:rsidRPr="00AA43E9">
        <w:rPr>
          <w:kern w:val="2"/>
          <w14:ligatures w14:val="standardContextual"/>
        </w:rPr>
        <w:tab/>
        <w:t xml:space="preserve">skreće pozornost na informacije u godišnjoj računovodstvenoj dokumentaciji ERA-e i </w:t>
      </w:r>
      <w:proofErr w:type="spellStart"/>
      <w:r w:rsidRPr="00AA43E9">
        <w:rPr>
          <w:kern w:val="2"/>
          <w14:ligatures w14:val="standardContextual"/>
        </w:rPr>
        <w:t>Eurojusta</w:t>
      </w:r>
      <w:proofErr w:type="spellEnd"/>
      <w:r w:rsidRPr="00AA43E9">
        <w:rPr>
          <w:kern w:val="2"/>
          <w14:ligatures w14:val="standardContextual"/>
        </w:rPr>
        <w:t xml:space="preserve"> u vezi s provedbom sustava SUMMA-e</w:t>
      </w:r>
      <w:r w:rsidRPr="00AA43E9">
        <w:rPr>
          <w:b/>
          <w:kern w:val="2"/>
          <w:vertAlign w:val="superscript"/>
          <w14:ligatures w14:val="standardContextual"/>
        </w:rPr>
        <w:footnoteReference w:id="413"/>
      </w:r>
      <w:r w:rsidRPr="00AA43E9">
        <w:rPr>
          <w:kern w:val="2"/>
          <w14:ligatures w14:val="standardContextual"/>
        </w:rPr>
        <w:t xml:space="preserve">; napominje da su tijekom cijele 2023. godine tehnički problemi i dalje doprinosili povećanju kašnjenja u plaćanjima (50 % u 2023.) i slučajevima neusklađenosti u </w:t>
      </w:r>
      <w:proofErr w:type="spellStart"/>
      <w:r w:rsidRPr="00AA43E9">
        <w:rPr>
          <w:kern w:val="2"/>
          <w14:ligatures w14:val="standardContextual"/>
        </w:rPr>
        <w:t>Eurojustu</w:t>
      </w:r>
      <w:proofErr w:type="spellEnd"/>
      <w:r w:rsidRPr="00AA43E9">
        <w:rPr>
          <w:kern w:val="2"/>
          <w14:ligatures w14:val="standardContextual"/>
        </w:rPr>
        <w:t>;</w:t>
      </w:r>
      <w:r w:rsidRPr="00AA43E9">
        <w:rPr>
          <w:color w:val="101010"/>
          <w:kern w:val="2"/>
          <w14:ligatures w14:val="standardContextual"/>
        </w:rPr>
        <w:t xml:space="preserve"> napominje da je ERA u prvom tromjesečju doživjela tehničke probleme, iako</w:t>
      </w:r>
      <w:r w:rsidRPr="00AA43E9">
        <w:rPr>
          <w:kern w:val="2"/>
          <w14:ligatures w14:val="standardContextual"/>
        </w:rPr>
        <w:t xml:space="preserve"> su ostvarena znatna poboljšanja u odnosu na 2022.;</w:t>
      </w:r>
    </w:p>
    <w:p w14:paraId="603765ED" w14:textId="3E7E7BAA" w:rsidR="00AA43E9" w:rsidRPr="00AA43E9" w:rsidRDefault="00AA43E9" w:rsidP="00AA43E9">
      <w:pPr>
        <w:spacing w:after="240"/>
        <w:ind w:left="567" w:hanging="567"/>
        <w:rPr>
          <w:kern w:val="2"/>
          <w14:ligatures w14:val="standardContextual"/>
        </w:rPr>
      </w:pPr>
      <w:r w:rsidRPr="00AA43E9">
        <w:rPr>
          <w:kern w:val="2"/>
          <w14:ligatures w14:val="standardContextual"/>
        </w:rPr>
        <w:t>53.</w:t>
      </w:r>
      <w:r w:rsidRPr="00AA43E9">
        <w:rPr>
          <w:kern w:val="2"/>
          <w14:ligatures w14:val="standardContextual"/>
        </w:rPr>
        <w:tab/>
        <w:t>napominje da poslovne knjige ESMA-e i EBA-e uključuju objavljivanje nesigurnosti u pogledu ishoda tužbe</w:t>
      </w:r>
      <w:r w:rsidRPr="00AA43E9">
        <w:rPr>
          <w:b/>
          <w:kern w:val="2"/>
          <w:vertAlign w:val="superscript"/>
          <w14:ligatures w14:val="standardContextual"/>
        </w:rPr>
        <w:footnoteReference w:id="414"/>
      </w:r>
      <w:r w:rsidRPr="00AA43E9">
        <w:rPr>
          <w:kern w:val="2"/>
          <w14:ligatures w14:val="standardContextual"/>
        </w:rPr>
        <w:t>; prima na znanje da je ESMA službeno obaviještena o pravnom predmetu povezanom sa zajedničkim postupkom javne nabave u kojem su osim ESMA-</w:t>
      </w:r>
      <w:r w:rsidRPr="00AA43E9">
        <w:rPr>
          <w:kern w:val="2"/>
          <w14:ligatures w14:val="standardContextual"/>
        </w:rPr>
        <w:lastRenderedPageBreak/>
        <w:t>e sudjelovale i tri druge agencije EU-a (EBA, EIOPA i ERA); svjestan je da je postupak rezultirao okvirnim ugovorom u vrijednosti od 40,2 milijuna EUR te da su do kraja 2023. ESMA i EBA potpisale posebne ugovore u ukupnom iznosu od 2 185 226 EUR za ESMA-u i 6 306 786 EUR u slučaju EBA-e;</w:t>
      </w:r>
    </w:p>
    <w:p w14:paraId="484E2FAE" w14:textId="155AF8C9" w:rsidR="00AA43E9" w:rsidRPr="00AA43E9" w:rsidRDefault="00AA43E9" w:rsidP="00AA43E9">
      <w:pPr>
        <w:spacing w:after="240"/>
        <w:ind w:left="567" w:hanging="567"/>
        <w:rPr>
          <w:kern w:val="2"/>
          <w14:ligatures w14:val="standardContextual"/>
        </w:rPr>
      </w:pPr>
      <w:r w:rsidRPr="00AA43E9">
        <w:rPr>
          <w:kern w:val="2"/>
          <w14:ligatures w14:val="standardContextual"/>
        </w:rPr>
        <w:t>54.</w:t>
      </w:r>
      <w:r w:rsidRPr="00AA43E9">
        <w:rPr>
          <w:kern w:val="2"/>
          <w14:ligatures w14:val="standardContextual"/>
        </w:rPr>
        <w:tab/>
        <w:t>zabrinut je zbog toga što podnositelj zahtjeva traži poništenje odluke o natječaju i novčanu naknadu u rasponu od 400 000 do 3,5 milijuna EUR; napominje da zbog rane faze postupka rukovodstva ESMA-e i EBA-e ne mogu pružiti pouzdanu procjenu mogućih troškova koji proizlaze iz tog slučaja</w:t>
      </w:r>
      <w:r w:rsidRPr="00AA43E9">
        <w:rPr>
          <w:kern w:val="2"/>
          <w:vertAlign w:val="superscript"/>
          <w14:ligatures w14:val="standardContextual"/>
        </w:rPr>
        <w:footnoteReference w:id="415"/>
      </w:r>
      <w:r w:rsidRPr="00AA43E9">
        <w:rPr>
          <w:kern w:val="2"/>
          <w14:ligatures w14:val="standardContextual"/>
        </w:rPr>
        <w:t>;</w:t>
      </w:r>
    </w:p>
    <w:p w14:paraId="7A88065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55.</w:t>
      </w:r>
      <w:r w:rsidRPr="00AA43E9">
        <w:rPr>
          <w:kern w:val="2"/>
          <w14:ligatures w14:val="standardContextual"/>
        </w:rPr>
        <w:tab/>
        <w:t xml:space="preserve">skreće pozornost na to da se u računovodstvenoj dokumentaciji ESMA-e objavljuje umanjenje vrijednosti od 368 300 EUR, što odgovara nepodmirenim naknadama nadziranih subjekata iz trećih zemalja; napominje da je umanjenje vrijednosti povezano s činjenicom da se Uredbom o infrastrukturi europskog tržišta (EMIR) ESMA-i ne pruža učinkovit mehanizam za provedbu naplate nepodmirenih naknada izvan Unije; pozdravlja činjenicu da je nedavnim dogovorom </w:t>
      </w:r>
      <w:proofErr w:type="spellStart"/>
      <w:r w:rsidRPr="00AA43E9">
        <w:rPr>
          <w:kern w:val="2"/>
          <w14:ligatures w14:val="standardContextual"/>
        </w:rPr>
        <w:t>suzakonodavaca</w:t>
      </w:r>
      <w:proofErr w:type="spellEnd"/>
      <w:r w:rsidRPr="00AA43E9">
        <w:rPr>
          <w:kern w:val="2"/>
          <w14:ligatures w14:val="standardContextual"/>
        </w:rPr>
        <w:t xml:space="preserve"> o izmjeni Uredbe (EMIR 3) uvedena mogućnost da ESMA povuče priznanje nadziranim subjektima iz trećih zemalja koji ne plaćaju svoje naknade;</w:t>
      </w:r>
    </w:p>
    <w:p w14:paraId="4F68398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56.</w:t>
      </w:r>
      <w:r w:rsidRPr="00AA43E9">
        <w:rPr>
          <w:kern w:val="2"/>
          <w14:ligatures w14:val="standardContextual"/>
        </w:rPr>
        <w:tab/>
        <w:t xml:space="preserve">napominje da računovodstvena dokumentacija EBA-e uključuje informacije o znatnim učincima Akta o digitalnoj operativnoj otpornosti (DORA) i Uredbe o tržištima </w:t>
      </w:r>
      <w:proofErr w:type="spellStart"/>
      <w:r w:rsidRPr="00AA43E9">
        <w:rPr>
          <w:kern w:val="2"/>
          <w14:ligatures w14:val="standardContextual"/>
        </w:rPr>
        <w:t>kriptoimovine</w:t>
      </w:r>
      <w:proofErr w:type="spellEnd"/>
      <w:r w:rsidRPr="00AA43E9">
        <w:rPr>
          <w:kern w:val="2"/>
          <w14:ligatures w14:val="standardContextual"/>
        </w:rPr>
        <w:t xml:space="preserve"> (</w:t>
      </w:r>
      <w:proofErr w:type="spellStart"/>
      <w:r w:rsidRPr="00AA43E9">
        <w:rPr>
          <w:kern w:val="2"/>
          <w14:ligatures w14:val="standardContextual"/>
        </w:rPr>
        <w:t>MiCAR</w:t>
      </w:r>
      <w:proofErr w:type="spellEnd"/>
      <w:r w:rsidRPr="00AA43E9">
        <w:rPr>
          <w:kern w:val="2"/>
          <w14:ligatures w14:val="standardContextual"/>
        </w:rPr>
        <w:t>) u pogledu nefinanciranih sredstava potrebnih za uspostavu povezanih zadaća i provedbu odgovarajućeg nadzora i politike nadzora koja je provedena 2023. prije početka naplate naknada; prima na znanje da je EBA morala preraspodijeliti sredstva za te pripremne aktivnosti;</w:t>
      </w:r>
    </w:p>
    <w:p w14:paraId="6C73EF0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57.</w:t>
      </w:r>
      <w:r w:rsidRPr="00AA43E9">
        <w:rPr>
          <w:kern w:val="2"/>
          <w14:ligatures w14:val="standardContextual"/>
        </w:rPr>
        <w:tab/>
        <w:t xml:space="preserve">prima na znanje da se u računovodstvenoj dokumentaciji EIT-a objavljuju pretpostavke korištene za procjenu operativnih troškova (troškovi bespovratnih sredstava), koji su obračunani i prikazani u bilanci kao stavka imovine </w:t>
      </w:r>
      <w:proofErr w:type="spellStart"/>
      <w:r w:rsidRPr="00AA43E9">
        <w:rPr>
          <w:kern w:val="2"/>
          <w14:ligatures w14:val="standardContextual"/>
        </w:rPr>
        <w:t>pretfinanciranja</w:t>
      </w:r>
      <w:proofErr w:type="spellEnd"/>
      <w:r w:rsidRPr="00AA43E9">
        <w:rPr>
          <w:kern w:val="2"/>
          <w14:ligatures w14:val="standardContextual"/>
        </w:rPr>
        <w:t xml:space="preserve"> koja se smanjuje; podsjeća da je obračun rashoda za bespovratna sredstva znatna procjena koja neizbježno podrazumijeva nesigurnost;</w:t>
      </w:r>
    </w:p>
    <w:p w14:paraId="36A674A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58.</w:t>
      </w:r>
      <w:r w:rsidRPr="00AA43E9">
        <w:rPr>
          <w:kern w:val="2"/>
          <w14:ligatures w14:val="standardContextual"/>
        </w:rPr>
        <w:tab/>
        <w:t xml:space="preserve">napominje da EMA u svojoj godišnjoj računovodstvenoj dokumentaciji u znatnoj mjeri objavljuje informacije o svojim bivšim prostorijama u Londonu i nesigurnostima koje su nastale zbog činjenice da je matično društvo </w:t>
      </w:r>
      <w:proofErr w:type="spellStart"/>
      <w:r w:rsidRPr="00AA43E9">
        <w:rPr>
          <w:kern w:val="2"/>
          <w14:ligatures w14:val="standardContextual"/>
        </w:rPr>
        <w:t>podnajmoprimca</w:t>
      </w:r>
      <w:proofErr w:type="spellEnd"/>
      <w:r w:rsidRPr="00AA43E9">
        <w:rPr>
          <w:kern w:val="2"/>
          <w14:ligatures w14:val="standardContextual"/>
        </w:rPr>
        <w:t xml:space="preserve"> prijavilo stečaj; sa zabrinutošću napominje da bi se EMA mogla smatrati odgovornom za cijeli preostali iznos koji treba platiti u okviru glavnog ugovora o najmu; svjestan je da je maksimalan iznos, uključujući obvezu plaćanja općinskog poreza, koji će EMA morati platiti ako prostorije ostanu prazne za ostatak ugovora o najmu, 550 milijuna EUR; napominje da EMA trenutačno ponovno pregovara o uvjetima podnajma s ogrankom grupe u Ujedinjenoj Kraljevini i da je u okviru tih ponovnih pregovora pristala na odgodu plaćanja najamnine za prva dva tromjesečja 2024. i na smanjenje najamnine </w:t>
      </w:r>
      <w:proofErr w:type="spellStart"/>
      <w:r w:rsidRPr="00AA43E9">
        <w:rPr>
          <w:kern w:val="2"/>
          <w14:ligatures w14:val="standardContextual"/>
        </w:rPr>
        <w:t>podnajmoprimca</w:t>
      </w:r>
      <w:proofErr w:type="spellEnd"/>
      <w:r w:rsidRPr="00AA43E9">
        <w:rPr>
          <w:kern w:val="2"/>
          <w14:ligatures w14:val="standardContextual"/>
        </w:rPr>
        <w:t xml:space="preserve"> od 1. siječnja 2024.; napominje da je s tim u vezi EMA predvidjela rezervaciju za štetan ugovor u iznosu od 131,4 milijuna EUR; prima na znanje da je </w:t>
      </w:r>
      <w:proofErr w:type="spellStart"/>
      <w:r w:rsidRPr="00AA43E9">
        <w:rPr>
          <w:kern w:val="2"/>
          <w14:ligatures w14:val="standardContextual"/>
        </w:rPr>
        <w:t>podnajmoprimac</w:t>
      </w:r>
      <w:proofErr w:type="spellEnd"/>
      <w:r w:rsidRPr="00AA43E9">
        <w:rPr>
          <w:kern w:val="2"/>
          <w14:ligatures w14:val="standardContextual"/>
        </w:rPr>
        <w:t xml:space="preserve"> Agencije ispunio svoje ugovorne obveze za 2023. plaćanjem najamnine za razdoblje do 31. prosinca 2023. te potiče EMA-u i Komisiju da pronađu održivo rješenje za raskid ugovora i sve povezane obveze prije sljedećeg postupka davanja razrješnice 2024.;</w:t>
      </w:r>
    </w:p>
    <w:p w14:paraId="2AD5133D" w14:textId="5E06EA32"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59.</w:t>
      </w:r>
      <w:r w:rsidRPr="00AA43E9">
        <w:rPr>
          <w:kern w:val="2"/>
          <w14:ligatures w14:val="standardContextual"/>
        </w:rPr>
        <w:tab/>
        <w:t xml:space="preserve">primjećuje da poslovne knjige agencije </w:t>
      </w:r>
      <w:proofErr w:type="spellStart"/>
      <w:r w:rsidRPr="00AA43E9">
        <w:rPr>
          <w:kern w:val="2"/>
          <w14:ligatures w14:val="standardContextual"/>
        </w:rPr>
        <w:t>eu</w:t>
      </w:r>
      <w:proofErr w:type="spellEnd"/>
      <w:r w:rsidRPr="00AA43E9">
        <w:rPr>
          <w:kern w:val="2"/>
          <w14:ligatures w14:val="standardContextual"/>
        </w:rPr>
        <w:t xml:space="preserve">-LISA uključuju informacije o financijskoj situaciji ključnog izvođača s dvama aktivnim okvirnim ugovorima; napominje da </w:t>
      </w:r>
      <w:proofErr w:type="spellStart"/>
      <w:r w:rsidRPr="00AA43E9">
        <w:rPr>
          <w:kern w:val="2"/>
          <w14:ligatures w14:val="standardContextual"/>
        </w:rPr>
        <w:t>eu</w:t>
      </w:r>
      <w:proofErr w:type="spellEnd"/>
      <w:r w:rsidRPr="00AA43E9">
        <w:rPr>
          <w:kern w:val="2"/>
          <w14:ligatures w14:val="standardContextual"/>
        </w:rPr>
        <w:t xml:space="preserve">-LISA ima dva aktivna okvirna ugovora s izvođačem koji je član konzorcija i da je taj izvođač zamijenio svoje matično poduzeće u ugovorima te je odgovoran za provedbu i održavanje sustava ulaska/izlaska i pružanje usluga u okviru 1. grupe transverzalnog operativnog okvira; prima na znanje da su nepodmireni ugovoreni iznosi od 97,5 milijuna EUR odnosno 41 milijun EUR; napominje da, kako bi se uklonili potencijalni rizici povezani s financijskom održivošću matičnog poduzeća, </w:t>
      </w:r>
      <w:proofErr w:type="spellStart"/>
      <w:r w:rsidRPr="00AA43E9">
        <w:rPr>
          <w:kern w:val="2"/>
          <w14:ligatures w14:val="standardContextual"/>
        </w:rPr>
        <w:t>eu</w:t>
      </w:r>
      <w:proofErr w:type="spellEnd"/>
      <w:r w:rsidRPr="00AA43E9">
        <w:rPr>
          <w:kern w:val="2"/>
          <w14:ligatures w14:val="standardContextual"/>
        </w:rPr>
        <w:t xml:space="preserve">-LISA pomno prati financijsko zdravlje izvođača s pomoću neovisnih alata za procjenu rizika i izravnih upita; osim toga, napominje da </w:t>
      </w:r>
      <w:proofErr w:type="spellStart"/>
      <w:r w:rsidRPr="00AA43E9">
        <w:rPr>
          <w:kern w:val="2"/>
          <w14:ligatures w14:val="standardContextual"/>
        </w:rPr>
        <w:t>eu</w:t>
      </w:r>
      <w:proofErr w:type="spellEnd"/>
      <w:r w:rsidRPr="00AA43E9">
        <w:rPr>
          <w:kern w:val="2"/>
          <w14:ligatures w14:val="standardContextual"/>
        </w:rPr>
        <w:t>-LISA redovito procjenjuje napredak imovine u razvoju kako bi se osiguralo da nema negativnih učinaka na njezin mandat te da je proaktivna u upravljanju rizicima povezanima s poremećajima u lancu opskrbe i njihovu ublažavanju u granicama financijskog pravila</w:t>
      </w:r>
      <w:r w:rsidRPr="00AA43E9">
        <w:rPr>
          <w:kern w:val="2"/>
          <w:vertAlign w:val="superscript"/>
          <w14:ligatures w14:val="standardContextual"/>
        </w:rPr>
        <w:footnoteReference w:id="416"/>
      </w:r>
      <w:r w:rsidRPr="00AA43E9">
        <w:rPr>
          <w:kern w:val="2"/>
          <w14:ligatures w14:val="standardContextual"/>
        </w:rPr>
        <w:t>;</w:t>
      </w:r>
    </w:p>
    <w:p w14:paraId="4B4FE154" w14:textId="4A535C53" w:rsidR="00AA43E9" w:rsidRPr="00AA43E9" w:rsidRDefault="00AA43E9" w:rsidP="00AA43E9">
      <w:pPr>
        <w:spacing w:after="240"/>
        <w:ind w:left="567" w:hanging="567"/>
        <w:rPr>
          <w:kern w:val="2"/>
          <w14:ligatures w14:val="standardContextual"/>
        </w:rPr>
      </w:pPr>
      <w:r w:rsidRPr="00AA43E9">
        <w:rPr>
          <w:kern w:val="2"/>
          <w14:ligatures w14:val="standardContextual"/>
        </w:rPr>
        <w:t>60.</w:t>
      </w:r>
      <w:r w:rsidRPr="00AA43E9">
        <w:rPr>
          <w:kern w:val="2"/>
          <w14:ligatures w14:val="standardContextual"/>
        </w:rPr>
        <w:tab/>
        <w:t xml:space="preserve">podsjeća na opetovane različite pristupe </w:t>
      </w:r>
      <w:proofErr w:type="spellStart"/>
      <w:r w:rsidRPr="00AA43E9">
        <w:rPr>
          <w:kern w:val="2"/>
          <w14:ligatures w14:val="standardContextual"/>
        </w:rPr>
        <w:t>Frontexa</w:t>
      </w:r>
      <w:proofErr w:type="spellEnd"/>
      <w:r w:rsidRPr="00AA43E9">
        <w:rPr>
          <w:kern w:val="2"/>
          <w14:ligatures w14:val="standardContextual"/>
        </w:rPr>
        <w:t xml:space="preserve"> i Revizorskog suda u pogledu izračuna doprinosa zemalja pridruženih </w:t>
      </w:r>
      <w:proofErr w:type="spellStart"/>
      <w:r w:rsidRPr="00AA43E9">
        <w:rPr>
          <w:kern w:val="2"/>
          <w14:ligatures w14:val="standardContextual"/>
        </w:rPr>
        <w:t>schengenskom</w:t>
      </w:r>
      <w:proofErr w:type="spellEnd"/>
      <w:r w:rsidRPr="00AA43E9">
        <w:rPr>
          <w:kern w:val="2"/>
          <w14:ligatures w14:val="standardContextual"/>
        </w:rPr>
        <w:t xml:space="preserve"> području proračunu </w:t>
      </w:r>
      <w:proofErr w:type="spellStart"/>
      <w:r w:rsidRPr="00AA43E9">
        <w:rPr>
          <w:kern w:val="2"/>
          <w14:ligatures w14:val="standardContextual"/>
        </w:rPr>
        <w:t>Frontexa</w:t>
      </w:r>
      <w:proofErr w:type="spellEnd"/>
      <w:r w:rsidRPr="00AA43E9">
        <w:rPr>
          <w:kern w:val="2"/>
          <w14:ligatures w14:val="standardContextual"/>
        </w:rPr>
        <w:t xml:space="preserve">; prima na znanje da Revizorski sud smatra da je </w:t>
      </w:r>
      <w:proofErr w:type="spellStart"/>
      <w:r w:rsidRPr="00AA43E9">
        <w:rPr>
          <w:kern w:val="2"/>
          <w14:ligatures w14:val="standardContextual"/>
        </w:rPr>
        <w:t>Frontexovo</w:t>
      </w:r>
      <w:proofErr w:type="spellEnd"/>
      <w:r w:rsidRPr="00AA43E9">
        <w:rPr>
          <w:kern w:val="2"/>
          <w14:ligatures w14:val="standardContextual"/>
        </w:rPr>
        <w:t xml:space="preserve"> tumačenje manjkavo jer dovodi do toga da zemlje pridružene </w:t>
      </w:r>
      <w:proofErr w:type="spellStart"/>
      <w:r w:rsidRPr="00AA43E9">
        <w:rPr>
          <w:kern w:val="2"/>
          <w14:ligatures w14:val="standardContextual"/>
        </w:rPr>
        <w:t>schengenskom</w:t>
      </w:r>
      <w:proofErr w:type="spellEnd"/>
      <w:r w:rsidRPr="00AA43E9">
        <w:rPr>
          <w:kern w:val="2"/>
          <w14:ligatures w14:val="standardContextual"/>
        </w:rPr>
        <w:t xml:space="preserve"> području doprinose proračunu </w:t>
      </w:r>
      <w:proofErr w:type="spellStart"/>
      <w:r w:rsidRPr="00AA43E9">
        <w:rPr>
          <w:kern w:val="2"/>
          <w14:ligatures w14:val="standardContextual"/>
        </w:rPr>
        <w:t>Frontexa</w:t>
      </w:r>
      <w:proofErr w:type="spellEnd"/>
      <w:r w:rsidRPr="00AA43E9">
        <w:rPr>
          <w:kern w:val="2"/>
          <w14:ligatures w14:val="standardContextual"/>
        </w:rPr>
        <w:t xml:space="preserve"> s 3,5 milijuna EUR (ili 7 %) manje nego što bi trebale prema veličini svojih gospodarstava u odnosu na gospodarstvo EU-a; prima na znanje da je računovodstveni službenik privremeno ispitao situaciju i, slično kao upravni odbor, smatra da nema potrebe da </w:t>
      </w:r>
      <w:proofErr w:type="spellStart"/>
      <w:r w:rsidRPr="00AA43E9">
        <w:rPr>
          <w:kern w:val="2"/>
          <w14:ligatures w14:val="standardContextual"/>
        </w:rPr>
        <w:t>Frontex</w:t>
      </w:r>
      <w:proofErr w:type="spellEnd"/>
      <w:r w:rsidRPr="00AA43E9">
        <w:rPr>
          <w:kern w:val="2"/>
          <w14:ligatures w14:val="standardContextual"/>
        </w:rPr>
        <w:t xml:space="preserve"> revidira aktualnu metodologiju izračuna u pogledu doprinosa zemalja pridruženih </w:t>
      </w:r>
      <w:proofErr w:type="spellStart"/>
      <w:r w:rsidRPr="00AA43E9">
        <w:rPr>
          <w:kern w:val="2"/>
          <w14:ligatures w14:val="standardContextual"/>
        </w:rPr>
        <w:t>schengenskom</w:t>
      </w:r>
      <w:proofErr w:type="spellEnd"/>
      <w:r w:rsidRPr="00AA43E9">
        <w:rPr>
          <w:kern w:val="2"/>
          <w14:ligatures w14:val="standardContextual"/>
        </w:rPr>
        <w:t xml:space="preserve"> području proračunu </w:t>
      </w:r>
      <w:proofErr w:type="spellStart"/>
      <w:r w:rsidRPr="00AA43E9">
        <w:rPr>
          <w:kern w:val="2"/>
          <w14:ligatures w14:val="standardContextual"/>
        </w:rPr>
        <w:t>Frontexa</w:t>
      </w:r>
      <w:proofErr w:type="spellEnd"/>
      <w:r w:rsidRPr="00AA43E9">
        <w:rPr>
          <w:kern w:val="2"/>
          <w:vertAlign w:val="superscript"/>
          <w14:ligatures w14:val="standardContextual"/>
        </w:rPr>
        <w:footnoteReference w:id="417"/>
      </w:r>
      <w:r w:rsidRPr="00AA43E9">
        <w:rPr>
          <w:kern w:val="2"/>
          <w14:ligatures w14:val="standardContextual"/>
        </w:rPr>
        <w:t xml:space="preserve">; prima na znanje izvješće </w:t>
      </w:r>
      <w:proofErr w:type="spellStart"/>
      <w:r w:rsidRPr="00AA43E9">
        <w:rPr>
          <w:kern w:val="2"/>
          <w14:ligatures w14:val="standardContextual"/>
        </w:rPr>
        <w:t>Frontexa</w:t>
      </w:r>
      <w:proofErr w:type="spellEnd"/>
      <w:r w:rsidRPr="00AA43E9">
        <w:rPr>
          <w:kern w:val="2"/>
          <w14:ligatures w14:val="standardContextual"/>
        </w:rPr>
        <w:t xml:space="preserve"> o daljnjem postupanju u vezi s izvješćem o razrješnici za 2022. u kojem se navodi da ta agencija ne namjerava promijeniti metodologiju koja se upotrebljava za te izračune; traži od Agencije da tijelo nadležno za davanje razrješnice izvijesti uz detaljno objašnjenje metodologije upotrijebljene u tim izračunima;</w:t>
      </w:r>
    </w:p>
    <w:p w14:paraId="52842902" w14:textId="77777777" w:rsidR="00AA43E9" w:rsidRPr="00AA43E9" w:rsidRDefault="00AA43E9" w:rsidP="00AA43E9">
      <w:pPr>
        <w:spacing w:after="240"/>
        <w:ind w:left="567" w:hanging="567"/>
        <w:rPr>
          <w:b/>
          <w:iCs/>
          <w:kern w:val="2"/>
          <w14:ligatures w14:val="standardContextual"/>
        </w:rPr>
      </w:pPr>
      <w:r w:rsidRPr="00AA43E9">
        <w:rPr>
          <w:b/>
          <w:iCs/>
          <w:kern w:val="2"/>
          <w14:ligatures w14:val="standardContextual"/>
        </w:rPr>
        <w:t>Uspješnost</w:t>
      </w:r>
    </w:p>
    <w:p w14:paraId="3326153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61.</w:t>
      </w:r>
      <w:r w:rsidRPr="00AA43E9">
        <w:rPr>
          <w:kern w:val="2"/>
          <w14:ligatures w14:val="standardContextual"/>
        </w:rPr>
        <w:tab/>
        <w:t>napominje da se u zajedničkom pristupu decentraliziranim agencijama uvodi koncept ključnih pokazatelja uspješnosti čiji je cilj poboljšati praćenje uspješnosti agencija;</w:t>
      </w:r>
    </w:p>
    <w:p w14:paraId="57095AAA" w14:textId="7B09C606" w:rsidR="00AA43E9" w:rsidRPr="00AA43E9" w:rsidRDefault="00AA43E9" w:rsidP="00AA43E9">
      <w:pPr>
        <w:spacing w:after="240"/>
        <w:ind w:left="567" w:hanging="567"/>
        <w:rPr>
          <w:kern w:val="2"/>
          <w14:ligatures w14:val="standardContextual"/>
        </w:rPr>
      </w:pPr>
      <w:r w:rsidRPr="00AA43E9">
        <w:rPr>
          <w:kern w:val="2"/>
          <w14:ligatures w14:val="standardContextual"/>
        </w:rPr>
        <w:t>62.</w:t>
      </w:r>
      <w:r w:rsidRPr="00AA43E9">
        <w:rPr>
          <w:kern w:val="2"/>
          <w14:ligatures w14:val="standardContextual"/>
        </w:rPr>
        <w:tab/>
        <w:t>usto napominje da bi u skladu s planom koji je izradila Komisija</w:t>
      </w:r>
      <w:r w:rsidRPr="00AA43E9">
        <w:rPr>
          <w:kern w:val="2"/>
          <w:vertAlign w:val="superscript"/>
          <w14:ligatures w14:val="standardContextual"/>
        </w:rPr>
        <w:footnoteReference w:id="418"/>
      </w:r>
      <w:r w:rsidRPr="00AA43E9">
        <w:rPr>
          <w:kern w:val="2"/>
          <w14:ligatures w14:val="standardContextual"/>
        </w:rPr>
        <w:t xml:space="preserve"> trebalo razviti ključne pokazatelje uspješnosti u vezi s radom određene agencije i njezina direktora; nadalje napominje da je Komisija također predložila izradu predložaka za godišnji program rada ili evaluaciju;</w:t>
      </w:r>
    </w:p>
    <w:p w14:paraId="1CE80A9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63.</w:t>
      </w:r>
      <w:r w:rsidRPr="00AA43E9">
        <w:rPr>
          <w:kern w:val="2"/>
          <w14:ligatures w14:val="standardContextual"/>
        </w:rPr>
        <w:tab/>
        <w:t xml:space="preserve">ističe da bi, u skladu s Planom, agencije i Komisija trebale svake godine </w:t>
      </w:r>
      <w:proofErr w:type="spellStart"/>
      <w:r w:rsidRPr="00AA43E9">
        <w:rPr>
          <w:kern w:val="2"/>
          <w14:ligatures w14:val="standardContextual"/>
        </w:rPr>
        <w:t>osmišljati</w:t>
      </w:r>
      <w:proofErr w:type="spellEnd"/>
      <w:r w:rsidRPr="00AA43E9">
        <w:rPr>
          <w:kern w:val="2"/>
          <w14:ligatures w14:val="standardContextual"/>
        </w:rPr>
        <w:t xml:space="preserve"> ključne pokazatelje uspješnosti te ih stoga iz godine u godinu mijenjati, što otežava praćenje uspješnosti agencije tijekom duljeg razdoblja jer se neki ključni pokazatelji uspješnosti možda neće pratiti tijekom nekoliko godina;</w:t>
      </w:r>
    </w:p>
    <w:p w14:paraId="0CEC279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64.</w:t>
      </w:r>
      <w:r w:rsidRPr="00AA43E9">
        <w:rPr>
          <w:kern w:val="2"/>
          <w14:ligatures w14:val="standardContextual"/>
        </w:rPr>
        <w:tab/>
        <w:t xml:space="preserve">preporučuje da agencije poduzmu mjere kako bi se uskladile s neriješenim ili odgođenim pokazateljima te da redovito prilagođavaju svoje ključne pokazatelje </w:t>
      </w:r>
      <w:r w:rsidRPr="00AA43E9">
        <w:rPr>
          <w:kern w:val="2"/>
          <w14:ligatures w14:val="standardContextual"/>
        </w:rPr>
        <w:lastRenderedPageBreak/>
        <w:t>uspješnosti kako bi poboljšale uspješnost;</w:t>
      </w:r>
    </w:p>
    <w:p w14:paraId="5AB79DAD" w14:textId="092F7BE9" w:rsidR="00AA43E9" w:rsidRPr="00AA43E9" w:rsidRDefault="00AA43E9" w:rsidP="00AA43E9">
      <w:pPr>
        <w:spacing w:after="240"/>
        <w:ind w:left="567" w:hanging="567"/>
        <w:rPr>
          <w:kern w:val="2"/>
          <w14:ligatures w14:val="standardContextual"/>
        </w:rPr>
      </w:pPr>
      <w:r w:rsidRPr="00AA43E9">
        <w:rPr>
          <w:kern w:val="2"/>
          <w14:ligatures w14:val="standardContextual"/>
        </w:rPr>
        <w:t>65.</w:t>
      </w:r>
      <w:r w:rsidRPr="00AA43E9">
        <w:rPr>
          <w:kern w:val="2"/>
          <w14:ligatures w14:val="standardContextual"/>
        </w:rPr>
        <w:tab/>
        <w:t>ističe da su smjernice Komisije</w:t>
      </w:r>
      <w:r w:rsidRPr="00AA43E9">
        <w:rPr>
          <w:kern w:val="2"/>
          <w:vertAlign w:val="superscript"/>
          <w14:ligatures w14:val="standardContextual"/>
        </w:rPr>
        <w:footnoteReference w:id="419"/>
      </w:r>
      <w:r w:rsidRPr="00AA43E9">
        <w:rPr>
          <w:kern w:val="2"/>
          <w14:ligatures w14:val="standardContextual"/>
        </w:rPr>
        <w:t xml:space="preserve"> za ključne pokazatelje uspješnosti za direktore decentraliziranih agencija EU-a u potpunosti usmjerene na uspješnost direktora agencija, tj. uglavnom su povezane s upravljanjem proračunom i ljudskim resursima te se ne koriste za procjenu rezultata ili učinkovitosti i djelotvornosti operacija u okviru mandata agencija</w:t>
      </w:r>
      <w:r w:rsidRPr="00AA43E9">
        <w:rPr>
          <w:kern w:val="2"/>
          <w:vertAlign w:val="superscript"/>
          <w14:ligatures w14:val="standardContextual"/>
        </w:rPr>
        <w:footnoteReference w:id="420"/>
      </w:r>
      <w:r w:rsidRPr="00AA43E9">
        <w:rPr>
          <w:kern w:val="2"/>
          <w14:ligatures w14:val="standardContextual"/>
        </w:rPr>
        <w:t>;</w:t>
      </w:r>
    </w:p>
    <w:p w14:paraId="5128DD2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66.</w:t>
      </w:r>
      <w:r w:rsidRPr="00AA43E9">
        <w:rPr>
          <w:kern w:val="2"/>
          <w14:ligatures w14:val="standardContextual"/>
        </w:rPr>
        <w:tab/>
        <w:t>nadalje naglašava da je, s obzirom na to da ne postoji standardni pristup za predstavljanje ključnih pokazatelja uspješnosti u godišnjim izvješćima o radu agencija, teško imati pregled stanja uspješnosti svake agencije;</w:t>
      </w:r>
    </w:p>
    <w:p w14:paraId="27B9CD5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67.</w:t>
      </w:r>
      <w:r w:rsidRPr="00AA43E9">
        <w:rPr>
          <w:kern w:val="2"/>
          <w14:ligatures w14:val="standardContextual"/>
        </w:rPr>
        <w:tab/>
        <w:t>ističe da, na temelju zaključaka Revizorskog suda, ključni pokazatelji uspješnosti ne doprinose praćenju uspješnosti agencija u pogledu poslovanja te upravljanja financijskim i ljudskim resursima;</w:t>
      </w:r>
    </w:p>
    <w:p w14:paraId="1E07026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68.</w:t>
      </w:r>
      <w:r w:rsidRPr="00AA43E9">
        <w:rPr>
          <w:kern w:val="2"/>
          <w14:ligatures w14:val="standardContextual"/>
        </w:rPr>
        <w:tab/>
        <w:t>poziva na neovisnu reviziju uspješnosti svih agencija kako bi se procijenilo jesu li njihove aktivnosti učinkovito usklađene s prioritetima politika Unije i ostvaruju li opipljive rezultate; ustraje u uvođenju mjerila za izradu proračuna na temelju uspješnosti i učinkovitosti kako bi se osigurala optimalna raspodjela resursa i upravljanje utemeljeno na učinku;</w:t>
      </w:r>
    </w:p>
    <w:p w14:paraId="0DF32E8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69.</w:t>
      </w:r>
      <w:r w:rsidRPr="00AA43E9">
        <w:rPr>
          <w:kern w:val="2"/>
          <w14:ligatures w14:val="standardContextual"/>
        </w:rPr>
        <w:tab/>
        <w:t>cijeni činjenicu da je ECHA u suradnji s Europskom agencijom za sigurnost hrane (EFSA) poduzela korake za promicanje načela „jedne procjena po tvari” kako bi se osigurala daljnja usklađenost u procjeni opasnosti i rizika aktivnih tvari; poziva agencije da nastave promicati suradnju s drugim agencijama EU-a i međunarodnim organizacijama te zagovarati dijalog s dionicima i građanima;</w:t>
      </w:r>
    </w:p>
    <w:p w14:paraId="454D1BC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70.</w:t>
      </w:r>
      <w:r w:rsidRPr="00AA43E9">
        <w:rPr>
          <w:kern w:val="2"/>
          <w14:ligatures w14:val="standardContextual"/>
        </w:rPr>
        <w:tab/>
        <w:t xml:space="preserve">podsjeća na pristup „nulte tolerancije” Unije prema nezakonitom, neprijavljenom i nereguliranom ribolovu i na ključan doprinos Europske agencije za kontrolu ribarstva (EFCA) provedbi zajedničke </w:t>
      </w:r>
      <w:proofErr w:type="spellStart"/>
      <w:r w:rsidRPr="00AA43E9">
        <w:rPr>
          <w:kern w:val="2"/>
          <w14:ligatures w14:val="standardContextual"/>
        </w:rPr>
        <w:t>ribarstvene</w:t>
      </w:r>
      <w:proofErr w:type="spellEnd"/>
      <w:r w:rsidRPr="00AA43E9">
        <w:rPr>
          <w:kern w:val="2"/>
          <w14:ligatures w14:val="standardContextual"/>
        </w:rPr>
        <w:t xml:space="preserve"> politike, posebno u pogledu kontrole ribarstva i borbe protiv nezakonitog, neprijavljenog i nereguliranog ribolova;</w:t>
      </w:r>
    </w:p>
    <w:p w14:paraId="3A30861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71.</w:t>
      </w:r>
      <w:r w:rsidRPr="00AA43E9">
        <w:rPr>
          <w:kern w:val="2"/>
          <w14:ligatures w14:val="standardContextual"/>
        </w:rPr>
        <w:tab/>
        <w:t>naglašava da su za kontrolu ribolovnih aktivnosti prvenstveno odgovorne države članice, dok su zadaće Agencije ograničene na potporu i koordinaciju te pružanje pomoći državama članicama u tom području; poziva Agenciju da pruži potporu državama članicama u nadzoru i utvrđivanju teških prekršaja povezanih s prisilnim radom te da osigura odgovarajuće osposobljavanje inspektora o tim teškim prekršajima;</w:t>
      </w:r>
    </w:p>
    <w:p w14:paraId="72956C3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72.</w:t>
      </w:r>
      <w:r w:rsidRPr="00AA43E9">
        <w:rPr>
          <w:kern w:val="2"/>
          <w14:ligatures w14:val="standardContextual"/>
        </w:rPr>
        <w:tab/>
        <w:t xml:space="preserve">poziva EUSPA-u da nastavi doprinositi provedbi svemirskog programa EU-a, jačajući industrijsku bazu Unije, konkurentnost i inovacije; potiče davanje prednosti europskoj nabavi, posebno u područjima ključnima za otpornost, stratešku autonomiju i suverenost Unije; ističe ključnu ulogu Galilea i njegove javne regulirane usluge u sigurnosti i obrani Unije, uz kratkoročne koristi državne satelitske komunikacije i dugoročnu </w:t>
      </w:r>
      <w:r w:rsidRPr="00AA43E9">
        <w:rPr>
          <w:kern w:val="2"/>
          <w14:ligatures w14:val="standardContextual"/>
        </w:rPr>
        <w:lastRenderedPageBreak/>
        <w:t>stratešku vrijednost IRIS-a</w:t>
      </w:r>
      <w:r w:rsidRPr="00AA43E9">
        <w:rPr>
          <w:kern w:val="2"/>
          <w:vertAlign w:val="superscript"/>
          <w14:ligatures w14:val="standardContextual"/>
        </w:rPr>
        <w:t>2</w:t>
      </w:r>
      <w:r w:rsidRPr="00AA43E9">
        <w:rPr>
          <w:kern w:val="2"/>
          <w14:ligatures w14:val="standardContextual"/>
        </w:rPr>
        <w:t>; naglašava da bi se inicijativama Unije u području obrambenih i sigurnosnih kapaciteta trebalo iskoristiti stručno znanje i infrastrukturu svemirskog sektora Unije kako bi se izbjeglo nepotrebno udvostručavanje;</w:t>
      </w:r>
    </w:p>
    <w:p w14:paraId="69661D0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73.</w:t>
      </w:r>
      <w:r w:rsidRPr="00AA43E9">
        <w:rPr>
          <w:kern w:val="2"/>
          <w14:ligatures w14:val="standardContextual"/>
        </w:rPr>
        <w:tab/>
        <w:t xml:space="preserve">prima na znanje novi plan za interoperabilnost; priznaje da je novi vremenski okvir za uvođenje i interoperabilnost informacijskih sustava Unije bio potreban zbog kašnjenja u razvoju sustava ulaska/izlaska (EES), europskog sustava za informacije o putovanjima i odobravanje putovanja (ETIAS) i Europskog informacijskog sustava kaznene evidencije za državljane trećih zemalja (ECRIS-TCN); ističe da je brza, učinkovita i pouzdana razmjena informacija, u skladu s primjenjivim zakonodavstvom, ključna za održavanje i jačanje </w:t>
      </w:r>
      <w:proofErr w:type="spellStart"/>
      <w:r w:rsidRPr="00AA43E9">
        <w:rPr>
          <w:kern w:val="2"/>
          <w14:ligatures w14:val="standardContextual"/>
        </w:rPr>
        <w:t>Unijina</w:t>
      </w:r>
      <w:proofErr w:type="spellEnd"/>
      <w:r w:rsidRPr="00AA43E9">
        <w:rPr>
          <w:kern w:val="2"/>
          <w14:ligatures w14:val="standardContextual"/>
        </w:rPr>
        <w:t xml:space="preserve"> područja slobode, sigurnosti i pravde; u tom pogledu prima na znanje rad agencije </w:t>
      </w:r>
      <w:proofErr w:type="spellStart"/>
      <w:r w:rsidRPr="00AA43E9">
        <w:rPr>
          <w:kern w:val="2"/>
          <w14:ligatures w14:val="standardContextual"/>
        </w:rPr>
        <w:t>eu</w:t>
      </w:r>
      <w:proofErr w:type="spellEnd"/>
      <w:r w:rsidRPr="00AA43E9">
        <w:rPr>
          <w:kern w:val="2"/>
          <w14:ligatures w14:val="standardContextual"/>
        </w:rPr>
        <w:t>-LISA i poboljšanja koja je ostvarila;</w:t>
      </w:r>
    </w:p>
    <w:p w14:paraId="0D7375B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74.</w:t>
      </w:r>
      <w:r w:rsidRPr="00AA43E9">
        <w:rPr>
          <w:kern w:val="2"/>
          <w14:ligatures w14:val="standardContextual"/>
        </w:rPr>
        <w:tab/>
        <w:t>prima na znanje napore koje Prevoditeljski centar za tijela Europske unije („Centar”) ulaže kako bi se omogućila i promicala višejezičnost u Uniji, primjerice u pogledu komunikacije agencija EU-a i razvoja terminologije u specijaliziranim tematskim područjima s ciljem poboljšanja kvalitete prijevoda; pozdravlja osnivanje radne skupine za umjetnu inteligenciju u lipnju 2023. i odluku da se njezin rad nastavi u okviru nove savjetodavne skupine za umjetnu inteligenciju;</w:t>
      </w:r>
    </w:p>
    <w:p w14:paraId="21780330" w14:textId="7DB144F3" w:rsidR="00AA43E9" w:rsidRPr="00AA43E9" w:rsidRDefault="00AA43E9" w:rsidP="00AA43E9">
      <w:pPr>
        <w:spacing w:after="240"/>
        <w:ind w:left="567" w:hanging="567"/>
        <w:rPr>
          <w:kern w:val="2"/>
          <w14:ligatures w14:val="standardContextual"/>
        </w:rPr>
      </w:pPr>
      <w:r w:rsidRPr="00AA43E9">
        <w:rPr>
          <w:kern w:val="2"/>
          <w14:ligatures w14:val="standardContextual"/>
        </w:rPr>
        <w:t>75.</w:t>
      </w:r>
      <w:r w:rsidRPr="00AA43E9">
        <w:rPr>
          <w:kern w:val="2"/>
          <w14:ligatures w14:val="standardContextual"/>
        </w:rPr>
        <w:tab/>
        <w:t>poziva EFCA-u da pruži potporu državama članicama u nadzoru i utvrđivanju teških prekršaja povezanih s primjenom članka 90. stavka 2. točke (p) Uredbe (EU) 2023/2842 Europskog parlamenta i Vijeća</w:t>
      </w:r>
      <w:r w:rsidRPr="00AA43E9">
        <w:rPr>
          <w:b/>
          <w:bCs/>
          <w:kern w:val="2"/>
          <w:vertAlign w:val="superscript"/>
          <w14:ligatures w14:val="standardContextual"/>
        </w:rPr>
        <w:footnoteReference w:id="421"/>
      </w:r>
      <w:r w:rsidRPr="00AA43E9">
        <w:rPr>
          <w:kern w:val="2"/>
          <w14:ligatures w14:val="standardContextual"/>
        </w:rPr>
        <w:t xml:space="preserve"> o prisilnom radu te da osigura odgovarajuće osposobljavanje inspektora o tim teškim prekršajima;</w:t>
      </w:r>
    </w:p>
    <w:p w14:paraId="141F1F2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76.</w:t>
      </w:r>
      <w:r w:rsidRPr="00AA43E9">
        <w:rPr>
          <w:kern w:val="2"/>
          <w14:ligatures w14:val="standardContextual"/>
        </w:rPr>
        <w:tab/>
        <w:t>prima na znanje da je EFCA 2023. prijavila 44 993 inspekcijska pregleda (na moru i na kopnu), što je dovelo do otkrivanja sumnji na prekršaj u najmanje 4230 tih inspekcijskih pregleda; napominje da ti podaci zajedno predstavljaju blago smanjenje ukupnog broja inspekcijskih pregleda (5 % manje inspekcija u odnosu na 2022.), kao i smanjenje od 18 % u ukupnom broju inspekcijskih pregleda u kojima su otkrivene sumnje na prekršaj; ističe da inspekcijski pregledi i druge popratne mjere imaju ključnu ulogu ne samo u pravilnom upravljanju ribljim stokovima, nego i u osiguravanju jednakih uvjeta za ribare u Uniji;</w:t>
      </w:r>
    </w:p>
    <w:p w14:paraId="08FA14E6" w14:textId="1D1FE735" w:rsidR="00AA43E9" w:rsidRPr="00AA43E9" w:rsidRDefault="00AA43E9" w:rsidP="00AA43E9">
      <w:pPr>
        <w:spacing w:after="240"/>
        <w:ind w:left="567" w:hanging="567"/>
        <w:rPr>
          <w:kern w:val="2"/>
          <w14:ligatures w14:val="standardContextual"/>
        </w:rPr>
      </w:pPr>
      <w:r w:rsidRPr="00AA43E9">
        <w:rPr>
          <w:kern w:val="2"/>
          <w14:ligatures w14:val="standardContextual"/>
        </w:rPr>
        <w:t>77.</w:t>
      </w:r>
      <w:r w:rsidRPr="00AA43E9">
        <w:rPr>
          <w:kern w:val="2"/>
          <w14:ligatures w14:val="standardContextual"/>
        </w:rPr>
        <w:tab/>
        <w:t xml:space="preserve">pohvaljuje napore </w:t>
      </w:r>
      <w:proofErr w:type="spellStart"/>
      <w:r w:rsidRPr="00AA43E9">
        <w:rPr>
          <w:kern w:val="2"/>
          <w14:ligatures w14:val="standardContextual"/>
        </w:rPr>
        <w:t>Eurojusta</w:t>
      </w:r>
      <w:proofErr w:type="spellEnd"/>
      <w:r w:rsidRPr="00AA43E9">
        <w:rPr>
          <w:kern w:val="2"/>
          <w14:ligatures w14:val="standardContextual"/>
        </w:rPr>
        <w:t xml:space="preserve"> usmjerene na digitalizaciju pravosuđa, odnosno provedbu novog sustava vođenja predmeta nakon posljednje izmjene Uredbe o </w:t>
      </w:r>
      <w:proofErr w:type="spellStart"/>
      <w:r w:rsidRPr="00AA43E9">
        <w:rPr>
          <w:kern w:val="2"/>
          <w14:ligatures w14:val="standardContextual"/>
        </w:rPr>
        <w:t>Eurojustu</w:t>
      </w:r>
      <w:proofErr w:type="spellEnd"/>
      <w:r w:rsidRPr="00AA43E9">
        <w:rPr>
          <w:kern w:val="2"/>
          <w:vertAlign w:val="superscript"/>
          <w14:ligatures w14:val="standardContextual"/>
        </w:rPr>
        <w:footnoteReference w:id="422"/>
      </w:r>
      <w:r w:rsidRPr="00AA43E9">
        <w:rPr>
          <w:kern w:val="2"/>
          <w14:ligatures w14:val="standardContextual"/>
        </w:rPr>
        <w:t xml:space="preserve"> i provedbu nove platforme za suradnju zajedničkih istražnih timova</w:t>
      </w:r>
      <w:r w:rsidRPr="00AA43E9">
        <w:rPr>
          <w:kern w:val="2"/>
          <w:vertAlign w:val="superscript"/>
          <w14:ligatures w14:val="standardContextual"/>
        </w:rPr>
        <w:footnoteReference w:id="423"/>
      </w:r>
      <w:r w:rsidRPr="00AA43E9">
        <w:rPr>
          <w:kern w:val="2"/>
          <w14:ligatures w14:val="standardContextual"/>
        </w:rPr>
        <w:t xml:space="preserve">; prima na znanje ulogu </w:t>
      </w:r>
      <w:proofErr w:type="spellStart"/>
      <w:r w:rsidRPr="00AA43E9">
        <w:rPr>
          <w:kern w:val="2"/>
          <w14:ligatures w14:val="standardContextual"/>
        </w:rPr>
        <w:t>Eurojusta</w:t>
      </w:r>
      <w:proofErr w:type="spellEnd"/>
      <w:r w:rsidRPr="00AA43E9">
        <w:rPr>
          <w:kern w:val="2"/>
          <w14:ligatures w14:val="standardContextual"/>
        </w:rPr>
        <w:t xml:space="preserve"> kao kontaktne točke za treće zemlje i međunarodne organizacije u </w:t>
      </w:r>
      <w:r w:rsidRPr="00AA43E9">
        <w:rPr>
          <w:kern w:val="2"/>
          <w14:ligatures w14:val="standardContextual"/>
        </w:rPr>
        <w:lastRenderedPageBreak/>
        <w:t>pogledu zahtjeva sustava ECRIS-TCN u kontekstu kaznenih postupaka;</w:t>
      </w:r>
    </w:p>
    <w:p w14:paraId="7D00823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78.</w:t>
      </w:r>
      <w:r w:rsidRPr="00AA43E9">
        <w:rPr>
          <w:kern w:val="2"/>
          <w14:ligatures w14:val="standardContextual"/>
        </w:rPr>
        <w:tab/>
        <w:t xml:space="preserve">naglašava važnost kontinuirane potpore </w:t>
      </w:r>
      <w:proofErr w:type="spellStart"/>
      <w:r w:rsidRPr="00AA43E9">
        <w:rPr>
          <w:kern w:val="2"/>
          <w14:ligatures w14:val="standardContextual"/>
        </w:rPr>
        <w:t>Eurojusta</w:t>
      </w:r>
      <w:proofErr w:type="spellEnd"/>
      <w:r w:rsidRPr="00AA43E9">
        <w:rPr>
          <w:kern w:val="2"/>
          <w14:ligatures w14:val="standardContextual"/>
        </w:rPr>
        <w:t xml:space="preserve"> Ukrajini, među ostalim u okviru zajedničkog istražnog tima koji proučava najteže međunarodne zločine navodno počinjene u Ukrajini, vođenja središnje baze podataka s dokazima o najtežim međunarodnim zločinima (CICED) radi očuvanja, pohrane i analize dokaza o najtežim međunarodnim zločinima u jedinstvenoj, sigurnoj središnjoj bazi podataka, kao i u osiguravanju sigurne metode digitalnog prijenosa podataka za podnošenje dokaza i njihove analize; nadalje pozdravlja pokretanje novog Međunarodnog centra za kazneni progon zločina agresije protiv Ukrajine (ICPA) u </w:t>
      </w:r>
      <w:proofErr w:type="spellStart"/>
      <w:r w:rsidRPr="00AA43E9">
        <w:rPr>
          <w:kern w:val="2"/>
          <w14:ligatures w14:val="standardContextual"/>
        </w:rPr>
        <w:t>Eurojustu</w:t>
      </w:r>
      <w:proofErr w:type="spellEnd"/>
      <w:r w:rsidRPr="00AA43E9">
        <w:rPr>
          <w:kern w:val="2"/>
          <w14:ligatures w14:val="standardContextual"/>
        </w:rPr>
        <w:t xml:space="preserve"> u cilju podupiranja nacionalnih istraga i postizanja dogovora o zajedničkim istražnim strategijama i strategijama kaznenog progona te aktivan doprinos radu radne skupine „</w:t>
      </w:r>
      <w:proofErr w:type="spellStart"/>
      <w:r w:rsidRPr="00AA43E9">
        <w:rPr>
          <w:kern w:val="2"/>
          <w14:ligatures w14:val="standardContextual"/>
        </w:rPr>
        <w:t>Freeze</w:t>
      </w:r>
      <w:proofErr w:type="spellEnd"/>
      <w:r w:rsidRPr="00AA43E9">
        <w:rPr>
          <w:kern w:val="2"/>
          <w14:ligatures w14:val="standardContextual"/>
        </w:rPr>
        <w:t xml:space="preserve"> </w:t>
      </w:r>
      <w:proofErr w:type="spellStart"/>
      <w:r w:rsidRPr="00AA43E9">
        <w:rPr>
          <w:kern w:val="2"/>
          <w14:ligatures w14:val="standardContextual"/>
        </w:rPr>
        <w:t>and</w:t>
      </w:r>
      <w:proofErr w:type="spellEnd"/>
      <w:r w:rsidRPr="00AA43E9">
        <w:rPr>
          <w:kern w:val="2"/>
          <w14:ligatures w14:val="standardContextual"/>
        </w:rPr>
        <w:t xml:space="preserve"> </w:t>
      </w:r>
      <w:proofErr w:type="spellStart"/>
      <w:r w:rsidRPr="00AA43E9">
        <w:rPr>
          <w:kern w:val="2"/>
          <w14:ligatures w14:val="standardContextual"/>
        </w:rPr>
        <w:t>Seize</w:t>
      </w:r>
      <w:proofErr w:type="spellEnd"/>
      <w:r w:rsidRPr="00AA43E9">
        <w:rPr>
          <w:kern w:val="2"/>
          <w14:ligatures w14:val="standardContextual"/>
        </w:rPr>
        <w:t>” (Zamrzavanje i privremeno oduzimanje) kako bi se osigurala učinkovita provedba sankcija Unije diljem Europske unije;</w:t>
      </w:r>
    </w:p>
    <w:p w14:paraId="1790367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79.</w:t>
      </w:r>
      <w:r w:rsidRPr="00AA43E9">
        <w:rPr>
          <w:kern w:val="2"/>
          <w14:ligatures w14:val="standardContextual"/>
        </w:rPr>
        <w:tab/>
        <w:t xml:space="preserve">ističe ulogu Agencije Europske unije za temeljna prava kao važne čuvarice temeljnih prava i vladavine prava kako je utvrđeno u Povelji o temeljnim pravima, te pohvaljuje njezinu potporu osiguravanju poštovanja, zaštite i ostvarivanja temeljnih prava u postojećim zakonima i politikama EU-a u području jednakosti i borbe protiv diskriminacije, kao što su zakoni i politike Unije za borbu protiv rasizma i antisemitizma te </w:t>
      </w:r>
      <w:proofErr w:type="spellStart"/>
      <w:r w:rsidRPr="00AA43E9">
        <w:rPr>
          <w:kern w:val="2"/>
          <w14:ligatures w14:val="standardContextual"/>
        </w:rPr>
        <w:t>islamofobije</w:t>
      </w:r>
      <w:proofErr w:type="spellEnd"/>
      <w:r w:rsidRPr="00AA43E9">
        <w:rPr>
          <w:kern w:val="2"/>
          <w14:ligatures w14:val="standardContextual"/>
        </w:rPr>
        <w:t>, uz podupiranje prikupljanja podataka o jednakosti i provedbe strategija za ravnopravnost i borbu protiv rasizma, kao što su nacionalni strateški okviri za Rome te pružanje doprinosa preispitivanju strategije za ravnopravnost LGBTIQ osoba 2020. 2025. u sredini programskog razdoblja, zaštiti civilnog društva i ugroženih boraca za ljudska prava, te pružanje potpore reviziji Direktive o pravima žrtava, Akcijskog plana za borbu protiv rasizma i Strategije Unije za suzbijanje antisemitizma i njegovanje židovskog života te savjetovanje o usklađenosti s temeljnim pravima u pogledu razvoja i uporabe sustava umjetne inteligencije te provedbe i upotrebe sredstava Unije;</w:t>
      </w:r>
    </w:p>
    <w:p w14:paraId="1286865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80.</w:t>
      </w:r>
      <w:r w:rsidRPr="00AA43E9">
        <w:rPr>
          <w:kern w:val="2"/>
          <w14:ligatures w14:val="standardContextual"/>
        </w:rPr>
        <w:tab/>
        <w:t xml:space="preserve">naglašava smjernice i angažman Agencije za temeljna prava u području azila i migracija, granica i interoperabilnosti kao i njezinu važnu usmjerenost na temeljna prava, međunarodne obveze država članica i pravo Unije o ljudskim pravima u tom području, uključujući suradnju s Agencijom Europske unije za azil (EUAA) u cilju unaprjeđenja znanja o važnosti skrbnika i pravnih zastupnika koji pomažu djeci bez pratnje koja traže međunarodnu zaštitu unutar Unije te osposobljavanje koje se pruža osoblju </w:t>
      </w:r>
      <w:proofErr w:type="spellStart"/>
      <w:r w:rsidRPr="00AA43E9">
        <w:rPr>
          <w:kern w:val="2"/>
          <w14:ligatures w14:val="standardContextual"/>
        </w:rPr>
        <w:t>Europola</w:t>
      </w:r>
      <w:proofErr w:type="spellEnd"/>
      <w:r w:rsidRPr="00AA43E9">
        <w:rPr>
          <w:kern w:val="2"/>
          <w14:ligatures w14:val="standardContextual"/>
        </w:rPr>
        <w:t xml:space="preserve"> u cilju povećanja osviještenosti i razumijevanja pitanja temeljnih prava u relevantnim operativnim kontekstima; pozdravlja pravovremeni doprinos Agencije za temeljna prava provedbi Direktive o privremenoj zaštiti u kontekstu izbjeglica iz Ukrajine, utvrđivanju izazova u vezi s provedbom prava Unije o dugotrajnom boravku te utvrđivanju nedostataka u Zakoniku o vizama i popisu mjera koje Unija i njezine države članice mogu poduzeti kako bi se smanjio broj smrtnih slučajeva na moru;</w:t>
      </w:r>
    </w:p>
    <w:p w14:paraId="4DDB9A6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81.</w:t>
      </w:r>
      <w:r w:rsidRPr="00AA43E9">
        <w:rPr>
          <w:kern w:val="2"/>
          <w14:ligatures w14:val="standardContextual"/>
        </w:rPr>
        <w:tab/>
        <w:t>pozdravlja doprinos Agencije za temeljna prava evaluaciji Uredbe o europskoj graničnoj i obalnoj straži („Uredba o europskoj graničnoj i obalnoj straži”), sudjelovanje na sastancima upravnog odbora Agencije za europsku graničnu i obalnu stražu (</w:t>
      </w:r>
      <w:proofErr w:type="spellStart"/>
      <w:r w:rsidRPr="00AA43E9">
        <w:rPr>
          <w:kern w:val="2"/>
          <w14:ligatures w14:val="standardContextual"/>
        </w:rPr>
        <w:t>Frontex</w:t>
      </w:r>
      <w:proofErr w:type="spellEnd"/>
      <w:r w:rsidRPr="00AA43E9">
        <w:rPr>
          <w:kern w:val="2"/>
          <w14:ligatures w14:val="standardContextual"/>
        </w:rPr>
        <w:t xml:space="preserve">) i </w:t>
      </w:r>
      <w:proofErr w:type="spellStart"/>
      <w:r w:rsidRPr="00AA43E9">
        <w:rPr>
          <w:kern w:val="2"/>
          <w14:ligatures w14:val="standardContextual"/>
        </w:rPr>
        <w:t>supredsjedanje</w:t>
      </w:r>
      <w:proofErr w:type="spellEnd"/>
      <w:r w:rsidRPr="00AA43E9">
        <w:rPr>
          <w:kern w:val="2"/>
          <w14:ligatures w14:val="standardContextual"/>
        </w:rPr>
        <w:t xml:space="preserve"> Savjetodavnim forumom </w:t>
      </w:r>
      <w:proofErr w:type="spellStart"/>
      <w:r w:rsidRPr="00AA43E9">
        <w:rPr>
          <w:kern w:val="2"/>
          <w14:ligatures w14:val="standardContextual"/>
        </w:rPr>
        <w:t>Frontexa</w:t>
      </w:r>
      <w:proofErr w:type="spellEnd"/>
      <w:r w:rsidRPr="00AA43E9">
        <w:rPr>
          <w:kern w:val="2"/>
          <w14:ligatures w14:val="standardContextual"/>
        </w:rPr>
        <w:t xml:space="preserve"> o temeljnim pravima, kao i suradnju s Uredom za temeljna prava pri </w:t>
      </w:r>
      <w:proofErr w:type="spellStart"/>
      <w:r w:rsidRPr="00AA43E9">
        <w:rPr>
          <w:kern w:val="2"/>
          <w14:ligatures w14:val="standardContextual"/>
        </w:rPr>
        <w:t>Frontexu</w:t>
      </w:r>
      <w:proofErr w:type="spellEnd"/>
      <w:r w:rsidRPr="00AA43E9">
        <w:rPr>
          <w:kern w:val="2"/>
          <w14:ligatures w14:val="standardContextual"/>
        </w:rPr>
        <w:t>;</w:t>
      </w:r>
    </w:p>
    <w:p w14:paraId="7CBF5E7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82.</w:t>
      </w:r>
      <w:r w:rsidRPr="00AA43E9">
        <w:rPr>
          <w:kern w:val="2"/>
          <w14:ligatures w14:val="standardContextual"/>
        </w:rPr>
        <w:tab/>
        <w:t xml:space="preserve">sa zadovoljstvom primjećuje da je Agencija za temeljna prava pružila analizu temeljnih </w:t>
      </w:r>
      <w:r w:rsidRPr="00AA43E9">
        <w:rPr>
          <w:kern w:val="2"/>
          <w14:ligatures w14:val="standardContextual"/>
        </w:rPr>
        <w:lastRenderedPageBreak/>
        <w:t xml:space="preserve">prava i stručno znanje za potporu aktivnostima i radu drugih agencija EU-a za pravosuđe i unutarnje poslove, uključujući EUAA, </w:t>
      </w:r>
      <w:proofErr w:type="spellStart"/>
      <w:r w:rsidRPr="00AA43E9">
        <w:rPr>
          <w:kern w:val="2"/>
          <w14:ligatures w14:val="standardContextual"/>
        </w:rPr>
        <w:t>Frontex</w:t>
      </w:r>
      <w:proofErr w:type="spellEnd"/>
      <w:r w:rsidRPr="00AA43E9">
        <w:rPr>
          <w:kern w:val="2"/>
          <w14:ligatures w14:val="standardContextual"/>
        </w:rPr>
        <w:t xml:space="preserve">, </w:t>
      </w:r>
      <w:proofErr w:type="spellStart"/>
      <w:r w:rsidRPr="00AA43E9">
        <w:rPr>
          <w:kern w:val="2"/>
          <w14:ligatures w14:val="standardContextual"/>
        </w:rPr>
        <w:t>Europol</w:t>
      </w:r>
      <w:proofErr w:type="spellEnd"/>
      <w:r w:rsidRPr="00AA43E9">
        <w:rPr>
          <w:kern w:val="2"/>
          <w14:ligatures w14:val="standardContextual"/>
        </w:rPr>
        <w:t>, Agenciju Europske unije za operativno upravljanje opsežnim informacijskim sustavima u području slobode, sigurnosti i pravde (</w:t>
      </w:r>
      <w:proofErr w:type="spellStart"/>
      <w:r w:rsidRPr="00AA43E9">
        <w:rPr>
          <w:kern w:val="2"/>
          <w14:ligatures w14:val="standardContextual"/>
        </w:rPr>
        <w:t>eu</w:t>
      </w:r>
      <w:proofErr w:type="spellEnd"/>
      <w:r w:rsidRPr="00AA43E9">
        <w:rPr>
          <w:kern w:val="2"/>
          <w14:ligatures w14:val="standardContextual"/>
        </w:rPr>
        <w:t>-LISA) i Agenciju Europske unije za osposobljavanje u području izvršavanja zakonodavstva (CEPOL); pozdravlja doprinose Agencije za temeljna prava u 2023. unaprjeđenju poštovanja temeljnih prava, među ostalim putem smjernica o fondovima Unije i rješavanjem izazova koje predstavljaju nove tehnologije; poziva Agenciju za temeljna prava da utvrdi kako su vladavina prava i temeljna prava neodvojivo povezani i kako bi se njezin rad mogao uključiti ili razviti u sinergiji s radom Europske komisije u kontekstu godišnjeg izvješća o vladavini prava;</w:t>
      </w:r>
    </w:p>
    <w:p w14:paraId="549827D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83.</w:t>
      </w:r>
      <w:r w:rsidRPr="00AA43E9">
        <w:rPr>
          <w:kern w:val="2"/>
          <w14:ligatures w14:val="standardContextual"/>
        </w:rPr>
        <w:tab/>
        <w:t xml:space="preserve">pohvaljuje </w:t>
      </w:r>
      <w:proofErr w:type="spellStart"/>
      <w:r w:rsidRPr="00AA43E9">
        <w:rPr>
          <w:kern w:val="2"/>
          <w14:ligatures w14:val="standardContextual"/>
        </w:rPr>
        <w:t>Europol</w:t>
      </w:r>
      <w:proofErr w:type="spellEnd"/>
      <w:r w:rsidRPr="00AA43E9">
        <w:rPr>
          <w:kern w:val="2"/>
          <w14:ligatures w14:val="standardContextual"/>
        </w:rPr>
        <w:t xml:space="preserve"> za uspješno uvođenje platforme EU-a za nezakoniti sadržaj na internetu (PERCI), posebno uz potpunu provedbu preporuka Europskog nadzornika za zaštitu podataka (EDPS); cijeni snažnu suradnju s Europskim nadzornikom za zaštitu podataka i zajedničkom radnom skupinom osnovanom s </w:t>
      </w:r>
      <w:proofErr w:type="spellStart"/>
      <w:r w:rsidRPr="00AA43E9">
        <w:rPr>
          <w:kern w:val="2"/>
          <w14:ligatures w14:val="standardContextual"/>
        </w:rPr>
        <w:t>Frontexom</w:t>
      </w:r>
      <w:proofErr w:type="spellEnd"/>
      <w:r w:rsidRPr="00AA43E9">
        <w:rPr>
          <w:kern w:val="2"/>
          <w14:ligatures w14:val="standardContextual"/>
        </w:rPr>
        <w:t xml:space="preserve"> radi praćenja preporuka Europskog nadzornika za zaštitu podataka u vezi s </w:t>
      </w:r>
      <w:proofErr w:type="spellStart"/>
      <w:r w:rsidRPr="00AA43E9">
        <w:rPr>
          <w:kern w:val="2"/>
          <w14:ligatures w14:val="standardContextual"/>
        </w:rPr>
        <w:t>Frontexovim</w:t>
      </w:r>
      <w:proofErr w:type="spellEnd"/>
      <w:r w:rsidRPr="00AA43E9">
        <w:rPr>
          <w:kern w:val="2"/>
          <w14:ligatures w14:val="standardContextual"/>
        </w:rPr>
        <w:t xml:space="preserve"> programom </w:t>
      </w:r>
      <w:proofErr w:type="spellStart"/>
      <w:r w:rsidRPr="00AA43E9">
        <w:rPr>
          <w:kern w:val="2"/>
          <w14:ligatures w14:val="standardContextual"/>
        </w:rPr>
        <w:t>PeDRA</w:t>
      </w:r>
      <w:proofErr w:type="spellEnd"/>
      <w:r w:rsidRPr="00AA43E9">
        <w:rPr>
          <w:kern w:val="2"/>
          <w14:ligatures w14:val="standardContextual"/>
        </w:rPr>
        <w:t xml:space="preserve"> (Obrada osobnih podataka za analizu rizika) u kojem obje agencije dijele snažan interes za zaštitu temeljnih prava uz istodobno unapređenje sigurnosti;</w:t>
      </w:r>
    </w:p>
    <w:p w14:paraId="6C3E364E" w14:textId="6BF5AEF9" w:rsidR="00AA43E9" w:rsidRPr="00AA43E9" w:rsidRDefault="00AA43E9" w:rsidP="00AA43E9">
      <w:pPr>
        <w:spacing w:after="240"/>
        <w:ind w:left="567" w:hanging="567"/>
        <w:rPr>
          <w:kern w:val="2"/>
          <w14:ligatures w14:val="standardContextual"/>
        </w:rPr>
      </w:pPr>
      <w:r w:rsidRPr="00AA43E9">
        <w:rPr>
          <w:kern w:val="2"/>
          <w14:ligatures w14:val="standardContextual"/>
        </w:rPr>
        <w:t>84.</w:t>
      </w:r>
      <w:r w:rsidRPr="00AA43E9">
        <w:rPr>
          <w:kern w:val="2"/>
          <w14:ligatures w14:val="standardContextual"/>
        </w:rPr>
        <w:tab/>
        <w:t xml:space="preserve">pozdravlja provedbu Uredbe o </w:t>
      </w:r>
      <w:proofErr w:type="spellStart"/>
      <w:r w:rsidRPr="00AA43E9">
        <w:rPr>
          <w:kern w:val="2"/>
          <w14:ligatures w14:val="standardContextual"/>
        </w:rPr>
        <w:t>Europolu</w:t>
      </w:r>
      <w:proofErr w:type="spellEnd"/>
      <w:r w:rsidRPr="00AA43E9">
        <w:rPr>
          <w:kern w:val="2"/>
          <w:szCs w:val="24"/>
          <w:vertAlign w:val="superscript"/>
          <w14:ligatures w14:val="standardContextual"/>
        </w:rPr>
        <w:footnoteReference w:id="424"/>
      </w:r>
      <w:r w:rsidRPr="00AA43E9">
        <w:rPr>
          <w:kern w:val="2"/>
          <w14:ligatures w14:val="standardContextual"/>
        </w:rPr>
        <w:t xml:space="preserve">, kako je izmijenjena 2022., posebno brzo imenovanje službenika za temeljna prava u siječnju 2023., što je važan korak prema jačanju predanosti </w:t>
      </w:r>
      <w:proofErr w:type="spellStart"/>
      <w:r w:rsidRPr="00AA43E9">
        <w:rPr>
          <w:kern w:val="2"/>
          <w14:ligatures w14:val="standardContextual"/>
        </w:rPr>
        <w:t>Europola</w:t>
      </w:r>
      <w:proofErr w:type="spellEnd"/>
      <w:r w:rsidRPr="00AA43E9">
        <w:rPr>
          <w:kern w:val="2"/>
          <w14:ligatures w14:val="standardContextual"/>
        </w:rPr>
        <w:t xml:space="preserve"> ljudskim pravima u njegovim operacijama;</w:t>
      </w:r>
    </w:p>
    <w:p w14:paraId="29B6333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85.</w:t>
      </w:r>
      <w:r w:rsidRPr="00AA43E9">
        <w:rPr>
          <w:kern w:val="2"/>
          <w14:ligatures w14:val="standardContextual"/>
        </w:rPr>
        <w:tab/>
        <w:t>prepoznaje važnost lokalnih inicijativa kojima se jačaju zdravstveni sustavi i inicijativa u području okoliša, uz istodobno povećanje suradnje s državama članicama i agencijama (ECDC, ECHA, EEA, EFSA, EMA); poziva na poboljšanje metode raspodjele financijskih sredstava, uz smanjenje administrativnog opterećenja i usmjeravanje sredstava izravno prema krajnjim primateljima kao prioritet, i to u vidu pojednostavnjenja postupaka radi poboljšanja dostupnosti sredstava gospodarskim subjektima na terenu.</w:t>
      </w:r>
    </w:p>
    <w:p w14:paraId="4DD6A52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86.</w:t>
      </w:r>
      <w:r w:rsidRPr="00AA43E9">
        <w:rPr>
          <w:kern w:val="2"/>
          <w14:ligatures w14:val="standardContextual"/>
        </w:rPr>
        <w:tab/>
        <w:t>napominje da je, nakon procjene Glavne uprave za mobilnost i promet, kojom se osigurava nadzor nad trima agencijama (EASA, EMSA, ERA), njihova uspješnost u 2023. bila u potpunosti usklađena s dogovorenim ciljevima Komisije: redovitim aktivnostima praćenja i nadzora nisu utvrđeni nikakvi posebni problemi koji bi mogli imati značajan učinak na jamstvo, a nadalje, u izvješćima vanjskih i unutarnjih revizora nisu istaknuta nikakva važna pitanja koja bi mogla izazvati dodatnu zabrinutost za Glavnu upravu za mobilnost i promet;</w:t>
      </w:r>
    </w:p>
    <w:p w14:paraId="3E8ADEE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87.</w:t>
      </w:r>
      <w:r w:rsidRPr="00AA43E9">
        <w:rPr>
          <w:kern w:val="2"/>
          <w14:ligatures w14:val="standardContextual"/>
        </w:rPr>
        <w:tab/>
        <w:t xml:space="preserve">prima na znanje da je EASA 2023. znatno ojačala suradnju s vojnim organizacijama u okviru područja primjene predviđenog Akcijskim planom EU-a za vojnu mobilnost 2.0 te da je sada pozvana na sve sastanke zrakoplovnog odbora NATO-a; prima na znanje prihvaćanje strategije civilne vojne suradnje Agencije, koja je njezin dugogodišnji prioritet, kojom se podupire njezino sudjelovanje u zadaćama certificiranja vojnih zrakoplova koji potječu od civilnih zrakoplova na temelju koncepta „civilno koliko je </w:t>
      </w:r>
      <w:r w:rsidRPr="00AA43E9">
        <w:rPr>
          <w:kern w:val="2"/>
          <w14:ligatures w14:val="standardContextual"/>
        </w:rPr>
        <w:lastRenderedPageBreak/>
        <w:t>moguće, vojno koliko je potrebno”;</w:t>
      </w:r>
    </w:p>
    <w:p w14:paraId="70950E1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88.</w:t>
      </w:r>
      <w:r w:rsidRPr="00AA43E9">
        <w:rPr>
          <w:kern w:val="2"/>
          <w14:ligatures w14:val="standardContextual"/>
        </w:rPr>
        <w:tab/>
        <w:t xml:space="preserve">prima na znanje da je EMSA 2023. nastavila pružati vrlo učinkovitu pomoć u smanjenju učinka sektora pomorskog prometa na okoliš, među ostalim svojim sudjelovanjem u brojnim inicijativama povezanima s europskim zelenim planom; posebno prima na znanje tehničko stručno znanje koje je Agencija pružila u kontekstu revizije paketa o pomorskoj sigurnosti; pohvaljuje potporu Agencije Komisiji i državama članicama u konačnom donošenju prijedloga iznesenih u okviru paketa „Spremni za 55 %”, posebno u pogledu proširenja sustava trgovanja emisijama (ETS) na pomorski promet i Uredbe </w:t>
      </w:r>
      <w:proofErr w:type="spellStart"/>
      <w:r w:rsidRPr="00AA43E9">
        <w:rPr>
          <w:kern w:val="2"/>
          <w14:ligatures w14:val="standardContextual"/>
        </w:rPr>
        <w:t>FuelEU</w:t>
      </w:r>
      <w:proofErr w:type="spellEnd"/>
      <w:r w:rsidRPr="00AA43E9">
        <w:rPr>
          <w:kern w:val="2"/>
          <w14:ligatures w14:val="standardContextual"/>
        </w:rPr>
        <w:t xml:space="preserve"> </w:t>
      </w:r>
      <w:proofErr w:type="spellStart"/>
      <w:r w:rsidRPr="00AA43E9">
        <w:rPr>
          <w:kern w:val="2"/>
          <w14:ligatures w14:val="standardContextual"/>
        </w:rPr>
        <w:t>Maritime</w:t>
      </w:r>
      <w:proofErr w:type="spellEnd"/>
      <w:r w:rsidRPr="00AA43E9">
        <w:rPr>
          <w:kern w:val="2"/>
          <w14:ligatures w14:val="standardContextual"/>
        </w:rPr>
        <w:t>; u tom kontekstu cijeni svoja aktualna istraživanja o potencijalu različitih alternativnih goriva i povezanim sigurnosnim pitanjima koja proizlaze iz primjene i uvođenja održivih alternativnih izvora energije za brodove; pozdravlja prilagodbu sustava THETIS-MRV zahtjevima zakonodavstva o ETS-u;</w:t>
      </w:r>
    </w:p>
    <w:p w14:paraId="2149821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89.</w:t>
      </w:r>
      <w:r w:rsidRPr="00AA43E9">
        <w:rPr>
          <w:kern w:val="2"/>
          <w14:ligatures w14:val="standardContextual"/>
        </w:rPr>
        <w:tab/>
        <w:t>pozdravlja kontinuiranu i sve veću suradnju tih pet agencija (</w:t>
      </w:r>
      <w:proofErr w:type="spellStart"/>
      <w:r w:rsidRPr="00AA43E9">
        <w:rPr>
          <w:kern w:val="2"/>
          <w14:ligatures w14:val="standardContextual"/>
        </w:rPr>
        <w:t>Eurofound</w:t>
      </w:r>
      <w:proofErr w:type="spellEnd"/>
      <w:r w:rsidRPr="00AA43E9">
        <w:rPr>
          <w:kern w:val="2"/>
          <w14:ligatures w14:val="standardContextual"/>
        </w:rPr>
        <w:t xml:space="preserve">, </w:t>
      </w:r>
      <w:proofErr w:type="spellStart"/>
      <w:r w:rsidRPr="00AA43E9">
        <w:rPr>
          <w:kern w:val="2"/>
          <w14:ligatures w14:val="standardContextual"/>
        </w:rPr>
        <w:t>Cedefop</w:t>
      </w:r>
      <w:proofErr w:type="spellEnd"/>
      <w:r w:rsidRPr="00AA43E9">
        <w:rPr>
          <w:kern w:val="2"/>
          <w14:ligatures w14:val="standardContextual"/>
        </w:rPr>
        <w:t>, ETF, EU-OSHA, ELA) i dijeljenje resursa među njima i s drugim institucijama, uključujući druge agencije EU-a, Komisiju i Parlament;</w:t>
      </w:r>
    </w:p>
    <w:p w14:paraId="1C104CA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90.</w:t>
      </w:r>
      <w:r w:rsidRPr="00AA43E9">
        <w:rPr>
          <w:kern w:val="2"/>
          <w14:ligatures w14:val="standardContextual"/>
        </w:rPr>
        <w:tab/>
        <w:t>poziva Komisiju da osigura bolje korištenje stručnog znanja agencija (</w:t>
      </w:r>
      <w:proofErr w:type="spellStart"/>
      <w:r w:rsidRPr="00AA43E9">
        <w:rPr>
          <w:kern w:val="2"/>
          <w14:ligatures w14:val="standardContextual"/>
        </w:rPr>
        <w:t>Eurofound</w:t>
      </w:r>
      <w:proofErr w:type="spellEnd"/>
      <w:r w:rsidRPr="00AA43E9">
        <w:rPr>
          <w:kern w:val="2"/>
          <w14:ligatures w14:val="standardContextual"/>
        </w:rPr>
        <w:t xml:space="preserve">, </w:t>
      </w:r>
      <w:proofErr w:type="spellStart"/>
      <w:r w:rsidRPr="00AA43E9">
        <w:rPr>
          <w:kern w:val="2"/>
          <w14:ligatures w14:val="standardContextual"/>
        </w:rPr>
        <w:t>Cedefop</w:t>
      </w:r>
      <w:proofErr w:type="spellEnd"/>
      <w:r w:rsidRPr="00AA43E9">
        <w:rPr>
          <w:kern w:val="2"/>
          <w14:ligatures w14:val="standardContextual"/>
        </w:rPr>
        <w:t>, ETF, EU-OSHA, ELA) u relevantnim područjima politike u pogledu, primjerice, izrade izvješća i studija, provođenja istraživanja i anketa, što može omogućiti učinkovitiju upotrebu postojećih proračunskih sredstava Unije u usporedbi s alternativnim rješenjima; cijeni napore koje pet agencija ulažu u daljnji razvoj svoje digitalne i internetske komunikacije kako bi se povećala njihova vidljivost i podigla razina osviještenosti o njihovu radu koji ima veliki učinak; u tom pogledu naglašava neiskorišteni potencijal za pružanje specifičnih relevantnih informacija i proizvoda iste kvalitete kao i vanjski konzultanti, kada to dopuštaju njihovi mandati;</w:t>
      </w:r>
    </w:p>
    <w:p w14:paraId="3859612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91.</w:t>
      </w:r>
      <w:r w:rsidRPr="00AA43E9">
        <w:rPr>
          <w:kern w:val="2"/>
          <w14:ligatures w14:val="standardContextual"/>
        </w:rPr>
        <w:tab/>
        <w:t>pozdravlja napore koje agencije (</w:t>
      </w:r>
      <w:proofErr w:type="spellStart"/>
      <w:r w:rsidRPr="00AA43E9">
        <w:rPr>
          <w:kern w:val="2"/>
          <w14:ligatures w14:val="standardContextual"/>
        </w:rPr>
        <w:t>Eurofound</w:t>
      </w:r>
      <w:proofErr w:type="spellEnd"/>
      <w:r w:rsidRPr="00AA43E9">
        <w:rPr>
          <w:kern w:val="2"/>
          <w14:ligatures w14:val="standardContextual"/>
        </w:rPr>
        <w:t xml:space="preserve">, </w:t>
      </w:r>
      <w:proofErr w:type="spellStart"/>
      <w:r w:rsidRPr="00AA43E9">
        <w:rPr>
          <w:kern w:val="2"/>
          <w14:ligatures w14:val="standardContextual"/>
        </w:rPr>
        <w:t>Cedefop</w:t>
      </w:r>
      <w:proofErr w:type="spellEnd"/>
      <w:r w:rsidRPr="00AA43E9">
        <w:rPr>
          <w:kern w:val="2"/>
          <w14:ligatures w14:val="standardContextual"/>
        </w:rPr>
        <w:t xml:space="preserve">, ETF, EU-OSHA, ELA) ulažu u provedbu politika o raznolikosti i </w:t>
      </w:r>
      <w:proofErr w:type="spellStart"/>
      <w:r w:rsidRPr="00AA43E9">
        <w:rPr>
          <w:kern w:val="2"/>
          <w14:ligatures w14:val="standardContextual"/>
        </w:rPr>
        <w:t>uključivosti</w:t>
      </w:r>
      <w:proofErr w:type="spellEnd"/>
      <w:r w:rsidRPr="00AA43E9">
        <w:rPr>
          <w:kern w:val="2"/>
          <w14:ligatures w14:val="standardContextual"/>
        </w:rPr>
        <w:t>, posebno kad je riječ o osobama s invaliditetom; potiče agencije da poboljšaju usporedivo prikupljanje podataka o zapošljavanju osoba s invaliditetom; prepoznaje napredak postignut u agencijama u pogledu rodne ravnoteže među njihovim osobljem: poziva na ulaganje dodatnih napora kako bi se osigurala rodna ravnoteža i na razini višeg rukovodstva te kako bi se rodna pitanja uključila u sve njihove aktivnosti;</w:t>
      </w:r>
    </w:p>
    <w:p w14:paraId="57F1281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92.</w:t>
      </w:r>
      <w:r w:rsidRPr="00AA43E9">
        <w:rPr>
          <w:kern w:val="2"/>
          <w14:ligatures w14:val="standardContextual"/>
        </w:rPr>
        <w:tab/>
        <w:t xml:space="preserve">prima na znanje da je praćenje proračuna tijekom financijske godine 2023. rezultiralo stopom izvršenja proračuna prosječno iznad 97 % za odobrena sredstva za preuzimanje obveza, uz iznimku </w:t>
      </w:r>
      <w:proofErr w:type="spellStart"/>
      <w:r w:rsidRPr="00AA43E9">
        <w:rPr>
          <w:kern w:val="2"/>
          <w14:ligatures w14:val="standardContextual"/>
        </w:rPr>
        <w:t>CdT</w:t>
      </w:r>
      <w:proofErr w:type="spellEnd"/>
      <w:r w:rsidRPr="00AA43E9">
        <w:rPr>
          <w:kern w:val="2"/>
          <w14:ligatures w14:val="standardContextual"/>
        </w:rPr>
        <w:t xml:space="preserve">-a i ELA-e, čije su stope iznosile 89,55 % odnosno 93,72 %.; napominje da su agencije s najnižom stopom izvršenja odobrenih sredstava za plaćanje za tekuću godinu sljedeće, poredane uzlaznim redoslijedom, zajedno s pripadajućim postocima: ESA s 47,61 %, </w:t>
      </w:r>
      <w:proofErr w:type="spellStart"/>
      <w:r w:rsidRPr="00AA43E9">
        <w:rPr>
          <w:kern w:val="2"/>
          <w14:ligatures w14:val="standardContextual"/>
        </w:rPr>
        <w:t>Frontex</w:t>
      </w:r>
      <w:proofErr w:type="spellEnd"/>
      <w:r w:rsidRPr="00AA43E9">
        <w:rPr>
          <w:kern w:val="2"/>
          <w14:ligatures w14:val="standardContextual"/>
        </w:rPr>
        <w:t xml:space="preserve"> s 55,37 %, EU-OSHA sa 68,83 %, ACER sa 70,69 % i ECDC sa 71,79 %;</w:t>
      </w:r>
    </w:p>
    <w:p w14:paraId="599C4ED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93.</w:t>
      </w:r>
      <w:r w:rsidRPr="00AA43E9">
        <w:rPr>
          <w:kern w:val="2"/>
          <w14:ligatures w14:val="standardContextual"/>
        </w:rPr>
        <w:tab/>
        <w:t xml:space="preserve">napominje povećanje proračuna Agencije Europske unije za azil u 2023. s 168 milijuna EUR na 170 milijuna EUR (+ 0,77 %) i povećanje njegova broja osoblja s 519 na 529 (+ 2 %); ponovno ističe važnu ulogu Agencije Europske unije za azil u pružanju potpore državama članicama u provedbi zajedničkog europskog sustava azila i praćenju njegove pravilne provedbe; podsjeća da je tijelo nadležno za davanje razrješnice u svojem izvješću o razrješnici Agenciji Europske unije za azil za 2022. istaknulo zabrinutost zbog unutarnjeg upravljanja i postupaka Agencije, napominjući da je Europski ured za </w:t>
      </w:r>
      <w:r w:rsidRPr="00AA43E9">
        <w:rPr>
          <w:kern w:val="2"/>
          <w14:ligatures w14:val="standardContextual"/>
        </w:rPr>
        <w:lastRenderedPageBreak/>
        <w:t>borbu protiv prijevara (OLAF) pokrenuo sada već zaključenu istragu, na temelju navodnog nepotizma i drugih pitanja koja utječu na njezino financijsko upravljanje; žali zbog toga što je izvršni direktor Agencije izbjegao dati odgovore tijekom pripremnog saslušanja o razrješnici u odboru CONT; zabrinut je zbog toga što odbor Agencije odbija otkriti sadržaj i preporuku iz navedenog izvješća OLAF-a tijelu nadležnom za davanje razrješnice; poziva Agenciju da zaključke izvješća odmah stavi na raspolaganje;</w:t>
      </w:r>
    </w:p>
    <w:p w14:paraId="5C89E021"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94.</w:t>
      </w:r>
      <w:r w:rsidRPr="00AA43E9">
        <w:rPr>
          <w:kern w:val="2"/>
          <w14:ligatures w14:val="standardContextual"/>
        </w:rPr>
        <w:tab/>
        <w:t>smatra da završno izvješće OLAF-a (OC-2022-0717) o EUAA-i sadržava vrlo zabrinjavajuće zaključke o utvrđenim činjenicama koje dovode do rizika za stabilnost i ugled Agencije te upravljanje njome, zbog čega se morala donijeti odluka o odgodi davanja razrješnice Agenciji u odnosu na financijsku godinu 2023.; nadalje podsjeća da je OLAF utvrdio i brojčano odredio financijski učinak za koji se ne može izvršiti povrat, što potvrđuje negativan učinak na dobro financijsko upravljanje resursima Agencije; stoga zahtijeva od upravnog odbora da provede sveobuhvatno praćenje i podrobno opiše sve mjere poduzete za ispravljanje utvrđenih nedostataka;</w:t>
      </w:r>
    </w:p>
    <w:p w14:paraId="3068312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95.</w:t>
      </w:r>
      <w:r w:rsidRPr="00AA43E9">
        <w:rPr>
          <w:kern w:val="2"/>
          <w14:ligatures w14:val="standardContextual"/>
        </w:rPr>
        <w:tab/>
        <w:t>potiče Agenciju da u potpunosti razjasni sva otvorena pitanja, da na vjerodostojan i transparentan način provede preporuke OLAF-a te da uspostavi snažne mehanizme unutarnje kontrole, etičkog nadzora i odgovornosti; poziva Agenciju da tijelo nadležno za davanje razrješnice bez odgode obavijesti o svim poduzetim korektivnim koracima;</w:t>
      </w:r>
    </w:p>
    <w:p w14:paraId="28324C82" w14:textId="77777777" w:rsidR="00AA43E9" w:rsidRPr="00AA43E9" w:rsidRDefault="00AA43E9" w:rsidP="00AA43E9">
      <w:pPr>
        <w:spacing w:after="240"/>
        <w:ind w:left="567" w:hanging="567"/>
        <w:rPr>
          <w:b/>
          <w:iCs/>
          <w:kern w:val="2"/>
          <w14:ligatures w14:val="standardContextual"/>
        </w:rPr>
      </w:pPr>
      <w:r w:rsidRPr="00AA43E9">
        <w:rPr>
          <w:b/>
          <w:iCs/>
          <w:kern w:val="2"/>
          <w14:ligatures w14:val="standardContextual"/>
        </w:rPr>
        <w:t>Nabava</w:t>
      </w:r>
    </w:p>
    <w:p w14:paraId="2CADD891" w14:textId="4B4674AD" w:rsidR="00AA43E9" w:rsidRPr="00AA43E9" w:rsidRDefault="00AA43E9" w:rsidP="00AA43E9">
      <w:pPr>
        <w:spacing w:after="240"/>
        <w:ind w:left="567" w:hanging="567"/>
        <w:rPr>
          <w:kern w:val="2"/>
          <w14:ligatures w14:val="standardContextual"/>
        </w:rPr>
      </w:pPr>
      <w:r w:rsidRPr="00AA43E9">
        <w:rPr>
          <w:kern w:val="2"/>
          <w14:ligatures w14:val="standardContextual"/>
        </w:rPr>
        <w:t>96.</w:t>
      </w:r>
      <w:r w:rsidRPr="00AA43E9">
        <w:rPr>
          <w:kern w:val="2"/>
          <w14:ligatures w14:val="standardContextual"/>
        </w:rPr>
        <w:tab/>
        <w:t>sa zabrinutošću napominje da su nedostaci u javnoj nabavi i dalje najveći izvor nepravilnih plaćanja; ističe da je Revizorski sud 2023. iznio 38 opažanja o nedostacima u javnoj nabavi (u odnosu na 41 u 2022. i 28 u 2021.)</w:t>
      </w:r>
      <w:r w:rsidRPr="00AA43E9">
        <w:rPr>
          <w:kern w:val="2"/>
          <w:vertAlign w:val="superscript"/>
          <w14:ligatures w14:val="standardContextual"/>
        </w:rPr>
        <w:footnoteReference w:id="425"/>
      </w:r>
      <w:r w:rsidRPr="00AA43E9">
        <w:rPr>
          <w:kern w:val="2"/>
          <w14:ligatures w14:val="standardContextual"/>
        </w:rPr>
        <w:t>; potiče agencije da uvedu mjere kojima će se zajamčiti strogo poštovanje propisa o javnoj nabavi i načela transparentnosti, tržišnog natjecanja i troškovne učinkovitosti; podsjeća na potrebu za redovitim programima osposobljavanja osoblja o financijskom upravljanju, pravilima javne nabave i sprečavanju prijevara; traži strože mjere odgovornosti kako bi se osiguralo da trajni nedostaci dovedu do konkretnih korektivnih mjera i kazni za ponovljenu nesukladnost;</w:t>
      </w:r>
    </w:p>
    <w:p w14:paraId="2459F524" w14:textId="68F6F22D" w:rsidR="00AA43E9" w:rsidRPr="00AA43E9" w:rsidRDefault="00AA43E9" w:rsidP="00AA43E9">
      <w:pPr>
        <w:spacing w:after="240"/>
        <w:ind w:left="567" w:hanging="567"/>
        <w:rPr>
          <w:kern w:val="2"/>
          <w14:ligatures w14:val="standardContextual"/>
        </w:rPr>
      </w:pPr>
      <w:r w:rsidRPr="00AA43E9">
        <w:rPr>
          <w:kern w:val="2"/>
          <w14:ligatures w14:val="standardContextual"/>
        </w:rPr>
        <w:t>97.</w:t>
      </w:r>
      <w:r w:rsidRPr="00AA43E9">
        <w:rPr>
          <w:kern w:val="2"/>
          <w14:ligatures w14:val="standardContextual"/>
        </w:rPr>
        <w:tab/>
        <w:t>napominje da se, prema Revizorskom sudu, 13 opažanja</w:t>
      </w:r>
      <w:r w:rsidRPr="00AA43E9">
        <w:rPr>
          <w:b/>
          <w:kern w:val="2"/>
          <w:vertAlign w:val="superscript"/>
          <w14:ligatures w14:val="standardContextual"/>
        </w:rPr>
        <w:footnoteReference w:id="426"/>
      </w:r>
      <w:r w:rsidRPr="00AA43E9">
        <w:rPr>
          <w:kern w:val="2"/>
          <w14:ligatures w14:val="standardContextual"/>
        </w:rPr>
        <w:t xml:space="preserve"> o nedostacima koji su doveli do nepravilnih plaćanja 2023. odnosi na nepravilnosti koje su otkrivene i navedene u prethodnim revizijama; napominje da je od preostalih 25 opažanja devet utjecalo na plaćanja, a ostalih 16 nije dovelo do nepravilnih plaćanja 2023.; napominje da se opažanja iz te godine koja nisu utjecala na plaćanja odnose na agencije ACER, EBA, </w:t>
      </w:r>
      <w:proofErr w:type="spellStart"/>
      <w:r w:rsidRPr="00AA43E9">
        <w:rPr>
          <w:kern w:val="2"/>
          <w14:ligatures w14:val="standardContextual"/>
        </w:rPr>
        <w:t>eu</w:t>
      </w:r>
      <w:proofErr w:type="spellEnd"/>
      <w:r w:rsidRPr="00AA43E9">
        <w:rPr>
          <w:kern w:val="2"/>
          <w14:ligatures w14:val="standardContextual"/>
        </w:rPr>
        <w:t>-LISA, ESMA, EMSA, ENISA, ERA, EIGE, ECDC, EEA, EUDA, EUAA i CEPOL; prima na znanje odgovore agencija i poziva ih da poduzmu mjere za ispravljanje otkrivenih nedostataka i obavijeste tijelo nadležno za davanje razrješnice o mjerama poduzetima za njihovo rješavanje;</w:t>
      </w:r>
    </w:p>
    <w:p w14:paraId="2A1E1D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98.</w:t>
      </w:r>
      <w:r w:rsidRPr="00AA43E9">
        <w:rPr>
          <w:kern w:val="2"/>
          <w14:ligatures w14:val="standardContextual"/>
        </w:rPr>
        <w:tab/>
        <w:t xml:space="preserve">skreće pozornost na devet opažanja Revizorskog suda iz te godine koja utječu na plaćanja; napominje da u slučaju agencija ENISA, </w:t>
      </w:r>
      <w:proofErr w:type="spellStart"/>
      <w:r w:rsidRPr="00AA43E9">
        <w:rPr>
          <w:kern w:val="2"/>
          <w14:ligatures w14:val="standardContextual"/>
        </w:rPr>
        <w:t>eu</w:t>
      </w:r>
      <w:proofErr w:type="spellEnd"/>
      <w:r w:rsidRPr="00AA43E9">
        <w:rPr>
          <w:kern w:val="2"/>
          <w14:ligatures w14:val="standardContextual"/>
        </w:rPr>
        <w:t xml:space="preserve">-LISA i ELA otkrivene nepravilnosti, zajedno s onima utvrđenima u prethodnim revizijama koje su rezultirale plaćanjima 2023. (samo za agencije </w:t>
      </w:r>
      <w:proofErr w:type="spellStart"/>
      <w:r w:rsidRPr="00AA43E9">
        <w:rPr>
          <w:kern w:val="2"/>
          <w14:ligatures w14:val="standardContextual"/>
        </w:rPr>
        <w:t>eu</w:t>
      </w:r>
      <w:proofErr w:type="spellEnd"/>
      <w:r w:rsidRPr="00AA43E9">
        <w:rPr>
          <w:kern w:val="2"/>
          <w14:ligatures w14:val="standardContextual"/>
        </w:rPr>
        <w:t>-LISA i ELA), čine osnovu za uvjetno mišljenje Revizorskog suda i opisane su pod naslovom „Pregled rezultata revizije” ove rezolucije;</w:t>
      </w:r>
    </w:p>
    <w:p w14:paraId="6070C6A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99.</w:t>
      </w:r>
      <w:r w:rsidRPr="00AA43E9">
        <w:rPr>
          <w:kern w:val="2"/>
          <w14:ligatures w14:val="standardContextual"/>
        </w:rPr>
        <w:tab/>
        <w:t xml:space="preserve">primjećuje da se preostala opažanja iz te godine koja utječu na plaćanja odnose na agencije </w:t>
      </w:r>
      <w:proofErr w:type="spellStart"/>
      <w:r w:rsidRPr="00AA43E9">
        <w:rPr>
          <w:kern w:val="2"/>
          <w14:ligatures w14:val="standardContextual"/>
        </w:rPr>
        <w:t>CdT</w:t>
      </w:r>
      <w:proofErr w:type="spellEnd"/>
      <w:r w:rsidRPr="00AA43E9">
        <w:rPr>
          <w:kern w:val="2"/>
          <w14:ligatures w14:val="standardContextual"/>
        </w:rPr>
        <w:t>, EIGE, EFCA, ERA i EU-OSHA s jednim opažanjem po agenciji, uz iznimku potonje agencije kojoj su upućena dva; napominje da su razlog za opažanje i odgovor agencija na opažanje Revizorskog suda raščlanjeni ovako:</w:t>
      </w:r>
    </w:p>
    <w:p w14:paraId="6180DAEA" w14:textId="656B9FF8" w:rsidR="00AA43E9" w:rsidRPr="00AA43E9" w:rsidRDefault="00AD431A" w:rsidP="00AA43E9">
      <w:pPr>
        <w:widowControl/>
        <w:spacing w:after="240"/>
        <w:ind w:left="1134" w:hanging="567"/>
        <w:rPr>
          <w:rFonts w:eastAsia="Calibri"/>
          <w:kern w:val="2"/>
          <w:szCs w:val="24"/>
          <w:lang w:eastAsia="en-US"/>
          <w14:ligatures w14:val="standardContextual"/>
        </w:rPr>
      </w:pPr>
      <w:r w:rsidRPr="00863FBA">
        <w:t>–</w:t>
      </w:r>
      <w:r w:rsidR="00AA43E9" w:rsidRPr="00AA43E9">
        <w:rPr>
          <w:rFonts w:eastAsia="Calibri"/>
          <w:kern w:val="2"/>
          <w:szCs w:val="24"/>
          <w:lang w:eastAsia="en-US"/>
          <w14:ligatures w14:val="standardContextual"/>
        </w:rPr>
        <w:tab/>
        <w:t xml:space="preserve">u slučaju </w:t>
      </w:r>
      <w:proofErr w:type="spellStart"/>
      <w:r w:rsidR="00AA43E9" w:rsidRPr="00AA43E9">
        <w:rPr>
          <w:rFonts w:eastAsia="Calibri"/>
          <w:kern w:val="2"/>
          <w:szCs w:val="24"/>
          <w:lang w:eastAsia="en-US"/>
          <w14:ligatures w14:val="standardContextual"/>
        </w:rPr>
        <w:t>CdT</w:t>
      </w:r>
      <w:proofErr w:type="spellEnd"/>
      <w:r w:rsidR="00AA43E9" w:rsidRPr="00AA43E9">
        <w:rPr>
          <w:rFonts w:eastAsia="Calibri"/>
          <w:kern w:val="2"/>
          <w:szCs w:val="24"/>
          <w:lang w:eastAsia="en-US"/>
          <w14:ligatures w14:val="standardContextual"/>
        </w:rPr>
        <w:t xml:space="preserve">-a opažanje se odnosi na nepravilnu primjenu postupka izravne dodjele umjesto pokretanja natječajnog postupka na temelju procjene budućih troškova, što dovodi do nepravilnih plaćanja na temelju tih ugovora u ukupnom iznosu od 25 800 EUR u 2023.; prima na znanje odgovor </w:t>
      </w:r>
      <w:proofErr w:type="spellStart"/>
      <w:r w:rsidR="00AA43E9" w:rsidRPr="00AA43E9">
        <w:rPr>
          <w:rFonts w:eastAsia="Calibri"/>
          <w:kern w:val="2"/>
          <w:szCs w:val="24"/>
          <w:lang w:eastAsia="en-US"/>
          <w14:ligatures w14:val="standardContextual"/>
        </w:rPr>
        <w:t>CdT</w:t>
      </w:r>
      <w:proofErr w:type="spellEnd"/>
      <w:r w:rsidR="00AA43E9" w:rsidRPr="00AA43E9">
        <w:rPr>
          <w:rFonts w:eastAsia="Calibri"/>
          <w:kern w:val="2"/>
          <w:szCs w:val="24"/>
          <w:lang w:eastAsia="en-US"/>
          <w14:ligatures w14:val="standardContextual"/>
        </w:rPr>
        <w:t>-a da će organizirati pojednostavnjene natječajne postupke za usluge održavanja u iznosu većem od 1 000 EUR,</w:t>
      </w:r>
    </w:p>
    <w:p w14:paraId="275B2757" w14:textId="6CE4E49A" w:rsidR="00AA43E9" w:rsidRPr="00AA43E9" w:rsidRDefault="00AD431A" w:rsidP="00AA43E9">
      <w:pPr>
        <w:widowControl/>
        <w:spacing w:after="240"/>
        <w:ind w:left="1134" w:hanging="567"/>
        <w:rPr>
          <w:rFonts w:eastAsia="Calibri"/>
          <w:kern w:val="2"/>
          <w:szCs w:val="24"/>
          <w:lang w:eastAsia="en-US"/>
          <w14:ligatures w14:val="standardContextual"/>
        </w:rPr>
      </w:pPr>
      <w:r w:rsidRPr="00863FBA">
        <w:t>–</w:t>
      </w:r>
      <w:r w:rsidR="00AA43E9" w:rsidRPr="00AA43E9">
        <w:rPr>
          <w:rFonts w:eastAsia="Calibri"/>
          <w:kern w:val="2"/>
          <w:szCs w:val="24"/>
          <w:lang w:eastAsia="en-US"/>
          <w14:ligatures w14:val="standardContextual"/>
        </w:rPr>
        <w:tab/>
        <w:t>u slučaju ERA-e, opažanje se odnosi na potpisivanje posebnog ugovora bez ponovnog otvaranja nadmetanja kako se zahtijeva okvirnim ugovorom, što je dovelo do plaćanja u ukupnom iznosu od 254 400 EUR u vezi s tim ugovorom; prima na znanje odgovor ERA-e da je ta agencija od 2024. počela primjenjivati vlastito ponovno otvaranje nadmetanja za usluge obuhvaćene područjem primjene,</w:t>
      </w:r>
    </w:p>
    <w:p w14:paraId="6F00F065" w14:textId="2422DD49" w:rsidR="00AA43E9" w:rsidRPr="00AA43E9" w:rsidRDefault="00AD431A" w:rsidP="00AA43E9">
      <w:pPr>
        <w:widowControl/>
        <w:spacing w:after="240"/>
        <w:ind w:left="1134" w:hanging="567"/>
        <w:rPr>
          <w:rFonts w:eastAsia="Calibri"/>
          <w:kern w:val="2"/>
          <w:szCs w:val="24"/>
          <w:lang w:eastAsia="en-US"/>
          <w14:ligatures w14:val="standardContextual"/>
        </w:rPr>
      </w:pPr>
      <w:r w:rsidRPr="00863FBA">
        <w:t>–</w:t>
      </w:r>
      <w:r w:rsidR="00AA43E9" w:rsidRPr="00AA43E9">
        <w:rPr>
          <w:rFonts w:eastAsia="Calibri"/>
          <w:kern w:val="2"/>
          <w:szCs w:val="24"/>
          <w:lang w:eastAsia="en-US"/>
          <w14:ligatures w14:val="standardContextual"/>
        </w:rPr>
        <w:tab/>
        <w:t xml:space="preserve">opažanje o EIGE-u odnosi se na nepravilnu primjenu </w:t>
      </w:r>
      <w:r w:rsidR="00AA43E9" w:rsidRPr="00AA43E9">
        <w:rPr>
          <w:rFonts w:eastAsia="Calibri"/>
          <w:i/>
          <w:iCs/>
          <w:kern w:val="2"/>
          <w:szCs w:val="24"/>
          <w:lang w:eastAsia="en-US"/>
          <w14:ligatures w14:val="standardContextual"/>
        </w:rPr>
        <w:t xml:space="preserve">ex </w:t>
      </w:r>
      <w:proofErr w:type="spellStart"/>
      <w:r w:rsidR="00AA43E9" w:rsidRPr="00AA43E9">
        <w:rPr>
          <w:rFonts w:eastAsia="Calibri"/>
          <w:i/>
          <w:iCs/>
          <w:kern w:val="2"/>
          <w:szCs w:val="24"/>
          <w:lang w:eastAsia="en-US"/>
          <w14:ligatures w14:val="standardContextual"/>
        </w:rPr>
        <w:t>ante</w:t>
      </w:r>
      <w:proofErr w:type="spellEnd"/>
      <w:r w:rsidR="00AA43E9" w:rsidRPr="00AA43E9">
        <w:rPr>
          <w:rFonts w:eastAsia="Calibri"/>
          <w:kern w:val="2"/>
          <w:szCs w:val="24"/>
          <w:lang w:eastAsia="en-US"/>
          <w14:ligatures w14:val="standardContextual"/>
        </w:rPr>
        <w:t xml:space="preserve"> provjera, prekoračenje gornje granice okvirnog ugovora i nepravilnu primjenu dnevnih stopa, što je dovelo do nepravilnih plaćanja u iznosu od 76 500 EUR; napominje da će EIGE osigurati pravilnu provedbu </w:t>
      </w:r>
      <w:proofErr w:type="spellStart"/>
      <w:r w:rsidR="00AA43E9" w:rsidRPr="00AA43E9">
        <w:rPr>
          <w:rFonts w:eastAsia="Calibri"/>
          <w:kern w:val="2"/>
          <w:szCs w:val="24"/>
          <w:lang w:eastAsia="en-US"/>
          <w14:ligatures w14:val="standardContextual"/>
        </w:rPr>
        <w:t>međuinstitucijskih</w:t>
      </w:r>
      <w:proofErr w:type="spellEnd"/>
      <w:r w:rsidR="00AA43E9" w:rsidRPr="00AA43E9">
        <w:rPr>
          <w:rFonts w:eastAsia="Calibri"/>
          <w:kern w:val="2"/>
          <w:szCs w:val="24"/>
          <w:lang w:eastAsia="en-US"/>
          <w14:ligatures w14:val="standardContextual"/>
        </w:rPr>
        <w:t xml:space="preserve"> okvirnih ugovora s naglaskom na ugovorima povezanima s ljudskim resursima,</w:t>
      </w:r>
    </w:p>
    <w:p w14:paraId="121350F3" w14:textId="688FFE60" w:rsidR="00AA43E9" w:rsidRPr="00AA43E9" w:rsidRDefault="00AD431A" w:rsidP="00AA43E9">
      <w:pPr>
        <w:widowControl/>
        <w:spacing w:after="240"/>
        <w:ind w:left="1134" w:hanging="567"/>
        <w:rPr>
          <w:rFonts w:eastAsia="Calibri"/>
          <w:kern w:val="2"/>
          <w:szCs w:val="24"/>
          <w:lang w:eastAsia="en-US"/>
          <w14:ligatures w14:val="standardContextual"/>
        </w:rPr>
      </w:pPr>
      <w:r w:rsidRPr="00863FBA">
        <w:t>–</w:t>
      </w:r>
      <w:r w:rsidR="00AA43E9" w:rsidRPr="00AA43E9">
        <w:rPr>
          <w:rFonts w:eastAsia="Calibri"/>
          <w:kern w:val="2"/>
          <w:szCs w:val="24"/>
          <w:lang w:eastAsia="en-US"/>
          <w14:ligatures w14:val="standardContextual"/>
        </w:rPr>
        <w:tab/>
        <w:t xml:space="preserve">EFCA je za pružanje usluga organizacije događanja koristila </w:t>
      </w:r>
      <w:proofErr w:type="spellStart"/>
      <w:r w:rsidR="00AA43E9" w:rsidRPr="00AA43E9">
        <w:rPr>
          <w:rFonts w:eastAsia="Calibri"/>
          <w:kern w:val="2"/>
          <w:szCs w:val="24"/>
          <w:lang w:eastAsia="en-US"/>
          <w14:ligatures w14:val="standardContextual"/>
        </w:rPr>
        <w:t>međuinstitucijski</w:t>
      </w:r>
      <w:proofErr w:type="spellEnd"/>
      <w:r w:rsidR="00AA43E9" w:rsidRPr="00AA43E9">
        <w:rPr>
          <w:rFonts w:eastAsia="Calibri"/>
          <w:kern w:val="2"/>
          <w:szCs w:val="24"/>
          <w:lang w:eastAsia="en-US"/>
          <w14:ligatures w14:val="standardContextual"/>
        </w:rPr>
        <w:t xml:space="preserve"> okvirni ugovor za pružanje putnih aranžmana izvan njegova područja primjene, a povezana plaćanja u iznosu od 257 300 EUR za 2023. bila su nepravilna; napominje da je, prema navodima EFCA-e, ta agencija naišla na neočekivane situacije koje su dovele do </w:t>
      </w:r>
      <w:proofErr w:type="spellStart"/>
      <w:r w:rsidR="00AA43E9" w:rsidRPr="00AA43E9">
        <w:rPr>
          <w:rFonts w:eastAsia="Calibri"/>
          <w:kern w:val="2"/>
          <w:szCs w:val="24"/>
          <w:lang w:eastAsia="en-US"/>
          <w14:ligatures w14:val="standardContextual"/>
        </w:rPr>
        <w:t>postupovnih</w:t>
      </w:r>
      <w:proofErr w:type="spellEnd"/>
      <w:r w:rsidR="00AA43E9" w:rsidRPr="00AA43E9">
        <w:rPr>
          <w:rFonts w:eastAsia="Calibri"/>
          <w:kern w:val="2"/>
          <w:szCs w:val="24"/>
          <w:lang w:eastAsia="en-US"/>
          <w14:ligatures w14:val="standardContextual"/>
        </w:rPr>
        <w:t xml:space="preserve"> kašnjenja i da će kao korektivnu mjeru izraditi krizni plan za ublažavanje učinka neočekivanih događaja,</w:t>
      </w:r>
    </w:p>
    <w:p w14:paraId="0A15304E" w14:textId="771EA64D" w:rsidR="00AA43E9" w:rsidRPr="00AA43E9" w:rsidRDefault="00AD431A" w:rsidP="00AA43E9">
      <w:pPr>
        <w:widowControl/>
        <w:spacing w:after="240"/>
        <w:ind w:left="1134" w:hanging="567"/>
        <w:rPr>
          <w:rFonts w:eastAsia="Calibri"/>
          <w:kern w:val="2"/>
          <w:szCs w:val="24"/>
          <w:lang w:eastAsia="en-US"/>
          <w14:ligatures w14:val="standardContextual"/>
        </w:rPr>
      </w:pPr>
      <w:r w:rsidRPr="00863FBA">
        <w:t>–</w:t>
      </w:r>
      <w:r w:rsidR="00AA43E9" w:rsidRPr="00AA43E9">
        <w:rPr>
          <w:rFonts w:eastAsia="Calibri"/>
          <w:kern w:val="2"/>
          <w:szCs w:val="24"/>
          <w:lang w:eastAsia="en-US"/>
          <w14:ligatures w14:val="standardContextual"/>
        </w:rPr>
        <w:tab/>
        <w:t>na agenciju EU-OSHA odnose se dva opažanja:</w:t>
      </w:r>
    </w:p>
    <w:p w14:paraId="69EAD263" w14:textId="77777777" w:rsidR="00AA43E9" w:rsidRPr="00AA43E9" w:rsidRDefault="00AA43E9" w:rsidP="00AA43E9">
      <w:pPr>
        <w:widowControl/>
        <w:spacing w:after="240"/>
        <w:ind w:left="1701" w:hanging="567"/>
        <w:rPr>
          <w:rFonts w:eastAsia="Calibri"/>
          <w:kern w:val="2"/>
          <w:szCs w:val="24"/>
          <w:lang w:eastAsia="en-US"/>
          <w14:ligatures w14:val="standardContextual"/>
        </w:rPr>
      </w:pPr>
      <w:r w:rsidRPr="00AA43E9">
        <w:rPr>
          <w:rFonts w:eastAsia="Calibri"/>
          <w:kern w:val="2"/>
          <w:szCs w:val="24"/>
          <w:lang w:eastAsia="en-US"/>
          <w14:ligatures w14:val="standardContextual"/>
        </w:rPr>
        <w:t>1.</w:t>
      </w:r>
      <w:r w:rsidRPr="00AA43E9">
        <w:rPr>
          <w:rFonts w:eastAsia="Calibri"/>
          <w:kern w:val="2"/>
          <w:szCs w:val="24"/>
          <w:lang w:eastAsia="en-US"/>
          <w14:ligatures w14:val="standardContextual"/>
        </w:rPr>
        <w:tab/>
        <w:t xml:space="preserve">nepravilnosti u dodjeli triju pregovaračkih postupaka s jednim gospodarskim subjektom, bez objave poziva na nadmetanje koji, prema mišljenju Revizorskog suda, ne ispunjava uvjete iz točke 11.1. </w:t>
      </w:r>
      <w:proofErr w:type="spellStart"/>
      <w:r w:rsidRPr="00AA43E9">
        <w:rPr>
          <w:rFonts w:eastAsia="Calibri"/>
          <w:kern w:val="2"/>
          <w:szCs w:val="24"/>
          <w:lang w:eastAsia="en-US"/>
          <w14:ligatures w14:val="standardContextual"/>
        </w:rPr>
        <w:t>podtočke</w:t>
      </w:r>
      <w:proofErr w:type="spellEnd"/>
      <w:r w:rsidRPr="00AA43E9">
        <w:rPr>
          <w:rFonts w:eastAsia="Calibri"/>
          <w:kern w:val="2"/>
          <w:szCs w:val="24"/>
          <w:lang w:eastAsia="en-US"/>
          <w14:ligatures w14:val="standardContextual"/>
        </w:rPr>
        <w:t xml:space="preserve"> (c) Priloga I. Financijskoj uredbi i 2023. je doveo do nepravilnih plaćanja u iznosu od 67 100 EUR; prima na znanje odgovor agencije EU-OSHA da je bila u iznimno hitnoj situaciji i da nije imala druge održive mogućnosti za osiguravanje kontinuiteta poslovanja;</w:t>
      </w:r>
    </w:p>
    <w:p w14:paraId="709606B0" w14:textId="77777777" w:rsidR="00AA43E9" w:rsidRPr="00AA43E9" w:rsidRDefault="00AA43E9" w:rsidP="00AA43E9">
      <w:pPr>
        <w:widowControl/>
        <w:spacing w:after="240"/>
        <w:ind w:left="1701" w:hanging="567"/>
        <w:rPr>
          <w:rFonts w:eastAsia="Calibri"/>
          <w:kern w:val="2"/>
          <w:szCs w:val="24"/>
          <w:lang w:eastAsia="en-US"/>
          <w14:ligatures w14:val="standardContextual"/>
        </w:rPr>
      </w:pPr>
      <w:r w:rsidRPr="00AA43E9">
        <w:rPr>
          <w:rFonts w:eastAsia="Calibri"/>
          <w:kern w:val="2"/>
          <w:szCs w:val="24"/>
          <w:lang w:eastAsia="en-US"/>
          <w14:ligatures w14:val="standardContextual"/>
        </w:rPr>
        <w:t>2.</w:t>
      </w:r>
      <w:r w:rsidRPr="00AA43E9">
        <w:rPr>
          <w:rFonts w:eastAsia="Calibri"/>
          <w:kern w:val="2"/>
          <w:szCs w:val="24"/>
          <w:lang w:eastAsia="en-US"/>
          <w14:ligatures w14:val="standardContextual"/>
        </w:rPr>
        <w:tab/>
        <w:t xml:space="preserve">dva izravno dodijeljena ugovora rezultirala su nepravilnim plaćanjima u iznosu od 29 700 EUR; napominje da su se ti ugovori trebali objediniti u jedinstveni natječajni postupak jer se radilo o gotovo istovjetnim uslugama, </w:t>
      </w:r>
      <w:r w:rsidRPr="00AA43E9">
        <w:rPr>
          <w:rFonts w:eastAsia="Calibri"/>
          <w:kern w:val="2"/>
          <w:szCs w:val="24"/>
          <w:lang w:eastAsia="en-US"/>
          <w14:ligatures w14:val="standardContextual"/>
        </w:rPr>
        <w:lastRenderedPageBreak/>
        <w:t>što je u suprotnosti s člankom 160. Financijske uredbe, kojim se zabranjuje razdvajanje ugovora; napominje da će EU-OSHA poboljšati dokumentiranje svojih ispitivanja tržišta i istražiti alternativne alate za nabavu;</w:t>
      </w:r>
    </w:p>
    <w:p w14:paraId="468B8F4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100.</w:t>
      </w:r>
      <w:r w:rsidRPr="00AA43E9">
        <w:rPr>
          <w:kern w:val="2"/>
          <w14:ligatures w14:val="standardContextual"/>
        </w:rPr>
        <w:tab/>
        <w:t>ponavlja preporuku Revizorskog suda da se pri provedbi okvirnih ugovora agencije koriste isključivo posebnim ugovorima za nabavu robe ili usluga obuhvaćenih povezanim okvirnim ugovorom; nadalje ponavlja preporuku Revizorskog suda da bi predmetne agencije također trebale osigurati da se poštuju pravila iz Financijske uredbe za izmjenu postojećih ugovora, da se posebnim ugovorima definiraju količine cijena i vrijeme isporuke te da provedba ugovora podliježe odgovarajućim provjerama koje se odnose na te ključne elemente;</w:t>
      </w:r>
    </w:p>
    <w:p w14:paraId="7303EAF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101.</w:t>
      </w:r>
      <w:r w:rsidRPr="00AA43E9">
        <w:rPr>
          <w:kern w:val="2"/>
          <w14:ligatures w14:val="standardContextual"/>
        </w:rPr>
        <w:tab/>
        <w:t>podsjeća na to da je u svim postupcima javne nabave važno zajamčiti kvalitetnu robu i usluge, pošteno tržišno natjecanje među ponuditeljima te nabavu ekonomski najpovoljnije robe i usluga uz davanje prednosti europskim poduzećima u odnosu na poduzeća iz trećih zemalja te uz poštovanje načela transparentnosti, proporcionalnosti, jednakog postupanja i nediskriminacije;</w:t>
      </w:r>
    </w:p>
    <w:p w14:paraId="7859AF3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102.</w:t>
      </w:r>
      <w:r w:rsidRPr="00AA43E9">
        <w:rPr>
          <w:kern w:val="2"/>
          <w14:ligatures w14:val="standardContextual"/>
        </w:rPr>
        <w:tab/>
        <w:t>ustraje u tome da je potrebno ojačati suradnju u javnoj nabavi između EUAN-a i Europske komisije;</w:t>
      </w:r>
    </w:p>
    <w:p w14:paraId="23A4A947"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103.</w:t>
      </w:r>
      <w:r w:rsidRPr="00AA43E9">
        <w:rPr>
          <w:kern w:val="2"/>
          <w14:ligatures w14:val="standardContextual"/>
        </w:rPr>
        <w:tab/>
        <w:t xml:space="preserve">naglašava važnost poboljšanja digitalizacije unutar agencija, kako za unutarnje poslovanje i upravljanje, tako i za ubrzavanje digitalizacije postupaka; ustraje u tome da postoji potreba za daljnjom </w:t>
      </w:r>
      <w:proofErr w:type="spellStart"/>
      <w:r w:rsidRPr="00AA43E9">
        <w:rPr>
          <w:kern w:val="2"/>
          <w14:ligatures w14:val="standardContextual"/>
        </w:rPr>
        <w:t>proaktivnošću</w:t>
      </w:r>
      <w:proofErr w:type="spellEnd"/>
      <w:r w:rsidRPr="00AA43E9">
        <w:rPr>
          <w:kern w:val="2"/>
          <w14:ligatures w14:val="standardContextual"/>
        </w:rPr>
        <w:t xml:space="preserve">; u tom pogledu podržava daljnja ulaganja u digitalne alate i inovacije kako bi se poboljšale </w:t>
      </w:r>
      <w:proofErr w:type="spellStart"/>
      <w:r w:rsidRPr="00AA43E9">
        <w:rPr>
          <w:kern w:val="2"/>
          <w14:ligatures w14:val="standardContextual"/>
        </w:rPr>
        <w:t>postupovne</w:t>
      </w:r>
      <w:proofErr w:type="spellEnd"/>
      <w:r w:rsidRPr="00AA43E9">
        <w:rPr>
          <w:kern w:val="2"/>
          <w14:ligatures w14:val="standardContextual"/>
        </w:rPr>
        <w:t xml:space="preserve"> zadaće i spriječio digitalni jaz među agencijama;</w:t>
      </w:r>
    </w:p>
    <w:p w14:paraId="7EFED4D7" w14:textId="77777777" w:rsidR="00AA43E9" w:rsidRPr="00AA43E9" w:rsidRDefault="00AA43E9" w:rsidP="00AD431A">
      <w:pPr>
        <w:spacing w:after="240"/>
        <w:rPr>
          <w:b/>
          <w:iCs/>
          <w:kern w:val="2"/>
          <w14:ligatures w14:val="standardContextual"/>
        </w:rPr>
      </w:pPr>
      <w:r w:rsidRPr="00AA43E9">
        <w:rPr>
          <w:b/>
          <w:iCs/>
          <w:kern w:val="2"/>
          <w14:ligatures w14:val="standardContextual"/>
        </w:rPr>
        <w:t>Kadrovska politika, rodna ravnopravnost, uključenost, sukob interesa i sprečavanje prijevara</w:t>
      </w:r>
    </w:p>
    <w:p w14:paraId="11384A5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104.</w:t>
      </w:r>
      <w:r w:rsidRPr="00AA43E9">
        <w:rPr>
          <w:kern w:val="2"/>
          <w14:ligatures w14:val="standardContextual"/>
        </w:rPr>
        <w:tab/>
        <w:t>prima na znanje da su 33 decentralizirane agencije 2023. prijavile da zapošljavaju ukupno 10 580 članova osoblja (u odnosu na 10 146 tijekom 2022.), uključujući dužnosnike, privremene i ugovorne djelatnike te upućene nacionalne stručnjake, što predstavlja povećanje od 4,27 % u odnosu na 2022.;</w:t>
      </w:r>
    </w:p>
    <w:p w14:paraId="3787FC56"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105.</w:t>
      </w:r>
      <w:r w:rsidRPr="00AA43E9">
        <w:rPr>
          <w:kern w:val="2"/>
          <w14:ligatures w14:val="standardContextual"/>
        </w:rPr>
        <w:tab/>
        <w:t xml:space="preserve">napominje da su slučajevi sindroma izgaranja na poslu (ukupno 25) zabilježeni u šest agencija, odnosno u EASA-i (pet slučajeva), EEA-u (četiri slučaja), EFCA-u (jedan slučaj), EFSA-i (dva slučaja), EMA-i (deset slučajeva) i </w:t>
      </w:r>
      <w:proofErr w:type="spellStart"/>
      <w:r w:rsidRPr="00AA43E9">
        <w:rPr>
          <w:kern w:val="2"/>
          <w14:ligatures w14:val="standardContextual"/>
        </w:rPr>
        <w:t>Europolu</w:t>
      </w:r>
      <w:proofErr w:type="spellEnd"/>
      <w:r w:rsidRPr="00AA43E9">
        <w:rPr>
          <w:kern w:val="2"/>
          <w14:ligatures w14:val="standardContextual"/>
        </w:rPr>
        <w:t xml:space="preserve"> (tri slučaja); no napominje da zbog zaštite podataka određene agencije, uključujući ECDC, ECHA-u, EMSA-u, ENISA-u, ERA-u, FRA-u i </w:t>
      </w:r>
      <w:proofErr w:type="spellStart"/>
      <w:r w:rsidRPr="00AA43E9">
        <w:rPr>
          <w:kern w:val="2"/>
          <w14:ligatures w14:val="standardContextual"/>
        </w:rPr>
        <w:t>Frontex</w:t>
      </w:r>
      <w:proofErr w:type="spellEnd"/>
      <w:r w:rsidRPr="00AA43E9">
        <w:rPr>
          <w:kern w:val="2"/>
          <w14:ligatures w14:val="standardContextual"/>
        </w:rPr>
        <w:t xml:space="preserve">, ne prikupljaju podatke povezane sa slučajevima sindroma izgaranja na poslu; izražava zabrinutost zbog toga što se ne prikupljaju medicinski podaci jer su oni važni za praćenje mentalne dobrobiti osoblja agencija; potiče agencije da poduzmu hitne mjere za rješavanje sve većeg broja slučajeva sindroma izgaranja na poslu među osobljem; napominje da je 2022. nekoliko zaposlenika u 19 agencija prijavilo prekovremeni rad (13 u 2021.); posebno napominje da je velik broj zaposlenika prijavio prekovremeni rad u EFSA-i (81 % osoblja) i </w:t>
      </w:r>
      <w:proofErr w:type="spellStart"/>
      <w:r w:rsidRPr="00AA43E9">
        <w:rPr>
          <w:kern w:val="2"/>
          <w14:ligatures w14:val="standardContextual"/>
        </w:rPr>
        <w:t>Eurofoundu</w:t>
      </w:r>
      <w:proofErr w:type="spellEnd"/>
      <w:r w:rsidRPr="00AA43E9">
        <w:rPr>
          <w:kern w:val="2"/>
          <w14:ligatures w14:val="standardContextual"/>
        </w:rPr>
        <w:t xml:space="preserve"> (97 % osoblja); u tom pogledu podsjeća na važnost razvoja dugoročne politike ljudskih resursa, uključujući struktura za potporu mentalnom zdravlju, kojom se osigurava sveobuhvatan pristup ravnoteži između poslovnog i privatnog života, uključujući odredbe o radu na daljinu i razvoju karijere; nadalje ističe važnost zaštite mentalnog zdravlja i dobrobiti osoblja;</w:t>
      </w:r>
    </w:p>
    <w:p w14:paraId="76E85332"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lastRenderedPageBreak/>
        <w:t>106.</w:t>
      </w:r>
      <w:r w:rsidRPr="00AA43E9">
        <w:rPr>
          <w:kern w:val="2"/>
          <w14:ligatures w14:val="standardContextual"/>
        </w:rPr>
        <w:tab/>
        <w:t>prima na znanje da je direktor EIT-a u svojem govoru u ime mreže agencija EU-a 4. prosinca 2024. tijekom sjednice Odbora za proračunski nadzor pristao provesti istraživanje o vrstama ugovora za osoblje zaduženo za čišćenje zaposleno u decentraliziranim agencijama; poziva Mrežu agencija EU-a da obavijesti tijelo nadležno za davanje razrješnice o vrstama ugovora za osoblje zaduženo za čišćenje zaposleno u decentraliziranim agencijama, uključujući o udjelu dugoročnih i kratkoročnih ugovora;</w:t>
      </w:r>
    </w:p>
    <w:p w14:paraId="49CC8AD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107.</w:t>
      </w:r>
      <w:r w:rsidRPr="00AA43E9">
        <w:rPr>
          <w:kern w:val="2"/>
          <w14:ligatures w14:val="standardContextual"/>
        </w:rPr>
        <w:tab/>
        <w:t xml:space="preserve">podržava kontinuirane napore </w:t>
      </w:r>
      <w:proofErr w:type="spellStart"/>
      <w:r w:rsidRPr="00AA43E9">
        <w:rPr>
          <w:kern w:val="2"/>
          <w14:ligatures w14:val="standardContextual"/>
        </w:rPr>
        <w:t>Frontexa</w:t>
      </w:r>
      <w:proofErr w:type="spellEnd"/>
      <w:r w:rsidRPr="00AA43E9">
        <w:rPr>
          <w:kern w:val="2"/>
          <w14:ligatures w14:val="standardContextual"/>
        </w:rPr>
        <w:t xml:space="preserve"> da ojača djelovanje svojeg službenika za temeljna prava i prima na znanje zapošljavanje 46 promatrača za temeljna prava tijekom 2023.; naglašava da je važno osigurati da se svi promatrači za temeljna prava zapošljavaju u platnom razredu AD kako bi se dodatno povećali njihovi kapaciteti i neovisnost; uviđa da je </w:t>
      </w:r>
      <w:proofErr w:type="spellStart"/>
      <w:r w:rsidRPr="00AA43E9">
        <w:rPr>
          <w:kern w:val="2"/>
          <w14:ligatures w14:val="standardContextual"/>
        </w:rPr>
        <w:t>Frontex</w:t>
      </w:r>
      <w:proofErr w:type="spellEnd"/>
      <w:r w:rsidRPr="00AA43E9">
        <w:rPr>
          <w:kern w:val="2"/>
          <w14:ligatures w14:val="standardContextual"/>
        </w:rPr>
        <w:t xml:space="preserve"> poduzeo važne korake kako bi odgovorio na mišljenja službenika za temeljna prava, posebno u pogledu pitanja kao što su rodno osviještena politika i trgovina ljudima;</w:t>
      </w:r>
    </w:p>
    <w:p w14:paraId="46F746A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108.</w:t>
      </w:r>
      <w:r w:rsidRPr="00AA43E9">
        <w:rPr>
          <w:kern w:val="2"/>
          <w14:ligatures w14:val="standardContextual"/>
        </w:rPr>
        <w:tab/>
        <w:t xml:space="preserve">Napominje da je 2023. stopa fluktuacije osoblja iznosila više od 5 % u 18 od 33 agencije (to jest u agencijama </w:t>
      </w:r>
      <w:proofErr w:type="spellStart"/>
      <w:r w:rsidRPr="00AA43E9">
        <w:rPr>
          <w:kern w:val="2"/>
          <w14:ligatures w14:val="standardContextual"/>
        </w:rPr>
        <w:t>Cedefop</w:t>
      </w:r>
      <w:proofErr w:type="spellEnd"/>
      <w:r w:rsidRPr="00AA43E9">
        <w:rPr>
          <w:kern w:val="2"/>
          <w14:ligatures w14:val="standardContextual"/>
        </w:rPr>
        <w:t xml:space="preserve">, CEPOL, EBA, EFCA, EIGE, EIOPA, EIT, ELA, EUDA, ETF, EUAA, </w:t>
      </w:r>
      <w:proofErr w:type="spellStart"/>
      <w:r w:rsidRPr="00AA43E9">
        <w:rPr>
          <w:kern w:val="2"/>
          <w14:ligatures w14:val="standardContextual"/>
        </w:rPr>
        <w:t>eu</w:t>
      </w:r>
      <w:proofErr w:type="spellEnd"/>
      <w:r w:rsidRPr="00AA43E9">
        <w:rPr>
          <w:kern w:val="2"/>
          <w14:ligatures w14:val="standardContextual"/>
        </w:rPr>
        <w:t xml:space="preserve">-LISA, </w:t>
      </w:r>
      <w:proofErr w:type="spellStart"/>
      <w:r w:rsidRPr="00AA43E9">
        <w:rPr>
          <w:kern w:val="2"/>
          <w14:ligatures w14:val="standardContextual"/>
        </w:rPr>
        <w:t>Eurofound</w:t>
      </w:r>
      <w:proofErr w:type="spellEnd"/>
      <w:r w:rsidRPr="00AA43E9">
        <w:rPr>
          <w:kern w:val="2"/>
          <w14:ligatures w14:val="standardContextual"/>
        </w:rPr>
        <w:t xml:space="preserve">, </w:t>
      </w:r>
      <w:proofErr w:type="spellStart"/>
      <w:r w:rsidRPr="00AA43E9">
        <w:rPr>
          <w:kern w:val="2"/>
          <w14:ligatures w14:val="standardContextual"/>
        </w:rPr>
        <w:t>Eurojust</w:t>
      </w:r>
      <w:proofErr w:type="spellEnd"/>
      <w:r w:rsidRPr="00AA43E9">
        <w:rPr>
          <w:kern w:val="2"/>
          <w14:ligatures w14:val="standardContextual"/>
        </w:rPr>
        <w:t xml:space="preserve">, </w:t>
      </w:r>
      <w:proofErr w:type="spellStart"/>
      <w:r w:rsidRPr="00AA43E9">
        <w:rPr>
          <w:kern w:val="2"/>
          <w14:ligatures w14:val="standardContextual"/>
        </w:rPr>
        <w:t>Europol</w:t>
      </w:r>
      <w:proofErr w:type="spellEnd"/>
      <w:r w:rsidRPr="00AA43E9">
        <w:rPr>
          <w:kern w:val="2"/>
          <w14:ligatures w14:val="standardContextual"/>
        </w:rPr>
        <w:t xml:space="preserve"> i EUSPA) te da su tri agencije premašile stopu od 10 % (i to Ured BEREC-a, </w:t>
      </w:r>
      <w:proofErr w:type="spellStart"/>
      <w:r w:rsidRPr="00AA43E9">
        <w:rPr>
          <w:kern w:val="2"/>
          <w14:ligatures w14:val="standardContextual"/>
        </w:rPr>
        <w:t>CdT</w:t>
      </w:r>
      <w:proofErr w:type="spellEnd"/>
      <w:r w:rsidRPr="00AA43E9">
        <w:rPr>
          <w:kern w:val="2"/>
          <w14:ligatures w14:val="standardContextual"/>
        </w:rPr>
        <w:t xml:space="preserve"> i </w:t>
      </w:r>
      <w:proofErr w:type="spellStart"/>
      <w:r w:rsidRPr="00AA43E9">
        <w:rPr>
          <w:kern w:val="2"/>
          <w14:ligatures w14:val="standardContextual"/>
        </w:rPr>
        <w:t>Eurojust</w:t>
      </w:r>
      <w:proofErr w:type="spellEnd"/>
      <w:r w:rsidRPr="00AA43E9">
        <w:rPr>
          <w:kern w:val="2"/>
          <w14:ligatures w14:val="standardContextual"/>
        </w:rPr>
        <w:t>); pohvaljuje agencije koje su poduzele ciljane mjere kako bi spriječile visoke stope fluktuacije osoblja; ističe da je važno da sve agencije provode mjere za poboljšanje upravljanja talentima i njihovo zadržavanje; računa na to da EUAN bude forum za agencije članice u pogledu razmjene dobrih praksi i, gdje je to moguće, udruživanja snaga u tom pogledu; poziva Komisiju da aktivno podupire agencije u zapošljavanju potrebnog stručnog osoblja kako bi ispunile svoje mandate, potičući bližu suradnju sa sveučilištima i drugim relevantnim institucijama;</w:t>
      </w:r>
    </w:p>
    <w:p w14:paraId="175F3C4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109.</w:t>
      </w:r>
      <w:r w:rsidRPr="00AA43E9">
        <w:rPr>
          <w:kern w:val="2"/>
          <w14:ligatures w14:val="standardContextual"/>
        </w:rPr>
        <w:tab/>
        <w:t>ističe da je geografska ravnoteža i dalje izazov za nekoliko agencija u kojima znatan postotak njihova ukupnog osoblja čine državljani države članice u kojoj se agencije nalaze;</w:t>
      </w:r>
    </w:p>
    <w:p w14:paraId="3B97688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110.</w:t>
      </w:r>
      <w:r w:rsidRPr="00AA43E9">
        <w:rPr>
          <w:kern w:val="2"/>
          <w14:ligatures w14:val="standardContextual"/>
        </w:rPr>
        <w:tab/>
        <w:t xml:space="preserve">potvrđuje da su privlačenje talenata i osiguravanje geografski raznolike radne snage povezani s individualnim specifičnostima agencija (npr. lokacija, infrastruktura, školovanje, </w:t>
      </w:r>
      <w:proofErr w:type="spellStart"/>
      <w:r w:rsidRPr="00AA43E9">
        <w:rPr>
          <w:kern w:val="2"/>
          <w14:ligatures w14:val="standardContextual"/>
        </w:rPr>
        <w:t>javnopolitičko</w:t>
      </w:r>
      <w:proofErr w:type="spellEnd"/>
      <w:r w:rsidRPr="00AA43E9">
        <w:rPr>
          <w:kern w:val="2"/>
          <w14:ligatures w14:val="standardContextual"/>
        </w:rPr>
        <w:t xml:space="preserve"> područje), kao i s vanjskim ograničavajućim faktorima (npr. tržišno natjecanje s privatnim sektorom, nesigurnost radnih mjesta zbog kratkoročnih ugovora, niski korekcijski koeficijenti); sa zadovoljstvom prima na znanje, na temelju izvješća o daljnjem postupanju EUAN-a u vezi s razrješnicom za 2021., mjere koje je EUAN poduzeo kako bi otklonio nedostatak privlačnosti i poboljšao reprezentativnost osoblja agencija u pogledu dobi, spola i zemljopisnog podrijetla;</w:t>
      </w:r>
    </w:p>
    <w:p w14:paraId="3A92A205"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111.</w:t>
      </w:r>
      <w:r w:rsidRPr="00AA43E9">
        <w:rPr>
          <w:kern w:val="2"/>
          <w14:ligatures w14:val="standardContextual"/>
        </w:rPr>
        <w:tab/>
        <w:t>podsjeća da se agencije koje se nalaze u zemljama s relativno niskim korekcijskim koeficijentom suočavaju sa stalnim izazovima u privlačenju kvalificiranog i zemljopisno raznolikog osoblja; poziva Komisiju da u suradnji s odnosnim državama članicama analizira to putanje i razmotri primjenu gospodarskih poticaja kako bi se pokušao ublažiti taj problem; nadalje podsjeća da se korekcijskim koeficijentom u praksu stavlja opće načelo jednakog postupanja;</w:t>
      </w:r>
    </w:p>
    <w:p w14:paraId="265E6785"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112.</w:t>
      </w:r>
      <w:r w:rsidRPr="00AA43E9">
        <w:rPr>
          <w:kern w:val="2"/>
          <w14:ligatures w14:val="standardContextual"/>
        </w:rPr>
        <w:tab/>
        <w:t xml:space="preserve">ističe da se neke agencije u velikoj mjeri oslanjaju na usluge vanjskih konzultanata, uglavnom u području IKT-a, ali i u području svojeg osnovnog poslovanja, a na te se usluge troši znatan dio njihova operativnog proračuna (npr. ACER, ETF, ELA itd.); poziva sve agencije da daju prednost stalnom osoblju pred vanjskim konzultantima i </w:t>
      </w:r>
      <w:r w:rsidRPr="00AA43E9">
        <w:rPr>
          <w:kern w:val="2"/>
          <w14:ligatures w14:val="standardContextual"/>
        </w:rPr>
        <w:lastRenderedPageBreak/>
        <w:t>ugovornim osobljem kako bi se zajamčili visokokvalitetni radni uvjeti te spriječio gubitak znanja i iskustva; nadalje poziva agencije da spriječe nesigurnost radnih mjesta zbog kratkoročnih ugovora te da prednost daju dugoročnom zapošljavanju; u tom pogledu poziva na fleksibilnost kako bi se agencijama omogućilo da radna mjesta upućenih nacionalnih stručnjaka (UNS) pretvore u radna mjesta za privremene djelatnike, osiguravajući tako zadržavanje stručnog osoblja, operativna funkcionalnost i kontinuitet poslovanja; nadalje ustraje u tome da se izbjegne eksternalizacija zadaća konzultantskim društvima kada su znanje i iskustvo dostupni interno;</w:t>
      </w:r>
    </w:p>
    <w:p w14:paraId="0EB61AA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113.</w:t>
      </w:r>
      <w:r w:rsidRPr="00AA43E9">
        <w:rPr>
          <w:kern w:val="2"/>
          <w14:ligatures w14:val="standardContextual"/>
        </w:rPr>
        <w:tab/>
        <w:t>prepoznaje napredak postignut u agencijama u pogledu rodne ravnoteže među njihovim osobljem; poziva na ulaganje većih napora kako bi se osigurala rodna ravnoteža na razini višeg rukovodstva te kako bi se rodna ravnopravnost sustavno uključila u sve politike, postupke i aktivnosti agencija;</w:t>
      </w:r>
    </w:p>
    <w:p w14:paraId="7B29617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114.</w:t>
      </w:r>
      <w:r w:rsidRPr="00AA43E9">
        <w:rPr>
          <w:kern w:val="2"/>
          <w14:ligatures w14:val="standardContextual"/>
        </w:rPr>
        <w:tab/>
        <w:t>poziva agencije da postave jasne ciljeve i rokove za postizanje rodne ravnoteže i geografske raznolikosti u višem rukovodstvu i tijelima nadležnima za donošenje odluka te da sustavno izvješćuju o napretku;</w:t>
      </w:r>
    </w:p>
    <w:p w14:paraId="7D8DFD08" w14:textId="584C94C0" w:rsidR="00AA43E9" w:rsidRPr="00AA43E9" w:rsidRDefault="00AA43E9" w:rsidP="00AA43E9">
      <w:pPr>
        <w:widowControl/>
        <w:spacing w:after="240"/>
        <w:ind w:left="567" w:hanging="567"/>
        <w:rPr>
          <w:kern w:val="2"/>
          <w:szCs w:val="24"/>
          <w14:ligatures w14:val="standardContextual"/>
        </w:rPr>
      </w:pPr>
      <w:r w:rsidRPr="00AA43E9">
        <w:rPr>
          <w:kern w:val="2"/>
          <w14:ligatures w14:val="standardContextual"/>
        </w:rPr>
        <w:t>115.</w:t>
      </w:r>
      <w:r w:rsidRPr="00AA43E9">
        <w:rPr>
          <w:kern w:val="2"/>
          <w14:ligatures w14:val="standardContextual"/>
        </w:rPr>
        <w:tab/>
        <w:t>prima na znanje poboljšanje rodne ravnoteže 2023. godine u odnosu na 2022. godinu na razini višeg i srednjeg rukovodstva</w:t>
      </w:r>
      <w:r w:rsidRPr="00AA43E9">
        <w:rPr>
          <w:b/>
          <w:kern w:val="2"/>
          <w:szCs w:val="24"/>
          <w:vertAlign w:val="superscript"/>
          <w14:ligatures w14:val="standardContextual"/>
        </w:rPr>
        <w:footnoteReference w:id="427"/>
      </w:r>
      <w:r w:rsidRPr="00AA43E9">
        <w:rPr>
          <w:kern w:val="2"/>
          <w14:ligatures w14:val="standardContextual"/>
        </w:rPr>
        <w:t xml:space="preserve"> i na razini članova upravnih odbora</w:t>
      </w:r>
      <w:r w:rsidRPr="00AA43E9">
        <w:rPr>
          <w:b/>
          <w:kern w:val="2"/>
          <w:szCs w:val="24"/>
          <w:vertAlign w:val="superscript"/>
          <w14:ligatures w14:val="standardContextual"/>
        </w:rPr>
        <w:footnoteReference w:id="428"/>
      </w:r>
      <w:r w:rsidRPr="00AA43E9">
        <w:rPr>
          <w:kern w:val="2"/>
          <w14:ligatures w14:val="standardContextual"/>
        </w:rPr>
        <w:t>; napominje da se rodna ravnoteža za osoblje općenito</w:t>
      </w:r>
      <w:r w:rsidRPr="00AA43E9">
        <w:rPr>
          <w:b/>
          <w:kern w:val="2"/>
          <w:szCs w:val="24"/>
          <w:vertAlign w:val="superscript"/>
          <w14:ligatures w14:val="standardContextual"/>
        </w:rPr>
        <w:footnoteReference w:id="429"/>
      </w:r>
      <w:r w:rsidRPr="00AA43E9">
        <w:rPr>
          <w:kern w:val="2"/>
          <w14:ligatures w14:val="standardContextual"/>
        </w:rPr>
        <w:t xml:space="preserve"> nije promijenila; potiče agencije ACER, Ured BEREC-a, </w:t>
      </w:r>
      <w:proofErr w:type="spellStart"/>
      <w:r w:rsidRPr="00AA43E9">
        <w:rPr>
          <w:kern w:val="2"/>
          <w14:ligatures w14:val="standardContextual"/>
        </w:rPr>
        <w:t>Cedefop</w:t>
      </w:r>
      <w:proofErr w:type="spellEnd"/>
      <w:r w:rsidRPr="00AA43E9">
        <w:rPr>
          <w:kern w:val="2"/>
          <w14:ligatures w14:val="standardContextual"/>
        </w:rPr>
        <w:t xml:space="preserve">, ECDC, ECHA, EFSA, EIOPA, EMCDDA, EMSA, ENISA, ERA, </w:t>
      </w:r>
      <w:proofErr w:type="spellStart"/>
      <w:r w:rsidRPr="00AA43E9">
        <w:rPr>
          <w:kern w:val="2"/>
          <w14:ligatures w14:val="standardContextual"/>
        </w:rPr>
        <w:t>eu</w:t>
      </w:r>
      <w:proofErr w:type="spellEnd"/>
      <w:r w:rsidRPr="00AA43E9">
        <w:rPr>
          <w:kern w:val="2"/>
          <w14:ligatures w14:val="standardContextual"/>
        </w:rPr>
        <w:t xml:space="preserve">-LISA, ELA, </w:t>
      </w:r>
      <w:proofErr w:type="spellStart"/>
      <w:r w:rsidRPr="00AA43E9">
        <w:rPr>
          <w:kern w:val="2"/>
          <w14:ligatures w14:val="standardContextual"/>
        </w:rPr>
        <w:t>Europol</w:t>
      </w:r>
      <w:proofErr w:type="spellEnd"/>
      <w:r w:rsidRPr="00AA43E9">
        <w:rPr>
          <w:kern w:val="2"/>
          <w14:ligatures w14:val="standardContextual"/>
        </w:rPr>
        <w:t xml:space="preserve">, EUAA, EUSPA, </w:t>
      </w:r>
      <w:proofErr w:type="spellStart"/>
      <w:r w:rsidRPr="00AA43E9">
        <w:rPr>
          <w:kern w:val="2"/>
          <w14:ligatures w14:val="standardContextual"/>
        </w:rPr>
        <w:t>Frontex</w:t>
      </w:r>
      <w:proofErr w:type="spellEnd"/>
      <w:r w:rsidRPr="00AA43E9">
        <w:rPr>
          <w:kern w:val="2"/>
          <w14:ligatures w14:val="standardContextual"/>
        </w:rPr>
        <w:t xml:space="preserve"> da podrže žene koje se prijavljuju za rukovodeće položaje; ponavlja svoj poziv Komisiji i državama članicama da poštuju rodnu ravnotežu pri kandidiranju i imenovanju članova rukovodstva ili upravnih odbora; podsjeća na ambiciju agencija da se usklade s Komisijom kako bi se postigla rodna ravnoteža od 50 % na svim razinama rukovodstva do kraja 2025.; poziva agencije da i dalje uzimaju u obzir te aspekte u pogledu zapošljavanja novog osoblja i da nastoje dodatno poboljšati rodnu ravnotežu na razini višeg rukovodstva;</w:t>
      </w:r>
    </w:p>
    <w:p w14:paraId="4B31093A"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116.</w:t>
      </w:r>
      <w:r w:rsidRPr="00AA43E9">
        <w:rPr>
          <w:kern w:val="2"/>
          <w14:ligatures w14:val="standardContextual"/>
        </w:rPr>
        <w:tab/>
        <w:t>potiče decentralizirane agencije da ojačaju politike rodne ravnopravnosti na svim razinama, osiguravajući pritom jednake mogućnosti u zapošljavanju, napredovanju u karijeri i radnim uvjetima za cjelokupno osoblje; potiče sve agencije da donesu i provedu snažne strategije za raznolikost i uključivanje kojima se promiču pravednost i ravnoteža, uz osiguravanje jednakih mogućnosti i zastupljenosti žena i manjina na vodećim položajima; poziva agencije na razvoj sveobuhvatnih strategija za procjenu napretka i utvrđivanje prostora za poboljšanje; podsjeća da će Parlament provesti procjenu usklađenosti s tim načelima u godišnjem postupku davanja razrješnice;</w:t>
      </w:r>
    </w:p>
    <w:p w14:paraId="333BD08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117.</w:t>
      </w:r>
      <w:r w:rsidRPr="00AA43E9">
        <w:rPr>
          <w:kern w:val="2"/>
          <w14:ligatures w14:val="standardContextual"/>
        </w:rPr>
        <w:tab/>
        <w:t xml:space="preserve">primjećuje da su sve agencije uvele mjere za poboljšanje dobrobiti osoblja na radnom mjestu i veću ravnotežu između poslovnog i privatnog života; napominje da se broj i učinak takvih mjera uvelike razlikuju među agencijama te da se čini da ne postoji zajednički referentni okvir; poziva EUAN da koordinira napore za razvoj zajedničkog referentnog okvira u tom pogledu; sa zadovoljstvom primjećuje da je velika većina agencija uvela mjere za integraciju osoba s invaliditetom; potiče agencije da zadrže dobre prakse povezane s dobrobiti osoblja, uključenosti i integraciji osoba s </w:t>
      </w:r>
      <w:r w:rsidRPr="00AA43E9">
        <w:rPr>
          <w:kern w:val="2"/>
          <w14:ligatures w14:val="standardContextual"/>
        </w:rPr>
        <w:lastRenderedPageBreak/>
        <w:t>invaliditetom te da i dalje rade na rješavanju pitanja ravnoteže između poslovnog i privatnog života, cjeloživotnog učenja i razvoja karijere; ističe važnost jačanja napora za postizanje rodne i geografske ravnoteže među institucijskim osobljem i na višim rukovodećim položajima; ističe korisnu ulogu koju u području upravljanja osobljem može imati razmjena primjera najbolje prakse; poziva agencije da svojem osoblju osiguraju relevantno i redovito osposobljavanje;</w:t>
      </w:r>
    </w:p>
    <w:p w14:paraId="18BAEE49"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118.</w:t>
      </w:r>
      <w:r w:rsidRPr="00AA43E9">
        <w:rPr>
          <w:kern w:val="2"/>
          <w14:ligatures w14:val="standardContextual"/>
        </w:rPr>
        <w:tab/>
        <w:t>potiče sve agencije da provedu politiku za zaštitu osobnog dostojanstva i sprečavanje psihološkog i seksualnog uznemiravanja te da sudjeluju u međuagencijskoj radnoj skupini savjetnika; u tom pogledu poziva na uvođenje obveznog osposobljavanja za prevenciju uznemiravanja namijenjenog zaposlenicima agencija EU-a; sa zabrinutošću primjećuje da je iz odgovora na standardni upitnik koje je ENISA dostavila tijelu za davanje razrješnice vidljivo da su 2023. pokrenute dvije administrativne istrage povezane s navodnim uznemiravanjem; nadalje izvješćuje da je jedna od njih zaključena 2024. nakon primitka završnog izvješća OLAF-a; očekuje da Agencija temeljito izvješćuje o predmetima u tijeku te da provede snažne mjere za sprečavanje sličnih slučajeva u budućnosti; poziva agencije da redovito izvješćuju o napretku u tom području uz pomoć izvješća o daljnjem postupanju;</w:t>
      </w:r>
    </w:p>
    <w:p w14:paraId="56541EF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119.</w:t>
      </w:r>
      <w:r w:rsidRPr="00AA43E9">
        <w:rPr>
          <w:kern w:val="2"/>
          <w14:ligatures w14:val="standardContextual"/>
        </w:rPr>
        <w:tab/>
        <w:t>napominje da percipirani sukob interesa može predstavljati rizik za ugled agencije te bi ga trebalo riješiti, čak i ako se pokaže da nije potkrijepljen;</w:t>
      </w:r>
    </w:p>
    <w:p w14:paraId="7433D4C5" w14:textId="77777777" w:rsidR="00AA43E9" w:rsidRPr="00AA43E9" w:rsidRDefault="00AA43E9" w:rsidP="00AA43E9">
      <w:pPr>
        <w:spacing w:after="240"/>
        <w:ind w:left="567" w:hanging="567"/>
        <w:rPr>
          <w:kern w:val="2"/>
          <w:szCs w:val="24"/>
          <w14:ligatures w14:val="standardContextual"/>
        </w:rPr>
      </w:pPr>
      <w:r w:rsidRPr="00AA43E9">
        <w:rPr>
          <w:kern w:val="2"/>
          <w14:ligatures w14:val="standardContextual"/>
        </w:rPr>
        <w:t>120.</w:t>
      </w:r>
      <w:r w:rsidRPr="00AA43E9">
        <w:rPr>
          <w:kern w:val="2"/>
          <w14:ligatures w14:val="standardContextual"/>
        </w:rPr>
        <w:tab/>
        <w:t xml:space="preserve">potiče sve agencije da dodatno ojačaju sprečavanje sukoba interesa i upravljanje njime, uključujući sustavne izjave o financijskim interesima višeg rukovodstva, vanjskih stručnjaka i članova Upravnog odbora, koje se objavljuju na </w:t>
      </w:r>
      <w:proofErr w:type="spellStart"/>
      <w:r w:rsidRPr="00AA43E9">
        <w:rPr>
          <w:kern w:val="2"/>
          <w14:ligatures w14:val="standardContextual"/>
        </w:rPr>
        <w:t>proaktivan</w:t>
      </w:r>
      <w:proofErr w:type="spellEnd"/>
      <w:r w:rsidRPr="00AA43E9">
        <w:rPr>
          <w:kern w:val="2"/>
          <w14:ligatures w14:val="standardContextual"/>
        </w:rPr>
        <w:t xml:space="preserve"> i pristupačan način;</w:t>
      </w:r>
    </w:p>
    <w:p w14:paraId="037685E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121.</w:t>
      </w:r>
      <w:r w:rsidRPr="00AA43E9">
        <w:rPr>
          <w:kern w:val="2"/>
          <w14:ligatures w14:val="standardContextual"/>
        </w:rPr>
        <w:tab/>
        <w:t>ističe važnost zaštite neovisnosti agencija EU-a od neprimjerenog utjecaja industrije kako bi se održalo povjerenje javnosti u njihovo donošenje odluka; izražava zabrinutost zbog regulatornih nedostataka i mogućih sukoba interesa unutar određenih agencija; ističe probleme koji se odnose na blisku povezanost s industrijom i izvješćima o neprimjerenom utjecaju, posebno u pogledu rotirajućih vrata između javnih institucija i privatnih trgovačkih društava; ističe potrebu za većom transparentnošću, jačim mehanizmima nadzora i čvrstom predanošću davanju prednosti javnom zdravlju i sigurnosti umjesto financijskim interesima;</w:t>
      </w:r>
    </w:p>
    <w:p w14:paraId="74FAA30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122.</w:t>
      </w:r>
      <w:r w:rsidRPr="00AA43E9">
        <w:rPr>
          <w:kern w:val="2"/>
          <w14:ligatures w14:val="standardContextual"/>
        </w:rPr>
        <w:tab/>
        <w:t xml:space="preserve">napominje da Revizorski sud za 2023. nije prijavio nijedan veliki slučaj sukoba interesa, uz iznimku agencija </w:t>
      </w:r>
      <w:proofErr w:type="spellStart"/>
      <w:r w:rsidRPr="00AA43E9">
        <w:rPr>
          <w:kern w:val="2"/>
          <w14:ligatures w14:val="standardContextual"/>
        </w:rPr>
        <w:t>Frontex</w:t>
      </w:r>
      <w:proofErr w:type="spellEnd"/>
      <w:r w:rsidRPr="00AA43E9">
        <w:rPr>
          <w:kern w:val="2"/>
          <w14:ligatures w14:val="standardContextual"/>
        </w:rPr>
        <w:t xml:space="preserve"> i EMCDDA;</w:t>
      </w:r>
    </w:p>
    <w:p w14:paraId="4E4D871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123.</w:t>
      </w:r>
      <w:r w:rsidRPr="00AA43E9">
        <w:rPr>
          <w:kern w:val="2"/>
          <w14:ligatures w14:val="standardContextual"/>
        </w:rPr>
        <w:tab/>
        <w:t>smatra da većina agencija trenutačno ima uspostavljene pouzdane i sveobuhvatne postupke za podizanje razine osviještenosti i sprečavanje sukoba interesa, čime se dionicima i javnosti daje potrebno jamstvo neovisnosti njihovih članova osoblja;</w:t>
      </w:r>
    </w:p>
    <w:p w14:paraId="0F44F3F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124.</w:t>
      </w:r>
      <w:r w:rsidRPr="00AA43E9">
        <w:rPr>
          <w:kern w:val="2"/>
          <w14:ligatures w14:val="standardContextual"/>
        </w:rPr>
        <w:tab/>
        <w:t xml:space="preserve">sa zadovoljstvom prima na znanje snažnu suradnju s agencijama za pravosuđe i unutarnje poslove, posebno sklapanje novog radnog dogovora s Europskim uredom za borbu protiv prijevara (OLAF), otvaranje 15 novih predmeta u kojima je </w:t>
      </w:r>
      <w:proofErr w:type="spellStart"/>
      <w:r w:rsidRPr="00AA43E9">
        <w:rPr>
          <w:kern w:val="2"/>
          <w14:ligatures w14:val="standardContextual"/>
        </w:rPr>
        <w:t>Eurojust</w:t>
      </w:r>
      <w:proofErr w:type="spellEnd"/>
      <w:r w:rsidRPr="00AA43E9">
        <w:rPr>
          <w:kern w:val="2"/>
          <w14:ligatures w14:val="standardContextual"/>
        </w:rPr>
        <w:t xml:space="preserve"> podupirao Ured europskog javnog tužitelja (EPPO), kao i suradnju u 42 predmeta s Agencijom Europske unije za suradnju tijela za izvršavanje zakonodavstva (</w:t>
      </w:r>
      <w:proofErr w:type="spellStart"/>
      <w:r w:rsidRPr="00AA43E9">
        <w:rPr>
          <w:kern w:val="2"/>
          <w14:ligatures w14:val="standardContextual"/>
        </w:rPr>
        <w:t>Europol</w:t>
      </w:r>
      <w:proofErr w:type="spellEnd"/>
      <w:r w:rsidRPr="00AA43E9">
        <w:rPr>
          <w:kern w:val="2"/>
          <w14:ligatures w14:val="standardContextual"/>
        </w:rPr>
        <w:t xml:space="preserve">); ističe da su </w:t>
      </w:r>
      <w:proofErr w:type="spellStart"/>
      <w:r w:rsidRPr="00AA43E9">
        <w:rPr>
          <w:kern w:val="2"/>
          <w14:ligatures w14:val="standardContextual"/>
        </w:rPr>
        <w:t>Eurojust</w:t>
      </w:r>
      <w:proofErr w:type="spellEnd"/>
      <w:r w:rsidRPr="00AA43E9">
        <w:rPr>
          <w:kern w:val="2"/>
          <w14:ligatures w14:val="standardContextual"/>
        </w:rPr>
        <w:t xml:space="preserve"> i </w:t>
      </w:r>
      <w:proofErr w:type="spellStart"/>
      <w:r w:rsidRPr="00AA43E9">
        <w:rPr>
          <w:kern w:val="2"/>
          <w14:ligatures w14:val="standardContextual"/>
        </w:rPr>
        <w:t>Europol</w:t>
      </w:r>
      <w:proofErr w:type="spellEnd"/>
      <w:r w:rsidRPr="00AA43E9">
        <w:rPr>
          <w:kern w:val="2"/>
          <w14:ligatures w14:val="standardContextual"/>
        </w:rPr>
        <w:t xml:space="preserve"> pokrenuli pilot-projekt za sustavnu i strukturnu razmjenu podataka u svrhu otkrivanja poveznica, koji će se revidirati u prvoj polovici 2024.; pozdravlja Akcijski plan </w:t>
      </w:r>
      <w:proofErr w:type="spellStart"/>
      <w:r w:rsidRPr="00AA43E9">
        <w:rPr>
          <w:kern w:val="2"/>
          <w14:ligatures w14:val="standardContextual"/>
        </w:rPr>
        <w:t>Eurojusta</w:t>
      </w:r>
      <w:proofErr w:type="spellEnd"/>
      <w:r w:rsidRPr="00AA43E9">
        <w:rPr>
          <w:kern w:val="2"/>
          <w14:ligatures w14:val="standardContextual"/>
        </w:rPr>
        <w:t xml:space="preserve"> i OLAF-a za razdoblje 2022. – 2023. za borbu protiv </w:t>
      </w:r>
      <w:r w:rsidRPr="00AA43E9">
        <w:rPr>
          <w:kern w:val="2"/>
          <w14:ligatures w14:val="standardContextual"/>
        </w:rPr>
        <w:lastRenderedPageBreak/>
        <w:t>kaznenih djela koja utječu na financijske interese Europske unije;</w:t>
      </w:r>
    </w:p>
    <w:p w14:paraId="634F5C49" w14:textId="77777777" w:rsidR="00AA43E9" w:rsidRPr="00AA43E9" w:rsidRDefault="00AA43E9" w:rsidP="00AA43E9">
      <w:pPr>
        <w:spacing w:after="240"/>
        <w:ind w:left="567" w:hanging="567"/>
        <w:rPr>
          <w:b/>
          <w:iCs/>
          <w:kern w:val="2"/>
          <w14:ligatures w14:val="standardContextual"/>
        </w:rPr>
      </w:pPr>
      <w:r w:rsidRPr="00AA43E9">
        <w:rPr>
          <w:b/>
          <w:iCs/>
          <w:kern w:val="2"/>
          <w14:ligatures w14:val="standardContextual"/>
        </w:rPr>
        <w:t>Unutarnja kontrola</w:t>
      </w:r>
    </w:p>
    <w:p w14:paraId="7694406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125.</w:t>
      </w:r>
      <w:r w:rsidRPr="00AA43E9">
        <w:rPr>
          <w:kern w:val="2"/>
          <w14:ligatures w14:val="standardContextual"/>
        </w:rPr>
        <w:tab/>
        <w:t xml:space="preserve">sa zabrinutošću prima na znanje nalaze Revizorskog suda u području sustava upravljanja i kontrole koji utječu na devet agencija, i to na EMA-u, </w:t>
      </w:r>
      <w:proofErr w:type="spellStart"/>
      <w:r w:rsidRPr="00AA43E9">
        <w:rPr>
          <w:kern w:val="2"/>
          <w14:ligatures w14:val="standardContextual"/>
        </w:rPr>
        <w:t>Europol</w:t>
      </w:r>
      <w:proofErr w:type="spellEnd"/>
      <w:r w:rsidRPr="00AA43E9">
        <w:rPr>
          <w:kern w:val="2"/>
          <w14:ligatures w14:val="standardContextual"/>
        </w:rPr>
        <w:t xml:space="preserve">, EUSPA-u, </w:t>
      </w:r>
      <w:proofErr w:type="spellStart"/>
      <w:r w:rsidRPr="00AA43E9">
        <w:rPr>
          <w:kern w:val="2"/>
          <w14:ligatures w14:val="standardContextual"/>
        </w:rPr>
        <w:t>Eurofound</w:t>
      </w:r>
      <w:proofErr w:type="spellEnd"/>
      <w:r w:rsidRPr="00AA43E9">
        <w:rPr>
          <w:kern w:val="2"/>
          <w14:ligatures w14:val="standardContextual"/>
        </w:rPr>
        <w:t xml:space="preserve">, EIT, </w:t>
      </w:r>
      <w:proofErr w:type="spellStart"/>
      <w:r w:rsidRPr="00AA43E9">
        <w:rPr>
          <w:kern w:val="2"/>
          <w14:ligatures w14:val="standardContextual"/>
        </w:rPr>
        <w:t>Eurojust</w:t>
      </w:r>
      <w:proofErr w:type="spellEnd"/>
      <w:r w:rsidRPr="00AA43E9">
        <w:rPr>
          <w:kern w:val="2"/>
          <w14:ligatures w14:val="standardContextual"/>
        </w:rPr>
        <w:t>, ACER, ENISA-u i EEA-u;</w:t>
      </w:r>
    </w:p>
    <w:p w14:paraId="307767C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126.</w:t>
      </w:r>
      <w:r w:rsidRPr="00AA43E9">
        <w:rPr>
          <w:kern w:val="2"/>
          <w14:ligatures w14:val="standardContextual"/>
        </w:rPr>
        <w:tab/>
        <w:t xml:space="preserve">ističe da su u slučaju </w:t>
      </w:r>
      <w:proofErr w:type="spellStart"/>
      <w:r w:rsidRPr="00AA43E9">
        <w:rPr>
          <w:kern w:val="2"/>
          <w14:ligatures w14:val="standardContextual"/>
        </w:rPr>
        <w:t>Europola</w:t>
      </w:r>
      <w:proofErr w:type="spellEnd"/>
      <w:r w:rsidRPr="00AA43E9">
        <w:rPr>
          <w:kern w:val="2"/>
          <w14:ligatures w14:val="standardContextual"/>
        </w:rPr>
        <w:t xml:space="preserve"> i EIT-a dva od tri opažanja rezultirala nepravilnim plaćanjima 2023.;</w:t>
      </w:r>
    </w:p>
    <w:p w14:paraId="6FD4947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127.</w:t>
      </w:r>
      <w:r w:rsidRPr="00AA43E9">
        <w:rPr>
          <w:kern w:val="2"/>
          <w14:ligatures w14:val="standardContextual"/>
        </w:rPr>
        <w:tab/>
        <w:t xml:space="preserve">podsjeća da je Revizorski sud 2022. utvrdio da je </w:t>
      </w:r>
      <w:proofErr w:type="spellStart"/>
      <w:r w:rsidRPr="00AA43E9">
        <w:rPr>
          <w:kern w:val="2"/>
          <w14:ligatures w14:val="standardContextual"/>
        </w:rPr>
        <w:t>Europol</w:t>
      </w:r>
      <w:proofErr w:type="spellEnd"/>
      <w:r w:rsidRPr="00AA43E9">
        <w:rPr>
          <w:kern w:val="2"/>
          <w14:ligatures w14:val="standardContextual"/>
        </w:rPr>
        <w:t xml:space="preserve"> javnim tijelima nepravilno nadoknadio PDV bespovratnim sredstvima smatrajući to prihvatljivim troškovima te da je povrat za taj koncept 2023. iznosio ukupno 279 900 EUR; pozdravlja odluku </w:t>
      </w:r>
      <w:proofErr w:type="spellStart"/>
      <w:r w:rsidRPr="00AA43E9">
        <w:rPr>
          <w:kern w:val="2"/>
          <w14:ligatures w14:val="standardContextual"/>
        </w:rPr>
        <w:t>Europola</w:t>
      </w:r>
      <w:proofErr w:type="spellEnd"/>
      <w:r w:rsidRPr="00AA43E9">
        <w:rPr>
          <w:kern w:val="2"/>
          <w14:ligatures w14:val="standardContextual"/>
        </w:rPr>
        <w:t xml:space="preserve"> da PDV više ne smatra prihvatljivim troškom za nova operativna bespovratna sredstva;</w:t>
      </w:r>
    </w:p>
    <w:p w14:paraId="49502691"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128.</w:t>
      </w:r>
      <w:r w:rsidRPr="00AA43E9">
        <w:rPr>
          <w:kern w:val="2"/>
          <w14:ligatures w14:val="standardContextual"/>
        </w:rPr>
        <w:tab/>
        <w:t>napominje da je u slučaju EIT-a jedno od opažanja osnova za uvjetno mišljenje o zakonitosti i pravilnosti plaćanja povezanih s računovodstvenom dokumentacijom, što je opisano pod naslovom „Pregled rezultata revizije” u ovoj Rezoluciji;</w:t>
      </w:r>
    </w:p>
    <w:p w14:paraId="22E46F6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129.</w:t>
      </w:r>
      <w:r w:rsidRPr="00AA43E9">
        <w:rPr>
          <w:kern w:val="2"/>
          <w14:ligatures w14:val="standardContextual"/>
        </w:rPr>
        <w:tab/>
        <w:t xml:space="preserve">zabrinut je zbog toga što se drugo opažanje Revizorskog suda o EIT-u odnosi na prelazak te agencije na višegodišnju strukturu sporazuma o dodjeli bespovratnih sredstava, ali postupci i smjernice za </w:t>
      </w:r>
      <w:r w:rsidRPr="00AA43E9">
        <w:rPr>
          <w:i/>
          <w:iCs/>
          <w:kern w:val="2"/>
          <w14:ligatures w14:val="standardContextual"/>
        </w:rPr>
        <w:t>ex post</w:t>
      </w:r>
      <w:r w:rsidRPr="00AA43E9">
        <w:rPr>
          <w:kern w:val="2"/>
          <w14:ligatures w14:val="standardContextual"/>
        </w:rPr>
        <w:t xml:space="preserve"> provjere isplata bespovratnih sredstava nisu ažurirani kako bi se uzele u obzir posljedice; pozdravlja činjenicu da je EIT već u postupku ažuriranja svojeg mehanizma </w:t>
      </w:r>
      <w:r w:rsidRPr="00AA43E9">
        <w:rPr>
          <w:i/>
          <w:iCs/>
          <w:kern w:val="2"/>
          <w14:ligatures w14:val="standardContextual"/>
        </w:rPr>
        <w:t>ex post</w:t>
      </w:r>
      <w:r w:rsidRPr="00AA43E9">
        <w:rPr>
          <w:kern w:val="2"/>
          <w14:ligatures w14:val="standardContextual"/>
        </w:rPr>
        <w:t xml:space="preserve"> kontrole kako bi se odgovorilo na te posljedice;</w:t>
      </w:r>
    </w:p>
    <w:p w14:paraId="30929D62"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130.</w:t>
      </w:r>
      <w:r w:rsidRPr="00AA43E9">
        <w:rPr>
          <w:kern w:val="2"/>
          <w14:ligatures w14:val="standardContextual"/>
        </w:rPr>
        <w:tab/>
        <w:t>svjestan je da je tijekom prvog tromjesečja 2023. EMA provela migraciju podataka, ali nije poštovala rokove za 48 veterinarskih inspekcija, što je dovelo do znatnih kašnjenja u računima koja nisu prijavljena u registru iznimaka i pogrešno knjiženih prihoda; napominje da je to u suprotnosti s Financijskom uredbom EMA-e i otkriva nedostatke u njezinim sustavima upravljanja i kontrole; prima na znanje cilj EMA-e da poboljša postupak u kontekstu provedbe nove uredbe o naknadama;</w:t>
      </w:r>
    </w:p>
    <w:p w14:paraId="03AC7FB6"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131.</w:t>
      </w:r>
      <w:r w:rsidRPr="00AA43E9">
        <w:rPr>
          <w:kern w:val="2"/>
          <w14:ligatures w14:val="standardContextual"/>
        </w:rPr>
        <w:tab/>
        <w:t xml:space="preserve">prima na znanje da je </w:t>
      </w:r>
      <w:proofErr w:type="spellStart"/>
      <w:r w:rsidRPr="00AA43E9">
        <w:rPr>
          <w:kern w:val="2"/>
          <w14:ligatures w14:val="standardContextual"/>
        </w:rPr>
        <w:t>Eurofound</w:t>
      </w:r>
      <w:proofErr w:type="spellEnd"/>
      <w:r w:rsidRPr="00AA43E9">
        <w:rPr>
          <w:kern w:val="2"/>
          <w14:ligatures w14:val="standardContextual"/>
        </w:rPr>
        <w:t xml:space="preserve"> izvršio plaćanje u iznosu od 38 600 EUR povezano s ugovorom za procjenu kvalitete podataka iz istraživanja, a da nije prikupio neke ključne popratne dokumente povezane s ugovornim rezultatima;</w:t>
      </w:r>
    </w:p>
    <w:p w14:paraId="0BAC2B0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132.</w:t>
      </w:r>
      <w:r w:rsidRPr="00AA43E9">
        <w:rPr>
          <w:kern w:val="2"/>
          <w14:ligatures w14:val="standardContextual"/>
        </w:rPr>
        <w:tab/>
        <w:t xml:space="preserve">napominje da je </w:t>
      </w:r>
      <w:proofErr w:type="spellStart"/>
      <w:r w:rsidRPr="00AA43E9">
        <w:rPr>
          <w:kern w:val="2"/>
          <w14:ligatures w14:val="standardContextual"/>
        </w:rPr>
        <w:t>Eurojust</w:t>
      </w:r>
      <w:proofErr w:type="spellEnd"/>
      <w:r w:rsidRPr="00AA43E9">
        <w:rPr>
          <w:kern w:val="2"/>
          <w14:ligatures w14:val="standardContextual"/>
        </w:rPr>
        <w:t xml:space="preserve"> 2023. primijetio povećanje nestandardnih transakcija klasificiranih kao iznimke ili neusklađenosti, pri čemu je broj tih transakcija porastao s 43 na 71, dok se ukupni predmetni iznos povećao s 294 000 EUR na 566 400 EUR u odnosu na 2022.; prima na znanje odgovor </w:t>
      </w:r>
      <w:proofErr w:type="spellStart"/>
      <w:r w:rsidRPr="00AA43E9">
        <w:rPr>
          <w:kern w:val="2"/>
          <w14:ligatures w14:val="standardContextual"/>
        </w:rPr>
        <w:t>Eurojusta</w:t>
      </w:r>
      <w:proofErr w:type="spellEnd"/>
      <w:r w:rsidRPr="00AA43E9">
        <w:rPr>
          <w:kern w:val="2"/>
          <w14:ligatures w14:val="standardContextual"/>
        </w:rPr>
        <w:t xml:space="preserve"> na opažanje kojim se većina slučajeva ukupne neusklađenosti 2023. pripisuje jednom događanju za dodjelu bespovratnih sredstava zajedničkom istražnom timu; prima na znanje da je, prema navodima Agencije, to povećanje prije svega posljedica nedovoljnih ljudskih resursa i neučinkovitosti internih postupaka i pozdravlja činjenicu da je </w:t>
      </w:r>
      <w:proofErr w:type="spellStart"/>
      <w:r w:rsidRPr="00AA43E9">
        <w:rPr>
          <w:kern w:val="2"/>
          <w14:ligatures w14:val="standardContextual"/>
        </w:rPr>
        <w:t>Eurojust</w:t>
      </w:r>
      <w:proofErr w:type="spellEnd"/>
      <w:r w:rsidRPr="00AA43E9">
        <w:rPr>
          <w:kern w:val="2"/>
          <w14:ligatures w14:val="standardContextual"/>
        </w:rPr>
        <w:t xml:space="preserve"> riješio problem revizijom aktualnog postupka za registraciju i izvješćivanje o slučajevima neusklađenosti 2024.;</w:t>
      </w:r>
    </w:p>
    <w:p w14:paraId="66FC8BE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133.</w:t>
      </w:r>
      <w:r w:rsidRPr="00AA43E9">
        <w:rPr>
          <w:kern w:val="2"/>
          <w14:ligatures w14:val="standardContextual"/>
        </w:rPr>
        <w:tab/>
        <w:t xml:space="preserve">napominje da je izvršni direktor EUSPA-e potvrdio rani početak aktivnosti praćenja prije potpisivanja sporazuma o dodjeli bespovratnih sredstava, što je rezultiralo </w:t>
      </w:r>
      <w:r w:rsidRPr="00AA43E9">
        <w:rPr>
          <w:kern w:val="2"/>
          <w14:ligatures w14:val="standardContextual"/>
        </w:rPr>
        <w:lastRenderedPageBreak/>
        <w:t>aktivnostima koje se provode bez proračunske obveze; ističe da to nije navedeno u registru iznimaka ili godišnjem izvješću o radu, što je u suprotnosti s Financijskom uredbom; napominje da EUSPA tvrdi da nije bilo potrebe za upisom ranog početka aktivnosti bez proračunske obveze u registar iznimaka, ali priznaje da slučaj nije naveden u godišnjem izvješću o radu premda je trebao biti;</w:t>
      </w:r>
    </w:p>
    <w:p w14:paraId="01910D1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134.</w:t>
      </w:r>
      <w:r w:rsidRPr="00AA43E9">
        <w:rPr>
          <w:kern w:val="2"/>
          <w14:ligatures w14:val="standardContextual"/>
        </w:rPr>
        <w:tab/>
        <w:t>prima na znanje imenovanje nove računovodstvene službenice ACER-a, koja je također bila voditeljica tima odjela za proračun, financije i javnu nabavu, čime se krši financijska uredba ACER-a kojom se zahtijeva razdvajanje dužnosti dužnosnika za ovjeravanje i računovodstvenih službenika; svjestan je da je od 1. svibnja 2024. provedena reorganizacija te da je voditeljica tima za proračun, financije i nabavu razriješena dužnosti vođenja tima;</w:t>
      </w:r>
    </w:p>
    <w:p w14:paraId="34B101B4"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135.</w:t>
      </w:r>
      <w:r w:rsidRPr="00AA43E9">
        <w:rPr>
          <w:kern w:val="2"/>
          <w14:ligatures w14:val="standardContextual"/>
        </w:rPr>
        <w:tab/>
        <w:t>napominje da je u rujnu 2023. izvršni direktor ENISA-e dopustio 15 članova privremenog osoblja da bez prethodnog odobrenja preuzmu funkcije u financijskom postupku, što je u suprotnosti s propisima; svjestan je da je, prema odgovoru Agencije, ENISA angažirala privremene djelatnike i upućene nacionalne stručnjake zbog poslovnih potreba i manjka resursa te će nastojati odstupiti od financijskih pravila ako se manjak resursa nastavi;</w:t>
      </w:r>
    </w:p>
    <w:p w14:paraId="059B2D0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136.</w:t>
      </w:r>
      <w:r w:rsidRPr="00AA43E9">
        <w:rPr>
          <w:kern w:val="2"/>
          <w14:ligatures w14:val="standardContextual"/>
        </w:rPr>
        <w:tab/>
        <w:t>nadalje napominje da je računovodstveni službenik ENISA-e također imenovan koordinatorom za unutarnju kontrolu, što je u suprotnosti s propisima kojima se propisuje razdvajanje dužnosti; prima na znanje da je ENISA potvrdila to opažanje, ali smatra da uloge koordinatora za unutarnju kontrolu i računovodstvenog službenika nisu nužno nespojive jer dužnosnik za ovjeravanje nije delegirao nikakve ovlasti koordinatoru za unutarnju kontrolu; pozdravlja činjenicu da će ENISA pojasniti uloge i odgovornosti koordinatora za unutarnju kontrolu u svojim unutarnjim postupcima; traži da se Europski parlament obavijesti o tom napretku prije 30. lipnja 2025.;</w:t>
      </w:r>
    </w:p>
    <w:p w14:paraId="2D1A8A2B" w14:textId="0CF366D0" w:rsidR="00AA43E9" w:rsidRPr="00AA43E9" w:rsidRDefault="00AA43E9" w:rsidP="00AA43E9">
      <w:pPr>
        <w:spacing w:after="240"/>
        <w:ind w:left="567" w:hanging="567"/>
        <w:rPr>
          <w:kern w:val="2"/>
          <w14:ligatures w14:val="standardContextual"/>
        </w:rPr>
      </w:pPr>
      <w:r w:rsidRPr="00AA43E9">
        <w:rPr>
          <w:kern w:val="2"/>
          <w14:ligatures w14:val="standardContextual"/>
        </w:rPr>
        <w:t>137.</w:t>
      </w:r>
      <w:r w:rsidRPr="00AA43E9">
        <w:rPr>
          <w:kern w:val="2"/>
          <w14:ligatures w14:val="standardContextual"/>
        </w:rPr>
        <w:tab/>
        <w:t>primjećuje da je agencija EEA odobrila paušalne isplate bespovratnih sredstava bez mogućnosti da pokaže kako je taj iznos izračunan, što predstavlja rizik da nije bio razmjeran pruženim uslugama; prima na znanje da EEA smatra da je pisana odluka o paušalnom plaćanju u potpunosti u skladu s relevantnim odredbama Financijske uredbe; naglašava da će Agencija osigurati pravilno utvrđivanje i dokumentiranje paušalnih iznosa za slučajeve u kojima poduzeće s jednim članom/samozaposleni partner prijavi troškove u europskim tematskim centrima</w:t>
      </w:r>
      <w:r w:rsidRPr="00AA43E9">
        <w:rPr>
          <w:b/>
          <w:kern w:val="2"/>
          <w:vertAlign w:val="superscript"/>
          <w14:ligatures w14:val="standardContextual"/>
        </w:rPr>
        <w:footnoteReference w:id="430"/>
      </w:r>
      <w:r w:rsidRPr="00AA43E9">
        <w:rPr>
          <w:kern w:val="2"/>
          <w14:ligatures w14:val="standardContextual"/>
        </w:rPr>
        <w:t>;</w:t>
      </w:r>
    </w:p>
    <w:p w14:paraId="6E336D0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138.</w:t>
      </w:r>
      <w:r w:rsidRPr="00AA43E9">
        <w:rPr>
          <w:kern w:val="2"/>
          <w14:ligatures w14:val="standardContextual"/>
        </w:rPr>
        <w:tab/>
        <w:t xml:space="preserve">prima na znanje da je EEA eksternalizirao </w:t>
      </w:r>
      <w:r w:rsidRPr="00AA43E9">
        <w:rPr>
          <w:i/>
          <w:iCs/>
          <w:kern w:val="2"/>
          <w14:ligatures w14:val="standardContextual"/>
        </w:rPr>
        <w:t xml:space="preserve">ex </w:t>
      </w:r>
      <w:proofErr w:type="spellStart"/>
      <w:r w:rsidRPr="00AA43E9">
        <w:rPr>
          <w:i/>
          <w:iCs/>
          <w:kern w:val="2"/>
          <w14:ligatures w14:val="standardContextual"/>
        </w:rPr>
        <w:t>ante</w:t>
      </w:r>
      <w:proofErr w:type="spellEnd"/>
      <w:r w:rsidRPr="00AA43E9">
        <w:rPr>
          <w:kern w:val="2"/>
          <w14:ligatures w14:val="standardContextual"/>
        </w:rPr>
        <w:t xml:space="preserve"> financijske provjere vanjskom izvođaču i da je Revizorski sud utvrdio nedostatke u mehanizmima kontrole; napominje da je EEA u odgovoru potvrdio opažanje Revizorskog suda i da će ažurirati postupke za </w:t>
      </w:r>
      <w:r w:rsidRPr="00AA43E9">
        <w:rPr>
          <w:i/>
          <w:iCs/>
          <w:kern w:val="2"/>
          <w14:ligatures w14:val="standardContextual"/>
        </w:rPr>
        <w:t xml:space="preserve">ex </w:t>
      </w:r>
      <w:proofErr w:type="spellStart"/>
      <w:r w:rsidRPr="00AA43E9">
        <w:rPr>
          <w:i/>
          <w:iCs/>
          <w:kern w:val="2"/>
          <w14:ligatures w14:val="standardContextual"/>
        </w:rPr>
        <w:t>ante</w:t>
      </w:r>
      <w:proofErr w:type="spellEnd"/>
      <w:r w:rsidRPr="00AA43E9">
        <w:rPr>
          <w:kern w:val="2"/>
          <w14:ligatures w14:val="standardContextual"/>
        </w:rPr>
        <w:t xml:space="preserve"> provjere kako bi se osiguralo rješavanje tog rizika;</w:t>
      </w:r>
    </w:p>
    <w:p w14:paraId="45EB4A40"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139.</w:t>
      </w:r>
      <w:r w:rsidRPr="00AA43E9">
        <w:rPr>
          <w:kern w:val="2"/>
          <w14:ligatures w14:val="standardContextual"/>
        </w:rPr>
        <w:tab/>
        <w:t xml:space="preserve">poziva agencije da brzo i sustavno provode mjere Revizorskog suda na temelju tih opažanja i poduzmu konkretne korektivne mjere za rješavanje utvrđenih nedostataka u okviru unutarnje kontrole; apelira na uspostavu strožih mjera odgovornosti kako bi se osiguralo da trajni nedostaci dovedu do konkretnih korektivnih mjera i kazni za </w:t>
      </w:r>
      <w:r w:rsidRPr="00AA43E9">
        <w:rPr>
          <w:kern w:val="2"/>
          <w14:ligatures w14:val="standardContextual"/>
        </w:rPr>
        <w:lastRenderedPageBreak/>
        <w:t>ponovljenu nesukladnost;</w:t>
      </w:r>
    </w:p>
    <w:p w14:paraId="6E8C563C" w14:textId="77777777" w:rsidR="00AA43E9" w:rsidRPr="00AA43E9" w:rsidRDefault="00AA43E9" w:rsidP="00AA43E9">
      <w:pPr>
        <w:spacing w:after="240"/>
        <w:ind w:left="567" w:hanging="567"/>
        <w:rPr>
          <w:iCs/>
          <w:kern w:val="2"/>
          <w14:ligatures w14:val="standardContextual"/>
        </w:rPr>
      </w:pPr>
      <w:proofErr w:type="spellStart"/>
      <w:r w:rsidRPr="00AA43E9">
        <w:rPr>
          <w:b/>
          <w:iCs/>
          <w:kern w:val="2"/>
          <w14:ligatures w14:val="standardContextual"/>
        </w:rPr>
        <w:t>Kibersigurnost</w:t>
      </w:r>
      <w:proofErr w:type="spellEnd"/>
      <w:r w:rsidRPr="00AA43E9">
        <w:rPr>
          <w:b/>
          <w:iCs/>
          <w:kern w:val="2"/>
          <w14:ligatures w14:val="standardContextual"/>
        </w:rPr>
        <w:t>, etika i transparentnost</w:t>
      </w:r>
    </w:p>
    <w:p w14:paraId="18D5259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140.</w:t>
      </w:r>
      <w:r w:rsidRPr="00AA43E9">
        <w:rPr>
          <w:kern w:val="2"/>
          <w14:ligatures w14:val="standardContextual"/>
        </w:rPr>
        <w:tab/>
        <w:t>skreće pozornost na potrebu za poduzimanjem svih potrebnih sigurnosnih mjera kako bi se zaštitio integritet obrađenih informacija na internetu, inzistira na povećanju otpornosti agencija na kibernetičke napade ili pokušaje infiltracije koji potječu iz bilo koje treće zemlje, a posebno iz Rusije; ističe da bi zajednička nabava među agencijama u tom području mogla dovesti do smanjenja financijskih troškova i boljih rezultata;</w:t>
      </w:r>
    </w:p>
    <w:p w14:paraId="4410245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141.</w:t>
      </w:r>
      <w:r w:rsidRPr="00AA43E9">
        <w:rPr>
          <w:kern w:val="2"/>
          <w14:ligatures w14:val="standardContextual"/>
        </w:rPr>
        <w:tab/>
        <w:t xml:space="preserve">pozdravlja suradnju Agencije za temeljna prava s Agencijom Europske unije za </w:t>
      </w:r>
      <w:proofErr w:type="spellStart"/>
      <w:r w:rsidRPr="00AA43E9">
        <w:rPr>
          <w:kern w:val="2"/>
          <w14:ligatures w14:val="standardContextual"/>
        </w:rPr>
        <w:t>kibersigurnost</w:t>
      </w:r>
      <w:proofErr w:type="spellEnd"/>
      <w:r w:rsidRPr="00AA43E9">
        <w:rPr>
          <w:kern w:val="2"/>
          <w14:ligatures w14:val="standardContextual"/>
        </w:rPr>
        <w:t xml:space="preserve"> (ENISA) u pogledu zaštite privatnosti i zaštite podataka tijekom razvoja i provedbe inicijativa u području kibernetičke sigurnosti te s agencijom </w:t>
      </w:r>
      <w:proofErr w:type="spellStart"/>
      <w:r w:rsidRPr="00AA43E9">
        <w:rPr>
          <w:kern w:val="2"/>
          <w14:ligatures w14:val="standardContextual"/>
        </w:rPr>
        <w:t>eu</w:t>
      </w:r>
      <w:proofErr w:type="spellEnd"/>
      <w:r w:rsidRPr="00AA43E9">
        <w:rPr>
          <w:kern w:val="2"/>
          <w14:ligatures w14:val="standardContextual"/>
        </w:rPr>
        <w:t>-LISA u pogledu jamčenja usklađenosti dizajna i upotrebe informacijskih sustava sa standardima temeljnih prava.</w:t>
      </w:r>
    </w:p>
    <w:p w14:paraId="3A4EFB91" w14:textId="70BC03F7" w:rsidR="00AA43E9" w:rsidRPr="00AA43E9" w:rsidRDefault="00AA43E9" w:rsidP="00AA43E9">
      <w:pPr>
        <w:spacing w:after="240"/>
        <w:ind w:left="567" w:hanging="567"/>
        <w:rPr>
          <w:kern w:val="2"/>
          <w14:ligatures w14:val="standardContextual"/>
        </w:rPr>
      </w:pPr>
      <w:r w:rsidRPr="00AA43E9">
        <w:rPr>
          <w:kern w:val="2"/>
          <w14:ligatures w14:val="standardContextual"/>
        </w:rPr>
        <w:t>142.</w:t>
      </w:r>
      <w:r w:rsidRPr="00AA43E9">
        <w:rPr>
          <w:kern w:val="2"/>
          <w14:ligatures w14:val="standardContextual"/>
        </w:rPr>
        <w:tab/>
        <w:t>napominje da su decentralizirane agencije Europske unije uspostavile razne mehanizme za rješavanje pitanja transparentnosti i aktivnosti lobiranja u svojim područjima politike; no ističe da, prema navodima Revizorskog suda, agencije nisu uvijek uspješne u postizanju zadovoljavajuće razine transparentnosti i vrijednosti za uloženi novac u natječajima sa složenim pravilima i postupcima javne nabave</w:t>
      </w:r>
      <w:r w:rsidRPr="00AA43E9">
        <w:rPr>
          <w:kern w:val="2"/>
          <w:vertAlign w:val="superscript"/>
          <w14:ligatures w14:val="standardContextual"/>
        </w:rPr>
        <w:footnoteReference w:id="431"/>
      </w:r>
      <w:r w:rsidRPr="00AA43E9">
        <w:rPr>
          <w:kern w:val="2"/>
          <w14:ligatures w14:val="standardContextual"/>
        </w:rPr>
        <w:t>; sa zabrinutošću primjećuje preostala pitanja u pogledu transparentnosti koja pak utječu na usklađenost, učinkovitost i prije svega na odgovornost;</w:t>
      </w:r>
    </w:p>
    <w:p w14:paraId="0315BAF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143.</w:t>
      </w:r>
      <w:r w:rsidRPr="00AA43E9">
        <w:rPr>
          <w:kern w:val="2"/>
          <w14:ligatures w14:val="standardContextual"/>
        </w:rPr>
        <w:tab/>
        <w:t xml:space="preserve">ističe pozitivan napredak u provedbi ciljeva temeljnih prava, uključujući trenutačnu provedbu akcijskog plana za temeljna prava i neovisnu evaluaciju usklađenosti Agencije s okvirom za temeljna prava, u skladu s Uredbom o europskoj graničnoj i obalnoj straži; pozdravlja to što </w:t>
      </w:r>
      <w:proofErr w:type="spellStart"/>
      <w:r w:rsidRPr="00AA43E9">
        <w:rPr>
          <w:kern w:val="2"/>
          <w14:ligatures w14:val="standardContextual"/>
        </w:rPr>
        <w:t>Frontex</w:t>
      </w:r>
      <w:proofErr w:type="spellEnd"/>
      <w:r w:rsidRPr="00AA43E9">
        <w:rPr>
          <w:kern w:val="2"/>
          <w14:ligatures w14:val="standardContextual"/>
        </w:rPr>
        <w:t xml:space="preserve"> proaktivno postupa s pritužbama u vezi s temeljnim pravima, pri čemu se većina odbacuje zbog neprihvatljivosti; pozdravlja veću predanost </w:t>
      </w:r>
      <w:proofErr w:type="spellStart"/>
      <w:r w:rsidRPr="00AA43E9">
        <w:rPr>
          <w:kern w:val="2"/>
          <w14:ligatures w14:val="standardContextual"/>
        </w:rPr>
        <w:t>Frontexa</w:t>
      </w:r>
      <w:proofErr w:type="spellEnd"/>
      <w:r w:rsidRPr="00AA43E9">
        <w:rPr>
          <w:kern w:val="2"/>
          <w14:ligatures w14:val="standardContextual"/>
        </w:rPr>
        <w:t xml:space="preserve"> transparentnosti i odgovornosti;</w:t>
      </w:r>
    </w:p>
    <w:p w14:paraId="73B2BF5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144.</w:t>
      </w:r>
      <w:r w:rsidRPr="00AA43E9">
        <w:rPr>
          <w:kern w:val="2"/>
          <w14:ligatures w14:val="standardContextual"/>
        </w:rPr>
        <w:tab/>
        <w:t>naglašava da bi, radi potpune jasnoće i transparentnosti te u skladu s opažanjem Revizorskog suda, agencije koje prikupljaju vlastite prihode trebale na lako razumljiv način objaviti iste informacije u svojoj završnoj godišnjoj računovodstvenoj dokumentaciji, konsolidiranom godišnjem izvješću o radu i jedinstvenom programskom dokumentu jer ta izvješća imaju različite svrhe;</w:t>
      </w:r>
    </w:p>
    <w:p w14:paraId="2B645BF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145.</w:t>
      </w:r>
      <w:r w:rsidRPr="00AA43E9">
        <w:rPr>
          <w:kern w:val="2"/>
          <w14:ligatures w14:val="standardContextual"/>
        </w:rPr>
        <w:tab/>
        <w:t xml:space="preserve">nadalje napominje da je </w:t>
      </w:r>
      <w:proofErr w:type="spellStart"/>
      <w:r w:rsidRPr="00AA43E9">
        <w:rPr>
          <w:kern w:val="2"/>
          <w14:ligatures w14:val="standardContextual"/>
        </w:rPr>
        <w:t>Frontex</w:t>
      </w:r>
      <w:proofErr w:type="spellEnd"/>
      <w:r w:rsidRPr="00AA43E9">
        <w:rPr>
          <w:kern w:val="2"/>
          <w14:ligatures w14:val="standardContextual"/>
        </w:rPr>
        <w:t xml:space="preserve"> 2023. odbio odobriti javni pristup izvješću svojeg službenika za temeljna prava o operaciji </w:t>
      </w:r>
      <w:proofErr w:type="spellStart"/>
      <w:r w:rsidRPr="00AA43E9">
        <w:rPr>
          <w:kern w:val="2"/>
          <w14:ligatures w14:val="standardContextual"/>
        </w:rPr>
        <w:t>Frontexa</w:t>
      </w:r>
      <w:proofErr w:type="spellEnd"/>
      <w:r w:rsidRPr="00AA43E9">
        <w:rPr>
          <w:kern w:val="2"/>
          <w14:ligatures w14:val="standardContextual"/>
        </w:rPr>
        <w:t xml:space="preserve"> u Albaniji (predmet 652/2023/VB), što je dovelo do istrage </w:t>
      </w:r>
      <w:proofErr w:type="spellStart"/>
      <w:r w:rsidRPr="00AA43E9">
        <w:rPr>
          <w:kern w:val="2"/>
          <w14:ligatures w14:val="standardContextual"/>
        </w:rPr>
        <w:t>Ombudsmana</w:t>
      </w:r>
      <w:proofErr w:type="spellEnd"/>
      <w:r w:rsidRPr="00AA43E9">
        <w:rPr>
          <w:kern w:val="2"/>
          <w14:ligatures w14:val="standardContextual"/>
        </w:rPr>
        <w:t xml:space="preserve">; </w:t>
      </w:r>
      <w:proofErr w:type="spellStart"/>
      <w:r w:rsidRPr="00AA43E9">
        <w:rPr>
          <w:kern w:val="2"/>
          <w14:ligatures w14:val="standardContextual"/>
        </w:rPr>
        <w:t>Ombudsman</w:t>
      </w:r>
      <w:proofErr w:type="spellEnd"/>
      <w:r w:rsidRPr="00AA43E9">
        <w:rPr>
          <w:kern w:val="2"/>
          <w14:ligatures w14:val="standardContextual"/>
        </w:rPr>
        <w:t xml:space="preserve"> je smatrao da je </w:t>
      </w:r>
      <w:proofErr w:type="spellStart"/>
      <w:r w:rsidRPr="00AA43E9">
        <w:rPr>
          <w:kern w:val="2"/>
          <w14:ligatures w14:val="standardContextual"/>
        </w:rPr>
        <w:t>Frontex</w:t>
      </w:r>
      <w:proofErr w:type="spellEnd"/>
      <w:r w:rsidRPr="00AA43E9">
        <w:rPr>
          <w:kern w:val="2"/>
          <w14:ligatures w14:val="standardContextual"/>
        </w:rPr>
        <w:t xml:space="preserve"> trebao omogućiti pristup nekim dijelovima izvješća i pozdravlja činjenicu da je </w:t>
      </w:r>
      <w:proofErr w:type="spellStart"/>
      <w:r w:rsidRPr="00AA43E9">
        <w:rPr>
          <w:kern w:val="2"/>
          <w14:ligatures w14:val="standardContextual"/>
        </w:rPr>
        <w:t>Frontex</w:t>
      </w:r>
      <w:proofErr w:type="spellEnd"/>
      <w:r w:rsidRPr="00AA43E9">
        <w:rPr>
          <w:kern w:val="2"/>
          <w14:ligatures w14:val="standardContextual"/>
        </w:rPr>
        <w:t xml:space="preserve"> prihvatio prijedlog </w:t>
      </w:r>
      <w:proofErr w:type="spellStart"/>
      <w:r w:rsidRPr="00AA43E9">
        <w:rPr>
          <w:kern w:val="2"/>
          <w14:ligatures w14:val="standardContextual"/>
        </w:rPr>
        <w:t>Ombudsmana</w:t>
      </w:r>
      <w:proofErr w:type="spellEnd"/>
      <w:r w:rsidRPr="00AA43E9">
        <w:rPr>
          <w:kern w:val="2"/>
          <w14:ligatures w14:val="standardContextual"/>
        </w:rPr>
        <w:t xml:space="preserve"> za rješenje;</w:t>
      </w:r>
    </w:p>
    <w:p w14:paraId="44298D11" w14:textId="77F102BA" w:rsidR="00AA43E9" w:rsidRPr="00AA43E9" w:rsidRDefault="00AA43E9" w:rsidP="00AA43E9">
      <w:pPr>
        <w:spacing w:after="240"/>
        <w:ind w:left="567" w:hanging="567"/>
        <w:rPr>
          <w:kern w:val="2"/>
          <w14:ligatures w14:val="standardContextual"/>
        </w:rPr>
      </w:pPr>
      <w:r w:rsidRPr="00AA43E9">
        <w:rPr>
          <w:kern w:val="2"/>
          <w14:ligatures w14:val="standardContextual"/>
        </w:rPr>
        <w:t>146.</w:t>
      </w:r>
      <w:r w:rsidRPr="00AA43E9">
        <w:rPr>
          <w:kern w:val="2"/>
          <w14:ligatures w14:val="standardContextual"/>
        </w:rPr>
        <w:tab/>
        <w:t xml:space="preserve">žali zbog toga što primjena registra transparentnosti na vanjske kontakte nije obvezna za decentralizirane agencije; no napominje da u skladu s </w:t>
      </w:r>
      <w:proofErr w:type="spellStart"/>
      <w:r w:rsidRPr="00AA43E9">
        <w:rPr>
          <w:kern w:val="2"/>
          <w14:ligatures w14:val="standardContextual"/>
        </w:rPr>
        <w:t>Međuinstitucijskim</w:t>
      </w:r>
      <w:proofErr w:type="spellEnd"/>
      <w:r w:rsidRPr="00AA43E9">
        <w:rPr>
          <w:kern w:val="2"/>
          <w14:ligatures w14:val="standardContextual"/>
        </w:rPr>
        <w:t xml:space="preserve"> sporazumom </w:t>
      </w:r>
      <w:r w:rsidRPr="00AA43E9">
        <w:rPr>
          <w:kern w:val="2"/>
          <w14:ligatures w14:val="standardContextual"/>
        </w:rPr>
        <w:lastRenderedPageBreak/>
        <w:t>od 20. svibnja 2021.</w:t>
      </w:r>
      <w:r w:rsidRPr="00AA43E9">
        <w:rPr>
          <w:b/>
          <w:kern w:val="2"/>
          <w:vertAlign w:val="superscript"/>
          <w14:ligatures w14:val="standardContextual"/>
        </w:rPr>
        <w:footnoteReference w:id="432"/>
      </w:r>
      <w:r w:rsidRPr="00AA43E9">
        <w:rPr>
          <w:kern w:val="2"/>
          <w14:ligatures w14:val="standardContextual"/>
        </w:rPr>
        <w:t xml:space="preserve"> između Europskog parlamenta, Vijeća Europske unije i Europske komisije o obveznom registru transparentnosti agencije imaju mogućnost koristiti se registrom transparentnosti na dobrovoljnoj osnovi;</w:t>
      </w:r>
    </w:p>
    <w:p w14:paraId="091599B3"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147.</w:t>
      </w:r>
      <w:r w:rsidRPr="00AA43E9">
        <w:rPr>
          <w:kern w:val="2"/>
          <w14:ligatures w14:val="standardContextual"/>
        </w:rPr>
        <w:tab/>
        <w:t xml:space="preserve">potiče sve agencije da iskoriste tu dobrovoljnu mogućnost i slijede primjer agencija </w:t>
      </w:r>
      <w:proofErr w:type="spellStart"/>
      <w:r w:rsidRPr="00AA43E9">
        <w:rPr>
          <w:kern w:val="2"/>
          <w14:ligatures w14:val="standardContextual"/>
        </w:rPr>
        <w:t>eu</w:t>
      </w:r>
      <w:proofErr w:type="spellEnd"/>
      <w:r w:rsidRPr="00AA43E9">
        <w:rPr>
          <w:kern w:val="2"/>
          <w14:ligatures w14:val="standardContextual"/>
        </w:rPr>
        <w:t xml:space="preserve">-LISA i </w:t>
      </w:r>
      <w:proofErr w:type="spellStart"/>
      <w:r w:rsidRPr="00AA43E9">
        <w:rPr>
          <w:kern w:val="2"/>
          <w14:ligatures w14:val="standardContextual"/>
        </w:rPr>
        <w:t>Frontex</w:t>
      </w:r>
      <w:proofErr w:type="spellEnd"/>
      <w:r w:rsidRPr="00AA43E9">
        <w:rPr>
          <w:kern w:val="2"/>
          <w14:ligatures w14:val="standardContextual"/>
        </w:rPr>
        <w:t>, jedinih koje zahtijevaju od vanjskih kontakata trećih strana da se upišu u registar transparentnosti;</w:t>
      </w:r>
    </w:p>
    <w:p w14:paraId="1CB6174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148.</w:t>
      </w:r>
      <w:r w:rsidRPr="00AA43E9">
        <w:rPr>
          <w:kern w:val="2"/>
          <w14:ligatures w14:val="standardContextual"/>
        </w:rPr>
        <w:tab/>
        <w:t xml:space="preserve">ističe da potpisnici </w:t>
      </w:r>
      <w:proofErr w:type="spellStart"/>
      <w:r w:rsidRPr="00AA43E9">
        <w:rPr>
          <w:kern w:val="2"/>
          <w14:ligatures w14:val="standardContextual"/>
        </w:rPr>
        <w:t>Međuinstitucijskog</w:t>
      </w:r>
      <w:proofErr w:type="spellEnd"/>
      <w:r w:rsidRPr="00AA43E9">
        <w:rPr>
          <w:kern w:val="2"/>
          <w14:ligatures w14:val="standardContextual"/>
        </w:rPr>
        <w:t xml:space="preserve"> sporazuma promiču i potiču upotrebu registra transparentnosti; podsjeća na snažan poziv svim decentraliziranim agencijama da u potpunosti iskoriste registar;</w:t>
      </w:r>
    </w:p>
    <w:p w14:paraId="10A8FCC8" w14:textId="237E8AEB" w:rsidR="00AA43E9" w:rsidRPr="00AA43E9" w:rsidRDefault="00AA43E9" w:rsidP="00AA43E9">
      <w:pPr>
        <w:spacing w:after="240"/>
        <w:ind w:left="567" w:hanging="567"/>
        <w:rPr>
          <w:kern w:val="2"/>
          <w14:ligatures w14:val="standardContextual"/>
        </w:rPr>
      </w:pPr>
      <w:r w:rsidRPr="00AA43E9">
        <w:rPr>
          <w:kern w:val="2"/>
          <w14:ligatures w14:val="standardContextual"/>
        </w:rPr>
        <w:t>149.</w:t>
      </w:r>
      <w:r w:rsidRPr="00AA43E9">
        <w:rPr>
          <w:kern w:val="2"/>
          <w14:ligatures w14:val="standardContextual"/>
        </w:rPr>
        <w:tab/>
        <w:t xml:space="preserve">napominje da se </w:t>
      </w:r>
      <w:proofErr w:type="spellStart"/>
      <w:r w:rsidRPr="00AA43E9">
        <w:rPr>
          <w:kern w:val="2"/>
          <w14:ligatures w14:val="standardContextual"/>
        </w:rPr>
        <w:t>eu</w:t>
      </w:r>
      <w:proofErr w:type="spellEnd"/>
      <w:r w:rsidRPr="00AA43E9">
        <w:rPr>
          <w:kern w:val="2"/>
          <w14:ligatures w14:val="standardContextual"/>
        </w:rPr>
        <w:t xml:space="preserve">-LISA usredotočila na kibernetičku sigurnost i borbu protiv prijetnji u kibernetičkom području, pri čemu je posebno obavila potrebne pripreme za obveze koje proizlaze iz novih uredbi Unije o informacijskoj sigurnosti i kibernetičkoj sigurnosti; ističe da </w:t>
      </w:r>
      <w:proofErr w:type="spellStart"/>
      <w:r w:rsidRPr="00AA43E9">
        <w:rPr>
          <w:kern w:val="2"/>
          <w14:ligatures w14:val="standardContextual"/>
        </w:rPr>
        <w:t>eu</w:t>
      </w:r>
      <w:proofErr w:type="spellEnd"/>
      <w:r w:rsidRPr="00AA43E9">
        <w:rPr>
          <w:kern w:val="2"/>
          <w14:ligatures w14:val="standardContextual"/>
        </w:rPr>
        <w:t xml:space="preserve">-LISA vodi i održava platformu za praćenje sigurnosti, da je izradila plan </w:t>
      </w:r>
      <w:proofErr w:type="spellStart"/>
      <w:r w:rsidRPr="00AA43E9">
        <w:rPr>
          <w:kern w:val="2"/>
          <w14:ligatures w14:val="standardContextual"/>
        </w:rPr>
        <w:t>kibersigurnosnih</w:t>
      </w:r>
      <w:proofErr w:type="spellEnd"/>
      <w:r w:rsidRPr="00AA43E9">
        <w:rPr>
          <w:kern w:val="2"/>
          <w14:ligatures w14:val="standardContextual"/>
        </w:rPr>
        <w:t xml:space="preserve"> incidenata i priručnike za odgovor te da stavlja na raspolaganje aranžmane za pripravnost 24 sata dnevno sedam dana u tjednu kako bi se osigurala pravodobna identifikacija kibernetičkih prijetnji i odgovor na njih; pozdravlja ulogu agencije </w:t>
      </w:r>
      <w:proofErr w:type="spellStart"/>
      <w:r w:rsidRPr="00AA43E9">
        <w:rPr>
          <w:kern w:val="2"/>
          <w14:ligatures w14:val="standardContextual"/>
        </w:rPr>
        <w:t>eu</w:t>
      </w:r>
      <w:proofErr w:type="spellEnd"/>
      <w:r w:rsidRPr="00AA43E9">
        <w:rPr>
          <w:kern w:val="2"/>
          <w14:ligatures w14:val="standardContextual"/>
        </w:rPr>
        <w:t>-LISA u podupiranju međuagencijskih vježbi u području kibernetičke sigurnosti u suradnji s mrežom agencija za pravosuđe i unutarnje poslove</w:t>
      </w:r>
      <w:r w:rsidRPr="00AA43E9">
        <w:rPr>
          <w:b/>
          <w:kern w:val="2"/>
          <w:szCs w:val="24"/>
          <w:vertAlign w:val="superscript"/>
          <w14:ligatures w14:val="standardContextual"/>
        </w:rPr>
        <w:footnoteReference w:id="433"/>
      </w:r>
      <w:r w:rsidRPr="00AA43E9">
        <w:rPr>
          <w:kern w:val="2"/>
          <w14:ligatures w14:val="standardContextual"/>
        </w:rPr>
        <w:t xml:space="preserve">; ističe da je važno da decentralizirane agencije budu u potpunosti sposobne obraniti se od kibernetičkih napada; potiče bliskiju suradnju između agencije </w:t>
      </w:r>
      <w:proofErr w:type="spellStart"/>
      <w:r w:rsidRPr="00AA43E9">
        <w:rPr>
          <w:kern w:val="2"/>
          <w14:ligatures w14:val="standardContextual"/>
        </w:rPr>
        <w:t>eu</w:t>
      </w:r>
      <w:proofErr w:type="spellEnd"/>
      <w:r w:rsidRPr="00AA43E9">
        <w:rPr>
          <w:kern w:val="2"/>
          <w14:ligatures w14:val="standardContextual"/>
        </w:rPr>
        <w:t>-LISA i drugih agencija kako bi se razvio otporniji zajednički odgovor na kibernetički kriminal; u tom pogledu naglašava važnost jačanja mjera kibernetičke sigurnosti u svim agencijama s obzirom na sve veće rizike od kibernetičkih prijetnji i povreda podataka; traži dodatna ulaganja u sigurnu informatičku infrastrukturu i osposobljavanje osoblja agencija u području kibernetičke sigurnosti; potiče agencije da Parlamentu i Revizorskom sudu podnosu godišnja izvješća o procjeni rizika kibernetičke sigurnosti;</w:t>
      </w:r>
    </w:p>
    <w:p w14:paraId="3DF63848"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150.</w:t>
      </w:r>
      <w:r w:rsidRPr="00AA43E9">
        <w:rPr>
          <w:kern w:val="2"/>
          <w14:ligatures w14:val="standardContextual"/>
        </w:rPr>
        <w:tab/>
        <w:t xml:space="preserve">apelira na </w:t>
      </w:r>
      <w:proofErr w:type="spellStart"/>
      <w:r w:rsidRPr="00AA43E9">
        <w:rPr>
          <w:kern w:val="2"/>
          <w14:ligatures w14:val="standardContextual"/>
        </w:rPr>
        <w:t>Frontex</w:t>
      </w:r>
      <w:proofErr w:type="spellEnd"/>
      <w:r w:rsidRPr="00AA43E9">
        <w:rPr>
          <w:kern w:val="2"/>
          <w14:ligatures w14:val="standardContextual"/>
        </w:rPr>
        <w:t xml:space="preserve"> da bez odgode osigura potpunu provedbu svih preporuka europskih revizijskih i nadzornih tijela, posebno onih iz OLAF-a, radne skupine Europskog parlamenta za nadzor </w:t>
      </w:r>
      <w:proofErr w:type="spellStart"/>
      <w:r w:rsidRPr="00AA43E9">
        <w:rPr>
          <w:kern w:val="2"/>
          <w14:ligatures w14:val="standardContextual"/>
        </w:rPr>
        <w:t>Frontexa</w:t>
      </w:r>
      <w:proofErr w:type="spellEnd"/>
      <w:r w:rsidRPr="00AA43E9">
        <w:rPr>
          <w:kern w:val="2"/>
          <w14:ligatures w14:val="standardContextual"/>
        </w:rPr>
        <w:t xml:space="preserve">, Europskog </w:t>
      </w:r>
      <w:proofErr w:type="spellStart"/>
      <w:r w:rsidRPr="00AA43E9">
        <w:rPr>
          <w:kern w:val="2"/>
          <w14:ligatures w14:val="standardContextual"/>
        </w:rPr>
        <w:t>ombudsmana</w:t>
      </w:r>
      <w:proofErr w:type="spellEnd"/>
      <w:r w:rsidRPr="00AA43E9">
        <w:rPr>
          <w:kern w:val="2"/>
          <w14:ligatures w14:val="standardContextual"/>
        </w:rPr>
        <w:t xml:space="preserve">, Revizorskog suda i Radne skupine </w:t>
      </w:r>
      <w:proofErr w:type="spellStart"/>
      <w:r w:rsidRPr="00AA43E9">
        <w:rPr>
          <w:kern w:val="2"/>
          <w14:ligatures w14:val="standardContextual"/>
        </w:rPr>
        <w:t>Frontexa</w:t>
      </w:r>
      <w:proofErr w:type="spellEnd"/>
      <w:r w:rsidRPr="00AA43E9">
        <w:rPr>
          <w:kern w:val="2"/>
          <w14:ligatures w14:val="standardContextual"/>
        </w:rPr>
        <w:t xml:space="preserve"> za temeljna prava i pravne operativne aspekte operacija (WG </w:t>
      </w:r>
      <w:proofErr w:type="spellStart"/>
      <w:r w:rsidRPr="00AA43E9">
        <w:rPr>
          <w:kern w:val="2"/>
          <w14:ligatures w14:val="standardContextual"/>
        </w:rPr>
        <w:t>FRaLO</w:t>
      </w:r>
      <w:proofErr w:type="spellEnd"/>
      <w:r w:rsidRPr="00AA43E9">
        <w:rPr>
          <w:kern w:val="2"/>
          <w14:ligatures w14:val="standardContextual"/>
        </w:rPr>
        <w:t>);</w:t>
      </w:r>
    </w:p>
    <w:p w14:paraId="29DA01C4" w14:textId="74029E44" w:rsidR="00AA43E9" w:rsidRPr="00AA43E9" w:rsidRDefault="00AA43E9" w:rsidP="00AA43E9">
      <w:pPr>
        <w:spacing w:after="240"/>
        <w:ind w:left="567" w:hanging="567"/>
        <w:rPr>
          <w:kern w:val="2"/>
          <w14:ligatures w14:val="standardContextual"/>
        </w:rPr>
      </w:pPr>
      <w:r w:rsidRPr="00AA43E9">
        <w:rPr>
          <w:kern w:val="2"/>
          <w14:ligatures w14:val="standardContextual"/>
        </w:rPr>
        <w:t>151.</w:t>
      </w:r>
      <w:r w:rsidRPr="00AA43E9">
        <w:rPr>
          <w:kern w:val="2"/>
          <w14:ligatures w14:val="standardContextual"/>
        </w:rPr>
        <w:tab/>
        <w:t>napominje da sve agencije imaju uspostavljenu politiku za zviždače; poziva sve agencije da se pobrinu za uspostavu posebnih, sigurnih i učinkovitih kanala za prijavljivanje u skladu s relevantnim zahtjevima Direktive (EU) 2019/1937 Europskog parlamenta i Vijeća</w:t>
      </w:r>
      <w:r w:rsidRPr="00AA43E9">
        <w:rPr>
          <w:b/>
          <w:kern w:val="2"/>
          <w:vertAlign w:val="superscript"/>
          <w14:ligatures w14:val="standardContextual"/>
        </w:rPr>
        <w:footnoteReference w:id="434"/>
      </w:r>
      <w:r w:rsidRPr="00AA43E9">
        <w:rPr>
          <w:kern w:val="2"/>
          <w14:ligatures w14:val="standardContextual"/>
        </w:rPr>
        <w:t xml:space="preserve"> o zviždačima;</w:t>
      </w:r>
    </w:p>
    <w:p w14:paraId="2B828D5A"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152.</w:t>
      </w:r>
      <w:r w:rsidRPr="00AA43E9">
        <w:rPr>
          <w:kern w:val="2"/>
          <w14:ligatures w14:val="standardContextual"/>
        </w:rPr>
        <w:tab/>
        <w:t>zalaže se za sustavno uključivanje procjena rizika specifičnih za umjetnu inteligenciju u unutarnje revizije agencija, čime bi se osigurala usklađenost s etičkim smjernicama Unije i standardima kibernetičke sigurnosti; poziva na prošireni mandat ENISA-e kako bi se uključio poseban nadzor nad rizicima povezanima s upotrebom umjetne inteligencije u agencijama EU-a;</w:t>
      </w:r>
    </w:p>
    <w:p w14:paraId="4A7584AB" w14:textId="77777777" w:rsidR="00AA43E9" w:rsidRPr="00AA43E9" w:rsidRDefault="00AA43E9" w:rsidP="00AA43E9">
      <w:pPr>
        <w:spacing w:after="240"/>
        <w:ind w:left="567" w:hanging="567"/>
        <w:rPr>
          <w:iCs/>
          <w:kern w:val="2"/>
          <w14:ligatures w14:val="standardContextual"/>
        </w:rPr>
      </w:pPr>
      <w:r w:rsidRPr="00AA43E9">
        <w:rPr>
          <w:b/>
          <w:iCs/>
          <w:color w:val="000000"/>
          <w:kern w:val="2"/>
          <w14:ligatures w14:val="standardContextual"/>
        </w:rPr>
        <w:t>Održivost, utjecaj na okoliš i socijalna uključenost</w:t>
      </w:r>
    </w:p>
    <w:p w14:paraId="196F7F32" w14:textId="0D57B795" w:rsidR="00AA43E9" w:rsidRPr="00AA43E9" w:rsidRDefault="00AA43E9" w:rsidP="00AA43E9">
      <w:pPr>
        <w:spacing w:after="240"/>
        <w:ind w:left="567" w:hanging="567"/>
        <w:rPr>
          <w:kern w:val="2"/>
          <w14:ligatures w14:val="standardContextual"/>
        </w:rPr>
      </w:pPr>
      <w:r w:rsidRPr="00AA43E9">
        <w:rPr>
          <w:kern w:val="2"/>
          <w14:ligatures w14:val="standardContextual"/>
        </w:rPr>
        <w:t>153.</w:t>
      </w:r>
      <w:r w:rsidRPr="00AA43E9">
        <w:rPr>
          <w:kern w:val="2"/>
          <w14:ligatures w14:val="standardContextual"/>
        </w:rPr>
        <w:tab/>
        <w:t>napominje da je ukupno 11</w:t>
      </w:r>
      <w:r w:rsidRPr="00AA43E9">
        <w:rPr>
          <w:kern w:val="2"/>
          <w:vertAlign w:val="superscript"/>
          <w14:ligatures w14:val="standardContextual"/>
        </w:rPr>
        <w:footnoteReference w:id="435"/>
      </w:r>
      <w:r w:rsidRPr="00AA43E9">
        <w:rPr>
          <w:kern w:val="2"/>
          <w14:ligatures w14:val="standardContextual"/>
        </w:rPr>
        <w:t xml:space="preserve"> od 33 agencije EU-a (33 %) već provelo sustav upravljanja okolišem i neovisnog ocjenjivanja EU-a (EMAS); sa zadovoljstvom prima na znanje proaktivne korake koje poduzima nekoliko agencija u nastojanju da u bliskoj budućnosti dobiju certifikat EMAS-a</w:t>
      </w:r>
      <w:r w:rsidRPr="00AA43E9">
        <w:rPr>
          <w:kern w:val="2"/>
          <w:vertAlign w:val="superscript"/>
          <w14:ligatures w14:val="standardContextual"/>
        </w:rPr>
        <w:footnoteReference w:id="436"/>
      </w:r>
      <w:r w:rsidRPr="00AA43E9">
        <w:rPr>
          <w:kern w:val="2"/>
          <w14:ligatures w14:val="standardContextual"/>
        </w:rPr>
        <w:t>; napominje da neke agencije</w:t>
      </w:r>
      <w:r w:rsidRPr="00AA43E9">
        <w:rPr>
          <w:kern w:val="2"/>
          <w:vertAlign w:val="superscript"/>
          <w14:ligatures w14:val="standardContextual"/>
        </w:rPr>
        <w:footnoteReference w:id="437"/>
      </w:r>
      <w:r w:rsidRPr="00AA43E9">
        <w:rPr>
          <w:kern w:val="2"/>
          <w14:ligatures w14:val="standardContextual"/>
        </w:rPr>
        <w:t xml:space="preserve"> s većim proračunom nisu priopćile svoje planove za provedbu EMAS-a u kratkoročnom razdoblju; prima na znanje da EASA trenutačno procjenjuje instrumente za sustavno i kontinuirano poboljšanje ekološke učinkovitosti, uključujući EMAS, te da će kasnije ove godine dostaviti ažurirane informacije tijelu nadležnom za davanje razrješnice;</w:t>
      </w:r>
    </w:p>
    <w:p w14:paraId="656F6A4B"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154.</w:t>
      </w:r>
      <w:r w:rsidRPr="00AA43E9">
        <w:rPr>
          <w:kern w:val="2"/>
          <w14:ligatures w14:val="standardContextual"/>
        </w:rPr>
        <w:tab/>
        <w:t>podsjeća da je u (horizontalnom) izvješću o razrješnici za 2022. istaknuto da 14 agencija još nije imalo planove korporativne održivosti; napominje da u izvješću Revizorskog suda za financijsku godinu 2023. nisu navedeni ažurirani podaci o tom pitanju; ponavlja da je važno da sve agencije imaju uspostavljene planove korporativne održivosti; apelira na agencije da izvješćuju Komisiju o energetskoj učinkovitosti svojih zgrada;</w:t>
      </w:r>
    </w:p>
    <w:p w14:paraId="7E4DA3D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155.</w:t>
      </w:r>
      <w:r w:rsidRPr="00AA43E9">
        <w:rPr>
          <w:kern w:val="2"/>
          <w14:ligatures w14:val="standardContextual"/>
        </w:rPr>
        <w:tab/>
        <w:t>potiče Revizorski sud da redovito ažurira podatke o stanju korporativnih održivih planova u agencijama;</w:t>
      </w:r>
    </w:p>
    <w:p w14:paraId="0394A00C"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156.</w:t>
      </w:r>
      <w:r w:rsidRPr="00AA43E9">
        <w:rPr>
          <w:kern w:val="2"/>
          <w14:ligatures w14:val="standardContextual"/>
        </w:rPr>
        <w:tab/>
        <w:t>napominje da su u financijskoj godini 2023. agencije pokazale sve veću predanost ciljevima u području okoliša i održivosti; napominje da je Europska agencija za okoliš (EEA) imala ključnu ulogu u praćenju klimatskih promjena i ekološke učinkovitosti diljem Unije i izvješćivanju o njima; napominje da su agencije kao što su CINEA i EEA predvodile provedbu programa povezanih s održivošću, doprinoseći inicijativama na razini EU-a usmjerenima na smanjenje ugljičnog otiska i promicanje obnovljive energije;</w:t>
      </w:r>
    </w:p>
    <w:p w14:paraId="77CC8D8D"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157.</w:t>
      </w:r>
      <w:r w:rsidRPr="00AA43E9">
        <w:rPr>
          <w:kern w:val="2"/>
          <w14:ligatures w14:val="standardContextual"/>
        </w:rPr>
        <w:tab/>
        <w:t xml:space="preserve">sa zabrinutošću napominje da su se, unatoč općem trendu napretka, neke agencije suočile s poteškoćama pri uključivanju održivosti u svoje korporativne strategije zbog </w:t>
      </w:r>
      <w:proofErr w:type="spellStart"/>
      <w:r w:rsidRPr="00AA43E9">
        <w:rPr>
          <w:kern w:val="2"/>
          <w14:ligatures w14:val="standardContextual"/>
        </w:rPr>
        <w:t>postupovne</w:t>
      </w:r>
      <w:proofErr w:type="spellEnd"/>
      <w:r w:rsidRPr="00AA43E9">
        <w:rPr>
          <w:kern w:val="2"/>
          <w14:ligatures w14:val="standardContextual"/>
        </w:rPr>
        <w:t xml:space="preserve"> neučinkovitosti i nedovoljne dodjele sredstava; stoga naglašava potrebu za kohezivnijim i izvedivijim okvirom kako bi se osigurala dugoročna održivost u operacijama agencija;</w:t>
      </w:r>
    </w:p>
    <w:p w14:paraId="7D5F45F7" w14:textId="77777777" w:rsidR="00AA43E9" w:rsidRPr="00AA43E9" w:rsidRDefault="00AA43E9" w:rsidP="00AA43E9">
      <w:pPr>
        <w:spacing w:after="240"/>
        <w:ind w:left="567" w:hanging="567"/>
        <w:rPr>
          <w:iCs/>
          <w:kern w:val="2"/>
          <w14:ligatures w14:val="standardContextual"/>
        </w:rPr>
      </w:pPr>
      <w:r w:rsidRPr="00AA43E9">
        <w:rPr>
          <w:b/>
          <w:iCs/>
          <w:kern w:val="2"/>
          <w14:ligatures w14:val="standardContextual"/>
        </w:rPr>
        <w:t>Praćenje mjera poduzetih u pogledu primjedbi Revizorskog suda iz prijašnjih godina</w:t>
      </w:r>
    </w:p>
    <w:p w14:paraId="4B0C1CBA" w14:textId="77777777" w:rsidR="00AA43E9" w:rsidRPr="00AA43E9" w:rsidRDefault="00AA43E9" w:rsidP="00AA43E9">
      <w:pPr>
        <w:widowControl/>
        <w:spacing w:after="240"/>
        <w:ind w:left="567" w:hanging="567"/>
        <w:rPr>
          <w:bCs/>
          <w:iCs/>
          <w:kern w:val="2"/>
          <w14:ligatures w14:val="standardContextual"/>
        </w:rPr>
      </w:pPr>
      <w:r w:rsidRPr="00AA43E9">
        <w:rPr>
          <w:kern w:val="2"/>
          <w14:ligatures w14:val="standardContextual"/>
        </w:rPr>
        <w:t>158.</w:t>
      </w:r>
      <w:r w:rsidRPr="00AA43E9">
        <w:rPr>
          <w:kern w:val="2"/>
          <w14:ligatures w14:val="standardContextual"/>
        </w:rPr>
        <w:tab/>
        <w:t>konstatira da su „primjedbe” u posebnim godišnjim izvješćima o agencijama zapravo „preporuke Revizorskog suda bez vremenskih rokova”; napominje da Revizorski sud svake godine prati mjere poduzete u vezi s tim primjedbama i njihov status ocjenjuje ocjenom „otvorena” ili „zaključena” primjedba;</w:t>
      </w:r>
    </w:p>
    <w:p w14:paraId="2AB6D91F"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lastRenderedPageBreak/>
        <w:t>159.</w:t>
      </w:r>
      <w:r w:rsidRPr="00AA43E9">
        <w:rPr>
          <w:kern w:val="2"/>
          <w14:ligatures w14:val="standardContextual"/>
        </w:rPr>
        <w:tab/>
        <w:t xml:space="preserve">prima na znanje da je od ukupno 116 primjedbi Revizorskog suda koje se odnose na prethodne godine agencija koje su dio ove Rezolucije ukupno 58 zaključeno tijekom 2023., s ukupno 53 još uvijek otvorene, a pet djelomično zaključenih; primjećuje da se broj aktualnih primjedbi razlikuje među agencijama, pri čemu neke nemaju otvorene primjedbe, kao što je slučaj s Uredom BEREC-a, EBA-om, ECHA-om, EEA-om, EMSA-om, ENISA-om, EU-OSHA-om, EUSPA-om i </w:t>
      </w:r>
      <w:proofErr w:type="spellStart"/>
      <w:r w:rsidRPr="00AA43E9">
        <w:rPr>
          <w:kern w:val="2"/>
          <w14:ligatures w14:val="standardContextual"/>
        </w:rPr>
        <w:t>Eurofoundom</w:t>
      </w:r>
      <w:proofErr w:type="spellEnd"/>
      <w:r w:rsidRPr="00AA43E9">
        <w:rPr>
          <w:kern w:val="2"/>
          <w14:ligatures w14:val="standardContextual"/>
        </w:rPr>
        <w:t xml:space="preserve">, dok je najveći broj otvorenih primjedbi za agenciju </w:t>
      </w:r>
      <w:proofErr w:type="spellStart"/>
      <w:r w:rsidRPr="00AA43E9">
        <w:rPr>
          <w:kern w:val="2"/>
          <w14:ligatures w14:val="standardContextual"/>
        </w:rPr>
        <w:t>eu</w:t>
      </w:r>
      <w:proofErr w:type="spellEnd"/>
      <w:r w:rsidRPr="00AA43E9">
        <w:rPr>
          <w:kern w:val="2"/>
          <w14:ligatures w14:val="standardContextual"/>
        </w:rPr>
        <w:t xml:space="preserve">-LISA (osam primjedbi), </w:t>
      </w:r>
      <w:proofErr w:type="spellStart"/>
      <w:r w:rsidRPr="00AA43E9">
        <w:rPr>
          <w:kern w:val="2"/>
          <w14:ligatures w14:val="standardContextual"/>
        </w:rPr>
        <w:t>Frontex</w:t>
      </w:r>
      <w:proofErr w:type="spellEnd"/>
      <w:r w:rsidRPr="00AA43E9">
        <w:rPr>
          <w:kern w:val="2"/>
          <w14:ligatures w14:val="standardContextual"/>
        </w:rPr>
        <w:t xml:space="preserve"> (sedam) i ELA-u (pet); traži od tih agencija da poduzmu proaktivne mjere za rješavanje tih otvorenih pitanja;</w:t>
      </w:r>
    </w:p>
    <w:p w14:paraId="43B45407"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160.</w:t>
      </w:r>
      <w:r w:rsidRPr="00AA43E9">
        <w:rPr>
          <w:kern w:val="2"/>
          <w14:ligatures w14:val="standardContextual"/>
        </w:rPr>
        <w:tab/>
        <w:t xml:space="preserve">prima na znanje da se šest otvorenih primjedbi od njih 53 odnosi na visoku razinu prijenosa (ACER, ELA, EFCA, </w:t>
      </w:r>
      <w:proofErr w:type="spellStart"/>
      <w:r w:rsidRPr="00AA43E9">
        <w:rPr>
          <w:kern w:val="2"/>
          <w14:ligatures w14:val="standardContextual"/>
        </w:rPr>
        <w:t>eu</w:t>
      </w:r>
      <w:proofErr w:type="spellEnd"/>
      <w:r w:rsidRPr="00AA43E9">
        <w:rPr>
          <w:kern w:val="2"/>
          <w14:ligatures w14:val="standardContextual"/>
        </w:rPr>
        <w:t xml:space="preserve">-LISA, FRA i </w:t>
      </w:r>
      <w:proofErr w:type="spellStart"/>
      <w:r w:rsidRPr="00AA43E9">
        <w:rPr>
          <w:kern w:val="2"/>
          <w14:ligatures w14:val="standardContextual"/>
        </w:rPr>
        <w:t>Frontex</w:t>
      </w:r>
      <w:proofErr w:type="spellEnd"/>
      <w:r w:rsidRPr="00AA43E9">
        <w:rPr>
          <w:kern w:val="2"/>
          <w14:ligatures w14:val="standardContextual"/>
        </w:rPr>
        <w:t xml:space="preserve">); zabrinut je zbog toga što je u slučaju </w:t>
      </w:r>
      <w:proofErr w:type="spellStart"/>
      <w:r w:rsidRPr="00AA43E9">
        <w:rPr>
          <w:kern w:val="2"/>
          <w14:ligatures w14:val="standardContextual"/>
        </w:rPr>
        <w:t>Frontexa</w:t>
      </w:r>
      <w:proofErr w:type="spellEnd"/>
      <w:r w:rsidRPr="00AA43E9">
        <w:rPr>
          <w:kern w:val="2"/>
          <w14:ligatures w14:val="standardContextual"/>
        </w:rPr>
        <w:t xml:space="preserve"> ta primjedba otvorena od 2018.;</w:t>
      </w:r>
    </w:p>
    <w:p w14:paraId="78085B3E"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161.</w:t>
      </w:r>
      <w:r w:rsidRPr="00AA43E9">
        <w:rPr>
          <w:kern w:val="2"/>
          <w14:ligatures w14:val="standardContextual"/>
        </w:rPr>
        <w:tab/>
        <w:t>napominje da ERA od 2018. ima otvorenu primjedbu u pogledu naplate naknada i pristojbi za zadaće certificiranja, koje je započelo 2019.; napominje da bi u skladu s Uredbom trebalo razmotriti posebne potrebe malih i srednjih poduzeća (MSP-ova) te da se od ERA-e očekuje da provede učinkovite kontrole kako bi se provjerilo ispunjavaju li podnositelji zahtjeva uvjete za MSP-ove; poziva tu agenciju da tijelo nadležno za davanje razrješnice izvijesti o trenutačnom statusu tog pitanja i da navede razloge za njegov trajno otvoren status;</w:t>
      </w:r>
    </w:p>
    <w:p w14:paraId="73A15D65"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162.</w:t>
      </w:r>
      <w:r w:rsidRPr="00AA43E9">
        <w:rPr>
          <w:kern w:val="2"/>
          <w14:ligatures w14:val="standardContextual"/>
        </w:rPr>
        <w:tab/>
        <w:t>napominje da je EASA na temelju aktivnosti financiranih iz relevantnog sektora tijekom godina ostvarila akumulirani višak od 50 milijuna EUR, što nije predviđeno u uredbi o osnivanju te agencije; traži od Komisije da predloži rješenje na zakonodavnoj razini kako bi se riješilo to pitanje;</w:t>
      </w:r>
    </w:p>
    <w:p w14:paraId="1088DFE9" w14:textId="77777777" w:rsidR="00AA43E9" w:rsidRPr="00AA43E9" w:rsidRDefault="00AA43E9" w:rsidP="00AA43E9">
      <w:pPr>
        <w:spacing w:after="240"/>
        <w:ind w:left="567" w:hanging="567"/>
        <w:rPr>
          <w:kern w:val="2"/>
          <w14:ligatures w14:val="standardContextual"/>
        </w:rPr>
      </w:pPr>
      <w:r w:rsidRPr="00AA43E9">
        <w:rPr>
          <w:kern w:val="2"/>
          <w14:ligatures w14:val="standardContextual"/>
        </w:rPr>
        <w:t>163.</w:t>
      </w:r>
      <w:r w:rsidRPr="00AA43E9">
        <w:rPr>
          <w:kern w:val="2"/>
          <w14:ligatures w14:val="standardContextual"/>
        </w:rPr>
        <w:tab/>
        <w:t>prima na znanje da je ACER angažirao vanjske djelatnike za obavljanje dugoročnih zadaća kako bi nadoknadio manjak izravno zaposlenih članova osoblja od 2019.; poziva Komisiju da osigura dodatna zakonom propisana radna mjesta za osoblje;</w:t>
      </w:r>
    </w:p>
    <w:p w14:paraId="6E0296A1" w14:textId="77777777" w:rsidR="00AA43E9" w:rsidRPr="00AA43E9" w:rsidRDefault="00AA43E9" w:rsidP="00AA43E9">
      <w:pPr>
        <w:ind w:left="567" w:hanging="567"/>
        <w:rPr>
          <w:kern w:val="2"/>
          <w14:ligatures w14:val="standardContextual"/>
        </w:rPr>
      </w:pPr>
      <w:r w:rsidRPr="00AA43E9">
        <w:rPr>
          <w:kern w:val="2"/>
          <w14:ligatures w14:val="standardContextual"/>
        </w:rPr>
        <w:t>164.</w:t>
      </w:r>
      <w:r w:rsidRPr="00AA43E9">
        <w:rPr>
          <w:kern w:val="2"/>
          <w14:ligatures w14:val="standardContextual"/>
        </w:rPr>
        <w:tab/>
        <w:t xml:space="preserve">nalaže svojoj predsjednici da ovu Rezoluciju proslijedi agencijama koje podliježu ovom postupku razrješnice, Vijeću, Komisiji i Revizorskom sudu te da je da na objavu u </w:t>
      </w:r>
      <w:r w:rsidRPr="00AA43E9">
        <w:rPr>
          <w:i/>
          <w:kern w:val="2"/>
          <w14:ligatures w14:val="standardContextual"/>
        </w:rPr>
        <w:t>Službenom listu Europske unije</w:t>
      </w:r>
      <w:r w:rsidRPr="00AA43E9">
        <w:rPr>
          <w:kern w:val="2"/>
          <w14:ligatures w14:val="standardContextual"/>
        </w:rPr>
        <w:t xml:space="preserve"> (serija L).</w:t>
      </w:r>
    </w:p>
    <w:p w14:paraId="5F6EF7AC" w14:textId="74598609" w:rsidR="000E5A2E" w:rsidRPr="00863FBA" w:rsidRDefault="000E5A2E" w:rsidP="00AA43E9">
      <w:pPr>
        <w:pStyle w:val="NormalHanging12a"/>
      </w:pPr>
    </w:p>
    <w:sectPr w:rsidR="000E5A2E" w:rsidRPr="00863FBA" w:rsidSect="00AA43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E5D65" w14:textId="77777777" w:rsidR="00C522AE" w:rsidRPr="008A24BF" w:rsidRDefault="00C522AE">
      <w:r w:rsidRPr="008A24BF">
        <w:separator/>
      </w:r>
    </w:p>
  </w:endnote>
  <w:endnote w:type="continuationSeparator" w:id="0">
    <w:p w14:paraId="132FC618" w14:textId="77777777" w:rsidR="00C522AE" w:rsidRPr="008A24BF" w:rsidRDefault="00C522AE">
      <w:r w:rsidRPr="008A24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44CAB" w14:textId="77777777" w:rsidR="00C522AE" w:rsidRPr="008A24BF" w:rsidRDefault="00C522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5332" w14:textId="77777777" w:rsidR="00C522AE" w:rsidRPr="008A24BF" w:rsidRDefault="00C522A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39E2" w14:textId="77777777" w:rsidR="00C522AE" w:rsidRPr="008A24BF" w:rsidRDefault="00C522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1A0B4" w14:textId="77777777" w:rsidR="00C522AE" w:rsidRPr="008A24BF" w:rsidRDefault="00C522AE">
      <w:r w:rsidRPr="008A24BF">
        <w:separator/>
      </w:r>
    </w:p>
  </w:footnote>
  <w:footnote w:type="continuationSeparator" w:id="0">
    <w:p w14:paraId="41907CFB" w14:textId="77777777" w:rsidR="00C522AE" w:rsidRPr="008A24BF" w:rsidRDefault="00C522AE">
      <w:r w:rsidRPr="008A24BF">
        <w:continuationSeparator/>
      </w:r>
    </w:p>
  </w:footnote>
  <w:footnote w:id="1">
    <w:p w14:paraId="3518759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t xml:space="preserve">SL C, C/2024/6332, 24.10.2024., ELI: </w:t>
      </w:r>
      <w:hyperlink r:id="rId1" w:history="1">
        <w:r w:rsidRPr="00AA43E9">
          <w:rPr>
            <w:rStyle w:val="Hyperlink1"/>
            <w:sz w:val="24"/>
            <w:szCs w:val="24"/>
            <w:lang w:val="hr-HR"/>
          </w:rPr>
          <w:t>http://data.europa.eu/eli/C/2024/6332/oj</w:t>
        </w:r>
      </w:hyperlink>
      <w:r w:rsidRPr="00AA43E9">
        <w:rPr>
          <w:sz w:val="24"/>
          <w:szCs w:val="24"/>
          <w:lang w:val="hr-HR"/>
        </w:rPr>
        <w:t>.</w:t>
      </w:r>
    </w:p>
  </w:footnote>
  <w:footnote w:id="2">
    <w:p w14:paraId="0663DF9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 w:history="1">
        <w:r w:rsidRPr="00AA43E9">
          <w:rPr>
            <w:rStyle w:val="Hyperlink1"/>
            <w:sz w:val="24"/>
            <w:szCs w:val="24"/>
            <w:lang w:val="hr-HR"/>
          </w:rPr>
          <w:t>http://data.europa.eu/eli/C/2024/6041/oj</w:t>
        </w:r>
      </w:hyperlink>
      <w:r w:rsidRPr="00AA43E9">
        <w:rPr>
          <w:sz w:val="24"/>
          <w:szCs w:val="24"/>
          <w:lang w:val="hr-HR"/>
        </w:rPr>
        <w:t>.</w:t>
      </w:r>
    </w:p>
  </w:footnote>
  <w:footnote w:id="3">
    <w:p w14:paraId="4085BDD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L 193, 30.7.2018., str. 1., ELI: </w:t>
      </w:r>
      <w:hyperlink r:id="rId3" w:history="1">
        <w:r w:rsidRPr="00AA43E9">
          <w:rPr>
            <w:rStyle w:val="Hyperlink1"/>
            <w:sz w:val="24"/>
            <w:szCs w:val="24"/>
            <w:lang w:val="hr-HR"/>
          </w:rPr>
          <w:t>http://data.europa.eu/eli/reg/2018/1046/oj</w:t>
        </w:r>
      </w:hyperlink>
      <w:r w:rsidRPr="00AA43E9">
        <w:rPr>
          <w:sz w:val="24"/>
          <w:szCs w:val="24"/>
          <w:lang w:val="hr-HR"/>
        </w:rPr>
        <w:t>.</w:t>
      </w:r>
    </w:p>
  </w:footnote>
  <w:footnote w:id="4">
    <w:p w14:paraId="65D078A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5">
    <w:p w14:paraId="09B0BA0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158, 14.6.2019., str. 22., ELI: </w:t>
      </w:r>
      <w:hyperlink r:id="rId5" w:history="1">
        <w:r w:rsidRPr="00AA43E9">
          <w:rPr>
            <w:rStyle w:val="Hyperlink1"/>
            <w:sz w:val="24"/>
            <w:szCs w:val="24"/>
            <w:lang w:val="hr-HR"/>
          </w:rPr>
          <w:t>http://data.europa.eu/eli/reg/2019/942/oj</w:t>
        </w:r>
      </w:hyperlink>
      <w:r w:rsidRPr="00AA43E9">
        <w:rPr>
          <w:sz w:val="24"/>
          <w:szCs w:val="24"/>
          <w:lang w:val="hr-HR"/>
        </w:rPr>
        <w:t>.</w:t>
      </w:r>
    </w:p>
  </w:footnote>
  <w:footnote w:id="6">
    <w:p w14:paraId="5BDDEDA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6" w:history="1">
        <w:r w:rsidRPr="00AA43E9">
          <w:rPr>
            <w:rStyle w:val="Hyperlink1"/>
            <w:sz w:val="24"/>
            <w:szCs w:val="24"/>
            <w:lang w:val="hr-HR"/>
          </w:rPr>
          <w:t>http://data.europa.eu/eli/reg_del/2019/715/oj</w:t>
        </w:r>
      </w:hyperlink>
      <w:r w:rsidRPr="00AA43E9">
        <w:rPr>
          <w:sz w:val="24"/>
          <w:szCs w:val="24"/>
          <w:lang w:val="hr-HR"/>
        </w:rPr>
        <w:t>.</w:t>
      </w:r>
    </w:p>
  </w:footnote>
  <w:footnote w:id="7">
    <w:p w14:paraId="6BF2AEE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7" w:history="1">
        <w:r w:rsidRPr="00AA43E9">
          <w:rPr>
            <w:rStyle w:val="Hyperlink1"/>
            <w:sz w:val="24"/>
            <w:szCs w:val="24"/>
            <w:lang w:val="hr-HR"/>
          </w:rPr>
          <w:t>http://data.europa.eu/eli/C/2024/6332/oj</w:t>
        </w:r>
      </w:hyperlink>
      <w:r w:rsidRPr="00AA43E9">
        <w:rPr>
          <w:sz w:val="24"/>
          <w:szCs w:val="24"/>
          <w:lang w:val="hr-HR"/>
        </w:rPr>
        <w:t>.</w:t>
      </w:r>
    </w:p>
  </w:footnote>
  <w:footnote w:id="8">
    <w:p w14:paraId="582BC2B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8" w:history="1">
        <w:r w:rsidRPr="00AA43E9">
          <w:rPr>
            <w:rStyle w:val="Hyperlink1"/>
            <w:sz w:val="24"/>
            <w:szCs w:val="24"/>
            <w:lang w:val="hr-HR"/>
          </w:rPr>
          <w:t>http://data.europa.eu/eli/C/2024/6041/oj</w:t>
        </w:r>
      </w:hyperlink>
      <w:r w:rsidRPr="00AA43E9">
        <w:rPr>
          <w:sz w:val="24"/>
          <w:szCs w:val="24"/>
          <w:lang w:val="hr-HR"/>
        </w:rPr>
        <w:t>.</w:t>
      </w:r>
    </w:p>
  </w:footnote>
  <w:footnote w:id="9">
    <w:p w14:paraId="21D972F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9" w:history="1">
        <w:r w:rsidRPr="00AA43E9">
          <w:rPr>
            <w:rStyle w:val="Hyperlink1"/>
            <w:sz w:val="24"/>
            <w:szCs w:val="24"/>
            <w:lang w:val="hr-HR"/>
          </w:rPr>
          <w:t>http://data.europa.eu/eli/reg/2018/1046/oj</w:t>
        </w:r>
      </w:hyperlink>
      <w:r w:rsidRPr="00AA43E9">
        <w:rPr>
          <w:sz w:val="24"/>
          <w:szCs w:val="24"/>
          <w:lang w:val="hr-HR"/>
        </w:rPr>
        <w:t>.</w:t>
      </w:r>
    </w:p>
  </w:footnote>
  <w:footnote w:id="10">
    <w:p w14:paraId="2E1D60E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1">
    <w:p w14:paraId="381C381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158, 14.6.2019., str. 22., ELI: </w:t>
      </w:r>
      <w:hyperlink r:id="rId11" w:history="1">
        <w:r w:rsidRPr="00AA43E9">
          <w:rPr>
            <w:rStyle w:val="Hyperlink1"/>
            <w:sz w:val="24"/>
            <w:szCs w:val="24"/>
            <w:lang w:val="hr-HR"/>
          </w:rPr>
          <w:t>http://data.europa.eu/eli/reg/2019/942/oj</w:t>
        </w:r>
      </w:hyperlink>
      <w:r w:rsidRPr="00AA43E9">
        <w:rPr>
          <w:sz w:val="24"/>
          <w:szCs w:val="24"/>
          <w:lang w:val="hr-HR"/>
        </w:rPr>
        <w:t>.</w:t>
      </w:r>
    </w:p>
  </w:footnote>
  <w:footnote w:id="12">
    <w:p w14:paraId="2DA0BBF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2" w:history="1">
        <w:r w:rsidRPr="00AA43E9">
          <w:rPr>
            <w:rStyle w:val="Hyperlink1"/>
            <w:sz w:val="24"/>
            <w:szCs w:val="24"/>
            <w:lang w:val="hr-HR"/>
          </w:rPr>
          <w:t>http://data.europa.eu/eli/reg_del/2019/715/oj</w:t>
        </w:r>
      </w:hyperlink>
      <w:r w:rsidRPr="00AA43E9">
        <w:rPr>
          <w:sz w:val="24"/>
          <w:szCs w:val="24"/>
          <w:lang w:val="hr-HR"/>
        </w:rPr>
        <w:t>.</w:t>
      </w:r>
    </w:p>
  </w:footnote>
  <w:footnote w:id="13">
    <w:p w14:paraId="0A571AD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3" w:history="1">
        <w:r w:rsidRPr="00AA43E9">
          <w:rPr>
            <w:rStyle w:val="Hyperlink1"/>
            <w:sz w:val="24"/>
            <w:szCs w:val="24"/>
            <w:lang w:val="hr-HR"/>
          </w:rPr>
          <w:t>http://data.europa.eu/eli/C/2024/6332/oj</w:t>
        </w:r>
      </w:hyperlink>
      <w:r w:rsidRPr="00AA43E9">
        <w:rPr>
          <w:sz w:val="24"/>
          <w:szCs w:val="24"/>
          <w:lang w:val="hr-HR"/>
        </w:rPr>
        <w:t>.</w:t>
      </w:r>
    </w:p>
  </w:footnote>
  <w:footnote w:id="14">
    <w:p w14:paraId="4AAD817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4" w:history="1">
        <w:r w:rsidRPr="00AA43E9">
          <w:rPr>
            <w:rStyle w:val="Hyperlink1"/>
            <w:sz w:val="24"/>
            <w:szCs w:val="24"/>
            <w:lang w:val="hr-HR"/>
          </w:rPr>
          <w:t>http://data.europa.eu/eli/C/2024/6041/oj</w:t>
        </w:r>
      </w:hyperlink>
      <w:r w:rsidRPr="00AA43E9">
        <w:rPr>
          <w:sz w:val="24"/>
          <w:szCs w:val="24"/>
          <w:lang w:val="hr-HR"/>
        </w:rPr>
        <w:t>.</w:t>
      </w:r>
    </w:p>
  </w:footnote>
  <w:footnote w:id="15">
    <w:p w14:paraId="7D4CD0D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5" w:history="1">
        <w:r w:rsidRPr="00AA43E9">
          <w:rPr>
            <w:rStyle w:val="Hyperlink1"/>
            <w:sz w:val="24"/>
            <w:szCs w:val="24"/>
            <w:lang w:val="hr-HR"/>
          </w:rPr>
          <w:t>http://data.europa.eu/eli/reg/2018/1046/oj</w:t>
        </w:r>
      </w:hyperlink>
      <w:r w:rsidRPr="00AA43E9">
        <w:rPr>
          <w:sz w:val="24"/>
          <w:szCs w:val="24"/>
          <w:lang w:val="hr-HR"/>
        </w:rPr>
        <w:t>.</w:t>
      </w:r>
    </w:p>
  </w:footnote>
  <w:footnote w:id="16">
    <w:p w14:paraId="06F5297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7">
    <w:p w14:paraId="064588A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321, 17.12.2018., str. 1., ELI: </w:t>
      </w:r>
      <w:hyperlink r:id="rId17" w:history="1">
        <w:r w:rsidRPr="00AA43E9">
          <w:rPr>
            <w:rStyle w:val="Hyperlink1"/>
            <w:sz w:val="24"/>
            <w:szCs w:val="24"/>
            <w:lang w:val="hr-HR"/>
          </w:rPr>
          <w:t>http://data.europa.eu/eli/reg/2018/1971/oj</w:t>
        </w:r>
      </w:hyperlink>
      <w:r w:rsidRPr="00AA43E9">
        <w:rPr>
          <w:sz w:val="24"/>
          <w:szCs w:val="24"/>
          <w:lang w:val="hr-HR"/>
        </w:rPr>
        <w:t>.</w:t>
      </w:r>
    </w:p>
  </w:footnote>
  <w:footnote w:id="18">
    <w:p w14:paraId="3497A21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8" w:history="1">
        <w:r w:rsidRPr="00AA43E9">
          <w:rPr>
            <w:rStyle w:val="Hyperlink1"/>
            <w:sz w:val="24"/>
            <w:szCs w:val="24"/>
            <w:lang w:val="hr-HR"/>
          </w:rPr>
          <w:t>http://data.europa.eu/eli/reg_del/2019/715/oj</w:t>
        </w:r>
      </w:hyperlink>
      <w:r w:rsidRPr="00AA43E9">
        <w:rPr>
          <w:sz w:val="24"/>
          <w:szCs w:val="24"/>
          <w:lang w:val="hr-HR"/>
        </w:rPr>
        <w:t>.</w:t>
      </w:r>
    </w:p>
  </w:footnote>
  <w:footnote w:id="19">
    <w:p w14:paraId="3832342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9" w:history="1">
        <w:r w:rsidRPr="00AA43E9">
          <w:rPr>
            <w:rStyle w:val="Hyperlink1"/>
            <w:sz w:val="24"/>
            <w:szCs w:val="24"/>
            <w:lang w:val="hr-HR"/>
          </w:rPr>
          <w:t>http://data.europa.eu/eli/C/2024/6332/oj</w:t>
        </w:r>
      </w:hyperlink>
      <w:r w:rsidRPr="00AA43E9">
        <w:rPr>
          <w:sz w:val="24"/>
          <w:szCs w:val="24"/>
          <w:lang w:val="hr-HR"/>
        </w:rPr>
        <w:t>.</w:t>
      </w:r>
    </w:p>
  </w:footnote>
  <w:footnote w:id="20">
    <w:p w14:paraId="7906C5C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0" w:history="1">
        <w:r w:rsidRPr="00AA43E9">
          <w:rPr>
            <w:rStyle w:val="Hyperlink1"/>
            <w:sz w:val="24"/>
            <w:szCs w:val="24"/>
            <w:lang w:val="hr-HR"/>
          </w:rPr>
          <w:t>http://data.europa.eu/eli/C/2024/6041/oj</w:t>
        </w:r>
      </w:hyperlink>
      <w:r w:rsidRPr="00AA43E9">
        <w:rPr>
          <w:sz w:val="24"/>
          <w:szCs w:val="24"/>
          <w:lang w:val="hr-HR"/>
        </w:rPr>
        <w:t>.</w:t>
      </w:r>
    </w:p>
  </w:footnote>
  <w:footnote w:id="21">
    <w:p w14:paraId="13DE63C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1" w:history="1">
        <w:r w:rsidRPr="00AA43E9">
          <w:rPr>
            <w:rStyle w:val="Hyperlink1"/>
            <w:sz w:val="24"/>
            <w:szCs w:val="24"/>
            <w:lang w:val="hr-HR"/>
          </w:rPr>
          <w:t>http://data.europa.eu/eli/reg/2018/1046/oj</w:t>
        </w:r>
      </w:hyperlink>
      <w:r w:rsidRPr="00AA43E9">
        <w:rPr>
          <w:sz w:val="24"/>
          <w:szCs w:val="24"/>
          <w:lang w:val="hr-HR"/>
        </w:rPr>
        <w:t>.</w:t>
      </w:r>
    </w:p>
  </w:footnote>
  <w:footnote w:id="22">
    <w:p w14:paraId="55A7505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3">
    <w:p w14:paraId="0EC2F60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321, 17.12.2018., str. 1., ELI: </w:t>
      </w:r>
      <w:hyperlink r:id="rId23" w:history="1">
        <w:r w:rsidRPr="00AA43E9">
          <w:rPr>
            <w:rStyle w:val="Hyperlink1"/>
            <w:sz w:val="24"/>
            <w:szCs w:val="24"/>
            <w:lang w:val="hr-HR"/>
          </w:rPr>
          <w:t>http://data.europa.eu/eli/reg/2018/1971/oj</w:t>
        </w:r>
      </w:hyperlink>
      <w:r w:rsidRPr="00AA43E9">
        <w:rPr>
          <w:sz w:val="24"/>
          <w:szCs w:val="24"/>
          <w:lang w:val="hr-HR"/>
        </w:rPr>
        <w:t>.</w:t>
      </w:r>
    </w:p>
  </w:footnote>
  <w:footnote w:id="24">
    <w:p w14:paraId="68650FC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4" w:history="1">
        <w:r w:rsidRPr="00AA43E9">
          <w:rPr>
            <w:rStyle w:val="Hyperlink1"/>
            <w:sz w:val="24"/>
            <w:szCs w:val="24"/>
            <w:lang w:val="hr-HR"/>
          </w:rPr>
          <w:t>http://data.europa.eu/eli/reg_del/2019/715/oj</w:t>
        </w:r>
      </w:hyperlink>
      <w:r w:rsidRPr="00AA43E9">
        <w:rPr>
          <w:sz w:val="24"/>
          <w:szCs w:val="24"/>
          <w:lang w:val="hr-HR"/>
        </w:rPr>
        <w:t>.</w:t>
      </w:r>
    </w:p>
  </w:footnote>
  <w:footnote w:id="25">
    <w:p w14:paraId="081B501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5" w:history="1">
        <w:r w:rsidRPr="00AA43E9">
          <w:rPr>
            <w:rStyle w:val="Hyperlink1"/>
            <w:sz w:val="24"/>
            <w:szCs w:val="24"/>
            <w:lang w:val="hr-HR"/>
          </w:rPr>
          <w:t>http://data.europa.eu/eli/C/2024/6332/oj</w:t>
        </w:r>
      </w:hyperlink>
      <w:r w:rsidRPr="00AA43E9">
        <w:rPr>
          <w:sz w:val="24"/>
          <w:szCs w:val="24"/>
          <w:lang w:val="hr-HR"/>
        </w:rPr>
        <w:t>.</w:t>
      </w:r>
    </w:p>
  </w:footnote>
  <w:footnote w:id="26">
    <w:p w14:paraId="1ADB389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6" w:history="1">
        <w:r w:rsidRPr="00AA43E9">
          <w:rPr>
            <w:rStyle w:val="Hyperlink1"/>
            <w:sz w:val="24"/>
            <w:szCs w:val="24"/>
            <w:lang w:val="hr-HR"/>
          </w:rPr>
          <w:t>http://data.europa.eu/eli/C/2024/6041/oj</w:t>
        </w:r>
      </w:hyperlink>
      <w:r w:rsidRPr="00AA43E9">
        <w:rPr>
          <w:sz w:val="24"/>
          <w:szCs w:val="24"/>
          <w:lang w:val="hr-HR"/>
        </w:rPr>
        <w:t>.</w:t>
      </w:r>
    </w:p>
  </w:footnote>
  <w:footnote w:id="27">
    <w:p w14:paraId="6716332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7" w:history="1">
        <w:r w:rsidRPr="00AA43E9">
          <w:rPr>
            <w:rStyle w:val="Hyperlink1"/>
            <w:sz w:val="24"/>
            <w:szCs w:val="24"/>
            <w:lang w:val="hr-HR"/>
          </w:rPr>
          <w:t>http://data.europa.eu/eli/reg/2018/1046/oj</w:t>
        </w:r>
      </w:hyperlink>
      <w:r w:rsidRPr="00AA43E9">
        <w:rPr>
          <w:sz w:val="24"/>
          <w:szCs w:val="24"/>
          <w:lang w:val="hr-HR"/>
        </w:rPr>
        <w:t>.</w:t>
      </w:r>
    </w:p>
  </w:footnote>
  <w:footnote w:id="28">
    <w:p w14:paraId="59B5FBA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9">
    <w:p w14:paraId="3584C36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314, 7.12.1994., str. 1., ELI: </w:t>
      </w:r>
      <w:hyperlink r:id="rId29" w:history="1">
        <w:r w:rsidRPr="00AA43E9">
          <w:rPr>
            <w:rStyle w:val="Hyperlink1"/>
            <w:sz w:val="24"/>
            <w:szCs w:val="24"/>
            <w:lang w:val="hr-HR"/>
          </w:rPr>
          <w:t>http://data.europa.eu/eli/reg/1994/2965/oj</w:t>
        </w:r>
      </w:hyperlink>
      <w:r w:rsidRPr="00AA43E9">
        <w:rPr>
          <w:sz w:val="24"/>
          <w:szCs w:val="24"/>
          <w:lang w:val="hr-HR"/>
        </w:rPr>
        <w:t>.</w:t>
      </w:r>
    </w:p>
  </w:footnote>
  <w:footnote w:id="30">
    <w:p w14:paraId="4149696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0" w:history="1">
        <w:r w:rsidRPr="00AA43E9">
          <w:rPr>
            <w:rStyle w:val="Hyperlink1"/>
            <w:sz w:val="24"/>
            <w:szCs w:val="24"/>
            <w:lang w:val="hr-HR"/>
          </w:rPr>
          <w:t>http://data.europa.eu/eli/reg_del/2019/715/oj</w:t>
        </w:r>
      </w:hyperlink>
      <w:r w:rsidRPr="00AA43E9">
        <w:rPr>
          <w:sz w:val="24"/>
          <w:szCs w:val="24"/>
          <w:lang w:val="hr-HR"/>
        </w:rPr>
        <w:t>.</w:t>
      </w:r>
    </w:p>
  </w:footnote>
  <w:footnote w:id="31">
    <w:p w14:paraId="385CD76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1" w:history="1">
        <w:r w:rsidRPr="00AA43E9">
          <w:rPr>
            <w:rStyle w:val="Hyperlink1"/>
            <w:sz w:val="24"/>
            <w:szCs w:val="24"/>
            <w:lang w:val="hr-HR"/>
          </w:rPr>
          <w:t>http://data.europa.eu/eli/C/2024/6332/oj</w:t>
        </w:r>
      </w:hyperlink>
      <w:r w:rsidRPr="00AA43E9">
        <w:rPr>
          <w:sz w:val="24"/>
          <w:szCs w:val="24"/>
          <w:lang w:val="hr-HR"/>
        </w:rPr>
        <w:t>.</w:t>
      </w:r>
    </w:p>
  </w:footnote>
  <w:footnote w:id="32">
    <w:p w14:paraId="5CC14FF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2" w:history="1">
        <w:r w:rsidRPr="00AA43E9">
          <w:rPr>
            <w:rStyle w:val="Hyperlink1"/>
            <w:sz w:val="24"/>
            <w:szCs w:val="24"/>
            <w:lang w:val="hr-HR"/>
          </w:rPr>
          <w:t>http://data.europa.eu/eli/C/2024/6041/oj</w:t>
        </w:r>
      </w:hyperlink>
      <w:r w:rsidRPr="00AA43E9">
        <w:rPr>
          <w:sz w:val="24"/>
          <w:szCs w:val="24"/>
          <w:lang w:val="hr-HR"/>
        </w:rPr>
        <w:t>.</w:t>
      </w:r>
    </w:p>
  </w:footnote>
  <w:footnote w:id="33">
    <w:p w14:paraId="7F2632C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3" w:history="1">
        <w:r w:rsidRPr="00AA43E9">
          <w:rPr>
            <w:rStyle w:val="Hyperlink1"/>
            <w:sz w:val="24"/>
            <w:szCs w:val="24"/>
            <w:lang w:val="hr-HR"/>
          </w:rPr>
          <w:t>http://data.europa.eu/eli/reg/2018/1046/oj</w:t>
        </w:r>
      </w:hyperlink>
      <w:r w:rsidRPr="00AA43E9">
        <w:rPr>
          <w:sz w:val="24"/>
          <w:szCs w:val="24"/>
          <w:lang w:val="hr-HR"/>
        </w:rPr>
        <w:t>.</w:t>
      </w:r>
    </w:p>
  </w:footnote>
  <w:footnote w:id="34">
    <w:p w14:paraId="77774AB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5">
    <w:p w14:paraId="367A5ED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314, 7.12.1994., str. 1., ELI: </w:t>
      </w:r>
      <w:hyperlink r:id="rId35" w:history="1">
        <w:r w:rsidRPr="00AA43E9">
          <w:rPr>
            <w:rStyle w:val="Hyperlink1"/>
            <w:sz w:val="24"/>
            <w:szCs w:val="24"/>
            <w:lang w:val="hr-HR"/>
          </w:rPr>
          <w:t>http://data.europa.eu/eli/reg/1994/2965/oj</w:t>
        </w:r>
      </w:hyperlink>
      <w:r w:rsidRPr="00AA43E9">
        <w:rPr>
          <w:sz w:val="24"/>
          <w:szCs w:val="24"/>
          <w:lang w:val="hr-HR"/>
        </w:rPr>
        <w:t>.</w:t>
      </w:r>
    </w:p>
  </w:footnote>
  <w:footnote w:id="36">
    <w:p w14:paraId="0F96456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6" w:history="1">
        <w:r w:rsidRPr="00AA43E9">
          <w:rPr>
            <w:rStyle w:val="Hyperlink1"/>
            <w:sz w:val="24"/>
            <w:szCs w:val="24"/>
            <w:lang w:val="hr-HR"/>
          </w:rPr>
          <w:t>http://data.europa.eu/eli/reg_del/2019/715/oj</w:t>
        </w:r>
      </w:hyperlink>
      <w:r w:rsidRPr="00AA43E9">
        <w:rPr>
          <w:sz w:val="24"/>
          <w:szCs w:val="24"/>
          <w:lang w:val="hr-HR"/>
        </w:rPr>
        <w:t>.</w:t>
      </w:r>
    </w:p>
  </w:footnote>
  <w:footnote w:id="37">
    <w:p w14:paraId="12F0BF8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7" w:history="1">
        <w:r w:rsidRPr="00AA43E9">
          <w:rPr>
            <w:rStyle w:val="Hyperlink1"/>
            <w:sz w:val="24"/>
            <w:szCs w:val="24"/>
            <w:lang w:val="hr-HR"/>
          </w:rPr>
          <w:t>http://data.europa.eu/eli/C/2024/6332/oj</w:t>
        </w:r>
      </w:hyperlink>
      <w:r w:rsidRPr="00AA43E9">
        <w:rPr>
          <w:sz w:val="24"/>
          <w:szCs w:val="24"/>
          <w:lang w:val="hr-HR"/>
        </w:rPr>
        <w:t>.</w:t>
      </w:r>
    </w:p>
  </w:footnote>
  <w:footnote w:id="38">
    <w:p w14:paraId="38F092B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8" w:history="1">
        <w:r w:rsidRPr="00AA43E9">
          <w:rPr>
            <w:rStyle w:val="Hyperlink1"/>
            <w:sz w:val="24"/>
            <w:szCs w:val="24"/>
            <w:lang w:val="hr-HR"/>
          </w:rPr>
          <w:t>http://data.europa.eu/eli/C/2024/6041/oj</w:t>
        </w:r>
      </w:hyperlink>
      <w:r w:rsidRPr="00AA43E9">
        <w:rPr>
          <w:sz w:val="24"/>
          <w:szCs w:val="24"/>
          <w:lang w:val="hr-HR"/>
        </w:rPr>
        <w:t>.</w:t>
      </w:r>
    </w:p>
  </w:footnote>
  <w:footnote w:id="39">
    <w:p w14:paraId="0038FC7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9" w:history="1">
        <w:r w:rsidRPr="00AA43E9">
          <w:rPr>
            <w:rStyle w:val="Hyperlink1"/>
            <w:sz w:val="24"/>
            <w:szCs w:val="24"/>
            <w:lang w:val="hr-HR"/>
          </w:rPr>
          <w:t>http://data.europa.eu/eli/reg/2018/1046/oj</w:t>
        </w:r>
      </w:hyperlink>
      <w:r w:rsidRPr="00AA43E9">
        <w:rPr>
          <w:sz w:val="24"/>
          <w:szCs w:val="24"/>
          <w:lang w:val="hr-HR"/>
        </w:rPr>
        <w:t>.</w:t>
      </w:r>
    </w:p>
  </w:footnote>
  <w:footnote w:id="40">
    <w:p w14:paraId="253A9C2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4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41">
    <w:p w14:paraId="54864B9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30, 31.1.2019., str. 90., ELI: </w:t>
      </w:r>
      <w:hyperlink r:id="rId41" w:history="1">
        <w:r w:rsidRPr="00AA43E9">
          <w:rPr>
            <w:rStyle w:val="Hyperlink1"/>
            <w:sz w:val="24"/>
            <w:szCs w:val="24"/>
            <w:lang w:val="hr-HR"/>
          </w:rPr>
          <w:t>http://data.europa.eu/eli/reg/2019/128/oj</w:t>
        </w:r>
      </w:hyperlink>
      <w:r w:rsidRPr="00AA43E9">
        <w:rPr>
          <w:sz w:val="24"/>
          <w:szCs w:val="24"/>
          <w:lang w:val="hr-HR"/>
        </w:rPr>
        <w:t>.</w:t>
      </w:r>
    </w:p>
  </w:footnote>
  <w:footnote w:id="42">
    <w:p w14:paraId="3F0F58B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42" w:history="1">
        <w:r w:rsidRPr="00AA43E9">
          <w:rPr>
            <w:rStyle w:val="Hyperlink1"/>
            <w:sz w:val="24"/>
            <w:szCs w:val="24"/>
            <w:lang w:val="hr-HR"/>
          </w:rPr>
          <w:t>http://data.europa.eu/eli/reg_del/2019/715/oj</w:t>
        </w:r>
      </w:hyperlink>
      <w:r w:rsidRPr="00AA43E9">
        <w:rPr>
          <w:sz w:val="24"/>
          <w:szCs w:val="24"/>
          <w:lang w:val="hr-HR"/>
        </w:rPr>
        <w:t>.</w:t>
      </w:r>
    </w:p>
  </w:footnote>
  <w:footnote w:id="43">
    <w:p w14:paraId="4ACA60E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43" w:history="1">
        <w:r w:rsidRPr="00AA43E9">
          <w:rPr>
            <w:rStyle w:val="Hyperlink1"/>
            <w:sz w:val="24"/>
            <w:szCs w:val="24"/>
            <w:lang w:val="hr-HR"/>
          </w:rPr>
          <w:t>http://data.europa.eu/eli/C/2024/6332/oj</w:t>
        </w:r>
      </w:hyperlink>
      <w:r w:rsidRPr="00AA43E9">
        <w:rPr>
          <w:sz w:val="24"/>
          <w:szCs w:val="24"/>
          <w:lang w:val="hr-HR"/>
        </w:rPr>
        <w:t>.</w:t>
      </w:r>
    </w:p>
  </w:footnote>
  <w:footnote w:id="44">
    <w:p w14:paraId="50F47F9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44" w:history="1">
        <w:r w:rsidRPr="00AA43E9">
          <w:rPr>
            <w:rStyle w:val="Hyperlink1"/>
            <w:sz w:val="24"/>
            <w:szCs w:val="24"/>
            <w:lang w:val="hr-HR"/>
          </w:rPr>
          <w:t>http://data.europa.eu/eli/C/2024/6041/oj</w:t>
        </w:r>
      </w:hyperlink>
      <w:r w:rsidRPr="00AA43E9">
        <w:rPr>
          <w:sz w:val="24"/>
          <w:szCs w:val="24"/>
          <w:lang w:val="hr-HR"/>
        </w:rPr>
        <w:t>.</w:t>
      </w:r>
    </w:p>
  </w:footnote>
  <w:footnote w:id="45">
    <w:p w14:paraId="4ED0BA5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45" w:history="1">
        <w:r w:rsidRPr="00AA43E9">
          <w:rPr>
            <w:rStyle w:val="Hyperlink1"/>
            <w:sz w:val="24"/>
            <w:szCs w:val="24"/>
            <w:lang w:val="hr-HR"/>
          </w:rPr>
          <w:t>http://data.europa.eu/eli/reg/2018/1046/oj</w:t>
        </w:r>
      </w:hyperlink>
      <w:r w:rsidRPr="00AA43E9">
        <w:rPr>
          <w:sz w:val="24"/>
          <w:szCs w:val="24"/>
          <w:lang w:val="hr-HR"/>
        </w:rPr>
        <w:t>.</w:t>
      </w:r>
    </w:p>
  </w:footnote>
  <w:footnote w:id="46">
    <w:p w14:paraId="3889BC0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4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47">
    <w:p w14:paraId="16FF2E4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30, 31.1.2019., str. 90., ELI: </w:t>
      </w:r>
      <w:hyperlink r:id="rId47" w:history="1">
        <w:r w:rsidRPr="00AA43E9">
          <w:rPr>
            <w:rStyle w:val="Hyperlink1"/>
            <w:sz w:val="24"/>
            <w:szCs w:val="24"/>
            <w:lang w:val="hr-HR"/>
          </w:rPr>
          <w:t>http://data.europa.eu/eli/reg/2019/128/oj</w:t>
        </w:r>
      </w:hyperlink>
      <w:r w:rsidRPr="00AA43E9">
        <w:rPr>
          <w:sz w:val="24"/>
          <w:szCs w:val="24"/>
          <w:lang w:val="hr-HR"/>
        </w:rPr>
        <w:t>.</w:t>
      </w:r>
    </w:p>
  </w:footnote>
  <w:footnote w:id="48">
    <w:p w14:paraId="569E926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48" w:history="1">
        <w:r w:rsidRPr="00AA43E9">
          <w:rPr>
            <w:rStyle w:val="Hyperlink1"/>
            <w:sz w:val="24"/>
            <w:szCs w:val="24"/>
            <w:lang w:val="hr-HR"/>
          </w:rPr>
          <w:t>http://data.europa.eu/eli/reg_del/2019/715/oj</w:t>
        </w:r>
      </w:hyperlink>
      <w:r w:rsidRPr="00AA43E9">
        <w:rPr>
          <w:sz w:val="24"/>
          <w:szCs w:val="24"/>
          <w:lang w:val="hr-HR"/>
        </w:rPr>
        <w:t>.</w:t>
      </w:r>
    </w:p>
  </w:footnote>
  <w:footnote w:id="49">
    <w:p w14:paraId="1C62B5D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49" w:history="1">
        <w:r w:rsidRPr="00AA43E9">
          <w:rPr>
            <w:rStyle w:val="Hyperlink1"/>
            <w:sz w:val="24"/>
            <w:szCs w:val="24"/>
            <w:lang w:val="hr-HR"/>
          </w:rPr>
          <w:t>http://data.europa.eu/eli/C/2024/6332/oj</w:t>
        </w:r>
      </w:hyperlink>
      <w:r w:rsidRPr="00AA43E9">
        <w:rPr>
          <w:sz w:val="24"/>
          <w:szCs w:val="24"/>
          <w:lang w:val="hr-HR"/>
        </w:rPr>
        <w:t>.</w:t>
      </w:r>
    </w:p>
  </w:footnote>
  <w:footnote w:id="50">
    <w:p w14:paraId="11E68C5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50" w:history="1">
        <w:r w:rsidRPr="00AA43E9">
          <w:rPr>
            <w:rStyle w:val="Hyperlink1"/>
            <w:sz w:val="24"/>
            <w:szCs w:val="24"/>
            <w:lang w:val="hr-HR"/>
          </w:rPr>
          <w:t>http://data.europa.eu/eli/C/2024/6041/oj</w:t>
        </w:r>
      </w:hyperlink>
      <w:r w:rsidRPr="00AA43E9">
        <w:rPr>
          <w:sz w:val="24"/>
          <w:szCs w:val="24"/>
          <w:lang w:val="hr-HR"/>
        </w:rPr>
        <w:t>.</w:t>
      </w:r>
    </w:p>
  </w:footnote>
  <w:footnote w:id="51">
    <w:p w14:paraId="54A3996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51" w:history="1">
        <w:r w:rsidRPr="00AA43E9">
          <w:rPr>
            <w:rStyle w:val="Hyperlink1"/>
            <w:sz w:val="24"/>
            <w:szCs w:val="24"/>
            <w:lang w:val="hr-HR"/>
          </w:rPr>
          <w:t>http://data.europa.eu/eli/reg/2018/1046/oj</w:t>
        </w:r>
      </w:hyperlink>
      <w:r w:rsidRPr="00AA43E9">
        <w:rPr>
          <w:sz w:val="24"/>
          <w:szCs w:val="24"/>
          <w:lang w:val="hr-HR"/>
        </w:rPr>
        <w:t>.</w:t>
      </w:r>
    </w:p>
  </w:footnote>
  <w:footnote w:id="52">
    <w:p w14:paraId="234131E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5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53">
    <w:p w14:paraId="17234B5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319, 4.12.2015., str. 1., ELI: </w:t>
      </w:r>
      <w:hyperlink r:id="rId53" w:history="1">
        <w:r w:rsidRPr="00AA43E9">
          <w:rPr>
            <w:rStyle w:val="Hyperlink1"/>
            <w:sz w:val="24"/>
            <w:szCs w:val="24"/>
            <w:lang w:val="hr-HR"/>
          </w:rPr>
          <w:t>http://data.europa.eu/eli/reg/2015/2219/oj</w:t>
        </w:r>
      </w:hyperlink>
      <w:r w:rsidRPr="00AA43E9">
        <w:rPr>
          <w:sz w:val="24"/>
          <w:szCs w:val="24"/>
          <w:lang w:val="hr-HR"/>
        </w:rPr>
        <w:t>.</w:t>
      </w:r>
    </w:p>
  </w:footnote>
  <w:footnote w:id="54">
    <w:p w14:paraId="400D66A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54" w:history="1">
        <w:r w:rsidRPr="00AA43E9">
          <w:rPr>
            <w:rStyle w:val="Hyperlink1"/>
            <w:sz w:val="24"/>
            <w:szCs w:val="24"/>
            <w:lang w:val="hr-HR"/>
          </w:rPr>
          <w:t>http://data.europa.eu/eli/reg_del/2019/715/oj</w:t>
        </w:r>
      </w:hyperlink>
      <w:r w:rsidRPr="00AA43E9">
        <w:rPr>
          <w:sz w:val="24"/>
          <w:szCs w:val="24"/>
          <w:lang w:val="hr-HR"/>
        </w:rPr>
        <w:t>.</w:t>
      </w:r>
    </w:p>
  </w:footnote>
  <w:footnote w:id="55">
    <w:p w14:paraId="5D28C52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55" w:history="1">
        <w:r w:rsidRPr="00AA43E9">
          <w:rPr>
            <w:rStyle w:val="Hyperlink1"/>
            <w:sz w:val="24"/>
            <w:szCs w:val="24"/>
            <w:lang w:val="hr-HR"/>
          </w:rPr>
          <w:t>http://data.europa.eu/eli/C/2024/6332/oj</w:t>
        </w:r>
      </w:hyperlink>
      <w:r w:rsidRPr="00AA43E9">
        <w:rPr>
          <w:sz w:val="24"/>
          <w:szCs w:val="24"/>
          <w:lang w:val="hr-HR"/>
        </w:rPr>
        <w:t>.</w:t>
      </w:r>
    </w:p>
  </w:footnote>
  <w:footnote w:id="56">
    <w:p w14:paraId="0021306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56" w:history="1">
        <w:r w:rsidRPr="00AA43E9">
          <w:rPr>
            <w:rStyle w:val="Hyperlink1"/>
            <w:sz w:val="24"/>
            <w:szCs w:val="24"/>
            <w:lang w:val="hr-HR"/>
          </w:rPr>
          <w:t>http://data.europa.eu/eli/C/2024/6041/oj</w:t>
        </w:r>
      </w:hyperlink>
      <w:r w:rsidRPr="00AA43E9">
        <w:rPr>
          <w:sz w:val="24"/>
          <w:szCs w:val="24"/>
          <w:lang w:val="hr-HR"/>
        </w:rPr>
        <w:t>.</w:t>
      </w:r>
    </w:p>
  </w:footnote>
  <w:footnote w:id="57">
    <w:p w14:paraId="1449DBB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57" w:history="1">
        <w:r w:rsidRPr="00AA43E9">
          <w:rPr>
            <w:rStyle w:val="Hyperlink1"/>
            <w:sz w:val="24"/>
            <w:szCs w:val="24"/>
            <w:lang w:val="hr-HR"/>
          </w:rPr>
          <w:t>http://data.europa.eu/eli/reg/2018/1046/oj</w:t>
        </w:r>
      </w:hyperlink>
      <w:r w:rsidRPr="00AA43E9">
        <w:rPr>
          <w:sz w:val="24"/>
          <w:szCs w:val="24"/>
          <w:lang w:val="hr-HR"/>
        </w:rPr>
        <w:t>.</w:t>
      </w:r>
    </w:p>
  </w:footnote>
  <w:footnote w:id="58">
    <w:p w14:paraId="707E091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5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59">
    <w:p w14:paraId="2E2EAB5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319, 4.12.2015., str. 1., ELI: </w:t>
      </w:r>
      <w:hyperlink r:id="rId59" w:history="1">
        <w:r w:rsidRPr="00AA43E9">
          <w:rPr>
            <w:rStyle w:val="Hyperlink1"/>
            <w:sz w:val="24"/>
            <w:szCs w:val="24"/>
            <w:lang w:val="hr-HR"/>
          </w:rPr>
          <w:t>http://data.europa.eu/eli/reg/2015/2219/oj</w:t>
        </w:r>
      </w:hyperlink>
      <w:r w:rsidRPr="00AA43E9">
        <w:rPr>
          <w:sz w:val="24"/>
          <w:szCs w:val="24"/>
          <w:lang w:val="hr-HR"/>
        </w:rPr>
        <w:t>.</w:t>
      </w:r>
    </w:p>
  </w:footnote>
  <w:footnote w:id="60">
    <w:p w14:paraId="4F71319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60" w:history="1">
        <w:r w:rsidRPr="00AA43E9">
          <w:rPr>
            <w:rStyle w:val="Hyperlink1"/>
            <w:sz w:val="24"/>
            <w:szCs w:val="24"/>
            <w:lang w:val="hr-HR"/>
          </w:rPr>
          <w:t>http://data.europa.eu/eli/reg_del/2019/715/oj</w:t>
        </w:r>
      </w:hyperlink>
      <w:r w:rsidRPr="00AA43E9">
        <w:rPr>
          <w:sz w:val="24"/>
          <w:szCs w:val="24"/>
          <w:lang w:val="hr-HR"/>
        </w:rPr>
        <w:t>.</w:t>
      </w:r>
    </w:p>
  </w:footnote>
  <w:footnote w:id="61">
    <w:p w14:paraId="4488D5D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61" w:history="1">
        <w:r w:rsidRPr="00AA43E9">
          <w:rPr>
            <w:rStyle w:val="Hyperlink1"/>
            <w:sz w:val="24"/>
            <w:szCs w:val="24"/>
            <w:lang w:val="hr-HR"/>
          </w:rPr>
          <w:t>http://data.europa.eu/eli/C/2024/6332/oj</w:t>
        </w:r>
      </w:hyperlink>
      <w:r w:rsidRPr="00AA43E9">
        <w:rPr>
          <w:sz w:val="24"/>
          <w:szCs w:val="24"/>
          <w:lang w:val="hr-HR"/>
        </w:rPr>
        <w:t>.</w:t>
      </w:r>
    </w:p>
  </w:footnote>
  <w:footnote w:id="62">
    <w:p w14:paraId="5080340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62" w:history="1">
        <w:r w:rsidRPr="00AA43E9">
          <w:rPr>
            <w:rStyle w:val="Hyperlink1"/>
            <w:sz w:val="24"/>
            <w:szCs w:val="24"/>
            <w:lang w:val="hr-HR"/>
          </w:rPr>
          <w:t>http://data.europa.eu/eli/C/2024/6041/oj</w:t>
        </w:r>
      </w:hyperlink>
      <w:r w:rsidRPr="00AA43E9">
        <w:rPr>
          <w:sz w:val="24"/>
          <w:szCs w:val="24"/>
          <w:lang w:val="hr-HR"/>
        </w:rPr>
        <w:t>.</w:t>
      </w:r>
    </w:p>
  </w:footnote>
  <w:footnote w:id="63">
    <w:p w14:paraId="6157EC3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63" w:history="1">
        <w:r w:rsidRPr="00AA43E9">
          <w:rPr>
            <w:rStyle w:val="Hyperlink1"/>
            <w:sz w:val="24"/>
            <w:szCs w:val="24"/>
            <w:lang w:val="hr-HR"/>
          </w:rPr>
          <w:t>http://data.europa.eu/eli/reg/2018/1046/oj</w:t>
        </w:r>
      </w:hyperlink>
      <w:r w:rsidRPr="00AA43E9">
        <w:rPr>
          <w:sz w:val="24"/>
          <w:szCs w:val="24"/>
          <w:lang w:val="hr-HR"/>
        </w:rPr>
        <w:t>.</w:t>
      </w:r>
    </w:p>
  </w:footnote>
  <w:footnote w:id="64">
    <w:p w14:paraId="050E02B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6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65">
    <w:p w14:paraId="058B600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212, 22.8.2018., str. 1., ELI: </w:t>
      </w:r>
      <w:hyperlink r:id="rId65" w:history="1">
        <w:r w:rsidRPr="00AA43E9">
          <w:rPr>
            <w:rStyle w:val="Hyperlink1"/>
            <w:sz w:val="24"/>
            <w:szCs w:val="24"/>
            <w:lang w:val="hr-HR"/>
          </w:rPr>
          <w:t>http://data.europa.eu/eli/reg/2018/1139/oj</w:t>
        </w:r>
      </w:hyperlink>
      <w:r w:rsidRPr="00AA43E9">
        <w:rPr>
          <w:sz w:val="24"/>
          <w:szCs w:val="24"/>
          <w:lang w:val="hr-HR"/>
        </w:rPr>
        <w:t>.</w:t>
      </w:r>
    </w:p>
  </w:footnote>
  <w:footnote w:id="66">
    <w:p w14:paraId="4EEED65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66" w:history="1">
        <w:r w:rsidRPr="00AA43E9">
          <w:rPr>
            <w:rStyle w:val="Hyperlink1"/>
            <w:sz w:val="24"/>
            <w:szCs w:val="24"/>
            <w:lang w:val="hr-HR"/>
          </w:rPr>
          <w:t>http://data.europa.eu/eli/reg_del/2019/715/oj</w:t>
        </w:r>
      </w:hyperlink>
      <w:r w:rsidRPr="00AA43E9">
        <w:rPr>
          <w:sz w:val="24"/>
          <w:szCs w:val="24"/>
          <w:lang w:val="hr-HR"/>
        </w:rPr>
        <w:t>.</w:t>
      </w:r>
    </w:p>
  </w:footnote>
  <w:footnote w:id="67">
    <w:p w14:paraId="3BA08DA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67" w:history="1">
        <w:r w:rsidRPr="00AA43E9">
          <w:rPr>
            <w:rStyle w:val="Hyperlink1"/>
            <w:sz w:val="24"/>
            <w:szCs w:val="24"/>
            <w:lang w:val="hr-HR"/>
          </w:rPr>
          <w:t>http://data.europa.eu/eli/C/2024/6332/oj</w:t>
        </w:r>
      </w:hyperlink>
      <w:r w:rsidRPr="00AA43E9">
        <w:rPr>
          <w:sz w:val="24"/>
          <w:szCs w:val="24"/>
          <w:lang w:val="hr-HR"/>
        </w:rPr>
        <w:t>.</w:t>
      </w:r>
    </w:p>
  </w:footnote>
  <w:footnote w:id="68">
    <w:p w14:paraId="1966602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68" w:history="1">
        <w:r w:rsidRPr="00AA43E9">
          <w:rPr>
            <w:rStyle w:val="Hyperlink1"/>
            <w:sz w:val="24"/>
            <w:szCs w:val="24"/>
            <w:lang w:val="hr-HR"/>
          </w:rPr>
          <w:t>http://data.europa.eu/eli/C/2024/6041/oj</w:t>
        </w:r>
      </w:hyperlink>
      <w:r w:rsidRPr="00AA43E9">
        <w:rPr>
          <w:sz w:val="24"/>
          <w:szCs w:val="24"/>
          <w:lang w:val="hr-HR"/>
        </w:rPr>
        <w:t>.</w:t>
      </w:r>
    </w:p>
  </w:footnote>
  <w:footnote w:id="69">
    <w:p w14:paraId="0782E1D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69" w:history="1">
        <w:r w:rsidRPr="00AA43E9">
          <w:rPr>
            <w:rStyle w:val="Hyperlink1"/>
            <w:sz w:val="24"/>
            <w:szCs w:val="24"/>
            <w:lang w:val="hr-HR"/>
          </w:rPr>
          <w:t>http://data.europa.eu/eli/reg/2018/1046/oj</w:t>
        </w:r>
      </w:hyperlink>
      <w:r w:rsidRPr="00AA43E9">
        <w:rPr>
          <w:sz w:val="24"/>
          <w:szCs w:val="24"/>
          <w:lang w:val="hr-HR"/>
        </w:rPr>
        <w:t>.</w:t>
      </w:r>
    </w:p>
  </w:footnote>
  <w:footnote w:id="70">
    <w:p w14:paraId="431F387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7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71">
    <w:p w14:paraId="1FC5357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212, 22.8.2018., str. 1., ELI: </w:t>
      </w:r>
      <w:hyperlink r:id="rId71" w:history="1">
        <w:r w:rsidRPr="00AA43E9">
          <w:rPr>
            <w:rStyle w:val="Hyperlink1"/>
            <w:sz w:val="24"/>
            <w:szCs w:val="24"/>
            <w:lang w:val="hr-HR"/>
          </w:rPr>
          <w:t>http://data.europa.eu/eli/reg/2018/1139/oj</w:t>
        </w:r>
      </w:hyperlink>
      <w:r w:rsidRPr="00AA43E9">
        <w:rPr>
          <w:sz w:val="24"/>
          <w:szCs w:val="24"/>
          <w:lang w:val="hr-HR"/>
        </w:rPr>
        <w:t>.</w:t>
      </w:r>
    </w:p>
  </w:footnote>
  <w:footnote w:id="72">
    <w:p w14:paraId="6BA218E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72" w:history="1">
        <w:r w:rsidRPr="00AA43E9">
          <w:rPr>
            <w:rStyle w:val="Hyperlink1"/>
            <w:sz w:val="24"/>
            <w:szCs w:val="24"/>
            <w:lang w:val="hr-HR"/>
          </w:rPr>
          <w:t>http://data.europa.eu/eli/reg_del/2019/715/oj</w:t>
        </w:r>
      </w:hyperlink>
      <w:r w:rsidRPr="00AA43E9">
        <w:rPr>
          <w:sz w:val="24"/>
          <w:szCs w:val="24"/>
          <w:lang w:val="hr-HR"/>
        </w:rPr>
        <w:t>.</w:t>
      </w:r>
    </w:p>
  </w:footnote>
  <w:footnote w:id="73">
    <w:p w14:paraId="44A373D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73" w:history="1">
        <w:r w:rsidRPr="00AA43E9">
          <w:rPr>
            <w:rStyle w:val="Hyperlink1"/>
            <w:sz w:val="24"/>
            <w:szCs w:val="24"/>
            <w:lang w:val="hr-HR"/>
          </w:rPr>
          <w:t>http://data.europa.eu/eli/C/2024/6332/oj</w:t>
        </w:r>
      </w:hyperlink>
      <w:r w:rsidRPr="00AA43E9">
        <w:rPr>
          <w:sz w:val="24"/>
          <w:szCs w:val="24"/>
          <w:lang w:val="hr-HR"/>
        </w:rPr>
        <w:t>.</w:t>
      </w:r>
    </w:p>
  </w:footnote>
  <w:footnote w:id="74">
    <w:p w14:paraId="4D9F27D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74" w:history="1">
        <w:r w:rsidRPr="00AA43E9">
          <w:rPr>
            <w:rStyle w:val="Hyperlink1"/>
            <w:sz w:val="24"/>
            <w:szCs w:val="24"/>
            <w:lang w:val="hr-HR"/>
          </w:rPr>
          <w:t>http://data.europa.eu/eli/C/2024/6041/oj</w:t>
        </w:r>
      </w:hyperlink>
      <w:r w:rsidRPr="00AA43E9">
        <w:rPr>
          <w:sz w:val="24"/>
          <w:szCs w:val="24"/>
          <w:lang w:val="hr-HR"/>
        </w:rPr>
        <w:t>.</w:t>
      </w:r>
    </w:p>
  </w:footnote>
  <w:footnote w:id="75">
    <w:p w14:paraId="6DC73F4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75" w:history="1">
        <w:r w:rsidRPr="00AA43E9">
          <w:rPr>
            <w:rStyle w:val="Hyperlink1"/>
            <w:sz w:val="24"/>
            <w:szCs w:val="24"/>
            <w:lang w:val="hr-HR"/>
          </w:rPr>
          <w:t>http://data.europa.eu/eli/reg/2018/1046/oj</w:t>
        </w:r>
      </w:hyperlink>
      <w:r w:rsidRPr="00AA43E9">
        <w:rPr>
          <w:sz w:val="24"/>
          <w:szCs w:val="24"/>
          <w:lang w:val="hr-HR"/>
        </w:rPr>
        <w:t>.</w:t>
      </w:r>
    </w:p>
  </w:footnote>
  <w:footnote w:id="76">
    <w:p w14:paraId="0FD4B75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7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77">
    <w:p w14:paraId="6E8AE90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331, 15.12.2010., str. 12., ELI: </w:t>
      </w:r>
      <w:hyperlink r:id="rId77" w:history="1">
        <w:r w:rsidRPr="00AA43E9">
          <w:rPr>
            <w:rStyle w:val="Hyperlink1"/>
            <w:sz w:val="24"/>
            <w:szCs w:val="24"/>
            <w:lang w:val="hr-HR"/>
          </w:rPr>
          <w:t>http://data.europa.eu/eli/reg/2010/1093/oj</w:t>
        </w:r>
      </w:hyperlink>
      <w:r w:rsidRPr="00AA43E9">
        <w:rPr>
          <w:sz w:val="24"/>
          <w:szCs w:val="24"/>
          <w:lang w:val="hr-HR"/>
        </w:rPr>
        <w:t>.</w:t>
      </w:r>
    </w:p>
  </w:footnote>
  <w:footnote w:id="78">
    <w:p w14:paraId="621BDDD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78" w:history="1">
        <w:r w:rsidRPr="00AA43E9">
          <w:rPr>
            <w:rStyle w:val="Hyperlink1"/>
            <w:sz w:val="24"/>
            <w:szCs w:val="24"/>
            <w:lang w:val="hr-HR"/>
          </w:rPr>
          <w:t>http://data.europa.eu/eli/reg_del/2019/715/oj</w:t>
        </w:r>
      </w:hyperlink>
      <w:r w:rsidRPr="00AA43E9">
        <w:rPr>
          <w:sz w:val="24"/>
          <w:szCs w:val="24"/>
          <w:lang w:val="hr-HR"/>
        </w:rPr>
        <w:t>.</w:t>
      </w:r>
    </w:p>
  </w:footnote>
  <w:footnote w:id="79">
    <w:p w14:paraId="621A181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79" w:history="1">
        <w:r w:rsidRPr="00AA43E9">
          <w:rPr>
            <w:rStyle w:val="Hyperlink1"/>
            <w:sz w:val="24"/>
            <w:szCs w:val="24"/>
            <w:lang w:val="hr-HR"/>
          </w:rPr>
          <w:t>http://data.europa.eu/eli/C/2024/6332/oj</w:t>
        </w:r>
      </w:hyperlink>
      <w:r w:rsidRPr="00AA43E9">
        <w:rPr>
          <w:sz w:val="24"/>
          <w:szCs w:val="24"/>
          <w:lang w:val="hr-HR"/>
        </w:rPr>
        <w:t>.</w:t>
      </w:r>
    </w:p>
  </w:footnote>
  <w:footnote w:id="80">
    <w:p w14:paraId="1E1BBAF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80" w:history="1">
        <w:r w:rsidRPr="00AA43E9">
          <w:rPr>
            <w:rStyle w:val="Hyperlink1"/>
            <w:sz w:val="24"/>
            <w:szCs w:val="24"/>
            <w:lang w:val="hr-HR"/>
          </w:rPr>
          <w:t>http://data.europa.eu/eli/C/2024/6041/oj</w:t>
        </w:r>
      </w:hyperlink>
      <w:r w:rsidRPr="00AA43E9">
        <w:rPr>
          <w:sz w:val="24"/>
          <w:szCs w:val="24"/>
          <w:lang w:val="hr-HR"/>
        </w:rPr>
        <w:t>.</w:t>
      </w:r>
    </w:p>
  </w:footnote>
  <w:footnote w:id="81">
    <w:p w14:paraId="28DFA86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81" w:history="1">
        <w:r w:rsidRPr="00AA43E9">
          <w:rPr>
            <w:rStyle w:val="Hyperlink1"/>
            <w:sz w:val="24"/>
            <w:szCs w:val="24"/>
            <w:lang w:val="hr-HR"/>
          </w:rPr>
          <w:t>http://data.europa.eu/eli/reg/2018/1046/oj</w:t>
        </w:r>
      </w:hyperlink>
      <w:r w:rsidRPr="00AA43E9">
        <w:rPr>
          <w:sz w:val="24"/>
          <w:szCs w:val="24"/>
          <w:lang w:val="hr-HR"/>
        </w:rPr>
        <w:t>.</w:t>
      </w:r>
    </w:p>
  </w:footnote>
  <w:footnote w:id="82">
    <w:p w14:paraId="274C9D7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8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83">
    <w:p w14:paraId="41417F2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331, 15.12.2010., str. 12., ELI: </w:t>
      </w:r>
      <w:hyperlink r:id="rId83" w:history="1">
        <w:r w:rsidRPr="00AA43E9">
          <w:rPr>
            <w:rStyle w:val="Hyperlink1"/>
            <w:sz w:val="24"/>
            <w:szCs w:val="24"/>
            <w:lang w:val="hr-HR"/>
          </w:rPr>
          <w:t>http://data.europa.eu/eli/reg/2010/1093/oj</w:t>
        </w:r>
      </w:hyperlink>
      <w:r w:rsidRPr="00AA43E9">
        <w:rPr>
          <w:sz w:val="24"/>
          <w:szCs w:val="24"/>
          <w:lang w:val="hr-HR"/>
        </w:rPr>
        <w:t>.</w:t>
      </w:r>
    </w:p>
  </w:footnote>
  <w:footnote w:id="84">
    <w:p w14:paraId="08B6BE8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84" w:history="1">
        <w:r w:rsidRPr="00AA43E9">
          <w:rPr>
            <w:rStyle w:val="Hyperlink1"/>
            <w:sz w:val="24"/>
            <w:szCs w:val="24"/>
            <w:lang w:val="hr-HR"/>
          </w:rPr>
          <w:t>http://data.europa.eu/eli/reg_del/2019/715/oj</w:t>
        </w:r>
      </w:hyperlink>
      <w:r w:rsidRPr="00AA43E9">
        <w:rPr>
          <w:sz w:val="24"/>
          <w:szCs w:val="24"/>
          <w:lang w:val="hr-HR"/>
        </w:rPr>
        <w:t>.</w:t>
      </w:r>
    </w:p>
  </w:footnote>
  <w:footnote w:id="85">
    <w:p w14:paraId="65B7001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85" w:history="1">
        <w:r w:rsidRPr="00AA43E9">
          <w:rPr>
            <w:rStyle w:val="Hyperlink1"/>
            <w:sz w:val="24"/>
            <w:szCs w:val="24"/>
            <w:lang w:val="hr-HR"/>
          </w:rPr>
          <w:t>http://data.europa.eu/eli/C/2024/6332/oj</w:t>
        </w:r>
      </w:hyperlink>
      <w:r w:rsidRPr="00AA43E9">
        <w:rPr>
          <w:sz w:val="24"/>
          <w:szCs w:val="24"/>
          <w:lang w:val="hr-HR"/>
        </w:rPr>
        <w:t>.</w:t>
      </w:r>
    </w:p>
  </w:footnote>
  <w:footnote w:id="86">
    <w:p w14:paraId="388BC9D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86" w:history="1">
        <w:r w:rsidRPr="00AA43E9">
          <w:rPr>
            <w:rStyle w:val="Hyperlink1"/>
            <w:sz w:val="24"/>
            <w:szCs w:val="24"/>
            <w:lang w:val="hr-HR"/>
          </w:rPr>
          <w:t>http://data.europa.eu/eli/C/2024/6041/oj</w:t>
        </w:r>
      </w:hyperlink>
      <w:r w:rsidRPr="00AA43E9">
        <w:rPr>
          <w:sz w:val="24"/>
          <w:szCs w:val="24"/>
          <w:lang w:val="hr-HR"/>
        </w:rPr>
        <w:t>.</w:t>
      </w:r>
    </w:p>
  </w:footnote>
  <w:footnote w:id="87">
    <w:p w14:paraId="65CB72F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87" w:history="1">
        <w:r w:rsidRPr="00AA43E9">
          <w:rPr>
            <w:rStyle w:val="Hyperlink1"/>
            <w:sz w:val="24"/>
            <w:szCs w:val="24"/>
            <w:lang w:val="hr-HR"/>
          </w:rPr>
          <w:t>http://data.europa.eu/eli/reg/2018/1046/oj</w:t>
        </w:r>
      </w:hyperlink>
      <w:r w:rsidRPr="00AA43E9">
        <w:rPr>
          <w:sz w:val="24"/>
          <w:szCs w:val="24"/>
          <w:lang w:val="hr-HR"/>
        </w:rPr>
        <w:t>.</w:t>
      </w:r>
    </w:p>
  </w:footnote>
  <w:footnote w:id="88">
    <w:p w14:paraId="4905F4C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8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89">
    <w:p w14:paraId="048C2C9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142, 30.4.2004., str. 1., ELI: </w:t>
      </w:r>
      <w:hyperlink r:id="rId89" w:history="1">
        <w:r w:rsidRPr="00AA43E9">
          <w:rPr>
            <w:rStyle w:val="Hyperlink1"/>
            <w:sz w:val="24"/>
            <w:szCs w:val="24"/>
            <w:lang w:val="hr-HR"/>
          </w:rPr>
          <w:t>http://data.europa.eu/eli/reg/2004/851/oj</w:t>
        </w:r>
      </w:hyperlink>
      <w:r w:rsidRPr="00AA43E9">
        <w:rPr>
          <w:sz w:val="24"/>
          <w:szCs w:val="24"/>
          <w:lang w:val="hr-HR"/>
        </w:rPr>
        <w:t>.</w:t>
      </w:r>
    </w:p>
  </w:footnote>
  <w:footnote w:id="90">
    <w:p w14:paraId="1098775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90" w:history="1">
        <w:r w:rsidRPr="00AA43E9">
          <w:rPr>
            <w:rStyle w:val="Hyperlink1"/>
            <w:sz w:val="24"/>
            <w:szCs w:val="24"/>
            <w:lang w:val="hr-HR"/>
          </w:rPr>
          <w:t>http://data.europa.eu/eli/reg_del/2019/715/oj</w:t>
        </w:r>
      </w:hyperlink>
      <w:r w:rsidRPr="00AA43E9">
        <w:rPr>
          <w:sz w:val="24"/>
          <w:szCs w:val="24"/>
          <w:lang w:val="hr-HR"/>
        </w:rPr>
        <w:t>.</w:t>
      </w:r>
    </w:p>
  </w:footnote>
  <w:footnote w:id="91">
    <w:p w14:paraId="4426816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91" w:history="1">
        <w:r w:rsidRPr="00AA43E9">
          <w:rPr>
            <w:rStyle w:val="Hyperlink1"/>
            <w:sz w:val="24"/>
            <w:szCs w:val="24"/>
            <w:lang w:val="hr-HR"/>
          </w:rPr>
          <w:t>http://data.europa.eu/eli/C/2024/6332/oj</w:t>
        </w:r>
      </w:hyperlink>
      <w:r w:rsidRPr="00AA43E9">
        <w:rPr>
          <w:sz w:val="24"/>
          <w:szCs w:val="24"/>
          <w:lang w:val="hr-HR"/>
        </w:rPr>
        <w:t>.</w:t>
      </w:r>
    </w:p>
  </w:footnote>
  <w:footnote w:id="92">
    <w:p w14:paraId="143EDC2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92" w:history="1">
        <w:r w:rsidRPr="00AA43E9">
          <w:rPr>
            <w:rStyle w:val="Hyperlink1"/>
            <w:sz w:val="24"/>
            <w:szCs w:val="24"/>
            <w:lang w:val="hr-HR"/>
          </w:rPr>
          <w:t>http://data.europa.eu/eli/C/2024/6041/oj</w:t>
        </w:r>
      </w:hyperlink>
      <w:r w:rsidRPr="00AA43E9">
        <w:rPr>
          <w:sz w:val="24"/>
          <w:szCs w:val="24"/>
          <w:lang w:val="hr-HR"/>
        </w:rPr>
        <w:t>.</w:t>
      </w:r>
    </w:p>
  </w:footnote>
  <w:footnote w:id="93">
    <w:p w14:paraId="4A90A38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93" w:history="1">
        <w:r w:rsidRPr="00AA43E9">
          <w:rPr>
            <w:rStyle w:val="Hyperlink1"/>
            <w:sz w:val="24"/>
            <w:szCs w:val="24"/>
            <w:lang w:val="hr-HR"/>
          </w:rPr>
          <w:t>http://data.europa.eu/eli/reg/2018/1046/oj</w:t>
        </w:r>
      </w:hyperlink>
      <w:r w:rsidRPr="00AA43E9">
        <w:rPr>
          <w:sz w:val="24"/>
          <w:szCs w:val="24"/>
          <w:lang w:val="hr-HR"/>
        </w:rPr>
        <w:t>.</w:t>
      </w:r>
    </w:p>
  </w:footnote>
  <w:footnote w:id="94">
    <w:p w14:paraId="29DF3AD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9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95">
    <w:p w14:paraId="73E0B25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142, 30.4.2004., str. 1., ELI: </w:t>
      </w:r>
      <w:hyperlink r:id="rId95" w:history="1">
        <w:r w:rsidRPr="00AA43E9">
          <w:rPr>
            <w:rStyle w:val="Hyperlink1"/>
            <w:sz w:val="24"/>
            <w:szCs w:val="24"/>
            <w:lang w:val="hr-HR"/>
          </w:rPr>
          <w:t>http://data.europa.eu/eli/reg/2004/851/oj</w:t>
        </w:r>
      </w:hyperlink>
      <w:r w:rsidRPr="00AA43E9">
        <w:rPr>
          <w:sz w:val="24"/>
          <w:szCs w:val="24"/>
          <w:lang w:val="hr-HR"/>
        </w:rPr>
        <w:t>.</w:t>
      </w:r>
    </w:p>
  </w:footnote>
  <w:footnote w:id="96">
    <w:p w14:paraId="0E2710A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96" w:history="1">
        <w:r w:rsidRPr="00AA43E9">
          <w:rPr>
            <w:rStyle w:val="Hyperlink1"/>
            <w:sz w:val="24"/>
            <w:szCs w:val="24"/>
            <w:lang w:val="hr-HR"/>
          </w:rPr>
          <w:t>http://data.europa.eu/eli/reg_del/2019/715/oj</w:t>
        </w:r>
      </w:hyperlink>
      <w:r w:rsidRPr="00AA43E9">
        <w:rPr>
          <w:sz w:val="24"/>
          <w:szCs w:val="24"/>
          <w:lang w:val="hr-HR"/>
        </w:rPr>
        <w:t>.</w:t>
      </w:r>
    </w:p>
  </w:footnote>
  <w:footnote w:id="97">
    <w:p w14:paraId="0BB65DC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97" w:history="1">
        <w:r w:rsidRPr="00AA43E9">
          <w:rPr>
            <w:rStyle w:val="Hyperlink1"/>
            <w:sz w:val="24"/>
            <w:szCs w:val="24"/>
            <w:lang w:val="hr-HR"/>
          </w:rPr>
          <w:t>http://data.europa.eu/eli/C/2024/6332/oj</w:t>
        </w:r>
      </w:hyperlink>
      <w:r w:rsidRPr="00AA43E9">
        <w:rPr>
          <w:sz w:val="24"/>
          <w:szCs w:val="24"/>
          <w:lang w:val="hr-HR"/>
        </w:rPr>
        <w:t>.</w:t>
      </w:r>
    </w:p>
  </w:footnote>
  <w:footnote w:id="98">
    <w:p w14:paraId="6E38CBA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98" w:history="1">
        <w:r w:rsidRPr="00AA43E9">
          <w:rPr>
            <w:rStyle w:val="Hyperlink1"/>
            <w:sz w:val="24"/>
            <w:szCs w:val="24"/>
            <w:lang w:val="hr-HR"/>
          </w:rPr>
          <w:t>http://data.europa.eu/eli/C/2024/6041/oj</w:t>
        </w:r>
      </w:hyperlink>
      <w:r w:rsidRPr="00AA43E9">
        <w:rPr>
          <w:sz w:val="24"/>
          <w:szCs w:val="24"/>
          <w:lang w:val="hr-HR"/>
        </w:rPr>
        <w:t>.</w:t>
      </w:r>
    </w:p>
  </w:footnote>
  <w:footnote w:id="99">
    <w:p w14:paraId="13EA75A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99" w:history="1">
        <w:r w:rsidRPr="00AA43E9">
          <w:rPr>
            <w:rStyle w:val="Hyperlink1"/>
            <w:sz w:val="24"/>
            <w:szCs w:val="24"/>
            <w:lang w:val="hr-HR"/>
          </w:rPr>
          <w:t>http://data.europa.eu/eli/reg/2018/1046/oj</w:t>
        </w:r>
      </w:hyperlink>
      <w:r w:rsidRPr="00AA43E9">
        <w:rPr>
          <w:sz w:val="24"/>
          <w:szCs w:val="24"/>
          <w:lang w:val="hr-HR"/>
        </w:rPr>
        <w:t>.</w:t>
      </w:r>
    </w:p>
  </w:footnote>
  <w:footnote w:id="100">
    <w:p w14:paraId="24B05E5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0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01">
    <w:p w14:paraId="1D20CF5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396, 30.12.2006., str. 1., ELI: </w:t>
      </w:r>
      <w:hyperlink r:id="rId101" w:history="1">
        <w:r w:rsidRPr="00AA43E9">
          <w:rPr>
            <w:rStyle w:val="Hyperlink"/>
            <w:sz w:val="24"/>
            <w:szCs w:val="24"/>
            <w:lang w:val="hr-HR"/>
          </w:rPr>
          <w:t>http://data.europa.eu/eli/reg/2006/1907/oj</w:t>
        </w:r>
      </w:hyperlink>
      <w:r w:rsidRPr="00AA43E9">
        <w:rPr>
          <w:sz w:val="24"/>
          <w:szCs w:val="24"/>
          <w:lang w:val="hr-HR"/>
        </w:rPr>
        <w:t>.</w:t>
      </w:r>
    </w:p>
  </w:footnote>
  <w:footnote w:id="102">
    <w:p w14:paraId="0EBEB68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02" w:history="1">
        <w:r w:rsidRPr="00AA43E9">
          <w:rPr>
            <w:rStyle w:val="Hyperlink1"/>
            <w:sz w:val="24"/>
            <w:szCs w:val="24"/>
            <w:lang w:val="hr-HR"/>
          </w:rPr>
          <w:t>http://data.europa.eu/eli/reg_del/2019/715/oj</w:t>
        </w:r>
      </w:hyperlink>
      <w:r w:rsidRPr="00AA43E9">
        <w:rPr>
          <w:sz w:val="24"/>
          <w:szCs w:val="24"/>
          <w:lang w:val="hr-HR"/>
        </w:rPr>
        <w:t>.</w:t>
      </w:r>
    </w:p>
  </w:footnote>
  <w:footnote w:id="103">
    <w:p w14:paraId="456D8A9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03" w:history="1">
        <w:r w:rsidRPr="00AA43E9">
          <w:rPr>
            <w:rStyle w:val="Hyperlink1"/>
            <w:sz w:val="24"/>
            <w:szCs w:val="24"/>
            <w:lang w:val="hr-HR"/>
          </w:rPr>
          <w:t>http://data.europa.eu/eli/C/2024/6332/oj</w:t>
        </w:r>
      </w:hyperlink>
      <w:r w:rsidRPr="00AA43E9">
        <w:rPr>
          <w:sz w:val="24"/>
          <w:szCs w:val="24"/>
          <w:lang w:val="hr-HR"/>
        </w:rPr>
        <w:t>.</w:t>
      </w:r>
    </w:p>
  </w:footnote>
  <w:footnote w:id="104">
    <w:p w14:paraId="166BE25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04" w:history="1">
        <w:r w:rsidRPr="00AA43E9">
          <w:rPr>
            <w:rStyle w:val="Hyperlink1"/>
            <w:sz w:val="24"/>
            <w:szCs w:val="24"/>
            <w:lang w:val="hr-HR"/>
          </w:rPr>
          <w:t>http://data.europa.eu/eli/C/2024/6041/oj</w:t>
        </w:r>
      </w:hyperlink>
      <w:r w:rsidRPr="00AA43E9">
        <w:rPr>
          <w:sz w:val="24"/>
          <w:szCs w:val="24"/>
          <w:lang w:val="hr-HR"/>
        </w:rPr>
        <w:t>.</w:t>
      </w:r>
    </w:p>
  </w:footnote>
  <w:footnote w:id="105">
    <w:p w14:paraId="43D6B84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05" w:history="1">
        <w:r w:rsidRPr="00AA43E9">
          <w:rPr>
            <w:rStyle w:val="Hyperlink1"/>
            <w:sz w:val="24"/>
            <w:szCs w:val="24"/>
            <w:lang w:val="hr-HR"/>
          </w:rPr>
          <w:t>http://data.europa.eu/eli/reg/2018/1046/oj</w:t>
        </w:r>
      </w:hyperlink>
      <w:r w:rsidRPr="00AA43E9">
        <w:rPr>
          <w:sz w:val="24"/>
          <w:szCs w:val="24"/>
          <w:lang w:val="hr-HR"/>
        </w:rPr>
        <w:t>.</w:t>
      </w:r>
    </w:p>
  </w:footnote>
  <w:footnote w:id="106">
    <w:p w14:paraId="1F68A77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0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07">
    <w:p w14:paraId="0CECEC4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396, 30.12.2006., str. 1., ELI: </w:t>
      </w:r>
      <w:hyperlink r:id="rId107" w:history="1">
        <w:r w:rsidRPr="00AA43E9">
          <w:rPr>
            <w:rStyle w:val="Hyperlink1"/>
            <w:sz w:val="24"/>
            <w:szCs w:val="24"/>
            <w:lang w:val="hr-HR"/>
          </w:rPr>
          <w:t>http://data.europa.eu/eli/reg/2006/1907/oj</w:t>
        </w:r>
      </w:hyperlink>
      <w:r w:rsidRPr="00AA43E9">
        <w:rPr>
          <w:sz w:val="24"/>
          <w:szCs w:val="24"/>
          <w:lang w:val="hr-HR"/>
        </w:rPr>
        <w:t>.</w:t>
      </w:r>
    </w:p>
  </w:footnote>
  <w:footnote w:id="108">
    <w:p w14:paraId="783213A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08" w:history="1">
        <w:r w:rsidRPr="00AA43E9">
          <w:rPr>
            <w:rStyle w:val="Hyperlink1"/>
            <w:sz w:val="24"/>
            <w:szCs w:val="24"/>
            <w:lang w:val="hr-HR"/>
          </w:rPr>
          <w:t>http://data.europa.eu/eli/reg_del/2019/715/oj</w:t>
        </w:r>
      </w:hyperlink>
      <w:r w:rsidRPr="00AA43E9">
        <w:rPr>
          <w:sz w:val="24"/>
          <w:szCs w:val="24"/>
          <w:lang w:val="hr-HR"/>
        </w:rPr>
        <w:t>.</w:t>
      </w:r>
    </w:p>
  </w:footnote>
  <w:footnote w:id="109">
    <w:p w14:paraId="3429953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09" w:history="1">
        <w:r w:rsidRPr="00AA43E9">
          <w:rPr>
            <w:rStyle w:val="Hyperlink1"/>
            <w:sz w:val="24"/>
            <w:szCs w:val="24"/>
            <w:lang w:val="hr-HR"/>
          </w:rPr>
          <w:t>http://data.europa.eu/eli/C/2024/6332/oj</w:t>
        </w:r>
      </w:hyperlink>
      <w:r w:rsidRPr="00AA43E9">
        <w:rPr>
          <w:sz w:val="24"/>
          <w:szCs w:val="24"/>
          <w:lang w:val="hr-HR"/>
        </w:rPr>
        <w:t>.</w:t>
      </w:r>
    </w:p>
  </w:footnote>
  <w:footnote w:id="110">
    <w:p w14:paraId="3A4D14E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10" w:history="1">
        <w:r w:rsidRPr="00AA43E9">
          <w:rPr>
            <w:rStyle w:val="Hyperlink1"/>
            <w:sz w:val="24"/>
            <w:szCs w:val="24"/>
            <w:lang w:val="hr-HR"/>
          </w:rPr>
          <w:t>http://data.europa.eu/eli/C/2024/6041/oj</w:t>
        </w:r>
      </w:hyperlink>
      <w:r w:rsidRPr="00AA43E9">
        <w:rPr>
          <w:sz w:val="24"/>
          <w:szCs w:val="24"/>
          <w:lang w:val="hr-HR"/>
        </w:rPr>
        <w:t>.</w:t>
      </w:r>
    </w:p>
  </w:footnote>
  <w:footnote w:id="111">
    <w:p w14:paraId="3A2799D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11" w:history="1">
        <w:r w:rsidRPr="00AA43E9">
          <w:rPr>
            <w:rStyle w:val="Hyperlink1"/>
            <w:sz w:val="24"/>
            <w:szCs w:val="24"/>
            <w:lang w:val="hr-HR"/>
          </w:rPr>
          <w:t>http://data.europa.eu/eli/reg/2018/1046/oj</w:t>
        </w:r>
      </w:hyperlink>
      <w:r w:rsidRPr="00AA43E9">
        <w:rPr>
          <w:sz w:val="24"/>
          <w:szCs w:val="24"/>
          <w:lang w:val="hr-HR"/>
        </w:rPr>
        <w:t>.</w:t>
      </w:r>
    </w:p>
  </w:footnote>
  <w:footnote w:id="112">
    <w:p w14:paraId="1C44ADB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1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13">
    <w:p w14:paraId="11C9D1B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126, 21.5.2009., str. 13., ELI: </w:t>
      </w:r>
      <w:hyperlink r:id="rId113" w:history="1">
        <w:r w:rsidRPr="00AA43E9">
          <w:rPr>
            <w:rStyle w:val="Hyperlink1"/>
            <w:sz w:val="24"/>
            <w:szCs w:val="24"/>
            <w:lang w:val="hr-HR"/>
          </w:rPr>
          <w:t>http://data.europa.eu/eli/reg/2009/401/oj</w:t>
        </w:r>
      </w:hyperlink>
      <w:r w:rsidRPr="00AA43E9">
        <w:rPr>
          <w:sz w:val="24"/>
          <w:szCs w:val="24"/>
          <w:lang w:val="hr-HR"/>
        </w:rPr>
        <w:t>.</w:t>
      </w:r>
    </w:p>
  </w:footnote>
  <w:footnote w:id="114">
    <w:p w14:paraId="067F8A8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14" w:history="1">
        <w:r w:rsidRPr="00AA43E9">
          <w:rPr>
            <w:rStyle w:val="Hyperlink1"/>
            <w:sz w:val="24"/>
            <w:szCs w:val="24"/>
            <w:lang w:val="hr-HR"/>
          </w:rPr>
          <w:t>http://data.europa.eu/eli/reg_del/2019/715/oj</w:t>
        </w:r>
      </w:hyperlink>
      <w:r w:rsidRPr="00AA43E9">
        <w:rPr>
          <w:sz w:val="24"/>
          <w:szCs w:val="24"/>
          <w:lang w:val="hr-HR"/>
        </w:rPr>
        <w:t>.</w:t>
      </w:r>
    </w:p>
  </w:footnote>
  <w:footnote w:id="115">
    <w:p w14:paraId="65F28BE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15" w:history="1">
        <w:r w:rsidRPr="00AA43E9">
          <w:rPr>
            <w:rStyle w:val="Hyperlink1"/>
            <w:sz w:val="24"/>
            <w:szCs w:val="24"/>
            <w:lang w:val="hr-HR"/>
          </w:rPr>
          <w:t>http://data.europa.eu/eli/C/2024/6332/oj</w:t>
        </w:r>
      </w:hyperlink>
      <w:r w:rsidRPr="00AA43E9">
        <w:rPr>
          <w:sz w:val="24"/>
          <w:szCs w:val="24"/>
          <w:lang w:val="hr-HR"/>
        </w:rPr>
        <w:t>.</w:t>
      </w:r>
    </w:p>
  </w:footnote>
  <w:footnote w:id="116">
    <w:p w14:paraId="24EEDAF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16" w:history="1">
        <w:r w:rsidRPr="00AA43E9">
          <w:rPr>
            <w:rStyle w:val="Hyperlink1"/>
            <w:sz w:val="24"/>
            <w:szCs w:val="24"/>
            <w:lang w:val="hr-HR"/>
          </w:rPr>
          <w:t>http://data.europa.eu/eli/C/2024/6041/oj</w:t>
        </w:r>
      </w:hyperlink>
      <w:r w:rsidRPr="00AA43E9">
        <w:rPr>
          <w:sz w:val="24"/>
          <w:szCs w:val="24"/>
          <w:lang w:val="hr-HR"/>
        </w:rPr>
        <w:t>.</w:t>
      </w:r>
    </w:p>
  </w:footnote>
  <w:footnote w:id="117">
    <w:p w14:paraId="7A53F83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17" w:history="1">
        <w:r w:rsidRPr="00AA43E9">
          <w:rPr>
            <w:rStyle w:val="Hyperlink1"/>
            <w:sz w:val="24"/>
            <w:szCs w:val="24"/>
            <w:lang w:val="hr-HR"/>
          </w:rPr>
          <w:t>http://data.europa.eu/eli/reg/2018/1046/oj</w:t>
        </w:r>
      </w:hyperlink>
      <w:r w:rsidRPr="00AA43E9">
        <w:rPr>
          <w:sz w:val="24"/>
          <w:szCs w:val="24"/>
          <w:lang w:val="hr-HR"/>
        </w:rPr>
        <w:t>.</w:t>
      </w:r>
    </w:p>
  </w:footnote>
  <w:footnote w:id="118">
    <w:p w14:paraId="0266742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1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19">
    <w:p w14:paraId="2F82E71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126, 21.5.2009., str. 13., ELI: </w:t>
      </w:r>
      <w:hyperlink r:id="rId119" w:history="1">
        <w:r w:rsidRPr="00AA43E9">
          <w:rPr>
            <w:rStyle w:val="Hyperlink1"/>
            <w:sz w:val="24"/>
            <w:szCs w:val="24"/>
            <w:lang w:val="hr-HR"/>
          </w:rPr>
          <w:t>http://data.europa.eu/eli/reg/2009/401/oj</w:t>
        </w:r>
      </w:hyperlink>
      <w:r w:rsidRPr="00AA43E9">
        <w:rPr>
          <w:sz w:val="24"/>
          <w:szCs w:val="24"/>
          <w:lang w:val="hr-HR"/>
        </w:rPr>
        <w:t>.</w:t>
      </w:r>
    </w:p>
  </w:footnote>
  <w:footnote w:id="120">
    <w:p w14:paraId="4BE83EE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20" w:history="1">
        <w:r w:rsidRPr="00AA43E9">
          <w:rPr>
            <w:rStyle w:val="Hyperlink1"/>
            <w:sz w:val="24"/>
            <w:szCs w:val="24"/>
            <w:lang w:val="hr-HR"/>
          </w:rPr>
          <w:t>http://data.europa.eu/eli/reg_del/2019/715/oj</w:t>
        </w:r>
      </w:hyperlink>
      <w:r w:rsidRPr="00AA43E9">
        <w:rPr>
          <w:sz w:val="24"/>
          <w:szCs w:val="24"/>
          <w:lang w:val="hr-HR"/>
        </w:rPr>
        <w:t>.</w:t>
      </w:r>
    </w:p>
  </w:footnote>
  <w:footnote w:id="121">
    <w:p w14:paraId="27C2748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21" w:history="1">
        <w:r w:rsidRPr="00AA43E9">
          <w:rPr>
            <w:rStyle w:val="Hyperlink1"/>
            <w:sz w:val="24"/>
            <w:szCs w:val="24"/>
            <w:lang w:val="hr-HR"/>
          </w:rPr>
          <w:t>http://data.europa.eu/eli/C/2024/6332/oj</w:t>
        </w:r>
      </w:hyperlink>
      <w:r w:rsidRPr="00AA43E9">
        <w:rPr>
          <w:sz w:val="24"/>
          <w:szCs w:val="24"/>
          <w:lang w:val="hr-HR"/>
        </w:rPr>
        <w:t>.</w:t>
      </w:r>
    </w:p>
  </w:footnote>
  <w:footnote w:id="122">
    <w:p w14:paraId="69FCE02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22" w:history="1">
        <w:r w:rsidRPr="00AA43E9">
          <w:rPr>
            <w:rStyle w:val="Hyperlink1"/>
            <w:sz w:val="24"/>
            <w:szCs w:val="24"/>
            <w:lang w:val="hr-HR"/>
          </w:rPr>
          <w:t>http://data.europa.eu/eli/C/2024/6041/oj</w:t>
        </w:r>
      </w:hyperlink>
      <w:r w:rsidRPr="00AA43E9">
        <w:rPr>
          <w:sz w:val="24"/>
          <w:szCs w:val="24"/>
          <w:lang w:val="hr-HR"/>
        </w:rPr>
        <w:t>.</w:t>
      </w:r>
    </w:p>
  </w:footnote>
  <w:footnote w:id="123">
    <w:p w14:paraId="2530A0E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23" w:history="1">
        <w:r w:rsidRPr="00AA43E9">
          <w:rPr>
            <w:rStyle w:val="Hyperlink1"/>
            <w:sz w:val="24"/>
            <w:szCs w:val="24"/>
            <w:lang w:val="hr-HR"/>
          </w:rPr>
          <w:t>http://data.europa.eu/eli/reg/2018/1046/oj</w:t>
        </w:r>
      </w:hyperlink>
      <w:r w:rsidRPr="00AA43E9">
        <w:rPr>
          <w:sz w:val="24"/>
          <w:szCs w:val="24"/>
          <w:lang w:val="hr-HR"/>
        </w:rPr>
        <w:t>.</w:t>
      </w:r>
    </w:p>
  </w:footnote>
  <w:footnote w:id="124">
    <w:p w14:paraId="559951C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2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25">
    <w:p w14:paraId="75E2F7F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83, 25.3.2019., str. 18., ELI: </w:t>
      </w:r>
      <w:hyperlink r:id="rId125" w:history="1">
        <w:r w:rsidRPr="00AA43E9">
          <w:rPr>
            <w:rStyle w:val="Hyperlink1"/>
            <w:sz w:val="24"/>
            <w:szCs w:val="24"/>
            <w:lang w:val="hr-HR"/>
          </w:rPr>
          <w:t>http://data.europa.eu/eli/reg/2019/473/oj</w:t>
        </w:r>
      </w:hyperlink>
      <w:r w:rsidRPr="00AA43E9">
        <w:rPr>
          <w:sz w:val="24"/>
          <w:szCs w:val="24"/>
          <w:lang w:val="hr-HR"/>
        </w:rPr>
        <w:t>.</w:t>
      </w:r>
    </w:p>
  </w:footnote>
  <w:footnote w:id="126">
    <w:p w14:paraId="1F4E985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26" w:history="1">
        <w:r w:rsidRPr="00AA43E9">
          <w:rPr>
            <w:rStyle w:val="Hyperlink1"/>
            <w:sz w:val="24"/>
            <w:szCs w:val="24"/>
            <w:lang w:val="hr-HR"/>
          </w:rPr>
          <w:t>http://data.europa.eu/eli/reg_del/2019/715/oj</w:t>
        </w:r>
      </w:hyperlink>
      <w:r w:rsidRPr="00AA43E9">
        <w:rPr>
          <w:sz w:val="24"/>
          <w:szCs w:val="24"/>
          <w:lang w:val="hr-HR"/>
        </w:rPr>
        <w:t>.</w:t>
      </w:r>
    </w:p>
  </w:footnote>
  <w:footnote w:id="127">
    <w:p w14:paraId="2536251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27" w:history="1">
        <w:r w:rsidRPr="00AA43E9">
          <w:rPr>
            <w:rStyle w:val="Hyperlink1"/>
            <w:sz w:val="24"/>
            <w:szCs w:val="24"/>
            <w:lang w:val="hr-HR"/>
          </w:rPr>
          <w:t>http://data.europa.eu/eli/C/2024/6332/oj</w:t>
        </w:r>
      </w:hyperlink>
      <w:r w:rsidRPr="00AA43E9">
        <w:rPr>
          <w:sz w:val="24"/>
          <w:szCs w:val="24"/>
          <w:lang w:val="hr-HR"/>
        </w:rPr>
        <w:t>.</w:t>
      </w:r>
    </w:p>
  </w:footnote>
  <w:footnote w:id="128">
    <w:p w14:paraId="29395F5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28" w:history="1">
        <w:r w:rsidRPr="00AA43E9">
          <w:rPr>
            <w:rStyle w:val="Hyperlink1"/>
            <w:sz w:val="24"/>
            <w:szCs w:val="24"/>
            <w:lang w:val="hr-HR"/>
          </w:rPr>
          <w:t>http://data.europa.eu/eli/C/2024/6041/oj</w:t>
        </w:r>
      </w:hyperlink>
      <w:r w:rsidRPr="00AA43E9">
        <w:rPr>
          <w:sz w:val="24"/>
          <w:szCs w:val="24"/>
          <w:lang w:val="hr-HR"/>
        </w:rPr>
        <w:t>.</w:t>
      </w:r>
    </w:p>
  </w:footnote>
  <w:footnote w:id="129">
    <w:p w14:paraId="190A3AE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29" w:history="1">
        <w:r w:rsidRPr="00AA43E9">
          <w:rPr>
            <w:rStyle w:val="Hyperlink1"/>
            <w:sz w:val="24"/>
            <w:szCs w:val="24"/>
            <w:lang w:val="hr-HR"/>
          </w:rPr>
          <w:t>http://data.europa.eu/eli/reg/2018/1046/oj</w:t>
        </w:r>
      </w:hyperlink>
      <w:r w:rsidRPr="00AA43E9">
        <w:rPr>
          <w:sz w:val="24"/>
          <w:szCs w:val="24"/>
          <w:lang w:val="hr-HR"/>
        </w:rPr>
        <w:t>.</w:t>
      </w:r>
    </w:p>
  </w:footnote>
  <w:footnote w:id="130">
    <w:p w14:paraId="3881BA2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3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31">
    <w:p w14:paraId="63CE6F8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83, 25.3.2019., str. 18., ELI: </w:t>
      </w:r>
      <w:hyperlink r:id="rId131" w:history="1">
        <w:r w:rsidRPr="00AA43E9">
          <w:rPr>
            <w:rStyle w:val="Hyperlink1"/>
            <w:sz w:val="24"/>
            <w:szCs w:val="24"/>
            <w:lang w:val="hr-HR"/>
          </w:rPr>
          <w:t>http://data.europa.eu/eli/reg/2019/473/oj</w:t>
        </w:r>
      </w:hyperlink>
      <w:r w:rsidRPr="00AA43E9">
        <w:rPr>
          <w:sz w:val="24"/>
          <w:szCs w:val="24"/>
          <w:lang w:val="hr-HR"/>
        </w:rPr>
        <w:t>.</w:t>
      </w:r>
    </w:p>
  </w:footnote>
  <w:footnote w:id="132">
    <w:p w14:paraId="0198C12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32" w:history="1">
        <w:r w:rsidRPr="00AA43E9">
          <w:rPr>
            <w:rStyle w:val="Hyperlink1"/>
            <w:sz w:val="24"/>
            <w:szCs w:val="24"/>
            <w:lang w:val="hr-HR"/>
          </w:rPr>
          <w:t>http://data.europa.eu/eli/reg_del/2019/715/oj</w:t>
        </w:r>
      </w:hyperlink>
      <w:r w:rsidRPr="00AA43E9">
        <w:rPr>
          <w:sz w:val="24"/>
          <w:szCs w:val="24"/>
          <w:lang w:val="hr-HR"/>
        </w:rPr>
        <w:t>.</w:t>
      </w:r>
    </w:p>
  </w:footnote>
  <w:footnote w:id="133">
    <w:p w14:paraId="5C375A8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33" w:history="1">
        <w:r w:rsidRPr="00AA43E9">
          <w:rPr>
            <w:rStyle w:val="Hyperlink1"/>
            <w:sz w:val="24"/>
            <w:szCs w:val="24"/>
            <w:lang w:val="hr-HR"/>
          </w:rPr>
          <w:t>http://data.europa.eu/eli/C/2024/6332/oj</w:t>
        </w:r>
      </w:hyperlink>
      <w:r w:rsidRPr="00AA43E9">
        <w:rPr>
          <w:sz w:val="24"/>
          <w:szCs w:val="24"/>
          <w:lang w:val="hr-HR"/>
        </w:rPr>
        <w:t>.</w:t>
      </w:r>
    </w:p>
  </w:footnote>
  <w:footnote w:id="134">
    <w:p w14:paraId="5298A09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34" w:history="1">
        <w:r w:rsidRPr="00AA43E9">
          <w:rPr>
            <w:rStyle w:val="Hyperlink1"/>
            <w:sz w:val="24"/>
            <w:szCs w:val="24"/>
            <w:lang w:val="hr-HR"/>
          </w:rPr>
          <w:t>http://data.europa.eu/eli/C/2024/6041/oj</w:t>
        </w:r>
      </w:hyperlink>
      <w:r w:rsidRPr="00AA43E9">
        <w:rPr>
          <w:sz w:val="24"/>
          <w:szCs w:val="24"/>
          <w:lang w:val="hr-HR"/>
        </w:rPr>
        <w:t>.</w:t>
      </w:r>
    </w:p>
  </w:footnote>
  <w:footnote w:id="135">
    <w:p w14:paraId="4455CB5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35" w:history="1">
        <w:r w:rsidRPr="00AA43E9">
          <w:rPr>
            <w:rStyle w:val="Hyperlink1"/>
            <w:sz w:val="24"/>
            <w:szCs w:val="24"/>
            <w:lang w:val="hr-HR"/>
          </w:rPr>
          <w:t>http://data.europa.eu/eli/reg/2018/1046/oj</w:t>
        </w:r>
      </w:hyperlink>
      <w:r w:rsidRPr="00AA43E9">
        <w:rPr>
          <w:sz w:val="24"/>
          <w:szCs w:val="24"/>
          <w:lang w:val="hr-HR"/>
        </w:rPr>
        <w:t>.</w:t>
      </w:r>
    </w:p>
  </w:footnote>
  <w:footnote w:id="136">
    <w:p w14:paraId="2A65FC6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3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37">
    <w:p w14:paraId="2590DFA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31, 1.2.2002., str. 1., ELI: </w:t>
      </w:r>
      <w:hyperlink r:id="rId137" w:history="1">
        <w:r w:rsidRPr="00AA43E9">
          <w:rPr>
            <w:rStyle w:val="Hyperlink1"/>
            <w:sz w:val="24"/>
            <w:szCs w:val="24"/>
            <w:lang w:val="hr-HR"/>
          </w:rPr>
          <w:t>http://data.europa.eu/eli/reg/2002/178/oj</w:t>
        </w:r>
      </w:hyperlink>
      <w:r w:rsidRPr="00AA43E9">
        <w:rPr>
          <w:sz w:val="24"/>
          <w:szCs w:val="24"/>
          <w:lang w:val="hr-HR"/>
        </w:rPr>
        <w:t>.</w:t>
      </w:r>
    </w:p>
  </w:footnote>
  <w:footnote w:id="138">
    <w:p w14:paraId="41E1A4A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38" w:history="1">
        <w:r w:rsidRPr="00AA43E9">
          <w:rPr>
            <w:rStyle w:val="Hyperlink1"/>
            <w:sz w:val="24"/>
            <w:szCs w:val="24"/>
            <w:lang w:val="hr-HR"/>
          </w:rPr>
          <w:t>http://data.europa.eu/eli/reg_del/2019/715/oj</w:t>
        </w:r>
      </w:hyperlink>
      <w:r w:rsidRPr="00AA43E9">
        <w:rPr>
          <w:sz w:val="24"/>
          <w:szCs w:val="24"/>
          <w:lang w:val="hr-HR"/>
        </w:rPr>
        <w:t>.</w:t>
      </w:r>
    </w:p>
  </w:footnote>
  <w:footnote w:id="139">
    <w:p w14:paraId="0877368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39" w:history="1">
        <w:r w:rsidRPr="00AA43E9">
          <w:rPr>
            <w:rStyle w:val="Hyperlink1"/>
            <w:sz w:val="24"/>
            <w:szCs w:val="24"/>
            <w:lang w:val="hr-HR"/>
          </w:rPr>
          <w:t>http://data.europa.eu/eli/C/2024/6332/oj</w:t>
        </w:r>
      </w:hyperlink>
      <w:r w:rsidRPr="00AA43E9">
        <w:rPr>
          <w:sz w:val="24"/>
          <w:szCs w:val="24"/>
          <w:lang w:val="hr-HR"/>
        </w:rPr>
        <w:t>.</w:t>
      </w:r>
    </w:p>
  </w:footnote>
  <w:footnote w:id="140">
    <w:p w14:paraId="6072821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40" w:history="1">
        <w:r w:rsidRPr="00AA43E9">
          <w:rPr>
            <w:rStyle w:val="Hyperlink1"/>
            <w:sz w:val="24"/>
            <w:szCs w:val="24"/>
            <w:lang w:val="hr-HR"/>
          </w:rPr>
          <w:t>http://data.europa.eu/eli/C/2024/6041/oj</w:t>
        </w:r>
      </w:hyperlink>
      <w:r w:rsidRPr="00AA43E9">
        <w:rPr>
          <w:sz w:val="24"/>
          <w:szCs w:val="24"/>
          <w:lang w:val="hr-HR"/>
        </w:rPr>
        <w:t>.</w:t>
      </w:r>
    </w:p>
  </w:footnote>
  <w:footnote w:id="141">
    <w:p w14:paraId="23F4E7E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41" w:history="1">
        <w:r w:rsidRPr="00AA43E9">
          <w:rPr>
            <w:rStyle w:val="Hyperlink1"/>
            <w:sz w:val="24"/>
            <w:szCs w:val="24"/>
            <w:lang w:val="hr-HR"/>
          </w:rPr>
          <w:t>http://data.europa.eu/eli/reg/2018/1046/oj</w:t>
        </w:r>
      </w:hyperlink>
      <w:r w:rsidRPr="00AA43E9">
        <w:rPr>
          <w:sz w:val="24"/>
          <w:szCs w:val="24"/>
          <w:lang w:val="hr-HR"/>
        </w:rPr>
        <w:t>.</w:t>
      </w:r>
    </w:p>
  </w:footnote>
  <w:footnote w:id="142">
    <w:p w14:paraId="05702F1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4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43">
    <w:p w14:paraId="3BCBD12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31, 1.2.2002., str. 1., ELI: </w:t>
      </w:r>
      <w:hyperlink r:id="rId143" w:history="1">
        <w:r w:rsidRPr="00AA43E9">
          <w:rPr>
            <w:rStyle w:val="Hyperlink"/>
            <w:sz w:val="24"/>
            <w:szCs w:val="24"/>
            <w:lang w:val="hr-HR"/>
          </w:rPr>
          <w:t>http://data.europa.eu/eli/reg/2002/178/oj</w:t>
        </w:r>
      </w:hyperlink>
      <w:r w:rsidRPr="00AA43E9">
        <w:rPr>
          <w:sz w:val="24"/>
          <w:szCs w:val="24"/>
          <w:lang w:val="hr-HR"/>
        </w:rPr>
        <w:t>.</w:t>
      </w:r>
    </w:p>
  </w:footnote>
  <w:footnote w:id="144">
    <w:p w14:paraId="1523EE2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44" w:history="1">
        <w:r w:rsidRPr="00AA43E9">
          <w:rPr>
            <w:rStyle w:val="Hyperlink1"/>
            <w:sz w:val="24"/>
            <w:szCs w:val="24"/>
            <w:lang w:val="hr-HR"/>
          </w:rPr>
          <w:t>http://data.europa.eu/eli/reg_del/2019/715/oj</w:t>
        </w:r>
      </w:hyperlink>
      <w:r w:rsidRPr="00AA43E9">
        <w:rPr>
          <w:sz w:val="24"/>
          <w:szCs w:val="24"/>
          <w:lang w:val="hr-HR"/>
        </w:rPr>
        <w:t>.</w:t>
      </w:r>
    </w:p>
  </w:footnote>
  <w:footnote w:id="145">
    <w:p w14:paraId="1E7358D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45" w:history="1">
        <w:r w:rsidRPr="00AA43E9">
          <w:rPr>
            <w:rStyle w:val="Hyperlink1"/>
            <w:sz w:val="24"/>
            <w:szCs w:val="24"/>
            <w:lang w:val="hr-HR"/>
          </w:rPr>
          <w:t>http://data.europa.eu/eli/C/2024/6332/oj</w:t>
        </w:r>
      </w:hyperlink>
      <w:r w:rsidRPr="00AA43E9">
        <w:rPr>
          <w:sz w:val="24"/>
          <w:szCs w:val="24"/>
          <w:lang w:val="hr-HR"/>
        </w:rPr>
        <w:t>.</w:t>
      </w:r>
    </w:p>
  </w:footnote>
  <w:footnote w:id="146">
    <w:p w14:paraId="4A23ABF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46" w:history="1">
        <w:r w:rsidRPr="00AA43E9">
          <w:rPr>
            <w:rStyle w:val="Hyperlink1"/>
            <w:sz w:val="24"/>
            <w:szCs w:val="24"/>
            <w:lang w:val="hr-HR"/>
          </w:rPr>
          <w:t>http://data.europa.eu/eli/C/2024/6041/oj</w:t>
        </w:r>
      </w:hyperlink>
      <w:r w:rsidRPr="00AA43E9">
        <w:rPr>
          <w:sz w:val="24"/>
          <w:szCs w:val="24"/>
          <w:lang w:val="hr-HR"/>
        </w:rPr>
        <w:t>.</w:t>
      </w:r>
    </w:p>
  </w:footnote>
  <w:footnote w:id="147">
    <w:p w14:paraId="5589BCC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47" w:history="1">
        <w:r w:rsidRPr="00AA43E9">
          <w:rPr>
            <w:rStyle w:val="Hyperlink1"/>
            <w:sz w:val="24"/>
            <w:szCs w:val="24"/>
            <w:lang w:val="hr-HR"/>
          </w:rPr>
          <w:t>http://data.europa.eu/eli/reg/2018/1046/oj</w:t>
        </w:r>
      </w:hyperlink>
      <w:r w:rsidRPr="00AA43E9">
        <w:rPr>
          <w:sz w:val="24"/>
          <w:szCs w:val="24"/>
          <w:lang w:val="hr-HR"/>
        </w:rPr>
        <w:t>.</w:t>
      </w:r>
    </w:p>
  </w:footnote>
  <w:footnote w:id="148">
    <w:p w14:paraId="201B52F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4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49">
    <w:p w14:paraId="534B9F0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403, 30.12.2006., str. 9., ELI: </w:t>
      </w:r>
      <w:hyperlink r:id="rId149" w:history="1">
        <w:r w:rsidRPr="00AA43E9">
          <w:rPr>
            <w:rStyle w:val="Hyperlink"/>
            <w:sz w:val="24"/>
            <w:szCs w:val="24"/>
            <w:lang w:val="hr-HR"/>
          </w:rPr>
          <w:t>http://data.europa.eu/eli/reg/2006/1922/oj</w:t>
        </w:r>
      </w:hyperlink>
      <w:r w:rsidRPr="00AA43E9">
        <w:rPr>
          <w:sz w:val="24"/>
          <w:szCs w:val="24"/>
          <w:lang w:val="hr-HR"/>
        </w:rPr>
        <w:t>.</w:t>
      </w:r>
    </w:p>
  </w:footnote>
  <w:footnote w:id="150">
    <w:p w14:paraId="1721D28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50" w:history="1">
        <w:r w:rsidRPr="00AA43E9">
          <w:rPr>
            <w:rStyle w:val="Hyperlink1"/>
            <w:sz w:val="24"/>
            <w:szCs w:val="24"/>
            <w:lang w:val="hr-HR"/>
          </w:rPr>
          <w:t>http://data.europa.eu/eli/reg_del/2019/715/oj</w:t>
        </w:r>
      </w:hyperlink>
      <w:r w:rsidRPr="00AA43E9">
        <w:rPr>
          <w:sz w:val="24"/>
          <w:szCs w:val="24"/>
          <w:lang w:val="hr-HR"/>
        </w:rPr>
        <w:t>.</w:t>
      </w:r>
    </w:p>
  </w:footnote>
  <w:footnote w:id="151">
    <w:p w14:paraId="0797255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51" w:history="1">
        <w:r w:rsidRPr="00AA43E9">
          <w:rPr>
            <w:rStyle w:val="Hyperlink1"/>
            <w:sz w:val="24"/>
            <w:szCs w:val="24"/>
            <w:lang w:val="hr-HR"/>
          </w:rPr>
          <w:t>http://data.europa.eu/eli/C/2024/6332/oj</w:t>
        </w:r>
      </w:hyperlink>
      <w:r w:rsidRPr="00AA43E9">
        <w:rPr>
          <w:sz w:val="24"/>
          <w:szCs w:val="24"/>
          <w:lang w:val="hr-HR"/>
        </w:rPr>
        <w:t>.</w:t>
      </w:r>
    </w:p>
  </w:footnote>
  <w:footnote w:id="152">
    <w:p w14:paraId="4C815F3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52" w:history="1">
        <w:r w:rsidRPr="00AA43E9">
          <w:rPr>
            <w:rStyle w:val="Hyperlink1"/>
            <w:sz w:val="24"/>
            <w:szCs w:val="24"/>
            <w:lang w:val="hr-HR"/>
          </w:rPr>
          <w:t>http://data.europa.eu/eli/C/2024/6041/oj</w:t>
        </w:r>
      </w:hyperlink>
      <w:r w:rsidRPr="00AA43E9">
        <w:rPr>
          <w:sz w:val="24"/>
          <w:szCs w:val="24"/>
          <w:lang w:val="hr-HR"/>
        </w:rPr>
        <w:t>.</w:t>
      </w:r>
    </w:p>
  </w:footnote>
  <w:footnote w:id="153">
    <w:p w14:paraId="1A2D9EB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53" w:history="1">
        <w:r w:rsidRPr="00AA43E9">
          <w:rPr>
            <w:rStyle w:val="Hyperlink1"/>
            <w:sz w:val="24"/>
            <w:szCs w:val="24"/>
            <w:lang w:val="hr-HR"/>
          </w:rPr>
          <w:t>http://data.europa.eu/eli/reg/2018/1046/oj</w:t>
        </w:r>
      </w:hyperlink>
      <w:r w:rsidRPr="00AA43E9">
        <w:rPr>
          <w:sz w:val="24"/>
          <w:szCs w:val="24"/>
          <w:lang w:val="hr-HR"/>
        </w:rPr>
        <w:t>.</w:t>
      </w:r>
    </w:p>
  </w:footnote>
  <w:footnote w:id="154">
    <w:p w14:paraId="632D8F2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5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55">
    <w:p w14:paraId="65D943A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403, 30.12.2006., str. 9., ELI: </w:t>
      </w:r>
      <w:hyperlink r:id="rId155" w:history="1">
        <w:r w:rsidRPr="00AA43E9">
          <w:rPr>
            <w:rStyle w:val="Hyperlink"/>
            <w:sz w:val="24"/>
            <w:szCs w:val="24"/>
            <w:lang w:val="hr-HR"/>
          </w:rPr>
          <w:t>http://data.europa.eu/eli/reg/2006/1922/oj</w:t>
        </w:r>
      </w:hyperlink>
      <w:r w:rsidRPr="00AA43E9">
        <w:rPr>
          <w:sz w:val="24"/>
          <w:szCs w:val="24"/>
          <w:lang w:val="hr-HR"/>
        </w:rPr>
        <w:t>.</w:t>
      </w:r>
    </w:p>
  </w:footnote>
  <w:footnote w:id="156">
    <w:p w14:paraId="5B06176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56" w:history="1">
        <w:r w:rsidRPr="00AA43E9">
          <w:rPr>
            <w:rStyle w:val="Hyperlink1"/>
            <w:sz w:val="24"/>
            <w:szCs w:val="24"/>
            <w:lang w:val="hr-HR"/>
          </w:rPr>
          <w:t>http://data.europa.eu/eli/reg_del/2019/715/oj</w:t>
        </w:r>
      </w:hyperlink>
      <w:r w:rsidRPr="00AA43E9">
        <w:rPr>
          <w:sz w:val="24"/>
          <w:szCs w:val="24"/>
          <w:lang w:val="hr-HR"/>
        </w:rPr>
        <w:t>.</w:t>
      </w:r>
    </w:p>
  </w:footnote>
  <w:footnote w:id="157">
    <w:p w14:paraId="13BC457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57" w:history="1">
        <w:r w:rsidRPr="00AA43E9">
          <w:rPr>
            <w:rStyle w:val="Hyperlink1"/>
            <w:sz w:val="24"/>
            <w:szCs w:val="24"/>
            <w:lang w:val="hr-HR"/>
          </w:rPr>
          <w:t>http://data.europa.eu/eli/C/2024/6332/oj</w:t>
        </w:r>
      </w:hyperlink>
      <w:r w:rsidRPr="00AA43E9">
        <w:rPr>
          <w:sz w:val="24"/>
          <w:szCs w:val="24"/>
          <w:lang w:val="hr-HR"/>
        </w:rPr>
        <w:t>.</w:t>
      </w:r>
    </w:p>
  </w:footnote>
  <w:footnote w:id="158">
    <w:p w14:paraId="38C20D3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58" w:history="1">
        <w:r w:rsidRPr="00AA43E9">
          <w:rPr>
            <w:rStyle w:val="Hyperlink1"/>
            <w:sz w:val="24"/>
            <w:szCs w:val="24"/>
            <w:lang w:val="hr-HR"/>
          </w:rPr>
          <w:t>http://data.europa.eu/eli/C/2024/6041/oj</w:t>
        </w:r>
      </w:hyperlink>
      <w:r w:rsidRPr="00AA43E9">
        <w:rPr>
          <w:sz w:val="24"/>
          <w:szCs w:val="24"/>
          <w:lang w:val="hr-HR"/>
        </w:rPr>
        <w:t>.</w:t>
      </w:r>
    </w:p>
  </w:footnote>
  <w:footnote w:id="159">
    <w:p w14:paraId="0782FF0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59" w:history="1">
        <w:r w:rsidRPr="00AA43E9">
          <w:rPr>
            <w:rStyle w:val="Hyperlink1"/>
            <w:sz w:val="24"/>
            <w:szCs w:val="24"/>
            <w:lang w:val="hr-HR"/>
          </w:rPr>
          <w:t>http://data.europa.eu/eli/reg/2018/1046/oj</w:t>
        </w:r>
      </w:hyperlink>
      <w:r w:rsidRPr="00AA43E9">
        <w:rPr>
          <w:sz w:val="24"/>
          <w:szCs w:val="24"/>
          <w:lang w:val="hr-HR"/>
        </w:rPr>
        <w:t>.</w:t>
      </w:r>
    </w:p>
  </w:footnote>
  <w:footnote w:id="160">
    <w:p w14:paraId="477DB06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6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61">
    <w:p w14:paraId="3BE4BCC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331, 15.12.2010., str. 48., ELI: </w:t>
      </w:r>
      <w:hyperlink r:id="rId161" w:history="1">
        <w:r w:rsidRPr="00AA43E9">
          <w:rPr>
            <w:rStyle w:val="Hyperlink1"/>
            <w:sz w:val="24"/>
            <w:szCs w:val="24"/>
            <w:lang w:val="hr-HR"/>
          </w:rPr>
          <w:t>http://data.europa.eu/eli/reg/2010/1094/oj</w:t>
        </w:r>
      </w:hyperlink>
      <w:r w:rsidRPr="00AA43E9">
        <w:rPr>
          <w:sz w:val="24"/>
          <w:szCs w:val="24"/>
          <w:lang w:val="hr-HR"/>
        </w:rPr>
        <w:t>.</w:t>
      </w:r>
    </w:p>
  </w:footnote>
  <w:footnote w:id="162">
    <w:p w14:paraId="512BE17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62" w:history="1">
        <w:r w:rsidRPr="00AA43E9">
          <w:rPr>
            <w:rStyle w:val="Hyperlink1"/>
            <w:sz w:val="24"/>
            <w:szCs w:val="24"/>
            <w:lang w:val="hr-HR"/>
          </w:rPr>
          <w:t>http://data.europa.eu/eli/reg_del/2019/715/oj</w:t>
        </w:r>
      </w:hyperlink>
      <w:r w:rsidRPr="00AA43E9">
        <w:rPr>
          <w:sz w:val="24"/>
          <w:szCs w:val="24"/>
          <w:lang w:val="hr-HR"/>
        </w:rPr>
        <w:t>.</w:t>
      </w:r>
    </w:p>
  </w:footnote>
  <w:footnote w:id="163">
    <w:p w14:paraId="1B752F4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63" w:history="1">
        <w:r w:rsidRPr="00AA43E9">
          <w:rPr>
            <w:rStyle w:val="Hyperlink1"/>
            <w:sz w:val="24"/>
            <w:szCs w:val="24"/>
            <w:lang w:val="hr-HR"/>
          </w:rPr>
          <w:t>http://data.europa.eu/eli/C/2024/6332/oj</w:t>
        </w:r>
      </w:hyperlink>
      <w:r w:rsidRPr="00AA43E9">
        <w:rPr>
          <w:sz w:val="24"/>
          <w:szCs w:val="24"/>
          <w:lang w:val="hr-HR"/>
        </w:rPr>
        <w:t>.</w:t>
      </w:r>
    </w:p>
  </w:footnote>
  <w:footnote w:id="164">
    <w:p w14:paraId="79A4891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64" w:history="1">
        <w:r w:rsidRPr="00AA43E9">
          <w:rPr>
            <w:rStyle w:val="Hyperlink1"/>
            <w:sz w:val="24"/>
            <w:szCs w:val="24"/>
            <w:lang w:val="hr-HR"/>
          </w:rPr>
          <w:t>http://data.europa.eu/eli/C/2024/6041/oj</w:t>
        </w:r>
      </w:hyperlink>
      <w:r w:rsidRPr="00AA43E9">
        <w:rPr>
          <w:sz w:val="24"/>
          <w:szCs w:val="24"/>
          <w:lang w:val="hr-HR"/>
        </w:rPr>
        <w:t>.</w:t>
      </w:r>
    </w:p>
  </w:footnote>
  <w:footnote w:id="165">
    <w:p w14:paraId="382C3BA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65" w:history="1">
        <w:r w:rsidRPr="00AA43E9">
          <w:rPr>
            <w:rStyle w:val="Hyperlink1"/>
            <w:sz w:val="24"/>
            <w:szCs w:val="24"/>
            <w:lang w:val="hr-HR"/>
          </w:rPr>
          <w:t>http://data.europa.eu/eli/reg/2018/1046/oj</w:t>
        </w:r>
      </w:hyperlink>
      <w:r w:rsidRPr="00AA43E9">
        <w:rPr>
          <w:sz w:val="24"/>
          <w:szCs w:val="24"/>
          <w:lang w:val="hr-HR"/>
        </w:rPr>
        <w:t>.</w:t>
      </w:r>
    </w:p>
  </w:footnote>
  <w:footnote w:id="166">
    <w:p w14:paraId="13FA53A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6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67">
    <w:p w14:paraId="05683EE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331, 15.12.2010., str. 48., ELI: </w:t>
      </w:r>
      <w:hyperlink r:id="rId167" w:history="1">
        <w:r w:rsidRPr="00AA43E9">
          <w:rPr>
            <w:rStyle w:val="Hyperlink1"/>
            <w:sz w:val="24"/>
            <w:szCs w:val="24"/>
            <w:lang w:val="hr-HR"/>
          </w:rPr>
          <w:t>http://data.europa.eu/eli/reg/2010/1094/oj</w:t>
        </w:r>
      </w:hyperlink>
      <w:r w:rsidRPr="00AA43E9">
        <w:rPr>
          <w:sz w:val="24"/>
          <w:szCs w:val="24"/>
          <w:lang w:val="hr-HR"/>
        </w:rPr>
        <w:t>.</w:t>
      </w:r>
    </w:p>
  </w:footnote>
  <w:footnote w:id="168">
    <w:p w14:paraId="0B41185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68" w:history="1">
        <w:r w:rsidRPr="00AA43E9">
          <w:rPr>
            <w:rStyle w:val="Hyperlink1"/>
            <w:sz w:val="24"/>
            <w:szCs w:val="24"/>
            <w:lang w:val="hr-HR"/>
          </w:rPr>
          <w:t>http://data.europa.eu/eli/reg_del/2019/715/oj</w:t>
        </w:r>
      </w:hyperlink>
      <w:r w:rsidRPr="00AA43E9">
        <w:rPr>
          <w:sz w:val="24"/>
          <w:szCs w:val="24"/>
          <w:lang w:val="hr-HR"/>
        </w:rPr>
        <w:t>.</w:t>
      </w:r>
    </w:p>
  </w:footnote>
  <w:footnote w:id="169">
    <w:p w14:paraId="5B4F192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69" w:history="1">
        <w:r w:rsidRPr="00AA43E9">
          <w:rPr>
            <w:rStyle w:val="Hyperlink1"/>
            <w:sz w:val="24"/>
            <w:szCs w:val="24"/>
            <w:lang w:val="hr-HR"/>
          </w:rPr>
          <w:t>http://data.europa.eu/eli/C/2024/6332/oj</w:t>
        </w:r>
      </w:hyperlink>
      <w:r w:rsidRPr="00AA43E9">
        <w:rPr>
          <w:sz w:val="24"/>
          <w:szCs w:val="24"/>
          <w:lang w:val="hr-HR"/>
        </w:rPr>
        <w:t>.</w:t>
      </w:r>
    </w:p>
  </w:footnote>
  <w:footnote w:id="170">
    <w:p w14:paraId="048476F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70" w:history="1">
        <w:r w:rsidRPr="00AA43E9">
          <w:rPr>
            <w:rStyle w:val="Hyperlink1"/>
            <w:sz w:val="24"/>
            <w:szCs w:val="24"/>
            <w:lang w:val="hr-HR"/>
          </w:rPr>
          <w:t>http://data.europa.eu/eli/C/2024/6041/oj</w:t>
        </w:r>
      </w:hyperlink>
      <w:r w:rsidRPr="00AA43E9">
        <w:rPr>
          <w:sz w:val="24"/>
          <w:szCs w:val="24"/>
          <w:lang w:val="hr-HR"/>
        </w:rPr>
        <w:t>.</w:t>
      </w:r>
    </w:p>
  </w:footnote>
  <w:footnote w:id="171">
    <w:p w14:paraId="68D5738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71" w:history="1">
        <w:r w:rsidRPr="00AA43E9">
          <w:rPr>
            <w:rStyle w:val="Hyperlink1"/>
            <w:sz w:val="24"/>
            <w:szCs w:val="24"/>
            <w:lang w:val="hr-HR"/>
          </w:rPr>
          <w:t>http://data.europa.eu/eli/reg/2018/1046/oj</w:t>
        </w:r>
      </w:hyperlink>
      <w:r w:rsidRPr="00AA43E9">
        <w:rPr>
          <w:sz w:val="24"/>
          <w:szCs w:val="24"/>
          <w:lang w:val="hr-HR"/>
        </w:rPr>
        <w:t>.</w:t>
      </w:r>
    </w:p>
  </w:footnote>
  <w:footnote w:id="172">
    <w:p w14:paraId="5FBD843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7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73">
    <w:p w14:paraId="0486161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189, 28.5.2021., str. 61., ELI: </w:t>
      </w:r>
      <w:hyperlink r:id="rId173" w:history="1">
        <w:r w:rsidRPr="00AA43E9">
          <w:rPr>
            <w:rStyle w:val="Hyperlink"/>
            <w:sz w:val="24"/>
            <w:szCs w:val="24"/>
            <w:lang w:val="hr-HR"/>
          </w:rPr>
          <w:t>http://data.europa.eu/eli/reg/2021/819/oj</w:t>
        </w:r>
      </w:hyperlink>
      <w:r w:rsidRPr="00AA43E9">
        <w:rPr>
          <w:sz w:val="24"/>
          <w:szCs w:val="24"/>
          <w:lang w:val="hr-HR"/>
        </w:rPr>
        <w:t>.</w:t>
      </w:r>
    </w:p>
  </w:footnote>
  <w:footnote w:id="174">
    <w:p w14:paraId="270A173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74" w:history="1">
        <w:r w:rsidRPr="00AA43E9">
          <w:rPr>
            <w:rStyle w:val="Hyperlink1"/>
            <w:sz w:val="24"/>
            <w:szCs w:val="24"/>
            <w:lang w:val="hr-HR"/>
          </w:rPr>
          <w:t>http://data.europa.eu/eli/reg_del/2019/715/oj</w:t>
        </w:r>
      </w:hyperlink>
      <w:r w:rsidRPr="00AA43E9">
        <w:rPr>
          <w:sz w:val="24"/>
          <w:szCs w:val="24"/>
          <w:lang w:val="hr-HR"/>
        </w:rPr>
        <w:t>.</w:t>
      </w:r>
    </w:p>
  </w:footnote>
  <w:footnote w:id="175">
    <w:p w14:paraId="492A89C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75" w:history="1">
        <w:r w:rsidRPr="00AA43E9">
          <w:rPr>
            <w:rStyle w:val="Hyperlink1"/>
            <w:sz w:val="24"/>
            <w:szCs w:val="24"/>
            <w:lang w:val="hr-HR"/>
          </w:rPr>
          <w:t>http://data.europa.eu/eli/C/2024/6332/oj</w:t>
        </w:r>
      </w:hyperlink>
      <w:r w:rsidRPr="00AA43E9">
        <w:rPr>
          <w:sz w:val="24"/>
          <w:szCs w:val="24"/>
          <w:lang w:val="hr-HR"/>
        </w:rPr>
        <w:t>.</w:t>
      </w:r>
    </w:p>
  </w:footnote>
  <w:footnote w:id="176">
    <w:p w14:paraId="7FF4727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76" w:history="1">
        <w:r w:rsidRPr="00AA43E9">
          <w:rPr>
            <w:rStyle w:val="Hyperlink1"/>
            <w:sz w:val="24"/>
            <w:szCs w:val="24"/>
            <w:lang w:val="hr-HR"/>
          </w:rPr>
          <w:t>http://data.europa.eu/eli/C/2024/6041/oj</w:t>
        </w:r>
      </w:hyperlink>
      <w:r w:rsidRPr="00AA43E9">
        <w:rPr>
          <w:sz w:val="24"/>
          <w:szCs w:val="24"/>
          <w:lang w:val="hr-HR"/>
        </w:rPr>
        <w:t>.</w:t>
      </w:r>
    </w:p>
  </w:footnote>
  <w:footnote w:id="177">
    <w:p w14:paraId="5FD8B4B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77" w:history="1">
        <w:r w:rsidRPr="00AA43E9">
          <w:rPr>
            <w:rStyle w:val="Hyperlink1"/>
            <w:sz w:val="24"/>
            <w:szCs w:val="24"/>
            <w:lang w:val="hr-HR"/>
          </w:rPr>
          <w:t>http://data.europa.eu/eli/reg/2018/1046/oj</w:t>
        </w:r>
      </w:hyperlink>
      <w:r w:rsidRPr="00AA43E9">
        <w:rPr>
          <w:sz w:val="24"/>
          <w:szCs w:val="24"/>
          <w:lang w:val="hr-HR"/>
        </w:rPr>
        <w:t>.</w:t>
      </w:r>
    </w:p>
  </w:footnote>
  <w:footnote w:id="178">
    <w:p w14:paraId="1798EC9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7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79">
    <w:p w14:paraId="60B9A4E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189, 28.5.2021., str. 61., ELI: </w:t>
      </w:r>
      <w:hyperlink r:id="rId179" w:history="1">
        <w:r w:rsidRPr="00AA43E9">
          <w:rPr>
            <w:rStyle w:val="Hyperlink1"/>
            <w:sz w:val="24"/>
            <w:szCs w:val="24"/>
            <w:lang w:val="hr-HR"/>
          </w:rPr>
          <w:t>http://data.europa.eu/eli/reg/2021/819/oj</w:t>
        </w:r>
      </w:hyperlink>
      <w:r w:rsidRPr="00AA43E9">
        <w:rPr>
          <w:sz w:val="24"/>
          <w:szCs w:val="24"/>
          <w:lang w:val="hr-HR"/>
        </w:rPr>
        <w:t>.</w:t>
      </w:r>
    </w:p>
  </w:footnote>
  <w:footnote w:id="180">
    <w:p w14:paraId="4CF87E1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80" w:history="1">
        <w:r w:rsidRPr="00AA43E9">
          <w:rPr>
            <w:rStyle w:val="Hyperlink1"/>
            <w:sz w:val="24"/>
            <w:szCs w:val="24"/>
            <w:lang w:val="hr-HR"/>
          </w:rPr>
          <w:t>http://data.europa.eu/eli/reg_del/2019/715/oj</w:t>
        </w:r>
      </w:hyperlink>
      <w:r w:rsidRPr="00AA43E9">
        <w:rPr>
          <w:sz w:val="24"/>
          <w:szCs w:val="24"/>
          <w:lang w:val="hr-HR"/>
        </w:rPr>
        <w:t>.</w:t>
      </w:r>
    </w:p>
  </w:footnote>
  <w:footnote w:id="181">
    <w:p w14:paraId="740A5DC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81" w:history="1">
        <w:r w:rsidRPr="00AA43E9">
          <w:rPr>
            <w:rStyle w:val="Hyperlink1"/>
            <w:sz w:val="24"/>
            <w:szCs w:val="24"/>
            <w:lang w:val="hr-HR"/>
          </w:rPr>
          <w:t>http://data.europa.eu/eli/C/2024/6332/oj</w:t>
        </w:r>
      </w:hyperlink>
      <w:r w:rsidRPr="00AA43E9">
        <w:rPr>
          <w:sz w:val="24"/>
          <w:szCs w:val="24"/>
          <w:lang w:val="hr-HR"/>
        </w:rPr>
        <w:t>.</w:t>
      </w:r>
    </w:p>
  </w:footnote>
  <w:footnote w:id="182">
    <w:p w14:paraId="4CBD375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82" w:history="1">
        <w:r w:rsidRPr="00AA43E9">
          <w:rPr>
            <w:rStyle w:val="Hyperlink1"/>
            <w:sz w:val="24"/>
            <w:szCs w:val="24"/>
            <w:lang w:val="hr-HR"/>
          </w:rPr>
          <w:t>http://data.europa.eu/eli/C/2024/6041/oj</w:t>
        </w:r>
      </w:hyperlink>
      <w:r w:rsidRPr="00AA43E9">
        <w:rPr>
          <w:sz w:val="24"/>
          <w:szCs w:val="24"/>
          <w:lang w:val="hr-HR"/>
        </w:rPr>
        <w:t>.</w:t>
      </w:r>
    </w:p>
  </w:footnote>
  <w:footnote w:id="183">
    <w:p w14:paraId="12011BE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83" w:history="1">
        <w:r w:rsidRPr="00AA43E9">
          <w:rPr>
            <w:rStyle w:val="Hyperlink1"/>
            <w:sz w:val="24"/>
            <w:szCs w:val="24"/>
            <w:lang w:val="hr-HR"/>
          </w:rPr>
          <w:t>http://data.europa.eu/eli/reg/2018/1046/oj</w:t>
        </w:r>
      </w:hyperlink>
      <w:r w:rsidRPr="00AA43E9">
        <w:rPr>
          <w:sz w:val="24"/>
          <w:szCs w:val="24"/>
          <w:lang w:val="hr-HR"/>
        </w:rPr>
        <w:t>.</w:t>
      </w:r>
    </w:p>
  </w:footnote>
  <w:footnote w:id="184">
    <w:p w14:paraId="4F97A30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8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85">
    <w:p w14:paraId="07568CB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186, 11.7.2019., str. 21., ELI: </w:t>
      </w:r>
      <w:hyperlink r:id="rId185" w:history="1">
        <w:r w:rsidRPr="00AA43E9">
          <w:rPr>
            <w:rStyle w:val="Hyperlink1"/>
            <w:sz w:val="24"/>
            <w:szCs w:val="24"/>
            <w:lang w:val="hr-HR"/>
          </w:rPr>
          <w:t>http://data.europa.eu/eli/reg/2019/1149/oj</w:t>
        </w:r>
      </w:hyperlink>
      <w:r w:rsidRPr="00AA43E9">
        <w:rPr>
          <w:sz w:val="24"/>
          <w:szCs w:val="24"/>
          <w:lang w:val="hr-HR"/>
        </w:rPr>
        <w:t>.</w:t>
      </w:r>
    </w:p>
  </w:footnote>
  <w:footnote w:id="186">
    <w:p w14:paraId="1E618A1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86" w:history="1">
        <w:r w:rsidRPr="00AA43E9">
          <w:rPr>
            <w:rStyle w:val="Hyperlink1"/>
            <w:sz w:val="24"/>
            <w:szCs w:val="24"/>
            <w:lang w:val="hr-HR"/>
          </w:rPr>
          <w:t>http://data.europa.eu/eli/reg_del/2019/715/oj</w:t>
        </w:r>
      </w:hyperlink>
      <w:r w:rsidRPr="00AA43E9">
        <w:rPr>
          <w:sz w:val="24"/>
          <w:szCs w:val="24"/>
          <w:lang w:val="hr-HR"/>
        </w:rPr>
        <w:t>.</w:t>
      </w:r>
    </w:p>
  </w:footnote>
  <w:footnote w:id="187">
    <w:p w14:paraId="1EFBA25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87" w:history="1">
        <w:r w:rsidRPr="00AA43E9">
          <w:rPr>
            <w:rStyle w:val="Hyperlink1"/>
            <w:sz w:val="24"/>
            <w:szCs w:val="24"/>
            <w:lang w:val="hr-HR"/>
          </w:rPr>
          <w:t>http://data.europa.eu/eli/C/2024/6332/oj</w:t>
        </w:r>
      </w:hyperlink>
      <w:r w:rsidRPr="00AA43E9">
        <w:rPr>
          <w:sz w:val="24"/>
          <w:szCs w:val="24"/>
          <w:lang w:val="hr-HR"/>
        </w:rPr>
        <w:t>.</w:t>
      </w:r>
    </w:p>
  </w:footnote>
  <w:footnote w:id="188">
    <w:p w14:paraId="368FEBD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88" w:history="1">
        <w:r w:rsidRPr="00AA43E9">
          <w:rPr>
            <w:rStyle w:val="Hyperlink1"/>
            <w:sz w:val="24"/>
            <w:szCs w:val="24"/>
            <w:lang w:val="hr-HR"/>
          </w:rPr>
          <w:t>http://data.europa.eu/eli/C/2024/6041/oj</w:t>
        </w:r>
      </w:hyperlink>
      <w:r w:rsidRPr="00AA43E9">
        <w:rPr>
          <w:sz w:val="24"/>
          <w:szCs w:val="24"/>
          <w:lang w:val="hr-HR"/>
        </w:rPr>
        <w:t>.</w:t>
      </w:r>
    </w:p>
  </w:footnote>
  <w:footnote w:id="189">
    <w:p w14:paraId="4A56E00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89" w:history="1">
        <w:r w:rsidRPr="00AA43E9">
          <w:rPr>
            <w:rStyle w:val="Hyperlink1"/>
            <w:sz w:val="24"/>
            <w:szCs w:val="24"/>
            <w:lang w:val="hr-HR"/>
          </w:rPr>
          <w:t>http://data.europa.eu/eli/reg/2018/1046/oj</w:t>
        </w:r>
      </w:hyperlink>
      <w:r w:rsidRPr="00AA43E9">
        <w:rPr>
          <w:sz w:val="24"/>
          <w:szCs w:val="24"/>
          <w:lang w:val="hr-HR"/>
        </w:rPr>
        <w:t>.</w:t>
      </w:r>
    </w:p>
  </w:footnote>
  <w:footnote w:id="190">
    <w:p w14:paraId="01DD7FB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9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91">
    <w:p w14:paraId="2978EC5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186, 11.7.2019., str. 21., ELI: </w:t>
      </w:r>
      <w:hyperlink r:id="rId191" w:history="1">
        <w:r w:rsidRPr="00AA43E9">
          <w:rPr>
            <w:rStyle w:val="Hyperlink1"/>
            <w:sz w:val="24"/>
            <w:szCs w:val="24"/>
            <w:lang w:val="hr-HR"/>
          </w:rPr>
          <w:t>http://data.europa.eu/eli/reg/2019/1149/oj</w:t>
        </w:r>
      </w:hyperlink>
      <w:r w:rsidRPr="00AA43E9">
        <w:rPr>
          <w:sz w:val="24"/>
          <w:szCs w:val="24"/>
          <w:lang w:val="hr-HR"/>
        </w:rPr>
        <w:t>.</w:t>
      </w:r>
    </w:p>
  </w:footnote>
  <w:footnote w:id="192">
    <w:p w14:paraId="1F0F982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92" w:history="1">
        <w:r w:rsidRPr="00AA43E9">
          <w:rPr>
            <w:rStyle w:val="Hyperlink1"/>
            <w:sz w:val="24"/>
            <w:szCs w:val="24"/>
            <w:lang w:val="hr-HR"/>
          </w:rPr>
          <w:t>http://data.europa.eu/eli/reg_del/2019/715/oj</w:t>
        </w:r>
      </w:hyperlink>
      <w:r w:rsidRPr="00AA43E9">
        <w:rPr>
          <w:sz w:val="24"/>
          <w:szCs w:val="24"/>
          <w:lang w:val="hr-HR"/>
        </w:rPr>
        <w:t>.</w:t>
      </w:r>
    </w:p>
  </w:footnote>
  <w:footnote w:id="193">
    <w:p w14:paraId="344DEDA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93" w:history="1">
        <w:r w:rsidRPr="00AA43E9">
          <w:rPr>
            <w:rStyle w:val="Hyperlink1"/>
            <w:sz w:val="24"/>
            <w:szCs w:val="24"/>
            <w:lang w:val="hr-HR"/>
          </w:rPr>
          <w:t>http://data.europa.eu/eli/C/2024/6332/oj</w:t>
        </w:r>
      </w:hyperlink>
      <w:r w:rsidRPr="00AA43E9">
        <w:rPr>
          <w:sz w:val="24"/>
          <w:szCs w:val="24"/>
          <w:lang w:val="hr-HR"/>
        </w:rPr>
        <w:t>.</w:t>
      </w:r>
    </w:p>
  </w:footnote>
  <w:footnote w:id="194">
    <w:p w14:paraId="2CA2404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194" w:history="1">
        <w:r w:rsidRPr="00AA43E9">
          <w:rPr>
            <w:rStyle w:val="Hyperlink1"/>
            <w:sz w:val="24"/>
            <w:szCs w:val="24"/>
            <w:lang w:val="hr-HR"/>
          </w:rPr>
          <w:t>http://data.europa.eu/eli/C/2024/6041/oj</w:t>
        </w:r>
      </w:hyperlink>
      <w:r w:rsidRPr="00AA43E9">
        <w:rPr>
          <w:sz w:val="24"/>
          <w:szCs w:val="24"/>
          <w:lang w:val="hr-HR"/>
        </w:rPr>
        <w:t>.</w:t>
      </w:r>
    </w:p>
  </w:footnote>
  <w:footnote w:id="195">
    <w:p w14:paraId="6789019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195" w:history="1">
        <w:r w:rsidRPr="00AA43E9">
          <w:rPr>
            <w:rStyle w:val="Hyperlink1"/>
            <w:sz w:val="24"/>
            <w:szCs w:val="24"/>
            <w:lang w:val="hr-HR"/>
          </w:rPr>
          <w:t>http://data.europa.eu/eli/reg/2018/1046/oj</w:t>
        </w:r>
      </w:hyperlink>
      <w:r w:rsidRPr="00AA43E9">
        <w:rPr>
          <w:sz w:val="24"/>
          <w:szCs w:val="24"/>
          <w:lang w:val="hr-HR"/>
        </w:rPr>
        <w:t>.</w:t>
      </w:r>
    </w:p>
  </w:footnote>
  <w:footnote w:id="196">
    <w:p w14:paraId="0E0EEC3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19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197">
    <w:p w14:paraId="6D8935E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136, 30.4.2004., str. 1., ELI: </w:t>
      </w:r>
      <w:hyperlink r:id="rId197" w:history="1">
        <w:r w:rsidRPr="00AA43E9">
          <w:rPr>
            <w:rStyle w:val="Hyperlink1"/>
            <w:sz w:val="24"/>
            <w:szCs w:val="24"/>
            <w:lang w:val="hr-HR"/>
          </w:rPr>
          <w:t>http://data.europa.eu/eli/reg/2004/726/oj</w:t>
        </w:r>
      </w:hyperlink>
      <w:r w:rsidRPr="00AA43E9">
        <w:rPr>
          <w:sz w:val="24"/>
          <w:szCs w:val="24"/>
          <w:lang w:val="hr-HR"/>
        </w:rPr>
        <w:t>.</w:t>
      </w:r>
    </w:p>
  </w:footnote>
  <w:footnote w:id="198">
    <w:p w14:paraId="43E5A7A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198" w:history="1">
        <w:r w:rsidRPr="00AA43E9">
          <w:rPr>
            <w:rStyle w:val="Hyperlink1"/>
            <w:sz w:val="24"/>
            <w:szCs w:val="24"/>
            <w:lang w:val="hr-HR"/>
          </w:rPr>
          <w:t>http://data.europa.eu/eli/reg_del/2019/715/oj</w:t>
        </w:r>
      </w:hyperlink>
      <w:r w:rsidRPr="00AA43E9">
        <w:rPr>
          <w:sz w:val="24"/>
          <w:szCs w:val="24"/>
          <w:lang w:val="hr-HR"/>
        </w:rPr>
        <w:t>.</w:t>
      </w:r>
    </w:p>
  </w:footnote>
  <w:footnote w:id="199">
    <w:p w14:paraId="5C5E59B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199" w:history="1">
        <w:r w:rsidRPr="00AA43E9">
          <w:rPr>
            <w:rStyle w:val="Hyperlink1"/>
            <w:sz w:val="24"/>
            <w:szCs w:val="24"/>
            <w:lang w:val="hr-HR"/>
          </w:rPr>
          <w:t>http://data.europa.eu/eli/C/2024/6332/oj</w:t>
        </w:r>
      </w:hyperlink>
      <w:r w:rsidRPr="00AA43E9">
        <w:rPr>
          <w:sz w:val="24"/>
          <w:szCs w:val="24"/>
          <w:lang w:val="hr-HR"/>
        </w:rPr>
        <w:t>.</w:t>
      </w:r>
    </w:p>
  </w:footnote>
  <w:footnote w:id="200">
    <w:p w14:paraId="2AA467F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00" w:history="1">
        <w:r w:rsidRPr="00AA43E9">
          <w:rPr>
            <w:rStyle w:val="Hyperlink1"/>
            <w:sz w:val="24"/>
            <w:szCs w:val="24"/>
            <w:lang w:val="hr-HR"/>
          </w:rPr>
          <w:t>http://data.europa.eu/eli/C/2024/6041/oj</w:t>
        </w:r>
      </w:hyperlink>
      <w:r w:rsidRPr="00AA43E9">
        <w:rPr>
          <w:sz w:val="24"/>
          <w:szCs w:val="24"/>
          <w:lang w:val="hr-HR"/>
        </w:rPr>
        <w:t>.</w:t>
      </w:r>
    </w:p>
  </w:footnote>
  <w:footnote w:id="201">
    <w:p w14:paraId="0036630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01" w:history="1">
        <w:r w:rsidRPr="00AA43E9">
          <w:rPr>
            <w:rStyle w:val="Hyperlink1"/>
            <w:sz w:val="24"/>
            <w:szCs w:val="24"/>
            <w:lang w:val="hr-HR"/>
          </w:rPr>
          <w:t>http://data.europa.eu/eli/reg/2018/1046/oj</w:t>
        </w:r>
      </w:hyperlink>
      <w:r w:rsidRPr="00AA43E9">
        <w:rPr>
          <w:sz w:val="24"/>
          <w:szCs w:val="24"/>
          <w:lang w:val="hr-HR"/>
        </w:rPr>
        <w:t>.</w:t>
      </w:r>
    </w:p>
  </w:footnote>
  <w:footnote w:id="202">
    <w:p w14:paraId="4182B32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0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03">
    <w:p w14:paraId="4E1FB94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136, 30.4.2004., str. 1., ELI: </w:t>
      </w:r>
      <w:hyperlink r:id="rId203" w:history="1">
        <w:r w:rsidRPr="00AA43E9">
          <w:rPr>
            <w:rStyle w:val="Hyperlink1"/>
            <w:sz w:val="24"/>
            <w:szCs w:val="24"/>
            <w:lang w:val="hr-HR"/>
          </w:rPr>
          <w:t>http://data.europa.eu/eli/reg/2004/726/oj</w:t>
        </w:r>
      </w:hyperlink>
      <w:r w:rsidRPr="00AA43E9">
        <w:rPr>
          <w:sz w:val="24"/>
          <w:szCs w:val="24"/>
          <w:lang w:val="hr-HR"/>
        </w:rPr>
        <w:t>.</w:t>
      </w:r>
    </w:p>
  </w:footnote>
  <w:footnote w:id="204">
    <w:p w14:paraId="3214E14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04" w:history="1">
        <w:r w:rsidRPr="00AA43E9">
          <w:rPr>
            <w:rStyle w:val="Hyperlink1"/>
            <w:sz w:val="24"/>
            <w:szCs w:val="24"/>
            <w:lang w:val="hr-HR"/>
          </w:rPr>
          <w:t>http://data.europa.eu/eli/reg_del/2019/715/oj</w:t>
        </w:r>
      </w:hyperlink>
      <w:r w:rsidRPr="00AA43E9">
        <w:rPr>
          <w:sz w:val="24"/>
          <w:szCs w:val="24"/>
          <w:lang w:val="hr-HR"/>
        </w:rPr>
        <w:t>.</w:t>
      </w:r>
    </w:p>
  </w:footnote>
  <w:footnote w:id="205">
    <w:p w14:paraId="6612D82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05" w:history="1">
        <w:r w:rsidRPr="00AA43E9">
          <w:rPr>
            <w:rStyle w:val="Hyperlink1"/>
            <w:sz w:val="24"/>
            <w:szCs w:val="24"/>
            <w:lang w:val="hr-HR"/>
          </w:rPr>
          <w:t>http://data.europa.eu/eli/C/2024/6332/oj</w:t>
        </w:r>
      </w:hyperlink>
      <w:r w:rsidRPr="00AA43E9">
        <w:rPr>
          <w:sz w:val="24"/>
          <w:szCs w:val="24"/>
          <w:lang w:val="hr-HR"/>
        </w:rPr>
        <w:t>.</w:t>
      </w:r>
    </w:p>
  </w:footnote>
  <w:footnote w:id="206">
    <w:p w14:paraId="7BFC147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06" w:history="1">
        <w:r w:rsidRPr="00AA43E9">
          <w:rPr>
            <w:rStyle w:val="Hyperlink1"/>
            <w:sz w:val="24"/>
            <w:szCs w:val="24"/>
            <w:lang w:val="hr-HR"/>
          </w:rPr>
          <w:t>http://data.europa.eu/eli/C/2024/6041/oj</w:t>
        </w:r>
      </w:hyperlink>
      <w:r w:rsidRPr="00AA43E9">
        <w:rPr>
          <w:sz w:val="24"/>
          <w:szCs w:val="24"/>
          <w:lang w:val="hr-HR"/>
        </w:rPr>
        <w:t>.</w:t>
      </w:r>
    </w:p>
  </w:footnote>
  <w:footnote w:id="207">
    <w:p w14:paraId="10A9ABB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07" w:history="1">
        <w:r w:rsidRPr="00AA43E9">
          <w:rPr>
            <w:rStyle w:val="Hyperlink1"/>
            <w:sz w:val="24"/>
            <w:szCs w:val="24"/>
            <w:lang w:val="hr-HR"/>
          </w:rPr>
          <w:t>http://data.europa.eu/eli/reg/2018/1046/oj</w:t>
        </w:r>
      </w:hyperlink>
      <w:r w:rsidRPr="00AA43E9">
        <w:rPr>
          <w:sz w:val="24"/>
          <w:szCs w:val="24"/>
          <w:lang w:val="hr-HR"/>
        </w:rPr>
        <w:t>.</w:t>
      </w:r>
    </w:p>
  </w:footnote>
  <w:footnote w:id="208">
    <w:p w14:paraId="582E466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0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09">
    <w:p w14:paraId="024FC7F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376, 27.12.2006., str. 1., ELI: </w:t>
      </w:r>
      <w:hyperlink r:id="rId209" w:history="1">
        <w:r w:rsidRPr="00AA43E9">
          <w:rPr>
            <w:rStyle w:val="Hyperlink1"/>
            <w:sz w:val="24"/>
            <w:szCs w:val="24"/>
            <w:lang w:val="hr-HR"/>
          </w:rPr>
          <w:t>http://data.europa.eu/eli/reg/2006/1920/oj</w:t>
        </w:r>
      </w:hyperlink>
      <w:r w:rsidRPr="00AA43E9">
        <w:rPr>
          <w:sz w:val="24"/>
          <w:szCs w:val="24"/>
          <w:lang w:val="hr-HR"/>
        </w:rPr>
        <w:t>.</w:t>
      </w:r>
    </w:p>
  </w:footnote>
  <w:footnote w:id="210">
    <w:p w14:paraId="49B733C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166, 30.6.2023., str. 6., ELI: </w:t>
      </w:r>
      <w:hyperlink r:id="rId210" w:history="1">
        <w:r w:rsidRPr="00AA43E9">
          <w:rPr>
            <w:rStyle w:val="Hyperlink1"/>
            <w:sz w:val="24"/>
            <w:szCs w:val="24"/>
            <w:lang w:val="hr-HR"/>
          </w:rPr>
          <w:t>http://data.europa.eu/eli/reg/2023/1322/oj</w:t>
        </w:r>
      </w:hyperlink>
      <w:r w:rsidRPr="00AA43E9">
        <w:rPr>
          <w:sz w:val="24"/>
          <w:szCs w:val="24"/>
          <w:lang w:val="hr-HR"/>
        </w:rPr>
        <w:t>.</w:t>
      </w:r>
    </w:p>
  </w:footnote>
  <w:footnote w:id="211">
    <w:p w14:paraId="144B675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11" w:history="1">
        <w:r w:rsidRPr="00AA43E9">
          <w:rPr>
            <w:rStyle w:val="Hyperlink1"/>
            <w:sz w:val="24"/>
            <w:szCs w:val="24"/>
            <w:lang w:val="hr-HR"/>
          </w:rPr>
          <w:t>http://data.europa.eu/eli/reg_del/2019/715/oj</w:t>
        </w:r>
      </w:hyperlink>
      <w:r w:rsidRPr="00AA43E9">
        <w:rPr>
          <w:sz w:val="24"/>
          <w:szCs w:val="24"/>
          <w:lang w:val="hr-HR"/>
        </w:rPr>
        <w:t>.</w:t>
      </w:r>
    </w:p>
  </w:footnote>
  <w:footnote w:id="212">
    <w:p w14:paraId="2BC7541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12" w:history="1">
        <w:r w:rsidRPr="00AA43E9">
          <w:rPr>
            <w:rStyle w:val="Hyperlink1"/>
            <w:sz w:val="24"/>
            <w:szCs w:val="24"/>
            <w:lang w:val="hr-HR"/>
          </w:rPr>
          <w:t>http://data.europa.eu/eli/C/2024/6332/oj</w:t>
        </w:r>
      </w:hyperlink>
      <w:r w:rsidRPr="00AA43E9">
        <w:rPr>
          <w:sz w:val="24"/>
          <w:szCs w:val="24"/>
          <w:lang w:val="hr-HR"/>
        </w:rPr>
        <w:t>.</w:t>
      </w:r>
    </w:p>
  </w:footnote>
  <w:footnote w:id="213">
    <w:p w14:paraId="18F28D2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13" w:history="1">
        <w:r w:rsidRPr="00AA43E9">
          <w:rPr>
            <w:rStyle w:val="Hyperlink1"/>
            <w:sz w:val="24"/>
            <w:szCs w:val="24"/>
            <w:lang w:val="hr-HR"/>
          </w:rPr>
          <w:t>http://data.europa.eu/eli/C/2024/6041/oj</w:t>
        </w:r>
      </w:hyperlink>
      <w:r w:rsidRPr="00AA43E9">
        <w:rPr>
          <w:sz w:val="24"/>
          <w:szCs w:val="24"/>
          <w:lang w:val="hr-HR"/>
        </w:rPr>
        <w:t>.</w:t>
      </w:r>
    </w:p>
  </w:footnote>
  <w:footnote w:id="214">
    <w:p w14:paraId="2C1E59A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14" w:history="1">
        <w:r w:rsidRPr="00AA43E9">
          <w:rPr>
            <w:rStyle w:val="Hyperlink1"/>
            <w:sz w:val="24"/>
            <w:szCs w:val="24"/>
            <w:lang w:val="hr-HR"/>
          </w:rPr>
          <w:t>http://data.europa.eu/eli/reg/2018/1046/oj</w:t>
        </w:r>
      </w:hyperlink>
      <w:r w:rsidRPr="00AA43E9">
        <w:rPr>
          <w:sz w:val="24"/>
          <w:szCs w:val="24"/>
          <w:lang w:val="hr-HR"/>
        </w:rPr>
        <w:t>.</w:t>
      </w:r>
    </w:p>
  </w:footnote>
  <w:footnote w:id="215">
    <w:p w14:paraId="23631E6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15"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16">
    <w:p w14:paraId="2C917BF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376, 27.12.2006., str. 1., ELI: </w:t>
      </w:r>
      <w:hyperlink r:id="rId216" w:history="1">
        <w:r w:rsidRPr="00AA43E9">
          <w:rPr>
            <w:rStyle w:val="Hyperlink1"/>
            <w:sz w:val="24"/>
            <w:szCs w:val="24"/>
            <w:lang w:val="hr-HR"/>
          </w:rPr>
          <w:t>http://data.europa.eu/eli/reg/2006/1920/oj</w:t>
        </w:r>
      </w:hyperlink>
      <w:r w:rsidRPr="00AA43E9">
        <w:rPr>
          <w:sz w:val="24"/>
          <w:szCs w:val="24"/>
          <w:lang w:val="hr-HR"/>
        </w:rPr>
        <w:t>.</w:t>
      </w:r>
    </w:p>
  </w:footnote>
  <w:footnote w:id="217">
    <w:p w14:paraId="644D1E2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166, 30.6.2023., str. 6., ELI: </w:t>
      </w:r>
      <w:hyperlink r:id="rId217" w:history="1">
        <w:r w:rsidRPr="00AA43E9">
          <w:rPr>
            <w:rStyle w:val="Hyperlink1"/>
            <w:sz w:val="24"/>
            <w:szCs w:val="24"/>
            <w:lang w:val="hr-HR"/>
          </w:rPr>
          <w:t>http://data.europa.eu/eli/reg/2023/1322/oj</w:t>
        </w:r>
      </w:hyperlink>
      <w:r w:rsidRPr="00AA43E9">
        <w:rPr>
          <w:sz w:val="24"/>
          <w:szCs w:val="24"/>
          <w:lang w:val="hr-HR"/>
        </w:rPr>
        <w:t>.</w:t>
      </w:r>
    </w:p>
  </w:footnote>
  <w:footnote w:id="218">
    <w:p w14:paraId="7D898D5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18" w:history="1">
        <w:r w:rsidRPr="00AA43E9">
          <w:rPr>
            <w:rStyle w:val="Hyperlink1"/>
            <w:sz w:val="24"/>
            <w:szCs w:val="24"/>
            <w:lang w:val="hr-HR"/>
          </w:rPr>
          <w:t>http://data.europa.eu/eli/reg_del/2019/715/oj</w:t>
        </w:r>
      </w:hyperlink>
      <w:r w:rsidRPr="00AA43E9">
        <w:rPr>
          <w:sz w:val="24"/>
          <w:szCs w:val="24"/>
          <w:lang w:val="hr-HR"/>
        </w:rPr>
        <w:t>.</w:t>
      </w:r>
    </w:p>
  </w:footnote>
  <w:footnote w:id="219">
    <w:p w14:paraId="210002A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19" w:history="1">
        <w:r w:rsidRPr="00AA43E9">
          <w:rPr>
            <w:rStyle w:val="Hyperlink1"/>
            <w:sz w:val="24"/>
            <w:szCs w:val="24"/>
            <w:lang w:val="hr-HR"/>
          </w:rPr>
          <w:t>http://data.europa.eu/eli/C/2024/6332/oj</w:t>
        </w:r>
      </w:hyperlink>
      <w:r w:rsidRPr="00AA43E9">
        <w:rPr>
          <w:sz w:val="24"/>
          <w:szCs w:val="24"/>
          <w:lang w:val="hr-HR"/>
        </w:rPr>
        <w:t>.</w:t>
      </w:r>
    </w:p>
  </w:footnote>
  <w:footnote w:id="220">
    <w:p w14:paraId="18733FA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20" w:history="1">
        <w:r w:rsidRPr="00AA43E9">
          <w:rPr>
            <w:rStyle w:val="Hyperlink1"/>
            <w:sz w:val="24"/>
            <w:szCs w:val="24"/>
            <w:lang w:val="hr-HR"/>
          </w:rPr>
          <w:t>http://data.europa.eu/eli/C/2024/6041/oj</w:t>
        </w:r>
      </w:hyperlink>
      <w:r w:rsidRPr="00AA43E9">
        <w:rPr>
          <w:sz w:val="24"/>
          <w:szCs w:val="24"/>
          <w:lang w:val="hr-HR"/>
        </w:rPr>
        <w:t>.</w:t>
      </w:r>
    </w:p>
  </w:footnote>
  <w:footnote w:id="221">
    <w:p w14:paraId="185DA1D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21" w:history="1">
        <w:r w:rsidRPr="00AA43E9">
          <w:rPr>
            <w:rStyle w:val="Hyperlink1"/>
            <w:sz w:val="24"/>
            <w:szCs w:val="24"/>
            <w:lang w:val="hr-HR"/>
          </w:rPr>
          <w:t>http://data.europa.eu/eli/reg/2018/1046/oj</w:t>
        </w:r>
      </w:hyperlink>
      <w:r w:rsidRPr="00AA43E9">
        <w:rPr>
          <w:sz w:val="24"/>
          <w:szCs w:val="24"/>
          <w:lang w:val="hr-HR"/>
        </w:rPr>
        <w:t>.</w:t>
      </w:r>
    </w:p>
  </w:footnote>
  <w:footnote w:id="222">
    <w:p w14:paraId="5B177DF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2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23">
    <w:p w14:paraId="2F484F0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208, 5.8.2002., str. 1., ELI: </w:t>
      </w:r>
      <w:hyperlink r:id="rId223" w:history="1">
        <w:r w:rsidRPr="00AA43E9">
          <w:rPr>
            <w:rStyle w:val="Hyperlink1"/>
            <w:sz w:val="24"/>
            <w:szCs w:val="24"/>
            <w:lang w:val="hr-HR"/>
          </w:rPr>
          <w:t>http://data.europa.eu/eli/reg/2002/1406/oj</w:t>
        </w:r>
      </w:hyperlink>
      <w:r w:rsidRPr="00AA43E9">
        <w:rPr>
          <w:sz w:val="24"/>
          <w:szCs w:val="24"/>
          <w:lang w:val="hr-HR"/>
        </w:rPr>
        <w:t>.</w:t>
      </w:r>
    </w:p>
  </w:footnote>
  <w:footnote w:id="224">
    <w:p w14:paraId="040CF21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24" w:history="1">
        <w:r w:rsidRPr="00AA43E9">
          <w:rPr>
            <w:rStyle w:val="Hyperlink1"/>
            <w:sz w:val="24"/>
            <w:szCs w:val="24"/>
            <w:lang w:val="hr-HR"/>
          </w:rPr>
          <w:t>http://data.europa.eu/eli/reg_del/2019/715/oj</w:t>
        </w:r>
      </w:hyperlink>
      <w:r w:rsidRPr="00AA43E9">
        <w:rPr>
          <w:sz w:val="24"/>
          <w:szCs w:val="24"/>
          <w:lang w:val="hr-HR"/>
        </w:rPr>
        <w:t>.</w:t>
      </w:r>
    </w:p>
  </w:footnote>
  <w:footnote w:id="225">
    <w:p w14:paraId="7FB07D2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25" w:history="1">
        <w:r w:rsidRPr="00AA43E9">
          <w:rPr>
            <w:rStyle w:val="Hyperlink1"/>
            <w:sz w:val="24"/>
            <w:szCs w:val="24"/>
            <w:lang w:val="hr-HR"/>
          </w:rPr>
          <w:t>http://data.europa.eu/eli/C/2024/6332/oj</w:t>
        </w:r>
      </w:hyperlink>
      <w:r w:rsidRPr="00AA43E9">
        <w:rPr>
          <w:sz w:val="24"/>
          <w:szCs w:val="24"/>
          <w:lang w:val="hr-HR"/>
        </w:rPr>
        <w:t>.</w:t>
      </w:r>
    </w:p>
  </w:footnote>
  <w:footnote w:id="226">
    <w:p w14:paraId="30BE135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26" w:history="1">
        <w:r w:rsidRPr="00AA43E9">
          <w:rPr>
            <w:rStyle w:val="Hyperlink1"/>
            <w:sz w:val="24"/>
            <w:szCs w:val="24"/>
            <w:lang w:val="hr-HR"/>
          </w:rPr>
          <w:t>http://data.europa.eu/eli/C/2024/6041/oj</w:t>
        </w:r>
      </w:hyperlink>
      <w:r w:rsidRPr="00AA43E9">
        <w:rPr>
          <w:sz w:val="24"/>
          <w:szCs w:val="24"/>
          <w:lang w:val="hr-HR"/>
        </w:rPr>
        <w:t>.</w:t>
      </w:r>
    </w:p>
  </w:footnote>
  <w:footnote w:id="227">
    <w:p w14:paraId="06F9BAA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27" w:history="1">
        <w:r w:rsidRPr="00AA43E9">
          <w:rPr>
            <w:rStyle w:val="Hyperlink1"/>
            <w:sz w:val="24"/>
            <w:szCs w:val="24"/>
            <w:lang w:val="hr-HR"/>
          </w:rPr>
          <w:t>http://data.europa.eu/eli/reg/2018/1046/oj</w:t>
        </w:r>
      </w:hyperlink>
      <w:r w:rsidRPr="00AA43E9">
        <w:rPr>
          <w:sz w:val="24"/>
          <w:szCs w:val="24"/>
          <w:lang w:val="hr-HR"/>
        </w:rPr>
        <w:t>.</w:t>
      </w:r>
    </w:p>
  </w:footnote>
  <w:footnote w:id="228">
    <w:p w14:paraId="357AEA7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2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29">
    <w:p w14:paraId="4781C7D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208, 5.8.2002., str. 1., ELI: </w:t>
      </w:r>
      <w:hyperlink r:id="rId229" w:history="1">
        <w:r w:rsidRPr="00AA43E9">
          <w:rPr>
            <w:rStyle w:val="Hyperlink1"/>
            <w:sz w:val="24"/>
            <w:szCs w:val="24"/>
            <w:lang w:val="hr-HR"/>
          </w:rPr>
          <w:t>http://data.europa.eu/eli/reg/2002/1406/oj</w:t>
        </w:r>
      </w:hyperlink>
      <w:r w:rsidRPr="00AA43E9">
        <w:rPr>
          <w:sz w:val="24"/>
          <w:szCs w:val="24"/>
          <w:lang w:val="hr-HR"/>
        </w:rPr>
        <w:t>.</w:t>
      </w:r>
    </w:p>
  </w:footnote>
  <w:footnote w:id="230">
    <w:p w14:paraId="58DCA9E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30" w:history="1">
        <w:r w:rsidRPr="00AA43E9">
          <w:rPr>
            <w:rStyle w:val="Hyperlink1"/>
            <w:sz w:val="24"/>
            <w:szCs w:val="24"/>
            <w:lang w:val="hr-HR"/>
          </w:rPr>
          <w:t>http://data.europa.eu/eli/reg_del/2019/715/oj</w:t>
        </w:r>
      </w:hyperlink>
      <w:r w:rsidRPr="00AA43E9">
        <w:rPr>
          <w:sz w:val="24"/>
          <w:szCs w:val="24"/>
          <w:lang w:val="hr-HR"/>
        </w:rPr>
        <w:t>.</w:t>
      </w:r>
    </w:p>
  </w:footnote>
  <w:footnote w:id="231">
    <w:p w14:paraId="246E9CC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31" w:history="1">
        <w:r w:rsidRPr="00AA43E9">
          <w:rPr>
            <w:rStyle w:val="Hyperlink1"/>
            <w:sz w:val="24"/>
            <w:szCs w:val="24"/>
            <w:lang w:val="hr-HR"/>
          </w:rPr>
          <w:t>http://data.europa.eu/eli/C/2024/6332/oj</w:t>
        </w:r>
      </w:hyperlink>
      <w:r w:rsidRPr="00AA43E9">
        <w:rPr>
          <w:sz w:val="24"/>
          <w:szCs w:val="24"/>
          <w:lang w:val="hr-HR"/>
        </w:rPr>
        <w:t>.</w:t>
      </w:r>
    </w:p>
  </w:footnote>
  <w:footnote w:id="232">
    <w:p w14:paraId="4280FE9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32" w:history="1">
        <w:r w:rsidRPr="00AA43E9">
          <w:rPr>
            <w:rStyle w:val="Hyperlink1"/>
            <w:sz w:val="24"/>
            <w:szCs w:val="24"/>
            <w:lang w:val="hr-HR"/>
          </w:rPr>
          <w:t>http://data.europa.eu/eli/C/2024/6041/oj</w:t>
        </w:r>
      </w:hyperlink>
      <w:r w:rsidRPr="00AA43E9">
        <w:rPr>
          <w:sz w:val="24"/>
          <w:szCs w:val="24"/>
          <w:lang w:val="hr-HR"/>
        </w:rPr>
        <w:t>.</w:t>
      </w:r>
    </w:p>
  </w:footnote>
  <w:footnote w:id="233">
    <w:p w14:paraId="69B3DC9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33" w:history="1">
        <w:r w:rsidRPr="00AA43E9">
          <w:rPr>
            <w:rStyle w:val="Hyperlink1"/>
            <w:sz w:val="24"/>
            <w:szCs w:val="24"/>
            <w:lang w:val="hr-HR"/>
          </w:rPr>
          <w:t>http://data.europa.eu/eli/reg/2018/1046/oj</w:t>
        </w:r>
      </w:hyperlink>
      <w:r w:rsidRPr="00AA43E9">
        <w:rPr>
          <w:sz w:val="24"/>
          <w:szCs w:val="24"/>
          <w:lang w:val="hr-HR"/>
        </w:rPr>
        <w:t>.</w:t>
      </w:r>
    </w:p>
  </w:footnote>
  <w:footnote w:id="234">
    <w:p w14:paraId="34218E3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3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35">
    <w:p w14:paraId="065A21F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151, 7.6.2019., str. 15., ELI: </w:t>
      </w:r>
      <w:hyperlink r:id="rId235" w:history="1">
        <w:r w:rsidRPr="00AA43E9">
          <w:rPr>
            <w:rStyle w:val="Hyperlink1"/>
            <w:sz w:val="24"/>
            <w:szCs w:val="24"/>
            <w:lang w:val="hr-HR"/>
          </w:rPr>
          <w:t>http://data.europa.eu/eli/reg/2019/881/oj</w:t>
        </w:r>
      </w:hyperlink>
      <w:r w:rsidRPr="00AA43E9">
        <w:rPr>
          <w:sz w:val="24"/>
          <w:szCs w:val="24"/>
          <w:lang w:val="hr-HR"/>
        </w:rPr>
        <w:t>.</w:t>
      </w:r>
    </w:p>
  </w:footnote>
  <w:footnote w:id="236">
    <w:p w14:paraId="4AD59A8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36" w:history="1">
        <w:r w:rsidRPr="00AA43E9">
          <w:rPr>
            <w:rStyle w:val="Hyperlink1"/>
            <w:sz w:val="24"/>
            <w:szCs w:val="24"/>
            <w:lang w:val="hr-HR"/>
          </w:rPr>
          <w:t>http://data.europa.eu/eli/reg_del/2019/715/oj</w:t>
        </w:r>
      </w:hyperlink>
      <w:r w:rsidRPr="00AA43E9">
        <w:rPr>
          <w:sz w:val="24"/>
          <w:szCs w:val="24"/>
          <w:lang w:val="hr-HR"/>
        </w:rPr>
        <w:t>.</w:t>
      </w:r>
    </w:p>
  </w:footnote>
  <w:footnote w:id="237">
    <w:p w14:paraId="7F95334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37" w:history="1">
        <w:r w:rsidRPr="00AA43E9">
          <w:rPr>
            <w:rStyle w:val="Hyperlink1"/>
            <w:sz w:val="24"/>
            <w:szCs w:val="24"/>
            <w:lang w:val="hr-HR"/>
          </w:rPr>
          <w:t>http://data.europa.eu/eli/C/2024/6332/oj</w:t>
        </w:r>
      </w:hyperlink>
      <w:r w:rsidRPr="00AA43E9">
        <w:rPr>
          <w:sz w:val="24"/>
          <w:szCs w:val="24"/>
          <w:lang w:val="hr-HR"/>
        </w:rPr>
        <w:t>.</w:t>
      </w:r>
    </w:p>
  </w:footnote>
  <w:footnote w:id="238">
    <w:p w14:paraId="19DD4AF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38" w:history="1">
        <w:r w:rsidRPr="00AA43E9">
          <w:rPr>
            <w:rStyle w:val="Hyperlink1"/>
            <w:sz w:val="24"/>
            <w:szCs w:val="24"/>
            <w:lang w:val="hr-HR"/>
          </w:rPr>
          <w:t>http://data.europa.eu/eli/C/2024/6041/oj</w:t>
        </w:r>
      </w:hyperlink>
      <w:r w:rsidRPr="00AA43E9">
        <w:rPr>
          <w:sz w:val="24"/>
          <w:szCs w:val="24"/>
          <w:lang w:val="hr-HR"/>
        </w:rPr>
        <w:t>.</w:t>
      </w:r>
    </w:p>
  </w:footnote>
  <w:footnote w:id="239">
    <w:p w14:paraId="5992B33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39" w:history="1">
        <w:r w:rsidRPr="00AA43E9">
          <w:rPr>
            <w:rStyle w:val="Hyperlink1"/>
            <w:sz w:val="24"/>
            <w:szCs w:val="24"/>
            <w:lang w:val="hr-HR"/>
          </w:rPr>
          <w:t>http://data.europa.eu/eli/reg/2018/1046/oj</w:t>
        </w:r>
      </w:hyperlink>
      <w:r w:rsidRPr="00AA43E9">
        <w:rPr>
          <w:sz w:val="24"/>
          <w:szCs w:val="24"/>
          <w:lang w:val="hr-HR"/>
        </w:rPr>
        <w:t>.</w:t>
      </w:r>
    </w:p>
  </w:footnote>
  <w:footnote w:id="240">
    <w:p w14:paraId="6BF2F124" w14:textId="77777777" w:rsidR="00AA43E9" w:rsidRPr="00AA43E9" w:rsidRDefault="00AA43E9" w:rsidP="00AA43E9">
      <w:pPr>
        <w:pStyle w:val="FootnoteText"/>
        <w:ind w:left="567" w:hanging="567"/>
        <w:rPr>
          <w:sz w:val="24"/>
          <w:szCs w:val="24"/>
          <w:lang w:val="fi-FI"/>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40" w:history="1">
        <w:r w:rsidRPr="00AA43E9">
          <w:rPr>
            <w:rStyle w:val="Hyperlink1"/>
            <w:sz w:val="24"/>
            <w:szCs w:val="24"/>
            <w:lang w:val="hr-HR"/>
          </w:rPr>
          <w:t>http://data.europa.eu/eli/reg/2024/2509/oj</w:t>
        </w:r>
      </w:hyperlink>
      <w:r w:rsidRPr="00AA43E9">
        <w:rPr>
          <w:sz w:val="24"/>
          <w:szCs w:val="24"/>
          <w:lang w:val="fi-FI"/>
        </w:rPr>
        <w:t>.</w:t>
      </w:r>
    </w:p>
  </w:footnote>
  <w:footnote w:id="241">
    <w:p w14:paraId="6219E4F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151, 7.6.2019., str. 15., ELI: </w:t>
      </w:r>
      <w:hyperlink r:id="rId241" w:history="1">
        <w:r w:rsidRPr="00AA43E9">
          <w:rPr>
            <w:rStyle w:val="Hyperlink"/>
            <w:sz w:val="24"/>
            <w:szCs w:val="24"/>
            <w:lang w:val="hr-HR"/>
          </w:rPr>
          <w:t>http://data.europa.eu/eli/reg/2019/881/o</w:t>
        </w:r>
        <w:r w:rsidRPr="00AA43E9">
          <w:rPr>
            <w:rStyle w:val="Hyperlink"/>
            <w:sz w:val="24"/>
            <w:szCs w:val="24"/>
            <w:lang w:val="fi-FI"/>
          </w:rPr>
          <w:t>j</w:t>
        </w:r>
      </w:hyperlink>
      <w:r w:rsidRPr="00AA43E9">
        <w:rPr>
          <w:sz w:val="24"/>
          <w:szCs w:val="24"/>
          <w:lang w:val="hr-HR"/>
        </w:rPr>
        <w:t>.</w:t>
      </w:r>
    </w:p>
  </w:footnote>
  <w:footnote w:id="242">
    <w:p w14:paraId="1670DCE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42" w:history="1">
        <w:r w:rsidRPr="00AA43E9">
          <w:rPr>
            <w:rStyle w:val="Hyperlink1"/>
            <w:sz w:val="24"/>
            <w:szCs w:val="24"/>
            <w:lang w:val="hr-HR"/>
          </w:rPr>
          <w:t>http://data.europa.eu/eli/reg_del/2019/715/oj</w:t>
        </w:r>
      </w:hyperlink>
      <w:r w:rsidRPr="00AA43E9">
        <w:rPr>
          <w:sz w:val="24"/>
          <w:szCs w:val="24"/>
          <w:lang w:val="hr-HR"/>
        </w:rPr>
        <w:t>.</w:t>
      </w:r>
    </w:p>
  </w:footnote>
  <w:footnote w:id="243">
    <w:p w14:paraId="02D82EB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43" w:history="1">
        <w:r w:rsidRPr="00AA43E9">
          <w:rPr>
            <w:rStyle w:val="Hyperlink1"/>
            <w:sz w:val="24"/>
            <w:szCs w:val="24"/>
            <w:lang w:val="hr-HR"/>
          </w:rPr>
          <w:t>http://data.europa.eu/eli/C/2024/6332/oj</w:t>
        </w:r>
      </w:hyperlink>
      <w:r w:rsidRPr="00AA43E9">
        <w:rPr>
          <w:sz w:val="24"/>
          <w:szCs w:val="24"/>
          <w:lang w:val="hr-HR"/>
        </w:rPr>
        <w:t>.</w:t>
      </w:r>
    </w:p>
  </w:footnote>
  <w:footnote w:id="244">
    <w:p w14:paraId="3A85DCC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44" w:history="1">
        <w:r w:rsidRPr="00AA43E9">
          <w:rPr>
            <w:rStyle w:val="Hyperlink1"/>
            <w:sz w:val="24"/>
            <w:szCs w:val="24"/>
            <w:lang w:val="hr-HR"/>
          </w:rPr>
          <w:t>http://data.europa.eu/eli/C/2024/6041/oj</w:t>
        </w:r>
      </w:hyperlink>
      <w:r w:rsidRPr="00AA43E9">
        <w:rPr>
          <w:sz w:val="24"/>
          <w:szCs w:val="24"/>
          <w:lang w:val="hr-HR"/>
        </w:rPr>
        <w:t>.</w:t>
      </w:r>
    </w:p>
  </w:footnote>
  <w:footnote w:id="245">
    <w:p w14:paraId="3C74A40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45" w:history="1">
        <w:r w:rsidRPr="00AA43E9">
          <w:rPr>
            <w:rStyle w:val="Hyperlink1"/>
            <w:sz w:val="24"/>
            <w:szCs w:val="24"/>
            <w:lang w:val="hr-HR"/>
          </w:rPr>
          <w:t>http://data.europa.eu/eli/reg/2018/1046/oj</w:t>
        </w:r>
      </w:hyperlink>
      <w:r w:rsidRPr="00AA43E9">
        <w:rPr>
          <w:sz w:val="24"/>
          <w:szCs w:val="24"/>
          <w:lang w:val="hr-HR"/>
        </w:rPr>
        <w:t>.</w:t>
      </w:r>
    </w:p>
  </w:footnote>
  <w:footnote w:id="246">
    <w:p w14:paraId="61C48AA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4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47">
    <w:p w14:paraId="4C0950F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138, 26.5.2016., str. 1., ELI: </w:t>
      </w:r>
      <w:hyperlink r:id="rId247" w:history="1">
        <w:r w:rsidRPr="00AA43E9">
          <w:rPr>
            <w:rStyle w:val="Hyperlink1"/>
            <w:sz w:val="24"/>
            <w:szCs w:val="24"/>
            <w:lang w:val="hr-HR"/>
          </w:rPr>
          <w:t>http://data.europa.eu/eli/reg/2016/796/oj</w:t>
        </w:r>
      </w:hyperlink>
      <w:r w:rsidRPr="00AA43E9">
        <w:rPr>
          <w:sz w:val="24"/>
          <w:szCs w:val="24"/>
          <w:lang w:val="hr-HR"/>
        </w:rPr>
        <w:t>.</w:t>
      </w:r>
    </w:p>
  </w:footnote>
  <w:footnote w:id="248">
    <w:p w14:paraId="1C74C59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48" w:history="1">
        <w:r w:rsidRPr="00AA43E9">
          <w:rPr>
            <w:rStyle w:val="Hyperlink1"/>
            <w:sz w:val="24"/>
            <w:szCs w:val="24"/>
            <w:lang w:val="hr-HR"/>
          </w:rPr>
          <w:t>http://data.europa.eu/eli/reg_del/2019/715/oj</w:t>
        </w:r>
      </w:hyperlink>
      <w:r w:rsidRPr="00AA43E9">
        <w:rPr>
          <w:sz w:val="24"/>
          <w:szCs w:val="24"/>
          <w:lang w:val="hr-HR"/>
        </w:rPr>
        <w:t>.</w:t>
      </w:r>
    </w:p>
  </w:footnote>
  <w:footnote w:id="249">
    <w:p w14:paraId="46CCF6D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49" w:history="1">
        <w:r w:rsidRPr="00AA43E9">
          <w:rPr>
            <w:rStyle w:val="Hyperlink1"/>
            <w:sz w:val="24"/>
            <w:szCs w:val="24"/>
            <w:lang w:val="hr-HR"/>
          </w:rPr>
          <w:t>http://data.europa.eu/eli/C/2024/6332/oj</w:t>
        </w:r>
      </w:hyperlink>
      <w:r w:rsidRPr="00AA43E9">
        <w:rPr>
          <w:sz w:val="24"/>
          <w:szCs w:val="24"/>
          <w:lang w:val="hr-HR"/>
        </w:rPr>
        <w:t>.</w:t>
      </w:r>
    </w:p>
  </w:footnote>
  <w:footnote w:id="250">
    <w:p w14:paraId="4027614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50" w:history="1">
        <w:r w:rsidRPr="00AA43E9">
          <w:rPr>
            <w:rStyle w:val="Hyperlink1"/>
            <w:sz w:val="24"/>
            <w:szCs w:val="24"/>
            <w:lang w:val="hr-HR"/>
          </w:rPr>
          <w:t>http://data.europa.eu/eli/C/2024/6041/oj</w:t>
        </w:r>
      </w:hyperlink>
      <w:r w:rsidRPr="00AA43E9">
        <w:rPr>
          <w:sz w:val="24"/>
          <w:szCs w:val="24"/>
          <w:lang w:val="hr-HR"/>
        </w:rPr>
        <w:t>.</w:t>
      </w:r>
    </w:p>
  </w:footnote>
  <w:footnote w:id="251">
    <w:p w14:paraId="41CC280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51" w:history="1">
        <w:r w:rsidRPr="00AA43E9">
          <w:rPr>
            <w:rStyle w:val="Hyperlink1"/>
            <w:sz w:val="24"/>
            <w:szCs w:val="24"/>
            <w:lang w:val="hr-HR"/>
          </w:rPr>
          <w:t>http://data.europa.eu/eli/reg/2018/1046/oj</w:t>
        </w:r>
      </w:hyperlink>
      <w:r w:rsidRPr="00AA43E9">
        <w:rPr>
          <w:sz w:val="24"/>
          <w:szCs w:val="24"/>
          <w:lang w:val="hr-HR"/>
        </w:rPr>
        <w:t>.</w:t>
      </w:r>
    </w:p>
  </w:footnote>
  <w:footnote w:id="252">
    <w:p w14:paraId="50286DB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5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53">
    <w:p w14:paraId="3A05987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138, 26.5.2016., str. 1., ELI: </w:t>
      </w:r>
      <w:hyperlink r:id="rId253" w:history="1">
        <w:r w:rsidRPr="00AA43E9">
          <w:rPr>
            <w:rStyle w:val="Hyperlink1"/>
            <w:sz w:val="24"/>
            <w:szCs w:val="24"/>
            <w:lang w:val="hr-HR"/>
          </w:rPr>
          <w:t>http://data.europa.eu/eli/reg/2016/796/oj</w:t>
        </w:r>
      </w:hyperlink>
      <w:r w:rsidRPr="00AA43E9">
        <w:rPr>
          <w:sz w:val="24"/>
          <w:szCs w:val="24"/>
          <w:lang w:val="hr-HR"/>
        </w:rPr>
        <w:t>.</w:t>
      </w:r>
    </w:p>
  </w:footnote>
  <w:footnote w:id="254">
    <w:p w14:paraId="03B5D8C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54" w:history="1">
        <w:r w:rsidRPr="00AA43E9">
          <w:rPr>
            <w:rStyle w:val="Hyperlink1"/>
            <w:sz w:val="24"/>
            <w:szCs w:val="24"/>
            <w:lang w:val="hr-HR"/>
          </w:rPr>
          <w:t>http://data.europa.eu/eli/reg_del/2019/715/oj</w:t>
        </w:r>
      </w:hyperlink>
      <w:r w:rsidRPr="00AA43E9">
        <w:rPr>
          <w:sz w:val="24"/>
          <w:szCs w:val="24"/>
          <w:lang w:val="hr-HR"/>
        </w:rPr>
        <w:t>.</w:t>
      </w:r>
    </w:p>
  </w:footnote>
  <w:footnote w:id="255">
    <w:p w14:paraId="724B21B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55" w:history="1">
        <w:r w:rsidRPr="00AA43E9">
          <w:rPr>
            <w:rStyle w:val="Hyperlink1"/>
            <w:sz w:val="24"/>
            <w:szCs w:val="24"/>
            <w:lang w:val="hr-HR"/>
          </w:rPr>
          <w:t>http://data.europa.eu/eli/C/2024/6332/oj</w:t>
        </w:r>
      </w:hyperlink>
      <w:r w:rsidRPr="00AA43E9">
        <w:rPr>
          <w:sz w:val="24"/>
          <w:szCs w:val="24"/>
          <w:lang w:val="hr-HR"/>
        </w:rPr>
        <w:t>.</w:t>
      </w:r>
    </w:p>
  </w:footnote>
  <w:footnote w:id="256">
    <w:p w14:paraId="4758486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56" w:history="1">
        <w:r w:rsidRPr="00AA43E9">
          <w:rPr>
            <w:rStyle w:val="Hyperlink1"/>
            <w:sz w:val="24"/>
            <w:szCs w:val="24"/>
            <w:lang w:val="hr-HR"/>
          </w:rPr>
          <w:t>http://data.europa.eu/eli/C/2024/6041/oj</w:t>
        </w:r>
      </w:hyperlink>
      <w:r w:rsidRPr="00AA43E9">
        <w:rPr>
          <w:sz w:val="24"/>
          <w:szCs w:val="24"/>
          <w:lang w:val="hr-HR"/>
        </w:rPr>
        <w:t>.</w:t>
      </w:r>
    </w:p>
  </w:footnote>
  <w:footnote w:id="257">
    <w:p w14:paraId="20DDC3B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57" w:history="1">
        <w:r w:rsidRPr="00AA43E9">
          <w:rPr>
            <w:rStyle w:val="Hyperlink1"/>
            <w:sz w:val="24"/>
            <w:szCs w:val="24"/>
            <w:lang w:val="hr-HR"/>
          </w:rPr>
          <w:t>http://data.europa.eu/eli/reg/2018/1046/oj</w:t>
        </w:r>
      </w:hyperlink>
      <w:r w:rsidRPr="00AA43E9">
        <w:rPr>
          <w:sz w:val="24"/>
          <w:szCs w:val="24"/>
          <w:lang w:val="hr-HR"/>
        </w:rPr>
        <w:t>.</w:t>
      </w:r>
    </w:p>
  </w:footnote>
  <w:footnote w:id="258">
    <w:p w14:paraId="76AA6E2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58" w:history="1">
        <w:r w:rsidRPr="00AA43E9">
          <w:rPr>
            <w:rStyle w:val="Hyperlink1"/>
            <w:sz w:val="24"/>
            <w:szCs w:val="24"/>
            <w:lang w:val="hr-HR"/>
          </w:rPr>
          <w:t>http://data.europa.eu/eli/reg/2024/2509/oj</w:t>
        </w:r>
      </w:hyperlink>
      <w:r w:rsidRPr="00AA43E9">
        <w:rPr>
          <w:sz w:val="24"/>
          <w:szCs w:val="24"/>
          <w:lang w:val="fi-FI"/>
        </w:rPr>
        <w:t>.</w:t>
      </w:r>
    </w:p>
  </w:footnote>
  <w:footnote w:id="259">
    <w:p w14:paraId="035138E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41, 15.2.2008., str. 15., ELI: </w:t>
      </w:r>
      <w:hyperlink r:id="rId259" w:history="1">
        <w:r w:rsidRPr="00AA43E9">
          <w:rPr>
            <w:rStyle w:val="Hyperlink"/>
            <w:sz w:val="24"/>
            <w:szCs w:val="24"/>
            <w:lang w:val="hr-HR"/>
          </w:rPr>
          <w:t>http://data.europa.eu/eli/dec/2008/114(1)/o</w:t>
        </w:r>
        <w:r w:rsidRPr="00AA43E9">
          <w:rPr>
            <w:rStyle w:val="Hyperlink"/>
            <w:sz w:val="24"/>
            <w:szCs w:val="24"/>
            <w:lang w:val="fi-FI"/>
          </w:rPr>
          <w:t>j</w:t>
        </w:r>
      </w:hyperlink>
      <w:r w:rsidRPr="00AA43E9">
        <w:rPr>
          <w:sz w:val="24"/>
          <w:szCs w:val="24"/>
          <w:lang w:val="hr-HR"/>
        </w:rPr>
        <w:t>.</w:t>
      </w:r>
    </w:p>
  </w:footnote>
  <w:footnote w:id="260">
    <w:p w14:paraId="5E016C5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60" w:history="1">
        <w:r w:rsidRPr="00AA43E9">
          <w:rPr>
            <w:rStyle w:val="Hyperlink1"/>
            <w:sz w:val="24"/>
            <w:szCs w:val="24"/>
            <w:lang w:val="hr-HR"/>
          </w:rPr>
          <w:t>http://data.europa.eu/eli/C/2024/6332/oj</w:t>
        </w:r>
      </w:hyperlink>
      <w:r w:rsidRPr="00AA43E9">
        <w:rPr>
          <w:sz w:val="24"/>
          <w:szCs w:val="24"/>
          <w:lang w:val="hr-HR"/>
        </w:rPr>
        <w:t>.</w:t>
      </w:r>
    </w:p>
  </w:footnote>
  <w:footnote w:id="261">
    <w:p w14:paraId="77A6C8D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61" w:history="1">
        <w:r w:rsidRPr="00AA43E9">
          <w:rPr>
            <w:rStyle w:val="Hyperlink1"/>
            <w:sz w:val="24"/>
            <w:szCs w:val="24"/>
            <w:lang w:val="hr-HR"/>
          </w:rPr>
          <w:t>http://data.europa.eu/eli/C/2024/6041/oj</w:t>
        </w:r>
      </w:hyperlink>
      <w:r w:rsidRPr="00AA43E9">
        <w:rPr>
          <w:sz w:val="24"/>
          <w:szCs w:val="24"/>
          <w:lang w:val="hr-HR"/>
        </w:rPr>
        <w:t>.</w:t>
      </w:r>
    </w:p>
  </w:footnote>
  <w:footnote w:id="262">
    <w:p w14:paraId="54747CA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62" w:history="1">
        <w:r w:rsidRPr="00AA43E9">
          <w:rPr>
            <w:rStyle w:val="Hyperlink1"/>
            <w:sz w:val="24"/>
            <w:szCs w:val="24"/>
            <w:lang w:val="hr-HR"/>
          </w:rPr>
          <w:t>http://data.europa.eu/eli/reg/2018/1046/oj</w:t>
        </w:r>
      </w:hyperlink>
      <w:r w:rsidRPr="00AA43E9">
        <w:rPr>
          <w:sz w:val="24"/>
          <w:szCs w:val="24"/>
          <w:lang w:val="hr-HR"/>
        </w:rPr>
        <w:t>.</w:t>
      </w:r>
    </w:p>
  </w:footnote>
  <w:footnote w:id="263">
    <w:p w14:paraId="13E01A9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63"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64">
    <w:p w14:paraId="1769FF7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41, 15.2.2008., str. 15., ELI: </w:t>
      </w:r>
      <w:hyperlink r:id="rId264" w:history="1">
        <w:r w:rsidRPr="00AA43E9">
          <w:rPr>
            <w:rStyle w:val="Hyperlink"/>
            <w:sz w:val="24"/>
            <w:szCs w:val="24"/>
            <w:lang w:val="hr-HR"/>
          </w:rPr>
          <w:t>http://data.europa.eu/eli/dec/2008/114(1)/oj</w:t>
        </w:r>
      </w:hyperlink>
      <w:r w:rsidRPr="00AA43E9">
        <w:rPr>
          <w:sz w:val="24"/>
          <w:szCs w:val="24"/>
          <w:lang w:val="hr-HR"/>
        </w:rPr>
        <w:t>.</w:t>
      </w:r>
    </w:p>
  </w:footnote>
  <w:footnote w:id="265">
    <w:p w14:paraId="587A001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65" w:history="1">
        <w:r w:rsidRPr="00AA43E9">
          <w:rPr>
            <w:rStyle w:val="Hyperlink1"/>
            <w:sz w:val="24"/>
            <w:szCs w:val="24"/>
            <w:lang w:val="hr-HR"/>
          </w:rPr>
          <w:t>http://data.europa.eu/eli/C/2024/6332/oj</w:t>
        </w:r>
      </w:hyperlink>
      <w:r w:rsidRPr="00AA43E9">
        <w:rPr>
          <w:sz w:val="24"/>
          <w:szCs w:val="24"/>
          <w:lang w:val="hr-HR"/>
        </w:rPr>
        <w:t>.</w:t>
      </w:r>
    </w:p>
  </w:footnote>
  <w:footnote w:id="266">
    <w:p w14:paraId="5B629BB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66" w:history="1">
        <w:r w:rsidRPr="00AA43E9">
          <w:rPr>
            <w:rStyle w:val="Hyperlink1"/>
            <w:sz w:val="24"/>
            <w:szCs w:val="24"/>
            <w:lang w:val="hr-HR"/>
          </w:rPr>
          <w:t>http://data.europa.eu/eli/C/2024/6041/oj</w:t>
        </w:r>
      </w:hyperlink>
      <w:r w:rsidRPr="00AA43E9">
        <w:rPr>
          <w:sz w:val="24"/>
          <w:szCs w:val="24"/>
          <w:lang w:val="hr-HR"/>
        </w:rPr>
        <w:t>.</w:t>
      </w:r>
    </w:p>
  </w:footnote>
  <w:footnote w:id="267">
    <w:p w14:paraId="70FBC29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67" w:history="1">
        <w:r w:rsidRPr="00AA43E9">
          <w:rPr>
            <w:rStyle w:val="Hyperlink1"/>
            <w:sz w:val="24"/>
            <w:szCs w:val="24"/>
            <w:lang w:val="hr-HR"/>
          </w:rPr>
          <w:t>http://data.europa.eu/eli/reg/2018/1046/oj</w:t>
        </w:r>
      </w:hyperlink>
      <w:r w:rsidRPr="00AA43E9">
        <w:rPr>
          <w:sz w:val="24"/>
          <w:szCs w:val="24"/>
          <w:lang w:val="hr-HR"/>
        </w:rPr>
        <w:t>.</w:t>
      </w:r>
    </w:p>
  </w:footnote>
  <w:footnote w:id="268">
    <w:p w14:paraId="0566282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6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69">
    <w:p w14:paraId="3B1E2FD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331, 15.12.2010., str. 84., ELI: </w:t>
      </w:r>
      <w:hyperlink r:id="rId269" w:history="1">
        <w:r w:rsidRPr="00AA43E9">
          <w:rPr>
            <w:rStyle w:val="Hyperlink1"/>
            <w:sz w:val="24"/>
            <w:szCs w:val="24"/>
            <w:lang w:val="hr-HR"/>
          </w:rPr>
          <w:t>http://data.europa.eu/eli/reg/2010/1095/oj</w:t>
        </w:r>
      </w:hyperlink>
      <w:r w:rsidRPr="00AA43E9">
        <w:rPr>
          <w:sz w:val="24"/>
          <w:szCs w:val="24"/>
          <w:lang w:val="hr-HR"/>
        </w:rPr>
        <w:t>.</w:t>
      </w:r>
    </w:p>
  </w:footnote>
  <w:footnote w:id="270">
    <w:p w14:paraId="101EFBC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70" w:history="1">
        <w:r w:rsidRPr="00AA43E9">
          <w:rPr>
            <w:rStyle w:val="Hyperlink1"/>
            <w:sz w:val="24"/>
            <w:szCs w:val="24"/>
            <w:lang w:val="hr-HR"/>
          </w:rPr>
          <w:t>http://data.europa.eu/eli/reg_del/2019/715/oj</w:t>
        </w:r>
      </w:hyperlink>
      <w:r w:rsidRPr="00AA43E9">
        <w:rPr>
          <w:sz w:val="24"/>
          <w:szCs w:val="24"/>
          <w:lang w:val="hr-HR"/>
        </w:rPr>
        <w:t>.</w:t>
      </w:r>
    </w:p>
  </w:footnote>
  <w:footnote w:id="271">
    <w:p w14:paraId="0FAD56D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71" w:history="1">
        <w:r w:rsidRPr="00AA43E9">
          <w:rPr>
            <w:rStyle w:val="Hyperlink1"/>
            <w:sz w:val="24"/>
            <w:szCs w:val="24"/>
            <w:lang w:val="hr-HR"/>
          </w:rPr>
          <w:t>http://data.europa.eu/eli/C/2024/6332/oj</w:t>
        </w:r>
      </w:hyperlink>
      <w:r w:rsidRPr="00AA43E9">
        <w:rPr>
          <w:sz w:val="24"/>
          <w:szCs w:val="24"/>
          <w:lang w:val="hr-HR"/>
        </w:rPr>
        <w:t>.</w:t>
      </w:r>
    </w:p>
  </w:footnote>
  <w:footnote w:id="272">
    <w:p w14:paraId="07E81D6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72" w:history="1">
        <w:r w:rsidRPr="00AA43E9">
          <w:rPr>
            <w:rStyle w:val="Hyperlink1"/>
            <w:sz w:val="24"/>
            <w:szCs w:val="24"/>
            <w:lang w:val="hr-HR"/>
          </w:rPr>
          <w:t>http://data.europa.eu/eli/C/2024/6041/oj</w:t>
        </w:r>
      </w:hyperlink>
      <w:r w:rsidRPr="00AA43E9">
        <w:rPr>
          <w:sz w:val="24"/>
          <w:szCs w:val="24"/>
          <w:lang w:val="hr-HR"/>
        </w:rPr>
        <w:t>.</w:t>
      </w:r>
    </w:p>
  </w:footnote>
  <w:footnote w:id="273">
    <w:p w14:paraId="6EBD39A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73" w:history="1">
        <w:r w:rsidRPr="00AA43E9">
          <w:rPr>
            <w:rStyle w:val="Hyperlink1"/>
            <w:sz w:val="24"/>
            <w:szCs w:val="24"/>
            <w:lang w:val="hr-HR"/>
          </w:rPr>
          <w:t>http://data.europa.eu/eli/reg/2018/1046/oj</w:t>
        </w:r>
      </w:hyperlink>
      <w:r w:rsidRPr="00AA43E9">
        <w:rPr>
          <w:sz w:val="24"/>
          <w:szCs w:val="24"/>
          <w:lang w:val="hr-HR"/>
        </w:rPr>
        <w:t>.</w:t>
      </w:r>
    </w:p>
  </w:footnote>
  <w:footnote w:id="274">
    <w:p w14:paraId="6C59CD2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74"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75">
    <w:p w14:paraId="4C212DF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331, 15.12.2010., str. 84., ELI: </w:t>
      </w:r>
      <w:hyperlink r:id="rId275" w:history="1">
        <w:r w:rsidRPr="00AA43E9">
          <w:rPr>
            <w:rStyle w:val="Hyperlink"/>
            <w:sz w:val="24"/>
            <w:szCs w:val="24"/>
            <w:lang w:val="hr-HR"/>
          </w:rPr>
          <w:t>http://data.europa.eu/eli/reg/2010/1095/oj</w:t>
        </w:r>
      </w:hyperlink>
      <w:r w:rsidRPr="00AA43E9">
        <w:rPr>
          <w:sz w:val="24"/>
          <w:szCs w:val="24"/>
          <w:lang w:val="hr-HR"/>
        </w:rPr>
        <w:t>.</w:t>
      </w:r>
    </w:p>
  </w:footnote>
  <w:footnote w:id="276">
    <w:p w14:paraId="2FECFE8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76" w:history="1">
        <w:r w:rsidRPr="00AA43E9">
          <w:rPr>
            <w:rStyle w:val="Hyperlink1"/>
            <w:sz w:val="24"/>
            <w:szCs w:val="24"/>
            <w:lang w:val="hr-HR"/>
          </w:rPr>
          <w:t>http://data.europa.eu/eli/reg_del/2019/715/oj</w:t>
        </w:r>
      </w:hyperlink>
      <w:r w:rsidRPr="00AA43E9">
        <w:rPr>
          <w:sz w:val="24"/>
          <w:szCs w:val="24"/>
          <w:lang w:val="hr-HR"/>
        </w:rPr>
        <w:t>.</w:t>
      </w:r>
    </w:p>
  </w:footnote>
  <w:footnote w:id="277">
    <w:p w14:paraId="31ED317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77" w:history="1">
        <w:r w:rsidRPr="00AA43E9">
          <w:rPr>
            <w:rStyle w:val="Hyperlink1"/>
            <w:sz w:val="24"/>
            <w:szCs w:val="24"/>
            <w:lang w:val="hr-HR"/>
          </w:rPr>
          <w:t>http://data.europa.eu/eli/C/2024/6332/oj</w:t>
        </w:r>
      </w:hyperlink>
      <w:r w:rsidRPr="00AA43E9">
        <w:rPr>
          <w:sz w:val="24"/>
          <w:szCs w:val="24"/>
          <w:lang w:val="hr-HR"/>
        </w:rPr>
        <w:t>.</w:t>
      </w:r>
    </w:p>
  </w:footnote>
  <w:footnote w:id="278">
    <w:p w14:paraId="738EC94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78" w:history="1">
        <w:r w:rsidRPr="00AA43E9">
          <w:rPr>
            <w:rStyle w:val="Hyperlink1"/>
            <w:sz w:val="24"/>
            <w:szCs w:val="24"/>
            <w:lang w:val="hr-HR"/>
          </w:rPr>
          <w:t>http://data.europa.eu/eli/C/2024/6041/oj</w:t>
        </w:r>
      </w:hyperlink>
      <w:r w:rsidRPr="00AA43E9">
        <w:rPr>
          <w:sz w:val="24"/>
          <w:szCs w:val="24"/>
          <w:lang w:val="hr-HR"/>
        </w:rPr>
        <w:t>.</w:t>
      </w:r>
    </w:p>
  </w:footnote>
  <w:footnote w:id="279">
    <w:p w14:paraId="47CD04C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79" w:history="1">
        <w:r w:rsidRPr="00AA43E9">
          <w:rPr>
            <w:rStyle w:val="Hyperlink1"/>
            <w:sz w:val="24"/>
            <w:szCs w:val="24"/>
            <w:lang w:val="hr-HR"/>
          </w:rPr>
          <w:t>http://data.europa.eu/eli/reg/2018/1046/oj</w:t>
        </w:r>
      </w:hyperlink>
      <w:r w:rsidRPr="00AA43E9">
        <w:rPr>
          <w:sz w:val="24"/>
          <w:szCs w:val="24"/>
          <w:lang w:val="hr-HR"/>
        </w:rPr>
        <w:t>.</w:t>
      </w:r>
    </w:p>
  </w:footnote>
  <w:footnote w:id="280">
    <w:p w14:paraId="1F3D51E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8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81">
    <w:p w14:paraId="0E7B342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354, 31.12.2008., str. 82., ELI: </w:t>
      </w:r>
      <w:hyperlink r:id="rId281" w:history="1">
        <w:r w:rsidRPr="00AA43E9">
          <w:rPr>
            <w:rStyle w:val="Hyperlink"/>
            <w:sz w:val="24"/>
            <w:szCs w:val="24"/>
            <w:lang w:val="hr-HR"/>
          </w:rPr>
          <w:t>http://data.europa.eu/eli/reg/2008/1339/oj</w:t>
        </w:r>
      </w:hyperlink>
      <w:r w:rsidRPr="00AA43E9">
        <w:rPr>
          <w:sz w:val="24"/>
          <w:szCs w:val="24"/>
          <w:lang w:val="hr-HR"/>
        </w:rPr>
        <w:t>.</w:t>
      </w:r>
    </w:p>
  </w:footnote>
  <w:footnote w:id="282">
    <w:p w14:paraId="278C88F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82" w:history="1">
        <w:r w:rsidRPr="00AA43E9">
          <w:rPr>
            <w:rStyle w:val="Hyperlink1"/>
            <w:sz w:val="24"/>
            <w:szCs w:val="24"/>
            <w:lang w:val="hr-HR"/>
          </w:rPr>
          <w:t>http://data.europa.eu/eli/reg_del/2019/715/oj</w:t>
        </w:r>
      </w:hyperlink>
      <w:r w:rsidRPr="00AA43E9">
        <w:rPr>
          <w:sz w:val="24"/>
          <w:szCs w:val="24"/>
          <w:lang w:val="hr-HR"/>
        </w:rPr>
        <w:t>.</w:t>
      </w:r>
    </w:p>
  </w:footnote>
  <w:footnote w:id="283">
    <w:p w14:paraId="556F72E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83" w:history="1">
        <w:r w:rsidRPr="00AA43E9">
          <w:rPr>
            <w:rStyle w:val="Hyperlink1"/>
            <w:sz w:val="24"/>
            <w:szCs w:val="24"/>
            <w:lang w:val="hr-HR"/>
          </w:rPr>
          <w:t>http://data.europa.eu/eli/C/2024/6332/oj</w:t>
        </w:r>
      </w:hyperlink>
      <w:r w:rsidRPr="00AA43E9">
        <w:rPr>
          <w:sz w:val="24"/>
          <w:szCs w:val="24"/>
          <w:lang w:val="hr-HR"/>
        </w:rPr>
        <w:t>.</w:t>
      </w:r>
    </w:p>
  </w:footnote>
  <w:footnote w:id="284">
    <w:p w14:paraId="2F97D57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84" w:history="1">
        <w:r w:rsidRPr="00AA43E9">
          <w:rPr>
            <w:rStyle w:val="Hyperlink1"/>
            <w:sz w:val="24"/>
            <w:szCs w:val="24"/>
            <w:lang w:val="hr-HR"/>
          </w:rPr>
          <w:t>http://data.europa.eu/eli/C/2024/6041/oj</w:t>
        </w:r>
      </w:hyperlink>
      <w:r w:rsidRPr="00AA43E9">
        <w:rPr>
          <w:sz w:val="24"/>
          <w:szCs w:val="24"/>
          <w:lang w:val="hr-HR"/>
        </w:rPr>
        <w:t>.</w:t>
      </w:r>
    </w:p>
  </w:footnote>
  <w:footnote w:id="285">
    <w:p w14:paraId="6EE5365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85" w:history="1">
        <w:r w:rsidRPr="00AA43E9">
          <w:rPr>
            <w:rStyle w:val="Hyperlink1"/>
            <w:sz w:val="24"/>
            <w:szCs w:val="24"/>
            <w:lang w:val="hr-HR"/>
          </w:rPr>
          <w:t>http://data.europa.eu/eli/reg/2018/1046/oj</w:t>
        </w:r>
      </w:hyperlink>
      <w:r w:rsidRPr="00AA43E9">
        <w:rPr>
          <w:sz w:val="24"/>
          <w:szCs w:val="24"/>
          <w:lang w:val="hr-HR"/>
        </w:rPr>
        <w:t>.</w:t>
      </w:r>
    </w:p>
  </w:footnote>
  <w:footnote w:id="286">
    <w:p w14:paraId="6A63322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8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87">
    <w:p w14:paraId="7A86D33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354, 31.12.2008., str. 82., ELI: </w:t>
      </w:r>
      <w:hyperlink r:id="rId287" w:history="1">
        <w:r w:rsidRPr="00AA43E9">
          <w:rPr>
            <w:rStyle w:val="Hyperlink1"/>
            <w:sz w:val="24"/>
            <w:szCs w:val="24"/>
            <w:lang w:val="hr-HR"/>
          </w:rPr>
          <w:t>http://data.europa.eu/eli/reg/2008/1339/oj</w:t>
        </w:r>
      </w:hyperlink>
      <w:r w:rsidRPr="00AA43E9">
        <w:rPr>
          <w:sz w:val="24"/>
          <w:szCs w:val="24"/>
          <w:lang w:val="hr-HR"/>
        </w:rPr>
        <w:t>.</w:t>
      </w:r>
    </w:p>
  </w:footnote>
  <w:footnote w:id="288">
    <w:p w14:paraId="2161937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88" w:history="1">
        <w:r w:rsidRPr="00AA43E9">
          <w:rPr>
            <w:rStyle w:val="Hyperlink1"/>
            <w:sz w:val="24"/>
            <w:szCs w:val="24"/>
            <w:lang w:val="hr-HR"/>
          </w:rPr>
          <w:t>http://data.europa.eu/eli/reg_del/2019/715/oj</w:t>
        </w:r>
      </w:hyperlink>
      <w:r w:rsidRPr="00AA43E9">
        <w:rPr>
          <w:sz w:val="24"/>
          <w:szCs w:val="24"/>
          <w:lang w:val="hr-HR"/>
        </w:rPr>
        <w:t>.</w:t>
      </w:r>
    </w:p>
  </w:footnote>
  <w:footnote w:id="289">
    <w:p w14:paraId="3761FAD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89" w:history="1">
        <w:r w:rsidRPr="00AA43E9">
          <w:rPr>
            <w:rStyle w:val="Hyperlink1"/>
            <w:sz w:val="24"/>
            <w:szCs w:val="24"/>
            <w:lang w:val="hr-HR"/>
          </w:rPr>
          <w:t>http://data.europa.eu/eli/C/2024/6332/oj</w:t>
        </w:r>
      </w:hyperlink>
      <w:r w:rsidRPr="00AA43E9">
        <w:rPr>
          <w:sz w:val="24"/>
          <w:szCs w:val="24"/>
          <w:lang w:val="hr-HR"/>
        </w:rPr>
        <w:t>.</w:t>
      </w:r>
    </w:p>
  </w:footnote>
  <w:footnote w:id="290">
    <w:p w14:paraId="44E0EB1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90" w:history="1">
        <w:r w:rsidRPr="00AA43E9">
          <w:rPr>
            <w:rStyle w:val="Hyperlink1"/>
            <w:sz w:val="24"/>
            <w:szCs w:val="24"/>
            <w:lang w:val="hr-HR"/>
          </w:rPr>
          <w:t>http://data.europa.eu/eli/C/2024/6041/oj</w:t>
        </w:r>
      </w:hyperlink>
      <w:r w:rsidRPr="00AA43E9">
        <w:rPr>
          <w:sz w:val="24"/>
          <w:szCs w:val="24"/>
          <w:lang w:val="hr-HR"/>
        </w:rPr>
        <w:t>.</w:t>
      </w:r>
    </w:p>
  </w:footnote>
  <w:footnote w:id="291">
    <w:p w14:paraId="03A6A04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91" w:history="1">
        <w:r w:rsidRPr="00AA43E9">
          <w:rPr>
            <w:rStyle w:val="Hyperlink1"/>
            <w:sz w:val="24"/>
            <w:szCs w:val="24"/>
            <w:lang w:val="hr-HR"/>
          </w:rPr>
          <w:t>http://data.europa.eu/eli/reg/2018/1046/oj</w:t>
        </w:r>
      </w:hyperlink>
      <w:r w:rsidRPr="00AA43E9">
        <w:rPr>
          <w:sz w:val="24"/>
          <w:szCs w:val="24"/>
          <w:lang w:val="hr-HR"/>
        </w:rPr>
        <w:t>.</w:t>
      </w:r>
    </w:p>
  </w:footnote>
  <w:footnote w:id="292">
    <w:p w14:paraId="2A607B7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9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293">
    <w:p w14:paraId="526E829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132, 29.5.2010., str. 11., ELI: </w:t>
      </w:r>
      <w:hyperlink r:id="rId293" w:history="1">
        <w:r w:rsidRPr="00AA43E9">
          <w:rPr>
            <w:rStyle w:val="Hyperlink1"/>
            <w:sz w:val="24"/>
            <w:szCs w:val="24"/>
            <w:lang w:val="hr-HR"/>
          </w:rPr>
          <w:t>http://data.europa.eu/eli/reg/2010/439/oj</w:t>
        </w:r>
      </w:hyperlink>
      <w:r w:rsidRPr="00AA43E9">
        <w:rPr>
          <w:sz w:val="24"/>
          <w:szCs w:val="24"/>
          <w:lang w:val="hr-HR"/>
        </w:rPr>
        <w:t>.</w:t>
      </w:r>
    </w:p>
  </w:footnote>
  <w:footnote w:id="294">
    <w:p w14:paraId="7494B15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468, 30.12.2021., str. 1., ELI: </w:t>
      </w:r>
      <w:hyperlink r:id="rId294" w:history="1">
        <w:r w:rsidRPr="00AA43E9">
          <w:rPr>
            <w:rStyle w:val="Hyperlink1"/>
            <w:sz w:val="24"/>
            <w:szCs w:val="24"/>
            <w:lang w:val="hr-HR"/>
          </w:rPr>
          <w:t>http://data.europa.eu/eli/reg/2021/2303/oj</w:t>
        </w:r>
      </w:hyperlink>
      <w:r w:rsidRPr="00AA43E9">
        <w:rPr>
          <w:sz w:val="24"/>
          <w:szCs w:val="24"/>
          <w:lang w:val="hr-HR"/>
        </w:rPr>
        <w:t>.</w:t>
      </w:r>
    </w:p>
  </w:footnote>
  <w:footnote w:id="295">
    <w:p w14:paraId="0763882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295" w:history="1">
        <w:r w:rsidRPr="00AA43E9">
          <w:rPr>
            <w:rStyle w:val="Hyperlink1"/>
            <w:sz w:val="24"/>
            <w:szCs w:val="24"/>
            <w:lang w:val="hr-HR"/>
          </w:rPr>
          <w:t>http://data.europa.eu/eli/reg_del/2019/715/oj</w:t>
        </w:r>
      </w:hyperlink>
      <w:r w:rsidRPr="00AA43E9">
        <w:rPr>
          <w:sz w:val="24"/>
          <w:szCs w:val="24"/>
          <w:lang w:val="hr-HR"/>
        </w:rPr>
        <w:t>.</w:t>
      </w:r>
    </w:p>
  </w:footnote>
  <w:footnote w:id="296">
    <w:p w14:paraId="106B39A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296" w:history="1">
        <w:r w:rsidRPr="00AA43E9">
          <w:rPr>
            <w:rStyle w:val="Hyperlink1"/>
            <w:sz w:val="24"/>
            <w:szCs w:val="24"/>
            <w:lang w:val="hr-HR"/>
          </w:rPr>
          <w:t>http://data.europa.eu/eli/C/2024/6332/oj</w:t>
        </w:r>
      </w:hyperlink>
      <w:r w:rsidRPr="00AA43E9">
        <w:rPr>
          <w:sz w:val="24"/>
          <w:szCs w:val="24"/>
          <w:lang w:val="hr-HR"/>
        </w:rPr>
        <w:t>.</w:t>
      </w:r>
    </w:p>
  </w:footnote>
  <w:footnote w:id="297">
    <w:p w14:paraId="7C8E99D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297" w:history="1">
        <w:r w:rsidRPr="00AA43E9">
          <w:rPr>
            <w:rStyle w:val="Hyperlink1"/>
            <w:sz w:val="24"/>
            <w:szCs w:val="24"/>
            <w:lang w:val="hr-HR"/>
          </w:rPr>
          <w:t>http://data.europa.eu/eli/C/2024/6041/oj</w:t>
        </w:r>
      </w:hyperlink>
      <w:r w:rsidRPr="00AA43E9">
        <w:rPr>
          <w:sz w:val="24"/>
          <w:szCs w:val="24"/>
          <w:lang w:val="hr-HR"/>
        </w:rPr>
        <w:t>.</w:t>
      </w:r>
    </w:p>
  </w:footnote>
  <w:footnote w:id="298">
    <w:p w14:paraId="05B0004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298" w:history="1">
        <w:r w:rsidRPr="00AA43E9">
          <w:rPr>
            <w:rStyle w:val="Hyperlink1"/>
            <w:sz w:val="24"/>
            <w:szCs w:val="24"/>
            <w:lang w:val="hr-HR"/>
          </w:rPr>
          <w:t>http://data.europa.eu/eli/reg/2018/1046/oj</w:t>
        </w:r>
      </w:hyperlink>
      <w:r w:rsidRPr="00AA43E9">
        <w:rPr>
          <w:sz w:val="24"/>
          <w:szCs w:val="24"/>
          <w:lang w:val="hr-HR"/>
        </w:rPr>
        <w:t>.</w:t>
      </w:r>
    </w:p>
  </w:footnote>
  <w:footnote w:id="299">
    <w:p w14:paraId="4C08834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299"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00">
    <w:p w14:paraId="7DA13DE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132, 29.5.2010., str. 11., ELI: </w:t>
      </w:r>
      <w:hyperlink r:id="rId300" w:history="1">
        <w:r w:rsidRPr="00AA43E9">
          <w:rPr>
            <w:rStyle w:val="Hyperlink1"/>
            <w:sz w:val="24"/>
            <w:szCs w:val="24"/>
            <w:lang w:val="hr-HR"/>
          </w:rPr>
          <w:t>http://data.europa.eu/eli/reg/2010/439/oj</w:t>
        </w:r>
      </w:hyperlink>
      <w:r w:rsidRPr="00AA43E9">
        <w:rPr>
          <w:sz w:val="24"/>
          <w:szCs w:val="24"/>
          <w:lang w:val="hr-HR"/>
        </w:rPr>
        <w:t>.</w:t>
      </w:r>
    </w:p>
  </w:footnote>
  <w:footnote w:id="301">
    <w:p w14:paraId="2DD1354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468, 30.12.2021., str. 1., ELI: </w:t>
      </w:r>
      <w:hyperlink r:id="rId301" w:history="1">
        <w:r w:rsidRPr="00AA43E9">
          <w:rPr>
            <w:rStyle w:val="Hyperlink1"/>
            <w:sz w:val="24"/>
            <w:szCs w:val="24"/>
            <w:lang w:val="hr-HR"/>
          </w:rPr>
          <w:t>http://data.europa.eu/eli/reg/2021/2303/oj</w:t>
        </w:r>
      </w:hyperlink>
      <w:r w:rsidRPr="00AA43E9">
        <w:rPr>
          <w:sz w:val="24"/>
          <w:szCs w:val="24"/>
          <w:lang w:val="hr-HR"/>
        </w:rPr>
        <w:t>.</w:t>
      </w:r>
    </w:p>
  </w:footnote>
  <w:footnote w:id="302">
    <w:p w14:paraId="4DF543E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02" w:history="1">
        <w:r w:rsidRPr="00AA43E9">
          <w:rPr>
            <w:rStyle w:val="Hyperlink1"/>
            <w:sz w:val="24"/>
            <w:szCs w:val="24"/>
            <w:lang w:val="hr-HR"/>
          </w:rPr>
          <w:t>http://data.europa.eu/eli/reg_del/2019/715/oj</w:t>
        </w:r>
      </w:hyperlink>
      <w:r w:rsidRPr="00AA43E9">
        <w:rPr>
          <w:sz w:val="24"/>
          <w:szCs w:val="24"/>
          <w:lang w:val="hr-HR"/>
        </w:rPr>
        <w:t>.</w:t>
      </w:r>
    </w:p>
  </w:footnote>
  <w:footnote w:id="303">
    <w:p w14:paraId="553AB25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03" w:history="1">
        <w:r w:rsidRPr="00AA43E9">
          <w:rPr>
            <w:rStyle w:val="Hyperlink1"/>
            <w:sz w:val="24"/>
            <w:szCs w:val="24"/>
            <w:lang w:val="hr-HR"/>
          </w:rPr>
          <w:t>http://data.europa.eu/eli/C/2024/6332/oj</w:t>
        </w:r>
      </w:hyperlink>
      <w:r w:rsidRPr="00AA43E9">
        <w:rPr>
          <w:sz w:val="24"/>
          <w:szCs w:val="24"/>
          <w:lang w:val="hr-HR"/>
        </w:rPr>
        <w:t>.</w:t>
      </w:r>
    </w:p>
  </w:footnote>
  <w:footnote w:id="304">
    <w:p w14:paraId="47D94B2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04" w:history="1">
        <w:r w:rsidRPr="00AA43E9">
          <w:rPr>
            <w:rStyle w:val="Hyperlink1"/>
            <w:sz w:val="24"/>
            <w:szCs w:val="24"/>
            <w:lang w:val="hr-HR"/>
          </w:rPr>
          <w:t>http://data.europa.eu/eli/C/2024/6041/oj</w:t>
        </w:r>
      </w:hyperlink>
      <w:r w:rsidRPr="00AA43E9">
        <w:rPr>
          <w:sz w:val="24"/>
          <w:szCs w:val="24"/>
          <w:lang w:val="hr-HR"/>
        </w:rPr>
        <w:t>.</w:t>
      </w:r>
    </w:p>
  </w:footnote>
  <w:footnote w:id="305">
    <w:p w14:paraId="762558A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05" w:history="1">
        <w:r w:rsidRPr="00AA43E9">
          <w:rPr>
            <w:rStyle w:val="Hyperlink1"/>
            <w:sz w:val="24"/>
            <w:szCs w:val="24"/>
            <w:lang w:val="hr-HR"/>
          </w:rPr>
          <w:t>http://data.europa.eu/eli/reg/2018/1046/oj</w:t>
        </w:r>
      </w:hyperlink>
      <w:r w:rsidRPr="00AA43E9">
        <w:rPr>
          <w:sz w:val="24"/>
          <w:szCs w:val="24"/>
          <w:lang w:val="hr-HR"/>
        </w:rPr>
        <w:t>.</w:t>
      </w:r>
    </w:p>
  </w:footnote>
  <w:footnote w:id="306">
    <w:p w14:paraId="11C6188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0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07">
    <w:p w14:paraId="77A8504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295, 21.11.2018., str. 99., ELI: </w:t>
      </w:r>
      <w:hyperlink r:id="rId307" w:history="1">
        <w:r w:rsidRPr="00AA43E9">
          <w:rPr>
            <w:rStyle w:val="Hyperlink1"/>
            <w:sz w:val="24"/>
            <w:szCs w:val="24"/>
            <w:lang w:val="hr-HR"/>
          </w:rPr>
          <w:t>http://data.europa.eu/eli/reg/2018/1726/oj</w:t>
        </w:r>
      </w:hyperlink>
      <w:r w:rsidRPr="00AA43E9">
        <w:rPr>
          <w:sz w:val="24"/>
          <w:szCs w:val="24"/>
          <w:lang w:val="hr-HR"/>
        </w:rPr>
        <w:t>.</w:t>
      </w:r>
    </w:p>
  </w:footnote>
  <w:footnote w:id="308">
    <w:p w14:paraId="0F1DA8F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08" w:history="1">
        <w:r w:rsidRPr="00AA43E9">
          <w:rPr>
            <w:rStyle w:val="Hyperlink1"/>
            <w:sz w:val="24"/>
            <w:szCs w:val="24"/>
            <w:lang w:val="hr-HR"/>
          </w:rPr>
          <w:t>http://data.europa.eu/eli/reg_del/2019/715/oj</w:t>
        </w:r>
      </w:hyperlink>
      <w:r w:rsidRPr="00AA43E9">
        <w:rPr>
          <w:sz w:val="24"/>
          <w:szCs w:val="24"/>
          <w:lang w:val="hr-HR"/>
        </w:rPr>
        <w:t>.</w:t>
      </w:r>
    </w:p>
  </w:footnote>
  <w:footnote w:id="309">
    <w:p w14:paraId="7FE6C88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09" w:history="1">
        <w:r w:rsidRPr="00AA43E9">
          <w:rPr>
            <w:rStyle w:val="Hyperlink1"/>
            <w:sz w:val="24"/>
            <w:szCs w:val="24"/>
            <w:lang w:val="hr-HR"/>
          </w:rPr>
          <w:t>http://data.europa.eu/eli/C/2024/6332/oj</w:t>
        </w:r>
      </w:hyperlink>
      <w:r w:rsidRPr="00AA43E9">
        <w:rPr>
          <w:sz w:val="24"/>
          <w:szCs w:val="24"/>
          <w:lang w:val="hr-HR"/>
        </w:rPr>
        <w:t>.</w:t>
      </w:r>
    </w:p>
  </w:footnote>
  <w:footnote w:id="310">
    <w:p w14:paraId="53A84FA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10" w:history="1">
        <w:r w:rsidRPr="00AA43E9">
          <w:rPr>
            <w:rStyle w:val="Hyperlink1"/>
            <w:sz w:val="24"/>
            <w:szCs w:val="24"/>
            <w:lang w:val="hr-HR"/>
          </w:rPr>
          <w:t>http://data.europa.eu/eli/C/2024/6041/oj</w:t>
        </w:r>
      </w:hyperlink>
      <w:r w:rsidRPr="00AA43E9">
        <w:rPr>
          <w:sz w:val="24"/>
          <w:szCs w:val="24"/>
          <w:lang w:val="hr-HR"/>
        </w:rPr>
        <w:t>.</w:t>
      </w:r>
    </w:p>
  </w:footnote>
  <w:footnote w:id="311">
    <w:p w14:paraId="7B051E9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11" w:history="1">
        <w:r w:rsidRPr="00AA43E9">
          <w:rPr>
            <w:rStyle w:val="Hyperlink1"/>
            <w:sz w:val="24"/>
            <w:szCs w:val="24"/>
            <w:lang w:val="hr-HR"/>
          </w:rPr>
          <w:t>http://data.europa.eu/eli/reg/2018/1046/oj</w:t>
        </w:r>
      </w:hyperlink>
      <w:r w:rsidRPr="00AA43E9">
        <w:rPr>
          <w:sz w:val="24"/>
          <w:szCs w:val="24"/>
          <w:lang w:val="hr-HR"/>
        </w:rPr>
        <w:t>.</w:t>
      </w:r>
    </w:p>
  </w:footnote>
  <w:footnote w:id="312">
    <w:p w14:paraId="0E72C3D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1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13">
    <w:p w14:paraId="63D10D2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295, 21.11.2018., str. 99., ELI: </w:t>
      </w:r>
      <w:hyperlink r:id="rId313" w:history="1">
        <w:r w:rsidRPr="00AA43E9">
          <w:rPr>
            <w:rStyle w:val="Hyperlink1"/>
            <w:sz w:val="24"/>
            <w:szCs w:val="24"/>
            <w:lang w:val="hr-HR"/>
          </w:rPr>
          <w:t>http://data.europa.eu/eli/reg/2018/1726/oj</w:t>
        </w:r>
      </w:hyperlink>
      <w:r w:rsidRPr="00AA43E9">
        <w:rPr>
          <w:sz w:val="24"/>
          <w:szCs w:val="24"/>
          <w:lang w:val="hr-HR"/>
        </w:rPr>
        <w:t>.</w:t>
      </w:r>
    </w:p>
  </w:footnote>
  <w:footnote w:id="314">
    <w:p w14:paraId="65F2E53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14" w:history="1">
        <w:r w:rsidRPr="00AA43E9">
          <w:rPr>
            <w:rStyle w:val="Hyperlink1"/>
            <w:sz w:val="24"/>
            <w:szCs w:val="24"/>
            <w:lang w:val="hr-HR"/>
          </w:rPr>
          <w:t>http://data.europa.eu/eli/reg_del/2019/715/oj</w:t>
        </w:r>
      </w:hyperlink>
      <w:r w:rsidRPr="00AA43E9">
        <w:rPr>
          <w:sz w:val="24"/>
          <w:szCs w:val="24"/>
          <w:lang w:val="hr-HR"/>
        </w:rPr>
        <w:t>.</w:t>
      </w:r>
    </w:p>
  </w:footnote>
  <w:footnote w:id="315">
    <w:p w14:paraId="32504A7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15" w:history="1">
        <w:r w:rsidRPr="00AA43E9">
          <w:rPr>
            <w:rStyle w:val="Hyperlink1"/>
            <w:sz w:val="24"/>
            <w:szCs w:val="24"/>
            <w:lang w:val="hr-HR"/>
          </w:rPr>
          <w:t>http://data.europa.eu/eli/C/2024/6332/oj</w:t>
        </w:r>
      </w:hyperlink>
      <w:r w:rsidRPr="00AA43E9">
        <w:rPr>
          <w:sz w:val="24"/>
          <w:szCs w:val="24"/>
          <w:lang w:val="hr-HR"/>
        </w:rPr>
        <w:t>.</w:t>
      </w:r>
    </w:p>
  </w:footnote>
  <w:footnote w:id="316">
    <w:p w14:paraId="4D45AF1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16" w:history="1">
        <w:r w:rsidRPr="00AA43E9">
          <w:rPr>
            <w:rStyle w:val="Hyperlink1"/>
            <w:sz w:val="24"/>
            <w:szCs w:val="24"/>
            <w:lang w:val="hr-HR"/>
          </w:rPr>
          <w:t>http://data.europa.eu/eli/C/2024/6041/oj</w:t>
        </w:r>
      </w:hyperlink>
      <w:r w:rsidRPr="00AA43E9">
        <w:rPr>
          <w:sz w:val="24"/>
          <w:szCs w:val="24"/>
          <w:lang w:val="hr-HR"/>
        </w:rPr>
        <w:t>.</w:t>
      </w:r>
    </w:p>
  </w:footnote>
  <w:footnote w:id="317">
    <w:p w14:paraId="055BDD5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17" w:history="1">
        <w:r w:rsidRPr="00AA43E9">
          <w:rPr>
            <w:rStyle w:val="Hyperlink1"/>
            <w:sz w:val="24"/>
            <w:szCs w:val="24"/>
            <w:lang w:val="hr-HR"/>
          </w:rPr>
          <w:t>http://data.europa.eu/eli/reg/2018/1046/oj</w:t>
        </w:r>
      </w:hyperlink>
      <w:r w:rsidRPr="00AA43E9">
        <w:rPr>
          <w:sz w:val="24"/>
          <w:szCs w:val="24"/>
          <w:lang w:val="hr-HR"/>
        </w:rPr>
        <w:t>.</w:t>
      </w:r>
    </w:p>
  </w:footnote>
  <w:footnote w:id="318">
    <w:p w14:paraId="30479C2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1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19">
    <w:p w14:paraId="463EC24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30, 31.1.2019., str. 58., ELI: </w:t>
      </w:r>
      <w:hyperlink r:id="rId319" w:history="1">
        <w:r w:rsidRPr="00AA43E9">
          <w:rPr>
            <w:rStyle w:val="Hyperlink1"/>
            <w:sz w:val="24"/>
            <w:szCs w:val="24"/>
            <w:lang w:val="hr-HR"/>
          </w:rPr>
          <w:t>http://data.europa.eu/eli/reg/2019/126/oj</w:t>
        </w:r>
      </w:hyperlink>
      <w:r w:rsidRPr="00AA43E9">
        <w:rPr>
          <w:sz w:val="24"/>
          <w:szCs w:val="24"/>
          <w:lang w:val="hr-HR"/>
        </w:rPr>
        <w:t>.</w:t>
      </w:r>
    </w:p>
  </w:footnote>
  <w:footnote w:id="320">
    <w:p w14:paraId="70AF575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20" w:history="1">
        <w:r w:rsidRPr="00AA43E9">
          <w:rPr>
            <w:rStyle w:val="Hyperlink1"/>
            <w:sz w:val="24"/>
            <w:szCs w:val="24"/>
            <w:lang w:val="hr-HR"/>
          </w:rPr>
          <w:t>http://data.europa.eu/eli/reg_del/2019/715/oj</w:t>
        </w:r>
      </w:hyperlink>
      <w:r w:rsidRPr="00AA43E9">
        <w:rPr>
          <w:sz w:val="24"/>
          <w:szCs w:val="24"/>
          <w:lang w:val="hr-HR"/>
        </w:rPr>
        <w:t>.</w:t>
      </w:r>
    </w:p>
  </w:footnote>
  <w:footnote w:id="321">
    <w:p w14:paraId="11B7482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21" w:history="1">
        <w:r w:rsidRPr="00AA43E9">
          <w:rPr>
            <w:rStyle w:val="Hyperlink1"/>
            <w:sz w:val="24"/>
            <w:szCs w:val="24"/>
            <w:lang w:val="hr-HR"/>
          </w:rPr>
          <w:t>http://data.europa.eu/eli/C/2024/6332/oj</w:t>
        </w:r>
      </w:hyperlink>
      <w:r w:rsidRPr="00AA43E9">
        <w:rPr>
          <w:sz w:val="24"/>
          <w:szCs w:val="24"/>
          <w:lang w:val="hr-HR"/>
        </w:rPr>
        <w:t>.</w:t>
      </w:r>
    </w:p>
  </w:footnote>
  <w:footnote w:id="322">
    <w:p w14:paraId="3F57D10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22" w:history="1">
        <w:r w:rsidRPr="00AA43E9">
          <w:rPr>
            <w:rStyle w:val="Hyperlink1"/>
            <w:sz w:val="24"/>
            <w:szCs w:val="24"/>
            <w:lang w:val="hr-HR"/>
          </w:rPr>
          <w:t>http://data.europa.eu/eli/C/2024/6041/oj</w:t>
        </w:r>
      </w:hyperlink>
      <w:r w:rsidRPr="00AA43E9">
        <w:rPr>
          <w:sz w:val="24"/>
          <w:szCs w:val="24"/>
          <w:lang w:val="hr-HR"/>
        </w:rPr>
        <w:t>.</w:t>
      </w:r>
    </w:p>
  </w:footnote>
  <w:footnote w:id="323">
    <w:p w14:paraId="26FA5FE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23" w:history="1">
        <w:r w:rsidRPr="00AA43E9">
          <w:rPr>
            <w:rStyle w:val="Hyperlink1"/>
            <w:sz w:val="24"/>
            <w:szCs w:val="24"/>
            <w:lang w:val="hr-HR"/>
          </w:rPr>
          <w:t>http://data.europa.eu/eli/reg/2018/1046/oj</w:t>
        </w:r>
      </w:hyperlink>
      <w:r w:rsidRPr="00AA43E9">
        <w:rPr>
          <w:sz w:val="24"/>
          <w:szCs w:val="24"/>
          <w:lang w:val="hr-HR"/>
        </w:rPr>
        <w:t>.</w:t>
      </w:r>
    </w:p>
  </w:footnote>
  <w:footnote w:id="324">
    <w:p w14:paraId="6E3E8F90" w14:textId="77777777" w:rsidR="00AA43E9" w:rsidRPr="00AA43E9" w:rsidRDefault="00AA43E9" w:rsidP="00AA43E9">
      <w:pPr>
        <w:pStyle w:val="FootnoteText"/>
        <w:ind w:left="567" w:hanging="567"/>
        <w:rPr>
          <w:sz w:val="24"/>
          <w:szCs w:val="24"/>
          <w:lang w:val="fi-FI"/>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24" w:history="1">
        <w:r w:rsidRPr="00AA43E9">
          <w:rPr>
            <w:rStyle w:val="Hyperlink1"/>
            <w:sz w:val="24"/>
            <w:szCs w:val="24"/>
            <w:lang w:val="hr-HR"/>
          </w:rPr>
          <w:t>http://data.europa.eu/eli/reg/2024/2509/oj</w:t>
        </w:r>
      </w:hyperlink>
      <w:r w:rsidRPr="00AA43E9">
        <w:rPr>
          <w:sz w:val="24"/>
          <w:szCs w:val="24"/>
          <w:lang w:val="fi-FI"/>
        </w:rPr>
        <w:t>.</w:t>
      </w:r>
    </w:p>
  </w:footnote>
  <w:footnote w:id="325">
    <w:p w14:paraId="7116754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30, 31.1.2019., str. 58., ELI: </w:t>
      </w:r>
      <w:hyperlink r:id="rId325" w:history="1">
        <w:r w:rsidRPr="00AA43E9">
          <w:rPr>
            <w:rStyle w:val="Hyperlink1"/>
            <w:sz w:val="24"/>
            <w:szCs w:val="24"/>
            <w:lang w:val="hr-HR"/>
          </w:rPr>
          <w:t>http://data.europa.eu/eli/reg/2019/126/oj</w:t>
        </w:r>
      </w:hyperlink>
      <w:r w:rsidRPr="00AA43E9">
        <w:rPr>
          <w:sz w:val="24"/>
          <w:szCs w:val="24"/>
          <w:lang w:val="hr-HR"/>
        </w:rPr>
        <w:t>.</w:t>
      </w:r>
    </w:p>
  </w:footnote>
  <w:footnote w:id="326">
    <w:p w14:paraId="059F240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26" w:history="1">
        <w:r w:rsidRPr="00AA43E9">
          <w:rPr>
            <w:rStyle w:val="Hyperlink1"/>
            <w:sz w:val="24"/>
            <w:szCs w:val="24"/>
            <w:lang w:val="hr-HR"/>
          </w:rPr>
          <w:t>http://data.europa.eu/eli/reg_del/2019/715/oj</w:t>
        </w:r>
      </w:hyperlink>
      <w:r w:rsidRPr="00AA43E9">
        <w:rPr>
          <w:sz w:val="24"/>
          <w:szCs w:val="24"/>
          <w:lang w:val="hr-HR"/>
        </w:rPr>
        <w:t>.</w:t>
      </w:r>
    </w:p>
  </w:footnote>
  <w:footnote w:id="327">
    <w:p w14:paraId="4536E42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27" w:history="1">
        <w:r w:rsidRPr="00AA43E9">
          <w:rPr>
            <w:rStyle w:val="Hyperlink1"/>
            <w:sz w:val="24"/>
            <w:szCs w:val="24"/>
            <w:lang w:val="hr-HR"/>
          </w:rPr>
          <w:t>http://data.europa.eu/eli/C/2024/6332/oj</w:t>
        </w:r>
      </w:hyperlink>
      <w:r w:rsidRPr="00AA43E9">
        <w:rPr>
          <w:sz w:val="24"/>
          <w:szCs w:val="24"/>
          <w:lang w:val="hr-HR"/>
        </w:rPr>
        <w:t>.</w:t>
      </w:r>
    </w:p>
  </w:footnote>
  <w:footnote w:id="328">
    <w:p w14:paraId="65DBBFC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28" w:history="1">
        <w:r w:rsidRPr="00AA43E9">
          <w:rPr>
            <w:rStyle w:val="Hyperlink1"/>
            <w:sz w:val="24"/>
            <w:szCs w:val="24"/>
            <w:lang w:val="hr-HR"/>
          </w:rPr>
          <w:t>http://data.europa.eu/eli/C/2024/6041/oj</w:t>
        </w:r>
      </w:hyperlink>
      <w:r w:rsidRPr="00AA43E9">
        <w:rPr>
          <w:sz w:val="24"/>
          <w:szCs w:val="24"/>
          <w:lang w:val="hr-HR"/>
        </w:rPr>
        <w:t>.</w:t>
      </w:r>
    </w:p>
  </w:footnote>
  <w:footnote w:id="329">
    <w:p w14:paraId="3A5908B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29" w:history="1">
        <w:r w:rsidRPr="00AA43E9">
          <w:rPr>
            <w:rStyle w:val="Hyperlink1"/>
            <w:sz w:val="24"/>
            <w:szCs w:val="24"/>
            <w:lang w:val="hr-HR"/>
          </w:rPr>
          <w:t>http://data.europa.eu/eli/reg/2018/1046/oj</w:t>
        </w:r>
      </w:hyperlink>
      <w:r w:rsidRPr="00AA43E9">
        <w:rPr>
          <w:sz w:val="24"/>
          <w:szCs w:val="24"/>
          <w:lang w:val="hr-HR"/>
        </w:rPr>
        <w:t>.</w:t>
      </w:r>
    </w:p>
  </w:footnote>
  <w:footnote w:id="330">
    <w:p w14:paraId="04AF282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3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31">
    <w:p w14:paraId="4EA3F5F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30, 31.1.2019., str. 74., ELI: </w:t>
      </w:r>
      <w:hyperlink r:id="rId331" w:history="1">
        <w:r w:rsidRPr="00AA43E9">
          <w:rPr>
            <w:rStyle w:val="Hyperlink1"/>
            <w:sz w:val="24"/>
            <w:szCs w:val="24"/>
            <w:lang w:val="hr-HR"/>
          </w:rPr>
          <w:t>http://data.europa.eu/eli/reg/2019/127/oj</w:t>
        </w:r>
      </w:hyperlink>
      <w:r w:rsidRPr="00AA43E9">
        <w:rPr>
          <w:sz w:val="24"/>
          <w:szCs w:val="24"/>
          <w:lang w:val="hr-HR"/>
        </w:rPr>
        <w:t>.</w:t>
      </w:r>
    </w:p>
  </w:footnote>
  <w:footnote w:id="332">
    <w:p w14:paraId="032025D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32" w:history="1">
        <w:r w:rsidRPr="00AA43E9">
          <w:rPr>
            <w:rStyle w:val="Hyperlink1"/>
            <w:sz w:val="24"/>
            <w:szCs w:val="24"/>
            <w:lang w:val="hr-HR"/>
          </w:rPr>
          <w:t>http://data.europa.eu/eli/reg_del/2019/715/oj</w:t>
        </w:r>
      </w:hyperlink>
      <w:r w:rsidRPr="00AA43E9">
        <w:rPr>
          <w:sz w:val="24"/>
          <w:szCs w:val="24"/>
          <w:lang w:val="hr-HR"/>
        </w:rPr>
        <w:t>.</w:t>
      </w:r>
    </w:p>
  </w:footnote>
  <w:footnote w:id="333">
    <w:p w14:paraId="0357FDB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33" w:history="1">
        <w:r w:rsidRPr="00AA43E9">
          <w:rPr>
            <w:rStyle w:val="Hyperlink1"/>
            <w:sz w:val="24"/>
            <w:szCs w:val="24"/>
            <w:lang w:val="hr-HR"/>
          </w:rPr>
          <w:t>http://data.europa.eu/eli/C/2024/6332/oj</w:t>
        </w:r>
      </w:hyperlink>
      <w:r w:rsidRPr="00AA43E9">
        <w:rPr>
          <w:sz w:val="24"/>
          <w:szCs w:val="24"/>
          <w:lang w:val="hr-HR"/>
        </w:rPr>
        <w:t>.</w:t>
      </w:r>
    </w:p>
  </w:footnote>
  <w:footnote w:id="334">
    <w:p w14:paraId="61AD758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34" w:history="1">
        <w:r w:rsidRPr="00AA43E9">
          <w:rPr>
            <w:rStyle w:val="Hyperlink1"/>
            <w:sz w:val="24"/>
            <w:szCs w:val="24"/>
            <w:lang w:val="hr-HR"/>
          </w:rPr>
          <w:t>http://data.europa.eu/eli/C/2024/6041/oj</w:t>
        </w:r>
      </w:hyperlink>
      <w:r w:rsidRPr="00AA43E9">
        <w:rPr>
          <w:sz w:val="24"/>
          <w:szCs w:val="24"/>
          <w:lang w:val="hr-HR"/>
        </w:rPr>
        <w:t>.</w:t>
      </w:r>
    </w:p>
  </w:footnote>
  <w:footnote w:id="335">
    <w:p w14:paraId="5682AC4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35" w:history="1">
        <w:r w:rsidRPr="00AA43E9">
          <w:rPr>
            <w:rStyle w:val="Hyperlink1"/>
            <w:sz w:val="24"/>
            <w:szCs w:val="24"/>
            <w:lang w:val="hr-HR"/>
          </w:rPr>
          <w:t>http://data.europa.eu/eli/reg/2018/1046/oj</w:t>
        </w:r>
      </w:hyperlink>
      <w:r w:rsidRPr="00AA43E9">
        <w:rPr>
          <w:sz w:val="24"/>
          <w:szCs w:val="24"/>
          <w:lang w:val="hr-HR"/>
        </w:rPr>
        <w:t>.</w:t>
      </w:r>
    </w:p>
  </w:footnote>
  <w:footnote w:id="336">
    <w:p w14:paraId="6E17EE1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3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37">
    <w:p w14:paraId="2715E17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30, 31.1.2019., str. 74., ELI: </w:t>
      </w:r>
      <w:hyperlink r:id="rId337" w:history="1">
        <w:r w:rsidRPr="00AA43E9">
          <w:rPr>
            <w:rStyle w:val="Hyperlink1"/>
            <w:sz w:val="24"/>
            <w:szCs w:val="24"/>
            <w:lang w:val="hr-HR"/>
          </w:rPr>
          <w:t>http://data.europa.eu/eli/reg/2019/127/oj</w:t>
        </w:r>
      </w:hyperlink>
      <w:r w:rsidRPr="00AA43E9">
        <w:rPr>
          <w:sz w:val="24"/>
          <w:szCs w:val="24"/>
          <w:lang w:val="hr-HR"/>
        </w:rPr>
        <w:t>.</w:t>
      </w:r>
    </w:p>
  </w:footnote>
  <w:footnote w:id="338">
    <w:p w14:paraId="0D7673E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38" w:history="1">
        <w:r w:rsidRPr="00AA43E9">
          <w:rPr>
            <w:rStyle w:val="Hyperlink1"/>
            <w:sz w:val="24"/>
            <w:szCs w:val="24"/>
            <w:lang w:val="hr-HR"/>
          </w:rPr>
          <w:t>http://data.europa.eu/eli/reg_del/2019/715/oj</w:t>
        </w:r>
      </w:hyperlink>
      <w:r w:rsidRPr="00AA43E9">
        <w:rPr>
          <w:sz w:val="24"/>
          <w:szCs w:val="24"/>
          <w:lang w:val="hr-HR"/>
        </w:rPr>
        <w:t>.</w:t>
      </w:r>
    </w:p>
  </w:footnote>
  <w:footnote w:id="339">
    <w:p w14:paraId="14496C8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39" w:history="1">
        <w:r w:rsidRPr="00AA43E9">
          <w:rPr>
            <w:rStyle w:val="Hyperlink1"/>
            <w:sz w:val="24"/>
            <w:szCs w:val="24"/>
            <w:lang w:val="hr-HR"/>
          </w:rPr>
          <w:t>http://data.europa.eu/eli/C/2024/6332/oj</w:t>
        </w:r>
      </w:hyperlink>
      <w:r w:rsidRPr="00AA43E9">
        <w:rPr>
          <w:sz w:val="24"/>
          <w:szCs w:val="24"/>
          <w:lang w:val="hr-HR"/>
        </w:rPr>
        <w:t>.</w:t>
      </w:r>
    </w:p>
  </w:footnote>
  <w:footnote w:id="340">
    <w:p w14:paraId="5FD5BB2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40" w:history="1">
        <w:r w:rsidRPr="00AA43E9">
          <w:rPr>
            <w:rStyle w:val="Hyperlink1"/>
            <w:sz w:val="24"/>
            <w:szCs w:val="24"/>
            <w:lang w:val="hr-HR"/>
          </w:rPr>
          <w:t>http://data.europa.eu/eli/C/2024/6041/oj</w:t>
        </w:r>
      </w:hyperlink>
      <w:r w:rsidRPr="00AA43E9">
        <w:rPr>
          <w:sz w:val="24"/>
          <w:szCs w:val="24"/>
          <w:lang w:val="hr-HR"/>
        </w:rPr>
        <w:t>.</w:t>
      </w:r>
    </w:p>
  </w:footnote>
  <w:footnote w:id="341">
    <w:p w14:paraId="2578C86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41" w:history="1">
        <w:r w:rsidRPr="00AA43E9">
          <w:rPr>
            <w:rStyle w:val="Hyperlink1"/>
            <w:sz w:val="24"/>
            <w:szCs w:val="24"/>
            <w:lang w:val="hr-HR"/>
          </w:rPr>
          <w:t>http://data.europa.eu/eli/reg/2018/1046/oj</w:t>
        </w:r>
      </w:hyperlink>
      <w:r w:rsidRPr="00AA43E9">
        <w:rPr>
          <w:sz w:val="24"/>
          <w:szCs w:val="24"/>
          <w:lang w:val="hr-HR"/>
        </w:rPr>
        <w:t>.</w:t>
      </w:r>
    </w:p>
  </w:footnote>
  <w:footnote w:id="342">
    <w:p w14:paraId="25AC714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4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43">
    <w:p w14:paraId="63829F8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295, 21.11.2018., str. 138., ELI: </w:t>
      </w:r>
      <w:hyperlink r:id="rId343" w:history="1">
        <w:r w:rsidRPr="00AA43E9">
          <w:rPr>
            <w:rStyle w:val="Hyperlink1"/>
            <w:sz w:val="24"/>
            <w:szCs w:val="24"/>
            <w:lang w:val="hr-HR"/>
          </w:rPr>
          <w:t>http://data.europa.eu/eli/reg/2018/1727/oj</w:t>
        </w:r>
      </w:hyperlink>
      <w:r w:rsidRPr="00AA43E9">
        <w:rPr>
          <w:sz w:val="24"/>
          <w:szCs w:val="24"/>
          <w:lang w:val="hr-HR"/>
        </w:rPr>
        <w:t>.</w:t>
      </w:r>
    </w:p>
  </w:footnote>
  <w:footnote w:id="344">
    <w:p w14:paraId="252F367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44" w:history="1">
        <w:r w:rsidRPr="00AA43E9">
          <w:rPr>
            <w:rStyle w:val="Hyperlink1"/>
            <w:sz w:val="24"/>
            <w:szCs w:val="24"/>
            <w:lang w:val="hr-HR"/>
          </w:rPr>
          <w:t>http://data.europa.eu/eli/reg_del/2019/715/oj</w:t>
        </w:r>
      </w:hyperlink>
      <w:r w:rsidRPr="00AA43E9">
        <w:rPr>
          <w:sz w:val="24"/>
          <w:szCs w:val="24"/>
          <w:lang w:val="hr-HR"/>
        </w:rPr>
        <w:t>.</w:t>
      </w:r>
    </w:p>
  </w:footnote>
  <w:footnote w:id="345">
    <w:p w14:paraId="1F48679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45" w:history="1">
        <w:r w:rsidRPr="00AA43E9">
          <w:rPr>
            <w:rStyle w:val="Hyperlink1"/>
            <w:sz w:val="24"/>
            <w:szCs w:val="24"/>
            <w:lang w:val="hr-HR"/>
          </w:rPr>
          <w:t>http://data.europa.eu/eli/C/2024/6332/oj</w:t>
        </w:r>
      </w:hyperlink>
      <w:r w:rsidRPr="00AA43E9">
        <w:rPr>
          <w:sz w:val="24"/>
          <w:szCs w:val="24"/>
          <w:lang w:val="hr-HR"/>
        </w:rPr>
        <w:t>.</w:t>
      </w:r>
    </w:p>
  </w:footnote>
  <w:footnote w:id="346">
    <w:p w14:paraId="37B9E95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46" w:history="1">
        <w:r w:rsidRPr="00AA43E9">
          <w:rPr>
            <w:rStyle w:val="Hyperlink1"/>
            <w:sz w:val="24"/>
            <w:szCs w:val="24"/>
            <w:lang w:val="hr-HR"/>
          </w:rPr>
          <w:t>http://data.europa.eu/eli/C/2024/6041/oj</w:t>
        </w:r>
      </w:hyperlink>
      <w:r w:rsidRPr="00AA43E9">
        <w:rPr>
          <w:sz w:val="24"/>
          <w:szCs w:val="24"/>
          <w:lang w:val="hr-HR"/>
        </w:rPr>
        <w:t>.</w:t>
      </w:r>
    </w:p>
  </w:footnote>
  <w:footnote w:id="347">
    <w:p w14:paraId="723962E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47" w:history="1">
        <w:r w:rsidRPr="00AA43E9">
          <w:rPr>
            <w:rStyle w:val="Hyperlink1"/>
            <w:sz w:val="24"/>
            <w:szCs w:val="24"/>
            <w:lang w:val="hr-HR"/>
          </w:rPr>
          <w:t>http://data.europa.eu/eli/reg/2018/1046/oj</w:t>
        </w:r>
      </w:hyperlink>
      <w:r w:rsidRPr="00AA43E9">
        <w:rPr>
          <w:sz w:val="24"/>
          <w:szCs w:val="24"/>
          <w:lang w:val="hr-HR"/>
        </w:rPr>
        <w:t>.</w:t>
      </w:r>
    </w:p>
  </w:footnote>
  <w:footnote w:id="348">
    <w:p w14:paraId="1E942FE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4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49">
    <w:p w14:paraId="35FD9D3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295, 21.11.2018., str. 138., ELI: </w:t>
      </w:r>
      <w:hyperlink r:id="rId349" w:history="1">
        <w:r w:rsidRPr="00AA43E9">
          <w:rPr>
            <w:rStyle w:val="Hyperlink1"/>
            <w:sz w:val="24"/>
            <w:szCs w:val="24"/>
            <w:lang w:val="hr-HR"/>
          </w:rPr>
          <w:t>http://data.europa.eu/eli/reg/2018/1727/oj</w:t>
        </w:r>
      </w:hyperlink>
      <w:r w:rsidRPr="00AA43E9">
        <w:rPr>
          <w:sz w:val="24"/>
          <w:szCs w:val="24"/>
          <w:lang w:val="hr-HR"/>
        </w:rPr>
        <w:t>.</w:t>
      </w:r>
    </w:p>
  </w:footnote>
  <w:footnote w:id="350">
    <w:p w14:paraId="5D85E01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50" w:history="1">
        <w:r w:rsidRPr="00AA43E9">
          <w:rPr>
            <w:rStyle w:val="Hyperlink1"/>
            <w:sz w:val="24"/>
            <w:szCs w:val="24"/>
            <w:lang w:val="hr-HR"/>
          </w:rPr>
          <w:t>http://data.europa.eu/eli/reg_del/2019/715/oj</w:t>
        </w:r>
      </w:hyperlink>
      <w:r w:rsidRPr="00AA43E9">
        <w:rPr>
          <w:sz w:val="24"/>
          <w:szCs w:val="24"/>
          <w:lang w:val="hr-HR"/>
        </w:rPr>
        <w:t>.</w:t>
      </w:r>
    </w:p>
  </w:footnote>
  <w:footnote w:id="351">
    <w:p w14:paraId="73F37FC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51" w:history="1">
        <w:r w:rsidRPr="00AA43E9">
          <w:rPr>
            <w:rStyle w:val="Hyperlink1"/>
            <w:sz w:val="24"/>
            <w:szCs w:val="24"/>
            <w:lang w:val="hr-HR"/>
          </w:rPr>
          <w:t>http://data.europa.eu/eli/C/2024/6332/oj</w:t>
        </w:r>
      </w:hyperlink>
      <w:r w:rsidRPr="00AA43E9">
        <w:rPr>
          <w:sz w:val="24"/>
          <w:szCs w:val="24"/>
          <w:lang w:val="hr-HR"/>
        </w:rPr>
        <w:t>.</w:t>
      </w:r>
    </w:p>
  </w:footnote>
  <w:footnote w:id="352">
    <w:p w14:paraId="5F7A5E9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52" w:history="1">
        <w:r w:rsidRPr="00AA43E9">
          <w:rPr>
            <w:rStyle w:val="Hyperlink1"/>
            <w:sz w:val="24"/>
            <w:szCs w:val="24"/>
            <w:lang w:val="hr-HR"/>
          </w:rPr>
          <w:t>http://data.europa.eu/eli/C/2024/6041/oj</w:t>
        </w:r>
      </w:hyperlink>
      <w:r w:rsidRPr="00AA43E9">
        <w:rPr>
          <w:sz w:val="24"/>
          <w:szCs w:val="24"/>
          <w:lang w:val="hr-HR"/>
        </w:rPr>
        <w:t>.</w:t>
      </w:r>
    </w:p>
  </w:footnote>
  <w:footnote w:id="353">
    <w:p w14:paraId="748CC58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53" w:history="1">
        <w:r w:rsidRPr="00AA43E9">
          <w:rPr>
            <w:rStyle w:val="Hyperlink1"/>
            <w:sz w:val="24"/>
            <w:szCs w:val="24"/>
            <w:lang w:val="hr-HR"/>
          </w:rPr>
          <w:t>http://data.europa.eu/eli/reg/2018/1046/oj</w:t>
        </w:r>
      </w:hyperlink>
      <w:r w:rsidRPr="00AA43E9">
        <w:rPr>
          <w:sz w:val="24"/>
          <w:szCs w:val="24"/>
          <w:lang w:val="hr-HR"/>
        </w:rPr>
        <w:t>.</w:t>
      </w:r>
    </w:p>
  </w:footnote>
  <w:footnote w:id="354">
    <w:p w14:paraId="578224EE" w14:textId="77777777" w:rsidR="00AA43E9" w:rsidRPr="00AA43E9" w:rsidRDefault="00AA43E9" w:rsidP="00AA43E9">
      <w:pPr>
        <w:pStyle w:val="FootnoteText"/>
        <w:ind w:left="567" w:hanging="567"/>
        <w:rPr>
          <w:sz w:val="24"/>
          <w:szCs w:val="24"/>
          <w:lang w:val="fi-FI"/>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54" w:history="1">
        <w:r w:rsidRPr="00AA43E9">
          <w:rPr>
            <w:rStyle w:val="Hyperlink1"/>
            <w:sz w:val="24"/>
            <w:szCs w:val="24"/>
            <w:lang w:val="hr-HR"/>
          </w:rPr>
          <w:t>http://data.europa.eu/eli/reg/2024/2509/oj</w:t>
        </w:r>
      </w:hyperlink>
      <w:r w:rsidRPr="00AA43E9">
        <w:rPr>
          <w:sz w:val="24"/>
          <w:szCs w:val="24"/>
          <w:lang w:val="fi-FI"/>
        </w:rPr>
        <w:t>.</w:t>
      </w:r>
    </w:p>
  </w:footnote>
  <w:footnote w:id="355">
    <w:p w14:paraId="36CF9F7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135, 24.5.2016., str. 53., ELI: </w:t>
      </w:r>
      <w:hyperlink r:id="rId355" w:history="1">
        <w:r w:rsidRPr="00AA43E9">
          <w:rPr>
            <w:rStyle w:val="Hyperlink1"/>
            <w:sz w:val="24"/>
            <w:szCs w:val="24"/>
            <w:lang w:val="hr-HR"/>
          </w:rPr>
          <w:t>http://data.europa.eu/eli/reg/2016/794/oj</w:t>
        </w:r>
      </w:hyperlink>
      <w:r w:rsidRPr="00AA43E9">
        <w:rPr>
          <w:sz w:val="24"/>
          <w:szCs w:val="24"/>
          <w:lang w:val="hr-HR"/>
        </w:rPr>
        <w:t>.</w:t>
      </w:r>
    </w:p>
  </w:footnote>
  <w:footnote w:id="356">
    <w:p w14:paraId="5626873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56" w:history="1">
        <w:r w:rsidRPr="00AA43E9">
          <w:rPr>
            <w:rStyle w:val="Hyperlink1"/>
            <w:sz w:val="24"/>
            <w:szCs w:val="24"/>
            <w:lang w:val="hr-HR"/>
          </w:rPr>
          <w:t>http://data.europa.eu/eli/reg_del/2019/715/oj</w:t>
        </w:r>
      </w:hyperlink>
      <w:r w:rsidRPr="00AA43E9">
        <w:rPr>
          <w:sz w:val="24"/>
          <w:szCs w:val="24"/>
          <w:lang w:val="hr-HR"/>
        </w:rPr>
        <w:t>.</w:t>
      </w:r>
    </w:p>
  </w:footnote>
  <w:footnote w:id="357">
    <w:p w14:paraId="1F1EAFD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57" w:history="1">
        <w:r w:rsidRPr="00AA43E9">
          <w:rPr>
            <w:rStyle w:val="Hyperlink1"/>
            <w:sz w:val="24"/>
            <w:szCs w:val="24"/>
            <w:lang w:val="hr-HR"/>
          </w:rPr>
          <w:t>http://data.europa.eu/eli/C/2024/6332/oj</w:t>
        </w:r>
      </w:hyperlink>
      <w:r w:rsidRPr="00AA43E9">
        <w:rPr>
          <w:sz w:val="24"/>
          <w:szCs w:val="24"/>
          <w:lang w:val="hr-HR"/>
        </w:rPr>
        <w:t>.</w:t>
      </w:r>
    </w:p>
  </w:footnote>
  <w:footnote w:id="358">
    <w:p w14:paraId="774C709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58" w:history="1">
        <w:r w:rsidRPr="00AA43E9">
          <w:rPr>
            <w:rStyle w:val="Hyperlink1"/>
            <w:sz w:val="24"/>
            <w:szCs w:val="24"/>
            <w:lang w:val="hr-HR"/>
          </w:rPr>
          <w:t>http://data.europa.eu/eli/C/2024/6041/oj</w:t>
        </w:r>
      </w:hyperlink>
      <w:r w:rsidRPr="00AA43E9">
        <w:rPr>
          <w:sz w:val="24"/>
          <w:szCs w:val="24"/>
          <w:lang w:val="hr-HR"/>
        </w:rPr>
        <w:t>.</w:t>
      </w:r>
    </w:p>
  </w:footnote>
  <w:footnote w:id="359">
    <w:p w14:paraId="4A8763F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59" w:history="1">
        <w:r w:rsidRPr="00AA43E9">
          <w:rPr>
            <w:rStyle w:val="Hyperlink1"/>
            <w:sz w:val="24"/>
            <w:szCs w:val="24"/>
            <w:lang w:val="hr-HR"/>
          </w:rPr>
          <w:t>http://data.europa.eu/eli/reg/2018/1046/oj</w:t>
        </w:r>
      </w:hyperlink>
      <w:r w:rsidRPr="00AA43E9">
        <w:rPr>
          <w:sz w:val="24"/>
          <w:szCs w:val="24"/>
          <w:lang w:val="hr-HR"/>
        </w:rPr>
        <w:t>.</w:t>
      </w:r>
    </w:p>
  </w:footnote>
  <w:footnote w:id="360">
    <w:p w14:paraId="4713976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6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61">
    <w:p w14:paraId="55A3667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135, 24.5.2016., str. 53., ELI: </w:t>
      </w:r>
      <w:hyperlink r:id="rId361" w:history="1">
        <w:r w:rsidRPr="00AA43E9">
          <w:rPr>
            <w:rStyle w:val="Hyperlink1"/>
            <w:sz w:val="24"/>
            <w:szCs w:val="24"/>
            <w:lang w:val="hr-HR"/>
          </w:rPr>
          <w:t>http://data.europa.eu/eli/reg/2016/794/oj</w:t>
        </w:r>
      </w:hyperlink>
      <w:r w:rsidRPr="00AA43E9">
        <w:rPr>
          <w:sz w:val="24"/>
          <w:szCs w:val="24"/>
          <w:lang w:val="hr-HR"/>
        </w:rPr>
        <w:t>.</w:t>
      </w:r>
    </w:p>
  </w:footnote>
  <w:footnote w:id="362">
    <w:p w14:paraId="789EB13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62" w:history="1">
        <w:r w:rsidRPr="00AA43E9">
          <w:rPr>
            <w:rStyle w:val="Hyperlink1"/>
            <w:sz w:val="24"/>
            <w:szCs w:val="24"/>
            <w:lang w:val="hr-HR"/>
          </w:rPr>
          <w:t>http://data.europa.eu/eli/reg_del/2019/715/oj</w:t>
        </w:r>
      </w:hyperlink>
      <w:r w:rsidRPr="00AA43E9">
        <w:rPr>
          <w:sz w:val="24"/>
          <w:szCs w:val="24"/>
          <w:lang w:val="hr-HR"/>
        </w:rPr>
        <w:t>.</w:t>
      </w:r>
    </w:p>
  </w:footnote>
  <w:footnote w:id="363">
    <w:p w14:paraId="7B0201A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63" w:history="1">
        <w:r w:rsidRPr="00AA43E9">
          <w:rPr>
            <w:rStyle w:val="Hyperlink1"/>
            <w:sz w:val="24"/>
            <w:szCs w:val="24"/>
            <w:lang w:val="hr-HR"/>
          </w:rPr>
          <w:t>http://data.europa.eu/eli/C/2024/6332/oj</w:t>
        </w:r>
      </w:hyperlink>
      <w:r w:rsidRPr="00AA43E9">
        <w:rPr>
          <w:sz w:val="24"/>
          <w:szCs w:val="24"/>
          <w:lang w:val="hr-HR"/>
        </w:rPr>
        <w:t>.</w:t>
      </w:r>
    </w:p>
  </w:footnote>
  <w:footnote w:id="364">
    <w:p w14:paraId="1705EF4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64" w:history="1">
        <w:r w:rsidRPr="00AA43E9">
          <w:rPr>
            <w:rStyle w:val="Hyperlink1"/>
            <w:sz w:val="24"/>
            <w:szCs w:val="24"/>
            <w:lang w:val="hr-HR"/>
          </w:rPr>
          <w:t>http://data.europa.eu/eli/C/2024/6041/oj</w:t>
        </w:r>
      </w:hyperlink>
      <w:r w:rsidRPr="00AA43E9">
        <w:rPr>
          <w:sz w:val="24"/>
          <w:szCs w:val="24"/>
          <w:lang w:val="hr-HR"/>
        </w:rPr>
        <w:t>.</w:t>
      </w:r>
    </w:p>
  </w:footnote>
  <w:footnote w:id="365">
    <w:p w14:paraId="59B97CFD"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65" w:history="1">
        <w:r w:rsidRPr="00AA43E9">
          <w:rPr>
            <w:rStyle w:val="Hyperlink1"/>
            <w:sz w:val="24"/>
            <w:szCs w:val="24"/>
            <w:lang w:val="hr-HR"/>
          </w:rPr>
          <w:t>http://data.europa.eu/eli/reg/2018/1046/oj</w:t>
        </w:r>
      </w:hyperlink>
      <w:r w:rsidRPr="00AA43E9">
        <w:rPr>
          <w:sz w:val="24"/>
          <w:szCs w:val="24"/>
          <w:lang w:val="hr-HR"/>
        </w:rPr>
        <w:t>.</w:t>
      </w:r>
    </w:p>
  </w:footnote>
  <w:footnote w:id="366">
    <w:p w14:paraId="3BFCDBF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6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67">
    <w:p w14:paraId="6E8F555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170, 12.5.2021., str. 69., ELI: </w:t>
      </w:r>
      <w:hyperlink r:id="rId367" w:history="1">
        <w:r w:rsidRPr="00AA43E9">
          <w:rPr>
            <w:rStyle w:val="Hyperlink"/>
            <w:sz w:val="24"/>
            <w:szCs w:val="24"/>
            <w:lang w:val="hr-HR"/>
          </w:rPr>
          <w:t>http://data.europa.eu/eli/reg/2021/696/oj</w:t>
        </w:r>
      </w:hyperlink>
      <w:r w:rsidRPr="00AA43E9">
        <w:rPr>
          <w:sz w:val="24"/>
          <w:szCs w:val="24"/>
          <w:lang w:val="hr-HR"/>
        </w:rPr>
        <w:t>.</w:t>
      </w:r>
    </w:p>
  </w:footnote>
  <w:footnote w:id="368">
    <w:p w14:paraId="0BC9D6C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68" w:history="1">
        <w:r w:rsidRPr="00AA43E9">
          <w:rPr>
            <w:rStyle w:val="Hyperlink1"/>
            <w:sz w:val="24"/>
            <w:szCs w:val="24"/>
            <w:lang w:val="hr-HR"/>
          </w:rPr>
          <w:t>http://data.europa.eu/eli/reg_del/2019/715/oj</w:t>
        </w:r>
      </w:hyperlink>
      <w:r w:rsidRPr="00AA43E9">
        <w:rPr>
          <w:sz w:val="24"/>
          <w:szCs w:val="24"/>
          <w:lang w:val="hr-HR"/>
        </w:rPr>
        <w:t>.</w:t>
      </w:r>
    </w:p>
  </w:footnote>
  <w:footnote w:id="369">
    <w:p w14:paraId="59425B6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69" w:history="1">
        <w:r w:rsidRPr="00AA43E9">
          <w:rPr>
            <w:rStyle w:val="Hyperlink1"/>
            <w:sz w:val="24"/>
            <w:szCs w:val="24"/>
            <w:lang w:val="hr-HR"/>
          </w:rPr>
          <w:t>http://data.europa.eu/eli/C/2024/6332/oj</w:t>
        </w:r>
      </w:hyperlink>
      <w:r w:rsidRPr="00AA43E9">
        <w:rPr>
          <w:sz w:val="24"/>
          <w:szCs w:val="24"/>
          <w:lang w:val="hr-HR"/>
        </w:rPr>
        <w:t>.</w:t>
      </w:r>
    </w:p>
  </w:footnote>
  <w:footnote w:id="370">
    <w:p w14:paraId="61B94B9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70" w:history="1">
        <w:r w:rsidRPr="00AA43E9">
          <w:rPr>
            <w:rStyle w:val="Hyperlink1"/>
            <w:sz w:val="24"/>
            <w:szCs w:val="24"/>
            <w:lang w:val="hr-HR"/>
          </w:rPr>
          <w:t>http://data.europa.eu/eli/C/2024/6041/oj</w:t>
        </w:r>
      </w:hyperlink>
      <w:r w:rsidRPr="00AA43E9">
        <w:rPr>
          <w:sz w:val="24"/>
          <w:szCs w:val="24"/>
          <w:lang w:val="hr-HR"/>
        </w:rPr>
        <w:t>.</w:t>
      </w:r>
    </w:p>
  </w:footnote>
  <w:footnote w:id="371">
    <w:p w14:paraId="1C95E38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71" w:history="1">
        <w:r w:rsidRPr="00AA43E9">
          <w:rPr>
            <w:rStyle w:val="Hyperlink1"/>
            <w:sz w:val="24"/>
            <w:szCs w:val="24"/>
            <w:lang w:val="hr-HR"/>
          </w:rPr>
          <w:t>http://data.europa.eu/eli/reg/2018/1046/oj</w:t>
        </w:r>
      </w:hyperlink>
      <w:r w:rsidRPr="00AA43E9">
        <w:rPr>
          <w:sz w:val="24"/>
          <w:szCs w:val="24"/>
          <w:lang w:val="hr-HR"/>
        </w:rPr>
        <w:t>.</w:t>
      </w:r>
    </w:p>
  </w:footnote>
  <w:footnote w:id="372">
    <w:p w14:paraId="3D45AB2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72"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73">
    <w:p w14:paraId="34C4929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170, 12.5.2021., str. 69., ELI: </w:t>
      </w:r>
      <w:hyperlink r:id="rId373" w:history="1">
        <w:r w:rsidRPr="00AA43E9">
          <w:rPr>
            <w:rStyle w:val="Hyperlink1"/>
            <w:sz w:val="24"/>
            <w:szCs w:val="24"/>
            <w:lang w:val="hr-HR"/>
          </w:rPr>
          <w:t>http://data.europa.eu/eli/reg/2021/696/oj</w:t>
        </w:r>
      </w:hyperlink>
      <w:r w:rsidRPr="00AA43E9">
        <w:rPr>
          <w:sz w:val="24"/>
          <w:szCs w:val="24"/>
          <w:lang w:val="hr-HR"/>
        </w:rPr>
        <w:t>.</w:t>
      </w:r>
    </w:p>
  </w:footnote>
  <w:footnote w:id="374">
    <w:p w14:paraId="7439BD3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74" w:history="1">
        <w:r w:rsidRPr="00AA43E9">
          <w:rPr>
            <w:rStyle w:val="Hyperlink1"/>
            <w:sz w:val="24"/>
            <w:szCs w:val="24"/>
            <w:lang w:val="hr-HR"/>
          </w:rPr>
          <w:t>http://data.europa.eu/eli/reg_del/2019/715/oj</w:t>
        </w:r>
      </w:hyperlink>
      <w:r w:rsidRPr="00AA43E9">
        <w:rPr>
          <w:sz w:val="24"/>
          <w:szCs w:val="24"/>
          <w:lang w:val="hr-HR"/>
        </w:rPr>
        <w:t>.</w:t>
      </w:r>
    </w:p>
  </w:footnote>
  <w:footnote w:id="375">
    <w:p w14:paraId="661CF6E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75" w:history="1">
        <w:r w:rsidRPr="00AA43E9">
          <w:rPr>
            <w:rStyle w:val="Hyperlink1"/>
            <w:sz w:val="24"/>
            <w:szCs w:val="24"/>
            <w:lang w:val="hr-HR"/>
          </w:rPr>
          <w:t>http://data.europa.eu/eli/C/2024/6332/oj</w:t>
        </w:r>
      </w:hyperlink>
      <w:r w:rsidRPr="00AA43E9">
        <w:rPr>
          <w:sz w:val="24"/>
          <w:szCs w:val="24"/>
          <w:lang w:val="hr-HR"/>
        </w:rPr>
        <w:t>.</w:t>
      </w:r>
    </w:p>
  </w:footnote>
  <w:footnote w:id="376">
    <w:p w14:paraId="00396CA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76" w:history="1">
        <w:r w:rsidRPr="00AA43E9">
          <w:rPr>
            <w:rStyle w:val="Hyperlink1"/>
            <w:sz w:val="24"/>
            <w:szCs w:val="24"/>
            <w:lang w:val="hr-HR"/>
          </w:rPr>
          <w:t>http://data.europa.eu/eli/C/2024/6041/oj</w:t>
        </w:r>
      </w:hyperlink>
      <w:r w:rsidRPr="00AA43E9">
        <w:rPr>
          <w:sz w:val="24"/>
          <w:szCs w:val="24"/>
          <w:lang w:val="hr-HR"/>
        </w:rPr>
        <w:t>.</w:t>
      </w:r>
    </w:p>
  </w:footnote>
  <w:footnote w:id="377">
    <w:p w14:paraId="360A80B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77" w:history="1">
        <w:r w:rsidRPr="00AA43E9">
          <w:rPr>
            <w:rStyle w:val="Hyperlink1"/>
            <w:sz w:val="24"/>
            <w:szCs w:val="24"/>
            <w:lang w:val="hr-HR"/>
          </w:rPr>
          <w:t>http://data.europa.eu/eli/reg/2018/1046/oj</w:t>
        </w:r>
      </w:hyperlink>
      <w:r w:rsidRPr="00AA43E9">
        <w:rPr>
          <w:sz w:val="24"/>
          <w:szCs w:val="24"/>
          <w:lang w:val="hr-HR"/>
        </w:rPr>
        <w:t>.</w:t>
      </w:r>
    </w:p>
  </w:footnote>
  <w:footnote w:id="378">
    <w:p w14:paraId="4BF7ABF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78"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79">
    <w:p w14:paraId="778DFF2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53, 22.2.2007., str. 1., ELI: </w:t>
      </w:r>
      <w:hyperlink r:id="rId379" w:history="1">
        <w:r w:rsidRPr="00AA43E9">
          <w:rPr>
            <w:rStyle w:val="Hyperlink1"/>
            <w:sz w:val="24"/>
            <w:szCs w:val="24"/>
            <w:lang w:val="hr-HR"/>
          </w:rPr>
          <w:t>http://data.europa.eu/eli/reg/2007/168/oj</w:t>
        </w:r>
      </w:hyperlink>
      <w:r w:rsidRPr="00AA43E9">
        <w:rPr>
          <w:sz w:val="24"/>
          <w:szCs w:val="24"/>
          <w:lang w:val="hr-HR"/>
        </w:rPr>
        <w:t>.</w:t>
      </w:r>
    </w:p>
  </w:footnote>
  <w:footnote w:id="380">
    <w:p w14:paraId="1D82206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80" w:history="1">
        <w:r w:rsidRPr="00AA43E9">
          <w:rPr>
            <w:rStyle w:val="Hyperlink1"/>
            <w:sz w:val="24"/>
            <w:szCs w:val="24"/>
            <w:lang w:val="hr-HR"/>
          </w:rPr>
          <w:t>http://data.europa.eu/eli/reg_del/2019/715/oj</w:t>
        </w:r>
      </w:hyperlink>
      <w:r w:rsidRPr="00AA43E9">
        <w:rPr>
          <w:sz w:val="24"/>
          <w:szCs w:val="24"/>
          <w:lang w:val="hr-HR"/>
        </w:rPr>
        <w:t>.</w:t>
      </w:r>
    </w:p>
  </w:footnote>
  <w:footnote w:id="381">
    <w:p w14:paraId="24221A4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81" w:history="1">
        <w:r w:rsidRPr="00AA43E9">
          <w:rPr>
            <w:rStyle w:val="Hyperlink1"/>
            <w:sz w:val="24"/>
            <w:szCs w:val="24"/>
            <w:lang w:val="hr-HR"/>
          </w:rPr>
          <w:t>http://data.europa.eu/eli/C/2024/6332/oj</w:t>
        </w:r>
      </w:hyperlink>
      <w:r w:rsidRPr="00AA43E9">
        <w:rPr>
          <w:sz w:val="24"/>
          <w:szCs w:val="24"/>
          <w:lang w:val="hr-HR"/>
        </w:rPr>
        <w:t>.</w:t>
      </w:r>
    </w:p>
  </w:footnote>
  <w:footnote w:id="382">
    <w:p w14:paraId="4B56461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82" w:history="1">
        <w:r w:rsidRPr="00AA43E9">
          <w:rPr>
            <w:rStyle w:val="Hyperlink1"/>
            <w:sz w:val="24"/>
            <w:szCs w:val="24"/>
            <w:lang w:val="hr-HR"/>
          </w:rPr>
          <w:t>http://data.europa.eu/eli/C/2024/6041/oj</w:t>
        </w:r>
      </w:hyperlink>
      <w:r w:rsidRPr="00AA43E9">
        <w:rPr>
          <w:sz w:val="24"/>
          <w:szCs w:val="24"/>
          <w:lang w:val="hr-HR"/>
        </w:rPr>
        <w:t>.</w:t>
      </w:r>
    </w:p>
  </w:footnote>
  <w:footnote w:id="383">
    <w:p w14:paraId="47CAF03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83" w:history="1">
        <w:r w:rsidRPr="00AA43E9">
          <w:rPr>
            <w:rStyle w:val="Hyperlink1"/>
            <w:sz w:val="24"/>
            <w:szCs w:val="24"/>
            <w:lang w:val="hr-HR"/>
          </w:rPr>
          <w:t>http://data.europa.eu/eli/reg/2018/1046/oj</w:t>
        </w:r>
      </w:hyperlink>
      <w:r w:rsidRPr="00AA43E9">
        <w:rPr>
          <w:sz w:val="24"/>
          <w:szCs w:val="24"/>
          <w:lang w:val="hr-HR"/>
        </w:rPr>
        <w:t>.</w:t>
      </w:r>
    </w:p>
  </w:footnote>
  <w:footnote w:id="384">
    <w:p w14:paraId="4F6D3E7F" w14:textId="77777777" w:rsidR="00AA43E9" w:rsidRPr="00AA43E9" w:rsidRDefault="00AA43E9" w:rsidP="00AA43E9">
      <w:pPr>
        <w:pStyle w:val="FootnoteText"/>
        <w:ind w:left="567" w:hanging="567"/>
        <w:rPr>
          <w:sz w:val="24"/>
          <w:szCs w:val="24"/>
          <w:lang w:val="fi-FI"/>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84" w:history="1">
        <w:r w:rsidRPr="00AA43E9">
          <w:rPr>
            <w:rStyle w:val="Hyperlink1"/>
            <w:sz w:val="24"/>
            <w:szCs w:val="24"/>
            <w:lang w:val="hr-HR"/>
          </w:rPr>
          <w:t>http://data.europa.eu/eli/reg/2024/2509/oj</w:t>
        </w:r>
      </w:hyperlink>
      <w:r w:rsidRPr="00AA43E9">
        <w:rPr>
          <w:sz w:val="24"/>
          <w:szCs w:val="24"/>
          <w:lang w:val="fi-FI"/>
        </w:rPr>
        <w:t>.</w:t>
      </w:r>
    </w:p>
  </w:footnote>
  <w:footnote w:id="385">
    <w:p w14:paraId="2D037EE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53, 22.2.2007., str. 1., ELI: </w:t>
      </w:r>
      <w:hyperlink r:id="rId385" w:history="1">
        <w:r w:rsidRPr="00AA43E9">
          <w:rPr>
            <w:rStyle w:val="Hyperlink1"/>
            <w:sz w:val="24"/>
            <w:szCs w:val="24"/>
            <w:lang w:val="hr-HR"/>
          </w:rPr>
          <w:t>http://data.europa.eu/eli/reg/2007/168/oj</w:t>
        </w:r>
      </w:hyperlink>
      <w:r w:rsidRPr="00AA43E9">
        <w:rPr>
          <w:sz w:val="24"/>
          <w:szCs w:val="24"/>
          <w:lang w:val="hr-HR"/>
        </w:rPr>
        <w:t>.</w:t>
      </w:r>
    </w:p>
  </w:footnote>
  <w:footnote w:id="386">
    <w:p w14:paraId="7A284BE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86" w:history="1">
        <w:r w:rsidRPr="00AA43E9">
          <w:rPr>
            <w:rStyle w:val="Hyperlink1"/>
            <w:sz w:val="24"/>
            <w:szCs w:val="24"/>
            <w:lang w:val="hr-HR"/>
          </w:rPr>
          <w:t>http://data.europa.eu/eli/reg_del/2019/715/oj</w:t>
        </w:r>
      </w:hyperlink>
      <w:r w:rsidRPr="00AA43E9">
        <w:rPr>
          <w:sz w:val="24"/>
          <w:szCs w:val="24"/>
          <w:lang w:val="hr-HR"/>
        </w:rPr>
        <w:t>.</w:t>
      </w:r>
    </w:p>
  </w:footnote>
  <w:footnote w:id="387">
    <w:p w14:paraId="76F554B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87" w:history="1">
        <w:r w:rsidRPr="00AA43E9">
          <w:rPr>
            <w:rStyle w:val="Hyperlink1"/>
            <w:sz w:val="24"/>
            <w:szCs w:val="24"/>
            <w:lang w:val="hr-HR"/>
          </w:rPr>
          <w:t>http://data.europa.eu/eli/C/2024/6332/oj</w:t>
        </w:r>
      </w:hyperlink>
      <w:r w:rsidRPr="00AA43E9">
        <w:rPr>
          <w:sz w:val="24"/>
          <w:szCs w:val="24"/>
          <w:lang w:val="hr-HR"/>
        </w:rPr>
        <w:t>.</w:t>
      </w:r>
    </w:p>
  </w:footnote>
  <w:footnote w:id="388">
    <w:p w14:paraId="3CBF719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88" w:history="1">
        <w:r w:rsidRPr="00AA43E9">
          <w:rPr>
            <w:rStyle w:val="Hyperlink1"/>
            <w:sz w:val="24"/>
            <w:szCs w:val="24"/>
            <w:lang w:val="hr-HR"/>
          </w:rPr>
          <w:t>http://data.europa.eu/eli/C/2024/6041/oj</w:t>
        </w:r>
      </w:hyperlink>
      <w:r w:rsidRPr="00AA43E9">
        <w:rPr>
          <w:sz w:val="24"/>
          <w:szCs w:val="24"/>
          <w:lang w:val="hr-HR"/>
        </w:rPr>
        <w:t>.</w:t>
      </w:r>
    </w:p>
  </w:footnote>
  <w:footnote w:id="389">
    <w:p w14:paraId="177616A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89" w:history="1">
        <w:r w:rsidRPr="00AA43E9">
          <w:rPr>
            <w:rStyle w:val="Hyperlink1"/>
            <w:sz w:val="24"/>
            <w:szCs w:val="24"/>
            <w:lang w:val="hr-HR"/>
          </w:rPr>
          <w:t>http://data.europa.eu/eli/reg/2018/1046/oj</w:t>
        </w:r>
      </w:hyperlink>
      <w:r w:rsidRPr="00AA43E9">
        <w:rPr>
          <w:sz w:val="24"/>
          <w:szCs w:val="24"/>
          <w:lang w:val="hr-HR"/>
        </w:rPr>
        <w:t>.</w:t>
      </w:r>
    </w:p>
  </w:footnote>
  <w:footnote w:id="390">
    <w:p w14:paraId="2850129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90"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91">
    <w:p w14:paraId="22E5B90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295, 14.11.2019., str. 1., ELI: </w:t>
      </w:r>
      <w:hyperlink r:id="rId391" w:history="1">
        <w:r w:rsidRPr="00AA43E9">
          <w:rPr>
            <w:rStyle w:val="Hyperlink1"/>
            <w:sz w:val="24"/>
            <w:szCs w:val="24"/>
            <w:lang w:val="hr-HR"/>
          </w:rPr>
          <w:t>http://data.europa.eu/eli/reg/2019/1896/oj</w:t>
        </w:r>
      </w:hyperlink>
      <w:r w:rsidRPr="00AA43E9">
        <w:rPr>
          <w:sz w:val="24"/>
          <w:szCs w:val="24"/>
          <w:lang w:val="hr-HR"/>
        </w:rPr>
        <w:t>.</w:t>
      </w:r>
    </w:p>
  </w:footnote>
  <w:footnote w:id="392">
    <w:p w14:paraId="61F7B4F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92" w:history="1">
        <w:r w:rsidRPr="00AA43E9">
          <w:rPr>
            <w:rStyle w:val="Hyperlink1"/>
            <w:sz w:val="24"/>
            <w:szCs w:val="24"/>
            <w:lang w:val="hr-HR"/>
          </w:rPr>
          <w:t>http://data.europa.eu/eli/reg_del/2019/715/oj</w:t>
        </w:r>
      </w:hyperlink>
      <w:r w:rsidRPr="00AA43E9">
        <w:rPr>
          <w:sz w:val="24"/>
          <w:szCs w:val="24"/>
          <w:lang w:val="hr-HR"/>
        </w:rPr>
        <w:t>.</w:t>
      </w:r>
    </w:p>
  </w:footnote>
  <w:footnote w:id="393">
    <w:p w14:paraId="76E5E10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C, C/2024/6332, 24.10.2024., ELI: </w:t>
      </w:r>
      <w:hyperlink r:id="rId393" w:history="1">
        <w:r w:rsidRPr="00AA43E9">
          <w:rPr>
            <w:rStyle w:val="Hyperlink1"/>
            <w:sz w:val="24"/>
            <w:szCs w:val="24"/>
            <w:lang w:val="hr-HR"/>
          </w:rPr>
          <w:t>http://data.europa.eu/eli/C/2024/6332/oj</w:t>
        </w:r>
      </w:hyperlink>
      <w:r w:rsidRPr="00AA43E9">
        <w:rPr>
          <w:sz w:val="24"/>
          <w:szCs w:val="24"/>
          <w:lang w:val="hr-HR"/>
        </w:rPr>
        <w:t>.</w:t>
      </w:r>
    </w:p>
  </w:footnote>
  <w:footnote w:id="394">
    <w:p w14:paraId="6BF7F64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SL C, C/2024/6041, 10.10.2024., ELI: </w:t>
      </w:r>
      <w:hyperlink r:id="rId394" w:history="1">
        <w:r w:rsidRPr="00AA43E9">
          <w:rPr>
            <w:rStyle w:val="Hyperlink1"/>
            <w:sz w:val="24"/>
            <w:szCs w:val="24"/>
            <w:lang w:val="hr-HR"/>
          </w:rPr>
          <w:t>http://data.europa.eu/eli/C/2024/6041/oj</w:t>
        </w:r>
      </w:hyperlink>
      <w:r w:rsidRPr="00AA43E9">
        <w:rPr>
          <w:sz w:val="24"/>
          <w:szCs w:val="24"/>
          <w:lang w:val="hr-HR"/>
        </w:rPr>
        <w:t>.</w:t>
      </w:r>
    </w:p>
  </w:footnote>
  <w:footnote w:id="395">
    <w:p w14:paraId="22B00F7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193, 30.7.2018., str. 1., ELI: </w:t>
      </w:r>
      <w:hyperlink r:id="rId395" w:history="1">
        <w:r w:rsidRPr="00AA43E9">
          <w:rPr>
            <w:rStyle w:val="Hyperlink1"/>
            <w:sz w:val="24"/>
            <w:szCs w:val="24"/>
            <w:lang w:val="hr-HR"/>
          </w:rPr>
          <w:t>http://data.europa.eu/eli/reg/2018/1046/oj</w:t>
        </w:r>
      </w:hyperlink>
      <w:r w:rsidRPr="00AA43E9">
        <w:rPr>
          <w:sz w:val="24"/>
          <w:szCs w:val="24"/>
          <w:lang w:val="hr-HR"/>
        </w:rPr>
        <w:t>.</w:t>
      </w:r>
    </w:p>
  </w:footnote>
  <w:footnote w:id="396">
    <w:p w14:paraId="574ECE1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2024/2509, 26.9.2024., ELI: </w:t>
      </w:r>
      <w:hyperlink r:id="rId396" w:history="1">
        <w:r w:rsidRPr="00AA43E9">
          <w:rPr>
            <w:rStyle w:val="Hyperlink1"/>
            <w:sz w:val="24"/>
            <w:szCs w:val="24"/>
            <w:lang w:val="hr-HR"/>
          </w:rPr>
          <w:t>http://data.europa.eu/eli/reg/2024/2509/oj</w:t>
        </w:r>
      </w:hyperlink>
      <w:r w:rsidRPr="00AA43E9">
        <w:rPr>
          <w:rStyle w:val="Hyperlink1"/>
          <w:sz w:val="24"/>
          <w:szCs w:val="24"/>
          <w:lang w:val="hr-HR"/>
        </w:rPr>
        <w:t>.</w:t>
      </w:r>
    </w:p>
  </w:footnote>
  <w:footnote w:id="397">
    <w:p w14:paraId="0545B54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295, 14.11.2019., str. 1., ELI: </w:t>
      </w:r>
      <w:hyperlink r:id="rId397" w:history="1">
        <w:r w:rsidRPr="00AA43E9">
          <w:rPr>
            <w:rStyle w:val="Hyperlink1"/>
            <w:sz w:val="24"/>
            <w:szCs w:val="24"/>
            <w:lang w:val="hr-HR"/>
          </w:rPr>
          <w:t>http://data.europa.eu/eli/reg/2019/1896/oj</w:t>
        </w:r>
      </w:hyperlink>
      <w:r w:rsidRPr="00AA43E9">
        <w:rPr>
          <w:sz w:val="24"/>
          <w:szCs w:val="24"/>
          <w:lang w:val="hr-HR"/>
        </w:rPr>
        <w:t>.</w:t>
      </w:r>
    </w:p>
  </w:footnote>
  <w:footnote w:id="398">
    <w:p w14:paraId="5E484BF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 xml:space="preserve"> </w:t>
      </w:r>
      <w:r w:rsidRPr="00AA43E9">
        <w:rPr>
          <w:sz w:val="24"/>
          <w:szCs w:val="24"/>
          <w:lang w:val="hr-HR"/>
        </w:rPr>
        <w:tab/>
      </w:r>
      <w:r w:rsidRPr="00AA43E9">
        <w:rPr>
          <w:sz w:val="24"/>
          <w:szCs w:val="24"/>
          <w:lang w:val="hr-HR"/>
        </w:rPr>
        <w:t xml:space="preserve">SL L 122, 10.5.2019., str. 1., ELI: </w:t>
      </w:r>
      <w:hyperlink r:id="rId398" w:history="1">
        <w:r w:rsidRPr="00AA43E9">
          <w:rPr>
            <w:rStyle w:val="Hyperlink1"/>
            <w:sz w:val="24"/>
            <w:szCs w:val="24"/>
            <w:lang w:val="hr-HR"/>
          </w:rPr>
          <w:t>http://data.europa.eu/eli/reg_del/2019/715/oj</w:t>
        </w:r>
      </w:hyperlink>
      <w:r w:rsidRPr="00AA43E9">
        <w:rPr>
          <w:sz w:val="24"/>
          <w:szCs w:val="24"/>
          <w:lang w:val="hr-HR"/>
        </w:rPr>
        <w:t>.</w:t>
      </w:r>
    </w:p>
  </w:footnote>
  <w:footnote w:id="399">
    <w:p w14:paraId="1697478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Postoje tri vrste agencija EU-a: decentralizirane agencije, izvršne agencije i druga tijela.</w:t>
      </w:r>
    </w:p>
  </w:footnote>
  <w:footnote w:id="400">
    <w:p w14:paraId="449EF49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Uredba (EU, Euratom) 2024/2509 Europskog parlamenta i Vijeća od 23. rujna 2024. o financijskim pravilima koja se primjenjuju na opći proračun Unije (SL L, 2024/2509, 26.9.2024., ELI: </w:t>
      </w:r>
      <w:hyperlink r:id="rId399" w:history="1">
        <w:r w:rsidRPr="00AA43E9">
          <w:rPr>
            <w:rStyle w:val="Hyperlink"/>
            <w:sz w:val="24"/>
            <w:szCs w:val="24"/>
            <w:lang w:val="hr-HR"/>
          </w:rPr>
          <w:t>http://data.europa.eu/eli/reg/2024/2509/oj</w:t>
        </w:r>
      </w:hyperlink>
      <w:r w:rsidRPr="00AA43E9">
        <w:rPr>
          <w:sz w:val="24"/>
          <w:szCs w:val="24"/>
          <w:lang w:val="hr-HR"/>
        </w:rPr>
        <w:t>).</w:t>
      </w:r>
    </w:p>
  </w:footnote>
  <w:footnote w:id="401">
    <w:p w14:paraId="211AC8D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hyperlink r:id="rId400" w:history="1">
        <w:r w:rsidRPr="00AA43E9">
          <w:rPr>
            <w:rStyle w:val="Hyperlink1"/>
            <w:sz w:val="24"/>
            <w:szCs w:val="24"/>
            <w:lang w:val="hr-HR"/>
          </w:rPr>
          <w:t>Zajednička izjava</w:t>
        </w:r>
      </w:hyperlink>
      <w:r w:rsidRPr="00AA43E9">
        <w:rPr>
          <w:sz w:val="24"/>
          <w:szCs w:val="24"/>
          <w:lang w:val="hr-HR"/>
        </w:rPr>
        <w:t xml:space="preserve"> Europskog parlamenta, Vijeća EU-a i Europske komisije o decentraliziranim agencijama iz srpnja 2012.: </w:t>
      </w:r>
      <w:hyperlink r:id="rId401" w:history="1">
        <w:r w:rsidRPr="00AA43E9">
          <w:rPr>
            <w:rStyle w:val="Hyperlink"/>
            <w:sz w:val="24"/>
            <w:szCs w:val="24"/>
            <w:lang w:val="hr-HR"/>
          </w:rPr>
          <w:t>https://european-union.europa.eu/document/download/d4199ff4-1e3d-45e6-af7e-90cf1a7b10bc_en?filename=joint_statement_on_decentralised_agencies_en.pdf</w:t>
        </w:r>
      </w:hyperlink>
      <w:r w:rsidRPr="00AA43E9">
        <w:rPr>
          <w:sz w:val="24"/>
          <w:szCs w:val="24"/>
          <w:lang w:val="hr-HR"/>
        </w:rPr>
        <w:t>.</w:t>
      </w:r>
    </w:p>
  </w:footnote>
  <w:footnote w:id="402">
    <w:p w14:paraId="1B985EA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„Budućnost agencija EU-a – postoji prostor za veću fleksibilnost i bolju suradnju”, </w:t>
      </w:r>
      <w:hyperlink r:id="rId402" w:history="1">
        <w:r w:rsidRPr="00AA43E9">
          <w:rPr>
            <w:rStyle w:val="Hyperlink1"/>
            <w:sz w:val="24"/>
            <w:szCs w:val="24"/>
            <w:lang w:val="hr-HR"/>
          </w:rPr>
          <w:t>https://op.europa.eu/webpub/eca/special-reports/agencies-performance-audit-22-2020/hr/</w:t>
        </w:r>
      </w:hyperlink>
      <w:r w:rsidRPr="00AA43E9">
        <w:rPr>
          <w:sz w:val="24"/>
          <w:szCs w:val="24"/>
          <w:lang w:val="hr-HR" w:eastAsia="en-GB"/>
        </w:rPr>
        <w:t>.</w:t>
      </w:r>
    </w:p>
  </w:footnote>
  <w:footnote w:id="403">
    <w:p w14:paraId="3F736E54" w14:textId="77777777" w:rsidR="00AA43E9" w:rsidRPr="00AA43E9" w:rsidRDefault="00AA43E9" w:rsidP="00AA43E9">
      <w:pPr>
        <w:ind w:left="567" w:hanging="567"/>
        <w:rPr>
          <w:szCs w:val="24"/>
        </w:rPr>
      </w:pPr>
      <w:r w:rsidRPr="00AA43E9">
        <w:rPr>
          <w:rStyle w:val="FootnoteReference"/>
          <w:szCs w:val="24"/>
        </w:rPr>
        <w:footnoteRef/>
      </w:r>
      <w:r w:rsidRPr="00AA43E9">
        <w:rPr>
          <w:szCs w:val="24"/>
        </w:rPr>
        <w:tab/>
      </w:r>
      <w:r w:rsidRPr="00AA43E9">
        <w:rPr>
          <w:szCs w:val="24"/>
        </w:rPr>
        <w:t>Zajednički pristup nije pravno obvezujući, institucije su se složile da će ga uzimati u obzir pri donošenju odluka koje se odnose na decentralizirane agencije.</w:t>
      </w:r>
    </w:p>
  </w:footnote>
  <w:footnote w:id="404">
    <w:p w14:paraId="4A5C618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Europski centar za razvoj strukovnog osposobljavanja, Agencija Europske unije za droge, Agencija Europske unije za </w:t>
      </w:r>
      <w:proofErr w:type="spellStart"/>
      <w:r w:rsidRPr="00AA43E9">
        <w:rPr>
          <w:sz w:val="24"/>
          <w:szCs w:val="24"/>
          <w:lang w:val="hr-HR"/>
        </w:rPr>
        <w:t>kibersigurnost</w:t>
      </w:r>
      <w:proofErr w:type="spellEnd"/>
      <w:r w:rsidRPr="00AA43E9">
        <w:rPr>
          <w:sz w:val="24"/>
          <w:szCs w:val="24"/>
          <w:lang w:val="hr-HR"/>
        </w:rPr>
        <w:t>, Agencija Europske unije za željeznice, Europska agencija za sigurnost i zdravlje na radu, Europska zaklada za poboljšanje životnih i radnih uvjeta, Agencija Europske unije za suradnju u kaznenom pravosuđu, Agencija Europske unije za temeljna prava, Europski institut za inovacije i tehnologiju.</w:t>
      </w:r>
    </w:p>
  </w:footnote>
  <w:footnote w:id="405">
    <w:p w14:paraId="55178B0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Evaluacija agencija EU-a: </w:t>
      </w:r>
      <w:proofErr w:type="spellStart"/>
      <w:r w:rsidRPr="00AA43E9">
        <w:rPr>
          <w:sz w:val="24"/>
          <w:szCs w:val="24"/>
          <w:lang w:val="hr-HR"/>
        </w:rPr>
        <w:t>Eurofound</w:t>
      </w:r>
      <w:proofErr w:type="spellEnd"/>
      <w:r w:rsidRPr="00AA43E9">
        <w:rPr>
          <w:sz w:val="24"/>
          <w:szCs w:val="24"/>
          <w:lang w:val="hr-HR"/>
        </w:rPr>
        <w:t xml:space="preserve">, </w:t>
      </w:r>
      <w:proofErr w:type="spellStart"/>
      <w:r w:rsidRPr="00AA43E9">
        <w:rPr>
          <w:sz w:val="24"/>
          <w:szCs w:val="24"/>
          <w:lang w:val="hr-HR"/>
        </w:rPr>
        <w:t>Cedefop</w:t>
      </w:r>
      <w:proofErr w:type="spellEnd"/>
      <w:r w:rsidRPr="00AA43E9">
        <w:rPr>
          <w:sz w:val="24"/>
          <w:szCs w:val="24"/>
          <w:lang w:val="hr-HR"/>
        </w:rPr>
        <w:t xml:space="preserve">, ETF i EU-OSHA SWD(2024) 222 </w:t>
      </w:r>
      <w:proofErr w:type="spellStart"/>
      <w:r w:rsidRPr="00AA43E9">
        <w:rPr>
          <w:sz w:val="24"/>
          <w:szCs w:val="24"/>
          <w:lang w:val="hr-HR"/>
        </w:rPr>
        <w:t>final</w:t>
      </w:r>
      <w:proofErr w:type="spellEnd"/>
      <w:r w:rsidRPr="00AA43E9">
        <w:rPr>
          <w:sz w:val="24"/>
          <w:szCs w:val="24"/>
          <w:lang w:val="hr-HR"/>
        </w:rPr>
        <w:t xml:space="preserve">, str. 42., </w:t>
      </w:r>
      <w:hyperlink r:id="rId403" w:history="1">
        <w:r w:rsidRPr="00AA43E9">
          <w:rPr>
            <w:rStyle w:val="Hyperlink"/>
            <w:sz w:val="24"/>
            <w:szCs w:val="24"/>
            <w:lang w:val="hr-HR"/>
          </w:rPr>
          <w:t>https://www.parlament.gv.at/dokument/XXVII/EU/198502/imfname_11414247.pdf</w:t>
        </w:r>
      </w:hyperlink>
      <w:r w:rsidRPr="00AA43E9">
        <w:rPr>
          <w:sz w:val="24"/>
          <w:szCs w:val="24"/>
          <w:lang w:val="hr-HR"/>
        </w:rPr>
        <w:t>.</w:t>
      </w:r>
    </w:p>
  </w:footnote>
  <w:footnote w:id="406">
    <w:p w14:paraId="033CA05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Uredba (EU) 2019/1896 Europskog parlamenta i Vijeća od 13. studenoga 2019. o europskoj graničnoj i obalnoj straži i stavljanju izvan snage uredaba (EU) br. 1052/2013 i (EU) 2016/1624 (SL L 295, 14.11.2019., str. 1., </w:t>
      </w:r>
      <w:r w:rsidRPr="00AA43E9">
        <w:rPr>
          <w:sz w:val="24"/>
          <w:szCs w:val="24"/>
          <w:shd w:val="clear" w:color="auto" w:fill="FFFFFF"/>
          <w:lang w:val="hr-HR"/>
        </w:rPr>
        <w:t>ELI:</w:t>
      </w:r>
      <w:r w:rsidRPr="00AA43E9">
        <w:rPr>
          <w:color w:val="333333"/>
          <w:sz w:val="24"/>
          <w:szCs w:val="24"/>
          <w:shd w:val="clear" w:color="auto" w:fill="FFFFFF"/>
          <w:lang w:val="hr-HR"/>
        </w:rPr>
        <w:t xml:space="preserve"> </w:t>
      </w:r>
      <w:hyperlink r:id="rId404" w:tooltip="Omogućuje pristup tom dokumentu putem identifikatora ELI URI." w:history="1">
        <w:r w:rsidRPr="00AA43E9">
          <w:rPr>
            <w:rStyle w:val="Hyperlink1"/>
            <w:color w:val="337AB7"/>
            <w:sz w:val="24"/>
            <w:szCs w:val="24"/>
            <w:shd w:val="clear" w:color="auto" w:fill="FFFFFF"/>
            <w:lang w:val="hr-HR"/>
          </w:rPr>
          <w:t>http://data.europa.eu/eli/reg/2019/1896/oj</w:t>
        </w:r>
      </w:hyperlink>
      <w:r w:rsidRPr="00AA43E9">
        <w:rPr>
          <w:sz w:val="24"/>
          <w:szCs w:val="24"/>
          <w:lang w:val="hr-HR"/>
        </w:rPr>
        <w:t>).</w:t>
      </w:r>
    </w:p>
  </w:footnote>
  <w:footnote w:id="407">
    <w:p w14:paraId="47DF466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hyperlink r:id="rId405" w:history="1">
        <w:r w:rsidRPr="00AA43E9">
          <w:rPr>
            <w:rStyle w:val="Hyperlink"/>
            <w:sz w:val="24"/>
            <w:szCs w:val="24"/>
            <w:lang w:val="hr-HR"/>
          </w:rPr>
          <w:t>https://eur-lex.europa.eu/legal-content/HR/TXT/HTML/?uri=CELEX:52024DC0075</w:t>
        </w:r>
      </w:hyperlink>
      <w:r w:rsidRPr="00AA43E9">
        <w:rPr>
          <w:sz w:val="24"/>
          <w:szCs w:val="24"/>
          <w:lang w:val="hr-HR"/>
        </w:rPr>
        <w:t xml:space="preserve"> – 3. dio.</w:t>
      </w:r>
    </w:p>
  </w:footnote>
  <w:footnote w:id="408">
    <w:p w14:paraId="5B9CA46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Podaci u skladu s izvještajima o prihodima i rashodima za financijsku godinu 2023. kako su objavljeni na SL-u za svaku pojedinačnu agenciju.</w:t>
      </w:r>
    </w:p>
  </w:footnote>
  <w:footnote w:id="409">
    <w:p w14:paraId="235AE83E"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Radni dokument III. nacrt proračuna za 2023., str. 24.</w:t>
      </w:r>
    </w:p>
  </w:footnote>
  <w:footnote w:id="410">
    <w:p w14:paraId="718C658B"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Radni dokument III. nacrt proračuna za 2023., str. 26.</w:t>
      </w:r>
    </w:p>
  </w:footnote>
  <w:footnote w:id="411">
    <w:p w14:paraId="3220693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Radni dokument III. nacrt proračuna za 2023., str. 21.</w:t>
      </w:r>
    </w:p>
  </w:footnote>
  <w:footnote w:id="412">
    <w:p w14:paraId="2071A6EC"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Sastanak odbora CONT, 4. prosinca 2023.</w:t>
      </w:r>
    </w:p>
  </w:footnote>
  <w:footnote w:id="413">
    <w:p w14:paraId="431D5ED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Novi proračunski, računovodstveni i financijski sustav započeo je 2022. kao pilot-projekt.</w:t>
      </w:r>
    </w:p>
  </w:footnote>
  <w:footnote w:id="414">
    <w:p w14:paraId="58CC0CE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proofErr w:type="spellStart"/>
      <w:r w:rsidRPr="00AA43E9">
        <w:rPr>
          <w:sz w:val="24"/>
          <w:szCs w:val="24"/>
          <w:lang w:val="hr-HR"/>
        </w:rPr>
        <w:t>UniSystems</w:t>
      </w:r>
      <w:proofErr w:type="spellEnd"/>
      <w:r w:rsidRPr="00AA43E9">
        <w:rPr>
          <w:sz w:val="24"/>
          <w:szCs w:val="24"/>
          <w:lang w:val="hr-HR"/>
        </w:rPr>
        <w:t xml:space="preserve"> Luxembourg i </w:t>
      </w:r>
      <w:proofErr w:type="spellStart"/>
      <w:r w:rsidRPr="00AA43E9">
        <w:rPr>
          <w:sz w:val="24"/>
          <w:szCs w:val="24"/>
          <w:lang w:val="hr-HR"/>
        </w:rPr>
        <w:t>Unisystems</w:t>
      </w:r>
      <w:proofErr w:type="spellEnd"/>
      <w:r w:rsidRPr="00AA43E9">
        <w:rPr>
          <w:sz w:val="24"/>
          <w:szCs w:val="24"/>
          <w:lang w:val="hr-HR"/>
        </w:rPr>
        <w:t xml:space="preserve"> </w:t>
      </w:r>
      <w:proofErr w:type="spellStart"/>
      <w:r w:rsidRPr="00AA43E9">
        <w:rPr>
          <w:sz w:val="24"/>
          <w:szCs w:val="24"/>
          <w:lang w:val="hr-HR"/>
        </w:rPr>
        <w:t>systimata</w:t>
      </w:r>
      <w:proofErr w:type="spellEnd"/>
      <w:r w:rsidRPr="00AA43E9">
        <w:rPr>
          <w:sz w:val="24"/>
          <w:szCs w:val="24"/>
          <w:lang w:val="hr-HR"/>
        </w:rPr>
        <w:t xml:space="preserve"> </w:t>
      </w:r>
      <w:proofErr w:type="spellStart"/>
      <w:r w:rsidRPr="00AA43E9">
        <w:rPr>
          <w:sz w:val="24"/>
          <w:szCs w:val="24"/>
          <w:lang w:val="hr-HR"/>
        </w:rPr>
        <w:t>pliroforikis</w:t>
      </w:r>
      <w:proofErr w:type="spellEnd"/>
      <w:r w:rsidRPr="00AA43E9">
        <w:rPr>
          <w:sz w:val="24"/>
          <w:szCs w:val="24"/>
          <w:lang w:val="hr-HR"/>
        </w:rPr>
        <w:t>/ESMA – Predmet T-750/22.</w:t>
      </w:r>
    </w:p>
  </w:footnote>
  <w:footnote w:id="415">
    <w:p w14:paraId="27191AD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Godišnja računovodstvena dokumentacija EBA-e str. 26. i ECA-e i ESMA-e str. 139.</w:t>
      </w:r>
    </w:p>
  </w:footnote>
  <w:footnote w:id="416">
    <w:p w14:paraId="0926B6A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Godišnja računovodstvena dokumentacija agencije </w:t>
      </w:r>
      <w:proofErr w:type="spellStart"/>
      <w:r w:rsidRPr="00AA43E9">
        <w:rPr>
          <w:sz w:val="24"/>
          <w:szCs w:val="24"/>
          <w:lang w:val="hr-HR"/>
        </w:rPr>
        <w:t>eu</w:t>
      </w:r>
      <w:proofErr w:type="spellEnd"/>
      <w:r w:rsidRPr="00AA43E9">
        <w:rPr>
          <w:sz w:val="24"/>
          <w:szCs w:val="24"/>
          <w:lang w:val="hr-HR"/>
        </w:rPr>
        <w:t>-LISA, str. 25.</w:t>
      </w:r>
    </w:p>
  </w:footnote>
  <w:footnote w:id="417">
    <w:p w14:paraId="2D398EF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Godišnja računovodstvena dokumentacija </w:t>
      </w:r>
      <w:proofErr w:type="spellStart"/>
      <w:r w:rsidRPr="00AA43E9">
        <w:rPr>
          <w:sz w:val="24"/>
          <w:szCs w:val="24"/>
          <w:lang w:val="hr-HR"/>
        </w:rPr>
        <w:t>Frontexa</w:t>
      </w:r>
      <w:proofErr w:type="spellEnd"/>
      <w:r w:rsidRPr="00AA43E9">
        <w:rPr>
          <w:sz w:val="24"/>
          <w:szCs w:val="24"/>
          <w:lang w:val="hr-HR"/>
        </w:rPr>
        <w:t>, str. 37.</w:t>
      </w:r>
    </w:p>
  </w:footnote>
  <w:footnote w:id="418">
    <w:p w14:paraId="142D7378"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hyperlink r:id="rId406" w:history="1">
        <w:r w:rsidRPr="00AA43E9">
          <w:rPr>
            <w:rStyle w:val="Hyperlink1"/>
            <w:sz w:val="24"/>
            <w:szCs w:val="24"/>
            <w:lang w:val="hr-HR"/>
          </w:rPr>
          <w:t>Plan</w:t>
        </w:r>
      </w:hyperlink>
      <w:r w:rsidRPr="00AA43E9">
        <w:rPr>
          <w:sz w:val="24"/>
          <w:szCs w:val="24"/>
          <w:lang w:val="hr-HR"/>
        </w:rPr>
        <w:t xml:space="preserve"> za praćenje zajedničkog pristupa decentraliziranim agencijama EU-a: </w:t>
      </w:r>
      <w:hyperlink r:id="rId407" w:history="1">
        <w:r w:rsidRPr="00AA43E9">
          <w:rPr>
            <w:rStyle w:val="Hyperlink"/>
            <w:sz w:val="24"/>
            <w:szCs w:val="24"/>
            <w:lang w:val="hr-HR"/>
          </w:rPr>
          <w:t xml:space="preserve">5-AB-12-13_Roadmap on </w:t>
        </w:r>
        <w:proofErr w:type="spellStart"/>
        <w:r w:rsidRPr="00AA43E9">
          <w:rPr>
            <w:rStyle w:val="Hyperlink"/>
            <w:sz w:val="24"/>
            <w:szCs w:val="24"/>
            <w:lang w:val="hr-HR"/>
          </w:rPr>
          <w:t>the</w:t>
        </w:r>
        <w:proofErr w:type="spellEnd"/>
        <w:r w:rsidRPr="00AA43E9">
          <w:rPr>
            <w:rStyle w:val="Hyperlink"/>
            <w:sz w:val="24"/>
            <w:szCs w:val="24"/>
            <w:lang w:val="hr-HR"/>
          </w:rPr>
          <w:t xml:space="preserve"> </w:t>
        </w:r>
        <w:proofErr w:type="spellStart"/>
        <w:r w:rsidRPr="00AA43E9">
          <w:rPr>
            <w:rStyle w:val="Hyperlink"/>
            <w:sz w:val="24"/>
            <w:szCs w:val="24"/>
            <w:lang w:val="hr-HR"/>
          </w:rPr>
          <w:t>follow</w:t>
        </w:r>
        <w:proofErr w:type="spellEnd"/>
        <w:r w:rsidRPr="00AA43E9">
          <w:rPr>
            <w:rStyle w:val="Hyperlink"/>
            <w:sz w:val="24"/>
            <w:szCs w:val="24"/>
            <w:lang w:val="hr-HR"/>
          </w:rPr>
          <w:t xml:space="preserve"> </w:t>
        </w:r>
        <w:proofErr w:type="spellStart"/>
        <w:r w:rsidRPr="00AA43E9">
          <w:rPr>
            <w:rStyle w:val="Hyperlink"/>
            <w:sz w:val="24"/>
            <w:szCs w:val="24"/>
            <w:lang w:val="hr-HR"/>
          </w:rPr>
          <w:t>up</w:t>
        </w:r>
        <w:proofErr w:type="spellEnd"/>
        <w:r w:rsidRPr="00AA43E9">
          <w:rPr>
            <w:rStyle w:val="Hyperlink"/>
            <w:sz w:val="24"/>
            <w:szCs w:val="24"/>
            <w:lang w:val="hr-HR"/>
          </w:rPr>
          <w:t xml:space="preserve"> to </w:t>
        </w:r>
        <w:proofErr w:type="spellStart"/>
        <w:r w:rsidRPr="00AA43E9">
          <w:rPr>
            <w:rStyle w:val="Hyperlink"/>
            <w:sz w:val="24"/>
            <w:szCs w:val="24"/>
            <w:lang w:val="hr-HR"/>
          </w:rPr>
          <w:t>the</w:t>
        </w:r>
        <w:proofErr w:type="spellEnd"/>
        <w:r w:rsidRPr="00AA43E9">
          <w:rPr>
            <w:rStyle w:val="Hyperlink"/>
            <w:sz w:val="24"/>
            <w:szCs w:val="24"/>
            <w:lang w:val="hr-HR"/>
          </w:rPr>
          <w:t xml:space="preserve"> </w:t>
        </w:r>
        <w:proofErr w:type="spellStart"/>
        <w:r w:rsidRPr="00AA43E9">
          <w:rPr>
            <w:rStyle w:val="Hyperlink"/>
            <w:sz w:val="24"/>
            <w:szCs w:val="24"/>
            <w:lang w:val="hr-HR"/>
          </w:rPr>
          <w:t>Common</w:t>
        </w:r>
        <w:proofErr w:type="spellEnd"/>
        <w:r w:rsidRPr="00AA43E9">
          <w:rPr>
            <w:rStyle w:val="Hyperlink"/>
            <w:sz w:val="24"/>
            <w:szCs w:val="24"/>
            <w:lang w:val="hr-HR"/>
          </w:rPr>
          <w:t xml:space="preserve"> </w:t>
        </w:r>
        <w:proofErr w:type="spellStart"/>
        <w:r w:rsidRPr="00AA43E9">
          <w:rPr>
            <w:rStyle w:val="Hyperlink"/>
            <w:sz w:val="24"/>
            <w:szCs w:val="24"/>
            <w:lang w:val="hr-HR"/>
          </w:rPr>
          <w:t>Approach</w:t>
        </w:r>
        <w:proofErr w:type="spellEnd"/>
        <w:r w:rsidRPr="00AA43E9">
          <w:rPr>
            <w:rStyle w:val="Hyperlink"/>
            <w:sz w:val="24"/>
            <w:szCs w:val="24"/>
            <w:lang w:val="hr-HR"/>
          </w:rPr>
          <w:t xml:space="preserve"> on EU </w:t>
        </w:r>
        <w:proofErr w:type="spellStart"/>
        <w:r w:rsidRPr="00AA43E9">
          <w:rPr>
            <w:rStyle w:val="Hyperlink"/>
            <w:sz w:val="24"/>
            <w:szCs w:val="24"/>
            <w:lang w:val="hr-HR"/>
          </w:rPr>
          <w:t>Decentralised</w:t>
        </w:r>
        <w:proofErr w:type="spellEnd"/>
        <w:r w:rsidRPr="00AA43E9">
          <w:rPr>
            <w:rStyle w:val="Hyperlink"/>
            <w:sz w:val="24"/>
            <w:szCs w:val="24"/>
            <w:lang w:val="hr-HR"/>
          </w:rPr>
          <w:t xml:space="preserve"> Agencies.pdf</w:t>
        </w:r>
      </w:hyperlink>
      <w:r w:rsidRPr="00AA43E9">
        <w:rPr>
          <w:sz w:val="24"/>
          <w:szCs w:val="24"/>
          <w:lang w:val="hr-HR"/>
        </w:rPr>
        <w:t>.</w:t>
      </w:r>
    </w:p>
  </w:footnote>
  <w:footnote w:id="419">
    <w:p w14:paraId="2EB373C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Europska komisija, Dokument službi Komisije, </w:t>
      </w:r>
      <w:hyperlink r:id="rId408" w:history="1">
        <w:r w:rsidRPr="00AA43E9">
          <w:rPr>
            <w:rStyle w:val="Hyperlink1"/>
            <w:sz w:val="24"/>
            <w:szCs w:val="24"/>
            <w:lang w:val="hr-HR"/>
          </w:rPr>
          <w:t>Smjernice o ključnim pokazateljima uspješnosti</w:t>
        </w:r>
      </w:hyperlink>
      <w:r w:rsidRPr="00AA43E9">
        <w:rPr>
          <w:sz w:val="24"/>
          <w:szCs w:val="24"/>
          <w:lang w:val="hr-HR"/>
        </w:rPr>
        <w:t xml:space="preserve"> za direktore decentraliziranih agencija EU-a, 13.3.2015., str. 3.: </w:t>
      </w:r>
      <w:hyperlink r:id="rId409" w:history="1">
        <w:r w:rsidRPr="00AA43E9">
          <w:rPr>
            <w:rStyle w:val="Hyperlink"/>
            <w:sz w:val="24"/>
            <w:szCs w:val="24"/>
            <w:lang w:val="hr-HR"/>
          </w:rPr>
          <w:t>https://www.eumonitor.eu/9353000/1/j9vvik7m1c3gyxp/vjx64xley4zd</w:t>
        </w:r>
      </w:hyperlink>
      <w:r w:rsidRPr="00AA43E9">
        <w:rPr>
          <w:sz w:val="24"/>
          <w:szCs w:val="24"/>
          <w:lang w:val="hr-HR"/>
        </w:rPr>
        <w:t>.</w:t>
      </w:r>
    </w:p>
  </w:footnote>
  <w:footnote w:id="420">
    <w:p w14:paraId="356C463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hyperlink r:id="rId410" w:history="1">
        <w:r w:rsidRPr="00AA43E9">
          <w:rPr>
            <w:rStyle w:val="Hyperlink1"/>
            <w:sz w:val="24"/>
            <w:szCs w:val="24"/>
            <w:lang w:val="hr-HR"/>
          </w:rPr>
          <w:t>Tematsko izvješće Europskog revizorskog suda br. 22/2020: Budućnost agencija EU-a – Postoji prostor za veću fleksibilnost i bolju suradnju</w:t>
        </w:r>
      </w:hyperlink>
      <w:r w:rsidRPr="00AA43E9">
        <w:rPr>
          <w:sz w:val="24"/>
          <w:szCs w:val="24"/>
          <w:lang w:val="hr-HR"/>
        </w:rPr>
        <w:t xml:space="preserve">: </w:t>
      </w:r>
      <w:hyperlink r:id="rId411" w:history="1">
        <w:r w:rsidRPr="00AA43E9">
          <w:rPr>
            <w:rStyle w:val="Hyperlink"/>
            <w:sz w:val="24"/>
            <w:szCs w:val="24"/>
            <w:lang w:val="hr-HR"/>
          </w:rPr>
          <w:t>https://www.eca.europa.eu/Lists/ECADocuments/SR20_22/SR_Future_of_EU_Agencies_EN.pdf</w:t>
        </w:r>
      </w:hyperlink>
      <w:r w:rsidRPr="00AA43E9">
        <w:rPr>
          <w:sz w:val="24"/>
          <w:szCs w:val="24"/>
          <w:lang w:val="hr-HR"/>
        </w:rPr>
        <w:t>.</w:t>
      </w:r>
    </w:p>
  </w:footnote>
  <w:footnote w:id="421">
    <w:p w14:paraId="15CEB866"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Uredba (EU) 2023/2842 Europskog parlamenta i Vijeća od 22. studenoga 2023. o izmjeni Uredbe Vijeća (EZ) br. 1224/2009 i o izmjeni uredbi Vijeća (EZ) br. 1967/2006 i (EZ) br. 1005/2008 te uredbi (EU) 2016/1139, (EU) 2017/2403 i (EU) 2019/473 Europskog parlamenta i Vijeća u pogledu kontrole ribarstva (SL L, 2023/2842, 20.12.2023., ELI: </w:t>
      </w:r>
      <w:hyperlink r:id="rId412" w:history="1">
        <w:r w:rsidRPr="00AA43E9">
          <w:rPr>
            <w:rStyle w:val="Hyperlink"/>
            <w:sz w:val="24"/>
            <w:szCs w:val="24"/>
            <w:lang w:val="hr-HR"/>
          </w:rPr>
          <w:t>http://data.europa.eu/eli/reg/2023/2842/oj</w:t>
        </w:r>
      </w:hyperlink>
      <w:r w:rsidRPr="00AA43E9">
        <w:rPr>
          <w:sz w:val="24"/>
          <w:szCs w:val="24"/>
          <w:lang w:val="hr-HR"/>
        </w:rPr>
        <w:t>).</w:t>
      </w:r>
    </w:p>
  </w:footnote>
  <w:footnote w:id="422">
    <w:p w14:paraId="3684E3AB" w14:textId="77777777" w:rsidR="00AA43E9" w:rsidRPr="00AA43E9" w:rsidRDefault="00AA43E9" w:rsidP="00AA43E9">
      <w:pPr>
        <w:pStyle w:val="FootnoteText"/>
        <w:ind w:left="567" w:hanging="567"/>
        <w:rPr>
          <w:rFonts w:eastAsia="Calibri"/>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Uredba (EU) 2023/2131 Europskog parlamenta i Vijeća od 4. listopada 2023. o izmjeni Uredbe (EU) 2018/1727 Europskog parlamenta i Vijeća i Odluke Vijeća 2005/671/PUP u pogledu digitalne razmjene podataka u predmetima povezanima s terorizmom (SL L, 2023/2131, 11.10.2023., ELI: </w:t>
      </w:r>
      <w:hyperlink r:id="rId413" w:tgtFrame="_blank" w:tooltip="Omogućuje pristup tom dokumentu putem identifikatora ELI URI." w:history="1">
        <w:r w:rsidRPr="00AA43E9">
          <w:rPr>
            <w:rStyle w:val="Hyperlink1"/>
            <w:sz w:val="24"/>
            <w:szCs w:val="24"/>
            <w:lang w:val="hr-HR"/>
          </w:rPr>
          <w:t>http://data.europa.eu/eli/reg/2023/2131/oj</w:t>
        </w:r>
      </w:hyperlink>
      <w:r w:rsidRPr="00AA43E9">
        <w:rPr>
          <w:sz w:val="24"/>
          <w:szCs w:val="24"/>
          <w:lang w:val="hr-HR"/>
        </w:rPr>
        <w:t>).</w:t>
      </w:r>
    </w:p>
  </w:footnote>
  <w:footnote w:id="423">
    <w:p w14:paraId="231EDCF5"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Uredba (EU) 2023/969 Europskog parlamenta i Vijeća od 10. svibnja 2023. o uspostavi </w:t>
      </w:r>
      <w:r w:rsidRPr="00AD431A">
        <w:rPr>
          <w:sz w:val="24"/>
          <w:szCs w:val="24"/>
          <w:lang w:val="hr-HR"/>
        </w:rPr>
        <w:t xml:space="preserve">platforme za suradnju radi pružanja potpore radu zajedničkih istražnih timova i izmjeni Uredbe (EU) 2018/1726 (SL L 132, 17.5.2023., str. 1., </w:t>
      </w:r>
      <w:r w:rsidRPr="00AD431A">
        <w:rPr>
          <w:sz w:val="24"/>
          <w:szCs w:val="24"/>
          <w:shd w:val="clear" w:color="auto" w:fill="FFFFFF"/>
          <w:lang w:val="hr-HR"/>
        </w:rPr>
        <w:t xml:space="preserve">ELI: </w:t>
      </w:r>
      <w:hyperlink r:id="rId414" w:tooltip="Omogućuje pristup tom dokumentu putem identifikatora ELI URI." w:history="1">
        <w:r w:rsidRPr="00AA43E9">
          <w:rPr>
            <w:rStyle w:val="Hyperlink1"/>
            <w:color w:val="337AB7"/>
            <w:sz w:val="24"/>
            <w:szCs w:val="24"/>
            <w:shd w:val="clear" w:color="auto" w:fill="FFFFFF"/>
            <w:lang w:val="hr-HR"/>
          </w:rPr>
          <w:t>http://data.europa.eu/eli/reg/2023/969/oj</w:t>
        </w:r>
      </w:hyperlink>
      <w:r w:rsidRPr="00AA43E9">
        <w:rPr>
          <w:sz w:val="24"/>
          <w:szCs w:val="24"/>
          <w:lang w:val="hr-HR"/>
        </w:rPr>
        <w:t>).</w:t>
      </w:r>
    </w:p>
  </w:footnote>
  <w:footnote w:id="424">
    <w:p w14:paraId="720F6191"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Uredba (EU) 2016/794 Europskog parlamenta i Vijeća od 11. svibnja 2016. o Agenciji Europske unije za suradnju tijela za izvršavanje zakonodavstva (</w:t>
      </w:r>
      <w:proofErr w:type="spellStart"/>
      <w:r w:rsidRPr="00AA43E9">
        <w:rPr>
          <w:sz w:val="24"/>
          <w:szCs w:val="24"/>
          <w:lang w:val="hr-HR"/>
        </w:rPr>
        <w:t>Europol</w:t>
      </w:r>
      <w:proofErr w:type="spellEnd"/>
      <w:r w:rsidRPr="00AA43E9">
        <w:rPr>
          <w:sz w:val="24"/>
          <w:szCs w:val="24"/>
          <w:lang w:val="hr-HR"/>
        </w:rPr>
        <w:t xml:space="preserve">) te zamjeni i stavljanju izvan snage odluka Vijeća 2009/371/PUP, 2009/934/PUP, 2009/935/PUP, 2009/936/PUP i 2009/968/PUP (SL L 135, 24.5.2016., str. 53., </w:t>
      </w:r>
      <w:r w:rsidRPr="00AA43E9">
        <w:rPr>
          <w:color w:val="333333"/>
          <w:sz w:val="24"/>
          <w:szCs w:val="24"/>
          <w:shd w:val="clear" w:color="auto" w:fill="FFFFFF"/>
          <w:lang w:val="hr-HR"/>
        </w:rPr>
        <w:t xml:space="preserve">ELI: </w:t>
      </w:r>
      <w:hyperlink r:id="rId415" w:tooltip="Omogućuje pristup tom dokumentu putem identifikatora ELI URI." w:history="1">
        <w:r w:rsidRPr="00AA43E9">
          <w:rPr>
            <w:rStyle w:val="Hyperlink1"/>
            <w:color w:val="337AB7"/>
            <w:sz w:val="24"/>
            <w:szCs w:val="24"/>
            <w:shd w:val="clear" w:color="auto" w:fill="FFFFFF"/>
            <w:lang w:val="hr-HR"/>
          </w:rPr>
          <w:t>http://data.europa.eu/eli/reg/2016/794/oj</w:t>
        </w:r>
      </w:hyperlink>
      <w:r w:rsidRPr="00AA43E9">
        <w:rPr>
          <w:sz w:val="24"/>
          <w:szCs w:val="24"/>
          <w:lang w:val="hr-HR"/>
        </w:rPr>
        <w:t>).</w:t>
      </w:r>
    </w:p>
  </w:footnote>
  <w:footnote w:id="425">
    <w:p w14:paraId="531EEB37" w14:textId="77777777" w:rsidR="00AA43E9" w:rsidRPr="00AA43E9" w:rsidRDefault="00AA43E9" w:rsidP="00AA43E9">
      <w:pPr>
        <w:pStyle w:val="FootnoteText"/>
        <w:ind w:left="567" w:hanging="567"/>
        <w:rPr>
          <w:rStyle w:val="FootnoteReference"/>
          <w:sz w:val="24"/>
          <w:szCs w:val="24"/>
          <w:lang w:val="hr-HR"/>
        </w:rPr>
      </w:pPr>
      <w:r w:rsidRPr="00AA43E9">
        <w:rPr>
          <w:rStyle w:val="FootnoteReference"/>
          <w:sz w:val="24"/>
          <w:szCs w:val="24"/>
        </w:rPr>
        <w:footnoteRef/>
      </w:r>
      <w:r w:rsidRPr="00AA43E9">
        <w:rPr>
          <w:rStyle w:val="FootnoteReference"/>
          <w:sz w:val="24"/>
          <w:szCs w:val="24"/>
          <w:lang w:val="hr-HR"/>
        </w:rPr>
        <w:tab/>
      </w:r>
      <w:r w:rsidRPr="00AA43E9">
        <w:rPr>
          <w:sz w:val="24"/>
          <w:szCs w:val="24"/>
          <w:lang w:val="hr-HR"/>
        </w:rPr>
        <w:t>Izvješće Europskog revizorskog suda, str. 37. Samo opažanja koja se odnose na agencije koje su dio ove rezolucije.</w:t>
      </w:r>
    </w:p>
  </w:footnote>
  <w:footnote w:id="426">
    <w:p w14:paraId="64327A6A"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Opažanja iz prethodnih godina koja utječu na plaćanja 2023.: EASA – 1,6 milijardi EUR; EIGE – 59 600 EUR; ELA – 1,32 milijuna EUR i osnova za uvjetno mišljenje; ETF – dva opažanja 175 500 EUR i 300 600 EUR; </w:t>
      </w:r>
      <w:proofErr w:type="spellStart"/>
      <w:r w:rsidRPr="00AA43E9">
        <w:rPr>
          <w:sz w:val="24"/>
          <w:szCs w:val="24"/>
          <w:lang w:val="hr-HR"/>
        </w:rPr>
        <w:t>Eurojust</w:t>
      </w:r>
      <w:proofErr w:type="spellEnd"/>
      <w:r w:rsidRPr="00AA43E9">
        <w:rPr>
          <w:sz w:val="24"/>
          <w:szCs w:val="24"/>
          <w:lang w:val="hr-HR"/>
        </w:rPr>
        <w:t xml:space="preserve"> – 59 300 EUR; EUAA – 123 800 EUR; </w:t>
      </w:r>
      <w:proofErr w:type="spellStart"/>
      <w:r w:rsidRPr="00AA43E9">
        <w:rPr>
          <w:sz w:val="24"/>
          <w:szCs w:val="24"/>
          <w:lang w:val="hr-HR"/>
        </w:rPr>
        <w:t>eu</w:t>
      </w:r>
      <w:proofErr w:type="spellEnd"/>
      <w:r w:rsidRPr="00AA43E9">
        <w:rPr>
          <w:sz w:val="24"/>
          <w:szCs w:val="24"/>
          <w:lang w:val="hr-HR"/>
        </w:rPr>
        <w:t xml:space="preserve">-LISA – tri opažanja 7,7 milijuna EUR, 1,8 milijuna EUR, 0,4 milijuna EUR i osnova za uvjetno mišljenje; CEPOL – 85 000 EUR; </w:t>
      </w:r>
      <w:proofErr w:type="spellStart"/>
      <w:r w:rsidRPr="00AA43E9">
        <w:rPr>
          <w:sz w:val="24"/>
          <w:szCs w:val="24"/>
          <w:lang w:val="hr-HR"/>
        </w:rPr>
        <w:t>CdT</w:t>
      </w:r>
      <w:proofErr w:type="spellEnd"/>
      <w:r w:rsidRPr="00AA43E9">
        <w:rPr>
          <w:sz w:val="24"/>
          <w:szCs w:val="24"/>
          <w:lang w:val="hr-HR"/>
        </w:rPr>
        <w:t xml:space="preserve"> – dva opažanja 17 300 EUR i 257 200 EUR.</w:t>
      </w:r>
    </w:p>
  </w:footnote>
  <w:footnote w:id="427">
    <w:p w14:paraId="7F8F21C0"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64 % muškaraca i 36 % žena (67 % odnosno 33 % u 2022.); 54 % muškaraca i 46 % žena (54 % odnosno 46 % u 2022.).</w:t>
      </w:r>
    </w:p>
  </w:footnote>
  <w:footnote w:id="428">
    <w:p w14:paraId="310EBC8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58 % muškaraca i 42 % žena (60 % odnosno 40 % u 2022.).</w:t>
      </w:r>
    </w:p>
  </w:footnote>
  <w:footnote w:id="429">
    <w:p w14:paraId="1D62A78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54 % muškaraca i 46 % žena (54 % odnosno 46 % u 2022.).</w:t>
      </w:r>
    </w:p>
  </w:footnote>
  <w:footnote w:id="430">
    <w:p w14:paraId="6CC10FB9"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hyperlink r:id="rId416" w:history="1">
        <w:r w:rsidRPr="00AA43E9">
          <w:rPr>
            <w:rStyle w:val="Hyperlink1"/>
            <w:sz w:val="24"/>
            <w:szCs w:val="24"/>
            <w:lang w:val="hr-HR"/>
          </w:rPr>
          <w:t>Europski tematski centri</w:t>
        </w:r>
      </w:hyperlink>
      <w:r w:rsidRPr="00AA43E9">
        <w:rPr>
          <w:sz w:val="24"/>
          <w:szCs w:val="24"/>
          <w:lang w:val="hr-HR"/>
        </w:rPr>
        <w:t xml:space="preserve"> (ETC-ovi) konzorciji su organizacija u državama članicama EEA-a sa stručnim znanjem u određenim područjima okoliša, koje je EEA angažirao za potporu provedbi programa rada EEA-a: </w:t>
      </w:r>
      <w:hyperlink r:id="rId417" w:history="1">
        <w:r w:rsidRPr="00AA43E9">
          <w:rPr>
            <w:rStyle w:val="Hyperlink"/>
            <w:sz w:val="24"/>
            <w:szCs w:val="24"/>
            <w:lang w:val="hr-HR"/>
          </w:rPr>
          <w:t>https://www.eionet.europa.eu/etcs</w:t>
        </w:r>
      </w:hyperlink>
      <w:r w:rsidRPr="00AA43E9">
        <w:rPr>
          <w:sz w:val="24"/>
          <w:szCs w:val="24"/>
          <w:lang w:val="hr-HR"/>
        </w:rPr>
        <w:t>.</w:t>
      </w:r>
    </w:p>
  </w:footnote>
  <w:footnote w:id="431">
    <w:p w14:paraId="458522D2"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Primjer: Europsko nadzorno tijelo za bankarstvo, (EBA) – Izvješće Europskog revizorskog suda, str. 97.; Europska agencija za pomorsku sigurnost (EMSA) – Izvješće Europskog revizorskog suda, str. 122.; Europski centar za praćenje droga i ovisnosti o drogama (EMCDDA) – Izvješće Europskog revizorskog suda, str. 287.</w:t>
      </w:r>
    </w:p>
  </w:footnote>
  <w:footnote w:id="432">
    <w:p w14:paraId="1F959A7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hyperlink r:id="rId418" w:history="1">
        <w:r w:rsidRPr="00AA43E9">
          <w:rPr>
            <w:rStyle w:val="Hyperlink1"/>
            <w:sz w:val="24"/>
            <w:szCs w:val="24"/>
            <w:lang w:val="hr-HR"/>
          </w:rPr>
          <w:t>Međuinstitucijski sporazum od 20. svibnja 2021.</w:t>
        </w:r>
      </w:hyperlink>
      <w:r w:rsidRPr="00AA43E9">
        <w:rPr>
          <w:sz w:val="24"/>
          <w:szCs w:val="24"/>
          <w:lang w:val="hr-HR"/>
        </w:rPr>
        <w:t xml:space="preserve"> između Europskog parlamenta, Vijeća Europske unije i Europske komisije o obveznom registru transparentnosti: </w:t>
      </w:r>
      <w:hyperlink r:id="rId419" w:history="1">
        <w:r w:rsidRPr="00AA43E9">
          <w:rPr>
            <w:rStyle w:val="Hyperlink"/>
            <w:sz w:val="24"/>
            <w:szCs w:val="24"/>
            <w:lang w:val="hr-HR"/>
          </w:rPr>
          <w:t>http://data.europa.eu/eli/agree_interinstit/2021/611/oj</w:t>
        </w:r>
      </w:hyperlink>
      <w:r w:rsidRPr="00AA43E9">
        <w:rPr>
          <w:sz w:val="24"/>
          <w:szCs w:val="24"/>
          <w:lang w:val="hr-HR"/>
        </w:rPr>
        <w:t>.</w:t>
      </w:r>
    </w:p>
  </w:footnote>
  <w:footnote w:id="433">
    <w:p w14:paraId="4952DE2E" w14:textId="77777777" w:rsidR="00AA43E9" w:rsidRPr="00AA43E9" w:rsidRDefault="00AA43E9" w:rsidP="00AA43E9">
      <w:pPr>
        <w:ind w:left="567" w:hanging="567"/>
        <w:rPr>
          <w:szCs w:val="24"/>
        </w:rPr>
      </w:pPr>
      <w:r w:rsidRPr="00AA43E9">
        <w:rPr>
          <w:rStyle w:val="FootnoteReference"/>
          <w:szCs w:val="24"/>
        </w:rPr>
        <w:footnoteRef/>
      </w:r>
      <w:r w:rsidRPr="00AA43E9">
        <w:rPr>
          <w:szCs w:val="24"/>
        </w:rPr>
        <w:tab/>
      </w:r>
      <w:r w:rsidRPr="00AA43E9">
        <w:rPr>
          <w:szCs w:val="24"/>
        </w:rPr>
        <w:t xml:space="preserve">Mreža agencija za pravosuđe i unutarnje poslove (PUP) – mreža uključuje devet agencija: CEPOL, EASO, EIGE, EMCDDA, </w:t>
      </w:r>
      <w:proofErr w:type="spellStart"/>
      <w:r w:rsidRPr="00AA43E9">
        <w:rPr>
          <w:szCs w:val="24"/>
        </w:rPr>
        <w:t>eu</w:t>
      </w:r>
      <w:proofErr w:type="spellEnd"/>
      <w:r w:rsidRPr="00AA43E9">
        <w:rPr>
          <w:szCs w:val="24"/>
        </w:rPr>
        <w:t xml:space="preserve">-LISA, </w:t>
      </w:r>
      <w:proofErr w:type="spellStart"/>
      <w:r w:rsidRPr="00AA43E9">
        <w:rPr>
          <w:szCs w:val="24"/>
        </w:rPr>
        <w:t>Eurojust</w:t>
      </w:r>
      <w:proofErr w:type="spellEnd"/>
      <w:r w:rsidRPr="00AA43E9">
        <w:rPr>
          <w:szCs w:val="24"/>
        </w:rPr>
        <w:t xml:space="preserve">, </w:t>
      </w:r>
      <w:proofErr w:type="spellStart"/>
      <w:r w:rsidRPr="00AA43E9">
        <w:rPr>
          <w:szCs w:val="24"/>
        </w:rPr>
        <w:t>Europol</w:t>
      </w:r>
      <w:proofErr w:type="spellEnd"/>
      <w:r w:rsidRPr="00AA43E9">
        <w:rPr>
          <w:szCs w:val="24"/>
        </w:rPr>
        <w:t xml:space="preserve">, FRA i </w:t>
      </w:r>
      <w:proofErr w:type="spellStart"/>
      <w:r w:rsidRPr="00AA43E9">
        <w:rPr>
          <w:szCs w:val="24"/>
        </w:rPr>
        <w:t>Frontex</w:t>
      </w:r>
      <w:proofErr w:type="spellEnd"/>
      <w:r w:rsidRPr="00AA43E9">
        <w:rPr>
          <w:szCs w:val="24"/>
        </w:rPr>
        <w:t>.</w:t>
      </w:r>
    </w:p>
  </w:footnote>
  <w:footnote w:id="434">
    <w:p w14:paraId="0B227197"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Direktiva (EU) 2019/1937 Europskog parlamenta i Vijeća od 23. listopada 2019. o zaštiti osoba koje prijavljuju povrede prava Unije (SL L 305, 26.11.2019., str. 17., ELI: </w:t>
      </w:r>
      <w:hyperlink r:id="rId420" w:history="1">
        <w:r w:rsidRPr="00AA43E9">
          <w:rPr>
            <w:rStyle w:val="Hyperlink"/>
            <w:sz w:val="24"/>
            <w:szCs w:val="24"/>
            <w:lang w:val="hr-HR"/>
          </w:rPr>
          <w:t>http://data.europa.eu/eli/dir/2019/1937/oj</w:t>
        </w:r>
      </w:hyperlink>
      <w:r w:rsidRPr="00AA43E9">
        <w:rPr>
          <w:sz w:val="24"/>
          <w:szCs w:val="24"/>
          <w:lang w:val="hr-HR"/>
        </w:rPr>
        <w:t>).</w:t>
      </w:r>
    </w:p>
  </w:footnote>
  <w:footnote w:id="435">
    <w:p w14:paraId="436C7064"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EBA, ECDC, ECHA, EEA, EFSA, EIOPA, EMSA, </w:t>
      </w:r>
      <w:proofErr w:type="spellStart"/>
      <w:r w:rsidRPr="00AA43E9">
        <w:rPr>
          <w:sz w:val="24"/>
          <w:szCs w:val="24"/>
          <w:lang w:val="hr-HR"/>
        </w:rPr>
        <w:t>Europol</w:t>
      </w:r>
      <w:proofErr w:type="spellEnd"/>
      <w:r w:rsidRPr="00AA43E9">
        <w:rPr>
          <w:sz w:val="24"/>
          <w:szCs w:val="24"/>
          <w:lang w:val="hr-HR"/>
        </w:rPr>
        <w:t xml:space="preserve">, </w:t>
      </w:r>
      <w:proofErr w:type="spellStart"/>
      <w:r w:rsidRPr="00AA43E9">
        <w:rPr>
          <w:sz w:val="24"/>
          <w:szCs w:val="24"/>
          <w:lang w:val="hr-HR"/>
        </w:rPr>
        <w:t>Eurofound</w:t>
      </w:r>
      <w:proofErr w:type="spellEnd"/>
      <w:r w:rsidRPr="00AA43E9">
        <w:rPr>
          <w:sz w:val="24"/>
          <w:szCs w:val="24"/>
          <w:lang w:val="hr-HR"/>
        </w:rPr>
        <w:t>, ETF i ESMA.</w:t>
      </w:r>
    </w:p>
  </w:footnote>
  <w:footnote w:id="436">
    <w:p w14:paraId="3220918F"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Ured BEREC-a, </w:t>
      </w:r>
      <w:proofErr w:type="spellStart"/>
      <w:r w:rsidRPr="00AA43E9">
        <w:rPr>
          <w:sz w:val="24"/>
          <w:szCs w:val="24"/>
          <w:lang w:val="hr-HR"/>
        </w:rPr>
        <w:t>Cedefop</w:t>
      </w:r>
      <w:proofErr w:type="spellEnd"/>
      <w:r w:rsidRPr="00AA43E9">
        <w:rPr>
          <w:sz w:val="24"/>
          <w:szCs w:val="24"/>
          <w:lang w:val="hr-HR"/>
        </w:rPr>
        <w:t xml:space="preserve">, </w:t>
      </w:r>
      <w:proofErr w:type="spellStart"/>
      <w:r w:rsidRPr="00AA43E9">
        <w:rPr>
          <w:sz w:val="24"/>
          <w:szCs w:val="24"/>
          <w:lang w:val="hr-HR"/>
        </w:rPr>
        <w:t>eu</w:t>
      </w:r>
      <w:proofErr w:type="spellEnd"/>
      <w:r w:rsidRPr="00AA43E9">
        <w:rPr>
          <w:sz w:val="24"/>
          <w:szCs w:val="24"/>
          <w:lang w:val="hr-HR"/>
        </w:rPr>
        <w:t>-LISA, EUSPA i EMA.</w:t>
      </w:r>
    </w:p>
  </w:footnote>
  <w:footnote w:id="437">
    <w:p w14:paraId="267CDDA3" w14:textId="77777777" w:rsidR="00AA43E9" w:rsidRPr="00AA43E9" w:rsidRDefault="00AA43E9" w:rsidP="00AA43E9">
      <w:pPr>
        <w:pStyle w:val="FootnoteText"/>
        <w:ind w:left="567" w:hanging="567"/>
        <w:rPr>
          <w:sz w:val="24"/>
          <w:szCs w:val="24"/>
          <w:lang w:val="hr-HR"/>
        </w:rPr>
      </w:pPr>
      <w:r w:rsidRPr="00AA43E9">
        <w:rPr>
          <w:rStyle w:val="FootnoteReference"/>
          <w:sz w:val="24"/>
          <w:szCs w:val="24"/>
        </w:rPr>
        <w:footnoteRef/>
      </w:r>
      <w:r w:rsidRPr="00AA43E9">
        <w:rPr>
          <w:sz w:val="24"/>
          <w:szCs w:val="24"/>
          <w:lang w:val="hr-HR"/>
        </w:rPr>
        <w:tab/>
      </w:r>
      <w:r w:rsidRPr="00AA43E9">
        <w:rPr>
          <w:sz w:val="24"/>
          <w:szCs w:val="24"/>
          <w:lang w:val="hr-HR"/>
        </w:rPr>
        <w:t xml:space="preserve">EIT, </w:t>
      </w:r>
      <w:proofErr w:type="spellStart"/>
      <w:r w:rsidRPr="00AA43E9">
        <w:rPr>
          <w:sz w:val="24"/>
          <w:szCs w:val="24"/>
          <w:lang w:val="hr-HR"/>
        </w:rPr>
        <w:t>Frontex</w:t>
      </w:r>
      <w:proofErr w:type="spellEnd"/>
      <w:r w:rsidRPr="00AA43E9">
        <w:rPr>
          <w:sz w:val="24"/>
          <w:szCs w:val="24"/>
          <w:lang w:val="hr-HR"/>
        </w:rPr>
        <w:t>, EUAA i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7767" w14:textId="77777777" w:rsidR="00C522AE" w:rsidRPr="008A24BF" w:rsidRDefault="00C522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C9A9" w14:textId="77777777" w:rsidR="00C522AE" w:rsidRPr="008A24BF" w:rsidRDefault="00C522A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B69F" w14:textId="77777777" w:rsidR="00C522AE" w:rsidRPr="008A24BF" w:rsidRDefault="00C522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75311139">
    <w:abstractNumId w:val="9"/>
  </w:num>
  <w:num w:numId="2" w16cid:durableId="364062609">
    <w:abstractNumId w:val="9"/>
  </w:num>
  <w:num w:numId="3" w16cid:durableId="2060780567">
    <w:abstractNumId w:val="7"/>
  </w:num>
  <w:num w:numId="4" w16cid:durableId="596251876">
    <w:abstractNumId w:val="7"/>
  </w:num>
  <w:num w:numId="5" w16cid:durableId="1893229047">
    <w:abstractNumId w:val="6"/>
  </w:num>
  <w:num w:numId="6" w16cid:durableId="2008551106">
    <w:abstractNumId w:val="6"/>
  </w:num>
  <w:num w:numId="7" w16cid:durableId="1826388326">
    <w:abstractNumId w:val="5"/>
  </w:num>
  <w:num w:numId="8" w16cid:durableId="1367370344">
    <w:abstractNumId w:val="5"/>
  </w:num>
  <w:num w:numId="9" w16cid:durableId="2018921764">
    <w:abstractNumId w:val="4"/>
  </w:num>
  <w:num w:numId="10" w16cid:durableId="84880704">
    <w:abstractNumId w:val="4"/>
  </w:num>
  <w:num w:numId="11" w16cid:durableId="986125847">
    <w:abstractNumId w:val="8"/>
  </w:num>
  <w:num w:numId="12" w16cid:durableId="719481696">
    <w:abstractNumId w:val="8"/>
  </w:num>
  <w:num w:numId="13" w16cid:durableId="1300918602">
    <w:abstractNumId w:val="3"/>
  </w:num>
  <w:num w:numId="14" w16cid:durableId="1361006407">
    <w:abstractNumId w:val="3"/>
  </w:num>
  <w:num w:numId="15" w16cid:durableId="30615197">
    <w:abstractNumId w:val="2"/>
  </w:num>
  <w:num w:numId="16" w16cid:durableId="869612654">
    <w:abstractNumId w:val="2"/>
  </w:num>
  <w:num w:numId="17" w16cid:durableId="343170340">
    <w:abstractNumId w:val="1"/>
  </w:num>
  <w:num w:numId="18" w16cid:durableId="1007903585">
    <w:abstractNumId w:val="1"/>
  </w:num>
  <w:num w:numId="19" w16cid:durableId="1982080257">
    <w:abstractNumId w:val="0"/>
  </w:num>
  <w:num w:numId="20" w16cid:durableId="1656061731">
    <w:abstractNumId w:val="0"/>
  </w:num>
  <w:num w:numId="21" w16cid:durableId="897473081">
    <w:abstractNumId w:val="9"/>
  </w:num>
  <w:num w:numId="22" w16cid:durableId="1950044153">
    <w:abstractNumId w:val="7"/>
  </w:num>
  <w:num w:numId="23" w16cid:durableId="2074624334">
    <w:abstractNumId w:val="6"/>
  </w:num>
  <w:num w:numId="24" w16cid:durableId="1553728830">
    <w:abstractNumId w:val="5"/>
  </w:num>
  <w:num w:numId="25" w16cid:durableId="252319855">
    <w:abstractNumId w:val="4"/>
  </w:num>
  <w:num w:numId="26" w16cid:durableId="1331711962">
    <w:abstractNumId w:val="8"/>
  </w:num>
  <w:num w:numId="27" w16cid:durableId="1706523061">
    <w:abstractNumId w:val="3"/>
  </w:num>
  <w:num w:numId="28" w16cid:durableId="812605890">
    <w:abstractNumId w:val="2"/>
  </w:num>
  <w:num w:numId="29" w16cid:durableId="1699236326">
    <w:abstractNumId w:val="1"/>
  </w:num>
  <w:num w:numId="30" w16cid:durableId="284045560">
    <w:abstractNumId w:val="0"/>
  </w:num>
  <w:num w:numId="31" w16cid:durableId="1082213490">
    <w:abstractNumId w:val="9"/>
  </w:num>
  <w:num w:numId="32" w16cid:durableId="2028436582">
    <w:abstractNumId w:val="7"/>
  </w:num>
  <w:num w:numId="33" w16cid:durableId="894775030">
    <w:abstractNumId w:val="6"/>
  </w:num>
  <w:num w:numId="34" w16cid:durableId="1942955972">
    <w:abstractNumId w:val="5"/>
  </w:num>
  <w:num w:numId="35" w16cid:durableId="1564757989">
    <w:abstractNumId w:val="4"/>
  </w:num>
  <w:num w:numId="36" w16cid:durableId="276110093">
    <w:abstractNumId w:val="8"/>
  </w:num>
  <w:num w:numId="37" w16cid:durableId="534931074">
    <w:abstractNumId w:val="3"/>
  </w:num>
  <w:num w:numId="38" w16cid:durableId="984239351">
    <w:abstractNumId w:val="2"/>
  </w:num>
  <w:num w:numId="39" w16cid:durableId="475343369">
    <w:abstractNumId w:val="1"/>
  </w:num>
  <w:num w:numId="40" w16cid:durableId="1669288220">
    <w:abstractNumId w:val="0"/>
  </w:num>
  <w:num w:numId="41" w16cid:durableId="1983121492">
    <w:abstractNumId w:val="10"/>
  </w:num>
  <w:num w:numId="42" w16cid:durableId="877857432">
    <w:abstractNumId w:val="10"/>
  </w:num>
  <w:num w:numId="43" w16cid:durableId="662321475">
    <w:abstractNumId w:val="10"/>
  </w:num>
  <w:num w:numId="44" w16cid:durableId="1207715780">
    <w:abstractNumId w:val="12"/>
  </w:num>
  <w:num w:numId="45" w16cid:durableId="1894656583">
    <w:abstractNumId w:val="13"/>
  </w:num>
  <w:num w:numId="46" w16cid:durableId="454953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numam" w:val="0"/>
    <w:docVar w:name="dvrapporteur" w:val="Izvjestitelj: "/>
  </w:docVars>
  <w:rsids>
    <w:rsidRoot w:val="008A24BF"/>
    <w:rsid w:val="00002272"/>
    <w:rsid w:val="00012C95"/>
    <w:rsid w:val="00064002"/>
    <w:rsid w:val="000677B9"/>
    <w:rsid w:val="000831BA"/>
    <w:rsid w:val="000A42CC"/>
    <w:rsid w:val="000E5A2E"/>
    <w:rsid w:val="000E7DD9"/>
    <w:rsid w:val="0010095E"/>
    <w:rsid w:val="00125B37"/>
    <w:rsid w:val="00187494"/>
    <w:rsid w:val="001C327D"/>
    <w:rsid w:val="001F09E9"/>
    <w:rsid w:val="001F32AE"/>
    <w:rsid w:val="0023346A"/>
    <w:rsid w:val="002767FF"/>
    <w:rsid w:val="002B18FE"/>
    <w:rsid w:val="002B5493"/>
    <w:rsid w:val="00317A09"/>
    <w:rsid w:val="00343214"/>
    <w:rsid w:val="00361C00"/>
    <w:rsid w:val="003948E3"/>
    <w:rsid w:val="00395FA1"/>
    <w:rsid w:val="003E15D4"/>
    <w:rsid w:val="00411CCE"/>
    <w:rsid w:val="0041666E"/>
    <w:rsid w:val="00421060"/>
    <w:rsid w:val="00471C19"/>
    <w:rsid w:val="004867E3"/>
    <w:rsid w:val="00494A28"/>
    <w:rsid w:val="004B477B"/>
    <w:rsid w:val="004C0004"/>
    <w:rsid w:val="004C5D52"/>
    <w:rsid w:val="004F1BB9"/>
    <w:rsid w:val="00503502"/>
    <w:rsid w:val="0050519A"/>
    <w:rsid w:val="005072A1"/>
    <w:rsid w:val="00514517"/>
    <w:rsid w:val="00545827"/>
    <w:rsid w:val="00560270"/>
    <w:rsid w:val="00562124"/>
    <w:rsid w:val="0058260B"/>
    <w:rsid w:val="005C2568"/>
    <w:rsid w:val="005E6241"/>
    <w:rsid w:val="005F1B17"/>
    <w:rsid w:val="006037C0"/>
    <w:rsid w:val="006631B6"/>
    <w:rsid w:val="00680577"/>
    <w:rsid w:val="00682DD0"/>
    <w:rsid w:val="006F74FA"/>
    <w:rsid w:val="00731ADD"/>
    <w:rsid w:val="00734777"/>
    <w:rsid w:val="00747932"/>
    <w:rsid w:val="00751A4A"/>
    <w:rsid w:val="00756632"/>
    <w:rsid w:val="00762C74"/>
    <w:rsid w:val="00786EC0"/>
    <w:rsid w:val="007C6659"/>
    <w:rsid w:val="007D1690"/>
    <w:rsid w:val="007E22AD"/>
    <w:rsid w:val="00817416"/>
    <w:rsid w:val="00830920"/>
    <w:rsid w:val="00842779"/>
    <w:rsid w:val="00863FBA"/>
    <w:rsid w:val="00865F67"/>
    <w:rsid w:val="00881A7B"/>
    <w:rsid w:val="008840E5"/>
    <w:rsid w:val="00887B3E"/>
    <w:rsid w:val="00896342"/>
    <w:rsid w:val="008A24BF"/>
    <w:rsid w:val="008C189B"/>
    <w:rsid w:val="008C2AC6"/>
    <w:rsid w:val="0091677D"/>
    <w:rsid w:val="00930C23"/>
    <w:rsid w:val="0093193B"/>
    <w:rsid w:val="009509D8"/>
    <w:rsid w:val="00950B64"/>
    <w:rsid w:val="00981893"/>
    <w:rsid w:val="009B7645"/>
    <w:rsid w:val="00A1687D"/>
    <w:rsid w:val="00A43E52"/>
    <w:rsid w:val="00A4678D"/>
    <w:rsid w:val="00A778C7"/>
    <w:rsid w:val="00AA43E9"/>
    <w:rsid w:val="00AB441E"/>
    <w:rsid w:val="00AB6293"/>
    <w:rsid w:val="00AD431A"/>
    <w:rsid w:val="00AE0928"/>
    <w:rsid w:val="00AF3B82"/>
    <w:rsid w:val="00B12E95"/>
    <w:rsid w:val="00B22876"/>
    <w:rsid w:val="00B558F0"/>
    <w:rsid w:val="00B67BCA"/>
    <w:rsid w:val="00B81E61"/>
    <w:rsid w:val="00B96FAB"/>
    <w:rsid w:val="00BC7C8E"/>
    <w:rsid w:val="00BD48FE"/>
    <w:rsid w:val="00BD7BD8"/>
    <w:rsid w:val="00BE6ADC"/>
    <w:rsid w:val="00C05BFE"/>
    <w:rsid w:val="00C23CD4"/>
    <w:rsid w:val="00C522AE"/>
    <w:rsid w:val="00C61C0C"/>
    <w:rsid w:val="00C70D99"/>
    <w:rsid w:val="00C75686"/>
    <w:rsid w:val="00C941CB"/>
    <w:rsid w:val="00CC2357"/>
    <w:rsid w:val="00CF071A"/>
    <w:rsid w:val="00D058B8"/>
    <w:rsid w:val="00D228D6"/>
    <w:rsid w:val="00D56C11"/>
    <w:rsid w:val="00D834A0"/>
    <w:rsid w:val="00D872DF"/>
    <w:rsid w:val="00D91E21"/>
    <w:rsid w:val="00DA7FCD"/>
    <w:rsid w:val="00DB0356"/>
    <w:rsid w:val="00E3196B"/>
    <w:rsid w:val="00E365E1"/>
    <w:rsid w:val="00E65CDF"/>
    <w:rsid w:val="00E820A4"/>
    <w:rsid w:val="00EB006A"/>
    <w:rsid w:val="00EB4772"/>
    <w:rsid w:val="00ED169E"/>
    <w:rsid w:val="00ED4235"/>
    <w:rsid w:val="00F04346"/>
    <w:rsid w:val="00F075DC"/>
    <w:rsid w:val="00F149E9"/>
    <w:rsid w:val="00F5134D"/>
    <w:rsid w:val="00F56A77"/>
    <w:rsid w:val="00F74202"/>
    <w:rsid w:val="00F87713"/>
    <w:rsid w:val="00FB3352"/>
    <w:rsid w:val="00FB4360"/>
    <w:rsid w:val="00FD0C70"/>
    <w:rsid w:val="00FD58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B3DC8"/>
  <w15:chartTrackingRefBased/>
  <w15:docId w15:val="{B521462F-08AB-469E-9F44-45E0832FE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E5A2E"/>
    <w:rPr>
      <w:b/>
      <w:kern w:val="28"/>
      <w:sz w:val="28"/>
      <w:lang w:val="fr-FR" w:eastAsia="fr-FR"/>
    </w:rPr>
  </w:style>
  <w:style w:type="character" w:customStyle="1" w:styleId="Heading2Char">
    <w:name w:val="Heading 2 Char"/>
    <w:basedOn w:val="DefaultParagraphFont"/>
    <w:link w:val="Heading2"/>
    <w:uiPriority w:val="9"/>
    <w:semiHidden/>
    <w:rsid w:val="000E5A2E"/>
    <w:rPr>
      <w:sz w:val="24"/>
      <w:lang w:val="fr-FR" w:eastAsia="fr-FR"/>
    </w:rPr>
  </w:style>
  <w:style w:type="character" w:customStyle="1" w:styleId="Heading3Char">
    <w:name w:val="Heading 3 Char"/>
    <w:basedOn w:val="DefaultParagraphFont"/>
    <w:link w:val="Heading3"/>
    <w:uiPriority w:val="9"/>
    <w:semiHidden/>
    <w:rsid w:val="000E5A2E"/>
    <w:rPr>
      <w:rFonts w:ascii="Arial" w:hAnsi="Arial"/>
      <w:sz w:val="24"/>
      <w:lang w:val="fr-FR" w:eastAsia="fr-FR"/>
    </w:rPr>
  </w:style>
  <w:style w:type="character" w:customStyle="1" w:styleId="Heading4Char">
    <w:name w:val="Heading 4 Char"/>
    <w:basedOn w:val="DefaultParagraphFont"/>
    <w:link w:val="Heading4"/>
    <w:uiPriority w:val="9"/>
    <w:semiHidden/>
    <w:rsid w:val="000E5A2E"/>
    <w:rPr>
      <w:sz w:val="24"/>
      <w:lang w:val="en-US" w:eastAsia="fr-FR"/>
    </w:rPr>
  </w:style>
  <w:style w:type="character" w:customStyle="1" w:styleId="Heading5Char">
    <w:name w:val="Heading 5 Char"/>
    <w:basedOn w:val="DefaultParagraphFont"/>
    <w:link w:val="Heading5"/>
    <w:uiPriority w:val="9"/>
    <w:semiHidden/>
    <w:rsid w:val="000E5A2E"/>
    <w:rPr>
      <w:sz w:val="24"/>
      <w:lang w:val="en-US" w:eastAsia="fr-FR"/>
    </w:rPr>
  </w:style>
  <w:style w:type="character" w:customStyle="1" w:styleId="Heading6Char">
    <w:name w:val="Heading 6 Char"/>
    <w:basedOn w:val="DefaultParagraphFont"/>
    <w:link w:val="Heading6"/>
    <w:uiPriority w:val="9"/>
    <w:semiHidden/>
    <w:rsid w:val="000E5A2E"/>
    <w:rPr>
      <w:i/>
      <w:sz w:val="22"/>
      <w:lang w:val="hr-HR"/>
    </w:rPr>
  </w:style>
  <w:style w:type="character" w:customStyle="1" w:styleId="Heading7Char">
    <w:name w:val="Heading 7 Char"/>
    <w:basedOn w:val="DefaultParagraphFont"/>
    <w:link w:val="Heading7"/>
    <w:uiPriority w:val="9"/>
    <w:semiHidden/>
    <w:rsid w:val="000E5A2E"/>
    <w:rPr>
      <w:rFonts w:ascii="Arial" w:hAnsi="Arial"/>
      <w:sz w:val="24"/>
      <w:lang w:val="hr-HR"/>
    </w:rPr>
  </w:style>
  <w:style w:type="character" w:customStyle="1" w:styleId="Heading8Char">
    <w:name w:val="Heading 8 Char"/>
    <w:basedOn w:val="DefaultParagraphFont"/>
    <w:link w:val="Heading8"/>
    <w:uiPriority w:val="9"/>
    <w:semiHidden/>
    <w:rsid w:val="000E5A2E"/>
    <w:rPr>
      <w:rFonts w:ascii="Arial" w:hAnsi="Arial"/>
      <w:i/>
      <w:sz w:val="24"/>
      <w:lang w:val="hr-HR"/>
    </w:rPr>
  </w:style>
  <w:style w:type="character" w:customStyle="1" w:styleId="Heading9Char">
    <w:name w:val="Heading 9 Char"/>
    <w:basedOn w:val="DefaultParagraphFont"/>
    <w:link w:val="Heading9"/>
    <w:uiPriority w:val="9"/>
    <w:semiHidden/>
    <w:rsid w:val="000E5A2E"/>
    <w:rPr>
      <w:rFonts w:ascii="Arial" w:hAnsi="Arial"/>
      <w:b/>
      <w:i/>
      <w:sz w:val="18"/>
      <w:lang w:val="hr-HR"/>
    </w:rPr>
  </w:style>
  <w:style w:type="paragraph" w:styleId="TOCHeading">
    <w:name w:val="TOC Heading"/>
    <w:basedOn w:val="Normal"/>
    <w:next w:val="Normal"/>
    <w:uiPriority w:val="39"/>
    <w:unhideWhenUsed/>
    <w:qFormat/>
    <w:rsid w:val="000E5A2E"/>
    <w:pPr>
      <w:widowControl/>
      <w:spacing w:after="240"/>
    </w:pPr>
    <w:rPr>
      <w:lang w:val="en-GB"/>
    </w:rPr>
  </w:style>
  <w:style w:type="paragraph" w:customStyle="1" w:styleId="EPFooter2">
    <w:name w:val="EPFooter2"/>
    <w:basedOn w:val="Normal"/>
    <w:next w:val="Normal"/>
    <w:rsid w:val="000E5A2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E5A2E"/>
    <w:pPr>
      <w:spacing w:before="480" w:after="240"/>
    </w:pPr>
  </w:style>
  <w:style w:type="paragraph" w:customStyle="1" w:styleId="TOCPage">
    <w:name w:val="TOC Page"/>
    <w:basedOn w:val="Normal"/>
    <w:next w:val="TOC1"/>
    <w:rsid w:val="000E5A2E"/>
    <w:pPr>
      <w:keepNext/>
      <w:spacing w:after="240"/>
      <w:jc w:val="right"/>
    </w:pPr>
    <w:rPr>
      <w:rFonts w:ascii="Arial" w:hAnsi="Arial"/>
      <w:b/>
    </w:rPr>
  </w:style>
  <w:style w:type="paragraph" w:customStyle="1" w:styleId="PageHeading">
    <w:name w:val="PageHeading"/>
    <w:basedOn w:val="Normal"/>
    <w:link w:val="PageHeadingChar"/>
    <w:rsid w:val="000E5A2E"/>
    <w:pPr>
      <w:keepNext/>
      <w:spacing w:after="480"/>
      <w:jc w:val="center"/>
    </w:pPr>
    <w:rPr>
      <w:rFonts w:ascii="Arial" w:hAnsi="Arial" w:cs="Arial"/>
      <w:b/>
    </w:rPr>
  </w:style>
  <w:style w:type="paragraph" w:customStyle="1" w:styleId="NormalBold">
    <w:name w:val="NormalBold"/>
    <w:basedOn w:val="Normal"/>
    <w:rsid w:val="000E5A2E"/>
    <w:rPr>
      <w:b/>
    </w:rPr>
  </w:style>
  <w:style w:type="paragraph" w:customStyle="1" w:styleId="NormalHanging12a">
    <w:name w:val="NormalHanging12a"/>
    <w:basedOn w:val="Normal"/>
    <w:link w:val="NormalHanging12aChar"/>
    <w:rsid w:val="000E5A2E"/>
    <w:pPr>
      <w:spacing w:after="240"/>
      <w:ind w:left="567" w:hanging="567"/>
    </w:pPr>
  </w:style>
  <w:style w:type="paragraph" w:customStyle="1" w:styleId="CoverNormal24a">
    <w:name w:val="CoverNormal24a"/>
    <w:basedOn w:val="Normal"/>
    <w:rsid w:val="000E5A2E"/>
    <w:pPr>
      <w:spacing w:after="480"/>
      <w:ind w:left="1417"/>
    </w:pPr>
  </w:style>
  <w:style w:type="paragraph" w:customStyle="1" w:styleId="CoverNormal">
    <w:name w:val="CoverNormal"/>
    <w:basedOn w:val="Normal"/>
    <w:rsid w:val="000E5A2E"/>
    <w:pPr>
      <w:ind w:left="1418"/>
    </w:pPr>
  </w:style>
  <w:style w:type="paragraph" w:customStyle="1" w:styleId="NormalCenter12a">
    <w:name w:val="NormalCenter12a"/>
    <w:basedOn w:val="Normal"/>
    <w:rsid w:val="000E5A2E"/>
    <w:pPr>
      <w:spacing w:after="240"/>
      <w:jc w:val="center"/>
    </w:pPr>
  </w:style>
  <w:style w:type="paragraph" w:customStyle="1" w:styleId="CoverReference">
    <w:name w:val="CoverReference"/>
    <w:basedOn w:val="Normal"/>
    <w:rsid w:val="000E5A2E"/>
    <w:pPr>
      <w:spacing w:before="1080"/>
      <w:jc w:val="right"/>
    </w:pPr>
    <w:rPr>
      <w:rFonts w:ascii="Arial" w:hAnsi="Arial" w:cs="Arial"/>
      <w:b/>
    </w:rPr>
  </w:style>
  <w:style w:type="paragraph" w:customStyle="1" w:styleId="CoverDocType24a">
    <w:name w:val="CoverDocType24a"/>
    <w:basedOn w:val="Normal"/>
    <w:rsid w:val="000E5A2E"/>
    <w:pPr>
      <w:spacing w:after="480"/>
      <w:ind w:left="1418"/>
    </w:pPr>
    <w:rPr>
      <w:rFonts w:ascii="Arial" w:hAnsi="Arial"/>
      <w:b/>
      <w:sz w:val="48"/>
    </w:rPr>
  </w:style>
  <w:style w:type="paragraph" w:customStyle="1" w:styleId="CoverDate">
    <w:name w:val="CoverDate"/>
    <w:basedOn w:val="Normal"/>
    <w:rsid w:val="000E5A2E"/>
    <w:pPr>
      <w:spacing w:before="240" w:after="1200"/>
    </w:pPr>
  </w:style>
  <w:style w:type="paragraph" w:styleId="Header">
    <w:name w:val="header"/>
    <w:basedOn w:val="Normal"/>
    <w:link w:val="HeaderChar"/>
    <w:uiPriority w:val="99"/>
    <w:rsid w:val="000E5A2E"/>
    <w:pPr>
      <w:tabs>
        <w:tab w:val="center" w:pos="4513"/>
        <w:tab w:val="right" w:pos="9026"/>
      </w:tabs>
    </w:pPr>
  </w:style>
  <w:style w:type="character" w:customStyle="1" w:styleId="HeaderChar">
    <w:name w:val="Header Char"/>
    <w:basedOn w:val="DefaultParagraphFont"/>
    <w:link w:val="Header"/>
    <w:uiPriority w:val="99"/>
    <w:rsid w:val="000E5A2E"/>
    <w:rPr>
      <w:sz w:val="24"/>
      <w:lang w:val="hr-HR"/>
    </w:rPr>
  </w:style>
  <w:style w:type="paragraph" w:customStyle="1" w:styleId="EPBody">
    <w:name w:val="EPBody"/>
    <w:basedOn w:val="Normal"/>
    <w:rsid w:val="000E5A2E"/>
    <w:pPr>
      <w:jc w:val="center"/>
    </w:pPr>
    <w:rPr>
      <w:rFonts w:ascii="Arial" w:hAnsi="Arial" w:cs="Arial"/>
      <w:i/>
      <w:sz w:val="22"/>
      <w:szCs w:val="22"/>
    </w:rPr>
  </w:style>
  <w:style w:type="paragraph" w:customStyle="1" w:styleId="EPFooter">
    <w:name w:val="EPFooter"/>
    <w:basedOn w:val="Normal"/>
    <w:rsid w:val="000E5A2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E5A2E"/>
    <w:rPr>
      <w:sz w:val="24"/>
      <w:lang w:val="hr-HR"/>
    </w:rPr>
  </w:style>
  <w:style w:type="paragraph" w:customStyle="1" w:styleId="PageHeadingDec">
    <w:name w:val="PageHeadingDec"/>
    <w:basedOn w:val="PageHeading"/>
    <w:link w:val="PageHeadingDecChar"/>
    <w:qFormat/>
    <w:rsid w:val="000E5A2E"/>
  </w:style>
  <w:style w:type="character" w:customStyle="1" w:styleId="PageHeadingChar">
    <w:name w:val="PageHeading Char"/>
    <w:basedOn w:val="DefaultParagraphFont"/>
    <w:link w:val="PageHeading"/>
    <w:rsid w:val="000E5A2E"/>
    <w:rPr>
      <w:rFonts w:ascii="Arial" w:hAnsi="Arial" w:cs="Arial"/>
      <w:b/>
      <w:sz w:val="24"/>
      <w:lang w:val="hr-HR"/>
    </w:rPr>
  </w:style>
  <w:style w:type="character" w:customStyle="1" w:styleId="PageHeadingDecChar">
    <w:name w:val="PageHeadingDec Char"/>
    <w:basedOn w:val="PageHeadingChar"/>
    <w:link w:val="PageHeadingDec"/>
    <w:rsid w:val="000E5A2E"/>
    <w:rPr>
      <w:rFonts w:ascii="Arial" w:hAnsi="Arial" w:cs="Arial"/>
      <w:b/>
      <w:sz w:val="24"/>
      <w:lang w:val="hr-HR"/>
    </w:rPr>
  </w:style>
  <w:style w:type="paragraph" w:styleId="TOC9">
    <w:name w:val="toc 9"/>
    <w:basedOn w:val="Normal"/>
    <w:next w:val="Normal"/>
    <w:autoRedefine/>
    <w:uiPriority w:val="39"/>
    <w:rsid w:val="000E5A2E"/>
    <w:pPr>
      <w:spacing w:after="100"/>
      <w:jc w:val="center"/>
    </w:pPr>
  </w:style>
  <w:style w:type="paragraph" w:styleId="TOC8">
    <w:name w:val="toc 8"/>
    <w:basedOn w:val="Normal"/>
    <w:next w:val="Normal"/>
    <w:autoRedefine/>
    <w:uiPriority w:val="39"/>
    <w:rsid w:val="000E5A2E"/>
    <w:pPr>
      <w:tabs>
        <w:tab w:val="right" w:leader="dot" w:pos="9060"/>
      </w:tabs>
      <w:spacing w:after="240"/>
    </w:pPr>
    <w:rPr>
      <w:b/>
    </w:rPr>
  </w:style>
  <w:style w:type="paragraph" w:customStyle="1" w:styleId="PageHeadingNotTOC">
    <w:name w:val="PageHeadingNotTOC"/>
    <w:basedOn w:val="Normal"/>
    <w:link w:val="PageHeadingNotTOCChar"/>
    <w:rsid w:val="000E5A2E"/>
    <w:pPr>
      <w:keepNext/>
      <w:spacing w:after="480"/>
      <w:jc w:val="center"/>
    </w:pPr>
    <w:rPr>
      <w:rFonts w:ascii="Arial" w:hAnsi="Arial" w:cs="Arial"/>
      <w:b/>
    </w:rPr>
  </w:style>
  <w:style w:type="character" w:styleId="Hyperlink">
    <w:name w:val="Hyperlink"/>
    <w:basedOn w:val="DefaultParagraphFont"/>
    <w:uiPriority w:val="99"/>
    <w:rsid w:val="000E5A2E"/>
    <w:rPr>
      <w:color w:val="0563C1" w:themeColor="hyperlink"/>
      <w:u w:val="single"/>
    </w:rPr>
  </w:style>
  <w:style w:type="character" w:styleId="FollowedHyperlink">
    <w:name w:val="FollowedHyperlink"/>
    <w:basedOn w:val="DefaultParagraphFont"/>
    <w:uiPriority w:val="99"/>
    <w:rsid w:val="000E5A2E"/>
    <w:rPr>
      <w:color w:val="954F72" w:themeColor="followedHyperlink"/>
      <w:u w:val="single"/>
    </w:rPr>
  </w:style>
  <w:style w:type="paragraph" w:styleId="TOC7">
    <w:name w:val="toc 7"/>
    <w:basedOn w:val="Normal"/>
    <w:next w:val="Normal"/>
    <w:autoRedefine/>
    <w:uiPriority w:val="39"/>
    <w:rsid w:val="000E5A2E"/>
    <w:pPr>
      <w:spacing w:after="100"/>
      <w:ind w:left="720" w:hanging="720"/>
    </w:pPr>
  </w:style>
  <w:style w:type="character" w:styleId="CommentReference">
    <w:name w:val="annotation reference"/>
    <w:basedOn w:val="DefaultParagraphFont"/>
    <w:uiPriority w:val="99"/>
    <w:rsid w:val="000E5A2E"/>
    <w:rPr>
      <w:sz w:val="16"/>
      <w:szCs w:val="16"/>
    </w:rPr>
  </w:style>
  <w:style w:type="paragraph" w:styleId="CommentText">
    <w:name w:val="annotation text"/>
    <w:basedOn w:val="Normal"/>
    <w:link w:val="CommentTextChar"/>
    <w:uiPriority w:val="99"/>
    <w:rsid w:val="000E5A2E"/>
    <w:rPr>
      <w:sz w:val="20"/>
    </w:rPr>
  </w:style>
  <w:style w:type="character" w:customStyle="1" w:styleId="CommentTextChar">
    <w:name w:val="Comment Text Char"/>
    <w:basedOn w:val="DefaultParagraphFont"/>
    <w:link w:val="CommentText"/>
    <w:uiPriority w:val="99"/>
    <w:rsid w:val="000E5A2E"/>
    <w:rPr>
      <w:lang w:val="hr-HR"/>
    </w:rPr>
  </w:style>
  <w:style w:type="paragraph" w:styleId="CommentSubject">
    <w:name w:val="annotation subject"/>
    <w:basedOn w:val="CommentText"/>
    <w:next w:val="CommentText"/>
    <w:link w:val="CommentSubjectChar"/>
    <w:uiPriority w:val="99"/>
    <w:unhideWhenUsed/>
    <w:rsid w:val="000E5A2E"/>
    <w:rPr>
      <w:b/>
      <w:bCs/>
    </w:rPr>
  </w:style>
  <w:style w:type="character" w:customStyle="1" w:styleId="CommentSubjectChar">
    <w:name w:val="Comment Subject Char"/>
    <w:basedOn w:val="CommentTextChar"/>
    <w:link w:val="CommentSubject"/>
    <w:uiPriority w:val="99"/>
    <w:rsid w:val="000E5A2E"/>
    <w:rPr>
      <w:b/>
      <w:bCs/>
      <w:lang w:val="hr-HR"/>
    </w:rPr>
  </w:style>
  <w:style w:type="paragraph" w:styleId="BalloonText">
    <w:name w:val="Balloon Text"/>
    <w:basedOn w:val="Normal"/>
    <w:link w:val="BalloonTextChar"/>
    <w:unhideWhenUsed/>
    <w:rsid w:val="000E5A2E"/>
    <w:rPr>
      <w:rFonts w:ascii="Segoe UI" w:hAnsi="Segoe UI" w:cs="Segoe UI"/>
      <w:sz w:val="18"/>
      <w:szCs w:val="18"/>
    </w:rPr>
  </w:style>
  <w:style w:type="character" w:customStyle="1" w:styleId="BalloonTextChar">
    <w:name w:val="Balloon Text Char"/>
    <w:basedOn w:val="DefaultParagraphFont"/>
    <w:link w:val="BalloonText"/>
    <w:rsid w:val="000E5A2E"/>
    <w:rPr>
      <w:rFonts w:ascii="Segoe UI" w:hAnsi="Segoe UI" w:cs="Segoe UI"/>
      <w:sz w:val="18"/>
      <w:szCs w:val="18"/>
      <w:lang w:val="hr-HR"/>
    </w:rPr>
  </w:style>
  <w:style w:type="paragraph" w:customStyle="1" w:styleId="Normal24a">
    <w:name w:val="Normal24a"/>
    <w:basedOn w:val="Normal"/>
    <w:rsid w:val="000E5A2E"/>
    <w:pPr>
      <w:spacing w:after="480"/>
    </w:pPr>
  </w:style>
  <w:style w:type="paragraph" w:customStyle="1" w:styleId="NormalBoldCenter">
    <w:name w:val="NormalBoldCenter"/>
    <w:basedOn w:val="Normal"/>
    <w:rsid w:val="000E5A2E"/>
    <w:pPr>
      <w:jc w:val="center"/>
    </w:pPr>
    <w:rPr>
      <w:b/>
    </w:rPr>
  </w:style>
  <w:style w:type="paragraph" w:customStyle="1" w:styleId="Footprint12b">
    <w:name w:val="Footprint12b"/>
    <w:basedOn w:val="Normal"/>
    <w:rsid w:val="000E5A2E"/>
    <w:pPr>
      <w:spacing w:before="240"/>
    </w:pPr>
    <w:rPr>
      <w:szCs w:val="24"/>
    </w:rPr>
  </w:style>
  <w:style w:type="paragraph" w:customStyle="1" w:styleId="NormalSingle">
    <w:name w:val="NormalSingle"/>
    <w:basedOn w:val="Normal"/>
    <w:qFormat/>
    <w:rsid w:val="000E5A2E"/>
    <w:rPr>
      <w:szCs w:val="24"/>
    </w:rPr>
  </w:style>
  <w:style w:type="paragraph" w:styleId="Revision">
    <w:name w:val="Revision"/>
    <w:hidden/>
    <w:uiPriority w:val="99"/>
    <w:semiHidden/>
    <w:rsid w:val="000E5A2E"/>
    <w:rPr>
      <w:sz w:val="24"/>
      <w:lang w:val="hr-HR"/>
    </w:rPr>
  </w:style>
  <w:style w:type="paragraph" w:styleId="ListParagraph">
    <w:name w:val="List Paragraph"/>
    <w:basedOn w:val="Normal"/>
    <w:uiPriority w:val="34"/>
    <w:qFormat/>
    <w:rsid w:val="000E5A2E"/>
    <w:pPr>
      <w:widowControl/>
      <w:ind w:left="720"/>
      <w:contextualSpacing/>
      <w:jc w:val="both"/>
    </w:pPr>
    <w:rPr>
      <w:rFonts w:eastAsiaTheme="minorHAnsi"/>
      <w:szCs w:val="24"/>
      <w:lang w:eastAsia="en-US"/>
    </w:rPr>
  </w:style>
  <w:style w:type="paragraph" w:customStyle="1" w:styleId="Normal12Hanging">
    <w:name w:val="Normal12Hanging"/>
    <w:basedOn w:val="Normal"/>
    <w:rsid w:val="000E5A2E"/>
    <w:pPr>
      <w:spacing w:after="240"/>
      <w:ind w:left="567" w:hanging="567"/>
    </w:pPr>
  </w:style>
  <w:style w:type="paragraph" w:customStyle="1" w:styleId="Normal12a">
    <w:name w:val="Normal12a"/>
    <w:basedOn w:val="Normal"/>
    <w:rsid w:val="000E5A2E"/>
    <w:pPr>
      <w:spacing w:after="240"/>
    </w:pPr>
  </w:style>
  <w:style w:type="paragraph" w:customStyle="1" w:styleId="RollCallSymbols14pt">
    <w:name w:val="RollCallSymbols14pt"/>
    <w:basedOn w:val="Normal"/>
    <w:rsid w:val="000E5A2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E5A2E"/>
    <w:pPr>
      <w:tabs>
        <w:tab w:val="center" w:pos="284"/>
        <w:tab w:val="left" w:pos="426"/>
      </w:tabs>
    </w:pPr>
    <w:rPr>
      <w:snapToGrid w:val="0"/>
      <w:lang w:eastAsia="en-US"/>
    </w:rPr>
  </w:style>
  <w:style w:type="paragraph" w:customStyle="1" w:styleId="RollCallVotes">
    <w:name w:val="RollCallVotes"/>
    <w:basedOn w:val="Normal"/>
    <w:rsid w:val="000E5A2E"/>
    <w:pPr>
      <w:spacing w:before="120" w:after="120"/>
      <w:jc w:val="center"/>
    </w:pPr>
    <w:rPr>
      <w:b/>
      <w:bCs/>
      <w:snapToGrid w:val="0"/>
      <w:sz w:val="16"/>
      <w:lang w:eastAsia="en-US"/>
    </w:rPr>
  </w:style>
  <w:style w:type="paragraph" w:customStyle="1" w:styleId="RollCallTable">
    <w:name w:val="RollCallTable"/>
    <w:basedOn w:val="Normal"/>
    <w:rsid w:val="000E5A2E"/>
    <w:pPr>
      <w:spacing w:before="120" w:after="120"/>
    </w:pPr>
    <w:rPr>
      <w:snapToGrid w:val="0"/>
      <w:sz w:val="16"/>
      <w:lang w:eastAsia="en-US"/>
    </w:rPr>
  </w:style>
  <w:style w:type="paragraph" w:customStyle="1" w:styleId="Visa">
    <w:name w:val="Visa"/>
    <w:basedOn w:val="Normal"/>
    <w:rsid w:val="000E5A2E"/>
    <w:pPr>
      <w:tabs>
        <w:tab w:val="left" w:pos="357"/>
      </w:tabs>
      <w:snapToGrid w:val="0"/>
      <w:spacing w:after="240"/>
      <w:ind w:left="357" w:hanging="357"/>
    </w:pPr>
    <w:rPr>
      <w:lang w:eastAsia="en-US"/>
    </w:rPr>
  </w:style>
  <w:style w:type="paragraph" w:customStyle="1" w:styleId="Normal6a">
    <w:name w:val="Normal6a"/>
    <w:basedOn w:val="Normal"/>
    <w:rsid w:val="000E5A2E"/>
    <w:pPr>
      <w:spacing w:after="120"/>
    </w:pPr>
  </w:style>
  <w:style w:type="paragraph" w:styleId="NormalWeb">
    <w:name w:val="Normal (Web)"/>
    <w:basedOn w:val="Normal"/>
    <w:uiPriority w:val="99"/>
    <w:unhideWhenUsed/>
    <w:rsid w:val="000E5A2E"/>
    <w:pPr>
      <w:widowControl/>
      <w:spacing w:before="100" w:beforeAutospacing="1" w:after="100" w:afterAutospacing="1"/>
    </w:pPr>
    <w:rPr>
      <w:szCs w:val="24"/>
    </w:rPr>
  </w:style>
  <w:style w:type="paragraph" w:styleId="Footer">
    <w:name w:val="footer"/>
    <w:basedOn w:val="Normal"/>
    <w:link w:val="FooterChar"/>
    <w:uiPriority w:val="99"/>
    <w:rsid w:val="000E5A2E"/>
    <w:pPr>
      <w:tabs>
        <w:tab w:val="center" w:pos="4513"/>
        <w:tab w:val="right" w:pos="9026"/>
      </w:tabs>
    </w:pPr>
  </w:style>
  <w:style w:type="character" w:customStyle="1" w:styleId="FooterChar">
    <w:name w:val="Footer Char"/>
    <w:basedOn w:val="DefaultParagraphFont"/>
    <w:link w:val="Footer"/>
    <w:uiPriority w:val="99"/>
    <w:rsid w:val="000E5A2E"/>
    <w:rPr>
      <w:sz w:val="24"/>
      <w:lang w:val="hr-HR"/>
    </w:rPr>
  </w:style>
  <w:style w:type="paragraph" w:customStyle="1" w:styleId="RollCallSubtitle">
    <w:name w:val="RollCallSubtitle"/>
    <w:basedOn w:val="Normal"/>
    <w:qFormat/>
    <w:rsid w:val="000E5A2E"/>
    <w:pPr>
      <w:snapToGrid w:val="0"/>
      <w:spacing w:after="240"/>
    </w:pPr>
    <w:rPr>
      <w:lang w:eastAsia="en-US"/>
    </w:rPr>
  </w:style>
  <w:style w:type="paragraph" w:customStyle="1" w:styleId="msonormal0">
    <w:name w:val="msonormal"/>
    <w:basedOn w:val="Normal"/>
    <w:rsid w:val="000E5A2E"/>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0E5A2E"/>
    <w:rPr>
      <w:rFonts w:ascii="Arial" w:hAnsi="Arial" w:cs="Arial"/>
      <w:b/>
      <w:sz w:val="24"/>
      <w:lang w:val="hr-HR"/>
    </w:rPr>
  </w:style>
  <w:style w:type="numbering" w:customStyle="1" w:styleId="NoList1">
    <w:name w:val="No List1"/>
    <w:next w:val="NoList"/>
    <w:uiPriority w:val="99"/>
    <w:semiHidden/>
    <w:unhideWhenUsed/>
    <w:rsid w:val="00AA43E9"/>
  </w:style>
  <w:style w:type="paragraph" w:customStyle="1" w:styleId="Title1">
    <w:name w:val="Title1"/>
    <w:basedOn w:val="Normal"/>
    <w:next w:val="Normal"/>
    <w:uiPriority w:val="10"/>
    <w:qFormat/>
    <w:rsid w:val="00AA43E9"/>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AA43E9"/>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AA43E9"/>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AA43E9"/>
    <w:rPr>
      <w:rFonts w:ascii="Arial" w:eastAsia="Times New Roman" w:hAnsi="Arial" w:cs="Arial"/>
      <w:sz w:val="24"/>
      <w:szCs w:val="24"/>
    </w:rPr>
  </w:style>
  <w:style w:type="character" w:styleId="Strong">
    <w:name w:val="Strong"/>
    <w:basedOn w:val="DefaultParagraphFont"/>
    <w:uiPriority w:val="22"/>
    <w:qFormat/>
    <w:rsid w:val="00AA43E9"/>
    <w:rPr>
      <w:b/>
      <w:bCs/>
    </w:rPr>
  </w:style>
  <w:style w:type="character" w:customStyle="1" w:styleId="Emphasis1">
    <w:name w:val="Emphasis1"/>
    <w:basedOn w:val="DefaultParagraphFont"/>
    <w:uiPriority w:val="20"/>
    <w:qFormat/>
    <w:rsid w:val="00AA43E9"/>
    <w:rPr>
      <w:rFonts w:ascii="Aptos" w:hAnsi="Aptos"/>
      <w:b/>
      <w:i/>
      <w:iCs/>
    </w:rPr>
  </w:style>
  <w:style w:type="paragraph" w:styleId="NoSpacing">
    <w:name w:val="No Spacing"/>
    <w:basedOn w:val="Normal"/>
    <w:uiPriority w:val="1"/>
    <w:qFormat/>
    <w:rsid w:val="00AA43E9"/>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AA43E9"/>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AA43E9"/>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AA43E9"/>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AA43E9"/>
    <w:rPr>
      <w:rFonts w:eastAsia="Aptos"/>
      <w:b/>
      <w:i/>
      <w:kern w:val="2"/>
      <w:sz w:val="24"/>
      <w:szCs w:val="22"/>
      <w:lang w:eastAsia="en-US"/>
      <w14:ligatures w14:val="standardContextual"/>
    </w:rPr>
  </w:style>
  <w:style w:type="character" w:customStyle="1" w:styleId="SubtleEmphasis1">
    <w:name w:val="Subtle Emphasis1"/>
    <w:uiPriority w:val="19"/>
    <w:qFormat/>
    <w:rsid w:val="00AA43E9"/>
    <w:rPr>
      <w:i/>
      <w:color w:val="5A5A5A"/>
    </w:rPr>
  </w:style>
  <w:style w:type="character" w:styleId="IntenseEmphasis">
    <w:name w:val="Intense Emphasis"/>
    <w:basedOn w:val="DefaultParagraphFont"/>
    <w:uiPriority w:val="21"/>
    <w:qFormat/>
    <w:rsid w:val="00AA43E9"/>
    <w:rPr>
      <w:b/>
      <w:i/>
      <w:sz w:val="24"/>
      <w:szCs w:val="24"/>
      <w:u w:val="single"/>
    </w:rPr>
  </w:style>
  <w:style w:type="character" w:styleId="SubtleReference">
    <w:name w:val="Subtle Reference"/>
    <w:basedOn w:val="DefaultParagraphFont"/>
    <w:uiPriority w:val="31"/>
    <w:qFormat/>
    <w:rsid w:val="00AA43E9"/>
    <w:rPr>
      <w:sz w:val="24"/>
      <w:szCs w:val="24"/>
      <w:u w:val="single"/>
    </w:rPr>
  </w:style>
  <w:style w:type="character" w:styleId="IntenseReference">
    <w:name w:val="Intense Reference"/>
    <w:basedOn w:val="DefaultParagraphFont"/>
    <w:uiPriority w:val="32"/>
    <w:qFormat/>
    <w:rsid w:val="00AA43E9"/>
    <w:rPr>
      <w:b/>
      <w:sz w:val="24"/>
      <w:u w:val="single"/>
    </w:rPr>
  </w:style>
  <w:style w:type="character" w:customStyle="1" w:styleId="BookTitle1">
    <w:name w:val="Book Title1"/>
    <w:basedOn w:val="DefaultParagraphFont"/>
    <w:uiPriority w:val="33"/>
    <w:qFormat/>
    <w:rsid w:val="00AA43E9"/>
    <w:rPr>
      <w:rFonts w:ascii="Aptos Display" w:eastAsia="Times New Roman" w:hAnsi="Aptos Display"/>
      <w:b/>
      <w:i/>
      <w:sz w:val="24"/>
      <w:szCs w:val="24"/>
    </w:rPr>
  </w:style>
  <w:style w:type="character" w:customStyle="1" w:styleId="Hyperlink1">
    <w:name w:val="Hyperlink1"/>
    <w:basedOn w:val="DefaultParagraphFont"/>
    <w:uiPriority w:val="99"/>
    <w:rsid w:val="00AA43E9"/>
    <w:rPr>
      <w:color w:val="0563C1"/>
      <w:u w:val="single"/>
    </w:rPr>
  </w:style>
  <w:style w:type="character" w:styleId="UnresolvedMention">
    <w:name w:val="Unresolved Mention"/>
    <w:basedOn w:val="DefaultParagraphFont"/>
    <w:uiPriority w:val="99"/>
    <w:semiHidden/>
    <w:unhideWhenUsed/>
    <w:rsid w:val="00AA43E9"/>
    <w:rPr>
      <w:color w:val="605E5C"/>
      <w:shd w:val="clear" w:color="auto" w:fill="E1DFDD"/>
    </w:rPr>
  </w:style>
  <w:style w:type="paragraph" w:styleId="Title">
    <w:name w:val="Title"/>
    <w:basedOn w:val="Normal"/>
    <w:next w:val="Normal"/>
    <w:link w:val="TitleChar"/>
    <w:uiPriority w:val="10"/>
    <w:qFormat/>
    <w:rsid w:val="00AA43E9"/>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AA43E9"/>
    <w:rPr>
      <w:rFonts w:asciiTheme="majorHAnsi" w:eastAsiaTheme="majorEastAsia" w:hAnsiTheme="majorHAnsi" w:cstheme="majorBidi"/>
      <w:spacing w:val="-10"/>
      <w:kern w:val="28"/>
      <w:sz w:val="56"/>
      <w:szCs w:val="56"/>
      <w:lang w:val="hr-HR"/>
    </w:rPr>
  </w:style>
  <w:style w:type="paragraph" w:styleId="Subtitle">
    <w:name w:val="Subtitle"/>
    <w:basedOn w:val="Normal"/>
    <w:next w:val="Normal"/>
    <w:link w:val="SubtitleChar"/>
    <w:uiPriority w:val="11"/>
    <w:qFormat/>
    <w:rsid w:val="00AA43E9"/>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AA43E9"/>
    <w:rPr>
      <w:rFonts w:asciiTheme="minorHAnsi" w:eastAsiaTheme="minorEastAsia" w:hAnsiTheme="minorHAnsi" w:cstheme="minorBidi"/>
      <w:color w:val="5A5A5A" w:themeColor="text1" w:themeTint="A5"/>
      <w:spacing w:val="15"/>
      <w:sz w:val="22"/>
      <w:szCs w:val="22"/>
      <w:lang w:val="hr-HR"/>
    </w:rPr>
  </w:style>
  <w:style w:type="character" w:styleId="Emphasis">
    <w:name w:val="Emphasis"/>
    <w:basedOn w:val="DefaultParagraphFont"/>
    <w:qFormat/>
    <w:rsid w:val="00AA43E9"/>
    <w:rPr>
      <w:i/>
      <w:iCs/>
    </w:rPr>
  </w:style>
  <w:style w:type="character" w:styleId="SubtleEmphasis">
    <w:name w:val="Subtle Emphasis"/>
    <w:basedOn w:val="DefaultParagraphFont"/>
    <w:uiPriority w:val="19"/>
    <w:qFormat/>
    <w:rsid w:val="00AA43E9"/>
    <w:rPr>
      <w:i/>
      <w:iCs/>
      <w:color w:val="404040" w:themeColor="text1" w:themeTint="BF"/>
    </w:rPr>
  </w:style>
  <w:style w:type="character" w:styleId="BookTitle">
    <w:name w:val="Book Title"/>
    <w:basedOn w:val="DefaultParagraphFont"/>
    <w:uiPriority w:val="33"/>
    <w:qFormat/>
    <w:rsid w:val="00AA43E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hr/"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HR.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EN.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HR/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hr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JELIC~1\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D5843-F9D3-421B-9D6B-E93E5CF6B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0</TotalTime>
  <Pages>165</Pages>
  <Words>43902</Words>
  <Characters>260416</Characters>
  <Application>Microsoft Office Word</Application>
  <DocSecurity>0</DocSecurity>
  <Lines>2170</Lines>
  <Paragraphs>607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2025-12-05T11:51:00Z</dcterms:created>
  <dcterms:modified xsi:type="dcterms:W3CDTF">2025-12-05T11:51:00Z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P10_TA(2025)0088_</vt:lpwstr>
  </property>
  <property fmtid="{D5CDD505-2E9C-101B-9397-08002B2CF9AE}" pid="4" name="&lt;Type&gt;">
    <vt:lpwstr>RR</vt:lpwstr>
  </property>
</Properties>
</file>