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588B" w14:paraId="1C86C2C0" w14:textId="77777777" w:rsidTr="0010095E">
        <w:trPr>
          <w:trHeight w:hRule="exact" w:val="1418"/>
        </w:trPr>
        <w:tc>
          <w:tcPr>
            <w:tcW w:w="6804" w:type="dxa"/>
            <w:shd w:val="clear" w:color="auto" w:fill="auto"/>
            <w:vAlign w:val="center"/>
          </w:tcPr>
          <w:p w14:paraId="177AC5A1" w14:textId="77777777" w:rsidR="00751A4A" w:rsidRPr="006F588B" w:rsidRDefault="004439CF" w:rsidP="0010095E">
            <w:pPr>
              <w:pStyle w:val="EPName"/>
            </w:pPr>
            <w:r w:rsidRPr="006F588B">
              <w:t>Europaparlamentet</w:t>
            </w:r>
          </w:p>
          <w:p w14:paraId="5BFC6710" w14:textId="77777777" w:rsidR="00751A4A" w:rsidRPr="006F588B" w:rsidRDefault="005F1B17" w:rsidP="005F1B17">
            <w:pPr>
              <w:pStyle w:val="EPTerm"/>
              <w:rPr>
                <w:rStyle w:val="HideTWBExt"/>
                <w:noProof w:val="0"/>
                <w:vanish w:val="0"/>
                <w:color w:val="auto"/>
              </w:rPr>
            </w:pPr>
            <w:r w:rsidRPr="006F588B">
              <w:t>2024</w:t>
            </w:r>
            <w:r w:rsidR="00817416" w:rsidRPr="006F588B">
              <w:t>-202</w:t>
            </w:r>
            <w:r w:rsidRPr="006F588B">
              <w:t>9</w:t>
            </w:r>
          </w:p>
        </w:tc>
        <w:tc>
          <w:tcPr>
            <w:tcW w:w="2268" w:type="dxa"/>
            <w:shd w:val="clear" w:color="auto" w:fill="auto"/>
          </w:tcPr>
          <w:p w14:paraId="7D0AA5C7" w14:textId="77777777" w:rsidR="00751A4A" w:rsidRPr="006F588B" w:rsidRDefault="00187494" w:rsidP="0010095E">
            <w:pPr>
              <w:pStyle w:val="EPLogo"/>
            </w:pPr>
            <w:r w:rsidRPr="006F588B">
              <w:rPr>
                <w:noProof/>
                <w:lang w:val="en-GB"/>
              </w:rPr>
              <w:drawing>
                <wp:inline distT="0" distB="0" distL="0" distR="0" wp14:anchorId="5A7E4CC8" wp14:editId="3A546A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E9F22C" w14:textId="77777777" w:rsidR="00D058B8" w:rsidRPr="006F588B" w:rsidRDefault="00D058B8" w:rsidP="004C5D52">
      <w:pPr>
        <w:pStyle w:val="LineTop"/>
      </w:pPr>
    </w:p>
    <w:p w14:paraId="41FC8B8E" w14:textId="77777777" w:rsidR="00680577" w:rsidRPr="006F588B" w:rsidRDefault="004439CF" w:rsidP="00680577">
      <w:pPr>
        <w:pStyle w:val="EPBodyTA1"/>
      </w:pPr>
      <w:r w:rsidRPr="006F588B">
        <w:t>ANTAGNA TEXTER</w:t>
      </w:r>
    </w:p>
    <w:p w14:paraId="10828CF2" w14:textId="77777777" w:rsidR="00D058B8" w:rsidRPr="006F588B" w:rsidRDefault="00D058B8" w:rsidP="00D058B8">
      <w:pPr>
        <w:pStyle w:val="LineBottom"/>
      </w:pPr>
    </w:p>
    <w:p w14:paraId="7B65E8E4" w14:textId="77777777" w:rsidR="004439CF" w:rsidRPr="006F588B" w:rsidRDefault="004439CF" w:rsidP="004439CF">
      <w:pPr>
        <w:pStyle w:val="ATHeading1"/>
      </w:pPr>
      <w:bookmarkStart w:id="0" w:name="TANumber"/>
      <w:r w:rsidRPr="006F588B">
        <w:t>P10_TA(2025)</w:t>
      </w:r>
      <w:bookmarkEnd w:id="0"/>
      <w:r w:rsidR="00956A1D" w:rsidRPr="006F588B">
        <w:t>00</w:t>
      </w:r>
      <w:r w:rsidR="00956A1D">
        <w:t>88</w:t>
      </w:r>
    </w:p>
    <w:p w14:paraId="0FA46FE3" w14:textId="77777777" w:rsidR="004439CF" w:rsidRDefault="004439CF" w:rsidP="004439CF">
      <w:pPr>
        <w:pStyle w:val="ATHeading2"/>
      </w:pPr>
      <w:bookmarkStart w:id="1" w:name="title"/>
      <w:r w:rsidRPr="006F588B">
        <w:t>Ansvarsfrihet 2023: Byråer</w:t>
      </w:r>
      <w:bookmarkEnd w:id="1"/>
    </w:p>
    <w:p w14:paraId="55586565" w14:textId="0C072532" w:rsidR="005375B7" w:rsidRPr="005375B7" w:rsidRDefault="005375B7" w:rsidP="005375B7">
      <w:pPr>
        <w:pStyle w:val="ATHeading3"/>
      </w:pPr>
      <w:r w:rsidRPr="005375B7">
        <w:t>1. Europaparlamentets beslut av den 7 maj 2025 om ansvarsfrihet för genomförandet av budgeten för Europeiska unionens byrå för samarbete mellan energitillsynsmyndigheter för budgetåret 2023 (2024/2030(DEC))</w:t>
      </w:r>
    </w:p>
    <w:p w14:paraId="3B36BDDE" w14:textId="2E2292A5" w:rsidR="005375B7" w:rsidRPr="005375B7" w:rsidRDefault="005375B7" w:rsidP="005375B7">
      <w:pPr>
        <w:spacing w:before="480" w:after="240"/>
        <w:rPr>
          <w:i/>
          <w:kern w:val="2"/>
          <w14:ligatures w14:val="standardContextual"/>
        </w:rPr>
      </w:pPr>
      <w:r>
        <w:rPr>
          <w:i/>
          <w:kern w:val="2"/>
          <w14:ligatures w14:val="standardContextual"/>
        </w:rPr>
        <w:t>Europaparlamentet fattar detta beslut</w:t>
      </w:r>
    </w:p>
    <w:p w14:paraId="3E1EAFE3" w14:textId="087A954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byrå för samarbete mellan energitillsynsmyndigheter för budgetåret 2023,</w:t>
      </w:r>
    </w:p>
    <w:p w14:paraId="3A4E60D2" w14:textId="4B07131A"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
      </w:r>
      <w:r w:rsidRPr="005375B7">
        <w:rPr>
          <w:kern w:val="2"/>
          <w14:ligatures w14:val="standardContextual"/>
        </w:rPr>
        <w:t>,</w:t>
      </w:r>
    </w:p>
    <w:p w14:paraId="6BE52B75" w14:textId="38D76A5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
      </w:r>
      <w:r w:rsidRPr="005375B7">
        <w:rPr>
          <w:kern w:val="2"/>
          <w14:ligatures w14:val="standardContextual"/>
        </w:rPr>
        <w:t>, som avgetts av revisionsrätten för budgetåret 2023 i enlighet med artikel 287 i fördraget om Europeiska unionens funktionssätt,</w:t>
      </w:r>
    </w:p>
    <w:p w14:paraId="51C1192B" w14:textId="1664B77D"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77EF7596" w14:textId="1AF3E5EE"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387EFC12" w14:textId="4042864A"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
      </w:r>
      <w:r w:rsidRPr="005375B7">
        <w:rPr>
          <w:kern w:val="2"/>
          <w14:ligatures w14:val="standardContextual"/>
        </w:rPr>
        <w:t>, särskilt artikel 70,</w:t>
      </w:r>
    </w:p>
    <w:p w14:paraId="7A990CB0" w14:textId="09370CD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4"/>
      </w:r>
      <w:r w:rsidRPr="005375B7">
        <w:rPr>
          <w:kern w:val="2"/>
          <w14:ligatures w14:val="standardContextual"/>
        </w:rPr>
        <w:t>, särskilt artikel 70,</w:t>
      </w:r>
    </w:p>
    <w:p w14:paraId="5C88A715" w14:textId="5806316A"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Europaparlamentets och rådets förordning (EU) 2019/942 av den 5 juni 2019 om inrättande av Europeiska unionens byrå för samarbete mellan energitillsynsmyndigheter</w:t>
      </w:r>
      <w:r w:rsidRPr="005375B7">
        <w:rPr>
          <w:kern w:val="2"/>
          <w:vertAlign w:val="superscript"/>
          <w14:ligatures w14:val="standardContextual"/>
        </w:rPr>
        <w:footnoteReference w:id="5"/>
      </w:r>
      <w:r w:rsidRPr="005375B7">
        <w:rPr>
          <w:kern w:val="2"/>
          <w14:ligatures w14:val="standardContextual"/>
        </w:rPr>
        <w:t>, särskilt artikel 35,</w:t>
      </w:r>
    </w:p>
    <w:p w14:paraId="017EC73F" w14:textId="79224E7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6"/>
      </w:r>
      <w:r w:rsidRPr="005375B7">
        <w:rPr>
          <w:kern w:val="2"/>
          <w14:ligatures w14:val="standardContextual"/>
        </w:rPr>
        <w:t>, särskilt artikel 105,</w:t>
      </w:r>
    </w:p>
    <w:p w14:paraId="77AE5D9A" w14:textId="3F5C6DCE"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7749D31B" w14:textId="4718435F"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6634A96B" w14:textId="32FDB8C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0D545C65"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direktören för Europeiska unionens byrå för samarbete mellan energitillsynsmyndigheter ansvarsfrihet för genomförandet av byråns budget för budgetåret 2023.</w:t>
      </w:r>
    </w:p>
    <w:p w14:paraId="78693F1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78A6629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direktören för Europeiska unionens byrå för samarbete mellan energitillsynsmyndigheter,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22214A32" w14:textId="77777777" w:rsidR="005375B7" w:rsidRPr="005375B7" w:rsidRDefault="005375B7" w:rsidP="005375B7">
      <w:pPr>
        <w:tabs>
          <w:tab w:val="left" w:pos="5386"/>
        </w:tabs>
        <w:ind w:left="567" w:hanging="567"/>
        <w:rPr>
          <w:kern w:val="2"/>
          <w14:ligatures w14:val="standardContextual"/>
        </w:rPr>
      </w:pPr>
    </w:p>
    <w:p w14:paraId="72282612"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09496C71"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60D1CDBE" w14:textId="5DD03E73" w:rsidR="005375B7" w:rsidRPr="005375B7" w:rsidRDefault="005375B7" w:rsidP="005375B7">
      <w:pPr>
        <w:pStyle w:val="ATHeading3"/>
      </w:pPr>
      <w:r w:rsidRPr="005375B7">
        <w:lastRenderedPageBreak/>
        <w:t>2. Europaparlamentets beslut av den 7 maj 2025 om avslutande av räkenskaperna för Europeiska unionens byrå för samarbete mellan energitillsynsmyndigheter för budgetåret 2023 (2024/2030(DEC))</w:t>
      </w:r>
    </w:p>
    <w:p w14:paraId="6BCECFAE" w14:textId="33A10C3C" w:rsidR="005375B7" w:rsidRPr="005375B7" w:rsidRDefault="005375B7" w:rsidP="005375B7">
      <w:pPr>
        <w:spacing w:before="480" w:after="240"/>
        <w:rPr>
          <w:kern w:val="2"/>
          <w14:ligatures w14:val="standardContextual"/>
        </w:rPr>
      </w:pPr>
      <w:r>
        <w:rPr>
          <w:i/>
          <w:kern w:val="2"/>
          <w14:ligatures w14:val="standardContextual"/>
        </w:rPr>
        <w:t>Europaparlamentet fattar detta beslut</w:t>
      </w:r>
    </w:p>
    <w:p w14:paraId="7802485C" w14:textId="4DCC1545"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byrå för samarbete mellan energitillsynsmyndigheter för budgetåret 2023,</w:t>
      </w:r>
    </w:p>
    <w:p w14:paraId="0A9EDEE5" w14:textId="50F7D1C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7"/>
      </w:r>
      <w:r w:rsidRPr="005375B7">
        <w:rPr>
          <w:kern w:val="2"/>
          <w14:ligatures w14:val="standardContextual"/>
        </w:rPr>
        <w:t>,</w:t>
      </w:r>
    </w:p>
    <w:p w14:paraId="0BD9B935" w14:textId="21C4401A"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8"/>
      </w:r>
      <w:r w:rsidRPr="005375B7">
        <w:rPr>
          <w:kern w:val="2"/>
          <w14:ligatures w14:val="standardContextual"/>
        </w:rPr>
        <w:t>, som avgetts av revisionsrätten för budgetåret 2023 i enlighet med artikel 287 i fördraget om Europeiska unionens funktionssätt,</w:t>
      </w:r>
    </w:p>
    <w:p w14:paraId="3AA2DAB4" w14:textId="4224DFB6"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14AD0AED" w14:textId="7681BC56"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4D88F047" w14:textId="614AAC78"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9"/>
      </w:r>
      <w:r w:rsidRPr="005375B7">
        <w:rPr>
          <w:kern w:val="2"/>
          <w14:ligatures w14:val="standardContextual"/>
        </w:rPr>
        <w:t>, särskilt artikel 70,</w:t>
      </w:r>
    </w:p>
    <w:p w14:paraId="1976A6E4" w14:textId="6468E004"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0"/>
      </w:r>
      <w:r w:rsidRPr="005375B7">
        <w:rPr>
          <w:kern w:val="2"/>
          <w14:ligatures w14:val="standardContextual"/>
        </w:rPr>
        <w:t>, särskilt artikel 70,</w:t>
      </w:r>
    </w:p>
    <w:p w14:paraId="77ED3D29" w14:textId="55316E7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2019/942 av den 5 juni 2019 om inrättande av Europeiska unionens byrå för samarbete mellan energitillsynsmyndigheter</w:t>
      </w:r>
      <w:r w:rsidRPr="005375B7">
        <w:rPr>
          <w:kern w:val="2"/>
          <w:vertAlign w:val="superscript"/>
          <w14:ligatures w14:val="standardContextual"/>
        </w:rPr>
        <w:footnoteReference w:id="11"/>
      </w:r>
      <w:r w:rsidRPr="005375B7">
        <w:rPr>
          <w:kern w:val="2"/>
          <w14:ligatures w14:val="standardContextual"/>
        </w:rPr>
        <w:t>, särskilt artikel 35,</w:t>
      </w:r>
    </w:p>
    <w:p w14:paraId="635040E8" w14:textId="03FE81E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2"/>
      </w:r>
      <w:r w:rsidRPr="005375B7">
        <w:rPr>
          <w:kern w:val="2"/>
          <w14:ligatures w14:val="standardContextual"/>
        </w:rPr>
        <w:t>, särskilt artikel 105,</w:t>
      </w:r>
    </w:p>
    <w:p w14:paraId="18D6FD98" w14:textId="57885BE7"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0ACB669F" w14:textId="51C0AD1B"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382C904B" w14:textId="741FA54B"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20A85F5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unionens byrå för samarbete mellan energitillsynsmyndigheter för budgetåret 2023.</w:t>
      </w:r>
    </w:p>
    <w:p w14:paraId="765F75FB"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direktören för Europeiska unionens byrå för samarbete mellan energitillsynsmyndigheter,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473E2069" w14:textId="77777777" w:rsidR="005375B7" w:rsidRPr="005375B7" w:rsidRDefault="005375B7" w:rsidP="005375B7">
      <w:pPr>
        <w:tabs>
          <w:tab w:val="left" w:pos="5386"/>
        </w:tabs>
        <w:ind w:left="567" w:hanging="567"/>
        <w:rPr>
          <w:i/>
          <w:kern w:val="2"/>
          <w14:ligatures w14:val="standardContextual"/>
        </w:rPr>
      </w:pPr>
    </w:p>
    <w:p w14:paraId="356E2A4C" w14:textId="77777777" w:rsidR="005375B7" w:rsidRPr="005375B7" w:rsidRDefault="005375B7" w:rsidP="005375B7">
      <w:pPr>
        <w:tabs>
          <w:tab w:val="left" w:pos="5386"/>
        </w:tabs>
        <w:ind w:left="567" w:hanging="567"/>
        <w:rPr>
          <w:i/>
          <w:kern w:val="2"/>
          <w14:ligatures w14:val="standardContextual"/>
        </w:rPr>
      </w:pPr>
    </w:p>
    <w:p w14:paraId="5E596A64" w14:textId="77777777" w:rsidR="005375B7" w:rsidRPr="005375B7" w:rsidRDefault="005375B7" w:rsidP="005375B7">
      <w:pPr>
        <w:tabs>
          <w:tab w:val="left" w:pos="5386"/>
        </w:tabs>
        <w:ind w:left="567" w:hanging="567"/>
        <w:rPr>
          <w:i/>
          <w:kern w:val="2"/>
          <w14:ligatures w14:val="standardContextual"/>
        </w:rPr>
      </w:pPr>
    </w:p>
    <w:p w14:paraId="275374CB" w14:textId="77777777" w:rsidR="005375B7" w:rsidRPr="005375B7" w:rsidRDefault="005375B7" w:rsidP="005375B7">
      <w:pPr>
        <w:tabs>
          <w:tab w:val="left" w:pos="5386"/>
        </w:tabs>
        <w:ind w:left="567" w:hanging="567"/>
        <w:rPr>
          <w:kern w:val="2"/>
          <w14:ligatures w14:val="standardContextual"/>
        </w:rPr>
      </w:pPr>
    </w:p>
    <w:p w14:paraId="47B449E4"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6A8387DE"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530039E5" w14:textId="6F627733" w:rsidR="005375B7" w:rsidRPr="005375B7" w:rsidRDefault="005375B7" w:rsidP="005375B7">
      <w:pPr>
        <w:pStyle w:val="ATHeading3"/>
      </w:pPr>
      <w:r w:rsidRPr="005375B7">
        <w:lastRenderedPageBreak/>
        <w:t>3. Europaparlamentets beslut av den 7 maj 2025 om ansvarsfrihet för genomförandet av budgeten för Byrån för stöd till Berec för budgetåret 2023 (2024/2030(DEC))</w:t>
      </w:r>
    </w:p>
    <w:p w14:paraId="4AB9F5C2" w14:textId="0F087709" w:rsidR="005375B7" w:rsidRPr="005375B7" w:rsidRDefault="005375B7" w:rsidP="005375B7">
      <w:pPr>
        <w:spacing w:before="480" w:after="240"/>
        <w:rPr>
          <w:iCs/>
          <w:kern w:val="2"/>
          <w14:ligatures w14:val="standardContextual"/>
        </w:rPr>
      </w:pPr>
      <w:r>
        <w:rPr>
          <w:iCs/>
          <w:kern w:val="2"/>
          <w14:ligatures w14:val="standardContextual"/>
        </w:rPr>
        <w:t>EUROPAPARLAMENTET FATTAR DETTA BESLUT</w:t>
      </w:r>
    </w:p>
    <w:p w14:paraId="5B15FF12" w14:textId="30F1601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Byrån för stöd till Berec för budgetåret 2023,</w:t>
      </w:r>
    </w:p>
    <w:p w14:paraId="75E74F72" w14:textId="364624F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3"/>
      </w:r>
      <w:r w:rsidRPr="005375B7">
        <w:rPr>
          <w:kern w:val="2"/>
          <w14:ligatures w14:val="standardContextual"/>
        </w:rPr>
        <w:t>,</w:t>
      </w:r>
    </w:p>
    <w:p w14:paraId="45DFB68F" w14:textId="309576E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4"/>
      </w:r>
      <w:r w:rsidRPr="005375B7">
        <w:rPr>
          <w:kern w:val="2"/>
          <w14:ligatures w14:val="standardContextual"/>
        </w:rPr>
        <w:t>, som avgetts av revisionsrätten för budgetåret 2023 i enlighet med artikel 287 i fördraget om Europeiska unionens funktionssätt,</w:t>
      </w:r>
    </w:p>
    <w:p w14:paraId="326B6664" w14:textId="0939140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5D43C705" w14:textId="238BBF5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0C36E99B" w14:textId="46904500"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5"/>
      </w:r>
      <w:r w:rsidRPr="005375B7">
        <w:rPr>
          <w:kern w:val="2"/>
          <w14:ligatures w14:val="standardContextual"/>
        </w:rPr>
        <w:t>, särskilt artikel 70,</w:t>
      </w:r>
    </w:p>
    <w:p w14:paraId="31AC8A2B" w14:textId="3EBD6F5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6"/>
      </w:r>
      <w:r w:rsidRPr="005375B7">
        <w:rPr>
          <w:kern w:val="2"/>
          <w14:ligatures w14:val="standardContextual"/>
        </w:rPr>
        <w:t>, särskilt artikel 70,</w:t>
      </w:r>
    </w:p>
    <w:p w14:paraId="433D6990" w14:textId="24F2B66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2018/1971 av den 11 december 2018 om inrättande av Organet för Europeiska regleringsmyndigheter för elektronisk kommunikation (Berec) och Byrån för stöd till Berec (Berecbyrån), om ändring av förordning (EU) 2015/2120 och om upphävande av förordning (EG) nr 1211/2009</w:t>
      </w:r>
      <w:r w:rsidRPr="005375B7">
        <w:rPr>
          <w:kern w:val="2"/>
          <w:vertAlign w:val="superscript"/>
          <w14:ligatures w14:val="standardContextual"/>
        </w:rPr>
        <w:footnoteReference w:id="17"/>
      </w:r>
      <w:r w:rsidRPr="005375B7">
        <w:rPr>
          <w:kern w:val="2"/>
          <w14:ligatures w14:val="standardContextual"/>
        </w:rPr>
        <w:t>, särskilt artikel 28,</w:t>
      </w:r>
    </w:p>
    <w:p w14:paraId="2607A044" w14:textId="2C65C177"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8"/>
      </w:r>
      <w:r w:rsidRPr="005375B7">
        <w:rPr>
          <w:kern w:val="2"/>
          <w14:ligatures w14:val="standardContextual"/>
        </w:rPr>
        <w:t>, särskilt artikel 105,</w:t>
      </w:r>
    </w:p>
    <w:p w14:paraId="0D9C1A36" w14:textId="7D23651F"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38A6445D" w14:textId="4CC8605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5D9966D8" w14:textId="0869951E"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610B5C1C"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direktören för Byrån för stöd till Berec ansvarsfrihet för genomförandet av byråns budget för budgetåret 2023.</w:t>
      </w:r>
    </w:p>
    <w:p w14:paraId="0BD990B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34927216"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direktören för Byrån för stöd till Berec,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712F7E25"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46074E92" w14:textId="651EF353" w:rsidR="005375B7" w:rsidRPr="005375B7" w:rsidRDefault="005375B7" w:rsidP="005375B7">
      <w:pPr>
        <w:pStyle w:val="ATHeading3"/>
      </w:pPr>
      <w:r w:rsidRPr="005375B7">
        <w:lastRenderedPageBreak/>
        <w:t>4. Europaparlamentets beslut av den 7 maj 2025 om avslutande av räkenskaperna för Byrån för stöd till Berec för budgetåret 2023 (2024/2030(DEC))</w:t>
      </w:r>
    </w:p>
    <w:p w14:paraId="215E1E11" w14:textId="5A7288BB" w:rsidR="005375B7" w:rsidRPr="005375B7" w:rsidRDefault="005375B7" w:rsidP="005375B7">
      <w:pPr>
        <w:spacing w:before="480" w:after="240"/>
        <w:rPr>
          <w:i/>
          <w:kern w:val="2"/>
          <w14:ligatures w14:val="standardContextual"/>
        </w:rPr>
      </w:pPr>
      <w:r>
        <w:rPr>
          <w:i/>
          <w:kern w:val="2"/>
          <w14:ligatures w14:val="standardContextual"/>
        </w:rPr>
        <w:t>Europaparlamentet fattar detta beslut</w:t>
      </w:r>
    </w:p>
    <w:p w14:paraId="32B442A6" w14:textId="389EA52D"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Byrån för stöd till Berec för budgetåret 2023,</w:t>
      </w:r>
    </w:p>
    <w:p w14:paraId="486DB74A" w14:textId="05B60F8F"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9"/>
      </w:r>
      <w:r w:rsidRPr="005375B7">
        <w:rPr>
          <w:kern w:val="2"/>
          <w14:ligatures w14:val="standardContextual"/>
        </w:rPr>
        <w:t>,</w:t>
      </w:r>
    </w:p>
    <w:p w14:paraId="341D7BAF" w14:textId="1C00DBB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0"/>
      </w:r>
      <w:r w:rsidRPr="005375B7">
        <w:rPr>
          <w:kern w:val="2"/>
          <w14:ligatures w14:val="standardContextual"/>
        </w:rPr>
        <w:t>, som avgetts av revisionsrätten för budgetåret 2023 i enlighet med artikel 287 i fördraget om Europeiska unionens funktionssätt,</w:t>
      </w:r>
    </w:p>
    <w:p w14:paraId="6A1EAE55" w14:textId="4CD338C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3612D0D7" w14:textId="75EE341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0AE29968" w14:textId="3DEF1586"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1"/>
      </w:r>
      <w:r w:rsidRPr="005375B7">
        <w:rPr>
          <w:kern w:val="2"/>
          <w14:ligatures w14:val="standardContextual"/>
        </w:rPr>
        <w:t>, särskilt artikel 70,</w:t>
      </w:r>
    </w:p>
    <w:p w14:paraId="3223E155" w14:textId="248776D0"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2"/>
      </w:r>
      <w:r w:rsidRPr="005375B7">
        <w:rPr>
          <w:kern w:val="2"/>
          <w14:ligatures w14:val="standardContextual"/>
        </w:rPr>
        <w:t>, särskilt artikel 70,</w:t>
      </w:r>
    </w:p>
    <w:p w14:paraId="25883659" w14:textId="3BD92908"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2018/1971 av den 11 december 2018 om inrättande av Organet för Europeiska regleringsmyndigheter för elektronisk kommunikation (Berec) och Byrån för stöd till Berec (Berecbyrån), om ändring av förordning (EU) 2015/2120 och om upphävande av förordning (EG) nr 1211/2009</w:t>
      </w:r>
      <w:r w:rsidRPr="005375B7">
        <w:rPr>
          <w:kern w:val="2"/>
          <w:vertAlign w:val="superscript"/>
          <w14:ligatures w14:val="standardContextual"/>
        </w:rPr>
        <w:footnoteReference w:id="23"/>
      </w:r>
      <w:r w:rsidRPr="005375B7">
        <w:rPr>
          <w:kern w:val="2"/>
          <w14:ligatures w14:val="standardContextual"/>
        </w:rPr>
        <w:t>, särskilt artikel 28,</w:t>
      </w:r>
    </w:p>
    <w:p w14:paraId="7599BE35" w14:textId="6D2DF9EB"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24"/>
      </w:r>
      <w:r w:rsidRPr="005375B7">
        <w:rPr>
          <w:kern w:val="2"/>
          <w14:ligatures w14:val="standardContextual"/>
        </w:rPr>
        <w:t>, särskilt artikel 105,</w:t>
      </w:r>
    </w:p>
    <w:p w14:paraId="2622FB34" w14:textId="122932E6"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270BCEC9" w14:textId="751FCDB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0B08C725" w14:textId="6647682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6ACC8CE9"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Byrån för stöd till Berec för budgetåret 2023.</w:t>
      </w:r>
    </w:p>
    <w:p w14:paraId="4446C8D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direktören för Byrån för stöd till Berec,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6A94E129"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6C8ECD0A" w14:textId="6C9BC00B" w:rsidR="005375B7" w:rsidRPr="005375B7" w:rsidRDefault="005375B7" w:rsidP="005375B7">
      <w:pPr>
        <w:pStyle w:val="ATHeading3"/>
      </w:pPr>
      <w:r w:rsidRPr="005375B7">
        <w:lastRenderedPageBreak/>
        <w:t>5. Europaparlamentets beslut av den 7 maj 2025 om ansvarsfrihet för genomförandet av budgeten för Översättningscentrum för Europeiska unionens organ för budgetåret 2023 (2024/2030(DEC))</w:t>
      </w:r>
    </w:p>
    <w:p w14:paraId="3D5CEF18" w14:textId="17692676" w:rsidR="005375B7" w:rsidRPr="005375B7" w:rsidRDefault="005375B7" w:rsidP="005375B7">
      <w:pPr>
        <w:spacing w:before="480" w:after="240"/>
        <w:rPr>
          <w:i/>
          <w:kern w:val="2"/>
          <w14:ligatures w14:val="standardContextual"/>
        </w:rPr>
      </w:pPr>
      <w:r>
        <w:rPr>
          <w:i/>
          <w:kern w:val="2"/>
          <w14:ligatures w14:val="standardContextual"/>
        </w:rPr>
        <w:t>Europaparlamentet fattar detta beslut</w:t>
      </w:r>
    </w:p>
    <w:p w14:paraId="314D4C4D" w14:textId="3718EA16"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Översättningscentrum för Europeiska unionens organ för budgetåret 2023,</w:t>
      </w:r>
    </w:p>
    <w:p w14:paraId="7D7504FA" w14:textId="1394BFA6"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5"/>
      </w:r>
      <w:r w:rsidRPr="005375B7">
        <w:rPr>
          <w:kern w:val="2"/>
          <w14:ligatures w14:val="standardContextual"/>
        </w:rPr>
        <w:t>,</w:t>
      </w:r>
    </w:p>
    <w:p w14:paraId="0D4CF750" w14:textId="3D78C7F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6"/>
      </w:r>
      <w:r w:rsidRPr="005375B7">
        <w:rPr>
          <w:kern w:val="2"/>
          <w14:ligatures w14:val="standardContextual"/>
        </w:rPr>
        <w:t>, som avgetts av revisionsrätten för budgetåret 2023 i enlighet med artikel 287 i fördraget om Europeiska unionens funktionssätt,</w:t>
      </w:r>
    </w:p>
    <w:p w14:paraId="5CB881B7" w14:textId="2A8614E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centrumet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2D553887" w14:textId="32832A95"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39664DDD" w14:textId="03B3D9A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7"/>
      </w:r>
      <w:r w:rsidRPr="005375B7">
        <w:rPr>
          <w:kern w:val="2"/>
          <w14:ligatures w14:val="standardContextual"/>
        </w:rPr>
        <w:t>, särskilt artikel 70,</w:t>
      </w:r>
    </w:p>
    <w:p w14:paraId="24C5E151" w14:textId="0B259A28"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8"/>
      </w:r>
      <w:r w:rsidRPr="005375B7">
        <w:rPr>
          <w:kern w:val="2"/>
          <w14:ligatures w14:val="standardContextual"/>
        </w:rPr>
        <w:t>, särskilt artikel 70,</w:t>
      </w:r>
    </w:p>
    <w:p w14:paraId="5661A595" w14:textId="213969DD"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rådets förordning (EG) nr 2965/94 av den 28 november 1994 om upprättande av ett översättningscentrum för Europeiska unionens organ</w:t>
      </w:r>
      <w:r w:rsidRPr="005375B7">
        <w:rPr>
          <w:kern w:val="2"/>
          <w:vertAlign w:val="superscript"/>
          <w14:ligatures w14:val="standardContextual"/>
        </w:rPr>
        <w:footnoteReference w:id="29"/>
      </w:r>
      <w:r w:rsidRPr="005375B7">
        <w:rPr>
          <w:kern w:val="2"/>
          <w14:ligatures w14:val="standardContextual"/>
        </w:rPr>
        <w:t>, särskilt artikel 14,</w:t>
      </w:r>
    </w:p>
    <w:p w14:paraId="7B1A3811" w14:textId="1C97AD0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30"/>
      </w:r>
      <w:r w:rsidRPr="005375B7">
        <w:rPr>
          <w:kern w:val="2"/>
          <w14:ligatures w14:val="standardContextual"/>
        </w:rPr>
        <w:t>, särskilt artikel 105,</w:t>
      </w:r>
    </w:p>
    <w:p w14:paraId="37E5D671" w14:textId="77E982AE"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0760870B" w14:textId="4B07EB7F"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1D296A3E" w14:textId="4A3C4D76"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58DD9DAB"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direktören för Översättningscentrum för Europeiska unionens organ ansvarsfrihet för genomförandet av centrumets budget för budgetåret 2023.</w:t>
      </w:r>
    </w:p>
    <w:p w14:paraId="48F69E75"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3829D99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direktören för Översättningscentrum för Europeiska unionens organ,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388CCBE5"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0C76F4D3" w14:textId="290E7865" w:rsidR="005375B7" w:rsidRPr="005375B7" w:rsidRDefault="005375B7" w:rsidP="005375B7">
      <w:pPr>
        <w:pStyle w:val="ATHeading3"/>
      </w:pPr>
      <w:r w:rsidRPr="005375B7">
        <w:lastRenderedPageBreak/>
        <w:t>6. Europaparlamentets beslut av den 7 maj 2025 om avslutande av räkenskaperna för Översättningscentrum för Europeiska unionens organ för budgetåret 2023 (2024/2030(DEC))</w:t>
      </w:r>
    </w:p>
    <w:p w14:paraId="4A9AF3F4" w14:textId="57EFC7BD" w:rsidR="005375B7" w:rsidRPr="005375B7" w:rsidRDefault="005375B7" w:rsidP="005375B7">
      <w:pPr>
        <w:spacing w:before="480" w:after="240"/>
        <w:rPr>
          <w:i/>
          <w:kern w:val="2"/>
          <w14:ligatures w14:val="standardContextual"/>
        </w:rPr>
      </w:pPr>
      <w:r>
        <w:rPr>
          <w:i/>
          <w:kern w:val="2"/>
          <w14:ligatures w14:val="standardContextual"/>
        </w:rPr>
        <w:t>Europaparlamentet fattar detta beslut</w:t>
      </w:r>
    </w:p>
    <w:p w14:paraId="358DC569" w14:textId="41B74ADD"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Översättningscentrum för Europeiska unionens organ för budgetåret 2023,</w:t>
      </w:r>
    </w:p>
    <w:p w14:paraId="1ADB2AF5" w14:textId="6AF253E5"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1"/>
      </w:r>
      <w:r w:rsidRPr="005375B7">
        <w:rPr>
          <w:kern w:val="2"/>
          <w14:ligatures w14:val="standardContextual"/>
        </w:rPr>
        <w:t>,</w:t>
      </w:r>
    </w:p>
    <w:p w14:paraId="650BBC5D" w14:textId="4A58D4FE"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2"/>
      </w:r>
      <w:r w:rsidRPr="005375B7">
        <w:rPr>
          <w:kern w:val="2"/>
          <w14:ligatures w14:val="standardContextual"/>
        </w:rPr>
        <w:t>, som avgetts av revisionsrätten för budgetåret 2023 i enlighet med artikel 287 i fördraget om Europeiska unionens funktionssätt,</w:t>
      </w:r>
    </w:p>
    <w:p w14:paraId="0E4620F1" w14:textId="3F36C7B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centrumet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336A7945" w14:textId="1A438EFA"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16BB1CFE" w14:textId="62DD8DB5"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3"/>
      </w:r>
      <w:r w:rsidRPr="005375B7">
        <w:rPr>
          <w:kern w:val="2"/>
          <w14:ligatures w14:val="standardContextual"/>
        </w:rPr>
        <w:t>, särskilt artikel 70,</w:t>
      </w:r>
    </w:p>
    <w:p w14:paraId="2353F658" w14:textId="4C583B2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4"/>
      </w:r>
      <w:r w:rsidRPr="005375B7">
        <w:rPr>
          <w:kern w:val="2"/>
          <w14:ligatures w14:val="standardContextual"/>
        </w:rPr>
        <w:t>, särskilt artikel 70,</w:t>
      </w:r>
    </w:p>
    <w:p w14:paraId="671E5F0A" w14:textId="31B9C4B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rådets förordning (EG) nr 2965/94 av den 28 november 1994 om upprättande av ett översättningscentrum för Europeiska unionens organ</w:t>
      </w:r>
      <w:r w:rsidRPr="005375B7">
        <w:rPr>
          <w:kern w:val="2"/>
          <w:vertAlign w:val="superscript"/>
          <w14:ligatures w14:val="standardContextual"/>
        </w:rPr>
        <w:footnoteReference w:id="35"/>
      </w:r>
      <w:r w:rsidRPr="005375B7">
        <w:rPr>
          <w:kern w:val="2"/>
          <w14:ligatures w14:val="standardContextual"/>
        </w:rPr>
        <w:t>, särskilt artikel 14,</w:t>
      </w:r>
    </w:p>
    <w:p w14:paraId="1330F101" w14:textId="7D241A1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36"/>
      </w:r>
      <w:r w:rsidRPr="005375B7">
        <w:rPr>
          <w:kern w:val="2"/>
          <w14:ligatures w14:val="standardContextual"/>
        </w:rPr>
        <w:t>, särskilt artikel 105,</w:t>
      </w:r>
    </w:p>
    <w:p w14:paraId="579A7C31" w14:textId="4737C356"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5C9B52EB" w14:textId="57E07F2E"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4DC8E985" w14:textId="5EBF21ED"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2FB37F97"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Översättningscentrum för Europeiska unionens organ för budgetåret 2023.</w:t>
      </w:r>
    </w:p>
    <w:p w14:paraId="1432896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direktören för Översättningscentrum för Europeiska unionens organ,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71CD8A61"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7542AF42" w14:textId="7E5E2BE6" w:rsidR="005375B7" w:rsidRPr="00241176" w:rsidRDefault="005375B7" w:rsidP="005375B7">
      <w:pPr>
        <w:pStyle w:val="ATHeading3"/>
      </w:pPr>
      <w:r w:rsidRPr="00241176">
        <w:lastRenderedPageBreak/>
        <w:t>7. Europaparlamentets beslut av den 7 maj 2025 om ansvarsfrihet för genomförandet av budgeten för Europeiska centrumet för utveckling av yrkesutbildning för budgetåret 2023 (2024/2030(DEC))</w:t>
      </w:r>
    </w:p>
    <w:p w14:paraId="1A4A7948" w14:textId="1017042A" w:rsidR="005375B7" w:rsidRPr="00241176" w:rsidRDefault="005375B7" w:rsidP="005375B7">
      <w:pPr>
        <w:spacing w:before="480" w:after="240"/>
        <w:rPr>
          <w:i/>
          <w:kern w:val="2"/>
          <w14:ligatures w14:val="standardContextual"/>
        </w:rPr>
      </w:pPr>
      <w:r w:rsidRPr="00241176">
        <w:rPr>
          <w:i/>
          <w:kern w:val="2"/>
          <w14:ligatures w14:val="standardContextual"/>
        </w:rPr>
        <w:t>Europaparlamentet fattar detta beslut</w:t>
      </w:r>
    </w:p>
    <w:p w14:paraId="361B6DD6" w14:textId="4A37A141" w:rsidR="005375B7" w:rsidRPr="00241176" w:rsidRDefault="005375B7" w:rsidP="005375B7">
      <w:pPr>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den slutliga årsredovisningen för Europeiska centrumet för utveckling av yrkesutbildning för budgetåret 2023,</w:t>
      </w:r>
    </w:p>
    <w:p w14:paraId="55518ACD" w14:textId="41A98A70" w:rsidR="005375B7" w:rsidRPr="00241176" w:rsidRDefault="005375B7" w:rsidP="005375B7">
      <w:pPr>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revisionsrättens årsrapport om EU:s byråer för budgetåret 2023, med byråernas svar</w:t>
      </w:r>
      <w:r w:rsidRPr="005375B7">
        <w:rPr>
          <w:kern w:val="2"/>
          <w:vertAlign w:val="superscript"/>
          <w:lang w:val="en-GB"/>
          <w14:ligatures w14:val="standardContextual"/>
        </w:rPr>
        <w:footnoteReference w:id="37"/>
      </w:r>
      <w:r w:rsidRPr="00241176">
        <w:rPr>
          <w:kern w:val="2"/>
          <w14:ligatures w14:val="standardContextual"/>
        </w:rPr>
        <w:t>,</w:t>
      </w:r>
    </w:p>
    <w:p w14:paraId="3446AF11" w14:textId="06D124AC" w:rsidR="005375B7" w:rsidRPr="00241176" w:rsidRDefault="005375B7" w:rsidP="005375B7">
      <w:pPr>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förklaringen om räkenskapernas tillförlitlighet och de underliggande transaktionernas laglighet och korrekthet</w:t>
      </w:r>
      <w:r w:rsidRPr="005375B7">
        <w:rPr>
          <w:kern w:val="2"/>
          <w:vertAlign w:val="superscript"/>
          <w:lang w:val="en-GB"/>
          <w14:ligatures w14:val="standardContextual"/>
        </w:rPr>
        <w:footnoteReference w:id="38"/>
      </w:r>
      <w:r w:rsidRPr="00241176">
        <w:rPr>
          <w:kern w:val="2"/>
          <w14:ligatures w14:val="standardContextual"/>
        </w:rPr>
        <w:t>, som avgetts av revisionsrätten för budgetåret 2023 i enlighet med artikel 287 i fördraget om Europeiska unionens funktionssätt,</w:t>
      </w:r>
    </w:p>
    <w:p w14:paraId="16B6FBCA" w14:textId="368A61FF" w:rsidR="005375B7" w:rsidRPr="00241176" w:rsidRDefault="005375B7" w:rsidP="005375B7">
      <w:pPr>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rådets rekommendation av den 17 februari 2025 om att bevilja centrumet ansvarsfrihet för genomförandet av budgeten för budgetåret 2023 (05755/2025 - C10</w:t>
      </w:r>
      <w:r w:rsidRPr="00241176">
        <w:rPr>
          <w:kern w:val="2"/>
          <w14:ligatures w14:val="standardContextual"/>
        </w:rPr>
        <w:noBreakHyphen/>
        <w:t>0024/2025),</w:t>
      </w:r>
    </w:p>
    <w:p w14:paraId="04E63B58" w14:textId="6A102CDB" w:rsidR="005375B7" w:rsidRPr="00241176" w:rsidRDefault="005375B7" w:rsidP="005375B7">
      <w:pPr>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artikel 319 i fördraget om Europeiska unionens funktionssätt,</w:t>
      </w:r>
    </w:p>
    <w:p w14:paraId="0F7F52F9" w14:textId="5001262C" w:rsidR="005375B7" w:rsidRPr="00241176" w:rsidRDefault="005375B7" w:rsidP="005375B7">
      <w:pPr>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lang w:val="en-GB"/>
          <w14:ligatures w14:val="standardContextual"/>
        </w:rPr>
        <w:footnoteReference w:id="39"/>
      </w:r>
      <w:r w:rsidRPr="00241176">
        <w:rPr>
          <w:kern w:val="2"/>
          <w14:ligatures w14:val="standardContextual"/>
        </w:rPr>
        <w:t>, särskilt artikel 70,</w:t>
      </w:r>
    </w:p>
    <w:p w14:paraId="229ED02F" w14:textId="56AFA211" w:rsidR="005375B7" w:rsidRPr="00241176" w:rsidRDefault="005375B7" w:rsidP="005375B7">
      <w:pPr>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lang w:val="en-GB"/>
          <w14:ligatures w14:val="standardContextual"/>
        </w:rPr>
        <w:footnoteReference w:id="40"/>
      </w:r>
      <w:r w:rsidRPr="00241176">
        <w:rPr>
          <w:kern w:val="2"/>
          <w14:ligatures w14:val="standardContextual"/>
        </w:rPr>
        <w:t>, särskilt artikel 70,</w:t>
      </w:r>
    </w:p>
    <w:p w14:paraId="41A5579E" w14:textId="52A29B9B" w:rsidR="005375B7" w:rsidRPr="00241176" w:rsidRDefault="005375B7" w:rsidP="005375B7">
      <w:pPr>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Europaparlamentets och rådets förordning (EU) 2019/128 av den 16 januari 2019 om inrättande av ett europeiskt centrum för utveckling av yrkesutbildning (Cedefop) och om upphävande av rådets förordning (EEG) nr 337/75</w:t>
      </w:r>
      <w:r w:rsidRPr="005375B7">
        <w:rPr>
          <w:kern w:val="2"/>
          <w:vertAlign w:val="superscript"/>
          <w:lang w:val="en-GB"/>
          <w14:ligatures w14:val="standardContextual"/>
        </w:rPr>
        <w:footnoteReference w:id="41"/>
      </w:r>
      <w:r w:rsidRPr="00241176">
        <w:rPr>
          <w:kern w:val="2"/>
          <w14:ligatures w14:val="standardContextual"/>
        </w:rPr>
        <w:t>, särskilt artikel 15,</w:t>
      </w:r>
    </w:p>
    <w:p w14:paraId="7F1F193E" w14:textId="65D03402" w:rsidR="005375B7" w:rsidRPr="00241176" w:rsidRDefault="005375B7" w:rsidP="005375B7">
      <w:pPr>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lang w:val="en-GB"/>
          <w14:ligatures w14:val="standardContextual"/>
        </w:rPr>
        <w:footnoteReference w:id="42"/>
      </w:r>
      <w:r w:rsidRPr="00241176">
        <w:rPr>
          <w:kern w:val="2"/>
          <w14:ligatures w14:val="standardContextual"/>
        </w:rPr>
        <w:t xml:space="preserve">, särskilt </w:t>
      </w:r>
      <w:r w:rsidRPr="00241176">
        <w:rPr>
          <w:kern w:val="2"/>
          <w14:ligatures w14:val="standardContextual"/>
        </w:rPr>
        <w:lastRenderedPageBreak/>
        <w:t>artikel 105,</w:t>
      </w:r>
    </w:p>
    <w:p w14:paraId="67185F59" w14:textId="58F6857B" w:rsidR="005375B7" w:rsidRPr="00241176" w:rsidRDefault="005375B7" w:rsidP="005375B7">
      <w:pPr>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artikel 102 och bilaga V i arbetsordningen,</w:t>
      </w:r>
    </w:p>
    <w:p w14:paraId="2D0ED50A" w14:textId="2F327840" w:rsidR="005375B7" w:rsidRPr="00241176" w:rsidRDefault="005375B7" w:rsidP="005375B7">
      <w:pPr>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2D0FB634" w14:textId="1CD17016" w:rsidR="005375B7" w:rsidRPr="00241176" w:rsidRDefault="005375B7" w:rsidP="005375B7">
      <w:pPr>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betänkandet från budgetkontrollutskottet (A10-0065/2025).</w:t>
      </w:r>
    </w:p>
    <w:p w14:paraId="4ECDAD00" w14:textId="77777777" w:rsidR="005375B7" w:rsidRPr="00241176" w:rsidRDefault="005375B7" w:rsidP="005375B7">
      <w:pPr>
        <w:spacing w:after="240"/>
        <w:ind w:left="567" w:hanging="567"/>
        <w:rPr>
          <w:kern w:val="2"/>
          <w14:ligatures w14:val="standardContextual"/>
        </w:rPr>
      </w:pPr>
      <w:r w:rsidRPr="00241176">
        <w:rPr>
          <w:kern w:val="2"/>
          <w14:ligatures w14:val="standardContextual"/>
        </w:rPr>
        <w:t>1.</w:t>
      </w:r>
      <w:r w:rsidRPr="00241176">
        <w:rPr>
          <w:kern w:val="2"/>
          <w14:ligatures w14:val="standardContextual"/>
        </w:rPr>
        <w:tab/>
        <w:t>Europaparlamentet beviljar verkställande direktören för Europeiska centrumet för utveckling av yrkesutbildning ansvarsfrihet för genomförandet av centrumets budget för budgetåret 2023.</w:t>
      </w:r>
    </w:p>
    <w:p w14:paraId="4372B71C" w14:textId="77777777" w:rsidR="005375B7" w:rsidRPr="00241176" w:rsidRDefault="005375B7" w:rsidP="005375B7">
      <w:pPr>
        <w:spacing w:after="240"/>
        <w:ind w:left="567" w:hanging="567"/>
        <w:rPr>
          <w:kern w:val="2"/>
          <w14:ligatures w14:val="standardContextual"/>
        </w:rPr>
      </w:pPr>
      <w:r w:rsidRPr="00241176">
        <w:rPr>
          <w:kern w:val="2"/>
          <w14:ligatures w14:val="standardContextual"/>
        </w:rPr>
        <w:t>2.</w:t>
      </w:r>
      <w:r w:rsidRPr="00241176">
        <w:rPr>
          <w:kern w:val="2"/>
          <w14:ligatures w14:val="standardContextual"/>
        </w:rPr>
        <w:tab/>
        <w:t>Europaparlamentet redovisar sina iakttagelser i resolutionen nedan.</w:t>
      </w:r>
    </w:p>
    <w:p w14:paraId="22E78C68" w14:textId="77777777" w:rsidR="005375B7" w:rsidRPr="00241176" w:rsidRDefault="005375B7" w:rsidP="005375B7">
      <w:pPr>
        <w:spacing w:after="240"/>
        <w:ind w:left="567" w:hanging="567"/>
        <w:rPr>
          <w:kern w:val="2"/>
          <w14:ligatures w14:val="standardContextual"/>
        </w:rPr>
      </w:pPr>
      <w:r w:rsidRPr="00241176">
        <w:rPr>
          <w:kern w:val="2"/>
          <w14:ligatures w14:val="standardContextual"/>
        </w:rPr>
        <w:t>3.</w:t>
      </w:r>
      <w:r w:rsidRPr="00241176">
        <w:rPr>
          <w:kern w:val="2"/>
          <w14:ligatures w14:val="standardContextual"/>
        </w:rPr>
        <w:tab/>
        <w:t xml:space="preserve">Europaparlamentet uppdrar åt talmannen att översända detta beslut och den resolution som utgör en del av beslutet till verkställande direktören för Europeiska centrumet för utveckling av yrkesutbildning, rådet, kommissionen och revisionsrätten, och att se till att de offentliggörs i </w:t>
      </w:r>
      <w:r w:rsidRPr="00241176">
        <w:rPr>
          <w:i/>
          <w:kern w:val="2"/>
          <w14:ligatures w14:val="standardContextual"/>
        </w:rPr>
        <w:t>Europeiska unionens officiella tidning</w:t>
      </w:r>
      <w:r w:rsidRPr="00241176">
        <w:rPr>
          <w:kern w:val="2"/>
          <w14:ligatures w14:val="standardContextual"/>
        </w:rPr>
        <w:t xml:space="preserve"> (L-serien).</w:t>
      </w:r>
    </w:p>
    <w:p w14:paraId="28024674"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7A558D5B" w14:textId="4064C0F0" w:rsidR="005375B7" w:rsidRPr="005375B7" w:rsidRDefault="005375B7" w:rsidP="005375B7">
      <w:pPr>
        <w:pStyle w:val="ATHeading3"/>
      </w:pPr>
      <w:r w:rsidRPr="005375B7">
        <w:lastRenderedPageBreak/>
        <w:t>8. Europaparlamentets beslut av den 7 maj 2025 om avslutande av räkenskaperna för Europeiska centrumet för utveckling av yrkesutbildning för budgetåret 2023 (2024/2030(DEC))</w:t>
      </w:r>
    </w:p>
    <w:p w14:paraId="3F1CC542" w14:textId="0B457A76"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4DC84FB7" w14:textId="2261C3D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centrumet för utveckling av yrkesutbildning för budgetåret 2023,</w:t>
      </w:r>
    </w:p>
    <w:p w14:paraId="18A6F80C" w14:textId="2D9C558E"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43"/>
      </w:r>
      <w:r w:rsidRPr="005375B7">
        <w:rPr>
          <w:kern w:val="2"/>
          <w14:ligatures w14:val="standardContextual"/>
        </w:rPr>
        <w:t>,</w:t>
      </w:r>
    </w:p>
    <w:p w14:paraId="5886B2A9" w14:textId="29AD0684"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44"/>
      </w:r>
      <w:r w:rsidRPr="005375B7">
        <w:rPr>
          <w:kern w:val="2"/>
          <w14:ligatures w14:val="standardContextual"/>
        </w:rPr>
        <w:t>, som avgetts av revisionsrätten för budgetåret 2023 i enlighet med artikel 287 i fördraget om Europeiska unionens funktionssätt,</w:t>
      </w:r>
    </w:p>
    <w:p w14:paraId="4280D01E" w14:textId="20DFFADD"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centrumet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62BCD6C1" w14:textId="79FA393B"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01878B60" w14:textId="3930D376"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45"/>
      </w:r>
      <w:r w:rsidRPr="005375B7">
        <w:rPr>
          <w:kern w:val="2"/>
          <w14:ligatures w14:val="standardContextual"/>
        </w:rPr>
        <w:t>, särskilt artikel 70,</w:t>
      </w:r>
    </w:p>
    <w:p w14:paraId="47FA8C82" w14:textId="5D32E86F"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46"/>
      </w:r>
      <w:r w:rsidRPr="005375B7">
        <w:rPr>
          <w:kern w:val="2"/>
          <w14:ligatures w14:val="standardContextual"/>
        </w:rPr>
        <w:t>, särskilt artikel 70,</w:t>
      </w:r>
    </w:p>
    <w:p w14:paraId="71ED3EA0" w14:textId="3145DBDA"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2019/128 av den 16 januari 2019 om inrättande av ett europeiskt centrum för utveckling av yrkesutbildning (Cedefop) och om upphävande av rådets förordning (EEG) nr 337/75</w:t>
      </w:r>
      <w:r w:rsidRPr="005375B7">
        <w:rPr>
          <w:kern w:val="2"/>
          <w:vertAlign w:val="superscript"/>
          <w14:ligatures w14:val="standardContextual"/>
        </w:rPr>
        <w:footnoteReference w:id="47"/>
      </w:r>
      <w:r w:rsidRPr="005375B7">
        <w:rPr>
          <w:kern w:val="2"/>
          <w14:ligatures w14:val="standardContextual"/>
        </w:rPr>
        <w:t>, särskilt artikel 15,</w:t>
      </w:r>
    </w:p>
    <w:p w14:paraId="35887EE8" w14:textId="60DDF178"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48"/>
      </w:r>
      <w:r w:rsidRPr="005375B7">
        <w:rPr>
          <w:kern w:val="2"/>
          <w14:ligatures w14:val="standardContextual"/>
        </w:rPr>
        <w:t>, särskilt artikel 105,</w:t>
      </w:r>
    </w:p>
    <w:p w14:paraId="50794AA5" w14:textId="44F801A3"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583176E7" w14:textId="7F6B5550"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7CAB6963" w14:textId="5D9A1E9F"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56F6E34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Europeiskt centrum för utveckling av yrkesutbildning för budgetåret 2023.</w:t>
      </w:r>
    </w:p>
    <w:p w14:paraId="58797B8C"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centrumet för utveckling av yrkesutbildning,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47858D84"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6992CAC1" w14:textId="73833B9B" w:rsidR="005375B7" w:rsidRPr="005375B7" w:rsidRDefault="005375B7" w:rsidP="005375B7">
      <w:pPr>
        <w:pStyle w:val="ATHeading3"/>
      </w:pPr>
      <w:r w:rsidRPr="005375B7">
        <w:lastRenderedPageBreak/>
        <w:t>9. Europaparlamentets beslut av den 7 maj 2025 om ansvarsfrihet för genomförandet av budgeten för Europeiska unionens byrå för utbildning av tjänstemän inom brottsbekämpning för budgetåret 2023 (2024/2030(DEC))</w:t>
      </w:r>
    </w:p>
    <w:p w14:paraId="1E9A4B4E"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2B42B0A9" w14:textId="1154EC3B"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byrå för utbildning av tjänstemän inom brottsbekämpning för budgetåret 2023,</w:t>
      </w:r>
    </w:p>
    <w:p w14:paraId="38800E2C" w14:textId="0A3F3E17"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49"/>
      </w:r>
      <w:r w:rsidRPr="005375B7">
        <w:rPr>
          <w:kern w:val="2"/>
          <w14:ligatures w14:val="standardContextual"/>
        </w:rPr>
        <w:t>,</w:t>
      </w:r>
    </w:p>
    <w:p w14:paraId="23AC9277" w14:textId="5565E27D"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50"/>
      </w:r>
      <w:r w:rsidRPr="005375B7">
        <w:rPr>
          <w:kern w:val="2"/>
          <w14:ligatures w14:val="standardContextual"/>
        </w:rPr>
        <w:t>, som avgetts av revisionsrätten för budgetåret 2023 i enlighet med artikel 287 i fördraget om Europeiska unionens funktionssätt,</w:t>
      </w:r>
    </w:p>
    <w:p w14:paraId="2E7BA8F6" w14:textId="7F5D7680"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590DB504" w14:textId="48B5F558"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7DE63783" w14:textId="0A4506E6"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51"/>
      </w:r>
      <w:r w:rsidRPr="005375B7">
        <w:rPr>
          <w:kern w:val="2"/>
          <w14:ligatures w14:val="standardContextual"/>
        </w:rPr>
        <w:t>, särskilt artikel 70,</w:t>
      </w:r>
    </w:p>
    <w:p w14:paraId="03EC8D5C" w14:textId="7B85B5D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52"/>
      </w:r>
      <w:r w:rsidRPr="005375B7">
        <w:rPr>
          <w:kern w:val="2"/>
          <w14:ligatures w14:val="standardContextual"/>
        </w:rPr>
        <w:t>, särskilt artikel 70,</w:t>
      </w:r>
    </w:p>
    <w:p w14:paraId="24F7C423" w14:textId="56B84EC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nr 2015/2219 av den 25 november 2015 om Europeiska unionens byrå för utbildning av tjänstemän inom brottsbekämpning (Cepol) och om ersättning och upphävande av rådets beslut 2005/681/RIF</w:t>
      </w:r>
      <w:r w:rsidRPr="005375B7">
        <w:rPr>
          <w:kern w:val="2"/>
          <w:vertAlign w:val="superscript"/>
          <w14:ligatures w14:val="standardContextual"/>
        </w:rPr>
        <w:footnoteReference w:id="53"/>
      </w:r>
      <w:r w:rsidRPr="005375B7">
        <w:rPr>
          <w:kern w:val="2"/>
          <w14:ligatures w14:val="standardContextual"/>
        </w:rPr>
        <w:t>, särskilt artikel 20,</w:t>
      </w:r>
    </w:p>
    <w:p w14:paraId="502C31A7" w14:textId="36D0A97B"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54"/>
      </w:r>
      <w:r w:rsidRPr="005375B7">
        <w:rPr>
          <w:kern w:val="2"/>
          <w14:ligatures w14:val="standardContextual"/>
        </w:rPr>
        <w:t>, särskilt artikel 105,</w:t>
      </w:r>
    </w:p>
    <w:p w14:paraId="4A79C3AF" w14:textId="459A1871"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3C54FF9E" w14:textId="316887E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23DF3195" w14:textId="16DA4E36"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447DEB2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unionens byrå för utbildning av tjänstemän inom brottsbekämpning ansvarsfrihet för genomförandet av byråns budget för budgetåret 2023.</w:t>
      </w:r>
    </w:p>
    <w:p w14:paraId="2DB3490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52066AA9"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unionens byrå för utbildning av tjänstemän inom brottsbekämpning,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5B36C7A9"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5F96784F" w14:textId="77777777" w:rsidR="005375B7" w:rsidRPr="005375B7" w:rsidRDefault="005375B7" w:rsidP="005375B7">
      <w:pPr>
        <w:pStyle w:val="ATHeading3"/>
      </w:pPr>
      <w:r w:rsidRPr="005375B7">
        <w:lastRenderedPageBreak/>
        <w:t>10. Europaparlamentets beslut av den 7 maj 2025 om avslutandet av räkenskaperna för Europeiska unionens byrå för utbildning av tjänstemän inom brottsbekämpning för budgetåret 2023  (2024/2030(DEC))</w:t>
      </w:r>
    </w:p>
    <w:p w14:paraId="6E982E4C"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48C7A9E0" w14:textId="5AD3B85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byrå för utbildning av tjänstemän inom brottsbekämpning för budgetåret 2023,</w:t>
      </w:r>
    </w:p>
    <w:p w14:paraId="2ECCC4FA" w14:textId="0F25AAE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55"/>
      </w:r>
      <w:r w:rsidRPr="005375B7">
        <w:rPr>
          <w:kern w:val="2"/>
          <w14:ligatures w14:val="standardContextual"/>
        </w:rPr>
        <w:t>,</w:t>
      </w:r>
    </w:p>
    <w:p w14:paraId="00AD730E" w14:textId="692A5A2A"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56"/>
      </w:r>
      <w:r w:rsidRPr="005375B7">
        <w:rPr>
          <w:kern w:val="2"/>
          <w14:ligatures w14:val="standardContextual"/>
        </w:rPr>
        <w:t>, som avgetts av revisionsrätten för budgetåret 2023 i enlighet med artikel 287 i fördraget om Europeiska unionens funktionssätt,</w:t>
      </w:r>
    </w:p>
    <w:p w14:paraId="19239776" w14:textId="07FE7A7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05764644" w14:textId="1150834F"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257246C1" w14:textId="5E0885C7"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57"/>
      </w:r>
      <w:r w:rsidRPr="005375B7">
        <w:rPr>
          <w:kern w:val="2"/>
          <w14:ligatures w14:val="standardContextual"/>
        </w:rPr>
        <w:t>, särskilt artikel 70,</w:t>
      </w:r>
    </w:p>
    <w:p w14:paraId="2C11241B" w14:textId="28D394D6"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58"/>
      </w:r>
      <w:r w:rsidRPr="005375B7">
        <w:rPr>
          <w:kern w:val="2"/>
          <w14:ligatures w14:val="standardContextual"/>
        </w:rPr>
        <w:t>, särskilt artikel 70,</w:t>
      </w:r>
    </w:p>
    <w:p w14:paraId="28A2F4AB" w14:textId="50CE5A6D"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nr 2015/2219 av den 25 november 2015 om Europeiska unionens byrå för utbildning av tjänstemän inom brottsbekämpning (Cepol) och om ersättning och upphävande av rådets beslut 2005/681/RIF</w:t>
      </w:r>
      <w:r w:rsidRPr="005375B7">
        <w:rPr>
          <w:kern w:val="2"/>
          <w:vertAlign w:val="superscript"/>
          <w14:ligatures w14:val="standardContextual"/>
        </w:rPr>
        <w:footnoteReference w:id="59"/>
      </w:r>
      <w:r w:rsidRPr="005375B7">
        <w:rPr>
          <w:kern w:val="2"/>
          <w14:ligatures w14:val="standardContextual"/>
        </w:rPr>
        <w:t>, särskilt artikel 20,</w:t>
      </w:r>
    </w:p>
    <w:p w14:paraId="0E90FF94" w14:textId="39AF9CCB"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60"/>
      </w:r>
      <w:r w:rsidRPr="005375B7">
        <w:rPr>
          <w:kern w:val="2"/>
          <w14:ligatures w14:val="standardContextual"/>
        </w:rPr>
        <w:t>, särskilt artikel 105,</w:t>
      </w:r>
    </w:p>
    <w:p w14:paraId="6BA99C7A" w14:textId="3846FA46"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64E4F65B" w14:textId="02D6EFA0"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3ECBF739" w14:textId="241CDCD4"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31D80A5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unionens byrå för utbildning av tjänstemän inom brottsbekämpning för budgetåret 2023.</w:t>
      </w:r>
    </w:p>
    <w:p w14:paraId="4811942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unionens byrå för utbildning av tjänstemän inom brottsbekämpning,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656C9EBC"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13128FF4" w14:textId="77777777" w:rsidR="005375B7" w:rsidRPr="005375B7" w:rsidRDefault="005375B7" w:rsidP="005375B7">
      <w:pPr>
        <w:pStyle w:val="ATHeading3"/>
      </w:pPr>
      <w:r w:rsidRPr="005375B7">
        <w:lastRenderedPageBreak/>
        <w:t>11. Europaparlamentets beslut av den 7 maj 2025 om ansvarsfrihet för genomförandet av budgeten för Europeiska unionens byrå för luftfartssäkerhet för budgetåret 2023  (2024/2030(DEC))</w:t>
      </w:r>
    </w:p>
    <w:p w14:paraId="4A294E92" w14:textId="535D55BB" w:rsidR="005375B7" w:rsidRPr="005375B7" w:rsidRDefault="005375B7" w:rsidP="005375B7">
      <w:pPr>
        <w:spacing w:before="480" w:after="240"/>
        <w:rPr>
          <w:kern w:val="2"/>
          <w14:ligatures w14:val="standardContextual"/>
        </w:rPr>
      </w:pPr>
      <w:r>
        <w:rPr>
          <w:i/>
          <w:kern w:val="2"/>
          <w14:ligatures w14:val="standardContextual"/>
        </w:rPr>
        <w:t>Europaparlamentet fattar detta beslut</w:t>
      </w:r>
    </w:p>
    <w:p w14:paraId="2DB80318" w14:textId="62CC78B7"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byrå för luftfartssäkerhet för budgetåret 2023,</w:t>
      </w:r>
    </w:p>
    <w:p w14:paraId="075B7136" w14:textId="07B469A4"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61"/>
      </w:r>
      <w:r w:rsidRPr="005375B7">
        <w:rPr>
          <w:kern w:val="2"/>
          <w14:ligatures w14:val="standardContextual"/>
        </w:rPr>
        <w:t>,</w:t>
      </w:r>
    </w:p>
    <w:p w14:paraId="5A12CEA7" w14:textId="183A852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62"/>
      </w:r>
      <w:r w:rsidRPr="005375B7">
        <w:rPr>
          <w:kern w:val="2"/>
          <w14:ligatures w14:val="standardContextual"/>
        </w:rPr>
        <w:t>, som avgetts av revisionsrätten för budgetåret 2023 i enlighet med artikel 287 i fördraget om Europeiska unionens funktionssätt,</w:t>
      </w:r>
    </w:p>
    <w:p w14:paraId="1E8EB2B0" w14:textId="235B39A4"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6369D17E" w14:textId="27E5FC90"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6D96BA85" w14:textId="3382131F"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63"/>
      </w:r>
      <w:r w:rsidRPr="005375B7">
        <w:rPr>
          <w:kern w:val="2"/>
          <w14:ligatures w14:val="standardContextual"/>
        </w:rPr>
        <w:t>, särskilt artikel 70,</w:t>
      </w:r>
    </w:p>
    <w:p w14:paraId="4A7E61CC" w14:textId="2B8B31DE"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64"/>
      </w:r>
      <w:r w:rsidRPr="005375B7">
        <w:rPr>
          <w:kern w:val="2"/>
          <w14:ligatures w14:val="standardContextual"/>
        </w:rPr>
        <w:t>, särskilt artikel 70,</w:t>
      </w:r>
    </w:p>
    <w:p w14:paraId="6D7AB516" w14:textId="50F123F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2018/1139 av den 4 juli 2018 om fastställande av gemensamma bestämmelser på det civila luftfartsområdet och inrättande av Europeiska unionens byrå för luftfartssäkerhet, och om ändring av Europaparlamentets och rådets förordningar (EG) nr 2111/2005, (EG) nr 1008/2008, (EU) nr 996/2010, (EU) nr 376/2014 och direktiv 2014/30/EU och 2014/53/EU, samt om upphävande av Europaparlamentets och rådets förordningar (EG) nr 552/2004 och (EG) nr 216/2008 och rådets förordning (EEG) nr 3922/91</w:t>
      </w:r>
      <w:r w:rsidRPr="005375B7">
        <w:rPr>
          <w:kern w:val="2"/>
          <w:vertAlign w:val="superscript"/>
          <w14:ligatures w14:val="standardContextual"/>
        </w:rPr>
        <w:footnoteReference w:id="65"/>
      </w:r>
      <w:r w:rsidRPr="005375B7">
        <w:rPr>
          <w:kern w:val="2"/>
          <w14:ligatures w14:val="standardContextual"/>
        </w:rPr>
        <w:t>, särskilt artikel 121,</w:t>
      </w:r>
    </w:p>
    <w:p w14:paraId="1781EF00" w14:textId="7F7F257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w:t>
      </w:r>
      <w:r w:rsidRPr="005375B7">
        <w:rPr>
          <w:kern w:val="2"/>
          <w14:ligatures w14:val="standardContextual"/>
        </w:rPr>
        <w:lastRenderedPageBreak/>
        <w:t>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66"/>
      </w:r>
      <w:r w:rsidRPr="005375B7">
        <w:rPr>
          <w:kern w:val="2"/>
          <w14:ligatures w14:val="standardContextual"/>
        </w:rPr>
        <w:t>, särskilt artikel 105,</w:t>
      </w:r>
    </w:p>
    <w:p w14:paraId="6EBA9CF4" w14:textId="7C3EDC37"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08242133" w14:textId="3455ACE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6D1A4C02" w14:textId="4BBB267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24E2E88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unionens byrå för luftfartssäkerhet ansvarsfrihet för genomförandet av byråns budget för budgetåret 2023.</w:t>
      </w:r>
    </w:p>
    <w:p w14:paraId="300064E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1A2CD40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unionens byrå för luftfartssäkerhet,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44CEFB04" w14:textId="77777777" w:rsidR="005375B7" w:rsidRPr="005375B7" w:rsidRDefault="005375B7" w:rsidP="005375B7">
      <w:pPr>
        <w:tabs>
          <w:tab w:val="left" w:pos="5386"/>
        </w:tabs>
        <w:ind w:left="567" w:hanging="567"/>
        <w:rPr>
          <w:i/>
          <w:kern w:val="2"/>
          <w14:ligatures w14:val="standardContextual"/>
        </w:rPr>
      </w:pPr>
    </w:p>
    <w:p w14:paraId="5380A690" w14:textId="77777777" w:rsidR="005375B7" w:rsidRPr="005375B7" w:rsidRDefault="005375B7" w:rsidP="005375B7">
      <w:pPr>
        <w:tabs>
          <w:tab w:val="left" w:pos="5386"/>
        </w:tabs>
        <w:ind w:left="567" w:hanging="567"/>
        <w:rPr>
          <w:i/>
          <w:kern w:val="2"/>
          <w14:ligatures w14:val="standardContextual"/>
        </w:rPr>
      </w:pPr>
    </w:p>
    <w:p w14:paraId="0982C18D" w14:textId="77777777" w:rsidR="005375B7" w:rsidRPr="005375B7" w:rsidRDefault="005375B7" w:rsidP="005375B7">
      <w:pPr>
        <w:tabs>
          <w:tab w:val="left" w:pos="5386"/>
        </w:tabs>
        <w:ind w:left="567" w:hanging="567"/>
        <w:rPr>
          <w:kern w:val="2"/>
          <w14:ligatures w14:val="standardContextual"/>
        </w:rPr>
      </w:pPr>
    </w:p>
    <w:p w14:paraId="7847EC86"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7A49DA9F"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7E54EF08" w14:textId="77777777" w:rsidR="005375B7" w:rsidRPr="005375B7" w:rsidRDefault="005375B7" w:rsidP="005375B7">
      <w:pPr>
        <w:pStyle w:val="ATHeading3"/>
      </w:pPr>
      <w:r w:rsidRPr="005375B7">
        <w:lastRenderedPageBreak/>
        <w:t>12. Europaparlamentets beslut av den 7 maj 2025 om avslutande av räkenskaperna för Europeiska unionens byrå för luftfartssäkerhet för budgetåret 2023  (2024/2030(DEC))</w:t>
      </w:r>
    </w:p>
    <w:p w14:paraId="45CB5E11"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421EE436" w14:textId="1A4E894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byrå för luftfartssäkerhet för budgetåret 2023,</w:t>
      </w:r>
    </w:p>
    <w:p w14:paraId="3625BD24" w14:textId="203388E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67"/>
      </w:r>
      <w:r w:rsidRPr="005375B7">
        <w:rPr>
          <w:kern w:val="2"/>
          <w14:ligatures w14:val="standardContextual"/>
        </w:rPr>
        <w:t>,</w:t>
      </w:r>
    </w:p>
    <w:p w14:paraId="60D5D987" w14:textId="345CA74E"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68"/>
      </w:r>
      <w:r w:rsidRPr="005375B7">
        <w:rPr>
          <w:kern w:val="2"/>
          <w14:ligatures w14:val="standardContextual"/>
        </w:rPr>
        <w:t>, som avgetts av revisionsrätten för budgetåret 2023 i enlighet med artikel 287 i fördraget om Europeiska unionens funktionssätt,</w:t>
      </w:r>
    </w:p>
    <w:p w14:paraId="07070CE1" w14:textId="2337399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3485B861" w14:textId="119C539E"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08FF3443" w14:textId="0B9780C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69"/>
      </w:r>
      <w:r w:rsidRPr="005375B7">
        <w:rPr>
          <w:kern w:val="2"/>
          <w14:ligatures w14:val="standardContextual"/>
        </w:rPr>
        <w:t>, särskilt artikel 70,</w:t>
      </w:r>
    </w:p>
    <w:p w14:paraId="4184ABB5" w14:textId="4A8C89F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70"/>
      </w:r>
      <w:r w:rsidRPr="005375B7">
        <w:rPr>
          <w:kern w:val="2"/>
          <w14:ligatures w14:val="standardContextual"/>
        </w:rPr>
        <w:t>, särskilt artikel 70,</w:t>
      </w:r>
    </w:p>
    <w:p w14:paraId="19BC0F87" w14:textId="43F1B8A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2018/1139 av den 4 juli 2018 om fastställande av gemensamma bestämmelser på det civila luftfartsområdet och inrättande av Europeiska unionens byrå för luftfartssäkerhet, och om ändring av Europaparlamentets och rådets förordningar (EG) nr 2111/2005, (EG) nr 1008/2008, (EU) nr 996/2010, (EU) nr 376/2014 och direktiv 2014/30/EU och 2014/53/EU, samt om upphävande av Europaparlamentets och rådets förordningar (EG) nr 552/2004 och (EG) nr 216/2008 och rådets förordning (EEG) nr 3922/91</w:t>
      </w:r>
      <w:r w:rsidRPr="005375B7">
        <w:rPr>
          <w:kern w:val="2"/>
          <w:vertAlign w:val="superscript"/>
          <w14:ligatures w14:val="standardContextual"/>
        </w:rPr>
        <w:footnoteReference w:id="71"/>
      </w:r>
      <w:r w:rsidRPr="005375B7">
        <w:rPr>
          <w:kern w:val="2"/>
          <w14:ligatures w14:val="standardContextual"/>
        </w:rPr>
        <w:t>, särskilt artikel 121,</w:t>
      </w:r>
    </w:p>
    <w:p w14:paraId="5EAC808A" w14:textId="1197DDDF"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w:t>
      </w:r>
      <w:r w:rsidRPr="005375B7">
        <w:rPr>
          <w:kern w:val="2"/>
          <w14:ligatures w14:val="standardContextual"/>
        </w:rPr>
        <w:lastRenderedPageBreak/>
        <w:t>EUF‑fördraget och Euratomfördraget och som avses i artikel 70 i Europaparlamentets och rådets förordning (EU, Euratom) 2018/1046</w:t>
      </w:r>
      <w:r w:rsidRPr="005375B7">
        <w:rPr>
          <w:kern w:val="2"/>
          <w:vertAlign w:val="superscript"/>
          <w14:ligatures w14:val="standardContextual"/>
        </w:rPr>
        <w:footnoteReference w:id="72"/>
      </w:r>
      <w:r w:rsidRPr="005375B7">
        <w:rPr>
          <w:kern w:val="2"/>
          <w14:ligatures w14:val="standardContextual"/>
        </w:rPr>
        <w:t>, särskilt artikel 105,</w:t>
      </w:r>
    </w:p>
    <w:p w14:paraId="1ACC0773" w14:textId="246F3B7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20468E09" w14:textId="2412C3C6"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4DC3BF24" w14:textId="6D69C428"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6988BA0B"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unionens byrå för luftfartssäkerhet för budgetåret 2023.</w:t>
      </w:r>
    </w:p>
    <w:p w14:paraId="3D561C67"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unionens byrå för luftfartssäkerhet, rådet, kommissionen och revisionsrätten, och att se till att det offentliggörs i </w:t>
      </w:r>
      <w:r w:rsidRPr="005375B7">
        <w:rPr>
          <w:i/>
          <w:iCs/>
          <w:kern w:val="2"/>
          <w14:ligatures w14:val="standardContextual"/>
        </w:rPr>
        <w:t>Europeiska unionens officiella tidning</w:t>
      </w:r>
      <w:r w:rsidRPr="005375B7">
        <w:rPr>
          <w:kern w:val="2"/>
          <w14:ligatures w14:val="standardContextual"/>
        </w:rPr>
        <w:t xml:space="preserve"> (L-serien).</w:t>
      </w:r>
    </w:p>
    <w:p w14:paraId="2B8C5E2E"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4305DE7B" w14:textId="77777777" w:rsidR="005375B7" w:rsidRPr="005375B7" w:rsidRDefault="005375B7" w:rsidP="005375B7">
      <w:pPr>
        <w:pStyle w:val="ATHeading3"/>
      </w:pPr>
      <w:r w:rsidRPr="005375B7">
        <w:lastRenderedPageBreak/>
        <w:t>13. Europaparlamentets beslut av den 7 maj 2025 om ansvarsfrihet för genomförandet av budgeten för Europeiska bankmyndigheten för budgetåret 2023  (2024/2030(DEC))</w:t>
      </w:r>
    </w:p>
    <w:p w14:paraId="47FB2BFA"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311C9770" w14:textId="7C03ADBB"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bankmyndigheten för budgetåret 2023,</w:t>
      </w:r>
    </w:p>
    <w:p w14:paraId="30EA79EE" w14:textId="37E0BA64"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73"/>
      </w:r>
      <w:r w:rsidRPr="005375B7">
        <w:rPr>
          <w:kern w:val="2"/>
          <w14:ligatures w14:val="standardContextual"/>
        </w:rPr>
        <w:t>,</w:t>
      </w:r>
    </w:p>
    <w:p w14:paraId="2E547BED" w14:textId="24FA285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74"/>
      </w:r>
      <w:r w:rsidRPr="005375B7">
        <w:rPr>
          <w:kern w:val="2"/>
          <w14:ligatures w14:val="standardContextual"/>
        </w:rPr>
        <w:t>, som avgetts av revisionsrätten för budgetåret 2023 i enlighet med artikel 287 i fördraget om Europeiska unionens funktionssätt,</w:t>
      </w:r>
    </w:p>
    <w:p w14:paraId="7A22EC1D" w14:textId="12E4FBAA"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28C91D81" w14:textId="4C7D872A"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467DB933" w14:textId="3D74F87A"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75"/>
      </w:r>
      <w:r w:rsidRPr="005375B7">
        <w:rPr>
          <w:kern w:val="2"/>
          <w14:ligatures w14:val="standardContextual"/>
        </w:rPr>
        <w:t>, särskilt artikel 70,</w:t>
      </w:r>
    </w:p>
    <w:p w14:paraId="6036C379" w14:textId="3903C11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76"/>
      </w:r>
      <w:r w:rsidRPr="005375B7">
        <w:rPr>
          <w:kern w:val="2"/>
          <w14:ligatures w14:val="standardContextual"/>
        </w:rPr>
        <w:t>, särskilt artikel 70,</w:t>
      </w:r>
    </w:p>
    <w:p w14:paraId="2FF5F304" w14:textId="3FD4922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nr 1093/2010 av den 24 november 2010 om inrättande av en europeisk tillsynsmyndighet (Europeiska bankmyndigheten), om ändring av beslut nr 716/2009/EG och om upphävande av kommissionens beslut 2009/78/EG</w:t>
      </w:r>
      <w:r w:rsidRPr="005375B7">
        <w:rPr>
          <w:kern w:val="2"/>
          <w:vertAlign w:val="superscript"/>
          <w14:ligatures w14:val="standardContextual"/>
        </w:rPr>
        <w:footnoteReference w:id="77"/>
      </w:r>
      <w:r w:rsidRPr="005375B7">
        <w:rPr>
          <w:kern w:val="2"/>
          <w14:ligatures w14:val="standardContextual"/>
        </w:rPr>
        <w:t>, särskilt artikel 64,</w:t>
      </w:r>
    </w:p>
    <w:p w14:paraId="0978B62D" w14:textId="403A118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78"/>
      </w:r>
      <w:r w:rsidRPr="005375B7">
        <w:rPr>
          <w:kern w:val="2"/>
          <w14:ligatures w14:val="standardContextual"/>
        </w:rPr>
        <w:t>, särskilt artikel 105,</w:t>
      </w:r>
    </w:p>
    <w:p w14:paraId="76F18807" w14:textId="65E5C74F"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2AFC70C7" w14:textId="3C4B6645"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317F3C10" w14:textId="7EA7A2AD"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79300D5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bankmyndigheten ansvarsfrihet för genomförandet av myndighetens budget för budgetåret 2023.</w:t>
      </w:r>
    </w:p>
    <w:p w14:paraId="437DF45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5214818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bankmyndigheten,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77BB0265"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5C57C66A" w14:textId="77777777" w:rsidR="005375B7" w:rsidRPr="005375B7" w:rsidRDefault="005375B7" w:rsidP="005375B7">
      <w:pPr>
        <w:pStyle w:val="ATHeading3"/>
      </w:pPr>
      <w:r w:rsidRPr="005375B7">
        <w:lastRenderedPageBreak/>
        <w:t>14. Europaparlamentets beslut av den 7 maj 2025 om avslutande av räkenskaperna för Europeiska bankmyndigheten för budgetåret 2023  (2024/2030(DEC))</w:t>
      </w:r>
    </w:p>
    <w:p w14:paraId="6E0EAC6B"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423FD659" w14:textId="4F266BA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bankmyndigheten för budgetåret 2023,</w:t>
      </w:r>
    </w:p>
    <w:p w14:paraId="260EE123" w14:textId="7D2C722D"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79"/>
      </w:r>
      <w:r w:rsidRPr="005375B7">
        <w:rPr>
          <w:kern w:val="2"/>
          <w14:ligatures w14:val="standardContextual"/>
        </w:rPr>
        <w:t>,</w:t>
      </w:r>
    </w:p>
    <w:p w14:paraId="23DFB629" w14:textId="03EAEDE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80"/>
      </w:r>
      <w:r w:rsidRPr="005375B7">
        <w:rPr>
          <w:kern w:val="2"/>
          <w14:ligatures w14:val="standardContextual"/>
        </w:rPr>
        <w:t>, som avgetts av revisionsrätten för budgetåret 2023 i enlighet med artikel 287 i fördraget om Europeiska unionens funktionssätt,</w:t>
      </w:r>
    </w:p>
    <w:p w14:paraId="585C1072" w14:textId="3CA7A04B"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5EEFBF2D" w14:textId="46FFB847"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2E86126A" w14:textId="3EEF6FA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81"/>
      </w:r>
      <w:r w:rsidRPr="005375B7">
        <w:rPr>
          <w:kern w:val="2"/>
          <w14:ligatures w14:val="standardContextual"/>
        </w:rPr>
        <w:t>, särskilt artikel 70,</w:t>
      </w:r>
    </w:p>
    <w:p w14:paraId="687D4A04" w14:textId="0222E518"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82"/>
      </w:r>
      <w:r w:rsidRPr="005375B7">
        <w:rPr>
          <w:kern w:val="2"/>
          <w14:ligatures w14:val="standardContextual"/>
        </w:rPr>
        <w:t>, särskilt artikel 70,</w:t>
      </w:r>
    </w:p>
    <w:p w14:paraId="298D6FAB" w14:textId="28A499FB"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nr 1093/2010 av den 24 november 2010 om inrättande av en europeisk tillsynsmyndighet (Europeiska bankmyndigheten), om ändring av beslut nr 716/2009/EG och om upphävande av kommissionens beslut 2009/78/EG</w:t>
      </w:r>
      <w:r w:rsidRPr="005375B7">
        <w:rPr>
          <w:kern w:val="2"/>
          <w:vertAlign w:val="superscript"/>
          <w14:ligatures w14:val="standardContextual"/>
        </w:rPr>
        <w:footnoteReference w:id="83"/>
      </w:r>
      <w:r w:rsidRPr="005375B7">
        <w:rPr>
          <w:kern w:val="2"/>
          <w14:ligatures w14:val="standardContextual"/>
        </w:rPr>
        <w:t>, särskilt artikel 64,</w:t>
      </w:r>
    </w:p>
    <w:p w14:paraId="3201C265" w14:textId="0BC973A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84"/>
      </w:r>
      <w:r w:rsidRPr="005375B7">
        <w:rPr>
          <w:kern w:val="2"/>
          <w14:ligatures w14:val="standardContextual"/>
        </w:rPr>
        <w:t>, särskilt artikel 105,</w:t>
      </w:r>
    </w:p>
    <w:p w14:paraId="088B7D47" w14:textId="427922D8"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6A51C570" w14:textId="2D5C5A4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5E103FD0" w14:textId="478DB2C6"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306CFE82"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bankmyndigheten för budgetåret 2023.</w:t>
      </w:r>
    </w:p>
    <w:p w14:paraId="606C82F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bankmyndigheten,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3DE8167E"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0BB3A96E" w14:textId="77777777" w:rsidR="005375B7" w:rsidRPr="005375B7" w:rsidRDefault="005375B7" w:rsidP="005375B7">
      <w:pPr>
        <w:pStyle w:val="ATHeading3"/>
      </w:pPr>
      <w:r w:rsidRPr="005375B7">
        <w:lastRenderedPageBreak/>
        <w:t>15. Europaparlamentets beslut av den 7 maj 2025 om ansvarsfrihet för genomförandet av budgeten för Europeiska centrumet för förebyggande och kontroll av sjukdomar för budgetåret 2023  (2024/2030(DEC))</w:t>
      </w:r>
    </w:p>
    <w:p w14:paraId="0677A9A5" w14:textId="0DE4F677" w:rsidR="005375B7" w:rsidRPr="005375B7" w:rsidRDefault="005375B7" w:rsidP="005375B7">
      <w:pPr>
        <w:spacing w:before="480" w:after="240"/>
        <w:rPr>
          <w:kern w:val="2"/>
          <w14:ligatures w14:val="standardContextual"/>
        </w:rPr>
      </w:pPr>
      <w:r>
        <w:rPr>
          <w:i/>
          <w:kern w:val="2"/>
          <w14:ligatures w14:val="standardContextual"/>
        </w:rPr>
        <w:t>Europaparlamentet fattar detta beslut</w:t>
      </w:r>
    </w:p>
    <w:p w14:paraId="37B3D9C3" w14:textId="635B7AD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centrumet för förebyggande och kontroll av sjukdomar för budgetåret 2023,</w:t>
      </w:r>
    </w:p>
    <w:p w14:paraId="09B5D7DF" w14:textId="49A85A94"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85"/>
      </w:r>
      <w:r w:rsidRPr="005375B7">
        <w:rPr>
          <w:kern w:val="2"/>
          <w14:ligatures w14:val="standardContextual"/>
        </w:rPr>
        <w:t>,</w:t>
      </w:r>
    </w:p>
    <w:p w14:paraId="20274B2C" w14:textId="6DDBF43F"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86"/>
      </w:r>
      <w:r w:rsidRPr="005375B7">
        <w:rPr>
          <w:kern w:val="2"/>
          <w14:ligatures w14:val="standardContextual"/>
        </w:rPr>
        <w:t>, som avgetts av revisionsrätten för budgetåret 2023 i enlighet med artikel 287 i fördraget om Europeiska unionens funktionssätt,</w:t>
      </w:r>
    </w:p>
    <w:p w14:paraId="1E7BA390" w14:textId="55C5AC97"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centrumet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083E9738" w14:textId="58E66A5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643BF2E4" w14:textId="6774A94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87"/>
      </w:r>
      <w:r w:rsidRPr="005375B7">
        <w:rPr>
          <w:kern w:val="2"/>
          <w14:ligatures w14:val="standardContextual"/>
        </w:rPr>
        <w:t>, särskilt artikel 70,</w:t>
      </w:r>
    </w:p>
    <w:p w14:paraId="6AE213D4" w14:textId="49DF63CA"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88"/>
      </w:r>
      <w:r w:rsidRPr="005375B7">
        <w:rPr>
          <w:kern w:val="2"/>
          <w14:ligatures w14:val="standardContextual"/>
        </w:rPr>
        <w:t>, särskilt artikel 70,</w:t>
      </w:r>
    </w:p>
    <w:p w14:paraId="7E1FA7A5" w14:textId="29AA47C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851/2004 av den 21 april 2004 om inrättande av ett europeiskt centrum för förebyggande och kontroll av sjukdomar</w:t>
      </w:r>
      <w:r w:rsidRPr="005375B7">
        <w:rPr>
          <w:kern w:val="2"/>
          <w:vertAlign w:val="superscript"/>
          <w14:ligatures w14:val="standardContextual"/>
        </w:rPr>
        <w:footnoteReference w:id="89"/>
      </w:r>
      <w:r w:rsidRPr="005375B7">
        <w:rPr>
          <w:kern w:val="2"/>
          <w14:ligatures w14:val="standardContextual"/>
        </w:rPr>
        <w:t>, särskilt artikel 23,</w:t>
      </w:r>
    </w:p>
    <w:p w14:paraId="1F6F5A0F" w14:textId="3D35C8F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90"/>
      </w:r>
      <w:r w:rsidRPr="005375B7">
        <w:rPr>
          <w:kern w:val="2"/>
          <w14:ligatures w14:val="standardContextual"/>
        </w:rPr>
        <w:t>, särskilt artikel 105,</w:t>
      </w:r>
    </w:p>
    <w:p w14:paraId="0DDEA155" w14:textId="3F572FA2"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30DFEFFA" w14:textId="261D4CDE"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1A062935" w14:textId="1526627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7967927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direktören för Europeiska centrumet för förebyggande och kontroll av sjukdomar ansvarsfrihet för genomförandet av centrumets budget för budgetåret 2023.</w:t>
      </w:r>
    </w:p>
    <w:p w14:paraId="156BED7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688224F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direktören för Europeiska centrumet för förebyggande och kontroll av sjukdomar,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63D18BD8" w14:textId="77777777" w:rsidR="005375B7" w:rsidRPr="005375B7" w:rsidRDefault="005375B7" w:rsidP="005375B7">
      <w:pPr>
        <w:tabs>
          <w:tab w:val="left" w:pos="5386"/>
        </w:tabs>
        <w:ind w:left="567" w:hanging="567"/>
        <w:rPr>
          <w:kern w:val="2"/>
          <w14:ligatures w14:val="standardContextual"/>
        </w:rPr>
      </w:pPr>
    </w:p>
    <w:p w14:paraId="78EED56D"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7D7EAF61" w14:textId="77777777" w:rsidR="005375B7" w:rsidRPr="005375B7" w:rsidRDefault="005375B7" w:rsidP="005375B7">
      <w:pPr>
        <w:pStyle w:val="ATHeading3"/>
      </w:pPr>
      <w:r w:rsidRPr="005375B7">
        <w:lastRenderedPageBreak/>
        <w:t>16. Europaparlamentets beslut av den 7 maj 2025 om avslutande av räkenskaperna för Europeiska centrumet för förebyggande och kontroll av sjukdomar för budgetåret 2023  (2024/2030(DEC))</w:t>
      </w:r>
    </w:p>
    <w:p w14:paraId="755500A6"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29FF79BB" w14:textId="74AB62C4"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centrumet för förebyggande och kontroll av sjukdomar för budgetåret 2023,</w:t>
      </w:r>
    </w:p>
    <w:p w14:paraId="48EDD167" w14:textId="03A75AFB"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91"/>
      </w:r>
      <w:r w:rsidRPr="005375B7">
        <w:rPr>
          <w:kern w:val="2"/>
          <w14:ligatures w14:val="standardContextual"/>
        </w:rPr>
        <w:t>,</w:t>
      </w:r>
    </w:p>
    <w:p w14:paraId="668735CE" w14:textId="057866D4"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92"/>
      </w:r>
      <w:r w:rsidRPr="005375B7">
        <w:rPr>
          <w:kern w:val="2"/>
          <w14:ligatures w14:val="standardContextual"/>
        </w:rPr>
        <w:t>, som avgetts av revisionsrätten för budgetåret 2023 i enlighet med artikel 287 i fördraget om Europeiska unionens funktionssätt,</w:t>
      </w:r>
    </w:p>
    <w:p w14:paraId="6C28146C" w14:textId="588AD91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centrumet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58A46559" w14:textId="33F804E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35D0F9C0" w14:textId="4F250CA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93"/>
      </w:r>
      <w:r w:rsidRPr="005375B7">
        <w:rPr>
          <w:kern w:val="2"/>
          <w14:ligatures w14:val="standardContextual"/>
        </w:rPr>
        <w:t>, särskilt artikel 70,</w:t>
      </w:r>
    </w:p>
    <w:p w14:paraId="2D09FC3D" w14:textId="241921BE"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94"/>
      </w:r>
      <w:r w:rsidRPr="005375B7">
        <w:rPr>
          <w:kern w:val="2"/>
          <w14:ligatures w14:val="standardContextual"/>
        </w:rPr>
        <w:t>, särskilt artikel 70,</w:t>
      </w:r>
    </w:p>
    <w:p w14:paraId="731E808E" w14:textId="1CC2C1FF"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851/2004 av den 21 april 2004 om inrättande av ett europeiskt centrum för förebyggande och kontroll av sjukdomar</w:t>
      </w:r>
      <w:r w:rsidRPr="005375B7">
        <w:rPr>
          <w:kern w:val="2"/>
          <w:vertAlign w:val="superscript"/>
          <w14:ligatures w14:val="standardContextual"/>
        </w:rPr>
        <w:footnoteReference w:id="95"/>
      </w:r>
      <w:r w:rsidRPr="005375B7">
        <w:rPr>
          <w:kern w:val="2"/>
          <w14:ligatures w14:val="standardContextual"/>
        </w:rPr>
        <w:t>, särskilt artikel 23,</w:t>
      </w:r>
    </w:p>
    <w:p w14:paraId="7436C3F7" w14:textId="6C2501F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96"/>
      </w:r>
      <w:r w:rsidRPr="005375B7">
        <w:rPr>
          <w:kern w:val="2"/>
          <w14:ligatures w14:val="standardContextual"/>
        </w:rPr>
        <w:t>, särskilt artikel 105,</w:t>
      </w:r>
    </w:p>
    <w:p w14:paraId="7408C8A6" w14:textId="07B1D748"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10067421" w14:textId="3005601A"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62A1D826" w14:textId="34DC9084"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75EE128D"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centrumet för förebyggande och kontroll av sjukdomar för budgetåret 2023.</w:t>
      </w:r>
    </w:p>
    <w:p w14:paraId="494AA8E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direktören för Europeiska centrumet för förebyggande och kontroll av sjukdomar,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503D8ABE"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64006E0B" w14:textId="77777777" w:rsidR="005375B7" w:rsidRPr="005375B7" w:rsidRDefault="005375B7" w:rsidP="005375B7">
      <w:pPr>
        <w:pStyle w:val="ATHeading3"/>
      </w:pPr>
      <w:r w:rsidRPr="005375B7">
        <w:lastRenderedPageBreak/>
        <w:t>17. Europaparlamentets beslut av den 7 maj 2025 om ansvarsfrihet för genomförandet av budgeten för Europeiska kemikaliemyndigheten för budgetåret 2023  (2024/2030(DEC))</w:t>
      </w:r>
    </w:p>
    <w:p w14:paraId="6D9B5A35"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7F52D357" w14:textId="15436C1A"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kemikaliemyndigheten för budgetåret 2023,</w:t>
      </w:r>
    </w:p>
    <w:p w14:paraId="2782A99E" w14:textId="75A979ED"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97"/>
      </w:r>
      <w:r w:rsidRPr="005375B7">
        <w:rPr>
          <w:kern w:val="2"/>
          <w14:ligatures w14:val="standardContextual"/>
        </w:rPr>
        <w:t>,</w:t>
      </w:r>
    </w:p>
    <w:p w14:paraId="5AB1D35C" w14:textId="75B57C4D"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98"/>
      </w:r>
      <w:r w:rsidRPr="005375B7">
        <w:rPr>
          <w:kern w:val="2"/>
          <w14:ligatures w14:val="standardContextual"/>
        </w:rPr>
        <w:t>, som avgetts av revisionsrätten för budgetåret 2023 i enlighet med artikel 287 i fördraget om Europeiska unionens funktionssätt,</w:t>
      </w:r>
    </w:p>
    <w:p w14:paraId="73065CC4" w14:textId="3F0D9FAE"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5621BE11" w14:textId="7297DBD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67857D8C" w14:textId="0C945A75"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99"/>
      </w:r>
      <w:r w:rsidRPr="005375B7">
        <w:rPr>
          <w:kern w:val="2"/>
          <w14:ligatures w14:val="standardContextual"/>
        </w:rPr>
        <w:t>, särskilt artikel 70,</w:t>
      </w:r>
    </w:p>
    <w:p w14:paraId="072E48DE" w14:textId="01018F2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00"/>
      </w:r>
      <w:r w:rsidRPr="005375B7">
        <w:rPr>
          <w:kern w:val="2"/>
          <w14:ligatures w14:val="standardContextual"/>
        </w:rPr>
        <w:t>, särskilt artikel 70,</w:t>
      </w:r>
    </w:p>
    <w:p w14:paraId="15AE1A6F" w14:textId="5BC4D03B"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kommissionens direktiv 91/155/EEG, 93/67/EEG, 93/105/EG och 2000/21/EG</w:t>
      </w:r>
      <w:r w:rsidRPr="005375B7">
        <w:rPr>
          <w:kern w:val="2"/>
          <w:vertAlign w:val="superscript"/>
          <w14:ligatures w14:val="standardContextual"/>
        </w:rPr>
        <w:footnoteReference w:id="101"/>
      </w:r>
      <w:r w:rsidRPr="005375B7">
        <w:rPr>
          <w:kern w:val="2"/>
          <w14:ligatures w14:val="standardContextual"/>
        </w:rPr>
        <w:t>, särskilt artikel 97,</w:t>
      </w:r>
    </w:p>
    <w:p w14:paraId="5338C720" w14:textId="37A1C19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w:t>
      </w:r>
      <w:r w:rsidRPr="005375B7">
        <w:rPr>
          <w:kern w:val="2"/>
          <w14:ligatures w14:val="standardContextual"/>
        </w:rPr>
        <w:lastRenderedPageBreak/>
        <w:t>EUF‑fördraget och Euratomfördraget och som avses i artikel 70 i Europaparlamentets och rådets förordning (EU, Euratom) 2018/1046</w:t>
      </w:r>
      <w:r w:rsidRPr="005375B7">
        <w:rPr>
          <w:kern w:val="2"/>
          <w:vertAlign w:val="superscript"/>
          <w14:ligatures w14:val="standardContextual"/>
        </w:rPr>
        <w:footnoteReference w:id="102"/>
      </w:r>
      <w:r w:rsidRPr="005375B7">
        <w:rPr>
          <w:kern w:val="2"/>
          <w14:ligatures w14:val="standardContextual"/>
        </w:rPr>
        <w:t>, särskilt artikel 105,</w:t>
      </w:r>
    </w:p>
    <w:p w14:paraId="443BF64F" w14:textId="7B7B0E7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4B650CD1" w14:textId="63CCD19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7EA978C7" w14:textId="1A74CEBD"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468B55BD"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kemikaliemyndigheten ansvarsfrihet för genomförandet av myndighetens budget för budgetåret 2023.</w:t>
      </w:r>
    </w:p>
    <w:p w14:paraId="6A651FC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4481199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kemikaliemyndigheten,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27C093B3"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21EEF094" w14:textId="77777777" w:rsidR="005375B7" w:rsidRPr="005375B7" w:rsidRDefault="005375B7" w:rsidP="005375B7">
      <w:pPr>
        <w:pStyle w:val="ATHeading3"/>
      </w:pPr>
      <w:r w:rsidRPr="005375B7">
        <w:lastRenderedPageBreak/>
        <w:t>18. Europaparlamentets beslut av den 7 maj 2025 om avslutande av räkenskaperna för Europeiska kemikaliemyndigheten för budgetåret 2023  (2024/2030(DEC))</w:t>
      </w:r>
    </w:p>
    <w:p w14:paraId="7BE08C86"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414B39AD" w14:textId="4629FF8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kemikaliemyndigheten för budgetåret 2023,</w:t>
      </w:r>
    </w:p>
    <w:p w14:paraId="7DF07F6E" w14:textId="5556BD80"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03"/>
      </w:r>
      <w:r w:rsidRPr="005375B7">
        <w:rPr>
          <w:kern w:val="2"/>
          <w14:ligatures w14:val="standardContextual"/>
        </w:rPr>
        <w:t>,</w:t>
      </w:r>
    </w:p>
    <w:p w14:paraId="0E559A25" w14:textId="457EBD8B"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04"/>
      </w:r>
      <w:r w:rsidRPr="005375B7">
        <w:rPr>
          <w:kern w:val="2"/>
          <w14:ligatures w14:val="standardContextual"/>
        </w:rPr>
        <w:t>, som avgetts av revisionsrätten för budgetåret 2023 i enlighet med artikel 287 i fördraget om Europeiska unionens funktionssätt,</w:t>
      </w:r>
    </w:p>
    <w:p w14:paraId="05074899" w14:textId="3EC207F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0378D02E" w14:textId="3F23E61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4CD729D6" w14:textId="67008C89"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05"/>
      </w:r>
      <w:r w:rsidRPr="005375B7">
        <w:rPr>
          <w:kern w:val="2"/>
          <w14:ligatures w14:val="standardContextual"/>
        </w:rPr>
        <w:t>, särskilt artikel 70,</w:t>
      </w:r>
    </w:p>
    <w:p w14:paraId="756CC843" w14:textId="2A4863B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06"/>
      </w:r>
      <w:r w:rsidRPr="005375B7">
        <w:rPr>
          <w:kern w:val="2"/>
          <w14:ligatures w14:val="standardContextual"/>
        </w:rPr>
        <w:t>, särskilt artikel 70,</w:t>
      </w:r>
    </w:p>
    <w:p w14:paraId="694BA427" w14:textId="0F9F06D7"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kommissionens direktiv 91/155/EEG, 93/67/EEG, 93/105/EG och 2000/21/EG</w:t>
      </w:r>
      <w:r w:rsidRPr="005375B7">
        <w:rPr>
          <w:kern w:val="2"/>
          <w:vertAlign w:val="superscript"/>
          <w14:ligatures w14:val="standardContextual"/>
        </w:rPr>
        <w:footnoteReference w:id="107"/>
      </w:r>
      <w:r w:rsidRPr="005375B7">
        <w:rPr>
          <w:kern w:val="2"/>
          <w14:ligatures w14:val="standardContextual"/>
        </w:rPr>
        <w:t>, särskilt artikel 97,</w:t>
      </w:r>
    </w:p>
    <w:p w14:paraId="15E56914" w14:textId="4B8BF03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EUF‑fördraget och Euratomfördraget och som avses i artikel 70 i Europaparlamentets </w:t>
      </w:r>
      <w:r w:rsidRPr="005375B7">
        <w:rPr>
          <w:kern w:val="2"/>
          <w14:ligatures w14:val="standardContextual"/>
        </w:rPr>
        <w:lastRenderedPageBreak/>
        <w:t>och rådets förordning (EU, Euratom) 2018/1046</w:t>
      </w:r>
      <w:r w:rsidRPr="005375B7">
        <w:rPr>
          <w:kern w:val="2"/>
          <w:vertAlign w:val="superscript"/>
          <w14:ligatures w14:val="standardContextual"/>
        </w:rPr>
        <w:footnoteReference w:id="108"/>
      </w:r>
      <w:r w:rsidRPr="005375B7">
        <w:rPr>
          <w:kern w:val="2"/>
          <w14:ligatures w14:val="standardContextual"/>
        </w:rPr>
        <w:t>, särskilt artikel 105,</w:t>
      </w:r>
    </w:p>
    <w:p w14:paraId="1CFCCFE0" w14:textId="2898D424"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29BF9347" w14:textId="01627E47"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3581C889" w14:textId="39EAA55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4EF6FD05"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kemikaliemyndigheten för budgetåret 2023.</w:t>
      </w:r>
    </w:p>
    <w:p w14:paraId="74558D1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kemikaliemyndigheten,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1111C6BB"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7201A9A8" w14:textId="77777777" w:rsidR="005375B7" w:rsidRPr="005375B7" w:rsidRDefault="005375B7" w:rsidP="005375B7">
      <w:pPr>
        <w:pStyle w:val="ATHeading3"/>
      </w:pPr>
      <w:r w:rsidRPr="005375B7">
        <w:lastRenderedPageBreak/>
        <w:t>19. Europaparlamentets beslut av den 7 maj 2025 om ansvarsfrihet för genomförandet av budgeten för Europeiska miljöbyrån för budgetåret 2023  (2024/2030(DEC))</w:t>
      </w:r>
    </w:p>
    <w:p w14:paraId="411157EA"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7250EC08" w14:textId="041F95A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miljöbyrån för budgetåret 2023,</w:t>
      </w:r>
    </w:p>
    <w:p w14:paraId="257BEEBC" w14:textId="29EA9FCC"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09"/>
      </w:r>
      <w:r w:rsidRPr="005375B7">
        <w:rPr>
          <w:kern w:val="2"/>
          <w14:ligatures w14:val="standardContextual"/>
        </w:rPr>
        <w:t>,</w:t>
      </w:r>
    </w:p>
    <w:p w14:paraId="1E8277A4" w14:textId="2BD5049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10"/>
      </w:r>
      <w:r w:rsidRPr="005375B7">
        <w:rPr>
          <w:kern w:val="2"/>
          <w14:ligatures w14:val="standardContextual"/>
        </w:rPr>
        <w:t>, som avgetts av revisionsrätten för budgetåret 2023 i enlighet med artikel 287 i fördraget om Europeiska unionens funktionssätt,</w:t>
      </w:r>
    </w:p>
    <w:p w14:paraId="0E34A426" w14:textId="14933D7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148A09EB" w14:textId="403A7F27"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0EAB341F" w14:textId="183EE505"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11"/>
      </w:r>
      <w:r w:rsidRPr="005375B7">
        <w:rPr>
          <w:kern w:val="2"/>
          <w14:ligatures w14:val="standardContextual"/>
        </w:rPr>
        <w:t>, särskilt artikel 70,</w:t>
      </w:r>
    </w:p>
    <w:p w14:paraId="58FB4222" w14:textId="41ECDE01"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12"/>
      </w:r>
      <w:r w:rsidRPr="005375B7">
        <w:rPr>
          <w:kern w:val="2"/>
          <w14:ligatures w14:val="standardContextual"/>
        </w:rPr>
        <w:t>, särskilt artikel 70,</w:t>
      </w:r>
    </w:p>
    <w:p w14:paraId="3A24E705" w14:textId="2123F0C6"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401/2009 av den 23 april 2009 om Europeiska miljöbyrån och Europeiska nätverket för miljöinformation och miljöövervakning</w:t>
      </w:r>
      <w:r w:rsidRPr="005375B7">
        <w:rPr>
          <w:kern w:val="2"/>
          <w:vertAlign w:val="superscript"/>
          <w14:ligatures w14:val="standardContextual"/>
        </w:rPr>
        <w:footnoteReference w:id="113"/>
      </w:r>
      <w:r w:rsidRPr="005375B7">
        <w:rPr>
          <w:kern w:val="2"/>
          <w14:ligatures w14:val="standardContextual"/>
        </w:rPr>
        <w:t>, särskilt artikel 13,</w:t>
      </w:r>
    </w:p>
    <w:p w14:paraId="34BF8E66" w14:textId="61D710E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14"/>
      </w:r>
      <w:r w:rsidRPr="005375B7">
        <w:rPr>
          <w:kern w:val="2"/>
          <w14:ligatures w14:val="standardContextual"/>
        </w:rPr>
        <w:t>, särskilt artikel 105,</w:t>
      </w:r>
    </w:p>
    <w:p w14:paraId="33C6A1E4" w14:textId="733877A2"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663D8290" w14:textId="6F686F6F" w:rsidR="005375B7" w:rsidRPr="005375B7" w:rsidRDefault="005375B7" w:rsidP="005375B7">
      <w:pPr>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60C6CD3D" w14:textId="3EC36F23" w:rsidR="005375B7" w:rsidRPr="005375B7" w:rsidRDefault="005375B7" w:rsidP="005375B7">
      <w:pPr>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45BC91D3"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miljöbyrån ansvarsfrihet för genomförandet av byråns budget för budgetåret 2023.</w:t>
      </w:r>
    </w:p>
    <w:p w14:paraId="6E331E5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3A2110BB"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miljöbyrån,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218BB745"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080283AC" w14:textId="77777777" w:rsidR="005375B7" w:rsidRPr="005375B7" w:rsidRDefault="005375B7" w:rsidP="005375B7">
      <w:pPr>
        <w:pStyle w:val="ATHeading3"/>
      </w:pPr>
      <w:r w:rsidRPr="005375B7">
        <w:lastRenderedPageBreak/>
        <w:t>20. Europaparlamentets beslut av den 7 maj 2025 om avslutande av räkenskaperna för Europeiska miljöbyrån för budgetåret 2023  (2024/2030(DEC))</w:t>
      </w:r>
    </w:p>
    <w:p w14:paraId="0B80B551"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113BAEBF" w14:textId="02A40D0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miljöbyrån för budgetåret 2023,</w:t>
      </w:r>
    </w:p>
    <w:p w14:paraId="39AB9A3F" w14:textId="43E6870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15"/>
      </w:r>
      <w:r w:rsidRPr="005375B7">
        <w:rPr>
          <w:kern w:val="2"/>
          <w14:ligatures w14:val="standardContextual"/>
        </w:rPr>
        <w:t>,</w:t>
      </w:r>
    </w:p>
    <w:p w14:paraId="074939F5" w14:textId="2A2204A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16"/>
      </w:r>
      <w:r w:rsidRPr="005375B7">
        <w:rPr>
          <w:kern w:val="2"/>
          <w14:ligatures w14:val="standardContextual"/>
        </w:rPr>
        <w:t>, som avgetts av revisionsrätten för budgetåret 2023 i enlighet med artikel 287 i fördraget om Europeiska unionens funktionssätt,</w:t>
      </w:r>
    </w:p>
    <w:p w14:paraId="1F412208" w14:textId="6602A26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20C33EF6" w14:textId="7E516B4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7D5323BA" w14:textId="0A4AB11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17"/>
      </w:r>
      <w:r w:rsidRPr="005375B7">
        <w:rPr>
          <w:kern w:val="2"/>
          <w14:ligatures w14:val="standardContextual"/>
        </w:rPr>
        <w:t>, särskilt artikel 70,</w:t>
      </w:r>
    </w:p>
    <w:p w14:paraId="798E97E5" w14:textId="1E8F3EE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18"/>
      </w:r>
      <w:r w:rsidRPr="005375B7">
        <w:rPr>
          <w:kern w:val="2"/>
          <w14:ligatures w14:val="standardContextual"/>
        </w:rPr>
        <w:t>, särskilt artikel 70,</w:t>
      </w:r>
    </w:p>
    <w:p w14:paraId="6E6619CF" w14:textId="09977E6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401/2009 av den 23 april 2009 om Europeiska miljöbyrån och Europeiska nätverket för miljöinformation och miljöövervakning</w:t>
      </w:r>
      <w:r w:rsidRPr="005375B7">
        <w:rPr>
          <w:kern w:val="2"/>
          <w:vertAlign w:val="superscript"/>
          <w14:ligatures w14:val="standardContextual"/>
        </w:rPr>
        <w:footnoteReference w:id="119"/>
      </w:r>
      <w:r w:rsidRPr="005375B7">
        <w:rPr>
          <w:kern w:val="2"/>
          <w14:ligatures w14:val="standardContextual"/>
        </w:rPr>
        <w:t>, särskilt artikel 13,</w:t>
      </w:r>
    </w:p>
    <w:p w14:paraId="5DF91082" w14:textId="0D6F778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20"/>
      </w:r>
      <w:r w:rsidRPr="005375B7">
        <w:rPr>
          <w:kern w:val="2"/>
          <w14:ligatures w14:val="standardContextual"/>
        </w:rPr>
        <w:t>, särskilt artikel 105,</w:t>
      </w:r>
    </w:p>
    <w:p w14:paraId="36FB443D" w14:textId="5E0324F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6075990C" w14:textId="3D2ADD8E"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1A7D46BD" w14:textId="14B87A9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530F9148"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miljöbyrån för budgetåret 2023.</w:t>
      </w:r>
    </w:p>
    <w:p w14:paraId="17456215"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miljöbyrån,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5BD07AD2"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6804B728" w14:textId="77777777" w:rsidR="005375B7" w:rsidRPr="005375B7" w:rsidRDefault="005375B7" w:rsidP="005375B7">
      <w:pPr>
        <w:pStyle w:val="ATHeading3"/>
      </w:pPr>
      <w:r w:rsidRPr="005375B7">
        <w:lastRenderedPageBreak/>
        <w:t>21. Europaparlamentets beslut av den 7 maj 2025 om ansvarsfrihet för genomförandet av budgeten för Europeiska fiskerikontrollbyrån för budgetåret 2023  (2024/2030(DEC))</w:t>
      </w:r>
    </w:p>
    <w:p w14:paraId="1B720027"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7221D802" w14:textId="45C37C8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fiskerikontrollbyrån för budgetåret 2023,</w:t>
      </w:r>
    </w:p>
    <w:p w14:paraId="1768CBC0" w14:textId="29CF827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21"/>
      </w:r>
      <w:r w:rsidRPr="005375B7">
        <w:rPr>
          <w:kern w:val="2"/>
          <w14:ligatures w14:val="standardContextual"/>
        </w:rPr>
        <w:t>,</w:t>
      </w:r>
    </w:p>
    <w:p w14:paraId="2A5D4484" w14:textId="74C607A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22"/>
      </w:r>
      <w:r w:rsidRPr="005375B7">
        <w:rPr>
          <w:kern w:val="2"/>
          <w14:ligatures w14:val="standardContextual"/>
        </w:rPr>
        <w:t>, som avgetts av revisionsrätten för budgetåret 2023 i enlighet med artikel 287 i fördraget om Europeiska unionens funktionssätt,</w:t>
      </w:r>
    </w:p>
    <w:p w14:paraId="571A4588" w14:textId="49ACB55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25EA5A7C" w14:textId="42472DB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2A9E05FD" w14:textId="1E8A1AD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23"/>
      </w:r>
      <w:r w:rsidRPr="005375B7">
        <w:rPr>
          <w:kern w:val="2"/>
          <w14:ligatures w14:val="standardContextual"/>
        </w:rPr>
        <w:t>, särskilt artikel 70,</w:t>
      </w:r>
    </w:p>
    <w:p w14:paraId="0B588491" w14:textId="678CEE6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24"/>
      </w:r>
      <w:r w:rsidRPr="005375B7">
        <w:rPr>
          <w:kern w:val="2"/>
          <w14:ligatures w14:val="standardContextual"/>
        </w:rPr>
        <w:t>, särskilt artikel 70,</w:t>
      </w:r>
    </w:p>
    <w:p w14:paraId="5DE2775B" w14:textId="16B4C8E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2019/473 av den 19 mars 2019 om Europeiska fiskerikontrollbyrån</w:t>
      </w:r>
      <w:r w:rsidRPr="005375B7">
        <w:rPr>
          <w:kern w:val="2"/>
          <w:vertAlign w:val="superscript"/>
          <w14:ligatures w14:val="standardContextual"/>
        </w:rPr>
        <w:footnoteReference w:id="125"/>
      </w:r>
      <w:r w:rsidRPr="005375B7">
        <w:rPr>
          <w:kern w:val="2"/>
          <w14:ligatures w14:val="standardContextual"/>
        </w:rPr>
        <w:t>, särskilt artikel 45,</w:t>
      </w:r>
    </w:p>
    <w:p w14:paraId="5409BF3D" w14:textId="2F2C22B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26"/>
      </w:r>
      <w:r w:rsidRPr="005375B7">
        <w:rPr>
          <w:kern w:val="2"/>
          <w14:ligatures w14:val="standardContextual"/>
        </w:rPr>
        <w:t>, särskilt artikel 105,</w:t>
      </w:r>
    </w:p>
    <w:p w14:paraId="14FA778E" w14:textId="68BDED9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67C947BE" w14:textId="78E77C71"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2FD236F7" w14:textId="3E4CA35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2E936DA2"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fiskerikontrollbyrån ansvarsfrihet för genomförandet av byråns budget för budgetåret 2023.</w:t>
      </w:r>
    </w:p>
    <w:p w14:paraId="68E1B9C3"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36A06CD8"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fiskerikontrollbyrån,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437C6FBD"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17D77443" w14:textId="77777777" w:rsidR="005375B7" w:rsidRPr="005375B7" w:rsidRDefault="005375B7" w:rsidP="005375B7">
      <w:pPr>
        <w:pStyle w:val="ATHeading3"/>
      </w:pPr>
      <w:r w:rsidRPr="005375B7">
        <w:lastRenderedPageBreak/>
        <w:t>22. Europaparlamentets beslut av den 7 maj 2025 om avslutande av räkenskaperna för Europeiska fiskerikontrollbyrån för budgetåret 2023  (2024/2030(DEC))</w:t>
      </w:r>
    </w:p>
    <w:p w14:paraId="3A2CE617"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2A671CC7" w14:textId="5680B3F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fiskerikontrollbyrån för budgetåret 2023,</w:t>
      </w:r>
    </w:p>
    <w:p w14:paraId="50C7BAAF" w14:textId="5ABB1AD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27"/>
      </w:r>
      <w:r w:rsidRPr="005375B7">
        <w:rPr>
          <w:kern w:val="2"/>
          <w14:ligatures w14:val="standardContextual"/>
        </w:rPr>
        <w:t>,</w:t>
      </w:r>
    </w:p>
    <w:p w14:paraId="1951B4DA" w14:textId="608B80B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28"/>
      </w:r>
      <w:r w:rsidRPr="005375B7">
        <w:rPr>
          <w:kern w:val="2"/>
          <w14:ligatures w14:val="standardContextual"/>
        </w:rPr>
        <w:t>, som avgetts av revisionsrätten för budgetåret 2023 i enlighet med artikel 287 i fördraget om Europeiska unionens funktionssätt,</w:t>
      </w:r>
    </w:p>
    <w:p w14:paraId="6E93CA89" w14:textId="32B2C35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36CDE494" w14:textId="3F7BBC6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13C6D085" w14:textId="7415CF9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29"/>
      </w:r>
      <w:r w:rsidRPr="005375B7">
        <w:rPr>
          <w:kern w:val="2"/>
          <w14:ligatures w14:val="standardContextual"/>
        </w:rPr>
        <w:t>, särskilt artikel 70,</w:t>
      </w:r>
    </w:p>
    <w:p w14:paraId="4D3A2E1F" w14:textId="6FDF005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30"/>
      </w:r>
      <w:r w:rsidRPr="005375B7">
        <w:rPr>
          <w:kern w:val="2"/>
          <w14:ligatures w14:val="standardContextual"/>
        </w:rPr>
        <w:t>, särskilt artikel 70,</w:t>
      </w:r>
    </w:p>
    <w:p w14:paraId="4C0830C1" w14:textId="7437D66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2019/473 av den 19 mars 2019 om Europeiska fiskerikontrollbyrån</w:t>
      </w:r>
      <w:r w:rsidRPr="005375B7">
        <w:rPr>
          <w:kern w:val="2"/>
          <w:vertAlign w:val="superscript"/>
          <w14:ligatures w14:val="standardContextual"/>
        </w:rPr>
        <w:footnoteReference w:id="131"/>
      </w:r>
      <w:r w:rsidRPr="005375B7">
        <w:rPr>
          <w:kern w:val="2"/>
          <w14:ligatures w14:val="standardContextual"/>
        </w:rPr>
        <w:t>, särskilt artikel 45,</w:t>
      </w:r>
    </w:p>
    <w:p w14:paraId="71433F9E" w14:textId="49EE61F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32"/>
      </w:r>
      <w:r w:rsidRPr="005375B7">
        <w:rPr>
          <w:kern w:val="2"/>
          <w14:ligatures w14:val="standardContextual"/>
        </w:rPr>
        <w:t>, särskilt artikel 105,</w:t>
      </w:r>
    </w:p>
    <w:p w14:paraId="3BEC72A1" w14:textId="47E9F1D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78F6696B" w14:textId="303179B0"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20373365" w14:textId="6D2A6FB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00BB778C"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fiskerikontrollbyrån för budgetåret 2023.</w:t>
      </w:r>
    </w:p>
    <w:p w14:paraId="32E5DEC5"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fiskerikontrollbyrån,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37A00C27"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11FEF852" w14:textId="77777777" w:rsidR="005375B7" w:rsidRPr="005375B7" w:rsidRDefault="005375B7" w:rsidP="005375B7">
      <w:pPr>
        <w:pStyle w:val="ATHeading3"/>
      </w:pPr>
      <w:r w:rsidRPr="005375B7">
        <w:lastRenderedPageBreak/>
        <w:t>23. Europaparlamentets beslut av den 7 maj 2025 om ansvarsfrihet för genomförandet av budgeten för Europeiska myndigheten för livsmedelssäkerhet för budgetåret 2023  (2024/2030(DEC))</w:t>
      </w:r>
    </w:p>
    <w:p w14:paraId="15501B3A"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0D49D72A" w14:textId="2C1DBB3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myndigheten för livsmedelssäkerhet för budgetåret 2023,</w:t>
      </w:r>
    </w:p>
    <w:p w14:paraId="64D02A11" w14:textId="5144894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33"/>
      </w:r>
      <w:r w:rsidRPr="005375B7">
        <w:rPr>
          <w:kern w:val="2"/>
          <w14:ligatures w14:val="standardContextual"/>
        </w:rPr>
        <w:t>,</w:t>
      </w:r>
    </w:p>
    <w:p w14:paraId="20EAB6C7" w14:textId="64D54ED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34"/>
      </w:r>
      <w:r w:rsidRPr="005375B7">
        <w:rPr>
          <w:kern w:val="2"/>
          <w14:ligatures w14:val="standardContextual"/>
        </w:rPr>
        <w:t>, som avgetts av revisionsrätten för budgetåret 2023 i enlighet med artikel 287 i fördraget om Europeiska unionens funktionssätt,</w:t>
      </w:r>
    </w:p>
    <w:p w14:paraId="6772B9A5" w14:textId="6D470C8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3748E87A" w14:textId="43CFD70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030B5BA1" w14:textId="412A269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35"/>
      </w:r>
      <w:r w:rsidRPr="005375B7">
        <w:rPr>
          <w:kern w:val="2"/>
          <w14:ligatures w14:val="standardContextual"/>
        </w:rPr>
        <w:t>, särskilt artikel 70,</w:t>
      </w:r>
    </w:p>
    <w:p w14:paraId="65C6D1A7" w14:textId="0C8F660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36"/>
      </w:r>
      <w:r w:rsidRPr="005375B7">
        <w:rPr>
          <w:kern w:val="2"/>
          <w14:ligatures w14:val="standardContextual"/>
        </w:rPr>
        <w:t>, särskilt artikel 70,</w:t>
      </w:r>
    </w:p>
    <w:p w14:paraId="1765ED48" w14:textId="30D55C8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178/2002 av den 28 januari 2002 om allmänna principer och krav för livsmedelslagstiftning, om inrättande av Europeiska myndigheten för livsmedelssäkerhet och om förfaranden i frågor som gäller livsmedelssäkerhet</w:t>
      </w:r>
      <w:r w:rsidRPr="005375B7">
        <w:rPr>
          <w:kern w:val="2"/>
          <w:vertAlign w:val="superscript"/>
          <w14:ligatures w14:val="standardContextual"/>
        </w:rPr>
        <w:footnoteReference w:id="137"/>
      </w:r>
      <w:r w:rsidRPr="005375B7">
        <w:rPr>
          <w:kern w:val="2"/>
          <w14:ligatures w14:val="standardContextual"/>
        </w:rPr>
        <w:t>, särskilt artikel 44,</w:t>
      </w:r>
    </w:p>
    <w:p w14:paraId="3C4CA611" w14:textId="559DE2D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38"/>
      </w:r>
      <w:r w:rsidRPr="005375B7">
        <w:rPr>
          <w:kern w:val="2"/>
          <w14:ligatures w14:val="standardContextual"/>
        </w:rPr>
        <w:t>, särskilt artikel 105,</w:t>
      </w:r>
    </w:p>
    <w:p w14:paraId="638BBBE1" w14:textId="434E7B8D"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02B3A18D" w14:textId="11FFA38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40494689" w14:textId="2F68506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5623C4F8"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den tillförordnade verkställande direktören för Europeiska myndigheten för livsmedelssäkerhet ansvarsfrihet för genomförandet av myndighetens budget för budgetåret 2023.</w:t>
      </w:r>
    </w:p>
    <w:p w14:paraId="35484EB6"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3200762F"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den tillförordnade verkställande direktören för Europeiska myndigheten för livsmedelssäkerhet,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56C2A949"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04E548EA" w14:textId="77777777" w:rsidR="005375B7" w:rsidRPr="005375B7" w:rsidRDefault="005375B7" w:rsidP="005375B7">
      <w:pPr>
        <w:pStyle w:val="ATHeading3"/>
      </w:pPr>
      <w:r w:rsidRPr="005375B7">
        <w:lastRenderedPageBreak/>
        <w:t>24. Europaparlamentets beslut av den 7 maj 2025 om avslutande av räkenskaperna för Europeiska myndigheten för livsmedelssäkerhet för budgetåret 2023  (2024/2030(DEC))</w:t>
      </w:r>
    </w:p>
    <w:p w14:paraId="4614ABCD"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672CB4D3" w14:textId="769393E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myndigheten för livsmedelssäkerhet för budgetåret 2023,</w:t>
      </w:r>
    </w:p>
    <w:p w14:paraId="3921DDB1" w14:textId="4FBFE5B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39"/>
      </w:r>
      <w:r w:rsidRPr="005375B7">
        <w:rPr>
          <w:kern w:val="2"/>
          <w14:ligatures w14:val="standardContextual"/>
        </w:rPr>
        <w:t>,</w:t>
      </w:r>
    </w:p>
    <w:p w14:paraId="63429D60" w14:textId="20A5113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40"/>
      </w:r>
      <w:r w:rsidRPr="005375B7">
        <w:rPr>
          <w:kern w:val="2"/>
          <w14:ligatures w14:val="standardContextual"/>
        </w:rPr>
        <w:t>, som avgetts av revisionsrätten för budgetåret 2023 i enlighet med artikel 287 i fördraget om Europeiska unionens funktionssätt,</w:t>
      </w:r>
    </w:p>
    <w:p w14:paraId="0D9C500F" w14:textId="509C278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40B7FD4E" w14:textId="13167C2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6D7D7977" w14:textId="294FF2D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41"/>
      </w:r>
      <w:r w:rsidRPr="005375B7">
        <w:rPr>
          <w:kern w:val="2"/>
          <w14:ligatures w14:val="standardContextual"/>
        </w:rPr>
        <w:t>, särskilt artikel 70,</w:t>
      </w:r>
    </w:p>
    <w:p w14:paraId="01A9CC29" w14:textId="57812C8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42"/>
      </w:r>
      <w:r w:rsidRPr="005375B7">
        <w:rPr>
          <w:kern w:val="2"/>
          <w14:ligatures w14:val="standardContextual"/>
        </w:rPr>
        <w:t>, särskilt artikel 70,</w:t>
      </w:r>
    </w:p>
    <w:p w14:paraId="6A09F32B" w14:textId="613BBB6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178/2002 av den 28 januari 2002 om allmänna principer och krav för livsmedelslagstiftning, om inrättande av Europeiska myndigheten för livsmedelssäkerhet och om förfaranden i frågor som gäller livsmedelssäkerhet</w:t>
      </w:r>
      <w:r w:rsidRPr="005375B7">
        <w:rPr>
          <w:kern w:val="2"/>
          <w:vertAlign w:val="superscript"/>
          <w14:ligatures w14:val="standardContextual"/>
        </w:rPr>
        <w:footnoteReference w:id="143"/>
      </w:r>
      <w:r w:rsidRPr="005375B7">
        <w:rPr>
          <w:kern w:val="2"/>
          <w14:ligatures w14:val="standardContextual"/>
        </w:rPr>
        <w:t>, särskilt artikel 44,</w:t>
      </w:r>
    </w:p>
    <w:p w14:paraId="1AC2B442" w14:textId="3D33DC8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44"/>
      </w:r>
      <w:r w:rsidRPr="005375B7">
        <w:rPr>
          <w:kern w:val="2"/>
          <w14:ligatures w14:val="standardContextual"/>
        </w:rPr>
        <w:t>, särskilt artikel 105,</w:t>
      </w:r>
    </w:p>
    <w:p w14:paraId="3A89FBAE" w14:textId="7F230795"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5A89026C" w14:textId="1B07692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552EDC9F" w14:textId="4F41451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01D2B57A"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myndigheten för livsmedelssäkerhet för budgetåret 2023.</w:t>
      </w:r>
    </w:p>
    <w:p w14:paraId="0B88CA83"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den tillförordnade verkställande direktören för Europeiska myndigheten för livsmedelssäkerhet,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19CDB81F" w14:textId="77777777" w:rsidR="005375B7" w:rsidRPr="005375B7" w:rsidRDefault="005375B7" w:rsidP="005375B7">
      <w:pPr>
        <w:widowControl/>
        <w:tabs>
          <w:tab w:val="left" w:pos="5386"/>
        </w:tabs>
        <w:ind w:left="567" w:hanging="567"/>
        <w:rPr>
          <w:i/>
          <w:kern w:val="2"/>
          <w14:ligatures w14:val="standardContextual"/>
        </w:rPr>
      </w:pPr>
    </w:p>
    <w:p w14:paraId="041D2E09" w14:textId="77777777" w:rsidR="005375B7" w:rsidRPr="005375B7" w:rsidRDefault="005375B7" w:rsidP="005375B7">
      <w:pPr>
        <w:widowControl/>
        <w:tabs>
          <w:tab w:val="left" w:pos="5386"/>
        </w:tabs>
        <w:ind w:left="567" w:hanging="567"/>
        <w:rPr>
          <w:kern w:val="2"/>
          <w14:ligatures w14:val="standardContextual"/>
        </w:rPr>
      </w:pPr>
    </w:p>
    <w:p w14:paraId="6E7BBD03"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1C0F04F4"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073DD33F" w14:textId="49FF6B80" w:rsidR="005375B7" w:rsidRPr="005375B7" w:rsidRDefault="005375B7" w:rsidP="005375B7">
      <w:pPr>
        <w:pStyle w:val="ATHeading3"/>
      </w:pPr>
      <w:r w:rsidRPr="005375B7">
        <w:lastRenderedPageBreak/>
        <w:t>25. Europaparlamentets beslut av den 7 maj 2025 om ansvarsfrihet för genomförandet av budgeten för Europeiska jämställdhetsinstitutet för budgetåret 2023</w:t>
      </w:r>
      <w:r>
        <w:t xml:space="preserve"> </w:t>
      </w:r>
      <w:r w:rsidRPr="005375B7">
        <w:t>(2024/2030(DEC))</w:t>
      </w:r>
    </w:p>
    <w:p w14:paraId="796373BC"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7A2BFED8" w14:textId="6A1AB94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jämställdhetsinstitutet för budgetåret 2023,</w:t>
      </w:r>
    </w:p>
    <w:p w14:paraId="04DCAD97" w14:textId="1AA1CD7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45"/>
      </w:r>
      <w:r w:rsidRPr="005375B7">
        <w:rPr>
          <w:kern w:val="2"/>
          <w14:ligatures w14:val="standardContextual"/>
        </w:rPr>
        <w:t>,</w:t>
      </w:r>
    </w:p>
    <w:p w14:paraId="20FC3CEB" w14:textId="27040D6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46"/>
      </w:r>
      <w:r w:rsidRPr="005375B7">
        <w:rPr>
          <w:kern w:val="2"/>
          <w14:ligatures w14:val="standardContextual"/>
        </w:rPr>
        <w:t>, som avgetts av revisionsrätten för budgetåret 2023 i enlighet med artikel 287 i fördraget om Europeiska unionens funktionssätt,</w:t>
      </w:r>
    </w:p>
    <w:p w14:paraId="07B9CCA8" w14:textId="71E138E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institutet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7DECEEDE" w14:textId="0D3CB61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0594B071" w14:textId="52ABA0E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47"/>
      </w:r>
      <w:r w:rsidRPr="005375B7">
        <w:rPr>
          <w:kern w:val="2"/>
          <w14:ligatures w14:val="standardContextual"/>
        </w:rPr>
        <w:t>, särskilt artikel 70,</w:t>
      </w:r>
    </w:p>
    <w:p w14:paraId="344180D8" w14:textId="28F8204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48"/>
      </w:r>
      <w:r w:rsidRPr="005375B7">
        <w:rPr>
          <w:kern w:val="2"/>
          <w14:ligatures w14:val="standardContextual"/>
        </w:rPr>
        <w:t>, särskilt artikel 70,</w:t>
      </w:r>
    </w:p>
    <w:p w14:paraId="4FF8B53C" w14:textId="205ACCD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1922/2006 av den 20 december 2006 om inrättande av ett europeiskt jämställdhetsinstitut</w:t>
      </w:r>
      <w:r w:rsidRPr="005375B7">
        <w:rPr>
          <w:kern w:val="2"/>
          <w:vertAlign w:val="superscript"/>
          <w14:ligatures w14:val="standardContextual"/>
        </w:rPr>
        <w:footnoteReference w:id="149"/>
      </w:r>
      <w:r w:rsidRPr="005375B7">
        <w:rPr>
          <w:kern w:val="2"/>
          <w14:ligatures w14:val="standardContextual"/>
        </w:rPr>
        <w:t>, särskilt artikel 15,</w:t>
      </w:r>
    </w:p>
    <w:p w14:paraId="134DA5AD" w14:textId="7255577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50"/>
      </w:r>
      <w:r w:rsidRPr="005375B7">
        <w:rPr>
          <w:kern w:val="2"/>
          <w14:ligatures w14:val="standardContextual"/>
        </w:rPr>
        <w:t>, särskilt artikel 105,</w:t>
      </w:r>
    </w:p>
    <w:p w14:paraId="24D9A063" w14:textId="37286FB6"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4BEAB4D4" w14:textId="66225D6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06281212" w14:textId="24C9E18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4A49E2FA"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direktören för Europeiska jämställdhetsinstitutet ansvarsfrihet för genomförandet av institutets budget för budgetåret 2023.</w:t>
      </w:r>
    </w:p>
    <w:p w14:paraId="0F9571A2"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7334FB09"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direktören för Europeiska jämställdhetsinstitutet,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528F8865" w14:textId="77777777" w:rsidR="005375B7" w:rsidRPr="005375B7" w:rsidRDefault="005375B7" w:rsidP="005375B7">
      <w:pPr>
        <w:widowControl/>
        <w:tabs>
          <w:tab w:val="left" w:pos="5386"/>
        </w:tabs>
        <w:ind w:left="567" w:hanging="567"/>
        <w:rPr>
          <w:i/>
          <w:kern w:val="2"/>
          <w14:ligatures w14:val="standardContextual"/>
        </w:rPr>
      </w:pPr>
    </w:p>
    <w:p w14:paraId="67707BE8" w14:textId="77777777" w:rsidR="005375B7" w:rsidRPr="005375B7" w:rsidRDefault="005375B7" w:rsidP="005375B7">
      <w:pPr>
        <w:widowControl/>
        <w:tabs>
          <w:tab w:val="left" w:pos="5386"/>
        </w:tabs>
        <w:ind w:left="567" w:hanging="567"/>
        <w:rPr>
          <w:kern w:val="2"/>
          <w14:ligatures w14:val="standardContextual"/>
        </w:rPr>
      </w:pPr>
    </w:p>
    <w:p w14:paraId="614E5EBA"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1694F18B"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6B033184" w14:textId="77777777" w:rsidR="005375B7" w:rsidRPr="005375B7" w:rsidRDefault="005375B7" w:rsidP="005375B7">
      <w:pPr>
        <w:pStyle w:val="ATHeading3"/>
      </w:pPr>
      <w:r w:rsidRPr="005375B7">
        <w:lastRenderedPageBreak/>
        <w:t>26. Europaparlamentets beslut av den 7 maj 2025 om avslutande av räkenskaperna för Europeiska jämställdhetsinstitutet för budgetåret 2023  (2024/2030(DEC))</w:t>
      </w:r>
    </w:p>
    <w:p w14:paraId="31AFC229"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434E71CC" w14:textId="557A9C9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jämställdhetsinstitutet för budgetåret 2023,</w:t>
      </w:r>
    </w:p>
    <w:p w14:paraId="337069AA" w14:textId="3C9B05C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51"/>
      </w:r>
      <w:r w:rsidRPr="005375B7">
        <w:rPr>
          <w:kern w:val="2"/>
          <w14:ligatures w14:val="standardContextual"/>
        </w:rPr>
        <w:t>,</w:t>
      </w:r>
    </w:p>
    <w:p w14:paraId="7A926E54" w14:textId="73F1F30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52"/>
      </w:r>
      <w:r w:rsidRPr="005375B7">
        <w:rPr>
          <w:kern w:val="2"/>
          <w14:ligatures w14:val="standardContextual"/>
        </w:rPr>
        <w:t>, som avgetts av revisionsrätten för budgetåret 2023 i enlighet med artikel 287 i fördraget om Europeiska unionens funktionssätt,</w:t>
      </w:r>
    </w:p>
    <w:p w14:paraId="5E9F88F8" w14:textId="1288C80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institutet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2956870F" w14:textId="53391DE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778812AD" w14:textId="0673385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53"/>
      </w:r>
      <w:r w:rsidRPr="005375B7">
        <w:rPr>
          <w:kern w:val="2"/>
          <w14:ligatures w14:val="standardContextual"/>
        </w:rPr>
        <w:t>, särskilt artikel 70,</w:t>
      </w:r>
    </w:p>
    <w:p w14:paraId="3A417AF2" w14:textId="585F137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54"/>
      </w:r>
      <w:r w:rsidRPr="005375B7">
        <w:rPr>
          <w:kern w:val="2"/>
          <w14:ligatures w14:val="standardContextual"/>
        </w:rPr>
        <w:t>, särskilt artikel 70,</w:t>
      </w:r>
    </w:p>
    <w:p w14:paraId="7D1678BE" w14:textId="39E0952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1922/2006 av den 20 december 2006 om inrättande av ett europeiskt jämställdhetsinstitut</w:t>
      </w:r>
      <w:r w:rsidRPr="005375B7">
        <w:rPr>
          <w:kern w:val="2"/>
          <w:vertAlign w:val="superscript"/>
          <w14:ligatures w14:val="standardContextual"/>
        </w:rPr>
        <w:footnoteReference w:id="155"/>
      </w:r>
      <w:r w:rsidRPr="005375B7">
        <w:rPr>
          <w:kern w:val="2"/>
          <w14:ligatures w14:val="standardContextual"/>
        </w:rPr>
        <w:t>, särskilt artikel 15,</w:t>
      </w:r>
    </w:p>
    <w:p w14:paraId="62230144" w14:textId="4CA3B5B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56"/>
      </w:r>
      <w:r w:rsidRPr="005375B7">
        <w:rPr>
          <w:kern w:val="2"/>
          <w14:ligatures w14:val="standardContextual"/>
        </w:rPr>
        <w:t>, särskilt artikel 105,</w:t>
      </w:r>
    </w:p>
    <w:p w14:paraId="73F46B70" w14:textId="662EA3B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02CA8A72" w14:textId="372ADA72"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2F2DFA7A" w14:textId="01777BB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11EEE39B"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jämställdhetsinstitutet för budgetåret 2023.</w:t>
      </w:r>
    </w:p>
    <w:p w14:paraId="149E6E27"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direktören för Europeiska jämställdhetsinstitutet,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1CF49487"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6DF2C805" w14:textId="77777777" w:rsidR="005375B7" w:rsidRPr="005375B7" w:rsidRDefault="005375B7" w:rsidP="005375B7">
      <w:pPr>
        <w:pStyle w:val="ATHeading3"/>
      </w:pPr>
      <w:r w:rsidRPr="005375B7">
        <w:lastRenderedPageBreak/>
        <w:t>27. Europaparlamentets beslut av den 7 maj 2025 om ansvarsfrihet för genomförandet av budgeten för Europeiska försäkrings- och tjänstepensionsmyndigheten för budgetåret 2023  (2024/2030(DEC))</w:t>
      </w:r>
    </w:p>
    <w:p w14:paraId="306AE5B9"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425A9EFF" w14:textId="2D1ADAD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försäkrings- och tjänstepensionsmyndigheten för budgetåret 2023,</w:t>
      </w:r>
    </w:p>
    <w:p w14:paraId="29926A44" w14:textId="72392DD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57"/>
      </w:r>
      <w:r w:rsidRPr="005375B7">
        <w:rPr>
          <w:kern w:val="2"/>
          <w14:ligatures w14:val="standardContextual"/>
        </w:rPr>
        <w:t>,</w:t>
      </w:r>
    </w:p>
    <w:p w14:paraId="71036D12" w14:textId="16B7277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58"/>
      </w:r>
      <w:r w:rsidRPr="005375B7">
        <w:rPr>
          <w:kern w:val="2"/>
          <w14:ligatures w14:val="standardContextual"/>
        </w:rPr>
        <w:t>, som avgetts av revisionsrätten för budgetåret 2023 i enlighet med artikel 287 i fördraget om Europeiska unionens funktionssätt,</w:t>
      </w:r>
    </w:p>
    <w:p w14:paraId="2B7C387D" w14:textId="4B52E67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578FCB15" w14:textId="60173EE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426EBCE5" w14:textId="7F74F1F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59"/>
      </w:r>
      <w:r w:rsidRPr="005375B7">
        <w:rPr>
          <w:kern w:val="2"/>
          <w14:ligatures w14:val="standardContextual"/>
        </w:rPr>
        <w:t>, särskilt artikel 70,</w:t>
      </w:r>
    </w:p>
    <w:p w14:paraId="2D5175FC" w14:textId="32F61E7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60"/>
      </w:r>
      <w:r w:rsidRPr="005375B7">
        <w:rPr>
          <w:kern w:val="2"/>
          <w14:ligatures w14:val="standardContextual"/>
        </w:rPr>
        <w:t>, särskilt artikel 70,</w:t>
      </w:r>
    </w:p>
    <w:p w14:paraId="29280164" w14:textId="2DCEFEB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nr 1094/2010 av den 24 november 2010 om inrättande av en europeisk tillsynsmyndighet (Europeiska försäkrings- och tjänstepensionsmyndigheten), om ändring av beslut nr 716/2009/EG och om upphävande av kommissionens beslut 2009/79/EG</w:t>
      </w:r>
      <w:r w:rsidRPr="005375B7">
        <w:rPr>
          <w:kern w:val="2"/>
          <w:vertAlign w:val="superscript"/>
          <w14:ligatures w14:val="standardContextual"/>
        </w:rPr>
        <w:footnoteReference w:id="161"/>
      </w:r>
      <w:r w:rsidRPr="005375B7">
        <w:rPr>
          <w:kern w:val="2"/>
          <w14:ligatures w14:val="standardContextual"/>
        </w:rPr>
        <w:t>, särskilt artikel 64,</w:t>
      </w:r>
    </w:p>
    <w:p w14:paraId="7ECA1FAF" w14:textId="21F81C3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EUF‑fördraget och Euratomfördraget och som avses i artikel 70 i </w:t>
      </w:r>
      <w:r w:rsidRPr="005375B7">
        <w:rPr>
          <w:kern w:val="2"/>
          <w14:ligatures w14:val="standardContextual"/>
        </w:rPr>
        <w:lastRenderedPageBreak/>
        <w:t>Europaparlamentets och rådets förordning (EU, Euratom) 2018/1046</w:t>
      </w:r>
      <w:r w:rsidRPr="005375B7">
        <w:rPr>
          <w:kern w:val="2"/>
          <w:vertAlign w:val="superscript"/>
          <w14:ligatures w14:val="standardContextual"/>
        </w:rPr>
        <w:footnoteReference w:id="162"/>
      </w:r>
      <w:r w:rsidRPr="005375B7">
        <w:rPr>
          <w:kern w:val="2"/>
          <w14:ligatures w14:val="standardContextual"/>
        </w:rPr>
        <w:t>, särskilt artikel 105,</w:t>
      </w:r>
    </w:p>
    <w:p w14:paraId="2B2E6BEB" w14:textId="37283BE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2EEEED37" w14:textId="30DE230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1F0F1E77" w14:textId="1A141F2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221079A6"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försäkrings- och tjänstepensionsmyndigheten ansvarsfrihet för genomförandet av myndighetens budget för budgetåret 2023.</w:t>
      </w:r>
    </w:p>
    <w:p w14:paraId="6D17948B"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3CAA7E06"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försäkrings- och tjänstepensionsmyndigheten,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73B18AD0" w14:textId="77777777" w:rsidR="005375B7" w:rsidRPr="005375B7" w:rsidRDefault="005375B7" w:rsidP="005375B7">
      <w:pPr>
        <w:widowControl/>
        <w:tabs>
          <w:tab w:val="left" w:pos="5386"/>
        </w:tabs>
        <w:ind w:left="567" w:hanging="567"/>
        <w:rPr>
          <w:i/>
          <w:kern w:val="2"/>
          <w14:ligatures w14:val="standardContextual"/>
        </w:rPr>
      </w:pPr>
    </w:p>
    <w:p w14:paraId="7D273735" w14:textId="77777777" w:rsidR="005375B7" w:rsidRPr="005375B7" w:rsidRDefault="005375B7" w:rsidP="005375B7">
      <w:pPr>
        <w:widowControl/>
        <w:tabs>
          <w:tab w:val="left" w:pos="5386"/>
        </w:tabs>
        <w:ind w:left="567" w:hanging="567"/>
        <w:rPr>
          <w:kern w:val="2"/>
          <w14:ligatures w14:val="standardContextual"/>
        </w:rPr>
      </w:pPr>
    </w:p>
    <w:p w14:paraId="647DF0F3"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4E918E7E"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4114470C" w14:textId="77777777" w:rsidR="005375B7" w:rsidRPr="005375B7" w:rsidRDefault="005375B7" w:rsidP="005375B7">
      <w:pPr>
        <w:pStyle w:val="ATHeading3"/>
      </w:pPr>
      <w:r w:rsidRPr="005375B7">
        <w:lastRenderedPageBreak/>
        <w:t>28. Europaparlamentets beslut av den 7 maj 2025 om avslutande av räkenskaperna för Europeiska försäkrings- och tjänstepensionsmyndigheten för budgetåret 2023  (2024/2030(DEC))</w:t>
      </w:r>
    </w:p>
    <w:p w14:paraId="67FB0E0A"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27643790" w14:textId="06B497E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försäkrings- och tjänstepensionsmyndigheten för budgetåret 2023,</w:t>
      </w:r>
    </w:p>
    <w:p w14:paraId="4AB44F13" w14:textId="29D5820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63"/>
      </w:r>
      <w:r w:rsidRPr="005375B7">
        <w:rPr>
          <w:kern w:val="2"/>
          <w14:ligatures w14:val="standardContextual"/>
        </w:rPr>
        <w:t>,</w:t>
      </w:r>
    </w:p>
    <w:p w14:paraId="024A7BD9" w14:textId="6759148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64"/>
      </w:r>
      <w:r w:rsidRPr="005375B7">
        <w:rPr>
          <w:kern w:val="2"/>
          <w14:ligatures w14:val="standardContextual"/>
        </w:rPr>
        <w:t>, som avgetts av revisionsrätten för budgetåret 2023 i enlighet med artikel 287 i fördraget om Europeiska unionens funktionssätt,</w:t>
      </w:r>
    </w:p>
    <w:p w14:paraId="7E7DF58A" w14:textId="36D9AB6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4141BACD" w14:textId="0344DC0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11A82B35" w14:textId="055F499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65"/>
      </w:r>
      <w:r w:rsidRPr="005375B7">
        <w:rPr>
          <w:kern w:val="2"/>
          <w14:ligatures w14:val="standardContextual"/>
        </w:rPr>
        <w:t>, särskilt artikel 70,</w:t>
      </w:r>
    </w:p>
    <w:p w14:paraId="7B8E56D5" w14:textId="61B4021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66"/>
      </w:r>
      <w:r w:rsidRPr="005375B7">
        <w:rPr>
          <w:kern w:val="2"/>
          <w14:ligatures w14:val="standardContextual"/>
        </w:rPr>
        <w:t>, särskilt artikel 70,</w:t>
      </w:r>
    </w:p>
    <w:p w14:paraId="1EA62DA1" w14:textId="7B10B90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nr 1094/2010 av den 24 november 2010 om inrättande av en europeisk tillsynsmyndighet (Europeiska försäkrings- och tjänstepensionsmyndigheten), om ändring av beslut nr 716/2009/EG och om upphävande av kommissionens beslut 2009/79/EG</w:t>
      </w:r>
      <w:r w:rsidRPr="005375B7">
        <w:rPr>
          <w:kern w:val="2"/>
          <w:vertAlign w:val="superscript"/>
          <w14:ligatures w14:val="standardContextual"/>
        </w:rPr>
        <w:footnoteReference w:id="167"/>
      </w:r>
      <w:r w:rsidRPr="005375B7">
        <w:rPr>
          <w:kern w:val="2"/>
          <w14:ligatures w14:val="standardContextual"/>
        </w:rPr>
        <w:t>, särskilt artikel 64,</w:t>
      </w:r>
    </w:p>
    <w:p w14:paraId="683143E4" w14:textId="0996168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68"/>
      </w:r>
      <w:r w:rsidRPr="005375B7">
        <w:rPr>
          <w:kern w:val="2"/>
          <w14:ligatures w14:val="standardContextual"/>
        </w:rPr>
        <w:t>, särskilt artikel 105,</w:t>
      </w:r>
    </w:p>
    <w:p w14:paraId="450669D4" w14:textId="1860DD6A"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2216C85A" w14:textId="3DE34FF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5F10F278" w14:textId="408BB82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2832D444"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försäkrings- och tjänstepensionsmyndigheten för budgetåret 2023.</w:t>
      </w:r>
    </w:p>
    <w:p w14:paraId="4105F30B"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försäkrings- och tjänstepensionsmyndigheten,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 serien).</w:t>
      </w:r>
    </w:p>
    <w:p w14:paraId="1C49CBA2" w14:textId="77777777" w:rsidR="005375B7" w:rsidRPr="005375B7" w:rsidRDefault="005375B7" w:rsidP="005375B7">
      <w:pPr>
        <w:widowControl/>
        <w:tabs>
          <w:tab w:val="left" w:pos="5386"/>
        </w:tabs>
        <w:ind w:left="567" w:hanging="567"/>
        <w:rPr>
          <w:kern w:val="2"/>
          <w14:ligatures w14:val="standardContextual"/>
        </w:rPr>
      </w:pPr>
    </w:p>
    <w:p w14:paraId="5615C923"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1CD221E7"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446B5AC2" w14:textId="77777777" w:rsidR="005375B7" w:rsidRPr="005375B7" w:rsidRDefault="005375B7" w:rsidP="005375B7">
      <w:pPr>
        <w:pStyle w:val="ATHeading3"/>
      </w:pPr>
      <w:r w:rsidRPr="005375B7">
        <w:lastRenderedPageBreak/>
        <w:t>29. Europaparlamentets beslut av den 7 maj 2025 om ansvarsfrihet för genomförandet av budgeten för Europeiska institutet för innovation och teknik för budgetåret 2023  (2024/2030(DEC))</w:t>
      </w:r>
    </w:p>
    <w:p w14:paraId="58855DAC"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50B2EB22" w14:textId="6306312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institutet för innovation och teknik för budgetåret 2023,</w:t>
      </w:r>
    </w:p>
    <w:p w14:paraId="7AF35D07" w14:textId="2648006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69"/>
      </w:r>
      <w:r w:rsidRPr="005375B7">
        <w:rPr>
          <w:kern w:val="2"/>
          <w14:ligatures w14:val="standardContextual"/>
        </w:rPr>
        <w:t>,</w:t>
      </w:r>
    </w:p>
    <w:p w14:paraId="6544C20A" w14:textId="482C32F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70"/>
      </w:r>
      <w:r w:rsidRPr="005375B7">
        <w:rPr>
          <w:kern w:val="2"/>
          <w14:ligatures w14:val="standardContextual"/>
        </w:rPr>
        <w:t>, som avgetts av revisionsrätten för budgetåret 2023 i enlighet med artikel 287 i fördraget om Europeiska unionens funktionssätt,</w:t>
      </w:r>
    </w:p>
    <w:p w14:paraId="19D4D413" w14:textId="074672D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institutet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14D89999" w14:textId="4CDB0B5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54893B01" w14:textId="216E907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71"/>
      </w:r>
      <w:r w:rsidRPr="005375B7">
        <w:rPr>
          <w:kern w:val="2"/>
          <w14:ligatures w14:val="standardContextual"/>
        </w:rPr>
        <w:t>, särskilt artikel 70,</w:t>
      </w:r>
    </w:p>
    <w:p w14:paraId="2FA96696" w14:textId="6E6C0EE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72"/>
      </w:r>
      <w:r w:rsidRPr="005375B7">
        <w:rPr>
          <w:kern w:val="2"/>
          <w14:ligatures w14:val="standardContextual"/>
        </w:rPr>
        <w:t>, särskilt artikel 70,</w:t>
      </w:r>
    </w:p>
    <w:p w14:paraId="10D15E70" w14:textId="5E7EE0A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2021/819 av den 20 maj 2021 om Europeiska institutet för innovation och teknik</w:t>
      </w:r>
      <w:r w:rsidRPr="005375B7">
        <w:rPr>
          <w:kern w:val="2"/>
          <w:vertAlign w:val="superscript"/>
          <w14:ligatures w14:val="standardContextual"/>
        </w:rPr>
        <w:footnoteReference w:id="173"/>
      </w:r>
      <w:r w:rsidRPr="005375B7">
        <w:rPr>
          <w:kern w:val="2"/>
          <w14:ligatures w14:val="standardContextual"/>
        </w:rPr>
        <w:t>, särskilt artikel 23,</w:t>
      </w:r>
    </w:p>
    <w:p w14:paraId="4B20AF46" w14:textId="770E7BB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74"/>
      </w:r>
      <w:r w:rsidRPr="005375B7">
        <w:rPr>
          <w:kern w:val="2"/>
          <w14:ligatures w14:val="standardContextual"/>
        </w:rPr>
        <w:t>, särskilt artikel 105,</w:t>
      </w:r>
    </w:p>
    <w:p w14:paraId="3FF1004C" w14:textId="6F63F12D"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1BA544B8" w14:textId="68D997A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2E4A09E8" w14:textId="414E2A7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696AD28F"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direktören för Europeiska institutet för innovation och teknik ansvarsfrihet för genomförandet av institutets budget för budgetåret 2023.</w:t>
      </w:r>
    </w:p>
    <w:p w14:paraId="421CAA84"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60C65960"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direktören för Europeiska institutet för innovation och teknik,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345FA665"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547F4775" w14:textId="77777777" w:rsidR="005375B7" w:rsidRPr="005375B7" w:rsidRDefault="005375B7" w:rsidP="005375B7">
      <w:pPr>
        <w:pStyle w:val="ATHeading3"/>
      </w:pPr>
      <w:r w:rsidRPr="005375B7">
        <w:lastRenderedPageBreak/>
        <w:t>30. Europaparlamentets beslut av den 7 maj 2025 om avslutande av räkenskaperna för Europeiska institutet för innovation och teknik för budgetåret 2023  (2024/2030(DEC))</w:t>
      </w:r>
    </w:p>
    <w:p w14:paraId="05708BEB"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41FD8423" w14:textId="6A4D16D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institutet för innovation och teknik för budgetåret 2023,</w:t>
      </w:r>
    </w:p>
    <w:p w14:paraId="35C317F2" w14:textId="6F3D493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75"/>
      </w:r>
      <w:r w:rsidRPr="005375B7">
        <w:rPr>
          <w:kern w:val="2"/>
          <w14:ligatures w14:val="standardContextual"/>
        </w:rPr>
        <w:t>,</w:t>
      </w:r>
    </w:p>
    <w:p w14:paraId="187A619A" w14:textId="5245F60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76"/>
      </w:r>
      <w:r w:rsidRPr="005375B7">
        <w:rPr>
          <w:kern w:val="2"/>
          <w14:ligatures w14:val="standardContextual"/>
        </w:rPr>
        <w:t>, som avgetts av revisionsrätten för budgetåret 2023 i enlighet med artikel 287 i fördraget om Europeiska unionens funktionssätt,</w:t>
      </w:r>
    </w:p>
    <w:p w14:paraId="29FF1DC0" w14:textId="2F3A441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institutet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3B250932" w14:textId="19F7304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16DE90B8" w14:textId="32080A7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77"/>
      </w:r>
      <w:r w:rsidRPr="005375B7">
        <w:rPr>
          <w:kern w:val="2"/>
          <w14:ligatures w14:val="standardContextual"/>
        </w:rPr>
        <w:t>, särskilt artikel 70,</w:t>
      </w:r>
    </w:p>
    <w:p w14:paraId="7362963E" w14:textId="573397D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78"/>
      </w:r>
      <w:r w:rsidRPr="005375B7">
        <w:rPr>
          <w:kern w:val="2"/>
          <w14:ligatures w14:val="standardContextual"/>
        </w:rPr>
        <w:t>, särskilt artikel 70,</w:t>
      </w:r>
    </w:p>
    <w:p w14:paraId="282AB998" w14:textId="476504D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2021/819 av den 20 maj 2021 om Europeiska institutet för innovation och teknik</w:t>
      </w:r>
      <w:r w:rsidRPr="005375B7">
        <w:rPr>
          <w:kern w:val="2"/>
          <w:vertAlign w:val="superscript"/>
          <w14:ligatures w14:val="standardContextual"/>
        </w:rPr>
        <w:footnoteReference w:id="179"/>
      </w:r>
      <w:r w:rsidRPr="005375B7">
        <w:rPr>
          <w:kern w:val="2"/>
          <w14:ligatures w14:val="standardContextual"/>
        </w:rPr>
        <w:t>, särskilt artikel 23,</w:t>
      </w:r>
    </w:p>
    <w:p w14:paraId="0A1EB372" w14:textId="6D264A4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80"/>
      </w:r>
      <w:r w:rsidRPr="005375B7">
        <w:rPr>
          <w:kern w:val="2"/>
          <w14:ligatures w14:val="standardContextual"/>
        </w:rPr>
        <w:t>, särskilt artikel 105,</w:t>
      </w:r>
    </w:p>
    <w:p w14:paraId="56D6CADE" w14:textId="36F4AFD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0931982B" w14:textId="6B9F2989"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4EA76437" w14:textId="07366EC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06BC6D79"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institutet för innovation och teknik för budgetåret 2023.</w:t>
      </w:r>
    </w:p>
    <w:p w14:paraId="05C0661F"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direktören för Europeiska institutet för innovation och teknik,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411A585A" w14:textId="77777777" w:rsidR="005375B7" w:rsidRPr="005375B7" w:rsidRDefault="005375B7" w:rsidP="005375B7">
      <w:pPr>
        <w:widowControl/>
        <w:tabs>
          <w:tab w:val="left" w:pos="5386"/>
        </w:tabs>
        <w:ind w:left="567" w:hanging="567"/>
        <w:rPr>
          <w:i/>
          <w:kern w:val="2"/>
          <w14:ligatures w14:val="standardContextual"/>
        </w:rPr>
      </w:pPr>
    </w:p>
    <w:p w14:paraId="2ABC4B2A"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149C5544"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4C7FBE5C" w14:textId="4372396E" w:rsidR="005375B7" w:rsidRPr="005375B7" w:rsidRDefault="005375B7" w:rsidP="005375B7">
      <w:pPr>
        <w:pStyle w:val="ATHeading3"/>
      </w:pPr>
      <w:r w:rsidRPr="005375B7">
        <w:lastRenderedPageBreak/>
        <w:t>31. Europaparlamentets beslut av den 7 maj 2025 om ansvarsfrihet för genomförandet av budgeten för Europeiska arbetsmyndigheten för budgetåret 2023 (2024/2030(DEC))</w:t>
      </w:r>
    </w:p>
    <w:p w14:paraId="49B45B29" w14:textId="77777777" w:rsidR="005375B7" w:rsidRPr="005375B7" w:rsidRDefault="005375B7" w:rsidP="005375B7">
      <w:pPr>
        <w:spacing w:before="480" w:after="240"/>
        <w:rPr>
          <w:i/>
          <w:kern w:val="2"/>
          <w14:ligatures w14:val="standardContextual"/>
        </w:rPr>
      </w:pPr>
      <w:r w:rsidRPr="005375B7">
        <w:rPr>
          <w:i/>
          <w:kern w:val="2"/>
          <w14:ligatures w14:val="standardContextual"/>
        </w:rPr>
        <w:t>Europaparlamentet fattar detta beslut</w:t>
      </w:r>
    </w:p>
    <w:p w14:paraId="0B03AFF2" w14:textId="1CD8346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arbetsmyndigheten för budgetåret 2023,</w:t>
      </w:r>
    </w:p>
    <w:p w14:paraId="2781830C" w14:textId="33DA16D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81"/>
      </w:r>
      <w:r w:rsidRPr="005375B7">
        <w:rPr>
          <w:kern w:val="2"/>
          <w14:ligatures w14:val="standardContextual"/>
        </w:rPr>
        <w:t>,</w:t>
      </w:r>
    </w:p>
    <w:p w14:paraId="2E8D3CAD" w14:textId="78153ED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82"/>
      </w:r>
      <w:r w:rsidRPr="005375B7">
        <w:rPr>
          <w:kern w:val="2"/>
          <w14:ligatures w14:val="standardContextual"/>
        </w:rPr>
        <w:t>, som avgetts av revisionsrätten för budgetåret 2023 i enlighet med artikel 287 i fördraget om Europeiska unionens funktionssätt,</w:t>
      </w:r>
    </w:p>
    <w:p w14:paraId="7B5D801A" w14:textId="74AB2EB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4D085BAF" w14:textId="5DC7360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54B21453" w14:textId="1E7C9A3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83"/>
      </w:r>
      <w:r w:rsidRPr="005375B7">
        <w:rPr>
          <w:kern w:val="2"/>
          <w14:ligatures w14:val="standardContextual"/>
        </w:rPr>
        <w:t>, särskilt artikel 70,</w:t>
      </w:r>
    </w:p>
    <w:p w14:paraId="4EC2A67E" w14:textId="6D4CA3D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84"/>
      </w:r>
      <w:r w:rsidRPr="005375B7">
        <w:rPr>
          <w:kern w:val="2"/>
          <w14:ligatures w14:val="standardContextual"/>
        </w:rPr>
        <w:t>, särskilt artikel 70,</w:t>
      </w:r>
    </w:p>
    <w:p w14:paraId="1C7A10A9" w14:textId="142A82A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2019/1149 av den 20 juni 2019 om inrättande av Europeiska arbetsmyndigheten, om ändring av förordningarna (EG) nr 883/2004, (EU) nr 492/2011 och (EU) 2016/589 och om upphävande av beslut (EU) 2016/344</w:t>
      </w:r>
      <w:r w:rsidRPr="005375B7">
        <w:rPr>
          <w:kern w:val="2"/>
          <w:vertAlign w:val="superscript"/>
          <w14:ligatures w14:val="standardContextual"/>
        </w:rPr>
        <w:footnoteReference w:id="185"/>
      </w:r>
      <w:r w:rsidRPr="005375B7">
        <w:rPr>
          <w:kern w:val="2"/>
          <w14:ligatures w14:val="standardContextual"/>
        </w:rPr>
        <w:t>, särskilt artikel 28,</w:t>
      </w:r>
    </w:p>
    <w:p w14:paraId="11DDD18E" w14:textId="560AF0D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86"/>
      </w:r>
      <w:r w:rsidRPr="005375B7">
        <w:rPr>
          <w:kern w:val="2"/>
          <w14:ligatures w14:val="standardContextual"/>
        </w:rPr>
        <w:t>, särskilt artikel 105,</w:t>
      </w:r>
    </w:p>
    <w:p w14:paraId="05BCE3DF" w14:textId="6026ECB1"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3A7E86BA" w14:textId="2262409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23036790" w14:textId="1E279DD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54A8B88F"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arbetsmyndigheten ansvarsfrihet för genomförandet av myndighetens budget för budgetåret 2023.</w:t>
      </w:r>
    </w:p>
    <w:p w14:paraId="67BD1718"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5C2BE90E"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arbetsmyndigheten,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1B98A929"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4A9E5306" w14:textId="77777777" w:rsidR="005375B7" w:rsidRPr="005375B7" w:rsidRDefault="005375B7" w:rsidP="005F6860">
      <w:pPr>
        <w:pStyle w:val="ATHeading3"/>
      </w:pPr>
      <w:r w:rsidRPr="005375B7">
        <w:lastRenderedPageBreak/>
        <w:t>32. Europaparlamentets beslut av den 7 maj 2025 om avslutande av räkenskaperna för Europeiska arbetsmyndigheten för budgetåret 2023  (2024/2030(DEC))</w:t>
      </w:r>
    </w:p>
    <w:p w14:paraId="6A00494A" w14:textId="77777777" w:rsidR="005F6860" w:rsidRPr="005375B7" w:rsidRDefault="005F6860" w:rsidP="005F6860">
      <w:pPr>
        <w:spacing w:before="480" w:after="240"/>
        <w:rPr>
          <w:i/>
          <w:kern w:val="2"/>
          <w14:ligatures w14:val="standardContextual"/>
        </w:rPr>
      </w:pPr>
      <w:r w:rsidRPr="005375B7">
        <w:rPr>
          <w:i/>
          <w:kern w:val="2"/>
          <w14:ligatures w14:val="standardContextual"/>
        </w:rPr>
        <w:t>Europaparlamentet fattar detta beslut</w:t>
      </w:r>
    </w:p>
    <w:p w14:paraId="61C069DD" w14:textId="30E471A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arbetsmyndigheten för budgetåret 2023,</w:t>
      </w:r>
    </w:p>
    <w:p w14:paraId="2DAA310E" w14:textId="54A0ABC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87"/>
      </w:r>
      <w:r w:rsidRPr="005375B7">
        <w:rPr>
          <w:kern w:val="2"/>
          <w14:ligatures w14:val="standardContextual"/>
        </w:rPr>
        <w:t>,</w:t>
      </w:r>
    </w:p>
    <w:p w14:paraId="7528C3E5" w14:textId="1537F02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88"/>
      </w:r>
      <w:r w:rsidRPr="005375B7">
        <w:rPr>
          <w:kern w:val="2"/>
          <w14:ligatures w14:val="standardContextual"/>
        </w:rPr>
        <w:t>, som avgetts av revisionsrätten för budgetåret 2023 i enlighet med artikel 287 i fördraget om Europeiska unionens funktionssätt,</w:t>
      </w:r>
    </w:p>
    <w:p w14:paraId="37F011EB" w14:textId="3D0890D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0FEC233D" w14:textId="6750AF1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71109DD8" w14:textId="454335A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89"/>
      </w:r>
      <w:r w:rsidRPr="005375B7">
        <w:rPr>
          <w:kern w:val="2"/>
          <w14:ligatures w14:val="standardContextual"/>
        </w:rPr>
        <w:t>, särskilt artikel 70,</w:t>
      </w:r>
    </w:p>
    <w:p w14:paraId="25845AA3" w14:textId="777FB3C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90"/>
      </w:r>
      <w:r w:rsidRPr="005375B7">
        <w:rPr>
          <w:kern w:val="2"/>
          <w14:ligatures w14:val="standardContextual"/>
        </w:rPr>
        <w:t>, särskilt artikel 70,</w:t>
      </w:r>
    </w:p>
    <w:p w14:paraId="6195D9BB" w14:textId="0174B32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2019/1149 av den 20 juni 2019 om inrättande av Europeiska arbetsmyndigheten, om ändring av förordningarna (EG) nr 883/2004, (EU) nr 492/2011 och (EU) 2016/589 och om upphävande av beslut (EU) 2016/344</w:t>
      </w:r>
      <w:r w:rsidRPr="005375B7">
        <w:rPr>
          <w:kern w:val="2"/>
          <w:vertAlign w:val="superscript"/>
          <w14:ligatures w14:val="standardContextual"/>
        </w:rPr>
        <w:footnoteReference w:id="191"/>
      </w:r>
      <w:r w:rsidRPr="005375B7">
        <w:rPr>
          <w:kern w:val="2"/>
          <w14:ligatures w14:val="standardContextual"/>
        </w:rPr>
        <w:t>, särskilt artikel 28,</w:t>
      </w:r>
    </w:p>
    <w:p w14:paraId="4CCED5D1" w14:textId="776BBA8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92"/>
      </w:r>
      <w:r w:rsidRPr="005375B7">
        <w:rPr>
          <w:kern w:val="2"/>
          <w14:ligatures w14:val="standardContextual"/>
        </w:rPr>
        <w:t>, särskilt artikel 105,</w:t>
      </w:r>
    </w:p>
    <w:p w14:paraId="35ED8892" w14:textId="68052615"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749D141D" w14:textId="2736D45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49199CE3" w14:textId="4489ED3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76A49025"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arbetsmyndigheten för budgetåret 2023.</w:t>
      </w:r>
    </w:p>
    <w:p w14:paraId="223AD9EC"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arbetsmyndigheten,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46C6FD96" w14:textId="77777777" w:rsidR="005375B7" w:rsidRPr="005375B7" w:rsidRDefault="005375B7" w:rsidP="005375B7">
      <w:pPr>
        <w:widowControl/>
        <w:tabs>
          <w:tab w:val="left" w:pos="5386"/>
        </w:tabs>
        <w:ind w:left="567" w:hanging="567"/>
        <w:rPr>
          <w:i/>
          <w:kern w:val="2"/>
          <w14:ligatures w14:val="standardContextual"/>
        </w:rPr>
      </w:pPr>
    </w:p>
    <w:p w14:paraId="5AFB4EF0" w14:textId="77777777" w:rsidR="005375B7" w:rsidRPr="005375B7" w:rsidRDefault="005375B7" w:rsidP="005375B7">
      <w:pPr>
        <w:widowControl/>
        <w:tabs>
          <w:tab w:val="left" w:pos="5386"/>
        </w:tabs>
        <w:ind w:left="567" w:hanging="567"/>
        <w:rPr>
          <w:kern w:val="2"/>
          <w14:ligatures w14:val="standardContextual"/>
        </w:rPr>
      </w:pPr>
    </w:p>
    <w:p w14:paraId="76103928"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676DA9EA"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751C75E8" w14:textId="77777777" w:rsidR="005375B7" w:rsidRPr="005375B7" w:rsidRDefault="005375B7" w:rsidP="005F6860">
      <w:pPr>
        <w:pStyle w:val="ATHeading3"/>
      </w:pPr>
      <w:r w:rsidRPr="005375B7">
        <w:lastRenderedPageBreak/>
        <w:t>33. Europaparlamentets beslut av den 7 maj 2025 om ansvarsfrihet för genomförandet av budgeten för Europeiska läkemedelsmyndigheten för budgetåret 2023  (2024/2030(DEC))</w:t>
      </w:r>
    </w:p>
    <w:p w14:paraId="33B710B4" w14:textId="77777777" w:rsidR="005F6860" w:rsidRPr="005375B7" w:rsidRDefault="005F6860" w:rsidP="005F6860">
      <w:pPr>
        <w:spacing w:before="480" w:after="240"/>
        <w:rPr>
          <w:i/>
          <w:kern w:val="2"/>
          <w14:ligatures w14:val="standardContextual"/>
        </w:rPr>
      </w:pPr>
      <w:r w:rsidRPr="005375B7">
        <w:rPr>
          <w:i/>
          <w:kern w:val="2"/>
          <w14:ligatures w14:val="standardContextual"/>
        </w:rPr>
        <w:t>Europaparlamentet fattar detta beslut</w:t>
      </w:r>
    </w:p>
    <w:p w14:paraId="53A393DC" w14:textId="05EEEEB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läkemedelsmyndigheten för budgetåret 2023,</w:t>
      </w:r>
    </w:p>
    <w:p w14:paraId="456C3996" w14:textId="23A42CB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93"/>
      </w:r>
      <w:r w:rsidRPr="005375B7">
        <w:rPr>
          <w:kern w:val="2"/>
          <w14:ligatures w14:val="standardContextual"/>
        </w:rPr>
        <w:t>,</w:t>
      </w:r>
    </w:p>
    <w:p w14:paraId="63EA0116" w14:textId="76C35DF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194"/>
      </w:r>
      <w:r w:rsidRPr="005375B7">
        <w:rPr>
          <w:kern w:val="2"/>
          <w14:ligatures w14:val="standardContextual"/>
        </w:rPr>
        <w:t>, som avgetts av revisionsrätten för budgetåret 2023 i enlighet med artikel 287 i fördraget om Europeiska unionens funktionssätt,</w:t>
      </w:r>
    </w:p>
    <w:p w14:paraId="2338A1C7" w14:textId="31B6BD2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4EA321A3" w14:textId="1174025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634E5BF4" w14:textId="3D551E3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195"/>
      </w:r>
      <w:r w:rsidRPr="005375B7">
        <w:rPr>
          <w:kern w:val="2"/>
          <w14:ligatures w14:val="standardContextual"/>
        </w:rPr>
        <w:t>, särskilt artikel 70,</w:t>
      </w:r>
    </w:p>
    <w:p w14:paraId="502A9581" w14:textId="0ADA4E5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196"/>
      </w:r>
      <w:r w:rsidRPr="005375B7">
        <w:rPr>
          <w:kern w:val="2"/>
          <w14:ligatures w14:val="standardContextual"/>
        </w:rPr>
        <w:t>, särskilt artikel 70,</w:t>
      </w:r>
    </w:p>
    <w:p w14:paraId="0CB644FE" w14:textId="5983894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726/2004 av den 31 mars 2004 om inrättande av unionsförfaranden för godkännande av och tillsyn över humanläkemedel och om inrättande av en europeisk läkemedelsmyndighet</w:t>
      </w:r>
      <w:r w:rsidRPr="005375B7">
        <w:rPr>
          <w:kern w:val="2"/>
          <w:vertAlign w:val="superscript"/>
          <w14:ligatures w14:val="standardContextual"/>
        </w:rPr>
        <w:footnoteReference w:id="197"/>
      </w:r>
      <w:r w:rsidRPr="005375B7">
        <w:rPr>
          <w:kern w:val="2"/>
          <w14:ligatures w14:val="standardContextual"/>
        </w:rPr>
        <w:t>, särskilt artikel 68,</w:t>
      </w:r>
    </w:p>
    <w:p w14:paraId="4781708E" w14:textId="08B8A8C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198"/>
      </w:r>
      <w:r w:rsidRPr="005375B7">
        <w:rPr>
          <w:kern w:val="2"/>
          <w14:ligatures w14:val="standardContextual"/>
        </w:rPr>
        <w:t>, särskilt artikel 105,</w:t>
      </w:r>
    </w:p>
    <w:p w14:paraId="4BC7DED6" w14:textId="458B35E3"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4DBC9D1F" w14:textId="5DEDA91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57E47EE2" w14:textId="0F6B73E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73E48F05"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läkemedelsmyndigheten ansvarsfrihet för genomförandet av myndighetens budget för budgetåret 2023.</w:t>
      </w:r>
    </w:p>
    <w:p w14:paraId="224FBABD"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67BBAB51"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läkemedelsmyndigheten,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25A82748"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3EF7BB5D" w14:textId="77777777" w:rsidR="005375B7" w:rsidRPr="005375B7" w:rsidRDefault="005375B7" w:rsidP="005F6860">
      <w:pPr>
        <w:pStyle w:val="ATHeading3"/>
      </w:pPr>
      <w:r w:rsidRPr="005375B7">
        <w:lastRenderedPageBreak/>
        <w:t>34. Europaparlamentets beslut av den 7 maj 2025 om avslutande av räkenskaperna för Europeiska läkemedelsmyndigheten för budgetåret 2023  (2024/2030(DEC))</w:t>
      </w:r>
    </w:p>
    <w:p w14:paraId="7B53D923" w14:textId="77777777" w:rsidR="005F6860" w:rsidRPr="005375B7" w:rsidRDefault="005F6860" w:rsidP="005F6860">
      <w:pPr>
        <w:spacing w:before="480" w:after="240"/>
        <w:rPr>
          <w:i/>
          <w:kern w:val="2"/>
          <w14:ligatures w14:val="standardContextual"/>
        </w:rPr>
      </w:pPr>
      <w:r w:rsidRPr="005375B7">
        <w:rPr>
          <w:i/>
          <w:kern w:val="2"/>
          <w14:ligatures w14:val="standardContextual"/>
        </w:rPr>
        <w:t>Europaparlamentet fattar detta beslut</w:t>
      </w:r>
    </w:p>
    <w:p w14:paraId="4968F6BC" w14:textId="5EF5B78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läkemedelsmyndigheten för budgetåret 2023,</w:t>
      </w:r>
    </w:p>
    <w:p w14:paraId="5ACE6974" w14:textId="4319367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199"/>
      </w:r>
      <w:r w:rsidRPr="005375B7">
        <w:rPr>
          <w:kern w:val="2"/>
          <w14:ligatures w14:val="standardContextual"/>
        </w:rPr>
        <w:t>,</w:t>
      </w:r>
    </w:p>
    <w:p w14:paraId="3BB07B35" w14:textId="0149CC8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00"/>
      </w:r>
      <w:r w:rsidRPr="005375B7">
        <w:rPr>
          <w:kern w:val="2"/>
          <w14:ligatures w14:val="standardContextual"/>
        </w:rPr>
        <w:t>, som avgetts av revisionsrätten för budgetåret 2023 i enlighet med artikel 287 i fördraget om Europeiska unionens funktionssätt,</w:t>
      </w:r>
    </w:p>
    <w:p w14:paraId="7C736197" w14:textId="5490711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7173C6AD" w14:textId="48AF8C6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0199DF8D" w14:textId="4544DF1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01"/>
      </w:r>
      <w:r w:rsidRPr="005375B7">
        <w:rPr>
          <w:kern w:val="2"/>
          <w14:ligatures w14:val="standardContextual"/>
        </w:rPr>
        <w:t>, särskilt artikel 70,</w:t>
      </w:r>
    </w:p>
    <w:p w14:paraId="0721CBB7" w14:textId="79AA4F9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02"/>
      </w:r>
      <w:r w:rsidRPr="005375B7">
        <w:rPr>
          <w:kern w:val="2"/>
          <w14:ligatures w14:val="standardContextual"/>
        </w:rPr>
        <w:t>, särskilt artikel 70,</w:t>
      </w:r>
    </w:p>
    <w:p w14:paraId="3690D465" w14:textId="4C9C65B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726/2004 av den 31 mars 2004 om inrättande av unionsförfaranden för godkännande av och tillsyn över humanläkemedel och om inrättande av en europeisk läkemedelsmyndighet</w:t>
      </w:r>
      <w:r w:rsidRPr="005375B7">
        <w:rPr>
          <w:kern w:val="2"/>
          <w:vertAlign w:val="superscript"/>
          <w14:ligatures w14:val="standardContextual"/>
        </w:rPr>
        <w:footnoteReference w:id="203"/>
      </w:r>
      <w:r w:rsidRPr="005375B7">
        <w:rPr>
          <w:kern w:val="2"/>
          <w14:ligatures w14:val="standardContextual"/>
        </w:rPr>
        <w:t>, särskilt artikel 68,</w:t>
      </w:r>
    </w:p>
    <w:p w14:paraId="6D30EC69" w14:textId="0864A97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204"/>
      </w:r>
      <w:r w:rsidRPr="005375B7">
        <w:rPr>
          <w:kern w:val="2"/>
          <w14:ligatures w14:val="standardContextual"/>
        </w:rPr>
        <w:t>, särskilt artikel 105,</w:t>
      </w:r>
    </w:p>
    <w:p w14:paraId="08EA65D8" w14:textId="6768DA53"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2351BFF3" w14:textId="75F6200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123D94C3" w14:textId="1031222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5F80BB41"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läkemedelsmyndigheten för budgetåret 2023.</w:t>
      </w:r>
    </w:p>
    <w:p w14:paraId="689C9237"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läkemedelsmyndigheten,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59A22D82"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3DB8B2C9" w14:textId="765F80F4" w:rsidR="005375B7" w:rsidRPr="005375B7" w:rsidRDefault="005375B7" w:rsidP="005F6860">
      <w:pPr>
        <w:pStyle w:val="ATHeading3"/>
      </w:pPr>
      <w:r w:rsidRPr="005375B7">
        <w:lastRenderedPageBreak/>
        <w:t>35. Europaparlamentets beslut av den 7 maj 2025 om ansvarsfrihet för genomförandet av budgeten för Europeiska centrumet för kontroll av narkotika och narkotikamissbruk (numera Europeiska unionens narkotikamyndighet) för budgetåret 2023 (2024/2030(DEC))</w:t>
      </w:r>
    </w:p>
    <w:p w14:paraId="48E314BD" w14:textId="77777777" w:rsidR="005F6860" w:rsidRPr="005375B7" w:rsidRDefault="005F6860" w:rsidP="005F6860">
      <w:pPr>
        <w:spacing w:before="480" w:after="240"/>
        <w:rPr>
          <w:i/>
          <w:kern w:val="2"/>
          <w14:ligatures w14:val="standardContextual"/>
        </w:rPr>
      </w:pPr>
      <w:r w:rsidRPr="005375B7">
        <w:rPr>
          <w:i/>
          <w:kern w:val="2"/>
          <w14:ligatures w14:val="standardContextual"/>
        </w:rPr>
        <w:t>Europaparlamentet fattar detta beslut</w:t>
      </w:r>
    </w:p>
    <w:p w14:paraId="7B5AD454" w14:textId="677463C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centrumet för kontroll av narkotika och narkotikamissbruk för budgetåret 2023,</w:t>
      </w:r>
    </w:p>
    <w:p w14:paraId="6690A6B4" w14:textId="450B885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05"/>
      </w:r>
      <w:r w:rsidRPr="005375B7">
        <w:rPr>
          <w:kern w:val="2"/>
          <w14:ligatures w14:val="standardContextual"/>
        </w:rPr>
        <w:t>,</w:t>
      </w:r>
    </w:p>
    <w:p w14:paraId="565841E6" w14:textId="2A9F94E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06"/>
      </w:r>
      <w:r w:rsidRPr="005375B7">
        <w:rPr>
          <w:kern w:val="2"/>
          <w14:ligatures w14:val="standardContextual"/>
        </w:rPr>
        <w:t>, som avgetts av revisionsrätten för budgetåret 2023 i enlighet med artikel 287 i fördraget om Europeiska unionens funktionssätt,</w:t>
      </w:r>
    </w:p>
    <w:p w14:paraId="12E4EDB9" w14:textId="080CFAB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centrumet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73808B86" w14:textId="48D09D1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25759229" w14:textId="375F44B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07"/>
      </w:r>
      <w:r w:rsidRPr="005375B7">
        <w:rPr>
          <w:kern w:val="2"/>
          <w14:ligatures w14:val="standardContextual"/>
        </w:rPr>
        <w:t>, särskilt artikel 70,</w:t>
      </w:r>
    </w:p>
    <w:p w14:paraId="2A74F9C0" w14:textId="04ECDF1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08"/>
      </w:r>
      <w:r w:rsidRPr="005375B7">
        <w:rPr>
          <w:kern w:val="2"/>
          <w14:ligatures w14:val="standardContextual"/>
        </w:rPr>
        <w:t>, särskilt artikel 70,</w:t>
      </w:r>
    </w:p>
    <w:p w14:paraId="649DFFD5" w14:textId="7A450A1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1920/2006 av den 12 december 2006 om Europeiska centrumet för kontroll av narkotika och narkotikamissbruk</w:t>
      </w:r>
      <w:r w:rsidRPr="005375B7">
        <w:rPr>
          <w:kern w:val="2"/>
          <w:vertAlign w:val="superscript"/>
          <w14:ligatures w14:val="standardContextual"/>
        </w:rPr>
        <w:footnoteReference w:id="209"/>
      </w:r>
      <w:r w:rsidRPr="005375B7">
        <w:rPr>
          <w:kern w:val="2"/>
          <w14:ligatures w14:val="standardContextual"/>
        </w:rPr>
        <w:t>, särskilt artikel 15,</w:t>
      </w:r>
    </w:p>
    <w:p w14:paraId="1C6C7A5A" w14:textId="38A54C4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2023/1322 av den 27 juni 2023 om Europeiska unionens narkotikamyndighet (EUDA) och om upphävande av förordning (EG) nr 1920/2006</w:t>
      </w:r>
      <w:r w:rsidRPr="005375B7">
        <w:rPr>
          <w:kern w:val="2"/>
          <w:vertAlign w:val="superscript"/>
          <w14:ligatures w14:val="standardContextual"/>
        </w:rPr>
        <w:footnoteReference w:id="210"/>
      </w:r>
      <w:r w:rsidRPr="005375B7">
        <w:rPr>
          <w:kern w:val="2"/>
          <w14:ligatures w14:val="standardContextual"/>
        </w:rPr>
        <w:t>, särskilt artikel 41,</w:t>
      </w:r>
    </w:p>
    <w:p w14:paraId="089E9EB9" w14:textId="429CC56D"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211"/>
      </w:r>
      <w:r w:rsidRPr="005375B7">
        <w:rPr>
          <w:kern w:val="2"/>
          <w14:ligatures w14:val="standardContextual"/>
        </w:rPr>
        <w:t>, särskilt artikel 105,</w:t>
      </w:r>
    </w:p>
    <w:p w14:paraId="483BD262" w14:textId="4C1D1E2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3A02D5C4" w14:textId="07CBB5A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19CF83B7" w14:textId="780FF79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48FCD035"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direktören för Europeiska unionens narkotikamyndighet ansvarsfrihet för genomförandet av myndighetens budget för budgetåret 2023.</w:t>
      </w:r>
    </w:p>
    <w:p w14:paraId="25CC5B18"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2BCF7964"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direktören för Europeiska unionens narkotikamyndighet,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5170CAB8"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6F1DC311" w14:textId="0614A45E" w:rsidR="005375B7" w:rsidRPr="005375B7" w:rsidRDefault="005375B7" w:rsidP="005F6860">
      <w:pPr>
        <w:pStyle w:val="ATHeading3"/>
      </w:pPr>
      <w:r w:rsidRPr="005375B7">
        <w:lastRenderedPageBreak/>
        <w:t>36. Europaparlamentets beslut av den 7 maj 2025 om avslutande av räkenskaperna för Europeiska centrumet för kontroll av narkotika och narkotikamissbruk (numera Europeiska unionens narkotikamyndighet) för budgetåret 2023 (2024/2030(DEC))</w:t>
      </w:r>
    </w:p>
    <w:p w14:paraId="60F270F5" w14:textId="77777777" w:rsidR="005F6860" w:rsidRPr="005375B7" w:rsidRDefault="005F6860" w:rsidP="005F6860">
      <w:pPr>
        <w:spacing w:before="480" w:after="240"/>
        <w:rPr>
          <w:i/>
          <w:kern w:val="2"/>
          <w14:ligatures w14:val="standardContextual"/>
        </w:rPr>
      </w:pPr>
      <w:r w:rsidRPr="005375B7">
        <w:rPr>
          <w:i/>
          <w:kern w:val="2"/>
          <w14:ligatures w14:val="standardContextual"/>
        </w:rPr>
        <w:t>Europaparlamentet fattar detta beslut</w:t>
      </w:r>
    </w:p>
    <w:p w14:paraId="70C1EA4C" w14:textId="2CD26AE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centrumet för kontroll av narkotika och narkotikamissbruk för budgetåret 2023,</w:t>
      </w:r>
    </w:p>
    <w:p w14:paraId="5A464D75" w14:textId="19D08BA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12"/>
      </w:r>
      <w:r w:rsidRPr="005375B7">
        <w:rPr>
          <w:kern w:val="2"/>
          <w14:ligatures w14:val="standardContextual"/>
        </w:rPr>
        <w:t>,</w:t>
      </w:r>
    </w:p>
    <w:p w14:paraId="5616786A" w14:textId="283FB6A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13"/>
      </w:r>
      <w:r w:rsidRPr="005375B7">
        <w:rPr>
          <w:kern w:val="2"/>
          <w14:ligatures w14:val="standardContextual"/>
        </w:rPr>
        <w:t>, som avgetts av revisionsrätten för budgetåret 2023 i enlighet med artikel 287 i fördraget om Europeiska unionens funktionssätt,</w:t>
      </w:r>
    </w:p>
    <w:p w14:paraId="37165E77" w14:textId="107A86A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centrumet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7032BA8B" w14:textId="6DC6C4A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652B52FE" w14:textId="5B0ABAE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14"/>
      </w:r>
      <w:r w:rsidRPr="005375B7">
        <w:rPr>
          <w:kern w:val="2"/>
          <w14:ligatures w14:val="standardContextual"/>
        </w:rPr>
        <w:t>, särskilt artikel 70,</w:t>
      </w:r>
    </w:p>
    <w:p w14:paraId="4A1BB4B6" w14:textId="51CB0FD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15"/>
      </w:r>
      <w:r w:rsidRPr="005375B7">
        <w:rPr>
          <w:kern w:val="2"/>
          <w14:ligatures w14:val="standardContextual"/>
        </w:rPr>
        <w:t>, särskilt artikel 70,</w:t>
      </w:r>
    </w:p>
    <w:p w14:paraId="23F08D2D" w14:textId="0B1479C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1920/2006 av den 12 december 2006 om Europeiska centrumet för kontroll av narkotika och narkotikamissbruk</w:t>
      </w:r>
      <w:r w:rsidRPr="005375B7">
        <w:rPr>
          <w:kern w:val="2"/>
          <w:vertAlign w:val="superscript"/>
          <w14:ligatures w14:val="standardContextual"/>
        </w:rPr>
        <w:footnoteReference w:id="216"/>
      </w:r>
      <w:r w:rsidRPr="005375B7">
        <w:rPr>
          <w:kern w:val="2"/>
          <w14:ligatures w14:val="standardContextual"/>
        </w:rPr>
        <w:t>, särskilt artikel 15,</w:t>
      </w:r>
    </w:p>
    <w:p w14:paraId="5E64AFC4" w14:textId="63DC058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2023/1322 av den 27 juni 2023 om Europeiska unionens narkotikamyndighet (EUDA) och om upphävande av förordning (EG) nr 1920/2006</w:t>
      </w:r>
      <w:r w:rsidRPr="005375B7">
        <w:rPr>
          <w:kern w:val="2"/>
          <w:vertAlign w:val="superscript"/>
          <w14:ligatures w14:val="standardContextual"/>
        </w:rPr>
        <w:footnoteReference w:id="217"/>
      </w:r>
      <w:r w:rsidRPr="005375B7">
        <w:rPr>
          <w:kern w:val="2"/>
          <w14:ligatures w14:val="standardContextual"/>
        </w:rPr>
        <w:t>, särskilt artikel 41,</w:t>
      </w:r>
    </w:p>
    <w:p w14:paraId="57B7E9CA" w14:textId="0A8F016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w:t>
      </w:r>
      <w:r w:rsidRPr="005375B7">
        <w:rPr>
          <w:kern w:val="2"/>
          <w14:ligatures w14:val="standardContextual"/>
        </w:rPr>
        <w:lastRenderedPageBreak/>
        <w:t>EUF‑fördraget och Euratomfördraget och som avses i artikel 70 i Europaparlamentets och rådets förordning (EU, Euratom) 2018/1046</w:t>
      </w:r>
      <w:r w:rsidRPr="005375B7">
        <w:rPr>
          <w:kern w:val="2"/>
          <w:vertAlign w:val="superscript"/>
          <w14:ligatures w14:val="standardContextual"/>
        </w:rPr>
        <w:footnoteReference w:id="218"/>
      </w:r>
      <w:r w:rsidRPr="005375B7">
        <w:rPr>
          <w:kern w:val="2"/>
          <w14:ligatures w14:val="standardContextual"/>
        </w:rPr>
        <w:t>, särskilt artikel 105,</w:t>
      </w:r>
    </w:p>
    <w:p w14:paraId="4590C053" w14:textId="516C6B8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5D2F171A" w14:textId="5F13795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7296304F" w14:textId="1CBEB21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06C84E2C"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centrumet för kontroll av narkotika och narkotikamissbruk för budgetåret 2023.</w:t>
      </w:r>
    </w:p>
    <w:p w14:paraId="4D6BB10B"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direktören för Europeiska unionens narkotikamyndighet,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3773E2A4"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73CA79C7" w14:textId="6BD2F70C" w:rsidR="005375B7" w:rsidRPr="005375B7" w:rsidRDefault="005375B7" w:rsidP="005F6860">
      <w:pPr>
        <w:pStyle w:val="ATHeading3"/>
      </w:pPr>
      <w:r w:rsidRPr="005375B7">
        <w:lastRenderedPageBreak/>
        <w:t>37. Europaparlamentets beslut av den 7 maj 2025 om ansvarsfrihet för genomförandet av budgeten för Europeiska sjösäkerhetsbyrån för budgetåret 2023 (2024/2030(DEC))</w:t>
      </w:r>
    </w:p>
    <w:p w14:paraId="02A5CF86" w14:textId="77777777" w:rsidR="005F6860" w:rsidRPr="005375B7" w:rsidRDefault="005F6860" w:rsidP="005F6860">
      <w:pPr>
        <w:spacing w:before="480" w:after="240"/>
        <w:rPr>
          <w:i/>
          <w:kern w:val="2"/>
          <w14:ligatures w14:val="standardContextual"/>
        </w:rPr>
      </w:pPr>
      <w:r w:rsidRPr="005375B7">
        <w:rPr>
          <w:i/>
          <w:kern w:val="2"/>
          <w14:ligatures w14:val="standardContextual"/>
        </w:rPr>
        <w:t>Europaparlamentet fattar detta beslut</w:t>
      </w:r>
    </w:p>
    <w:p w14:paraId="7F9896C8" w14:textId="76A78C6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sjösäkerhetsbyrån för budgetåret 2023,</w:t>
      </w:r>
    </w:p>
    <w:p w14:paraId="1BDD73CA" w14:textId="6411020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19"/>
      </w:r>
      <w:r w:rsidRPr="005375B7">
        <w:rPr>
          <w:kern w:val="2"/>
          <w14:ligatures w14:val="standardContextual"/>
        </w:rPr>
        <w:t>,</w:t>
      </w:r>
    </w:p>
    <w:p w14:paraId="19AFCD0C" w14:textId="4D2C97E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20"/>
      </w:r>
      <w:r w:rsidRPr="005375B7">
        <w:rPr>
          <w:kern w:val="2"/>
          <w14:ligatures w14:val="standardContextual"/>
        </w:rPr>
        <w:t>, som avgetts av revisionsrätten för budgetåret 2023 i enlighet med artikel 287 i fördraget om Europeiska unionens funktionssätt,</w:t>
      </w:r>
    </w:p>
    <w:p w14:paraId="085A15D6" w14:textId="60E40C9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0304695E" w14:textId="24F8385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5B4AFE95" w14:textId="303E47B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21"/>
      </w:r>
      <w:r w:rsidRPr="005375B7">
        <w:rPr>
          <w:kern w:val="2"/>
          <w14:ligatures w14:val="standardContextual"/>
        </w:rPr>
        <w:t>, särskilt artikel 70,</w:t>
      </w:r>
    </w:p>
    <w:p w14:paraId="67158640" w14:textId="606DE89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22"/>
      </w:r>
      <w:r w:rsidRPr="005375B7">
        <w:rPr>
          <w:kern w:val="2"/>
          <w14:ligatures w14:val="standardContextual"/>
        </w:rPr>
        <w:t>, särskilt artikel 70,</w:t>
      </w:r>
    </w:p>
    <w:p w14:paraId="3FCC3A37" w14:textId="2177059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1406/2002 av den 27 juni 2002 om inrättande av en europeisk sjösäkerhetsbyrå</w:t>
      </w:r>
      <w:r w:rsidRPr="005375B7">
        <w:rPr>
          <w:kern w:val="2"/>
          <w:vertAlign w:val="superscript"/>
          <w14:ligatures w14:val="standardContextual"/>
        </w:rPr>
        <w:footnoteReference w:id="223"/>
      </w:r>
      <w:r w:rsidRPr="005375B7">
        <w:rPr>
          <w:kern w:val="2"/>
          <w14:ligatures w14:val="standardContextual"/>
        </w:rPr>
        <w:t>, särskilt artikel 19,</w:t>
      </w:r>
    </w:p>
    <w:p w14:paraId="18E21837" w14:textId="6F01BB6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224"/>
      </w:r>
      <w:r w:rsidRPr="005375B7">
        <w:rPr>
          <w:kern w:val="2"/>
          <w14:ligatures w14:val="standardContextual"/>
        </w:rPr>
        <w:t>, särskilt artikel 105,</w:t>
      </w:r>
    </w:p>
    <w:p w14:paraId="34C7AD5A" w14:textId="13EFE62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6B523873" w14:textId="41630416"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4C4C7D0D" w14:textId="44B8755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2D663D81"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sjösäkerhetsbyrån ansvarsfrihet för genomförandet av byråns budget för budgetåret 2023.</w:t>
      </w:r>
    </w:p>
    <w:p w14:paraId="46525947"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6037C358"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sjösäkerhetsbyrån,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564DFCE8"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08EC2661" w14:textId="48CCF9BE" w:rsidR="005375B7" w:rsidRPr="005375B7" w:rsidRDefault="005375B7" w:rsidP="005F6860">
      <w:pPr>
        <w:pStyle w:val="ATHeading3"/>
      </w:pPr>
      <w:r w:rsidRPr="005375B7">
        <w:lastRenderedPageBreak/>
        <w:t>38. Europaparlamentets beslut av den 7 maj 2025 om avslutande av räkenskaperna för Europeiska sjösäkerhetsbyrån för budgetåret 2023 (2024/2030(DEC))</w:t>
      </w:r>
    </w:p>
    <w:p w14:paraId="7A95C623" w14:textId="77777777" w:rsidR="005F6860" w:rsidRPr="005375B7" w:rsidRDefault="005F6860" w:rsidP="005F6860">
      <w:pPr>
        <w:spacing w:before="480" w:after="240"/>
        <w:rPr>
          <w:i/>
          <w:kern w:val="2"/>
          <w14:ligatures w14:val="standardContextual"/>
        </w:rPr>
      </w:pPr>
      <w:r w:rsidRPr="005375B7">
        <w:rPr>
          <w:i/>
          <w:kern w:val="2"/>
          <w14:ligatures w14:val="standardContextual"/>
        </w:rPr>
        <w:t>Europaparlamentet fattar detta beslut</w:t>
      </w:r>
    </w:p>
    <w:p w14:paraId="30BAD3AF" w14:textId="3A3B31C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sjösäkerhetsbyrån för budgetåret 2023,</w:t>
      </w:r>
    </w:p>
    <w:p w14:paraId="0A579C12" w14:textId="457C902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25"/>
      </w:r>
      <w:r w:rsidRPr="005375B7">
        <w:rPr>
          <w:kern w:val="2"/>
          <w14:ligatures w14:val="standardContextual"/>
        </w:rPr>
        <w:t>,</w:t>
      </w:r>
    </w:p>
    <w:p w14:paraId="5E0B1A8E" w14:textId="42461C3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26"/>
      </w:r>
      <w:r w:rsidRPr="005375B7">
        <w:rPr>
          <w:kern w:val="2"/>
          <w14:ligatures w14:val="standardContextual"/>
        </w:rPr>
        <w:t>, som avgetts av revisionsrätten för budgetåret 2023 i enlighet med artikel 287 i fördraget om Europeiska unionens funktionssätt,</w:t>
      </w:r>
    </w:p>
    <w:p w14:paraId="6B06A661" w14:textId="70DBEC6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7929CD8C" w14:textId="48A525B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53BF6CDE" w14:textId="68D3709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27"/>
      </w:r>
      <w:r w:rsidRPr="005375B7">
        <w:rPr>
          <w:kern w:val="2"/>
          <w14:ligatures w14:val="standardContextual"/>
        </w:rPr>
        <w:t>, särskilt artikel 70,</w:t>
      </w:r>
    </w:p>
    <w:p w14:paraId="71C067F9" w14:textId="381DFAB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28"/>
      </w:r>
      <w:r w:rsidRPr="005375B7">
        <w:rPr>
          <w:kern w:val="2"/>
          <w14:ligatures w14:val="standardContextual"/>
        </w:rPr>
        <w:t>, särskilt artikel 70,</w:t>
      </w:r>
    </w:p>
    <w:p w14:paraId="7D61A7CD" w14:textId="7E5E0C9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1406/2002 av den 27 juni 2002 om inrättande av en europeisk sjösäkerhetsbyrå</w:t>
      </w:r>
      <w:r w:rsidRPr="005375B7">
        <w:rPr>
          <w:kern w:val="2"/>
          <w:vertAlign w:val="superscript"/>
          <w14:ligatures w14:val="standardContextual"/>
        </w:rPr>
        <w:footnoteReference w:id="229"/>
      </w:r>
      <w:r w:rsidRPr="005375B7">
        <w:rPr>
          <w:kern w:val="2"/>
          <w14:ligatures w14:val="standardContextual"/>
        </w:rPr>
        <w:t>, särskilt artikel 19,</w:t>
      </w:r>
    </w:p>
    <w:p w14:paraId="266F567D" w14:textId="702C0D4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230"/>
      </w:r>
      <w:r w:rsidRPr="005375B7">
        <w:rPr>
          <w:kern w:val="2"/>
          <w14:ligatures w14:val="standardContextual"/>
        </w:rPr>
        <w:t>, särskilt artikel 105,</w:t>
      </w:r>
    </w:p>
    <w:p w14:paraId="1855CC5C" w14:textId="3113223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2E8D9BD2" w14:textId="7FC29DF3"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099F9C30" w14:textId="729EE63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4B378932"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sjösäkerhetsbyrån för budgetåret 2023.</w:t>
      </w:r>
    </w:p>
    <w:p w14:paraId="2C972000"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sjösäkerhetsbyrån,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3CB37BDD"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4CA39B49" w14:textId="77777777" w:rsidR="005375B7" w:rsidRPr="005375B7" w:rsidRDefault="005375B7" w:rsidP="005F6860">
      <w:pPr>
        <w:pStyle w:val="ATHeading3"/>
      </w:pPr>
      <w:r w:rsidRPr="005375B7">
        <w:lastRenderedPageBreak/>
        <w:t>39. Europaparlamentets beslut av den 7 maj 2025 om ansvarsfrihet för genomförandet av budgeten för Europeiska unionens cybersäkerhetsbyrå för budgetåret 2023  (2024/2030(DEC))</w:t>
      </w:r>
    </w:p>
    <w:p w14:paraId="642FC5E7" w14:textId="77777777" w:rsidR="005F6860" w:rsidRPr="005375B7" w:rsidRDefault="005F6860" w:rsidP="005F6860">
      <w:pPr>
        <w:spacing w:before="480" w:after="240"/>
        <w:rPr>
          <w:i/>
          <w:kern w:val="2"/>
          <w14:ligatures w14:val="standardContextual"/>
        </w:rPr>
      </w:pPr>
      <w:r w:rsidRPr="005375B7">
        <w:rPr>
          <w:i/>
          <w:kern w:val="2"/>
          <w14:ligatures w14:val="standardContextual"/>
        </w:rPr>
        <w:t>Europaparlamentet fattar detta beslut</w:t>
      </w:r>
    </w:p>
    <w:p w14:paraId="16200A47" w14:textId="597166F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cybersäkerhetsbyrå för budgetåret 2023,</w:t>
      </w:r>
    </w:p>
    <w:p w14:paraId="6636FF30" w14:textId="019E5FD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31"/>
      </w:r>
      <w:r w:rsidRPr="005375B7">
        <w:rPr>
          <w:kern w:val="2"/>
          <w14:ligatures w14:val="standardContextual"/>
        </w:rPr>
        <w:t>,</w:t>
      </w:r>
    </w:p>
    <w:p w14:paraId="66E8B385" w14:textId="19083E6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32"/>
      </w:r>
      <w:r w:rsidRPr="005375B7">
        <w:rPr>
          <w:kern w:val="2"/>
          <w14:ligatures w14:val="standardContextual"/>
        </w:rPr>
        <w:t>, som avgetts av revisionsrätten för budgetåret 2023 i enlighet med artikel 287 i fördraget om Europeiska unionens funktionssätt,</w:t>
      </w:r>
    </w:p>
    <w:p w14:paraId="083BE26A" w14:textId="6AD3A68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7C69C1F7" w14:textId="75A555C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0043092F" w14:textId="415666E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33"/>
      </w:r>
      <w:r w:rsidRPr="005375B7">
        <w:rPr>
          <w:kern w:val="2"/>
          <w14:ligatures w14:val="standardContextual"/>
        </w:rPr>
        <w:t>, särskilt artikel 70,</w:t>
      </w:r>
    </w:p>
    <w:p w14:paraId="26C40BA5" w14:textId="2B9CDAB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34"/>
      </w:r>
      <w:r w:rsidRPr="005375B7">
        <w:rPr>
          <w:kern w:val="2"/>
          <w14:ligatures w14:val="standardContextual"/>
        </w:rPr>
        <w:t>, särskilt artikel 70,</w:t>
      </w:r>
    </w:p>
    <w:p w14:paraId="49FF7BEE" w14:textId="4C33C6E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2019/881 av den 17 april 2019 om Enisa (Europeiska unionens cybersäkerhetsbyrå) och om cybersäkerhetscertifiering av informations- och kommunikationsteknik och om upphävande av förordning (EU) nr 526/2013 (cybersäkerhetsakten)</w:t>
      </w:r>
      <w:r w:rsidRPr="005375B7">
        <w:rPr>
          <w:kern w:val="2"/>
          <w:vertAlign w:val="superscript"/>
          <w14:ligatures w14:val="standardContextual"/>
        </w:rPr>
        <w:footnoteReference w:id="235"/>
      </w:r>
      <w:r w:rsidRPr="005375B7">
        <w:rPr>
          <w:kern w:val="2"/>
          <w14:ligatures w14:val="standardContextual"/>
        </w:rPr>
        <w:t>, särskilt artikel 31,</w:t>
      </w:r>
    </w:p>
    <w:p w14:paraId="69422A28" w14:textId="79C8474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w:t>
      </w:r>
      <w:r w:rsidRPr="005375B7">
        <w:rPr>
          <w:kern w:val="2"/>
          <w14:ligatures w14:val="standardContextual"/>
        </w:rPr>
        <w:lastRenderedPageBreak/>
        <w:t>EUF‑fördraget och Euratomfördraget och som avses i artikel 70 i Europaparlamentets och rådets förordning (EU, Euratom) 2018/1046</w:t>
      </w:r>
      <w:r w:rsidRPr="005375B7">
        <w:rPr>
          <w:kern w:val="2"/>
          <w:vertAlign w:val="superscript"/>
          <w14:ligatures w14:val="standardContextual"/>
        </w:rPr>
        <w:footnoteReference w:id="236"/>
      </w:r>
      <w:r w:rsidRPr="005375B7">
        <w:rPr>
          <w:kern w:val="2"/>
          <w14:ligatures w14:val="standardContextual"/>
        </w:rPr>
        <w:t>, särskilt artikel 105,</w:t>
      </w:r>
    </w:p>
    <w:p w14:paraId="2A58326D" w14:textId="3EF21EB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149336AC" w14:textId="6B25776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6EA52B5D" w14:textId="3149281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517D888B"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unionens cybersäkerhetsbyrå ansvarsfrihet för genomförandet av byråns budget för budgetåret 2023.</w:t>
      </w:r>
    </w:p>
    <w:p w14:paraId="57EC1CC7"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1818E7CB"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unionens cybersäkerhetsbyrå,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0E8126FF"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0BC1CCB9" w14:textId="245277A1" w:rsidR="005375B7" w:rsidRPr="005375B7" w:rsidRDefault="005375B7" w:rsidP="005F6860">
      <w:pPr>
        <w:pStyle w:val="ATHeading3"/>
      </w:pPr>
      <w:r w:rsidRPr="005375B7">
        <w:lastRenderedPageBreak/>
        <w:t>40. Europaparlamentets beslut av den 7 maj 2025 om avslutande av räkenskaperna för Europeiska unionens cybersäkerhetsbyrå för budgetåret 2023 (2024/2030(DEC))</w:t>
      </w:r>
    </w:p>
    <w:p w14:paraId="2DDDD6BF" w14:textId="77777777" w:rsidR="005F6860" w:rsidRPr="005375B7" w:rsidRDefault="005F6860" w:rsidP="005F6860">
      <w:pPr>
        <w:spacing w:before="480" w:after="240"/>
        <w:rPr>
          <w:i/>
          <w:kern w:val="2"/>
          <w14:ligatures w14:val="standardContextual"/>
        </w:rPr>
      </w:pPr>
      <w:r w:rsidRPr="005375B7">
        <w:rPr>
          <w:i/>
          <w:kern w:val="2"/>
          <w14:ligatures w14:val="standardContextual"/>
        </w:rPr>
        <w:t>Europaparlamentet fattar detta beslut</w:t>
      </w:r>
    </w:p>
    <w:p w14:paraId="7A224493" w14:textId="550FD0D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cybersäkerhetsbyrå för budgetåret 2023,</w:t>
      </w:r>
    </w:p>
    <w:p w14:paraId="0FADA3EE" w14:textId="659A060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37"/>
      </w:r>
      <w:r w:rsidRPr="005375B7">
        <w:rPr>
          <w:kern w:val="2"/>
          <w14:ligatures w14:val="standardContextual"/>
        </w:rPr>
        <w:t>,</w:t>
      </w:r>
    </w:p>
    <w:p w14:paraId="1376A3ED" w14:textId="155B783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38"/>
      </w:r>
      <w:r w:rsidRPr="005375B7">
        <w:rPr>
          <w:kern w:val="2"/>
          <w14:ligatures w14:val="standardContextual"/>
        </w:rPr>
        <w:t>, som avgetts av revisionsrätten för budgetåret 2023 i enlighet med artikel 287 i fördraget om Europeiska unionens funktionssätt,</w:t>
      </w:r>
    </w:p>
    <w:p w14:paraId="497B72FE" w14:textId="259F787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1FF76772" w14:textId="6D42499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71484CD7" w14:textId="4B788D9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39"/>
      </w:r>
      <w:r w:rsidRPr="005375B7">
        <w:rPr>
          <w:kern w:val="2"/>
          <w14:ligatures w14:val="standardContextual"/>
        </w:rPr>
        <w:t>, särskilt artikel 70,</w:t>
      </w:r>
    </w:p>
    <w:p w14:paraId="7DB8B86E" w14:textId="33C078F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40"/>
      </w:r>
      <w:r w:rsidRPr="005375B7">
        <w:rPr>
          <w:kern w:val="2"/>
          <w14:ligatures w14:val="standardContextual"/>
        </w:rPr>
        <w:t>, särskilt artikel 70,</w:t>
      </w:r>
    </w:p>
    <w:p w14:paraId="32885C8E" w14:textId="37D8237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2019/881 av den 17 april 2019 om Enisa (Europeiska unionens cybersäkerhetsbyrå) och om cybersäkerhetscertifiering av informations- och kommunikationsteknik och om upphävande av förordning (EU) nr 526/2013 (cybersäkerhetsakten)</w:t>
      </w:r>
      <w:r w:rsidRPr="005375B7">
        <w:rPr>
          <w:kern w:val="2"/>
          <w:vertAlign w:val="superscript"/>
          <w14:ligatures w14:val="standardContextual"/>
        </w:rPr>
        <w:footnoteReference w:id="241"/>
      </w:r>
      <w:r w:rsidRPr="005375B7">
        <w:rPr>
          <w:kern w:val="2"/>
          <w14:ligatures w14:val="standardContextual"/>
        </w:rPr>
        <w:t>, särskilt artikel 31,</w:t>
      </w:r>
    </w:p>
    <w:p w14:paraId="34539285" w14:textId="38F0FDE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242"/>
      </w:r>
      <w:r w:rsidRPr="005375B7">
        <w:rPr>
          <w:kern w:val="2"/>
          <w14:ligatures w14:val="standardContextual"/>
        </w:rPr>
        <w:t>, särskilt artikel 105,</w:t>
      </w:r>
    </w:p>
    <w:p w14:paraId="0528D77B" w14:textId="6EEB8C47"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0ADF3106" w14:textId="63E1070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2F687485" w14:textId="750C521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554AD4C7"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unionens cybersäkerhetsbyrå för budgetåret 2023.</w:t>
      </w:r>
    </w:p>
    <w:p w14:paraId="32D1B48E"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unionens cybersäkerhetsbyrå,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32087265"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0919591F" w14:textId="77777777" w:rsidR="005375B7" w:rsidRPr="005375B7" w:rsidRDefault="005375B7" w:rsidP="005F6860">
      <w:pPr>
        <w:pStyle w:val="ATHeading3"/>
      </w:pPr>
      <w:r w:rsidRPr="005375B7">
        <w:lastRenderedPageBreak/>
        <w:t>41. Europaparlamentets beslut av den 7 maj 2025 om ansvarsfrihet för genomförandet av budgeten för Europeiska unionens järnvägsbyrå för budgetåret 2023  (2024/2030(DEC))</w:t>
      </w:r>
    </w:p>
    <w:p w14:paraId="41388588" w14:textId="77777777" w:rsidR="005F6860" w:rsidRPr="005375B7" w:rsidRDefault="005F6860" w:rsidP="005F6860">
      <w:pPr>
        <w:spacing w:before="480" w:after="240"/>
        <w:rPr>
          <w:i/>
          <w:kern w:val="2"/>
          <w14:ligatures w14:val="standardContextual"/>
        </w:rPr>
      </w:pPr>
      <w:r w:rsidRPr="005375B7">
        <w:rPr>
          <w:i/>
          <w:kern w:val="2"/>
          <w14:ligatures w14:val="standardContextual"/>
        </w:rPr>
        <w:t>Europaparlamentet fattar detta beslut</w:t>
      </w:r>
    </w:p>
    <w:p w14:paraId="47B46B3A" w14:textId="78E5A19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järnvägsbyrå för budgetåret 2023,</w:t>
      </w:r>
    </w:p>
    <w:p w14:paraId="6F8267F5" w14:textId="79C944A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43"/>
      </w:r>
      <w:r w:rsidRPr="005375B7">
        <w:rPr>
          <w:kern w:val="2"/>
          <w14:ligatures w14:val="standardContextual"/>
        </w:rPr>
        <w:t>,</w:t>
      </w:r>
    </w:p>
    <w:p w14:paraId="78DB24AD" w14:textId="16329D3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44"/>
      </w:r>
      <w:r w:rsidRPr="005375B7">
        <w:rPr>
          <w:kern w:val="2"/>
          <w14:ligatures w14:val="standardContextual"/>
        </w:rPr>
        <w:t>, som avgetts av revisionsrätten för budgetåret 2023 i enlighet med artikel 287 i fördraget om Europeiska unionens funktionssätt,</w:t>
      </w:r>
    </w:p>
    <w:p w14:paraId="0A1AF8A9" w14:textId="7866522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47C22FF4" w14:textId="7D70ED6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7FB68532" w14:textId="01C3816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45"/>
      </w:r>
      <w:r w:rsidRPr="005375B7">
        <w:rPr>
          <w:kern w:val="2"/>
          <w14:ligatures w14:val="standardContextual"/>
        </w:rPr>
        <w:t>, särskilt artikel 70,</w:t>
      </w:r>
    </w:p>
    <w:p w14:paraId="1820BC0A" w14:textId="061A21B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46"/>
      </w:r>
      <w:r w:rsidRPr="005375B7">
        <w:rPr>
          <w:kern w:val="2"/>
          <w14:ligatures w14:val="standardContextual"/>
        </w:rPr>
        <w:t>, särskilt artikel 70,</w:t>
      </w:r>
    </w:p>
    <w:p w14:paraId="3ADA7C43" w14:textId="2DED02A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2016/796 av den 11 maj 2016 om Europeiska unionens järnvägsbyrå och om upphävande av förordning (EG) nr 881/2004</w:t>
      </w:r>
      <w:r w:rsidRPr="005375B7">
        <w:rPr>
          <w:kern w:val="2"/>
          <w:vertAlign w:val="superscript"/>
          <w14:ligatures w14:val="standardContextual"/>
        </w:rPr>
        <w:footnoteReference w:id="247"/>
      </w:r>
      <w:r w:rsidRPr="005375B7">
        <w:rPr>
          <w:kern w:val="2"/>
          <w14:ligatures w14:val="standardContextual"/>
        </w:rPr>
        <w:t>, särskilt artikel 65,</w:t>
      </w:r>
    </w:p>
    <w:p w14:paraId="6ADDEBC1" w14:textId="3405E94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248"/>
      </w:r>
      <w:r w:rsidRPr="005375B7">
        <w:rPr>
          <w:kern w:val="2"/>
          <w14:ligatures w14:val="standardContextual"/>
        </w:rPr>
        <w:t>, särskilt artikel 105,</w:t>
      </w:r>
    </w:p>
    <w:p w14:paraId="5EAA4E03" w14:textId="29DCA111"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467FAF84" w14:textId="144C16E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2B7D4068" w14:textId="7ABFF7F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7F1CAD5E"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den tillförordnade verkställande direktören för Europeiska unionens järnvägsbyrå ansvarsfrihet för genomförandet av byråns budget för budgetåret 2023.</w:t>
      </w:r>
    </w:p>
    <w:p w14:paraId="0A33FC51"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07636AFF"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den tillförordnade verkställande direktören för Europeiska unionens järnvägsbyrå,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0C0C7BA0"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55EF6B6F" w14:textId="547D509B" w:rsidR="005375B7" w:rsidRPr="005375B7" w:rsidRDefault="005375B7" w:rsidP="005F6860">
      <w:pPr>
        <w:pStyle w:val="ATHeading3"/>
      </w:pPr>
      <w:r w:rsidRPr="005375B7">
        <w:lastRenderedPageBreak/>
        <w:t>42. Europaparlamentets beslut av den 7 maj 2025 om avslutande av räkenskaperna för Europeiska unionens järnvägsbyrå för budgetåret 2023 (2024/2030(DEC))</w:t>
      </w:r>
    </w:p>
    <w:p w14:paraId="4CA13AB2" w14:textId="77777777" w:rsidR="005F6860" w:rsidRPr="005375B7" w:rsidRDefault="005F6860" w:rsidP="005F6860">
      <w:pPr>
        <w:spacing w:before="480" w:after="240"/>
        <w:rPr>
          <w:i/>
          <w:kern w:val="2"/>
          <w14:ligatures w14:val="standardContextual"/>
        </w:rPr>
      </w:pPr>
      <w:r w:rsidRPr="005375B7">
        <w:rPr>
          <w:i/>
          <w:kern w:val="2"/>
          <w14:ligatures w14:val="standardContextual"/>
        </w:rPr>
        <w:t>Europaparlamentet fattar detta beslut</w:t>
      </w:r>
    </w:p>
    <w:p w14:paraId="697DDA23" w14:textId="2FA16DF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järnvägsbyrå för budgetåret 2023,</w:t>
      </w:r>
    </w:p>
    <w:p w14:paraId="1C2662C2" w14:textId="3A92DA0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49"/>
      </w:r>
      <w:r w:rsidRPr="005375B7">
        <w:rPr>
          <w:kern w:val="2"/>
          <w14:ligatures w14:val="standardContextual"/>
        </w:rPr>
        <w:t>,</w:t>
      </w:r>
    </w:p>
    <w:p w14:paraId="07A7717D" w14:textId="6305830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50"/>
      </w:r>
      <w:r w:rsidRPr="005375B7">
        <w:rPr>
          <w:kern w:val="2"/>
          <w14:ligatures w14:val="standardContextual"/>
        </w:rPr>
        <w:t>, som avgetts av revisionsrätten för budgetåret 2023 i enlighet med artikel 287 i fördraget om Europeiska unionens funktionssätt,</w:t>
      </w:r>
    </w:p>
    <w:p w14:paraId="3DB9870D" w14:textId="61BDC10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117ED1DF" w14:textId="66945FA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49460AD0" w14:textId="0D17A02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51"/>
      </w:r>
      <w:r w:rsidRPr="005375B7">
        <w:rPr>
          <w:kern w:val="2"/>
          <w14:ligatures w14:val="standardContextual"/>
        </w:rPr>
        <w:t>, särskilt artikel 70,</w:t>
      </w:r>
    </w:p>
    <w:p w14:paraId="1F19AD40" w14:textId="4975D30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52"/>
      </w:r>
      <w:r w:rsidRPr="005375B7">
        <w:rPr>
          <w:kern w:val="2"/>
          <w14:ligatures w14:val="standardContextual"/>
        </w:rPr>
        <w:t>, särskilt artikel 70,</w:t>
      </w:r>
    </w:p>
    <w:p w14:paraId="37182201" w14:textId="0AEB20A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2016/796 av den 11 maj 2016 om Europeiska unionens järnvägsbyrå och om upphävande av förordning (EG) nr 881/2004</w:t>
      </w:r>
      <w:r w:rsidRPr="005375B7">
        <w:rPr>
          <w:kern w:val="2"/>
          <w:vertAlign w:val="superscript"/>
          <w14:ligatures w14:val="standardContextual"/>
        </w:rPr>
        <w:footnoteReference w:id="253"/>
      </w:r>
      <w:r w:rsidRPr="005375B7">
        <w:rPr>
          <w:kern w:val="2"/>
          <w14:ligatures w14:val="standardContextual"/>
        </w:rPr>
        <w:t>, särskilt artikel 65,</w:t>
      </w:r>
    </w:p>
    <w:p w14:paraId="33DD4B38" w14:textId="12920BD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254"/>
      </w:r>
      <w:r w:rsidRPr="005375B7">
        <w:rPr>
          <w:kern w:val="2"/>
          <w14:ligatures w14:val="standardContextual"/>
        </w:rPr>
        <w:t>, särskilt artikel 105,</w:t>
      </w:r>
    </w:p>
    <w:p w14:paraId="4B9B686D" w14:textId="46F124C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24020992" w14:textId="15FB818C"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7D35F60F" w14:textId="2657EE7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1A2D9D5B"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unionens järnvägsbyrå för budgetåret 2023.</w:t>
      </w:r>
    </w:p>
    <w:p w14:paraId="62FA61EE"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den tillförordnade verkställande direktören för Europeiska unionens järnvägsbyrå,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3A8BD84E"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21F5F0F2" w14:textId="668A24BF" w:rsidR="005375B7" w:rsidRPr="005375B7" w:rsidRDefault="005375B7" w:rsidP="005F6860">
      <w:pPr>
        <w:pStyle w:val="ATHeading3"/>
      </w:pPr>
      <w:r w:rsidRPr="005375B7">
        <w:lastRenderedPageBreak/>
        <w:t>43. Europaparlamentets beslut av den 7 maj 2025 om ansvarsfrihet för genomförandet av budgeten för Euratoms försörjningsbyrå för budgetåret 2023 (2024/2030(DEC))</w:t>
      </w:r>
    </w:p>
    <w:p w14:paraId="1D5A425B" w14:textId="77777777" w:rsidR="005F6860" w:rsidRPr="005375B7" w:rsidRDefault="005F6860" w:rsidP="005F6860">
      <w:pPr>
        <w:spacing w:before="480" w:after="240"/>
        <w:rPr>
          <w:i/>
          <w:kern w:val="2"/>
          <w14:ligatures w14:val="standardContextual"/>
        </w:rPr>
      </w:pPr>
      <w:r w:rsidRPr="005375B7">
        <w:rPr>
          <w:i/>
          <w:kern w:val="2"/>
          <w14:ligatures w14:val="standardContextual"/>
        </w:rPr>
        <w:t>Europaparlamentet fattar detta beslut</w:t>
      </w:r>
    </w:p>
    <w:p w14:paraId="0CE7585B" w14:textId="34AB4CC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Euratoms försörjningsbyrå för budgetåret 2023,</w:t>
      </w:r>
    </w:p>
    <w:p w14:paraId="22355FEB" w14:textId="702C15B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55"/>
      </w:r>
      <w:r w:rsidRPr="005375B7">
        <w:rPr>
          <w:kern w:val="2"/>
          <w14:ligatures w14:val="standardContextual"/>
        </w:rPr>
        <w:t>,</w:t>
      </w:r>
    </w:p>
    <w:p w14:paraId="74AD916F" w14:textId="1B16844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56"/>
      </w:r>
      <w:r w:rsidRPr="005375B7">
        <w:rPr>
          <w:kern w:val="2"/>
          <w14:ligatures w14:val="standardContextual"/>
        </w:rPr>
        <w:t>, som avgetts av revisionsrätten för budgetåret 2023 i enlighet med artikel 287 i fördraget om Europeiska unionens funktionssätt,</w:t>
      </w:r>
    </w:p>
    <w:p w14:paraId="41B15213" w14:textId="0CD0A77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4AA67B64" w14:textId="45B5304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6FD89905" w14:textId="4B62021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106a i fördraget om upprättandet av Europeiska atomenergigemenskapen,</w:t>
      </w:r>
    </w:p>
    <w:p w14:paraId="63735205" w14:textId="7522E0A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57"/>
      </w:r>
      <w:r w:rsidRPr="005375B7">
        <w:rPr>
          <w:kern w:val="2"/>
          <w14:ligatures w14:val="standardContextual"/>
        </w:rPr>
        <w:t>, särskilt artikel 68,</w:t>
      </w:r>
    </w:p>
    <w:p w14:paraId="5A1E77BC" w14:textId="512BC33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58"/>
      </w:r>
      <w:r w:rsidRPr="005375B7">
        <w:rPr>
          <w:kern w:val="2"/>
          <w14:ligatures w14:val="standardContextual"/>
        </w:rPr>
        <w:t>, särskilt artikel 68,</w:t>
      </w:r>
    </w:p>
    <w:p w14:paraId="5DE4530B" w14:textId="27FDC56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rådets beslut 2008/114/EG, Euratom av den 12 februari 2008 om stadgar för Euratoms försörjningsbyrå</w:t>
      </w:r>
      <w:r w:rsidRPr="005375B7">
        <w:rPr>
          <w:kern w:val="2"/>
          <w:vertAlign w:val="superscript"/>
          <w14:ligatures w14:val="standardContextual"/>
        </w:rPr>
        <w:footnoteReference w:id="259"/>
      </w:r>
      <w:r w:rsidRPr="005375B7">
        <w:rPr>
          <w:kern w:val="2"/>
          <w14:ligatures w14:val="standardContextual"/>
        </w:rPr>
        <w:t>, särskilt artikel 8 i bilagan,</w:t>
      </w:r>
    </w:p>
    <w:p w14:paraId="1B52AE7B" w14:textId="77B2580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4DFC6439" w14:textId="302D96C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yttrandena från utskottet för sysselsättning och sociala frågor, utskottet för utskottet för miljö, klimat och livsmedelssäkerhet, utskottet för transport och turism, fiskeriutskottet, utskottet för kultur och utbildning, utskottet för </w:t>
      </w:r>
      <w:r w:rsidRPr="005375B7">
        <w:rPr>
          <w:kern w:val="2"/>
          <w14:ligatures w14:val="standardContextual"/>
        </w:rPr>
        <w:lastRenderedPageBreak/>
        <w:t>medborgerliga fri- och rättigheter samt rättsliga och inrikes frågor och utskottet för kvinnors rättigheter och jämställdhet,</w:t>
      </w:r>
    </w:p>
    <w:p w14:paraId="669DB9BE" w14:textId="22CB998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4BEBA276"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generaldirektören för Euratoms försörjningsbyrå ansvarsfrihet för genomförandet av byråns budget för budgetåret 2023.</w:t>
      </w:r>
    </w:p>
    <w:p w14:paraId="29C46D0C"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6F983994"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generaldirektören för Euratoms försörjningsbyrå,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3DE5C2E6" w14:textId="77777777" w:rsidR="005375B7" w:rsidRPr="005375B7" w:rsidRDefault="005375B7" w:rsidP="005375B7">
      <w:pPr>
        <w:widowControl/>
        <w:tabs>
          <w:tab w:val="left" w:pos="5386"/>
        </w:tabs>
        <w:ind w:left="567" w:hanging="567"/>
        <w:rPr>
          <w:i/>
          <w:kern w:val="2"/>
          <w14:ligatures w14:val="standardContextual"/>
        </w:rPr>
      </w:pPr>
    </w:p>
    <w:p w14:paraId="3272CD31" w14:textId="77777777" w:rsidR="005375B7" w:rsidRPr="005375B7" w:rsidRDefault="005375B7" w:rsidP="005375B7">
      <w:pPr>
        <w:widowControl/>
        <w:tabs>
          <w:tab w:val="left" w:pos="5386"/>
        </w:tabs>
        <w:ind w:left="567" w:hanging="567"/>
        <w:rPr>
          <w:kern w:val="2"/>
          <w14:ligatures w14:val="standardContextual"/>
        </w:rPr>
      </w:pPr>
    </w:p>
    <w:p w14:paraId="7936B042"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4214BD8D"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30B8A184" w14:textId="38E304E2" w:rsidR="005375B7" w:rsidRPr="005375B7" w:rsidRDefault="005375B7" w:rsidP="00455D02">
      <w:pPr>
        <w:pStyle w:val="ATHeading3"/>
      </w:pPr>
      <w:r w:rsidRPr="005375B7">
        <w:lastRenderedPageBreak/>
        <w:t>44. Europaparlamentets beslut av den 7 maj 2025 om avslutande av räkenskaperna för Euratoms försörjningsbyrå för budgetåret 2023 (2024/2030(DEC))</w:t>
      </w:r>
    </w:p>
    <w:p w14:paraId="783F3321"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7A831D27" w14:textId="2066CC1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Euratoms försörjningsbyrå för budgetåret 2023,</w:t>
      </w:r>
    </w:p>
    <w:p w14:paraId="13024906" w14:textId="44FB840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60"/>
      </w:r>
      <w:r w:rsidRPr="005375B7">
        <w:rPr>
          <w:kern w:val="2"/>
          <w14:ligatures w14:val="standardContextual"/>
        </w:rPr>
        <w:t>,</w:t>
      </w:r>
    </w:p>
    <w:p w14:paraId="59B8155D" w14:textId="46CA199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61"/>
      </w:r>
      <w:r w:rsidRPr="005375B7">
        <w:rPr>
          <w:kern w:val="2"/>
          <w14:ligatures w14:val="standardContextual"/>
        </w:rPr>
        <w:t>, som avgetts av revisionsrätten för budgetåret 2023 i enlighet med artikel 287 i fördraget om Europeiska unionens funktionssätt,</w:t>
      </w:r>
    </w:p>
    <w:p w14:paraId="061874BE" w14:textId="420485D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73435C56" w14:textId="763A2D7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7A3A3BBC" w14:textId="6303280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106a i fördraget om upprättandet av Europeiska atomenergigemenskapen,</w:t>
      </w:r>
    </w:p>
    <w:p w14:paraId="27129C1A" w14:textId="43A848E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62"/>
      </w:r>
      <w:r w:rsidRPr="005375B7">
        <w:rPr>
          <w:kern w:val="2"/>
          <w14:ligatures w14:val="standardContextual"/>
        </w:rPr>
        <w:t>, särskilt artikel 68,</w:t>
      </w:r>
    </w:p>
    <w:p w14:paraId="0FFB4E37" w14:textId="1C5A7BA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63"/>
      </w:r>
      <w:r w:rsidRPr="005375B7">
        <w:rPr>
          <w:kern w:val="2"/>
          <w14:ligatures w14:val="standardContextual"/>
        </w:rPr>
        <w:t>, särskilt artikel 68,</w:t>
      </w:r>
    </w:p>
    <w:p w14:paraId="36F4535F" w14:textId="5772CC6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rådets beslut 2008/114/EG, Euratom av den 12 februari 2008 om stadgar för Euratoms försörjningsbyrå</w:t>
      </w:r>
      <w:r w:rsidRPr="005375B7">
        <w:rPr>
          <w:kern w:val="2"/>
          <w:vertAlign w:val="superscript"/>
          <w14:ligatures w14:val="standardContextual"/>
        </w:rPr>
        <w:footnoteReference w:id="264"/>
      </w:r>
      <w:r w:rsidRPr="005375B7">
        <w:rPr>
          <w:kern w:val="2"/>
          <w14:ligatures w14:val="standardContextual"/>
        </w:rPr>
        <w:t>, särskilt artikel 8 i bilagan,</w:t>
      </w:r>
    </w:p>
    <w:p w14:paraId="562F309D" w14:textId="7598964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6B68CD5A" w14:textId="57D244A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yttrandena från utskottet för sysselsättning och sociala frågor, utskottet för utskottet för miljö, klimat och livsmedelssäkerhet, utskottet för transport och turism, fiskeriutskottet, utskottet för kultur och utbildning, utskottet för </w:t>
      </w:r>
      <w:r w:rsidRPr="005375B7">
        <w:rPr>
          <w:kern w:val="2"/>
          <w14:ligatures w14:val="standardContextual"/>
        </w:rPr>
        <w:lastRenderedPageBreak/>
        <w:t>medborgerliga fri- och rättigheter samt rättsliga och inrikes frågor och utskottet för kvinnors rättigheter och jämställdhet,</w:t>
      </w:r>
    </w:p>
    <w:p w14:paraId="2E9AD920" w14:textId="5C94505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05887BF7"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Euratoms försörjningsbyrå för budgetåret 2023.</w:t>
      </w:r>
    </w:p>
    <w:p w14:paraId="60087650"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generaldirektören för Euratoms försörjningsbyrå,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3FAFD51F"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578FDBFB" w14:textId="77777777" w:rsidR="005375B7" w:rsidRPr="005375B7" w:rsidRDefault="005375B7" w:rsidP="00455D02">
      <w:pPr>
        <w:pStyle w:val="ATHeading3"/>
      </w:pPr>
      <w:r w:rsidRPr="005375B7">
        <w:lastRenderedPageBreak/>
        <w:t>45. Europaparlamentets beslut av den 7 maj 2025 om ansvarsfrihet för genomförandet av budgeten för Europeiska värdepappers- och marknadsmyndigheten för budgetåret 2023  (2024/2030(DEC))</w:t>
      </w:r>
    </w:p>
    <w:p w14:paraId="29AA8739"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5283F34D" w14:textId="510FB49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värdepappers- och marknadsmyndigheten för budgetåret 2023,</w:t>
      </w:r>
    </w:p>
    <w:p w14:paraId="2B19B0F5" w14:textId="2350A11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65"/>
      </w:r>
      <w:r w:rsidRPr="005375B7">
        <w:rPr>
          <w:kern w:val="2"/>
          <w14:ligatures w14:val="standardContextual"/>
        </w:rPr>
        <w:t>,</w:t>
      </w:r>
    </w:p>
    <w:p w14:paraId="13A674A2" w14:textId="2013502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66"/>
      </w:r>
      <w:r w:rsidRPr="005375B7">
        <w:rPr>
          <w:kern w:val="2"/>
          <w14:ligatures w14:val="standardContextual"/>
        </w:rPr>
        <w:t>, som avgetts av revisionsrätten för budgetåret 2023 i enlighet med artikel 287 i fördraget om Europeiska unionens funktionssätt,</w:t>
      </w:r>
    </w:p>
    <w:p w14:paraId="73D52538" w14:textId="7C31C26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5301C24A" w14:textId="140E4A0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05876EEC" w14:textId="2BE55CE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67"/>
      </w:r>
      <w:r w:rsidRPr="005375B7">
        <w:rPr>
          <w:kern w:val="2"/>
          <w14:ligatures w14:val="standardContextual"/>
        </w:rPr>
        <w:t>, särskilt artikel 70,</w:t>
      </w:r>
    </w:p>
    <w:p w14:paraId="37B705A3" w14:textId="1F82807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68"/>
      </w:r>
      <w:r w:rsidRPr="005375B7">
        <w:rPr>
          <w:kern w:val="2"/>
          <w14:ligatures w14:val="standardContextual"/>
        </w:rPr>
        <w:t>, särskilt artikel 70,</w:t>
      </w:r>
    </w:p>
    <w:p w14:paraId="03601702" w14:textId="01B964F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nr 1095/2010 av den 24 november 2010 om inrättande av en europeisk tillsynsmyndighet (Europeiska värdepappers- och marknadsmyndigheten), om ändring av beslut nr 716/2009/EG och om upphävande av kommissionens beslut 2009/77/EG</w:t>
      </w:r>
      <w:r w:rsidRPr="005375B7">
        <w:rPr>
          <w:kern w:val="2"/>
          <w:vertAlign w:val="superscript"/>
          <w14:ligatures w14:val="standardContextual"/>
        </w:rPr>
        <w:footnoteReference w:id="269"/>
      </w:r>
      <w:r w:rsidRPr="005375B7">
        <w:rPr>
          <w:kern w:val="2"/>
          <w14:ligatures w14:val="standardContextual"/>
        </w:rPr>
        <w:t>, särskilt artikel 64,</w:t>
      </w:r>
    </w:p>
    <w:p w14:paraId="185F6492" w14:textId="5597AFF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270"/>
      </w:r>
      <w:r w:rsidRPr="005375B7">
        <w:rPr>
          <w:kern w:val="2"/>
          <w14:ligatures w14:val="standardContextual"/>
        </w:rPr>
        <w:t>, särskilt artikel 105,</w:t>
      </w:r>
    </w:p>
    <w:p w14:paraId="1EA1FB66" w14:textId="3F7D0A21"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47364109" w14:textId="3656B88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0769CCF7" w14:textId="66F7150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00E8D948"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värdepappers- och marknadsmyndigheten ansvarsfrihet för genomförandet av myndighetens budget för budgetåret 2023.</w:t>
      </w:r>
    </w:p>
    <w:p w14:paraId="7FE43F72"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726303A1"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värdepappers- och marknadsmyndigheten,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5B8F2F99"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1F21E104"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71C22786" w14:textId="77777777" w:rsidR="005375B7" w:rsidRPr="005375B7" w:rsidRDefault="005375B7" w:rsidP="00455D02">
      <w:pPr>
        <w:pStyle w:val="ATHeading3"/>
      </w:pPr>
      <w:r w:rsidRPr="005375B7">
        <w:lastRenderedPageBreak/>
        <w:t>46. Europaparlamentets beslut av den 7 maj 2025 om avslutande av räkenskaperna för Europeiska värdepappers- och marknadsmyndigheten för budgetåret 2023  (2024/2030(DEC))</w:t>
      </w:r>
    </w:p>
    <w:p w14:paraId="7172EDFA"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1DBA71A1" w14:textId="79741A8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värdepappers- och marknadsmyndigheten för budgetåret 2023,</w:t>
      </w:r>
    </w:p>
    <w:p w14:paraId="14A5FD37" w14:textId="5255850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71"/>
      </w:r>
      <w:r w:rsidRPr="005375B7">
        <w:rPr>
          <w:kern w:val="2"/>
          <w14:ligatures w14:val="standardContextual"/>
        </w:rPr>
        <w:t>,</w:t>
      </w:r>
    </w:p>
    <w:p w14:paraId="3EEFE4A6" w14:textId="096AAE2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72"/>
      </w:r>
      <w:r w:rsidRPr="005375B7">
        <w:rPr>
          <w:kern w:val="2"/>
          <w14:ligatures w14:val="standardContextual"/>
        </w:rPr>
        <w:t>, som avgetts av revisionsrätten för budgetåret 2023 i enlighet med artikel 287 i fördraget om Europeiska unionens funktionssätt,</w:t>
      </w:r>
    </w:p>
    <w:p w14:paraId="14237A97" w14:textId="07B60E3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myndigheten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3022B4DE" w14:textId="0528F40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3E818376" w14:textId="2B50FEA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73"/>
      </w:r>
      <w:r w:rsidRPr="005375B7">
        <w:rPr>
          <w:kern w:val="2"/>
          <w14:ligatures w14:val="standardContextual"/>
        </w:rPr>
        <w:t>, särskilt artikel 70,</w:t>
      </w:r>
    </w:p>
    <w:p w14:paraId="099D2568" w14:textId="0900D62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74"/>
      </w:r>
      <w:r w:rsidRPr="005375B7">
        <w:rPr>
          <w:kern w:val="2"/>
          <w14:ligatures w14:val="standardContextual"/>
        </w:rPr>
        <w:t>, särskilt artikel 70,</w:t>
      </w:r>
    </w:p>
    <w:p w14:paraId="6CB0AA98" w14:textId="05DD4DA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nr 1095/2010 av den 24 november 2010 om inrättande av en europeisk tillsynsmyndighet (Europeiska värdepappers- och marknadsmyndigheten), om ändring av beslut nr 716/2009/EG och om upphävande av kommissionens beslut 2009/77/EG</w:t>
      </w:r>
      <w:r w:rsidRPr="005375B7">
        <w:rPr>
          <w:kern w:val="2"/>
          <w:vertAlign w:val="superscript"/>
          <w14:ligatures w14:val="standardContextual"/>
        </w:rPr>
        <w:footnoteReference w:id="275"/>
      </w:r>
      <w:r w:rsidRPr="005375B7">
        <w:rPr>
          <w:kern w:val="2"/>
          <w14:ligatures w14:val="standardContextual"/>
        </w:rPr>
        <w:t>, särskilt artikel 64,</w:t>
      </w:r>
    </w:p>
    <w:p w14:paraId="508D82AD" w14:textId="0AB6C27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276"/>
      </w:r>
      <w:r w:rsidRPr="005375B7">
        <w:rPr>
          <w:kern w:val="2"/>
          <w14:ligatures w14:val="standardContextual"/>
        </w:rPr>
        <w:t>, särskilt artikel 105,</w:t>
      </w:r>
    </w:p>
    <w:p w14:paraId="5FDB119E" w14:textId="3BC5FC14"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723FD461" w14:textId="696BE8A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15C3825B" w14:textId="1DF8E25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086C8CF1"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värdepappers- och marknadsmyndigheten för budgetåret 2023.</w:t>
      </w:r>
    </w:p>
    <w:p w14:paraId="4767AFA6"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värdepappers- och marknadsmyndigheten,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6FCA52B0"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3FD30C8B" w14:textId="77777777" w:rsidR="005375B7" w:rsidRPr="005375B7" w:rsidRDefault="005375B7" w:rsidP="00455D02">
      <w:pPr>
        <w:pStyle w:val="ATHeading3"/>
      </w:pPr>
      <w:r w:rsidRPr="005375B7">
        <w:lastRenderedPageBreak/>
        <w:t>47. Europaparlamentets beslut av den 7 maj 2025 om ansvarsfrihet för genomförandet av budgeten för Europeiska yrkesutbildningsstiftelsen för budgetåret 2023  (2024/2030(DEC))</w:t>
      </w:r>
    </w:p>
    <w:p w14:paraId="26265DA2"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56F3D454" w14:textId="3CEBC0C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yrkesutbildningsstiftelsen för budgetåret 2023,</w:t>
      </w:r>
    </w:p>
    <w:p w14:paraId="63256E35" w14:textId="07C51F3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77"/>
      </w:r>
      <w:r w:rsidRPr="005375B7">
        <w:rPr>
          <w:kern w:val="2"/>
          <w14:ligatures w14:val="standardContextual"/>
        </w:rPr>
        <w:t>,</w:t>
      </w:r>
    </w:p>
    <w:p w14:paraId="2E01E356" w14:textId="70F7844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78"/>
      </w:r>
      <w:r w:rsidRPr="005375B7">
        <w:rPr>
          <w:kern w:val="2"/>
          <w14:ligatures w14:val="standardContextual"/>
        </w:rPr>
        <w:t>, som avgetts av revisionsrätten för budgetåret 2023 i enlighet med artikel 287 i fördraget om Europeiska unionens funktionssätt,</w:t>
      </w:r>
    </w:p>
    <w:p w14:paraId="197B2C4B" w14:textId="778587D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stiftelsen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255EE8C1" w14:textId="44582EA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4513EDBC" w14:textId="55A40F1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79"/>
      </w:r>
      <w:r w:rsidRPr="005375B7">
        <w:rPr>
          <w:kern w:val="2"/>
          <w14:ligatures w14:val="standardContextual"/>
        </w:rPr>
        <w:t>, särskilt artikel 70,</w:t>
      </w:r>
    </w:p>
    <w:p w14:paraId="289412ED" w14:textId="04AA561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80"/>
      </w:r>
      <w:r w:rsidRPr="005375B7">
        <w:rPr>
          <w:kern w:val="2"/>
          <w14:ligatures w14:val="standardContextual"/>
        </w:rPr>
        <w:t>, särskilt artikel 70,</w:t>
      </w:r>
    </w:p>
    <w:p w14:paraId="53A6C877" w14:textId="1840482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1339/2008 av den 16 december 2008 om inrättande av Europeiska yrkesutbildningsstiftelsen</w:t>
      </w:r>
      <w:r w:rsidRPr="005375B7">
        <w:rPr>
          <w:kern w:val="2"/>
          <w:vertAlign w:val="superscript"/>
          <w14:ligatures w14:val="standardContextual"/>
        </w:rPr>
        <w:footnoteReference w:id="281"/>
      </w:r>
      <w:r w:rsidRPr="005375B7">
        <w:rPr>
          <w:kern w:val="2"/>
          <w14:ligatures w14:val="standardContextual"/>
        </w:rPr>
        <w:t>, särskilt artikel 17,</w:t>
      </w:r>
    </w:p>
    <w:p w14:paraId="40656A2D" w14:textId="6DDEBC2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282"/>
      </w:r>
      <w:r w:rsidRPr="005375B7">
        <w:rPr>
          <w:kern w:val="2"/>
          <w14:ligatures w14:val="standardContextual"/>
        </w:rPr>
        <w:t>, särskilt artikel 105,</w:t>
      </w:r>
    </w:p>
    <w:p w14:paraId="0DA71E3C" w14:textId="45976B22"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5F3FAE20" w14:textId="5DC0327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2907E2A9" w14:textId="50094FD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2E8F297D"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direktören för Europeiska yrkesutbildningsstiftelsen ansvarsfrihet för genomförandet av stiftelsens budget för budgetåret 2023.</w:t>
      </w:r>
    </w:p>
    <w:p w14:paraId="45376DD0"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7A7C9063"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direktören för Europeiska yrkesutbildningsstiftelsen,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17BC1F47" w14:textId="77777777" w:rsidR="005375B7" w:rsidRPr="005375B7" w:rsidRDefault="005375B7" w:rsidP="005375B7">
      <w:pPr>
        <w:widowControl/>
        <w:tabs>
          <w:tab w:val="left" w:pos="5386"/>
        </w:tabs>
        <w:ind w:left="567" w:hanging="567"/>
        <w:rPr>
          <w:i/>
          <w:kern w:val="2"/>
          <w14:ligatures w14:val="standardContextual"/>
        </w:rPr>
      </w:pPr>
    </w:p>
    <w:p w14:paraId="27089D45" w14:textId="77777777" w:rsidR="005375B7" w:rsidRPr="005375B7" w:rsidRDefault="005375B7" w:rsidP="005375B7">
      <w:pPr>
        <w:widowControl/>
        <w:tabs>
          <w:tab w:val="left" w:pos="5386"/>
        </w:tabs>
        <w:ind w:left="567" w:hanging="567"/>
        <w:rPr>
          <w:kern w:val="2"/>
          <w14:ligatures w14:val="standardContextual"/>
        </w:rPr>
      </w:pPr>
    </w:p>
    <w:p w14:paraId="10861592"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02F629AE"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38A9AF0F" w14:textId="2A9FC899" w:rsidR="005375B7" w:rsidRPr="005375B7" w:rsidRDefault="005375B7" w:rsidP="00455D02">
      <w:pPr>
        <w:pStyle w:val="ATHeading3"/>
      </w:pPr>
      <w:r w:rsidRPr="005375B7">
        <w:lastRenderedPageBreak/>
        <w:t>48. Europaparlamentets beslut av den 7 maj 2025 om avslutande av räkenskaperna för Europeiska yrkesutbildningsstiftelsen för budgetåret 2023 (2024/2030(DEC))</w:t>
      </w:r>
    </w:p>
    <w:p w14:paraId="31CBEE08"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017DFE26" w14:textId="573EB57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yrkesutbildningsstiftelsen för budgetåret 2023,</w:t>
      </w:r>
    </w:p>
    <w:p w14:paraId="598BA775" w14:textId="5E0E660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83"/>
      </w:r>
      <w:r w:rsidRPr="005375B7">
        <w:rPr>
          <w:kern w:val="2"/>
          <w14:ligatures w14:val="standardContextual"/>
        </w:rPr>
        <w:t>,</w:t>
      </w:r>
    </w:p>
    <w:p w14:paraId="5DA4216C" w14:textId="28D3545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84"/>
      </w:r>
      <w:r w:rsidRPr="005375B7">
        <w:rPr>
          <w:kern w:val="2"/>
          <w14:ligatures w14:val="standardContextual"/>
        </w:rPr>
        <w:t>, som avgetts av revisionsrätten för budgetåret 2023 i enlighet med artikel 287 i fördraget om Europeiska unionens funktionssätt,</w:t>
      </w:r>
    </w:p>
    <w:p w14:paraId="7CA32371" w14:textId="577F126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stiftelsen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1993A5E2" w14:textId="415DE33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504F7E15" w14:textId="69AEE23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85"/>
      </w:r>
      <w:r w:rsidRPr="005375B7">
        <w:rPr>
          <w:kern w:val="2"/>
          <w14:ligatures w14:val="standardContextual"/>
        </w:rPr>
        <w:t>, särskilt artikel 70,</w:t>
      </w:r>
    </w:p>
    <w:p w14:paraId="14A4C133" w14:textId="4BA7D19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86"/>
      </w:r>
      <w:r w:rsidRPr="005375B7">
        <w:rPr>
          <w:kern w:val="2"/>
          <w14:ligatures w14:val="standardContextual"/>
        </w:rPr>
        <w:t>, särskilt artikel 70,</w:t>
      </w:r>
    </w:p>
    <w:p w14:paraId="0F9485A4" w14:textId="7026AF2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(EG) nr 1339/2008 av den 16 december 2008 om inrättande av Europeiska yrkesutbildningsstiftelsen</w:t>
      </w:r>
      <w:r w:rsidRPr="005375B7">
        <w:rPr>
          <w:kern w:val="2"/>
          <w:vertAlign w:val="superscript"/>
          <w14:ligatures w14:val="standardContextual"/>
        </w:rPr>
        <w:footnoteReference w:id="287"/>
      </w:r>
      <w:r w:rsidRPr="005375B7">
        <w:rPr>
          <w:kern w:val="2"/>
          <w14:ligatures w14:val="standardContextual"/>
        </w:rPr>
        <w:t>, särskilt artikel 17,</w:t>
      </w:r>
    </w:p>
    <w:p w14:paraId="4FD79C53" w14:textId="028F330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288"/>
      </w:r>
      <w:r w:rsidRPr="005375B7">
        <w:rPr>
          <w:kern w:val="2"/>
          <w14:ligatures w14:val="standardContextual"/>
        </w:rPr>
        <w:t>, särskilt artikel 105,</w:t>
      </w:r>
    </w:p>
    <w:p w14:paraId="1D94FB63" w14:textId="5FDF603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777CD9A1" w14:textId="653CB10B"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0BB5FF6F" w14:textId="732E61E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6015083C"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yrkesutbildningsstiftelsen för budgetåret 2023.</w:t>
      </w:r>
    </w:p>
    <w:p w14:paraId="21E9C781"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direktören för Europeiska yrkesutbildningsstiftelsen,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2097744F"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6D55C95F" w14:textId="4EDF5545" w:rsidR="005375B7" w:rsidRPr="005375B7" w:rsidRDefault="005375B7" w:rsidP="00455D02">
      <w:pPr>
        <w:pStyle w:val="ATHeading3"/>
      </w:pPr>
      <w:r w:rsidRPr="005375B7">
        <w:lastRenderedPageBreak/>
        <w:t>49. Europaparlamentets beslut av den 7 maj 2025 om ansvarsfrihet för genomförandet av budgeten för Europeiska unionens asylbyrå för budgetåret 2023 (2024/2030(DEC))</w:t>
      </w:r>
    </w:p>
    <w:p w14:paraId="0F1B3714" w14:textId="288AADD8" w:rsidR="005375B7" w:rsidRPr="005375B7" w:rsidRDefault="005375B7" w:rsidP="005375B7">
      <w:pPr>
        <w:widowControl/>
        <w:spacing w:before="480" w:after="240"/>
        <w:rPr>
          <w:kern w:val="2"/>
          <w14:ligatures w14:val="standardContextual"/>
        </w:rPr>
      </w:pPr>
      <w:r>
        <w:rPr>
          <w:i/>
          <w:kern w:val="2"/>
          <w14:ligatures w14:val="standardContextual"/>
        </w:rPr>
        <w:t>Europaparlamentet fattar detta beslut</w:t>
      </w:r>
    </w:p>
    <w:p w14:paraId="221CAD98" w14:textId="3871DA1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asylbyrå för budgetåret 2023,</w:t>
      </w:r>
    </w:p>
    <w:p w14:paraId="413C63F4" w14:textId="5A34BFA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89"/>
      </w:r>
      <w:r w:rsidRPr="005375B7">
        <w:rPr>
          <w:kern w:val="2"/>
          <w14:ligatures w14:val="standardContextual"/>
        </w:rPr>
        <w:t>,</w:t>
      </w:r>
    </w:p>
    <w:p w14:paraId="44D36946" w14:textId="06ADF5C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90"/>
      </w:r>
      <w:r w:rsidRPr="005375B7">
        <w:rPr>
          <w:kern w:val="2"/>
          <w14:ligatures w14:val="standardContextual"/>
        </w:rPr>
        <w:t>, som avgetts av revisionsrätten för budgetåret 2023 i enlighet med artikel 287 i fördraget om Europeiska unionens funktionssätt,</w:t>
      </w:r>
    </w:p>
    <w:p w14:paraId="7D7A6FE7" w14:textId="153F88B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5D23EA13" w14:textId="6738FF0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45D7D02A" w14:textId="7FE81A5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91"/>
      </w:r>
      <w:r w:rsidRPr="005375B7">
        <w:rPr>
          <w:kern w:val="2"/>
          <w14:ligatures w14:val="standardContextual"/>
        </w:rPr>
        <w:t>, särskilt artikel 70,</w:t>
      </w:r>
    </w:p>
    <w:p w14:paraId="0359BF5E" w14:textId="0930152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92"/>
      </w:r>
      <w:r w:rsidRPr="005375B7">
        <w:rPr>
          <w:kern w:val="2"/>
          <w14:ligatures w14:val="standardContextual"/>
        </w:rPr>
        <w:t>, särskilt artikel 70,</w:t>
      </w:r>
    </w:p>
    <w:p w14:paraId="250F200A" w14:textId="3820F95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nr 439/2010 av den 19 maj 2010 om inrättande av ett europeiskt stödkontor för asylfrågor</w:t>
      </w:r>
      <w:r w:rsidRPr="005375B7">
        <w:rPr>
          <w:kern w:val="2"/>
          <w:vertAlign w:val="superscript"/>
          <w14:ligatures w14:val="standardContextual"/>
        </w:rPr>
        <w:footnoteReference w:id="293"/>
      </w:r>
      <w:r w:rsidRPr="005375B7">
        <w:rPr>
          <w:kern w:val="2"/>
          <w14:ligatures w14:val="standardContextual"/>
        </w:rPr>
        <w:t>, särskilt artikel 36,</w:t>
      </w:r>
    </w:p>
    <w:p w14:paraId="504CDD86" w14:textId="051C556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2021/2303 av den 15 december 2021 om Europeiska unionens asylbyrå och om upphävande av förordning (EU) nr 439/2010</w:t>
      </w:r>
      <w:r w:rsidRPr="005375B7">
        <w:rPr>
          <w:kern w:val="2"/>
          <w:vertAlign w:val="superscript"/>
          <w14:ligatures w14:val="standardContextual"/>
        </w:rPr>
        <w:footnoteReference w:id="294"/>
      </w:r>
      <w:r w:rsidRPr="005375B7">
        <w:rPr>
          <w:kern w:val="2"/>
          <w14:ligatures w14:val="standardContextual"/>
        </w:rPr>
        <w:t>, särskilt artikel 55,</w:t>
      </w:r>
    </w:p>
    <w:p w14:paraId="2FDB38DE" w14:textId="23FBFB7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EUF‑fördraget och Euratomfördraget och som avses i artikel 70 i </w:t>
      </w:r>
      <w:r w:rsidRPr="005375B7">
        <w:rPr>
          <w:kern w:val="2"/>
          <w14:ligatures w14:val="standardContextual"/>
        </w:rPr>
        <w:lastRenderedPageBreak/>
        <w:t>Europaparlamentets och rådets förordning (EU, Euratom) 2018/1046</w:t>
      </w:r>
      <w:r w:rsidRPr="005375B7">
        <w:rPr>
          <w:kern w:val="2"/>
          <w:vertAlign w:val="superscript"/>
          <w14:ligatures w14:val="standardContextual"/>
        </w:rPr>
        <w:footnoteReference w:id="295"/>
      </w:r>
      <w:r w:rsidRPr="005375B7">
        <w:rPr>
          <w:kern w:val="2"/>
          <w14:ligatures w14:val="standardContextual"/>
        </w:rPr>
        <w:t>, särskilt artikel 105,</w:t>
      </w:r>
    </w:p>
    <w:p w14:paraId="082178AA" w14:textId="31BB151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071EC756" w14:textId="481B7AE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42D1DCD9" w14:textId="208FA4A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081249ED"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uppskjuter beslutet att bevilja verkställande direktören för Europeiska unionens asylbyrå ansvarsfrihet för genomförandet av byråns budget för budgetåret 2023.</w:t>
      </w:r>
    </w:p>
    <w:p w14:paraId="40AABB73"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70E60703"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unionens asylbyrå,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43A7EEEF" w14:textId="77777777" w:rsidR="005375B7" w:rsidRPr="005375B7" w:rsidRDefault="005375B7" w:rsidP="005375B7">
      <w:pPr>
        <w:widowControl/>
        <w:tabs>
          <w:tab w:val="left" w:pos="5386"/>
        </w:tabs>
        <w:spacing w:before="720"/>
        <w:ind w:left="567" w:hanging="567"/>
        <w:rPr>
          <w:i/>
          <w:kern w:val="2"/>
          <w14:ligatures w14:val="standardContextual"/>
        </w:rPr>
      </w:pPr>
    </w:p>
    <w:p w14:paraId="1C860F95" w14:textId="77777777" w:rsidR="005375B7" w:rsidRPr="005375B7" w:rsidRDefault="005375B7" w:rsidP="005375B7">
      <w:pPr>
        <w:widowControl/>
        <w:tabs>
          <w:tab w:val="left" w:pos="5386"/>
        </w:tabs>
        <w:ind w:left="567" w:hanging="567"/>
        <w:rPr>
          <w:i/>
          <w:kern w:val="2"/>
          <w14:ligatures w14:val="standardContextual"/>
        </w:rPr>
      </w:pPr>
    </w:p>
    <w:p w14:paraId="5E1088EA"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3B616548"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227740B1" w14:textId="77777777" w:rsidR="005375B7" w:rsidRPr="005375B7" w:rsidRDefault="005375B7" w:rsidP="005375B7">
      <w:pPr>
        <w:widowControl/>
        <w:spacing w:before="360" w:after="360"/>
        <w:jc w:val="center"/>
        <w:rPr>
          <w:b/>
          <w:kern w:val="2"/>
          <w:lang w:eastAsia="fr-FR"/>
          <w14:ligatures w14:val="standardContextual"/>
        </w:rPr>
      </w:pPr>
      <w:r w:rsidRPr="005375B7">
        <w:rPr>
          <w:b/>
          <w:kern w:val="2"/>
          <w:lang w:eastAsia="fr-FR"/>
          <w14:ligatures w14:val="standardContextual"/>
        </w:rPr>
        <w:lastRenderedPageBreak/>
        <w:t>50. Europaparlamentets beslut av den 7 maj 2025 om avslutande av räkenskaperna för Europeiska unionens asylbyrå för budgetåret 2023  (2024/2030(DEC))</w:t>
      </w:r>
    </w:p>
    <w:p w14:paraId="53F98F5B" w14:textId="765D6450" w:rsidR="005375B7" w:rsidRPr="005375B7" w:rsidRDefault="005375B7" w:rsidP="005375B7">
      <w:pPr>
        <w:widowControl/>
        <w:spacing w:before="480" w:after="240"/>
        <w:rPr>
          <w:iCs/>
          <w:kern w:val="2"/>
          <w14:ligatures w14:val="standardContextual"/>
        </w:rPr>
      </w:pPr>
      <w:r>
        <w:rPr>
          <w:iCs/>
          <w:kern w:val="2"/>
          <w14:ligatures w14:val="standardContextual"/>
        </w:rPr>
        <w:t>EUROPAPARLAMENTET FATTAR DETTA BESLUT</w:t>
      </w:r>
    </w:p>
    <w:p w14:paraId="27FD73B9" w14:textId="61B0063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asylbyrå för budgetåret 2023,</w:t>
      </w:r>
    </w:p>
    <w:p w14:paraId="414D35A2" w14:textId="575B0DE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296"/>
      </w:r>
      <w:r w:rsidRPr="005375B7">
        <w:rPr>
          <w:kern w:val="2"/>
          <w14:ligatures w14:val="standardContextual"/>
        </w:rPr>
        <w:t>,</w:t>
      </w:r>
    </w:p>
    <w:p w14:paraId="4A0F4EE2" w14:textId="3291773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297"/>
      </w:r>
      <w:r w:rsidRPr="005375B7">
        <w:rPr>
          <w:kern w:val="2"/>
          <w14:ligatures w14:val="standardContextual"/>
        </w:rPr>
        <w:t>, som avgetts av revisionsrätten för budgetåret 2023 i enlighet med artikel 287 i fördraget om Europeiska unionens funktionssätt,</w:t>
      </w:r>
    </w:p>
    <w:p w14:paraId="4852156F" w14:textId="50C46F8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100D1B4B" w14:textId="4FD837B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61DCC929" w14:textId="5C660CB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298"/>
      </w:r>
      <w:r w:rsidRPr="005375B7">
        <w:rPr>
          <w:kern w:val="2"/>
          <w14:ligatures w14:val="standardContextual"/>
        </w:rPr>
        <w:t>, särskilt artikel 70,</w:t>
      </w:r>
    </w:p>
    <w:p w14:paraId="6E1E1D95" w14:textId="4C029F7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299"/>
      </w:r>
      <w:r w:rsidRPr="005375B7">
        <w:rPr>
          <w:kern w:val="2"/>
          <w14:ligatures w14:val="standardContextual"/>
        </w:rPr>
        <w:t>, särskilt artikel 70,</w:t>
      </w:r>
    </w:p>
    <w:p w14:paraId="1461C85B" w14:textId="514DB9A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nr 439/2010 av den 19 maj 2010 om inrättande av ett europeiskt stödkontor för asylfrågor</w:t>
      </w:r>
      <w:r w:rsidRPr="005375B7">
        <w:rPr>
          <w:kern w:val="2"/>
          <w:vertAlign w:val="superscript"/>
          <w14:ligatures w14:val="standardContextual"/>
        </w:rPr>
        <w:footnoteReference w:id="300"/>
      </w:r>
      <w:r w:rsidRPr="005375B7">
        <w:rPr>
          <w:kern w:val="2"/>
          <w14:ligatures w14:val="standardContextual"/>
        </w:rPr>
        <w:t>, särskilt artikel 36,</w:t>
      </w:r>
    </w:p>
    <w:p w14:paraId="064FFBD7" w14:textId="72A4E10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2021/2303 av den 15 december 2021 om Europeiska unionens asylbyrå och om upphävande av förordning (EU) nr 439/2010</w:t>
      </w:r>
      <w:r w:rsidRPr="005375B7">
        <w:rPr>
          <w:kern w:val="2"/>
          <w:vertAlign w:val="superscript"/>
          <w14:ligatures w14:val="standardContextual"/>
        </w:rPr>
        <w:footnoteReference w:id="301"/>
      </w:r>
      <w:r w:rsidRPr="005375B7">
        <w:rPr>
          <w:kern w:val="2"/>
          <w14:ligatures w14:val="standardContextual"/>
        </w:rPr>
        <w:t>, särskilt artikel 55,</w:t>
      </w:r>
    </w:p>
    <w:p w14:paraId="457D2419" w14:textId="07A7A12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w:t>
      </w:r>
      <w:r w:rsidRPr="005375B7">
        <w:rPr>
          <w:kern w:val="2"/>
          <w14:ligatures w14:val="standardContextual"/>
        </w:rPr>
        <w:lastRenderedPageBreak/>
        <w:t>EUF‑fördraget och Euratomfördraget och som avses i artikel 70 i Europaparlamentets och rådets förordning (EU, Euratom) 2018/1046</w:t>
      </w:r>
      <w:r w:rsidRPr="005375B7">
        <w:rPr>
          <w:kern w:val="2"/>
          <w:vertAlign w:val="superscript"/>
          <w14:ligatures w14:val="standardContextual"/>
        </w:rPr>
        <w:footnoteReference w:id="302"/>
      </w:r>
      <w:r w:rsidRPr="005375B7">
        <w:rPr>
          <w:kern w:val="2"/>
          <w14:ligatures w14:val="standardContextual"/>
        </w:rPr>
        <w:t>, särskilt artikel 105,</w:t>
      </w:r>
    </w:p>
    <w:p w14:paraId="6CDEA760" w14:textId="010A796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34C7F4FA" w14:textId="1C8A968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760DF242" w14:textId="664BF12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1013CD35"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uppskjuter avslutandet av räkenskaperna för Europeiska unionens asylbyrå för budgetåret 2023.</w:t>
      </w:r>
    </w:p>
    <w:p w14:paraId="62B42E36"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unionens asylbyrå,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355DC428"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693AF3A4" w14:textId="77777777" w:rsidR="005375B7" w:rsidRPr="005375B7" w:rsidRDefault="005375B7" w:rsidP="00455D02">
      <w:pPr>
        <w:pStyle w:val="ATHeading3"/>
      </w:pPr>
      <w:r w:rsidRPr="005375B7">
        <w:lastRenderedPageBreak/>
        <w:t>51. Europaparlamentets beslut av den 7 maj 2025 om ansvarsfrihet för genomförandet av budgeten för Europeiska unionens byrå för den operativa förvaltningen av stora it-system inom området frihet, säkerhet och rättvisa för budgetåret 2023  (2024/2030(DEC))</w:t>
      </w:r>
    </w:p>
    <w:p w14:paraId="7C84E34D"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7C6FE68B" w14:textId="76C490A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byrå för den operativa förvaltningen av stora it-system inom området frihet, säkerhet och rättvisa för budgetåret 2023,</w:t>
      </w:r>
    </w:p>
    <w:p w14:paraId="6BEC4E8A" w14:textId="04F915B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03"/>
      </w:r>
      <w:r w:rsidRPr="005375B7">
        <w:rPr>
          <w:kern w:val="2"/>
          <w14:ligatures w14:val="standardContextual"/>
        </w:rPr>
        <w:t>,</w:t>
      </w:r>
    </w:p>
    <w:p w14:paraId="638E01A3" w14:textId="5D475B2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04"/>
      </w:r>
      <w:r w:rsidRPr="005375B7">
        <w:rPr>
          <w:kern w:val="2"/>
          <w14:ligatures w14:val="standardContextual"/>
        </w:rPr>
        <w:t>, som avgetts av revisionsrätten för budgetåret 2023 i enlighet med artikel 287 i fördraget om Europeiska unionens funktionssätt,</w:t>
      </w:r>
    </w:p>
    <w:p w14:paraId="59E1ADA5" w14:textId="3E07C58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41CF6E34" w14:textId="33E4A79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4DC3A3DF" w14:textId="3B476CF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05"/>
      </w:r>
      <w:r w:rsidRPr="005375B7">
        <w:rPr>
          <w:kern w:val="2"/>
          <w14:ligatures w14:val="standardContextual"/>
        </w:rPr>
        <w:t>, särskilt artikel 70,</w:t>
      </w:r>
    </w:p>
    <w:p w14:paraId="657279D3" w14:textId="660D6D5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06"/>
      </w:r>
      <w:r w:rsidRPr="005375B7">
        <w:rPr>
          <w:kern w:val="2"/>
          <w14:ligatures w14:val="standardContextual"/>
        </w:rPr>
        <w:t>, särskilt artikel 70,</w:t>
      </w:r>
    </w:p>
    <w:p w14:paraId="73B88F5B" w14:textId="2DC6F33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nr 2018/1726 av den 14 november 2018 om Europeiska unionens byrå för den operativa förvaltningen av stora it-system inom området frihet, säkerhet och rättvisa (eu-LISA), om ändring av förordning (EG) nr 1987/2006 och rådets beslut 2007/533/RIF och om upphävande av förordning (EU) nr 1077/2011</w:t>
      </w:r>
      <w:r w:rsidRPr="005375B7">
        <w:rPr>
          <w:kern w:val="2"/>
          <w:vertAlign w:val="superscript"/>
          <w14:ligatures w14:val="standardContextual"/>
        </w:rPr>
        <w:footnoteReference w:id="307"/>
      </w:r>
      <w:r w:rsidRPr="005375B7">
        <w:rPr>
          <w:kern w:val="2"/>
          <w14:ligatures w14:val="standardContextual"/>
        </w:rPr>
        <w:t>, särskilt artikel 47,</w:t>
      </w:r>
    </w:p>
    <w:p w14:paraId="0A6091FE" w14:textId="1B697DF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w:t>
      </w:r>
      <w:r w:rsidRPr="005375B7">
        <w:rPr>
          <w:kern w:val="2"/>
          <w14:ligatures w14:val="standardContextual"/>
        </w:rPr>
        <w:lastRenderedPageBreak/>
        <w:t>EUF‑fördraget och Euratomfördraget och som avses i artikel 70 i Europaparlamentets och rådets förordning (EU, Euratom) 2018/1046</w:t>
      </w:r>
      <w:r w:rsidRPr="005375B7">
        <w:rPr>
          <w:kern w:val="2"/>
          <w:vertAlign w:val="superscript"/>
          <w14:ligatures w14:val="standardContextual"/>
        </w:rPr>
        <w:footnoteReference w:id="308"/>
      </w:r>
      <w:r w:rsidRPr="005375B7">
        <w:rPr>
          <w:kern w:val="2"/>
          <w14:ligatures w14:val="standardContextual"/>
        </w:rPr>
        <w:t>, särskilt artikel 105,</w:t>
      </w:r>
    </w:p>
    <w:p w14:paraId="35CD8189" w14:textId="370BFE5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27EF2A74" w14:textId="4AE940C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1D3C7B23" w14:textId="0A515B3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344C9CC5"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den tillförordnade verkställande direktören för Europeiska unionens byrå för den operativa förvaltningen av stora it-system inom området frihet, säkerhet och rättvisa ansvarsfrihet för genomförandet av byråns budget för budgetåret 2023.</w:t>
      </w:r>
    </w:p>
    <w:p w14:paraId="7A270E1A"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4754E1CC"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den tillförordnade verkställande direktören för Europeiska unionens byrå för den operativa förvaltningen av stora it-system inom området frihet, säkerhet och rättvisa,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1E672DBF" w14:textId="77777777" w:rsidR="005375B7" w:rsidRPr="005375B7" w:rsidRDefault="005375B7" w:rsidP="005375B7">
      <w:pPr>
        <w:widowControl/>
        <w:tabs>
          <w:tab w:val="left" w:pos="5386"/>
        </w:tabs>
        <w:ind w:left="567" w:hanging="567"/>
        <w:rPr>
          <w:i/>
          <w:kern w:val="2"/>
          <w14:ligatures w14:val="standardContextual"/>
        </w:rPr>
      </w:pPr>
    </w:p>
    <w:p w14:paraId="7752BBAB" w14:textId="77777777" w:rsidR="005375B7" w:rsidRPr="005375B7" w:rsidRDefault="005375B7" w:rsidP="005375B7">
      <w:pPr>
        <w:widowControl/>
        <w:tabs>
          <w:tab w:val="left" w:pos="5386"/>
        </w:tabs>
        <w:ind w:left="567" w:hanging="567"/>
        <w:rPr>
          <w:kern w:val="2"/>
          <w14:ligatures w14:val="standardContextual"/>
        </w:rPr>
      </w:pPr>
    </w:p>
    <w:p w14:paraId="3BF693AB"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7D8BED65"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7C1F3991" w14:textId="77777777" w:rsidR="005375B7" w:rsidRPr="005375B7" w:rsidRDefault="005375B7" w:rsidP="00455D02">
      <w:pPr>
        <w:pStyle w:val="ATHeading3"/>
      </w:pPr>
      <w:r w:rsidRPr="005375B7">
        <w:lastRenderedPageBreak/>
        <w:t>52. Europaparlamentets beslut av den 7 maj 2025 om avslutandet av räkenskaperna för Europeiska unionens byrå för den operativa förvaltningen av stora it-system inom området frihet, säkerhet och rättvisa för budgetåret 2023  (2024/2030(DEC))</w:t>
      </w:r>
    </w:p>
    <w:p w14:paraId="6B25EFB6"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27E6D224" w14:textId="019C909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byrå för den operativa förvaltningen av stora it-system inom området frihet, säkerhet och rättvisa för budgetåret 2023,</w:t>
      </w:r>
    </w:p>
    <w:p w14:paraId="5D1878A8" w14:textId="56467EF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09"/>
      </w:r>
      <w:r w:rsidRPr="005375B7">
        <w:rPr>
          <w:kern w:val="2"/>
          <w14:ligatures w14:val="standardContextual"/>
        </w:rPr>
        <w:t>,</w:t>
      </w:r>
    </w:p>
    <w:p w14:paraId="0ED9AD1C" w14:textId="50195A5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10"/>
      </w:r>
      <w:r w:rsidRPr="005375B7">
        <w:rPr>
          <w:kern w:val="2"/>
          <w14:ligatures w14:val="standardContextual"/>
        </w:rPr>
        <w:t>, som avgetts av revisionsrätten för budgetåret 2023 i enlighet med artikel 287 i fördraget om Europeiska unionens funktionssätt,</w:t>
      </w:r>
    </w:p>
    <w:p w14:paraId="4FD2CA1C" w14:textId="4F42AA4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64A08430" w14:textId="1B2288E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7CFC147A" w14:textId="6DA25F0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11"/>
      </w:r>
      <w:r w:rsidRPr="005375B7">
        <w:rPr>
          <w:kern w:val="2"/>
          <w14:ligatures w14:val="standardContextual"/>
        </w:rPr>
        <w:t>, särskilt artikel 70,</w:t>
      </w:r>
    </w:p>
    <w:p w14:paraId="6DAA93DD" w14:textId="5C4F114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12"/>
      </w:r>
      <w:r w:rsidRPr="005375B7">
        <w:rPr>
          <w:kern w:val="2"/>
          <w14:ligatures w14:val="standardContextual"/>
        </w:rPr>
        <w:t>, särskilt artikel 70,</w:t>
      </w:r>
    </w:p>
    <w:p w14:paraId="43F775C1" w14:textId="526A69D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2018/1726 av den 14 november 2018 om Europeiska unionens byrå för den operativa förvaltningen av stora it-system inom området frihet, säkerhet och rättvisa (eu-Lisa), om ändring av förordning (EG) nr 1987/2006 och rådets beslut 2007/533/RIF och om upphävande av förordning (EU) nr 1077/2011</w:t>
      </w:r>
      <w:r w:rsidRPr="005375B7">
        <w:rPr>
          <w:kern w:val="2"/>
          <w:vertAlign w:val="superscript"/>
          <w14:ligatures w14:val="standardContextual"/>
        </w:rPr>
        <w:footnoteReference w:id="313"/>
      </w:r>
      <w:r w:rsidRPr="005375B7">
        <w:rPr>
          <w:kern w:val="2"/>
          <w14:ligatures w14:val="standardContextual"/>
        </w:rPr>
        <w:t>, särskilt artikel 47,</w:t>
      </w:r>
    </w:p>
    <w:p w14:paraId="076D3952" w14:textId="318A4C8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w:t>
      </w:r>
      <w:r w:rsidRPr="005375B7">
        <w:rPr>
          <w:kern w:val="2"/>
          <w14:ligatures w14:val="standardContextual"/>
        </w:rPr>
        <w:lastRenderedPageBreak/>
        <w:t>EUF‑fördraget och Euratomfördraget och som avses i artikel 70 i Europaparlamentets och rådets förordning (EU, Euratom) 2018/1046</w:t>
      </w:r>
      <w:r w:rsidRPr="005375B7">
        <w:rPr>
          <w:kern w:val="2"/>
          <w:vertAlign w:val="superscript"/>
          <w14:ligatures w14:val="standardContextual"/>
        </w:rPr>
        <w:footnoteReference w:id="314"/>
      </w:r>
      <w:r w:rsidRPr="005375B7">
        <w:rPr>
          <w:kern w:val="2"/>
          <w14:ligatures w14:val="standardContextual"/>
        </w:rPr>
        <w:t>, särskilt artikel 105,</w:t>
      </w:r>
    </w:p>
    <w:p w14:paraId="043CA7DB" w14:textId="22D1480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26001E5A" w14:textId="697E702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6D993976" w14:textId="69D1104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2A3E4ABF"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byrån för den operativa förvaltningen av stora it-system inom området frihet, säkerhet och rättvisa för budgetåret 2023.</w:t>
      </w:r>
    </w:p>
    <w:p w14:paraId="32C64400"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den tillförordnade verkställande direktören för Europeiska unionens byrå för den operativa förvaltningen av stora it-system inom området frihet, säkerhet och rättvisa,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7B2B79D4"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4DEDC54F"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35B734F4" w14:textId="77777777" w:rsidR="005375B7" w:rsidRPr="005375B7" w:rsidRDefault="005375B7" w:rsidP="00455D02">
      <w:pPr>
        <w:pStyle w:val="ATHeading3"/>
      </w:pPr>
      <w:r w:rsidRPr="005375B7">
        <w:lastRenderedPageBreak/>
        <w:t>53. Europaparlamentets beslut av den 7 maj 2025 om ansvarsfrihet för genomförandet av budgeten för Europeiska arbetsmiljöbyrån för budgetåret 2023  (2024/2030(DEC))</w:t>
      </w:r>
    </w:p>
    <w:p w14:paraId="55F6A5DF"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07DA6699" w14:textId="563549A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arbetsmiljöbyrån för budgetåret 2023,</w:t>
      </w:r>
    </w:p>
    <w:p w14:paraId="609EB13B" w14:textId="35CCE29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15"/>
      </w:r>
      <w:r w:rsidRPr="005375B7">
        <w:rPr>
          <w:kern w:val="2"/>
          <w14:ligatures w14:val="standardContextual"/>
        </w:rPr>
        <w:t>,</w:t>
      </w:r>
    </w:p>
    <w:p w14:paraId="4302005F" w14:textId="53A8A9D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16"/>
      </w:r>
      <w:r w:rsidRPr="005375B7">
        <w:rPr>
          <w:kern w:val="2"/>
          <w14:ligatures w14:val="standardContextual"/>
        </w:rPr>
        <w:t>, som avgetts av revisionsrätten för budgetåret 2023 i enlighet med artikel 287 i fördraget om Europeiska unionens funktionssätt,</w:t>
      </w:r>
    </w:p>
    <w:p w14:paraId="3ED5117B" w14:textId="6006CE8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0F0C74C7" w14:textId="0366A36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6BE8A8A4" w14:textId="357F4B4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17"/>
      </w:r>
      <w:r w:rsidRPr="005375B7">
        <w:rPr>
          <w:kern w:val="2"/>
          <w14:ligatures w14:val="standardContextual"/>
        </w:rPr>
        <w:t>, särskilt artikel 70,</w:t>
      </w:r>
    </w:p>
    <w:p w14:paraId="579A9E2D" w14:textId="4A2CCAA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18"/>
      </w:r>
      <w:r w:rsidRPr="005375B7">
        <w:rPr>
          <w:kern w:val="2"/>
          <w14:ligatures w14:val="standardContextual"/>
        </w:rPr>
        <w:t>, särskilt artikel 70,</w:t>
      </w:r>
    </w:p>
    <w:p w14:paraId="61B31543" w14:textId="2356EBD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2019/126 av den 16 januari 2019 om inrättande av Europeiska arbetsmiljöbyrån (EU-Osha) och om upphävande av rådets förordning (EG) nr 2062/94</w:t>
      </w:r>
      <w:r w:rsidRPr="005375B7">
        <w:rPr>
          <w:kern w:val="2"/>
          <w:vertAlign w:val="superscript"/>
          <w14:ligatures w14:val="standardContextual"/>
        </w:rPr>
        <w:footnoteReference w:id="319"/>
      </w:r>
      <w:r w:rsidRPr="005375B7">
        <w:rPr>
          <w:kern w:val="2"/>
          <w14:ligatures w14:val="standardContextual"/>
        </w:rPr>
        <w:t>, särskilt artikel 16,</w:t>
      </w:r>
    </w:p>
    <w:p w14:paraId="2E43A147" w14:textId="7E29A6E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320"/>
      </w:r>
      <w:r w:rsidRPr="005375B7">
        <w:rPr>
          <w:kern w:val="2"/>
          <w14:ligatures w14:val="standardContextual"/>
        </w:rPr>
        <w:t>, särskilt artikel 105,</w:t>
      </w:r>
    </w:p>
    <w:p w14:paraId="738EF6E2" w14:textId="185FFD91"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4EA230FD" w14:textId="5B50B3D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3F3E4189" w14:textId="6930243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526506A0"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arbetsmiljöbyrån ansvarsfrihet för genomförandet av byråns budget för budgetåret 2023.</w:t>
      </w:r>
    </w:p>
    <w:p w14:paraId="08BC0A82"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30EBE3A9"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arbetsmiljöbyrån,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64899A57" w14:textId="77777777" w:rsidR="005375B7" w:rsidRPr="005375B7" w:rsidRDefault="005375B7" w:rsidP="005375B7">
      <w:pPr>
        <w:widowControl/>
        <w:tabs>
          <w:tab w:val="left" w:pos="5386"/>
        </w:tabs>
        <w:ind w:left="567" w:hanging="567"/>
        <w:rPr>
          <w:i/>
          <w:kern w:val="2"/>
          <w14:ligatures w14:val="standardContextual"/>
        </w:rPr>
      </w:pPr>
    </w:p>
    <w:p w14:paraId="0DF2F48B" w14:textId="77777777" w:rsidR="005375B7" w:rsidRPr="005375B7" w:rsidRDefault="005375B7" w:rsidP="005375B7">
      <w:pPr>
        <w:widowControl/>
        <w:tabs>
          <w:tab w:val="left" w:pos="5386"/>
        </w:tabs>
        <w:ind w:left="567" w:hanging="567"/>
        <w:rPr>
          <w:i/>
          <w:kern w:val="2"/>
          <w14:ligatures w14:val="standardContextual"/>
        </w:rPr>
      </w:pPr>
    </w:p>
    <w:p w14:paraId="3C9C326B" w14:textId="77777777" w:rsidR="005375B7" w:rsidRPr="005375B7" w:rsidRDefault="005375B7" w:rsidP="005375B7">
      <w:pPr>
        <w:widowControl/>
        <w:tabs>
          <w:tab w:val="left" w:pos="5386"/>
        </w:tabs>
        <w:ind w:left="567" w:hanging="567"/>
        <w:rPr>
          <w:i/>
          <w:kern w:val="2"/>
          <w14:ligatures w14:val="standardContextual"/>
        </w:rPr>
      </w:pPr>
    </w:p>
    <w:p w14:paraId="4F46F602" w14:textId="77777777" w:rsidR="005375B7" w:rsidRPr="005375B7" w:rsidRDefault="005375B7" w:rsidP="005375B7">
      <w:pPr>
        <w:widowControl/>
        <w:tabs>
          <w:tab w:val="left" w:pos="5386"/>
        </w:tabs>
        <w:ind w:left="567" w:hanging="567"/>
        <w:rPr>
          <w:kern w:val="2"/>
          <w14:ligatures w14:val="standardContextual"/>
        </w:rPr>
      </w:pPr>
    </w:p>
    <w:p w14:paraId="70587AF9"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0D7290E8"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7F2DBDDD" w14:textId="2694430D" w:rsidR="005375B7" w:rsidRPr="005375B7" w:rsidRDefault="005375B7" w:rsidP="00455D02">
      <w:pPr>
        <w:pStyle w:val="ATHeading3"/>
      </w:pPr>
      <w:r w:rsidRPr="005375B7">
        <w:lastRenderedPageBreak/>
        <w:t>54. Europaparlamentets beslut av den 7 maj 2025 om avslutande av räkenskaperna för Europeiska arbetsmiljöbyrån för budgetåret 2023 (2024/2030(DEC))</w:t>
      </w:r>
    </w:p>
    <w:p w14:paraId="20DD0D3C"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74B004C6" w14:textId="09F755A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arbetsmiljöbyrån för budgetåret 2023,</w:t>
      </w:r>
    </w:p>
    <w:p w14:paraId="1FB4175E" w14:textId="6D4F3E5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21"/>
      </w:r>
      <w:r w:rsidRPr="005375B7">
        <w:rPr>
          <w:kern w:val="2"/>
          <w14:ligatures w14:val="standardContextual"/>
        </w:rPr>
        <w:t>,</w:t>
      </w:r>
    </w:p>
    <w:p w14:paraId="5AF1394E" w14:textId="557C132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22"/>
      </w:r>
      <w:r w:rsidRPr="005375B7">
        <w:rPr>
          <w:kern w:val="2"/>
          <w14:ligatures w14:val="standardContextual"/>
        </w:rPr>
        <w:t>, som avgetts av revisionsrätten för budgetåret 2023 i enlighet med artikel 287 i fördraget om Europeiska unionens funktionssätt,</w:t>
      </w:r>
    </w:p>
    <w:p w14:paraId="73303C1A" w14:textId="0B8C489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1C7E9853" w14:textId="138D8E3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3FA66AC4" w14:textId="3F8D86C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23"/>
      </w:r>
      <w:r w:rsidRPr="005375B7">
        <w:rPr>
          <w:kern w:val="2"/>
          <w14:ligatures w14:val="standardContextual"/>
        </w:rPr>
        <w:t>, särskilt artikel 70,</w:t>
      </w:r>
    </w:p>
    <w:p w14:paraId="6E5AA709" w14:textId="59FC209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24"/>
      </w:r>
      <w:r w:rsidRPr="005375B7">
        <w:rPr>
          <w:kern w:val="2"/>
          <w14:ligatures w14:val="standardContextual"/>
        </w:rPr>
        <w:t>, särskilt artikel 70,</w:t>
      </w:r>
    </w:p>
    <w:p w14:paraId="26C6E933" w14:textId="7C564C0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2019/126 av den 16 januari 2019 om inrättande av Europeiska arbetsmiljöbyrån (EU-Osha) och om upphävande av rådets förordning (EG) nr 2062/94</w:t>
      </w:r>
      <w:r w:rsidRPr="005375B7">
        <w:rPr>
          <w:kern w:val="2"/>
          <w:vertAlign w:val="superscript"/>
          <w14:ligatures w14:val="standardContextual"/>
        </w:rPr>
        <w:footnoteReference w:id="325"/>
      </w:r>
      <w:r w:rsidRPr="005375B7">
        <w:rPr>
          <w:kern w:val="2"/>
          <w14:ligatures w14:val="standardContextual"/>
        </w:rPr>
        <w:t>, särskilt artikel 16,</w:t>
      </w:r>
    </w:p>
    <w:p w14:paraId="37ED16C7" w14:textId="6538796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326"/>
      </w:r>
      <w:r w:rsidRPr="005375B7">
        <w:rPr>
          <w:kern w:val="2"/>
          <w14:ligatures w14:val="standardContextual"/>
        </w:rPr>
        <w:t>, särskilt artikel 105,</w:t>
      </w:r>
    </w:p>
    <w:p w14:paraId="1D8FB48D" w14:textId="0E93523E"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2D0E3A0C" w14:textId="1BCAB8F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15D5BA60" w14:textId="14BA66E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435BAA73"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arbetsmiljöbyrån för budgetåret 2023.</w:t>
      </w:r>
    </w:p>
    <w:p w14:paraId="2EA6D2BF"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arbetsmiljöbyrån,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50EFC27A" w14:textId="77777777" w:rsidR="005375B7" w:rsidRPr="005375B7" w:rsidRDefault="005375B7" w:rsidP="005375B7">
      <w:pPr>
        <w:widowControl/>
        <w:tabs>
          <w:tab w:val="left" w:pos="5386"/>
        </w:tabs>
        <w:ind w:left="567" w:hanging="567"/>
        <w:rPr>
          <w:i/>
          <w:kern w:val="2"/>
          <w14:ligatures w14:val="standardContextual"/>
        </w:rPr>
      </w:pPr>
    </w:p>
    <w:p w14:paraId="19049B0A" w14:textId="77777777" w:rsidR="005375B7" w:rsidRPr="005375B7" w:rsidRDefault="005375B7" w:rsidP="005375B7">
      <w:pPr>
        <w:widowControl/>
        <w:tabs>
          <w:tab w:val="left" w:pos="5386"/>
        </w:tabs>
        <w:ind w:left="567" w:hanging="567"/>
        <w:rPr>
          <w:i/>
          <w:kern w:val="2"/>
          <w14:ligatures w14:val="standardContextual"/>
        </w:rPr>
      </w:pPr>
    </w:p>
    <w:p w14:paraId="60BC8481" w14:textId="77777777" w:rsidR="005375B7" w:rsidRPr="005375B7" w:rsidRDefault="005375B7" w:rsidP="005375B7">
      <w:pPr>
        <w:widowControl/>
        <w:tabs>
          <w:tab w:val="left" w:pos="5386"/>
        </w:tabs>
        <w:ind w:left="567" w:hanging="567"/>
        <w:rPr>
          <w:kern w:val="2"/>
          <w14:ligatures w14:val="standardContextual"/>
        </w:rPr>
      </w:pPr>
    </w:p>
    <w:p w14:paraId="3B3439B5"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5D969D5C"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761FACA2" w14:textId="77777777" w:rsidR="005375B7" w:rsidRPr="005375B7" w:rsidRDefault="005375B7" w:rsidP="00455D02">
      <w:pPr>
        <w:pStyle w:val="ATHeading3"/>
      </w:pPr>
      <w:r w:rsidRPr="005375B7">
        <w:lastRenderedPageBreak/>
        <w:t>55. Europaparlamentets beslut av den 7 maj 2025 om ansvarsfrihet för genomförandet av budgeten för Europeiska fonden för förbättring av levnads- och arbetsvillkor för budgetåret 2023  (2024/2030(DEC))</w:t>
      </w:r>
    </w:p>
    <w:p w14:paraId="6063FA64"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733D5601" w14:textId="01533C5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fonden för förbättring av levnads- och arbetsvillkor (Eurofound) för budgetåret 2023,</w:t>
      </w:r>
    </w:p>
    <w:p w14:paraId="131961CC" w14:textId="04747AF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27"/>
      </w:r>
      <w:r w:rsidRPr="005375B7">
        <w:rPr>
          <w:kern w:val="2"/>
          <w14:ligatures w14:val="standardContextual"/>
        </w:rPr>
        <w:t>,</w:t>
      </w:r>
    </w:p>
    <w:p w14:paraId="4FC98548" w14:textId="53E49CE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28"/>
      </w:r>
      <w:r w:rsidRPr="005375B7">
        <w:rPr>
          <w:kern w:val="2"/>
          <w14:ligatures w14:val="standardContextual"/>
        </w:rPr>
        <w:t>, som avgetts av revisionsrätten för budgetåret 2023 i enlighet med artikel 287 i fördraget om Europeiska unionens funktionssätt,</w:t>
      </w:r>
    </w:p>
    <w:p w14:paraId="010B0183" w14:textId="304652D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Eurofound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1E45B6B7" w14:textId="3BB4225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737F3FD4" w14:textId="04AF27E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29"/>
      </w:r>
      <w:r w:rsidRPr="005375B7">
        <w:rPr>
          <w:kern w:val="2"/>
          <w14:ligatures w14:val="standardContextual"/>
        </w:rPr>
        <w:t>, särskilt artikel 70,</w:t>
      </w:r>
    </w:p>
    <w:p w14:paraId="73C099F1" w14:textId="7F39D98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30"/>
      </w:r>
      <w:r w:rsidRPr="005375B7">
        <w:rPr>
          <w:kern w:val="2"/>
          <w14:ligatures w14:val="standardContextual"/>
        </w:rPr>
        <w:t>, särskilt artikel 70,</w:t>
      </w:r>
    </w:p>
    <w:p w14:paraId="3EDEA6C4" w14:textId="518E78D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2019/127 av den 16 januari 2019 om inrättande av Europeiska fonden för förbättring av levnads- och arbetsvillkor (Eurofound) och om upphävande av rådets förordning (EEG) nr 1365/75</w:t>
      </w:r>
      <w:r w:rsidRPr="005375B7">
        <w:rPr>
          <w:kern w:val="2"/>
          <w:vertAlign w:val="superscript"/>
          <w14:ligatures w14:val="standardContextual"/>
        </w:rPr>
        <w:footnoteReference w:id="331"/>
      </w:r>
      <w:r w:rsidRPr="005375B7">
        <w:rPr>
          <w:kern w:val="2"/>
          <w14:ligatures w14:val="standardContextual"/>
        </w:rPr>
        <w:t>, särskilt artikel 16,</w:t>
      </w:r>
    </w:p>
    <w:p w14:paraId="7EB07C8C" w14:textId="613B85C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EUF‑fördraget och Euratomfördraget och som avses i artikel 70 i </w:t>
      </w:r>
      <w:r w:rsidRPr="005375B7">
        <w:rPr>
          <w:kern w:val="2"/>
          <w14:ligatures w14:val="standardContextual"/>
        </w:rPr>
        <w:lastRenderedPageBreak/>
        <w:t>Europaparlamentets och rådets förordning (EU, Euratom) 2018/1046</w:t>
      </w:r>
      <w:r w:rsidRPr="005375B7">
        <w:rPr>
          <w:kern w:val="2"/>
          <w:vertAlign w:val="superscript"/>
          <w14:ligatures w14:val="standardContextual"/>
        </w:rPr>
        <w:footnoteReference w:id="332"/>
      </w:r>
      <w:r w:rsidRPr="005375B7">
        <w:rPr>
          <w:kern w:val="2"/>
          <w14:ligatures w14:val="standardContextual"/>
        </w:rPr>
        <w:t>, särskilt artikel 105,</w:t>
      </w:r>
    </w:p>
    <w:p w14:paraId="53A714C6" w14:textId="7001E53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4BD4CAF8" w14:textId="610258C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3D7B5A2B" w14:textId="3ACFA6C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403F07CD"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fonden för förbättring av levnads- och arbetsvillkor (Eurofound) ansvarsfrihet för genomförandet av Eurofounds budget för budgetåret 2023.</w:t>
      </w:r>
    </w:p>
    <w:p w14:paraId="4D1B17B1"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2368C170"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fonden för förbättring av levnads- och arbetsvillkor,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04D19AE4" w14:textId="77777777" w:rsidR="005375B7" w:rsidRPr="005375B7" w:rsidRDefault="005375B7" w:rsidP="005375B7">
      <w:pPr>
        <w:widowControl/>
        <w:tabs>
          <w:tab w:val="left" w:pos="5386"/>
        </w:tabs>
        <w:ind w:left="567" w:hanging="567"/>
        <w:rPr>
          <w:kern w:val="2"/>
          <w14:ligatures w14:val="standardContextual"/>
        </w:rPr>
      </w:pPr>
    </w:p>
    <w:p w14:paraId="782FCEF4"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5D235456" w14:textId="77777777" w:rsidR="005375B7" w:rsidRPr="005375B7" w:rsidRDefault="005375B7" w:rsidP="00455D02">
      <w:pPr>
        <w:pStyle w:val="ATHeading3"/>
      </w:pPr>
      <w:r w:rsidRPr="005375B7">
        <w:lastRenderedPageBreak/>
        <w:t>56. Europaparlamentets beslut av den 7 maj 2025 om avslutande av räkenskaperna för Europeiska fonden för förbättring av levnads- och arbetsvillkor för budgetåret 2023  (2024/2030(DEC))</w:t>
      </w:r>
    </w:p>
    <w:p w14:paraId="47B3A70C"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26C5997A" w14:textId="3081887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fonden för förbättring av levnads- och arbetsvillkor (Eurofound) för budgetåret 2023,</w:t>
      </w:r>
    </w:p>
    <w:p w14:paraId="059D9BBD" w14:textId="2EF5259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33"/>
      </w:r>
      <w:r w:rsidRPr="005375B7">
        <w:rPr>
          <w:kern w:val="2"/>
          <w14:ligatures w14:val="standardContextual"/>
        </w:rPr>
        <w:t>,</w:t>
      </w:r>
    </w:p>
    <w:p w14:paraId="0A6C60E7" w14:textId="5E54929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34"/>
      </w:r>
      <w:r w:rsidRPr="005375B7">
        <w:rPr>
          <w:kern w:val="2"/>
          <w14:ligatures w14:val="standardContextual"/>
        </w:rPr>
        <w:t>, som avgetts av revisionsrätten för budgetåret 2023 i enlighet med artikel 287 i fördraget om Europeiska unionens funktionssätt,</w:t>
      </w:r>
    </w:p>
    <w:p w14:paraId="7ACE3D14" w14:textId="3DEE045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Eurofound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550A2D30" w14:textId="4A335C9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02746D46" w14:textId="16531A0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35"/>
      </w:r>
      <w:r w:rsidRPr="005375B7">
        <w:rPr>
          <w:kern w:val="2"/>
          <w14:ligatures w14:val="standardContextual"/>
        </w:rPr>
        <w:t>, särskilt artikel 70,</w:t>
      </w:r>
    </w:p>
    <w:p w14:paraId="4790B9F2" w14:textId="2FE6C05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36"/>
      </w:r>
      <w:r w:rsidRPr="005375B7">
        <w:rPr>
          <w:kern w:val="2"/>
          <w14:ligatures w14:val="standardContextual"/>
        </w:rPr>
        <w:t>, särskilt artikel 70,</w:t>
      </w:r>
    </w:p>
    <w:p w14:paraId="163A5681" w14:textId="692E491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2019/127 av den 16 januari 2019 om inrättande av Europeiska fonden för förbättring av levnads- och arbetsvillkor (Eurofound) och om upphävande av rådets förordning (EEG) nr 1365/75</w:t>
      </w:r>
      <w:r w:rsidRPr="005375B7">
        <w:rPr>
          <w:kern w:val="2"/>
          <w:vertAlign w:val="superscript"/>
          <w14:ligatures w14:val="standardContextual"/>
        </w:rPr>
        <w:footnoteReference w:id="337"/>
      </w:r>
      <w:r w:rsidRPr="005375B7">
        <w:rPr>
          <w:kern w:val="2"/>
          <w14:ligatures w14:val="standardContextual"/>
        </w:rPr>
        <w:t>, särskilt artikel 16,</w:t>
      </w:r>
    </w:p>
    <w:p w14:paraId="57155852" w14:textId="0FC4280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EUF‑fördraget och Euratomfördraget och som avses i artikel 70 i </w:t>
      </w:r>
      <w:r w:rsidRPr="005375B7">
        <w:rPr>
          <w:kern w:val="2"/>
          <w14:ligatures w14:val="standardContextual"/>
        </w:rPr>
        <w:lastRenderedPageBreak/>
        <w:t>Europaparlamentets och rådets förordning (EU, Euratom) 2018/1046</w:t>
      </w:r>
      <w:r w:rsidRPr="005375B7">
        <w:rPr>
          <w:kern w:val="2"/>
          <w:vertAlign w:val="superscript"/>
          <w14:ligatures w14:val="standardContextual"/>
        </w:rPr>
        <w:footnoteReference w:id="338"/>
      </w:r>
      <w:r w:rsidRPr="005375B7">
        <w:rPr>
          <w:kern w:val="2"/>
          <w14:ligatures w14:val="standardContextual"/>
        </w:rPr>
        <w:t>, särskilt artikel 105,</w:t>
      </w:r>
    </w:p>
    <w:p w14:paraId="68EA2A3D" w14:textId="0ED3BDD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7A6347F0" w14:textId="37D2CD4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4DCBC3F6" w14:textId="61A8885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1D29A549"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fonden för förbättring av levnads- och arbetsvillkor för budgetåret 2023.</w:t>
      </w:r>
    </w:p>
    <w:p w14:paraId="61B6B117"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fonden för förbättring av levnads- och arbetsvillkor,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38B4BBD0" w14:textId="77777777" w:rsidR="005375B7" w:rsidRPr="005375B7" w:rsidRDefault="005375B7" w:rsidP="005375B7">
      <w:pPr>
        <w:widowControl/>
        <w:tabs>
          <w:tab w:val="left" w:pos="5386"/>
        </w:tabs>
        <w:ind w:left="567" w:hanging="567"/>
        <w:rPr>
          <w:i/>
          <w:kern w:val="2"/>
          <w14:ligatures w14:val="standardContextual"/>
        </w:rPr>
      </w:pPr>
    </w:p>
    <w:p w14:paraId="0895E917" w14:textId="77777777" w:rsidR="005375B7" w:rsidRPr="005375B7" w:rsidRDefault="005375B7" w:rsidP="005375B7">
      <w:pPr>
        <w:widowControl/>
        <w:tabs>
          <w:tab w:val="left" w:pos="5386"/>
        </w:tabs>
        <w:ind w:left="567" w:hanging="567"/>
        <w:rPr>
          <w:i/>
          <w:kern w:val="2"/>
          <w14:ligatures w14:val="standardContextual"/>
        </w:rPr>
      </w:pPr>
    </w:p>
    <w:p w14:paraId="7A1BD89D" w14:textId="77777777" w:rsidR="005375B7" w:rsidRPr="005375B7" w:rsidRDefault="005375B7" w:rsidP="005375B7">
      <w:pPr>
        <w:widowControl/>
        <w:tabs>
          <w:tab w:val="left" w:pos="5386"/>
        </w:tabs>
        <w:ind w:left="567" w:hanging="567"/>
        <w:rPr>
          <w:i/>
          <w:kern w:val="2"/>
          <w14:ligatures w14:val="standardContextual"/>
        </w:rPr>
      </w:pPr>
    </w:p>
    <w:p w14:paraId="19520742" w14:textId="77777777" w:rsidR="005375B7" w:rsidRPr="005375B7" w:rsidRDefault="005375B7" w:rsidP="005375B7">
      <w:pPr>
        <w:widowControl/>
        <w:tabs>
          <w:tab w:val="left" w:pos="5386"/>
        </w:tabs>
        <w:ind w:left="567" w:hanging="567"/>
        <w:rPr>
          <w:kern w:val="2"/>
          <w14:ligatures w14:val="standardContextual"/>
        </w:rPr>
      </w:pPr>
    </w:p>
    <w:p w14:paraId="7AED2B24"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779CFECF"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5CE8396B" w14:textId="642EF6CF" w:rsidR="005375B7" w:rsidRPr="005375B7" w:rsidRDefault="005375B7" w:rsidP="00455D02">
      <w:pPr>
        <w:pStyle w:val="ATHeading3"/>
      </w:pPr>
      <w:r w:rsidRPr="005375B7">
        <w:lastRenderedPageBreak/>
        <w:t>57. Europaparlamentets beslut av den 7 maj 2025 om ansvarsfrihet för genomförandet av budgeten för Europeiska unionens byrå för straffrättsligt samarbete för budgetåret 2023 (2024/2030(DEC))</w:t>
      </w:r>
    </w:p>
    <w:p w14:paraId="5CFCEA19"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2ABB65DC" w14:textId="59DE898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byrå för straffrättsligt samarbete för budgetåret 2023,</w:t>
      </w:r>
    </w:p>
    <w:p w14:paraId="723F65D6" w14:textId="67F6ED4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39"/>
      </w:r>
      <w:r w:rsidRPr="005375B7">
        <w:rPr>
          <w:kern w:val="2"/>
          <w14:ligatures w14:val="standardContextual"/>
        </w:rPr>
        <w:t>,</w:t>
      </w:r>
    </w:p>
    <w:p w14:paraId="0532B66F" w14:textId="2358E92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40"/>
      </w:r>
      <w:r w:rsidRPr="005375B7">
        <w:rPr>
          <w:kern w:val="2"/>
          <w14:ligatures w14:val="standardContextual"/>
        </w:rPr>
        <w:t>, som avgetts av revisionsrätten för budgetåret 2023 i enlighet med artikel 287 i fördraget om Europeiska unionens funktionssätt,</w:t>
      </w:r>
    </w:p>
    <w:p w14:paraId="058D8530" w14:textId="6C2B011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213B3325" w14:textId="357587F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7725C876" w14:textId="6285B88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41"/>
      </w:r>
      <w:r w:rsidRPr="005375B7">
        <w:rPr>
          <w:kern w:val="2"/>
          <w14:ligatures w14:val="standardContextual"/>
        </w:rPr>
        <w:t>, särskilt artikel 70,</w:t>
      </w:r>
    </w:p>
    <w:p w14:paraId="7F8855A4" w14:textId="601F803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42"/>
      </w:r>
      <w:r w:rsidRPr="005375B7">
        <w:rPr>
          <w:kern w:val="2"/>
          <w14:ligatures w14:val="standardContextual"/>
        </w:rPr>
        <w:t>, särskilt artikel 70,</w:t>
      </w:r>
    </w:p>
    <w:p w14:paraId="2C4A81AB" w14:textId="58202A5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2018/1727 av den 14 november 2018 om Europeiska unionens byrå för straffrättsligt samarbete (Eurojust), och om ersättning och upphävande av rådets beslut 2002/187/RIF</w:t>
      </w:r>
      <w:r w:rsidRPr="005375B7">
        <w:rPr>
          <w:kern w:val="2"/>
          <w:vertAlign w:val="superscript"/>
          <w14:ligatures w14:val="standardContextual"/>
        </w:rPr>
        <w:footnoteReference w:id="343"/>
      </w:r>
      <w:r w:rsidRPr="005375B7">
        <w:rPr>
          <w:kern w:val="2"/>
          <w14:ligatures w14:val="standardContextual"/>
        </w:rPr>
        <w:t>, särskilt artikel 63,</w:t>
      </w:r>
    </w:p>
    <w:p w14:paraId="415D5829" w14:textId="2F1942E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EUF‑fördraget och Euratomfördraget och som avses i artikel 70 i </w:t>
      </w:r>
      <w:r w:rsidRPr="005375B7">
        <w:rPr>
          <w:kern w:val="2"/>
          <w14:ligatures w14:val="standardContextual"/>
        </w:rPr>
        <w:lastRenderedPageBreak/>
        <w:t>Europaparlamentets och rådets förordning (EU, Euratom) 2018/1046</w:t>
      </w:r>
      <w:r w:rsidRPr="005375B7">
        <w:rPr>
          <w:kern w:val="2"/>
          <w:vertAlign w:val="superscript"/>
          <w14:ligatures w14:val="standardContextual"/>
        </w:rPr>
        <w:footnoteReference w:id="344"/>
      </w:r>
      <w:r w:rsidRPr="005375B7">
        <w:rPr>
          <w:kern w:val="2"/>
          <w14:ligatures w14:val="standardContextual"/>
        </w:rPr>
        <w:t>, särskilt artikel 105,</w:t>
      </w:r>
    </w:p>
    <w:p w14:paraId="350BEAF9" w14:textId="05E07DB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25421046" w14:textId="1DE68A7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727721A5" w14:textId="370AF94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5F52BD70"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den administrativa direktören för Europeiska unionens byrå för straffrättsligt samarbete ansvarsfrihet för genomförandet av byråns budget för budgetåret 2023.</w:t>
      </w:r>
    </w:p>
    <w:p w14:paraId="043A4D54"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4BB5489C"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den administrativa direktören för Europeiska unionens byrå för straffrättsligt samarbete,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04AF7240" w14:textId="77777777" w:rsidR="005375B7" w:rsidRPr="005375B7" w:rsidRDefault="005375B7" w:rsidP="005375B7">
      <w:pPr>
        <w:widowControl/>
        <w:tabs>
          <w:tab w:val="left" w:pos="5386"/>
        </w:tabs>
        <w:ind w:left="567" w:hanging="567"/>
        <w:rPr>
          <w:i/>
          <w:kern w:val="2"/>
          <w14:ligatures w14:val="standardContextual"/>
        </w:rPr>
      </w:pPr>
    </w:p>
    <w:p w14:paraId="59BEB21A" w14:textId="77777777" w:rsidR="005375B7" w:rsidRPr="005375B7" w:rsidRDefault="005375B7" w:rsidP="005375B7">
      <w:pPr>
        <w:widowControl/>
        <w:tabs>
          <w:tab w:val="left" w:pos="5386"/>
        </w:tabs>
        <w:ind w:left="567" w:hanging="567"/>
        <w:rPr>
          <w:kern w:val="2"/>
          <w14:ligatures w14:val="standardContextual"/>
        </w:rPr>
      </w:pPr>
    </w:p>
    <w:p w14:paraId="03C379C6"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7D234ABC"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4DF71C23" w14:textId="77777777" w:rsidR="005375B7" w:rsidRPr="005375B7" w:rsidRDefault="005375B7" w:rsidP="00455D02">
      <w:pPr>
        <w:pStyle w:val="ATHeading3"/>
      </w:pPr>
      <w:r w:rsidRPr="005375B7">
        <w:lastRenderedPageBreak/>
        <w:t>58. Europaparlamentets beslut av den 7 maj 2025 om avslutande av räkenskaperna för Europeiska unionens byrå för straffrättsligt samarbete för budgetåret 2023  (2024/2030(DEC))</w:t>
      </w:r>
    </w:p>
    <w:p w14:paraId="7AED86FC"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2A159759" w14:textId="3704E14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byrå för straffrättsligt samarbete för budgetåret 2023,</w:t>
      </w:r>
    </w:p>
    <w:p w14:paraId="195BF2E6" w14:textId="273C5FA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45"/>
      </w:r>
      <w:r w:rsidRPr="005375B7">
        <w:rPr>
          <w:kern w:val="2"/>
          <w14:ligatures w14:val="standardContextual"/>
        </w:rPr>
        <w:t>,</w:t>
      </w:r>
    </w:p>
    <w:p w14:paraId="7782128E" w14:textId="33FA6A8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46"/>
      </w:r>
      <w:r w:rsidRPr="005375B7">
        <w:rPr>
          <w:kern w:val="2"/>
          <w14:ligatures w14:val="standardContextual"/>
        </w:rPr>
        <w:t>, som avgetts av revisionsrätten för budgetåret 2023 i enlighet med artikel 287 i fördraget om Europeiska unionens funktionssätt,</w:t>
      </w:r>
    </w:p>
    <w:p w14:paraId="540EC9D8" w14:textId="6E4F721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566251D6" w14:textId="4757FC7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14EA6DF0" w14:textId="605B234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47"/>
      </w:r>
      <w:r w:rsidRPr="005375B7">
        <w:rPr>
          <w:kern w:val="2"/>
          <w14:ligatures w14:val="standardContextual"/>
        </w:rPr>
        <w:t>, särskilt artikel 70,</w:t>
      </w:r>
    </w:p>
    <w:p w14:paraId="008858F2" w14:textId="7537D1E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48"/>
      </w:r>
      <w:r w:rsidRPr="005375B7">
        <w:rPr>
          <w:kern w:val="2"/>
          <w14:ligatures w14:val="standardContextual"/>
        </w:rPr>
        <w:t>, särskilt artikel 70,</w:t>
      </w:r>
    </w:p>
    <w:p w14:paraId="09C8FDB4" w14:textId="110D0D0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2018/1727 av den 14 november 2018 om Europeiska unionens byrå för straffrättsligt samarbete (Eurojust), och om ersättning och upphävande av rådets beslut 2002/187/RIF</w:t>
      </w:r>
      <w:r w:rsidRPr="005375B7">
        <w:rPr>
          <w:kern w:val="2"/>
          <w:vertAlign w:val="superscript"/>
          <w14:ligatures w14:val="standardContextual"/>
        </w:rPr>
        <w:footnoteReference w:id="349"/>
      </w:r>
      <w:r w:rsidRPr="005375B7">
        <w:rPr>
          <w:kern w:val="2"/>
          <w14:ligatures w14:val="standardContextual"/>
        </w:rPr>
        <w:t>, särskilt artikel 63,</w:t>
      </w:r>
    </w:p>
    <w:p w14:paraId="7EB9A84C" w14:textId="2375727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350"/>
      </w:r>
      <w:r w:rsidRPr="005375B7">
        <w:rPr>
          <w:kern w:val="2"/>
          <w14:ligatures w14:val="standardContextual"/>
        </w:rPr>
        <w:t>, särskilt artikel 105,</w:t>
      </w:r>
    </w:p>
    <w:p w14:paraId="337A6302" w14:textId="44FED305"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79351B77" w14:textId="2D14D0C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056B98F9" w14:textId="702DA23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0BD83BF0"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om avslutande av räkenskaperna för Europeiska unionens byrå för straffrättsligt samarbete för budgetåret 2023</w:t>
      </w:r>
    </w:p>
    <w:p w14:paraId="01801180"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den administrativa direktören för Europeiska unionens byrå för straffrättsligt samarbete,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292C0E87"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1A361F46" w14:textId="77777777" w:rsidR="005375B7" w:rsidRPr="005375B7" w:rsidRDefault="005375B7" w:rsidP="00455D02">
      <w:pPr>
        <w:pStyle w:val="ATHeading3"/>
      </w:pPr>
      <w:r w:rsidRPr="005375B7">
        <w:lastRenderedPageBreak/>
        <w:t>59. Europaparlamentets beslut av den 7 maj 2025 om ansvarsfrihet för genomförandet av budgeten för Europeiska unionens byrå för samarbete inom brottsbekämpning för budgetåret 2023  (2024/2030(DEC))</w:t>
      </w:r>
    </w:p>
    <w:p w14:paraId="59C99C0B" w14:textId="77777777" w:rsidR="00455D02" w:rsidRPr="005375B7" w:rsidRDefault="00455D02" w:rsidP="00455D02">
      <w:pPr>
        <w:spacing w:before="480" w:after="240"/>
        <w:rPr>
          <w:i/>
          <w:kern w:val="2"/>
          <w14:ligatures w14:val="standardContextual"/>
        </w:rPr>
      </w:pPr>
      <w:r w:rsidRPr="005375B7">
        <w:rPr>
          <w:i/>
          <w:kern w:val="2"/>
          <w14:ligatures w14:val="standardContextual"/>
        </w:rPr>
        <w:t>Europaparlamentet fattar detta beslut</w:t>
      </w:r>
    </w:p>
    <w:p w14:paraId="0DBA316B" w14:textId="53F93A1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byrå för samarbete inom brottsbekämpning för budgetåret 2023,</w:t>
      </w:r>
    </w:p>
    <w:p w14:paraId="3B0690CE" w14:textId="3443B1A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51"/>
      </w:r>
      <w:r w:rsidRPr="005375B7">
        <w:rPr>
          <w:kern w:val="2"/>
          <w14:ligatures w14:val="standardContextual"/>
        </w:rPr>
        <w:t>,</w:t>
      </w:r>
    </w:p>
    <w:p w14:paraId="05EDF024" w14:textId="2E90055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52"/>
      </w:r>
      <w:r w:rsidRPr="005375B7">
        <w:rPr>
          <w:kern w:val="2"/>
          <w14:ligatures w14:val="standardContextual"/>
        </w:rPr>
        <w:t>, som avgetts av revisionsrätten för budgetåret 2023 i enlighet med artikel 287 i fördraget om Europeiska unionens funktionssätt,</w:t>
      </w:r>
    </w:p>
    <w:p w14:paraId="142240D7" w14:textId="1968F8A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011E2E95" w14:textId="2BCC17B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7DEDBFA0" w14:textId="14392E4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53"/>
      </w:r>
      <w:r w:rsidRPr="005375B7">
        <w:rPr>
          <w:kern w:val="2"/>
          <w14:ligatures w14:val="standardContextual"/>
        </w:rPr>
        <w:t>, särskilt artikel 70,</w:t>
      </w:r>
    </w:p>
    <w:p w14:paraId="24DD517E" w14:textId="350B7EA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54"/>
      </w:r>
      <w:r w:rsidRPr="005375B7">
        <w:rPr>
          <w:kern w:val="2"/>
          <w14:ligatures w14:val="standardContextual"/>
        </w:rPr>
        <w:t>, särskilt artikel 70,</w:t>
      </w:r>
    </w:p>
    <w:p w14:paraId="598C113C" w14:textId="459A22E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2016/794 av den 11 maj 2016 om Europeiska unionens byrå för samarbete inom brottsbekämpning (Europol) och om ersättande och upphävande av rådets beslut 2009/371/RIF, 2009/934/RIF, 2009/935/RIF, 2009/936/RIF och 2009/968/RIF</w:t>
      </w:r>
      <w:r w:rsidRPr="005375B7">
        <w:rPr>
          <w:kern w:val="2"/>
          <w:vertAlign w:val="superscript"/>
          <w14:ligatures w14:val="standardContextual"/>
        </w:rPr>
        <w:footnoteReference w:id="355"/>
      </w:r>
      <w:r w:rsidRPr="005375B7">
        <w:rPr>
          <w:kern w:val="2"/>
          <w14:ligatures w14:val="standardContextual"/>
        </w:rPr>
        <w:t>, särskilt artikel 60,</w:t>
      </w:r>
    </w:p>
    <w:p w14:paraId="6D7E090E" w14:textId="3B2CC84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356"/>
      </w:r>
      <w:r w:rsidRPr="005375B7">
        <w:rPr>
          <w:kern w:val="2"/>
          <w14:ligatures w14:val="standardContextual"/>
        </w:rPr>
        <w:t>, särskilt artikel 105,</w:t>
      </w:r>
    </w:p>
    <w:p w14:paraId="172E4B42" w14:textId="57DA1C88"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6609EF7A" w14:textId="4CB0CCB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2635069F" w14:textId="5D160B5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5B4BB96F"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unionens byrå för samarbete inom brottsbekämpning ansvarsfrihet för genomförandet av byråns budget för budgetåret 2023.</w:t>
      </w:r>
    </w:p>
    <w:p w14:paraId="0315AF98"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71FE0CA5"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unionens byrå för samarbete inom brottsbekämpning,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3A37F926"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105E043E" w14:textId="77777777" w:rsidR="005375B7" w:rsidRPr="005375B7" w:rsidRDefault="005375B7" w:rsidP="001D2F8A">
      <w:pPr>
        <w:pStyle w:val="ATHeading3"/>
      </w:pPr>
      <w:r w:rsidRPr="005375B7">
        <w:lastRenderedPageBreak/>
        <w:t>60. Europaparlamentets beslut av den 7 maj 2025 om avslutandet av räkenskaperna för Europeiska unionens byrå för samarbete inom brottsbekämpning för budgetåret 2023  (2024/2030(DEC))</w:t>
      </w:r>
    </w:p>
    <w:p w14:paraId="08872316" w14:textId="77777777" w:rsidR="001D2F8A" w:rsidRPr="005375B7" w:rsidRDefault="001D2F8A" w:rsidP="001D2F8A">
      <w:pPr>
        <w:spacing w:before="480" w:after="240"/>
        <w:rPr>
          <w:i/>
          <w:kern w:val="2"/>
          <w14:ligatures w14:val="standardContextual"/>
        </w:rPr>
      </w:pPr>
      <w:r w:rsidRPr="005375B7">
        <w:rPr>
          <w:i/>
          <w:kern w:val="2"/>
          <w14:ligatures w14:val="standardContextual"/>
        </w:rPr>
        <w:t>Europaparlamentet fattar detta beslut</w:t>
      </w:r>
    </w:p>
    <w:p w14:paraId="776BBA2C" w14:textId="52F7309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byrå för samarbete inom brottsbekämpning för budgetåret 2023,</w:t>
      </w:r>
    </w:p>
    <w:p w14:paraId="7AD2308E" w14:textId="08CBA90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57"/>
      </w:r>
      <w:r w:rsidRPr="005375B7">
        <w:rPr>
          <w:kern w:val="2"/>
          <w14:ligatures w14:val="standardContextual"/>
        </w:rPr>
        <w:t>,</w:t>
      </w:r>
    </w:p>
    <w:p w14:paraId="6C9DB131" w14:textId="6F9EC6E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58"/>
      </w:r>
      <w:r w:rsidRPr="005375B7">
        <w:rPr>
          <w:kern w:val="2"/>
          <w14:ligatures w14:val="standardContextual"/>
        </w:rPr>
        <w:t>, som avgetts av revisionsrätten för budgetåret 2023 i enlighet med artikel 287 i fördraget om Europeiska unionens funktionssätt,</w:t>
      </w:r>
    </w:p>
    <w:p w14:paraId="78A39D82" w14:textId="69A8043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37DE760B" w14:textId="338BA56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6C635A89" w14:textId="791E183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59"/>
      </w:r>
      <w:r w:rsidRPr="005375B7">
        <w:rPr>
          <w:kern w:val="2"/>
          <w14:ligatures w14:val="standardContextual"/>
        </w:rPr>
        <w:t>, särskilt artikel 70,</w:t>
      </w:r>
    </w:p>
    <w:p w14:paraId="3A95321B" w14:textId="4F36136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60"/>
      </w:r>
      <w:r w:rsidRPr="005375B7">
        <w:rPr>
          <w:kern w:val="2"/>
          <w14:ligatures w14:val="standardContextual"/>
        </w:rPr>
        <w:t>, särskilt artikel 70,</w:t>
      </w:r>
    </w:p>
    <w:p w14:paraId="08B004DD" w14:textId="63C5A5E2"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2016/794 av den 11 maj 2016 om Europeiska unionens byrå för samarbete inom brottsbekämpning (Europol) och om ersättande och upphävande av rådets beslut 2009/371/RIF, 2009/934/RIF, 2009/935/RIF, 2009/936/RIF och 2009/968/RIF</w:t>
      </w:r>
      <w:r w:rsidRPr="005375B7">
        <w:rPr>
          <w:kern w:val="2"/>
          <w:vertAlign w:val="superscript"/>
          <w14:ligatures w14:val="standardContextual"/>
        </w:rPr>
        <w:footnoteReference w:id="361"/>
      </w:r>
      <w:r w:rsidRPr="005375B7">
        <w:rPr>
          <w:kern w:val="2"/>
          <w14:ligatures w14:val="standardContextual"/>
        </w:rPr>
        <w:t>, särskilt artikel 60,</w:t>
      </w:r>
    </w:p>
    <w:p w14:paraId="63B73799" w14:textId="46CE91A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362"/>
      </w:r>
      <w:r w:rsidRPr="005375B7">
        <w:rPr>
          <w:kern w:val="2"/>
          <w14:ligatures w14:val="standardContextual"/>
        </w:rPr>
        <w:t>, särskilt artikel 105,</w:t>
      </w:r>
    </w:p>
    <w:p w14:paraId="06DCD3F5" w14:textId="6CFE4906"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60BC1CA4" w14:textId="440C750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2BA3BA16" w14:textId="7DC50DD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4326B728"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unionens byrå för samarbete inom brottsbekämpning för budgetåret 2023.</w:t>
      </w:r>
    </w:p>
    <w:p w14:paraId="3F4D5937"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unionens byrå för samarbete inom brottsbekämpning,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15646B19"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486D68EF" w14:textId="77777777" w:rsidR="005375B7" w:rsidRPr="005375B7" w:rsidRDefault="005375B7" w:rsidP="001D2F8A">
      <w:pPr>
        <w:pStyle w:val="ATHeading3"/>
      </w:pPr>
      <w:r w:rsidRPr="005375B7">
        <w:lastRenderedPageBreak/>
        <w:t>61. Europaparlamentets beslut av den 7 maj 2025 om ansvarsfrihet för genomförandet av budgeten för Europeiska unionens rymdprogrambyrå för budgetåret 2023  (2024/2030(DEC))</w:t>
      </w:r>
    </w:p>
    <w:p w14:paraId="3ABE3310" w14:textId="77777777" w:rsidR="001D2F8A" w:rsidRPr="005375B7" w:rsidRDefault="001D2F8A" w:rsidP="001D2F8A">
      <w:pPr>
        <w:spacing w:before="480" w:after="240"/>
        <w:rPr>
          <w:i/>
          <w:kern w:val="2"/>
          <w14:ligatures w14:val="standardContextual"/>
        </w:rPr>
      </w:pPr>
      <w:r w:rsidRPr="005375B7">
        <w:rPr>
          <w:i/>
          <w:kern w:val="2"/>
          <w14:ligatures w14:val="standardContextual"/>
        </w:rPr>
        <w:t>Europaparlamentet fattar detta beslut</w:t>
      </w:r>
    </w:p>
    <w:p w14:paraId="73623709" w14:textId="0E2EAD5A"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rymdprogrambyrå för budgetåret 2023,</w:t>
      </w:r>
    </w:p>
    <w:p w14:paraId="19E64AA9" w14:textId="01A593B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63"/>
      </w:r>
      <w:r w:rsidRPr="005375B7">
        <w:rPr>
          <w:kern w:val="2"/>
          <w14:ligatures w14:val="standardContextual"/>
        </w:rPr>
        <w:t>,</w:t>
      </w:r>
    </w:p>
    <w:p w14:paraId="32CAE892" w14:textId="12AC918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64"/>
      </w:r>
      <w:r w:rsidRPr="005375B7">
        <w:rPr>
          <w:kern w:val="2"/>
          <w14:ligatures w14:val="standardContextual"/>
        </w:rPr>
        <w:t>, som avgetts av revisionsrätten för budgetåret 2023 i enlighet med artikel 287 i fördraget om Europeiska unionens funktionssätt,</w:t>
      </w:r>
    </w:p>
    <w:p w14:paraId="2D490534" w14:textId="457F2480"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65595F66" w14:textId="03790E9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30ADBF25" w14:textId="323E9807"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65"/>
      </w:r>
      <w:r w:rsidRPr="005375B7">
        <w:rPr>
          <w:kern w:val="2"/>
          <w14:ligatures w14:val="standardContextual"/>
        </w:rPr>
        <w:t>, särskilt artikel 70,</w:t>
      </w:r>
    </w:p>
    <w:p w14:paraId="148AC849" w14:textId="113C00AE"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66"/>
      </w:r>
      <w:r w:rsidRPr="005375B7">
        <w:rPr>
          <w:kern w:val="2"/>
          <w14:ligatures w14:val="standardContextual"/>
        </w:rPr>
        <w:t>, särskilt artikel 70,</w:t>
      </w:r>
    </w:p>
    <w:p w14:paraId="2B3243D4" w14:textId="10AB5DD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2021/696 av den 28 april 2021 om inrättande av unionens rymdprogram och Europeiska unionens rymdprogrambyrå och om upphävande av förordningarna (EU) nr 912/2010, (EU) nr 1285/2013 och (EU) nr 377/2014 och beslut nr 541/2014/EU</w:t>
      </w:r>
      <w:r w:rsidRPr="005375B7">
        <w:rPr>
          <w:kern w:val="2"/>
          <w:vertAlign w:val="superscript"/>
          <w14:ligatures w14:val="standardContextual"/>
        </w:rPr>
        <w:footnoteReference w:id="367"/>
      </w:r>
      <w:r w:rsidRPr="005375B7">
        <w:rPr>
          <w:kern w:val="2"/>
          <w14:ligatures w14:val="standardContextual"/>
        </w:rPr>
        <w:t>, särskilt artiklarna 85 och 86,</w:t>
      </w:r>
    </w:p>
    <w:p w14:paraId="4260F568" w14:textId="3F0261F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EUF‑fördraget och Euratomfördraget och som avses i artikel 70 i </w:t>
      </w:r>
      <w:r w:rsidRPr="005375B7">
        <w:rPr>
          <w:kern w:val="2"/>
          <w14:ligatures w14:val="standardContextual"/>
        </w:rPr>
        <w:lastRenderedPageBreak/>
        <w:t>Europaparlamentets och rådets förordning (EU, Euratom) 2018/1046</w:t>
      </w:r>
      <w:r w:rsidRPr="005375B7">
        <w:rPr>
          <w:kern w:val="2"/>
          <w:vertAlign w:val="superscript"/>
          <w14:ligatures w14:val="standardContextual"/>
        </w:rPr>
        <w:footnoteReference w:id="368"/>
      </w:r>
      <w:r w:rsidRPr="005375B7">
        <w:rPr>
          <w:kern w:val="2"/>
          <w14:ligatures w14:val="standardContextual"/>
        </w:rPr>
        <w:t>, särskilt artikel 105,</w:t>
      </w:r>
    </w:p>
    <w:p w14:paraId="1CB36502" w14:textId="74E95C8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2936C97B" w14:textId="112616E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35DC3FA9" w14:textId="24D6247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5D831746"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verkställande direktören för Europeiska unionens rymdprogrambyrå ansvarsfrihet för genomförandet av byråns budget för budgetåret 2023.</w:t>
      </w:r>
    </w:p>
    <w:p w14:paraId="0920D351"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4B5779B5"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verkställande direktören för Europeiska unionens rymdprogrambyrå,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75E4DFD4" w14:textId="77777777" w:rsidR="005375B7" w:rsidRPr="005375B7" w:rsidRDefault="005375B7" w:rsidP="005375B7">
      <w:pPr>
        <w:widowControl/>
        <w:tabs>
          <w:tab w:val="left" w:pos="5386"/>
        </w:tabs>
        <w:ind w:left="567" w:hanging="567"/>
        <w:rPr>
          <w:i/>
          <w:kern w:val="2"/>
          <w14:ligatures w14:val="standardContextual"/>
        </w:rPr>
      </w:pPr>
    </w:p>
    <w:p w14:paraId="686BC85E" w14:textId="77777777" w:rsidR="005375B7" w:rsidRPr="005375B7" w:rsidRDefault="005375B7" w:rsidP="005375B7">
      <w:pPr>
        <w:widowControl/>
        <w:tabs>
          <w:tab w:val="left" w:pos="5386"/>
        </w:tabs>
        <w:ind w:left="567" w:hanging="567"/>
        <w:rPr>
          <w:i/>
          <w:kern w:val="2"/>
          <w14:ligatures w14:val="standardContextual"/>
        </w:rPr>
      </w:pPr>
    </w:p>
    <w:p w14:paraId="09F29DD6" w14:textId="77777777" w:rsidR="005375B7" w:rsidRPr="005375B7" w:rsidRDefault="005375B7" w:rsidP="005375B7">
      <w:pPr>
        <w:widowControl/>
        <w:tabs>
          <w:tab w:val="left" w:pos="5386"/>
        </w:tabs>
        <w:ind w:left="567" w:hanging="567"/>
        <w:rPr>
          <w:kern w:val="2"/>
          <w14:ligatures w14:val="standardContextual"/>
        </w:rPr>
      </w:pPr>
    </w:p>
    <w:p w14:paraId="3B9DCC7F"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2FBAEEFE"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316F4B5C" w14:textId="77777777" w:rsidR="005375B7" w:rsidRPr="005375B7" w:rsidRDefault="005375B7" w:rsidP="001D2F8A">
      <w:pPr>
        <w:pStyle w:val="ATHeading3"/>
      </w:pPr>
      <w:r w:rsidRPr="005375B7">
        <w:lastRenderedPageBreak/>
        <w:t>62. Europaparlamentets beslut av den 7 maj 2025 om avslutande av räkenskaperna för Europeiska unionens rymdprogrambyrå för budgetåret 2023 (2024/2030(DEC))</w:t>
      </w:r>
    </w:p>
    <w:p w14:paraId="26F51D75" w14:textId="77777777" w:rsidR="001D2F8A" w:rsidRPr="005375B7" w:rsidRDefault="001D2F8A" w:rsidP="001D2F8A">
      <w:pPr>
        <w:spacing w:before="480" w:after="240"/>
        <w:rPr>
          <w:i/>
          <w:kern w:val="2"/>
          <w14:ligatures w14:val="standardContextual"/>
        </w:rPr>
      </w:pPr>
      <w:r w:rsidRPr="005375B7">
        <w:rPr>
          <w:i/>
          <w:kern w:val="2"/>
          <w14:ligatures w14:val="standardContextual"/>
        </w:rPr>
        <w:t>Europaparlamentet fattar detta beslut</w:t>
      </w:r>
    </w:p>
    <w:p w14:paraId="54AED8EE" w14:textId="756F513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rymdprogrambyrå för budgetåret 2023,</w:t>
      </w:r>
    </w:p>
    <w:p w14:paraId="52C4FC00" w14:textId="555377B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69"/>
      </w:r>
      <w:r w:rsidRPr="005375B7">
        <w:rPr>
          <w:kern w:val="2"/>
          <w14:ligatures w14:val="standardContextual"/>
        </w:rPr>
        <w:t>,</w:t>
      </w:r>
    </w:p>
    <w:p w14:paraId="6A046829" w14:textId="09F56A6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70"/>
      </w:r>
      <w:r w:rsidRPr="005375B7">
        <w:rPr>
          <w:kern w:val="2"/>
          <w14:ligatures w14:val="standardContextual"/>
        </w:rPr>
        <w:t>, som avgetts av revisionsrätten för budgetåret 2023 i enlighet med artikel 287 i fördraget om Europeiska unionens funktionssätt,</w:t>
      </w:r>
    </w:p>
    <w:p w14:paraId="461CD6C5" w14:textId="02D1F36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5B68104B" w14:textId="3B7ACCF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4245E716" w14:textId="7FAA76B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71"/>
      </w:r>
      <w:r w:rsidRPr="005375B7">
        <w:rPr>
          <w:kern w:val="2"/>
          <w14:ligatures w14:val="standardContextual"/>
        </w:rPr>
        <w:t>, särskilt artikel 70,</w:t>
      </w:r>
    </w:p>
    <w:p w14:paraId="0EBF08AB" w14:textId="33193EB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72"/>
      </w:r>
      <w:r w:rsidRPr="005375B7">
        <w:rPr>
          <w:kern w:val="2"/>
          <w14:ligatures w14:val="standardContextual"/>
        </w:rPr>
        <w:t>, särskilt artikel 70,</w:t>
      </w:r>
    </w:p>
    <w:p w14:paraId="51BC3B26" w14:textId="5E94ED6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2021/696 av den 28 april 2021 om inrättande av unionens rymdprogram och Europeiska unionens rymdprogrambyrå och om upphävande av förordningarna (EU) nr 912/2010, (EU) nr 1285/2013 och (EU) nr 377/2014 och beslut nr 541/2014/EU</w:t>
      </w:r>
      <w:r w:rsidRPr="005375B7">
        <w:rPr>
          <w:kern w:val="2"/>
          <w:vertAlign w:val="superscript"/>
          <w14:ligatures w14:val="standardContextual"/>
        </w:rPr>
        <w:footnoteReference w:id="373"/>
      </w:r>
      <w:r w:rsidRPr="005375B7">
        <w:rPr>
          <w:kern w:val="2"/>
          <w14:ligatures w14:val="standardContextual"/>
        </w:rPr>
        <w:t>, särskilt artiklarna 85 och 86,</w:t>
      </w:r>
    </w:p>
    <w:p w14:paraId="3D35EF08" w14:textId="126D057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kommissionens delegerade förordning (EU) 2019/715 av den 18 december 2018 med rambudgetförordning för de organ som inrättats enligt EUF‑fördraget och Euratomfördraget och som avses i artikel 70 i </w:t>
      </w:r>
      <w:r w:rsidRPr="005375B7">
        <w:rPr>
          <w:kern w:val="2"/>
          <w14:ligatures w14:val="standardContextual"/>
        </w:rPr>
        <w:lastRenderedPageBreak/>
        <w:t>Europaparlamentets och rådets förordning (EU, Euratom) 2018/1046</w:t>
      </w:r>
      <w:r w:rsidRPr="005375B7">
        <w:rPr>
          <w:kern w:val="2"/>
          <w:vertAlign w:val="superscript"/>
          <w14:ligatures w14:val="standardContextual"/>
        </w:rPr>
        <w:footnoteReference w:id="374"/>
      </w:r>
      <w:r w:rsidRPr="005375B7">
        <w:rPr>
          <w:kern w:val="2"/>
          <w14:ligatures w14:val="standardContextual"/>
        </w:rPr>
        <w:t>, särskilt artikel 105,</w:t>
      </w:r>
    </w:p>
    <w:p w14:paraId="591FD1A8" w14:textId="266CAEF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34BB0C5F" w14:textId="2F8D824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06D67966" w14:textId="19F49F4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6CFBEC35"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unionens rymdprogrambyrå för budgetåret 2023.</w:t>
      </w:r>
    </w:p>
    <w:p w14:paraId="17A1A943"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unionens rymdprogrambyrå,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2FE73A7F" w14:textId="77777777" w:rsidR="005375B7" w:rsidRPr="005375B7" w:rsidRDefault="005375B7" w:rsidP="005375B7">
      <w:pPr>
        <w:widowControl/>
        <w:tabs>
          <w:tab w:val="left" w:pos="5386"/>
        </w:tabs>
        <w:ind w:left="567" w:hanging="567"/>
        <w:rPr>
          <w:i/>
          <w:kern w:val="2"/>
          <w14:ligatures w14:val="standardContextual"/>
        </w:rPr>
      </w:pPr>
    </w:p>
    <w:p w14:paraId="54BBD4BB" w14:textId="77777777" w:rsidR="005375B7" w:rsidRPr="005375B7" w:rsidRDefault="005375B7" w:rsidP="005375B7">
      <w:pPr>
        <w:widowControl/>
        <w:tabs>
          <w:tab w:val="left" w:pos="5386"/>
        </w:tabs>
        <w:ind w:left="567" w:hanging="567"/>
        <w:rPr>
          <w:i/>
          <w:kern w:val="2"/>
          <w14:ligatures w14:val="standardContextual"/>
        </w:rPr>
      </w:pPr>
    </w:p>
    <w:p w14:paraId="44DCE56C" w14:textId="77777777" w:rsidR="005375B7" w:rsidRPr="005375B7" w:rsidRDefault="005375B7" w:rsidP="005375B7">
      <w:pPr>
        <w:widowControl/>
        <w:tabs>
          <w:tab w:val="left" w:pos="5386"/>
        </w:tabs>
        <w:ind w:left="567" w:hanging="567"/>
        <w:rPr>
          <w:kern w:val="2"/>
          <w14:ligatures w14:val="standardContextual"/>
        </w:rPr>
      </w:pPr>
    </w:p>
    <w:p w14:paraId="695A31C1"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4433AAEE"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0D3142EE" w14:textId="167ACEA8" w:rsidR="005375B7" w:rsidRPr="005375B7" w:rsidRDefault="005375B7" w:rsidP="001D2F8A">
      <w:pPr>
        <w:pStyle w:val="ATHeading3"/>
      </w:pPr>
      <w:r w:rsidRPr="005375B7">
        <w:lastRenderedPageBreak/>
        <w:t>63. Europaparlamentets beslut av den 7 maj 2025 om ansvarsfrihet för genomförandet av budgeten för Europeiska unionens byrå för grundläggande rättigheter för budgetåret 2023 (2024/2030(DEC))</w:t>
      </w:r>
    </w:p>
    <w:p w14:paraId="0056D0A9" w14:textId="77777777" w:rsidR="001D2F8A" w:rsidRPr="005375B7" w:rsidRDefault="001D2F8A" w:rsidP="001D2F8A">
      <w:pPr>
        <w:spacing w:before="480" w:after="240"/>
        <w:rPr>
          <w:i/>
          <w:kern w:val="2"/>
          <w14:ligatures w14:val="standardContextual"/>
        </w:rPr>
      </w:pPr>
      <w:r w:rsidRPr="005375B7">
        <w:rPr>
          <w:i/>
          <w:kern w:val="2"/>
          <w14:ligatures w14:val="standardContextual"/>
        </w:rPr>
        <w:t>Europaparlamentet fattar detta beslut</w:t>
      </w:r>
    </w:p>
    <w:p w14:paraId="247DFB41" w14:textId="71F5B54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unionens byrå för grundläggande rättigheter för budgetåret 2023,</w:t>
      </w:r>
    </w:p>
    <w:p w14:paraId="101CA9FC" w14:textId="7A94305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75"/>
      </w:r>
      <w:r w:rsidRPr="005375B7">
        <w:rPr>
          <w:kern w:val="2"/>
          <w14:ligatures w14:val="standardContextual"/>
        </w:rPr>
        <w:t>,</w:t>
      </w:r>
    </w:p>
    <w:p w14:paraId="36B1D2F5" w14:textId="4C3B8CD6"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76"/>
      </w:r>
      <w:r w:rsidRPr="005375B7">
        <w:rPr>
          <w:kern w:val="2"/>
          <w14:ligatures w14:val="standardContextual"/>
        </w:rPr>
        <w:t>, som avgetts av revisionsrätten för budgetåret 2023 i enlighet med artikel 287 i fördraget om Europeiska unionens funktionssätt,</w:t>
      </w:r>
    </w:p>
    <w:p w14:paraId="5EF6D380" w14:textId="26661F5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3E1CAED1" w14:textId="0B426F0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6D6B4F2E" w14:textId="217F648D"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77"/>
      </w:r>
      <w:r w:rsidRPr="005375B7">
        <w:rPr>
          <w:kern w:val="2"/>
          <w14:ligatures w14:val="standardContextual"/>
        </w:rPr>
        <w:t>, särskilt artikel 70,</w:t>
      </w:r>
    </w:p>
    <w:p w14:paraId="48C98DF3" w14:textId="73A33719"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78"/>
      </w:r>
      <w:r w:rsidRPr="005375B7">
        <w:rPr>
          <w:kern w:val="2"/>
          <w14:ligatures w14:val="standardContextual"/>
        </w:rPr>
        <w:t>, särskilt artikel 70,</w:t>
      </w:r>
    </w:p>
    <w:p w14:paraId="77576F07" w14:textId="409030F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rådets förordning (EG) nr 168/2007 av den 15 februari 2007 om inrättande av Europeiska unionens byrå för grundläggande rättigheter</w:t>
      </w:r>
      <w:r w:rsidRPr="005375B7">
        <w:rPr>
          <w:kern w:val="2"/>
          <w:vertAlign w:val="superscript"/>
          <w14:ligatures w14:val="standardContextual"/>
        </w:rPr>
        <w:footnoteReference w:id="379"/>
      </w:r>
      <w:r w:rsidRPr="005375B7">
        <w:rPr>
          <w:kern w:val="2"/>
          <w14:ligatures w14:val="standardContextual"/>
        </w:rPr>
        <w:t>, särskilt artikel 21,</w:t>
      </w:r>
    </w:p>
    <w:p w14:paraId="704B51E2" w14:textId="4DF1BC1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380"/>
      </w:r>
      <w:r w:rsidRPr="005375B7">
        <w:rPr>
          <w:kern w:val="2"/>
          <w14:ligatures w14:val="standardContextual"/>
        </w:rPr>
        <w:t>, särskilt artikel 105,</w:t>
      </w:r>
    </w:p>
    <w:p w14:paraId="14912C23" w14:textId="51946F1E"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artikel 102 och bilaga V i arbetsordningen,</w:t>
      </w:r>
    </w:p>
    <w:p w14:paraId="2056F6E2" w14:textId="79B92FA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434A1079" w14:textId="12C5DD31"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0B66B9AB"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beviljar direktören för Europeiska unionens byrå för grundläggande rättigheter ansvarsfrihet för genomförandet av byråns budget för budgetåret 2023.</w:t>
      </w:r>
    </w:p>
    <w:p w14:paraId="7EED8213"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Europaparlamentet redovisar sina iakttagelser i resolutionen nedan.</w:t>
      </w:r>
    </w:p>
    <w:p w14:paraId="78A41281"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 xml:space="preserve">Europaparlamentet uppdrar åt talmannen att översända detta beslut och den resolution som utgör en del av beslutet till direktören för Europeiska unionens byrå för grundläggande rättigheter,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4966C597"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06B70CE6" w14:textId="77777777" w:rsidR="005375B7" w:rsidRPr="00241176" w:rsidRDefault="005375B7" w:rsidP="001D2F8A">
      <w:pPr>
        <w:pStyle w:val="ATHeading3"/>
      </w:pPr>
      <w:r w:rsidRPr="00241176">
        <w:lastRenderedPageBreak/>
        <w:t>64. Europaparlamentets beslut av den 7 maj 2025 om avslutande av räkenskaperna för Europeiska unionens byrå för grundläggande rättigheter för budgetåret 2023 (2024/2030(DEC))</w:t>
      </w:r>
    </w:p>
    <w:p w14:paraId="02E19F17" w14:textId="77777777" w:rsidR="001D2F8A" w:rsidRPr="005375B7" w:rsidRDefault="001D2F8A" w:rsidP="001D2F8A">
      <w:pPr>
        <w:spacing w:before="480" w:after="240"/>
        <w:rPr>
          <w:i/>
          <w:kern w:val="2"/>
          <w14:ligatures w14:val="standardContextual"/>
        </w:rPr>
      </w:pPr>
      <w:r w:rsidRPr="005375B7">
        <w:rPr>
          <w:i/>
          <w:kern w:val="2"/>
          <w14:ligatures w14:val="standardContextual"/>
        </w:rPr>
        <w:t>Europaparlamentet fattar detta beslut</w:t>
      </w:r>
    </w:p>
    <w:p w14:paraId="5763C3E2" w14:textId="1EB8E2A6"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den slutliga årsredovisningen för Europeiska unionens byrå för grundläggande rättigheter för budgetåret 2023,</w:t>
      </w:r>
    </w:p>
    <w:p w14:paraId="295E8953" w14:textId="4B301A97"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revisionsrättens årsrapport om EU:s byråer för budgetåret 2023, med byråernas svar</w:t>
      </w:r>
      <w:r w:rsidRPr="005375B7">
        <w:rPr>
          <w:kern w:val="2"/>
          <w:vertAlign w:val="superscript"/>
          <w:lang w:val="en-GB"/>
          <w14:ligatures w14:val="standardContextual"/>
        </w:rPr>
        <w:footnoteReference w:id="381"/>
      </w:r>
      <w:r w:rsidRPr="00241176">
        <w:rPr>
          <w:kern w:val="2"/>
          <w14:ligatures w14:val="standardContextual"/>
        </w:rPr>
        <w:t>,</w:t>
      </w:r>
    </w:p>
    <w:p w14:paraId="2AC6EEEC" w14:textId="2DFA9061"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förklaringen om räkenskapernas tillförlitlighet och de underliggande transaktionernas laglighet och korrekthet</w:t>
      </w:r>
      <w:r w:rsidRPr="005375B7">
        <w:rPr>
          <w:kern w:val="2"/>
          <w:vertAlign w:val="superscript"/>
          <w:lang w:val="en-GB"/>
          <w14:ligatures w14:val="standardContextual"/>
        </w:rPr>
        <w:footnoteReference w:id="382"/>
      </w:r>
      <w:r w:rsidRPr="00241176">
        <w:rPr>
          <w:kern w:val="2"/>
          <w14:ligatures w14:val="standardContextual"/>
        </w:rPr>
        <w:t>, som avgetts av revisionsrätten för budgetåret 2023 i enlighet med artikel 287 i fördraget om Europeiska unionens funktionssätt,</w:t>
      </w:r>
    </w:p>
    <w:p w14:paraId="2CC8AF4C" w14:textId="57DFF917"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rådets rekommendation av den 17 februari 2025 om att bevilja byrån ansvarsfrihet för genomförandet av budgeten för budgetåret 2023 (05755/2025 - C10</w:t>
      </w:r>
      <w:r w:rsidRPr="00241176">
        <w:rPr>
          <w:kern w:val="2"/>
          <w14:ligatures w14:val="standardContextual"/>
        </w:rPr>
        <w:noBreakHyphen/>
        <w:t>0024/2025),</w:t>
      </w:r>
    </w:p>
    <w:p w14:paraId="29F9CF1A" w14:textId="7DD60743"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artikel 319 i fördraget om Europeiska unionens funktionssätt,</w:t>
      </w:r>
    </w:p>
    <w:p w14:paraId="6F8ADFC6" w14:textId="67440677"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lang w:val="en-GB"/>
          <w14:ligatures w14:val="standardContextual"/>
        </w:rPr>
        <w:footnoteReference w:id="383"/>
      </w:r>
      <w:r w:rsidRPr="00241176">
        <w:rPr>
          <w:kern w:val="2"/>
          <w14:ligatures w14:val="standardContextual"/>
        </w:rPr>
        <w:t>, särskilt artikel 70,</w:t>
      </w:r>
    </w:p>
    <w:p w14:paraId="3DB7AC23" w14:textId="4D0B0A6C"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lang w:val="en-GB"/>
          <w14:ligatures w14:val="standardContextual"/>
        </w:rPr>
        <w:footnoteReference w:id="384"/>
      </w:r>
      <w:r w:rsidRPr="00241176">
        <w:rPr>
          <w:kern w:val="2"/>
          <w14:ligatures w14:val="standardContextual"/>
        </w:rPr>
        <w:t>, särskilt artikel 70,</w:t>
      </w:r>
    </w:p>
    <w:p w14:paraId="4A538245" w14:textId="5E85E37F"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rådets förordning (EG) nr 168/2007 av den 15 februari 2007 om inrättande av Europeiska unionens byrå för grundläggande rättigheter</w:t>
      </w:r>
      <w:r w:rsidRPr="005375B7">
        <w:rPr>
          <w:kern w:val="2"/>
          <w:vertAlign w:val="superscript"/>
          <w:lang w:val="en-GB"/>
          <w14:ligatures w14:val="standardContextual"/>
        </w:rPr>
        <w:footnoteReference w:id="385"/>
      </w:r>
      <w:r w:rsidRPr="00241176">
        <w:rPr>
          <w:kern w:val="2"/>
          <w14:ligatures w14:val="standardContextual"/>
        </w:rPr>
        <w:t>, särskilt artikel 21,</w:t>
      </w:r>
    </w:p>
    <w:p w14:paraId="00B97CD1" w14:textId="1D8A2481"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lang w:val="en-GB"/>
          <w14:ligatures w14:val="standardContextual"/>
        </w:rPr>
        <w:footnoteReference w:id="386"/>
      </w:r>
      <w:r w:rsidRPr="00241176">
        <w:rPr>
          <w:kern w:val="2"/>
          <w14:ligatures w14:val="standardContextual"/>
        </w:rPr>
        <w:t>, särskilt artikel 105,</w:t>
      </w:r>
    </w:p>
    <w:p w14:paraId="66F6190B" w14:textId="42CB9233"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lastRenderedPageBreak/>
        <w:t>-</w:t>
      </w:r>
      <w:r w:rsidRPr="00241176">
        <w:rPr>
          <w:kern w:val="2"/>
          <w14:ligatures w14:val="standardContextual"/>
        </w:rPr>
        <w:tab/>
        <w:t>med beaktande av artikel 102 och bilaga V i arbetsordningen,</w:t>
      </w:r>
    </w:p>
    <w:p w14:paraId="0A2BA0E7" w14:textId="23E0D25A"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46C87E0E" w14:textId="2F1FAF4C"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betänkandet från budgetkontrollutskottet (A10-0065/2025).</w:t>
      </w:r>
    </w:p>
    <w:p w14:paraId="1498CB83" w14:textId="77777777"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1.</w:t>
      </w:r>
      <w:r w:rsidRPr="00241176">
        <w:rPr>
          <w:kern w:val="2"/>
          <w14:ligatures w14:val="standardContextual"/>
        </w:rPr>
        <w:tab/>
        <w:t>Europaparlamentet godkänner avslutandet av räkenskaperna för Europeiska unionens byrå för grundläggande rättigheter för budgetåret 2023.</w:t>
      </w:r>
    </w:p>
    <w:p w14:paraId="44C40DB2" w14:textId="77777777"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2.</w:t>
      </w:r>
      <w:r w:rsidRPr="00241176">
        <w:rPr>
          <w:kern w:val="2"/>
          <w14:ligatures w14:val="standardContextual"/>
        </w:rPr>
        <w:tab/>
        <w:t xml:space="preserve">Europaparlamentet uppdrar åt talmannen att översända detta beslut till direktören för Europeiska unionens byrå för grundläggande rättigheter, rådet, kommissionen och revisionsrätten, och att se till att det offentliggörs i </w:t>
      </w:r>
      <w:r w:rsidRPr="00241176">
        <w:rPr>
          <w:i/>
          <w:kern w:val="2"/>
          <w14:ligatures w14:val="standardContextual"/>
        </w:rPr>
        <w:t>Europeiska unionens officiella tidning</w:t>
      </w:r>
      <w:r w:rsidRPr="00241176">
        <w:rPr>
          <w:kern w:val="2"/>
          <w14:ligatures w14:val="standardContextual"/>
        </w:rPr>
        <w:t xml:space="preserve"> (L-serien).</w:t>
      </w:r>
    </w:p>
    <w:p w14:paraId="304E4CD7" w14:textId="77777777" w:rsidR="005375B7" w:rsidRPr="00241176" w:rsidRDefault="005375B7" w:rsidP="005375B7">
      <w:pPr>
        <w:widowControl/>
        <w:tabs>
          <w:tab w:val="left" w:pos="5386"/>
        </w:tabs>
        <w:ind w:left="567" w:hanging="567"/>
        <w:rPr>
          <w:kern w:val="2"/>
          <w14:ligatures w14:val="standardContextual"/>
        </w:rPr>
      </w:pPr>
    </w:p>
    <w:p w14:paraId="46E6B284"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1B5B46B3" w14:textId="77777777" w:rsidR="005375B7" w:rsidRPr="00241176" w:rsidRDefault="005375B7" w:rsidP="001D2F8A">
      <w:pPr>
        <w:pStyle w:val="ATHeading3"/>
      </w:pPr>
      <w:r w:rsidRPr="00241176">
        <w:lastRenderedPageBreak/>
        <w:t>65. Europaparlamentets beslut av den 7 maj 2025 om ansvarsfrihet för genomförandet av budgeten för Europeiska gräns- och kustbevakningsbyrån för budgetåret 2023 (2024/2030(DEC))</w:t>
      </w:r>
    </w:p>
    <w:p w14:paraId="53721A84" w14:textId="77777777" w:rsidR="001D2F8A" w:rsidRPr="005375B7" w:rsidRDefault="001D2F8A" w:rsidP="001D2F8A">
      <w:pPr>
        <w:spacing w:before="480" w:after="240"/>
        <w:rPr>
          <w:i/>
          <w:kern w:val="2"/>
          <w14:ligatures w14:val="standardContextual"/>
        </w:rPr>
      </w:pPr>
      <w:r w:rsidRPr="005375B7">
        <w:rPr>
          <w:i/>
          <w:kern w:val="2"/>
          <w14:ligatures w14:val="standardContextual"/>
        </w:rPr>
        <w:t>Europaparlamentet fattar detta beslut</w:t>
      </w:r>
    </w:p>
    <w:p w14:paraId="7038CDB1" w14:textId="01DF8B04"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den slutliga årsredovisningen för Europeiska gräns- och kustbevakningsbyrån för budgetåret 2023,</w:t>
      </w:r>
    </w:p>
    <w:p w14:paraId="4E3800C7" w14:textId="1EF1C0D4"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revisionsrättens årsrapport om EU:s byråer för budgetåret 2023, med byråernas svar</w:t>
      </w:r>
      <w:r w:rsidRPr="005375B7">
        <w:rPr>
          <w:kern w:val="2"/>
          <w:vertAlign w:val="superscript"/>
          <w:lang w:val="en-GB"/>
          <w14:ligatures w14:val="standardContextual"/>
        </w:rPr>
        <w:footnoteReference w:id="387"/>
      </w:r>
      <w:r w:rsidRPr="00241176">
        <w:rPr>
          <w:kern w:val="2"/>
          <w14:ligatures w14:val="standardContextual"/>
        </w:rPr>
        <w:t>,</w:t>
      </w:r>
    </w:p>
    <w:p w14:paraId="5582A756" w14:textId="1C78B67F"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förklaringen om räkenskapernas tillförlitlighet och de underliggande transaktionernas laglighet och korrekthet</w:t>
      </w:r>
      <w:r w:rsidRPr="005375B7">
        <w:rPr>
          <w:kern w:val="2"/>
          <w:vertAlign w:val="superscript"/>
          <w:lang w:val="en-GB"/>
          <w14:ligatures w14:val="standardContextual"/>
        </w:rPr>
        <w:footnoteReference w:id="388"/>
      </w:r>
      <w:r w:rsidRPr="00241176">
        <w:rPr>
          <w:kern w:val="2"/>
          <w14:ligatures w14:val="standardContextual"/>
        </w:rPr>
        <w:t>, som avgetts av revisionsrätten för budgetåret 2023 i enlighet med artikel 287 i fördraget om Europeiska unionens funktionssätt,</w:t>
      </w:r>
    </w:p>
    <w:p w14:paraId="105A6E4E" w14:textId="13FA2093"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rådets rekommendation av den 17 februari 2025 om att bevilja byrån ansvarsfrihet för genomförandet av budgeten för budgetåret 2023 (05755/2025 - C10</w:t>
      </w:r>
      <w:r w:rsidRPr="00241176">
        <w:rPr>
          <w:kern w:val="2"/>
          <w14:ligatures w14:val="standardContextual"/>
        </w:rPr>
        <w:noBreakHyphen/>
        <w:t>0024/2025),</w:t>
      </w:r>
    </w:p>
    <w:p w14:paraId="78465490" w14:textId="5900892D"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artikel 319 i fördraget om Europeiska unionens funktionssätt,</w:t>
      </w:r>
    </w:p>
    <w:p w14:paraId="3D271B4A" w14:textId="566CD674"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lang w:val="en-GB"/>
          <w14:ligatures w14:val="standardContextual"/>
        </w:rPr>
        <w:footnoteReference w:id="389"/>
      </w:r>
      <w:r w:rsidRPr="00241176">
        <w:rPr>
          <w:kern w:val="2"/>
          <w14:ligatures w14:val="standardContextual"/>
        </w:rPr>
        <w:t>, särskilt artikel 70,</w:t>
      </w:r>
    </w:p>
    <w:p w14:paraId="204EACD8" w14:textId="54BA7D51"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lang w:val="en-GB"/>
          <w14:ligatures w14:val="standardContextual"/>
        </w:rPr>
        <w:footnoteReference w:id="390"/>
      </w:r>
      <w:r w:rsidRPr="00241176">
        <w:rPr>
          <w:kern w:val="2"/>
          <w14:ligatures w14:val="standardContextual"/>
        </w:rPr>
        <w:t>, särskilt artikel 70,</w:t>
      </w:r>
    </w:p>
    <w:p w14:paraId="05498E79" w14:textId="204B91EE"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Europaparlamentets och rådets förordning (EU) 2019/1896 av den 13 november 2019 om den Europeiska gräns- och kustbevakningen och om upphävande av förordningarna (EU) nr 1052/2013 och (EU) 2016/1624</w:t>
      </w:r>
      <w:r w:rsidRPr="005375B7">
        <w:rPr>
          <w:kern w:val="2"/>
          <w:vertAlign w:val="superscript"/>
          <w:lang w:val="en-GB"/>
          <w14:ligatures w14:val="standardContextual"/>
        </w:rPr>
        <w:footnoteReference w:id="391"/>
      </w:r>
      <w:r w:rsidRPr="00241176">
        <w:rPr>
          <w:kern w:val="2"/>
          <w14:ligatures w14:val="standardContextual"/>
        </w:rPr>
        <w:t>, särskilt artikel 116,</w:t>
      </w:r>
    </w:p>
    <w:p w14:paraId="71EB6DAE" w14:textId="7F8A987E"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lang w:val="en-GB"/>
          <w14:ligatures w14:val="standardContextual"/>
        </w:rPr>
        <w:footnoteReference w:id="392"/>
      </w:r>
      <w:r w:rsidRPr="00241176">
        <w:rPr>
          <w:kern w:val="2"/>
          <w14:ligatures w14:val="standardContextual"/>
        </w:rPr>
        <w:t>, särskilt artikel 105,</w:t>
      </w:r>
    </w:p>
    <w:p w14:paraId="6FDB8F1D" w14:textId="0DAF6F29"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lastRenderedPageBreak/>
        <w:t>-</w:t>
      </w:r>
      <w:r w:rsidRPr="00241176">
        <w:rPr>
          <w:kern w:val="2"/>
          <w14:ligatures w14:val="standardContextual"/>
        </w:rPr>
        <w:tab/>
        <w:t>med beaktande av artikel 102 och bilaga V i arbetsordningen,</w:t>
      </w:r>
    </w:p>
    <w:p w14:paraId="550E42BF" w14:textId="506FF2CD"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1F2372EE" w14:textId="4C86E1FA"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w:t>
      </w:r>
      <w:r w:rsidRPr="00241176">
        <w:rPr>
          <w:kern w:val="2"/>
          <w14:ligatures w14:val="standardContextual"/>
        </w:rPr>
        <w:tab/>
        <w:t>med beaktande av betänkandet från budgetkontrollutskottet (A10-0065/2025).</w:t>
      </w:r>
    </w:p>
    <w:p w14:paraId="2DFCCA43" w14:textId="77777777"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1.</w:t>
      </w:r>
      <w:r w:rsidRPr="00241176">
        <w:rPr>
          <w:kern w:val="2"/>
          <w14:ligatures w14:val="standardContextual"/>
        </w:rPr>
        <w:tab/>
        <w:t>Europaparlamentet beviljar verkställande direktören för Europeiska gräns- och kustbevakningsbyrån ansvarsfrihet för genomförandet av byråns budget för budgetåret 2023.</w:t>
      </w:r>
    </w:p>
    <w:p w14:paraId="55E82FD9" w14:textId="77777777"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2.</w:t>
      </w:r>
      <w:r w:rsidRPr="00241176">
        <w:rPr>
          <w:kern w:val="2"/>
          <w14:ligatures w14:val="standardContextual"/>
        </w:rPr>
        <w:tab/>
        <w:t>Europaparlamentet redovisar sina iakttagelser i resolutionen nedan.</w:t>
      </w:r>
    </w:p>
    <w:p w14:paraId="47808AEC" w14:textId="77777777" w:rsidR="005375B7" w:rsidRPr="00241176" w:rsidRDefault="005375B7" w:rsidP="005375B7">
      <w:pPr>
        <w:widowControl/>
        <w:spacing w:after="240"/>
        <w:ind w:left="567" w:hanging="567"/>
        <w:rPr>
          <w:kern w:val="2"/>
          <w14:ligatures w14:val="standardContextual"/>
        </w:rPr>
      </w:pPr>
      <w:r w:rsidRPr="00241176">
        <w:rPr>
          <w:kern w:val="2"/>
          <w14:ligatures w14:val="standardContextual"/>
        </w:rPr>
        <w:t>3.</w:t>
      </w:r>
      <w:r w:rsidRPr="00241176">
        <w:rPr>
          <w:kern w:val="2"/>
          <w14:ligatures w14:val="standardContextual"/>
        </w:rPr>
        <w:tab/>
        <w:t xml:space="preserve">Europaparlamentet uppdrar åt talmannen att översända detta beslut och den resolution som utgör en del av beslutet till verkställande direktören för Europeiska gräns- och kustbevakningsbyrån, rådet, kommissionen och revisionsrätten, och att se till att de offentliggörs i </w:t>
      </w:r>
      <w:r w:rsidRPr="00241176">
        <w:rPr>
          <w:i/>
          <w:kern w:val="2"/>
          <w14:ligatures w14:val="standardContextual"/>
        </w:rPr>
        <w:t>Europeiska unionens officiella tidning</w:t>
      </w:r>
      <w:r w:rsidRPr="00241176">
        <w:rPr>
          <w:kern w:val="2"/>
          <w14:ligatures w14:val="standardContextual"/>
        </w:rPr>
        <w:t xml:space="preserve"> (L-serien).</w:t>
      </w:r>
    </w:p>
    <w:p w14:paraId="295E5993" w14:textId="77777777" w:rsidR="005375B7" w:rsidRPr="00241176" w:rsidRDefault="005375B7" w:rsidP="005375B7">
      <w:pPr>
        <w:widowControl/>
        <w:tabs>
          <w:tab w:val="left" w:pos="5386"/>
        </w:tabs>
        <w:ind w:left="567" w:hanging="567"/>
        <w:rPr>
          <w:i/>
          <w:kern w:val="2"/>
          <w14:ligatures w14:val="standardContextual"/>
        </w:rPr>
      </w:pPr>
    </w:p>
    <w:p w14:paraId="239F2E14" w14:textId="77777777" w:rsidR="005375B7" w:rsidRPr="00241176" w:rsidRDefault="005375B7" w:rsidP="005375B7">
      <w:pPr>
        <w:widowControl/>
        <w:tabs>
          <w:tab w:val="left" w:pos="5386"/>
        </w:tabs>
        <w:ind w:left="567" w:hanging="567"/>
        <w:rPr>
          <w:i/>
          <w:kern w:val="2"/>
          <w14:ligatures w14:val="standardContextual"/>
        </w:rPr>
      </w:pPr>
    </w:p>
    <w:p w14:paraId="2CB7684B" w14:textId="77777777" w:rsidR="005375B7" w:rsidRPr="00241176" w:rsidRDefault="005375B7" w:rsidP="005375B7">
      <w:pPr>
        <w:widowControl/>
        <w:tabs>
          <w:tab w:val="left" w:pos="5386"/>
        </w:tabs>
        <w:ind w:left="567" w:hanging="567"/>
        <w:rPr>
          <w:i/>
          <w:kern w:val="2"/>
          <w14:ligatures w14:val="standardContextual"/>
        </w:rPr>
      </w:pPr>
    </w:p>
    <w:p w14:paraId="1328D379" w14:textId="77777777" w:rsidR="005375B7" w:rsidRPr="00241176" w:rsidRDefault="005375B7" w:rsidP="005375B7">
      <w:pPr>
        <w:widowControl/>
        <w:tabs>
          <w:tab w:val="left" w:pos="5386"/>
        </w:tabs>
        <w:ind w:left="567" w:hanging="567"/>
        <w:rPr>
          <w:i/>
          <w:kern w:val="2"/>
          <w14:ligatures w14:val="standardContextual"/>
        </w:rPr>
      </w:pPr>
    </w:p>
    <w:p w14:paraId="204594B6" w14:textId="77777777" w:rsidR="005375B7" w:rsidRPr="00241176" w:rsidRDefault="005375B7" w:rsidP="005375B7">
      <w:pPr>
        <w:widowControl/>
        <w:tabs>
          <w:tab w:val="left" w:pos="5386"/>
        </w:tabs>
        <w:ind w:left="567" w:hanging="567"/>
        <w:rPr>
          <w:i/>
          <w:kern w:val="2"/>
          <w14:ligatures w14:val="standardContextual"/>
        </w:rPr>
      </w:pPr>
    </w:p>
    <w:p w14:paraId="2866D619" w14:textId="77777777" w:rsidR="005375B7" w:rsidRPr="00241176" w:rsidRDefault="005375B7" w:rsidP="005375B7">
      <w:pPr>
        <w:widowControl/>
        <w:jc w:val="both"/>
        <w:rPr>
          <w:rFonts w:eastAsia="Aptos"/>
          <w:kern w:val="2"/>
          <w:szCs w:val="24"/>
          <w:lang w:eastAsia="en-US"/>
          <w14:ligatures w14:val="standardContextual"/>
        </w:rPr>
      </w:pPr>
      <w:r w:rsidRPr="00241176">
        <w:rPr>
          <w:rFonts w:eastAsia="Aptos"/>
          <w:kern w:val="2"/>
          <w:szCs w:val="24"/>
          <w:lang w:eastAsia="en-US"/>
          <w14:ligatures w14:val="standardContextual"/>
        </w:rPr>
        <w:br w:type="page"/>
      </w:r>
    </w:p>
    <w:p w14:paraId="0C30379B"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30D1E377" w14:textId="77777777" w:rsidR="005375B7" w:rsidRPr="005375B7" w:rsidRDefault="005375B7" w:rsidP="001D2F8A">
      <w:pPr>
        <w:pStyle w:val="ATHeading3"/>
      </w:pPr>
      <w:r w:rsidRPr="005375B7">
        <w:lastRenderedPageBreak/>
        <w:t>66. Europaparlamentets beslut av den 7 maj 2025 om avslutande av räkenskaperna för Europeiska gräns- och kustbevakningsbyrån för budgetåret 2023  (2024/2030(DEC))</w:t>
      </w:r>
    </w:p>
    <w:p w14:paraId="258B7989" w14:textId="77777777" w:rsidR="001D2F8A" w:rsidRPr="005375B7" w:rsidRDefault="001D2F8A" w:rsidP="001D2F8A">
      <w:pPr>
        <w:spacing w:before="480" w:after="240"/>
        <w:rPr>
          <w:i/>
          <w:kern w:val="2"/>
          <w14:ligatures w14:val="standardContextual"/>
        </w:rPr>
      </w:pPr>
      <w:r w:rsidRPr="005375B7">
        <w:rPr>
          <w:i/>
          <w:kern w:val="2"/>
          <w14:ligatures w14:val="standardContextual"/>
        </w:rPr>
        <w:t>Europaparlamentet fattar detta beslut</w:t>
      </w:r>
    </w:p>
    <w:p w14:paraId="28F05974" w14:textId="7D5C5D8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den slutliga årsredovisningen för Europeiska gräns- och kustbevakningsbyrån för budgetåret 2023,</w:t>
      </w:r>
    </w:p>
    <w:p w14:paraId="27A49148" w14:textId="00538888"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revisionsrättens årsrapport om EU:s byråer för budgetåret 2023, med byråernas svar</w:t>
      </w:r>
      <w:r w:rsidRPr="005375B7">
        <w:rPr>
          <w:kern w:val="2"/>
          <w:vertAlign w:val="superscript"/>
          <w14:ligatures w14:val="standardContextual"/>
        </w:rPr>
        <w:footnoteReference w:id="393"/>
      </w:r>
      <w:r w:rsidRPr="005375B7">
        <w:rPr>
          <w:kern w:val="2"/>
          <w14:ligatures w14:val="standardContextual"/>
        </w:rPr>
        <w:t>,</w:t>
      </w:r>
    </w:p>
    <w:p w14:paraId="6F663E56" w14:textId="457ECC63"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förklaringen om räkenskapernas tillförlitlighet och de underliggande transaktionernas laglighet och korrekthet</w:t>
      </w:r>
      <w:r w:rsidRPr="005375B7">
        <w:rPr>
          <w:kern w:val="2"/>
          <w:vertAlign w:val="superscript"/>
          <w14:ligatures w14:val="standardContextual"/>
        </w:rPr>
        <w:footnoteReference w:id="394"/>
      </w:r>
      <w:r w:rsidRPr="005375B7">
        <w:rPr>
          <w:kern w:val="2"/>
          <w14:ligatures w14:val="standardContextual"/>
        </w:rPr>
        <w:t>, som avgetts av revisionsrätten för budgetåret 2023 i enlighet med artikel 287 i fördraget om Europeiska unionens funktionssätt,</w:t>
      </w:r>
    </w:p>
    <w:p w14:paraId="40725883" w14:textId="095BCB2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 xml:space="preserve">med beaktande av rådets rekommendation av den 17 februari 2025 om att bevilja byrån ansvarsfrihet för genomförandet av budgeten för budgetåret 2023 (05755/2025 </w:t>
      </w:r>
      <w:r>
        <w:rPr>
          <w:kern w:val="2"/>
          <w14:ligatures w14:val="standardContextual"/>
        </w:rPr>
        <w:t>-</w:t>
      </w:r>
      <w:r w:rsidRPr="005375B7">
        <w:rPr>
          <w:kern w:val="2"/>
          <w14:ligatures w14:val="standardContextual"/>
        </w:rPr>
        <w:t xml:space="preserve"> C10</w:t>
      </w:r>
      <w:r w:rsidRPr="005375B7">
        <w:rPr>
          <w:kern w:val="2"/>
          <w14:ligatures w14:val="standardContextual"/>
        </w:rPr>
        <w:noBreakHyphen/>
        <w:t>0024/2025),</w:t>
      </w:r>
    </w:p>
    <w:p w14:paraId="7DBA6963" w14:textId="70E98D9C"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319 i fördraget om Europeiska unionens funktionssätt,</w:t>
      </w:r>
    </w:p>
    <w:p w14:paraId="7369E5F6" w14:textId="236BEB9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75B7">
        <w:rPr>
          <w:kern w:val="2"/>
          <w:vertAlign w:val="superscript"/>
          <w14:ligatures w14:val="standardContextual"/>
        </w:rPr>
        <w:footnoteReference w:id="395"/>
      </w:r>
      <w:r w:rsidRPr="005375B7">
        <w:rPr>
          <w:kern w:val="2"/>
          <w14:ligatures w14:val="standardContextual"/>
        </w:rPr>
        <w:t>, särskilt artikel 70,</w:t>
      </w:r>
    </w:p>
    <w:p w14:paraId="40A7F6E4" w14:textId="7695EE5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Euratom) 2024/2509 av den 23 september 2024 om finansiella regler för unionens allmänna budget</w:t>
      </w:r>
      <w:r w:rsidRPr="005375B7">
        <w:rPr>
          <w:kern w:val="2"/>
          <w:vertAlign w:val="superscript"/>
          <w14:ligatures w14:val="standardContextual"/>
        </w:rPr>
        <w:footnoteReference w:id="396"/>
      </w:r>
      <w:r w:rsidRPr="005375B7">
        <w:rPr>
          <w:kern w:val="2"/>
          <w14:ligatures w14:val="standardContextual"/>
        </w:rPr>
        <w:t>, särskilt artikel 70,</w:t>
      </w:r>
    </w:p>
    <w:p w14:paraId="06B771A8" w14:textId="437E5274"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Europaparlamentets och rådets förordning (EU) 2019/1896 av den 13 november 2019 om den Europeiska gräns- och kustbevakningen och om upphävande av förordningarna (EU) nr 1052/2013 och (EU) 2016/1624</w:t>
      </w:r>
      <w:r w:rsidRPr="005375B7">
        <w:rPr>
          <w:kern w:val="2"/>
          <w:vertAlign w:val="superscript"/>
          <w14:ligatures w14:val="standardContextual"/>
        </w:rPr>
        <w:footnoteReference w:id="397"/>
      </w:r>
      <w:r w:rsidRPr="005375B7">
        <w:rPr>
          <w:kern w:val="2"/>
          <w14:ligatures w14:val="standardContextual"/>
        </w:rPr>
        <w:t>, särskilt artikel 116,</w:t>
      </w:r>
    </w:p>
    <w:p w14:paraId="468FF1ED" w14:textId="6001875B"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375B7">
        <w:rPr>
          <w:kern w:val="2"/>
          <w:vertAlign w:val="superscript"/>
          <w14:ligatures w14:val="standardContextual"/>
        </w:rPr>
        <w:footnoteReference w:id="398"/>
      </w:r>
      <w:r w:rsidRPr="005375B7">
        <w:rPr>
          <w:kern w:val="2"/>
          <w14:ligatures w14:val="standardContextual"/>
        </w:rPr>
        <w:t>, särskilt artikel 105,</w:t>
      </w:r>
    </w:p>
    <w:p w14:paraId="1B40FE45" w14:textId="1E5645BF"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artikel 102 och bilaga V i arbetsordningen,</w:t>
      </w:r>
    </w:p>
    <w:p w14:paraId="2767697F" w14:textId="18CAA9CE" w:rsidR="005375B7" w:rsidRPr="005375B7" w:rsidRDefault="005375B7" w:rsidP="005375B7">
      <w:pPr>
        <w:widowControl/>
        <w:spacing w:after="240"/>
        <w:ind w:left="567" w:hanging="567"/>
        <w:rPr>
          <w:kern w:val="2"/>
          <w14:ligatures w14:val="standardContextual"/>
        </w:rPr>
      </w:pPr>
      <w:r>
        <w:rPr>
          <w:kern w:val="2"/>
          <w14:ligatures w14:val="standardContextual"/>
        </w:rPr>
        <w:lastRenderedPageBreak/>
        <w:t>-</w:t>
      </w:r>
      <w:r w:rsidRPr="005375B7">
        <w:rPr>
          <w:kern w:val="2"/>
          <w14:ligatures w14:val="standardContextual"/>
        </w:rPr>
        <w:tab/>
        <w:t>med beaktande av yttrandena från utskottet för sysselsättning och sociala frågor, utskottet för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4546EB1A" w14:textId="2081F275" w:rsidR="005375B7" w:rsidRPr="005375B7" w:rsidRDefault="005375B7" w:rsidP="005375B7">
      <w:pPr>
        <w:widowControl/>
        <w:spacing w:after="240"/>
        <w:ind w:left="567" w:hanging="567"/>
        <w:rPr>
          <w:kern w:val="2"/>
          <w14:ligatures w14:val="standardContextual"/>
        </w:rPr>
      </w:pPr>
      <w:r>
        <w:rPr>
          <w:kern w:val="2"/>
          <w14:ligatures w14:val="standardContextual"/>
        </w:rPr>
        <w:t>-</w:t>
      </w:r>
      <w:r w:rsidRPr="005375B7">
        <w:rPr>
          <w:kern w:val="2"/>
          <w14:ligatures w14:val="standardContextual"/>
        </w:rPr>
        <w:tab/>
        <w:t>med beaktande av betänkandet från budgetkontrollutskottet (A10-0065/2025).</w:t>
      </w:r>
    </w:p>
    <w:p w14:paraId="4CB6269A"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godkänner avslutandet av räkenskaperna för Europeiska gräns- och kustbevakningsbyrån för budgetåret 2023.</w:t>
      </w:r>
    </w:p>
    <w:p w14:paraId="02F3B9D7"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2.</w:t>
      </w:r>
      <w:r w:rsidRPr="005375B7">
        <w:rPr>
          <w:kern w:val="2"/>
          <w14:ligatures w14:val="standardContextual"/>
        </w:rPr>
        <w:tab/>
        <w:t xml:space="preserve">Europaparlamentet uppdrar åt talmannen att översända detta beslut till verkställande direktören för Europeiska gräns- och kustbevakningsbyrån, rådet, kommissionen och revisionsrätten, och att se till att det offentliggörs i </w:t>
      </w:r>
      <w:r w:rsidRPr="005375B7">
        <w:rPr>
          <w:i/>
          <w:kern w:val="2"/>
          <w14:ligatures w14:val="standardContextual"/>
        </w:rPr>
        <w:t>Europeiska unionens officiella tidning</w:t>
      </w:r>
      <w:r w:rsidRPr="005375B7">
        <w:rPr>
          <w:kern w:val="2"/>
          <w14:ligatures w14:val="standardContextual"/>
        </w:rPr>
        <w:t xml:space="preserve"> (L-serien).</w:t>
      </w:r>
    </w:p>
    <w:p w14:paraId="5B2D230D" w14:textId="77777777" w:rsidR="005375B7" w:rsidRPr="00241176" w:rsidRDefault="005375B7" w:rsidP="005375B7">
      <w:pPr>
        <w:widowControl/>
        <w:jc w:val="both"/>
        <w:rPr>
          <w:rFonts w:eastAsia="Aptos"/>
          <w:kern w:val="2"/>
          <w:szCs w:val="24"/>
          <w:lang w:eastAsia="en-US"/>
          <w14:ligatures w14:val="standardContextual"/>
        </w:rPr>
        <w:sectPr w:rsidR="005375B7" w:rsidRPr="00241176" w:rsidSect="005375B7">
          <w:footnotePr>
            <w:numRestart w:val="eachSect"/>
          </w:footnotePr>
          <w:endnotePr>
            <w:numFmt w:val="decimal"/>
          </w:endnotePr>
          <w:pgSz w:w="11906" w:h="16838"/>
          <w:pgMar w:top="1440" w:right="1440" w:bottom="1440" w:left="1440" w:header="708" w:footer="708" w:gutter="0"/>
          <w:cols w:space="708"/>
          <w:docGrid w:linePitch="360"/>
        </w:sectPr>
      </w:pPr>
    </w:p>
    <w:p w14:paraId="6DA6A188" w14:textId="77777777" w:rsidR="005375B7" w:rsidRPr="005375B7" w:rsidRDefault="005375B7" w:rsidP="001D2F8A">
      <w:pPr>
        <w:pStyle w:val="ATHeading3"/>
      </w:pPr>
      <w:r w:rsidRPr="005375B7">
        <w:lastRenderedPageBreak/>
        <w:t>67. Europaparlamentets resolution av den 7 maj 2025 med de iakttagelser som utgör en del av besluten om ansvarsfrihet för genomförande av budgeten för Europeiska unionens byråer för budgetåret 2023 (2024/2030(DEC))</w:t>
      </w:r>
    </w:p>
    <w:p w14:paraId="2C8FE042" w14:textId="3C07D29B" w:rsidR="005375B7" w:rsidRPr="005375B7" w:rsidRDefault="001D2F8A" w:rsidP="005375B7">
      <w:pPr>
        <w:spacing w:before="480" w:after="240"/>
        <w:rPr>
          <w:i/>
          <w:kern w:val="2"/>
          <w14:ligatures w14:val="standardContextual"/>
        </w:rPr>
      </w:pPr>
      <w:r w:rsidRPr="001D2F8A">
        <w:rPr>
          <w:i/>
          <w:kern w:val="2"/>
          <w14:ligatures w14:val="standardContextual"/>
        </w:rPr>
        <w:t>Europaparlamentet utfärdar denna resolution</w:t>
      </w:r>
    </w:p>
    <w:p w14:paraId="269B1593" w14:textId="03822D6E"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unionens byrå för samarbete mellan energitillsynsmyndigheter för budgetåret 2023,</w:t>
      </w:r>
    </w:p>
    <w:p w14:paraId="26977AD3" w14:textId="37B5D2A8"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Byrån för stöd till Berec för budgetåret 2023,</w:t>
      </w:r>
    </w:p>
    <w:p w14:paraId="1C4FC300" w14:textId="41F0EC3D"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Översättningscentrum för Europeiska unionens organ för budgetåret 2023,</w:t>
      </w:r>
    </w:p>
    <w:p w14:paraId="3AF8A261" w14:textId="6F48967A"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centrumet för utveckling av yrkesutbildning för budgetåret 2023,</w:t>
      </w:r>
    </w:p>
    <w:p w14:paraId="6F7A32BC" w14:textId="7B17D25B"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unionens byrå för utbildning av tjänstemän inom brottsbekämpning för budgetåret 2023,</w:t>
      </w:r>
    </w:p>
    <w:p w14:paraId="3DF94BC9" w14:textId="4E8C3980"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unionens byrå för luftfartssäkerhet för budgetåret 2023,</w:t>
      </w:r>
    </w:p>
    <w:p w14:paraId="1FDD30AB" w14:textId="733100B6"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bankmyndigheten för budgetåret 2023,</w:t>
      </w:r>
    </w:p>
    <w:p w14:paraId="03A0D103" w14:textId="7F8D314D"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centrumet för förebyggande och kontroll av sjukdomar för budgetåret 2023,</w:t>
      </w:r>
    </w:p>
    <w:p w14:paraId="4B7F1F1B" w14:textId="0BAA1244"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kemikaliemyndigheten för budgetåret 2023,</w:t>
      </w:r>
    </w:p>
    <w:p w14:paraId="66D91F6E" w14:textId="0130A84E"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miljöbyrån för budgetåret 2023,</w:t>
      </w:r>
    </w:p>
    <w:p w14:paraId="3297A9E2" w14:textId="450FBB12"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fiskerikontrollbyrån för budgetåret 2023,</w:t>
      </w:r>
    </w:p>
    <w:p w14:paraId="7F5D24A8" w14:textId="1BC974B4"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myndigheten för livsmedelssäkerhet för budgetåret 2023,</w:t>
      </w:r>
    </w:p>
    <w:p w14:paraId="33542DE7" w14:textId="7611CDBF"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jämställdhetsinstitutet för budgetåret 2023,</w:t>
      </w:r>
    </w:p>
    <w:p w14:paraId="3F71CDE9" w14:textId="6FC24689"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försäkrings- och tjänstepensionsmyndigheten för budgetåret 2023,</w:t>
      </w:r>
    </w:p>
    <w:p w14:paraId="0BF53911" w14:textId="54066CCB"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 xml:space="preserve">med beaktande av sitt beslut om ansvarsfrihet för genomförandet av budgeten för </w:t>
      </w:r>
      <w:r w:rsidR="005375B7" w:rsidRPr="005375B7">
        <w:rPr>
          <w:kern w:val="2"/>
          <w14:ligatures w14:val="standardContextual"/>
        </w:rPr>
        <w:lastRenderedPageBreak/>
        <w:t>Europeiska institutet för innovation och teknik för budgetåret 2023,</w:t>
      </w:r>
    </w:p>
    <w:p w14:paraId="599AF759" w14:textId="2FEBD428"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arbetsmyndigheten för budgetåret 2023,</w:t>
      </w:r>
    </w:p>
    <w:p w14:paraId="290FF7B0" w14:textId="2560524C"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läkemedelsmyndigheten för budgetåret 2023,</w:t>
      </w:r>
    </w:p>
    <w:p w14:paraId="649DD30F" w14:textId="2BE5DDD3"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centrumet för kontroll av narkotika och narkotikamissbruk för budgetåret 2023,</w:t>
      </w:r>
    </w:p>
    <w:p w14:paraId="15B6C22A" w14:textId="22EE8E1F"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sjösäkerhetsbyrån för budgetåret 2023,</w:t>
      </w:r>
    </w:p>
    <w:p w14:paraId="1F438553" w14:textId="01FA16B7"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unionens cybersäkerhetsbyrå för budgetåret 2023,</w:t>
      </w:r>
    </w:p>
    <w:p w14:paraId="7C5E803D" w14:textId="06DB52FA"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unionens järnvägsbyrå för budgetåret 2023,</w:t>
      </w:r>
    </w:p>
    <w:p w14:paraId="506AA21D" w14:textId="685C6F86"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Euratoms försörjningsbyrå för budgetåret 2023,</w:t>
      </w:r>
    </w:p>
    <w:p w14:paraId="25DA196A" w14:textId="5B9D7E35"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värdepappers- och marknadsmyndigheten för budgetåret 2023,</w:t>
      </w:r>
    </w:p>
    <w:p w14:paraId="3B0DBA0B" w14:textId="40DAFB75"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yrkesutbildningsstiftelsen för budgetåret 2023,</w:t>
      </w:r>
    </w:p>
    <w:p w14:paraId="18A71D3A" w14:textId="52B17CDE"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unionens asylbyrå för budgetåret 2023,</w:t>
      </w:r>
    </w:p>
    <w:p w14:paraId="5E18FCC1" w14:textId="4C1B5C04"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unionens byrå för den operativa förvaltningen av stora it-system inom området frihet, säkerhet och rättvisa för budgetåret 2023,</w:t>
      </w:r>
    </w:p>
    <w:p w14:paraId="7FA56B46" w14:textId="04ED2383"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arbetsmiljöbyrån för budgetåret 2023,</w:t>
      </w:r>
    </w:p>
    <w:p w14:paraId="0811639B" w14:textId="4E23947D"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fonden för förbättring av levnads- och arbetsvillkor för budgetåret 2023,</w:t>
      </w:r>
    </w:p>
    <w:p w14:paraId="1E26D880" w14:textId="308D362A"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unionens byrå för straffrättsligt samarbete för budgetåret 2023,</w:t>
      </w:r>
    </w:p>
    <w:p w14:paraId="534C59E6" w14:textId="6F9FC603"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unionens byrå för samarbete inom brottsbekämpning för budgetåret 2023,</w:t>
      </w:r>
    </w:p>
    <w:p w14:paraId="3321BD9F" w14:textId="426543B7"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unionens rymdprogrambyrå för budgetåret 2023,</w:t>
      </w:r>
    </w:p>
    <w:p w14:paraId="30745A46" w14:textId="55C930EF" w:rsidR="005375B7" w:rsidRPr="005375B7" w:rsidRDefault="001D2F8A" w:rsidP="005375B7">
      <w:pPr>
        <w:spacing w:after="240"/>
        <w:ind w:left="567" w:hanging="567"/>
        <w:rPr>
          <w:kern w:val="2"/>
          <w14:ligatures w14:val="standardContextual"/>
        </w:rPr>
      </w:pPr>
      <w:r>
        <w:rPr>
          <w:kern w:val="2"/>
          <w14:ligatures w14:val="standardContextual"/>
        </w:rPr>
        <w:lastRenderedPageBreak/>
        <w:t>-</w:t>
      </w:r>
      <w:r w:rsidR="005375B7" w:rsidRPr="005375B7">
        <w:rPr>
          <w:kern w:val="2"/>
          <w14:ligatures w14:val="standardContextual"/>
        </w:rPr>
        <w:tab/>
        <w:t>med beaktande av sitt beslut om ansvarsfrihet för genomförandet av budgeten för Europeiska unionens byrå för grundläggande rättigheter för budgetåret 2023,</w:t>
      </w:r>
    </w:p>
    <w:p w14:paraId="7AB7FD47" w14:textId="6720ACD1"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sitt beslut om ansvarsfrihet för genomförandet av budgeten för Europeiska gräns- och kustbevakningsbyrån för budgetåret 2023,</w:t>
      </w:r>
    </w:p>
    <w:p w14:paraId="7F7C826D" w14:textId="78AA48CA"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artikel 102 och bilaga V i arbetsordningen,</w:t>
      </w:r>
    </w:p>
    <w:p w14:paraId="66A496B1" w14:textId="106A4278"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yttrandena från utskottet för sysselsättning och sociala frågor, utskottet för miljö, klimat och livsmedelssäkerhet, utskottet för transport och turism, fiskeriutskottet, utskottet för kultur och utbildning, utskottet för medborgerliga fri- och rättigheter samt rättsliga och inrikes frågor och utskottet för kvinnors rättigheter och jämställdhet,</w:t>
      </w:r>
    </w:p>
    <w:p w14:paraId="5335F152" w14:textId="19E92B99" w:rsidR="005375B7" w:rsidRPr="005375B7" w:rsidRDefault="001D2F8A" w:rsidP="005375B7">
      <w:pPr>
        <w:spacing w:after="240"/>
        <w:ind w:left="567" w:hanging="567"/>
        <w:rPr>
          <w:kern w:val="2"/>
          <w14:ligatures w14:val="standardContextual"/>
        </w:rPr>
      </w:pPr>
      <w:r>
        <w:rPr>
          <w:kern w:val="2"/>
          <w14:ligatures w14:val="standardContextual"/>
        </w:rPr>
        <w:t>-</w:t>
      </w:r>
      <w:r w:rsidR="005375B7" w:rsidRPr="005375B7">
        <w:rPr>
          <w:kern w:val="2"/>
          <w14:ligatures w14:val="standardContextual"/>
        </w:rPr>
        <w:tab/>
        <w:t>med beaktande av betänkandet från budgetkontrollutskottet (A10-0065/2025), och av följande skäl:</w:t>
      </w:r>
    </w:p>
    <w:p w14:paraId="5777BBA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A.</w:t>
      </w:r>
      <w:r w:rsidRPr="005375B7">
        <w:rPr>
          <w:kern w:val="2"/>
          <w14:ligatures w14:val="standardContextual"/>
        </w:rPr>
        <w:tab/>
        <w:t>EU:s byråer </w:t>
      </w:r>
      <w:r w:rsidRPr="005375B7">
        <w:rPr>
          <w:kern w:val="2"/>
          <w:vertAlign w:val="superscript"/>
          <w14:ligatures w14:val="standardContextual"/>
        </w:rPr>
        <w:footnoteReference w:id="399"/>
      </w:r>
      <w:r w:rsidRPr="005375B7">
        <w:rPr>
          <w:kern w:val="2"/>
          <w14:ligatures w14:val="standardContextual"/>
        </w:rPr>
        <w:t xml:space="preserve"> är separata juridiska enheter som inrättats för att utföra specifika tekniska, vetenskapliga eller administrativa uppgifter och därigenom bistå unionens institutioner vid utformningen och genomförandet av politiken. De ligger i olika medlemsstater och har betydande inverkan på områden som är av grundläggande betydelse för EU-medborgarnas dagliga liv, såsom hälsa, säkerhet, trygghet, frihet och rättvisa.</w:t>
      </w:r>
    </w:p>
    <w:p w14:paraId="27666F27"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B.</w:t>
      </w:r>
      <w:r w:rsidRPr="005375B7">
        <w:rPr>
          <w:kern w:val="2"/>
          <w14:ligatures w14:val="standardContextual"/>
        </w:rPr>
        <w:tab/>
        <w:t>Denna resolution innehåller, för varje organ som avses i artikel 70 i Europaparlamentets och rådets förordning (EU, Euratom) 2024/2509 </w:t>
      </w:r>
      <w:r w:rsidRPr="005375B7">
        <w:rPr>
          <w:kern w:val="2"/>
          <w:vertAlign w:val="superscript"/>
          <w14:ligatures w14:val="standardContextual"/>
        </w:rPr>
        <w:footnoteReference w:id="400"/>
      </w:r>
      <w:r w:rsidRPr="005375B7">
        <w:rPr>
          <w:kern w:val="2"/>
          <w14:ligatures w14:val="standardContextual"/>
        </w:rPr>
        <w:t>, och för Euratoms försörjningsbyrå, de övergripande iakttagelserna i besluten om ansvarsfrihet i enlighet med artikel 268 i förordning (EU, Euratom) 2024/2509 och artikel 3 i bilaga V till parlamentets arbetsordning.</w:t>
      </w:r>
    </w:p>
    <w:p w14:paraId="1FC2E637"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C.</w:t>
      </w:r>
      <w:r w:rsidRPr="005375B7">
        <w:rPr>
          <w:kern w:val="2"/>
          <w14:ligatures w14:val="standardContextual"/>
        </w:rPr>
        <w:tab/>
        <w:t>Unionens decentraliserade byråer och Euratoms försörjningsbyrå bör fokusera på uppdrag med ett tydligt europeiskt mervärde och för EU-skattebetalarnas bästa bör organiseringen av sådana uppdrag optimeras för att undvika överlappningar.</w:t>
      </w:r>
    </w:p>
    <w:p w14:paraId="1306848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D.</w:t>
      </w:r>
      <w:r w:rsidRPr="005375B7">
        <w:rPr>
          <w:kern w:val="2"/>
          <w14:ligatures w14:val="standardContextual"/>
        </w:rPr>
        <w:tab/>
        <w:t>Inom ramen för förfarandet för beviljande av ansvarsfrihet vill den ansvarsfrihetsbeviljande myndigheten betona att det är av stor vikt att stärka unionsinstitutionernas demokratiska legitimitet. Detta inbegriper ökad transparens och ansvarsskyldighet samt genomförande av prestationsbaserad budgetering och säkerställande av god förvaltning av personalresurser.</w:t>
      </w:r>
    </w:p>
    <w:p w14:paraId="7C17F46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E.</w:t>
      </w:r>
      <w:r w:rsidRPr="005375B7">
        <w:rPr>
          <w:kern w:val="2"/>
          <w14:ligatures w14:val="standardContextual"/>
        </w:rPr>
        <w:tab/>
        <w:t>Unionens åtgärder på området för budgetkontroll bygger på två principer: dels att säkerställa att unionens budget används på rätt sätt och med transparens, dels att skydda unionens ekonomiska intressen och bekämpa bedrägerier.</w:t>
      </w:r>
    </w:p>
    <w:p w14:paraId="3E07214D" w14:textId="1086B54E" w:rsidR="005375B7" w:rsidRPr="005375B7" w:rsidRDefault="005375B7" w:rsidP="005375B7">
      <w:pPr>
        <w:spacing w:after="240"/>
        <w:ind w:left="567" w:hanging="567"/>
        <w:rPr>
          <w:kern w:val="2"/>
          <w14:ligatures w14:val="standardContextual"/>
        </w:rPr>
      </w:pPr>
      <w:r w:rsidRPr="005375B7">
        <w:rPr>
          <w:kern w:val="2"/>
          <w14:ligatures w14:val="standardContextual"/>
        </w:rPr>
        <w:t>F.</w:t>
      </w:r>
      <w:r w:rsidRPr="005375B7">
        <w:rPr>
          <w:kern w:val="2"/>
          <w14:ligatures w14:val="standardContextual"/>
        </w:rPr>
        <w:tab/>
        <w:t xml:space="preserve">Europaparlamentet, Europeiska unionens råd och Europeiska kommissionen antog 2012 ett gemensamt uttalande och en omfattande uppsättning vägledande principer </w:t>
      </w:r>
      <w:r>
        <w:rPr>
          <w:kern w:val="2"/>
          <w14:ligatures w14:val="standardContextual"/>
        </w:rPr>
        <w:t>-</w:t>
      </w:r>
      <w:r w:rsidRPr="005375B7">
        <w:rPr>
          <w:kern w:val="2"/>
          <w14:ligatures w14:val="standardContextual"/>
        </w:rPr>
        <w:t xml:space="preserve"> en </w:t>
      </w:r>
      <w:r w:rsidRPr="005375B7">
        <w:rPr>
          <w:kern w:val="2"/>
          <w14:ligatures w14:val="standardContextual"/>
        </w:rPr>
        <w:lastRenderedPageBreak/>
        <w:t>gemensam ansats </w:t>
      </w:r>
      <w:r w:rsidRPr="005375B7">
        <w:rPr>
          <w:rFonts w:eastAsia="Calibri"/>
          <w:kern w:val="2"/>
          <w:vertAlign w:val="superscript"/>
          <w14:ligatures w14:val="standardContextual"/>
        </w:rPr>
        <w:footnoteReference w:id="401"/>
      </w:r>
      <w:r w:rsidRPr="005375B7">
        <w:rPr>
          <w:kern w:val="2"/>
          <w14:ligatures w14:val="standardContextual"/>
        </w:rPr>
        <w:t xml:space="preserve"> </w:t>
      </w:r>
      <w:r>
        <w:rPr>
          <w:kern w:val="2"/>
          <w14:ligatures w14:val="standardContextual"/>
        </w:rPr>
        <w:t>-</w:t>
      </w:r>
      <w:r w:rsidRPr="005375B7">
        <w:rPr>
          <w:kern w:val="2"/>
          <w14:ligatures w14:val="standardContextual"/>
        </w:rPr>
        <w:t xml:space="preserve"> för att göra byråerna mer enhetliga, effektiva och ansvarsskyldiga. Kommissionen åtog sig att följa upp detta avtal, när så är relevant i samarbete med byråerna.</w:t>
      </w:r>
    </w:p>
    <w:p w14:paraId="32956EC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G.</w:t>
      </w:r>
      <w:r w:rsidRPr="005375B7">
        <w:rPr>
          <w:kern w:val="2"/>
          <w14:ligatures w14:val="standardContextual"/>
        </w:rPr>
        <w:tab/>
        <w:t>Samtidigt som institutionerna erkänner den icke rättsligt bindande karaktären hos det gemensamma uttalandet och den gemensamma ansatsen i dess bilaga, och utan att det påverkar deras befogenheter i lagstiftningsförfaranden och årliga budgetförfaranden, kommer de att beakta denna gemensamma ansats i samband med alla framtida beslut som rör EU:s decentraliserade organ efter enskild analys av varje enskilt fall.</w:t>
      </w:r>
    </w:p>
    <w:p w14:paraId="29C6852E" w14:textId="77777777" w:rsidR="005375B7" w:rsidRPr="005375B7" w:rsidRDefault="005375B7" w:rsidP="005375B7">
      <w:pPr>
        <w:spacing w:after="240"/>
        <w:ind w:left="567" w:hanging="567"/>
        <w:rPr>
          <w:b/>
          <w:iCs/>
          <w:kern w:val="2"/>
          <w:szCs w:val="24"/>
          <w14:ligatures w14:val="standardContextual"/>
        </w:rPr>
      </w:pPr>
      <w:r w:rsidRPr="005375B7">
        <w:rPr>
          <w:b/>
          <w:iCs/>
          <w:kern w:val="2"/>
          <w14:ligatures w14:val="standardContextual"/>
        </w:rPr>
        <w:t>Allmänt</w:t>
      </w:r>
    </w:p>
    <w:p w14:paraId="3FF00FD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w:t>
      </w:r>
      <w:r w:rsidRPr="005375B7">
        <w:rPr>
          <w:kern w:val="2"/>
          <w14:ligatures w14:val="standardContextual"/>
        </w:rPr>
        <w:tab/>
        <w:t>Europaparlamentet noterar att det finns tre typer av EU-byråer: decentraliserade byråer, genomförandeorgan och andra organ.</w:t>
      </w:r>
    </w:p>
    <w:p w14:paraId="779CE560"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t>2.</w:t>
      </w:r>
      <w:r w:rsidRPr="005375B7">
        <w:rPr>
          <w:kern w:val="2"/>
          <w14:ligatures w14:val="standardContextual"/>
        </w:rPr>
        <w:tab/>
        <w:t>Europaparlamentet påminner om att denna resolution omfattar 31 av de 33 decentraliserade byråerna och två av de övriga fyra organen (Europeiska institutet för innovation och teknik (EIT) och Euratoms försörjningsbyrå (ESA)). Parlamentet framhåller att budget- och ansvarsfrihetsförfarandena för två helt självfinansierade decentraliserade byråer, närmare bestämt Gemenskapens växtsortsmyndighet (CPVO) och Europeiska unionens immaterialrättsmyndighet (EUIPO), administreras av CPVO:s förvaltningsråd respektive EUIPO:s budgetkommitté och omfattas inte av denna resolution. Parlamentet noterar på samma sätt att den gemensamma resolutionsnämndens (SRB) årliga budget- och ansvarsfrihetsförfarande helt och hållet omfattas av resolutionsnämndens ansvar. Parlamentet understryker behovet av att säkerställa en effektiv användning av europeiska resurser. Parlamentet efterlyser, i linje med revisionsrätten, en grundlig utvärdering av de decentraliserade byråerna i syfte att bedöma möjliga reformer, undanröja överlappningar, öka effektiviteten och uppnå kostnadsbesparingar. Parlamentet påminner om vikten av att stärka styrningsstrukturerna och samtidigt säkerställa att byråerna förblir effektiva och lyhörda för föränderliga behov.</w:t>
      </w:r>
    </w:p>
    <w:p w14:paraId="5918832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w:t>
      </w:r>
      <w:r w:rsidRPr="005375B7">
        <w:rPr>
          <w:kern w:val="2"/>
          <w14:ligatures w14:val="standardContextual"/>
        </w:rPr>
        <w:tab/>
        <w:t>Europaparlamentet framhåller vikten av ansvarsfrihetsförfarandet eftersom det inte bara är en fördragsbaserad skyldighet, utan också främjar och syftar till att säkerställa transparens, ansvarsskyldighet och en öppen dialog om unionens finanser. Parlamentet noterar att det också ger byråerna möjlighet att visa upp sitt arbete och sitt mervärde för unionen och dess medborgare. Parlamentet betonar vidare att byråerna besvarar de frågeformulär som parlamentet skickar till dem och bjuds in till offentliga utfrågningar av den ansvarsfrihetsbeviljande myndigheten, och att detta ger medborgare, företag, icke-statliga organisationer och andra berörda parter möjlighet att följa mötena och försäkras om att inkomsterna och utgifterna är förenliga med principen om sund ekonomisk förvaltning.</w:t>
      </w:r>
    </w:p>
    <w:p w14:paraId="1C6BF23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4.</w:t>
      </w:r>
      <w:r w:rsidRPr="005375B7">
        <w:rPr>
          <w:kern w:val="2"/>
          <w14:ligatures w14:val="standardContextual"/>
        </w:rPr>
        <w:tab/>
        <w:t xml:space="preserve">Europaparlamentet anser att konceptet att beviljas ansvarsfrihet av en intern ansvarsfrihetsbeviljande myndighet, såsom är fallet med EUIPO, CPVO och SRB, potentiellt skulle kunna leda till en intressekonflikt. Parlamentet anser att man genom </w:t>
      </w:r>
      <w:r w:rsidRPr="005375B7">
        <w:rPr>
          <w:kern w:val="2"/>
          <w14:ligatures w14:val="standardContextual"/>
        </w:rPr>
        <w:lastRenderedPageBreak/>
        <w:t>den ansvarsfrihet som parlamentet beviljar undviker risken för intressekonflikter och bidrar till transparensen och byråernas anseende hos allmänheten.</w:t>
      </w:r>
    </w:p>
    <w:p w14:paraId="7438F92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5.</w:t>
      </w:r>
      <w:r w:rsidRPr="005375B7">
        <w:rPr>
          <w:kern w:val="2"/>
          <w14:ligatures w14:val="standardContextual"/>
        </w:rPr>
        <w:tab/>
        <w:t>Europaparlamentet anser att samma principer om ansvarsskyldighet och transparens bör tillämpas på alla EU-organ, oavsett den rättsliga ramen.</w:t>
      </w:r>
    </w:p>
    <w:p w14:paraId="48BB5C0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6.</w:t>
      </w:r>
      <w:r w:rsidRPr="005375B7">
        <w:rPr>
          <w:kern w:val="2"/>
          <w14:ligatures w14:val="standardContextual"/>
        </w:rPr>
        <w:tab/>
        <w:t>Europaparlamentet påminner om punkt 58 i den gemensamma ansatsen om helt självfinansierade byråer för att säkerställa offentlig granskning från parlamentets sida, där följande anges: ”Möjligheterna att säkerställa demokratisk ansvarsskyldighet för helt självfinansierade organ (som t.ex. finansieras av sina kunder) bör undersökas eftersom det rör sig om unionsorgan med ansvar för genomförandet av EU:s politik men som inte är föremål för beviljande av ansvarsfrihet enligt EUF-fördraget. En möjlighet vore att organen i fråga lämnar in en årlig rapport till Europaparlamentet, rådet och kommissionen om budgetgenomförandet och överväger krav och rekommendationer från Europaparlamentet och rådet.”</w:t>
      </w:r>
    </w:p>
    <w:p w14:paraId="56C76DE9"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7.</w:t>
      </w:r>
      <w:r w:rsidRPr="005375B7">
        <w:rPr>
          <w:kern w:val="2"/>
          <w14:ligatures w14:val="standardContextual"/>
        </w:rPr>
        <w:tab/>
        <w:t>Europaparlamentet påpekar att inrättandet eller utvidgningen av EU:s byråer visserligen syftar till att stärka unionens kapacitet, men att det är mycket viktigt att se till att denna process vägleds av grundliga utvärderingar, konsekvensbedömningar och ett tydligt påvisande av mervärde, så att lärdomar kan dras och man vid behov kan överväga att avsluta deras mandat. Parlamentet framhåller att detta tillvägagångssätt inte bara skulle säkerställa bättre lagstiftning utan också öka effektiviteten, ansvarsskyldigheten, transparensen och samstämmigheten i unionens institutionella landskap.</w:t>
      </w:r>
    </w:p>
    <w:p w14:paraId="3BD061E8" w14:textId="77777777" w:rsidR="005375B7" w:rsidRPr="005375B7" w:rsidRDefault="005375B7" w:rsidP="005375B7">
      <w:pPr>
        <w:widowControl/>
        <w:spacing w:after="240"/>
        <w:ind w:left="567" w:hanging="567"/>
        <w:rPr>
          <w:kern w:val="2"/>
          <w:szCs w:val="24"/>
          <w14:ligatures w14:val="standardContextual"/>
        </w:rPr>
      </w:pPr>
      <w:r w:rsidRPr="005375B7">
        <w:rPr>
          <w:kern w:val="2"/>
          <w14:ligatures w14:val="standardContextual"/>
        </w:rPr>
        <w:t>8.</w:t>
      </w:r>
      <w:r w:rsidRPr="005375B7">
        <w:rPr>
          <w:kern w:val="2"/>
          <w14:ligatures w14:val="standardContextual"/>
        </w:rPr>
        <w:tab/>
        <w:t>Europaparlamentet påminner om att det i punkt 60 i den gemensamma ansatsen anges att varje EU-byrå ska utvärderas vart femte år. Parlamentet uppmanar med kraft kommissionen att undersöka ytterligare synergier och konsolidering i verksamheten, och en eventuell sammanslagning av byråer med kompletterande verksamhet, i syfte att säkerställa kostnadseffektivitet och effektivisera byråernas funktioner, inbegripet eventuella översyner av mandat där ineffektivitet eller överlappningar förekommer. Parlamentet uppmuntrar till tillämpning av tidsfrist-/översynsklausulen när så är nödvändigt för att upprätthålla effektiviteten och säkerställa en optimal resursanvändning. Parlamentet anser att budgeteffektivitet är avgörande för att byråerna ska fungera. Parlamentet upprepar revisionsrättens rekommendation i den särskilda rapporten 22/2020 </w:t>
      </w:r>
      <w:r w:rsidRPr="005375B7">
        <w:rPr>
          <w:kern w:val="2"/>
          <w:szCs w:val="24"/>
          <w:vertAlign w:val="superscript"/>
          <w14:ligatures w14:val="standardContextual"/>
        </w:rPr>
        <w:footnoteReference w:id="402"/>
      </w:r>
      <w:r w:rsidRPr="005375B7">
        <w:rPr>
          <w:kern w:val="2"/>
          <w14:ligatures w14:val="standardContextual"/>
        </w:rPr>
        <w:t>, enligt vilken kommissionen rekommenderas att öka användningen av övergripande utvärderingar av byråer inom ramen för kommissionens ändamålsenlighetskontroller av de olika politikområdena.</w:t>
      </w:r>
    </w:p>
    <w:p w14:paraId="4448C817"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t>9.</w:t>
      </w:r>
      <w:r w:rsidRPr="005375B7">
        <w:rPr>
          <w:kern w:val="2"/>
          <w14:ligatures w14:val="standardContextual"/>
        </w:rPr>
        <w:tab/>
        <w:t>Europaparlamentet bekräftar vikten av transparens, ansvarsskyldighet och prestationsbaserad budgetering i alla EU-byråer, för att säkerställa en effektiv ekonomisk förvaltning. Parlamentet betonar att byråerna strikt måste hålla sig till sina uppdrag. Parlamentet konstaterar att vissa byråer kan behöva ett förstärkt mandat. Parlamentet efterlyser en förstärkning av styrningsmekanismerna för att undvika dubbelarbete och förbättra den operativa effektiviteten.</w:t>
      </w:r>
    </w:p>
    <w:p w14:paraId="3730E6C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10.</w:t>
      </w:r>
      <w:r w:rsidRPr="005375B7">
        <w:rPr>
          <w:kern w:val="2"/>
          <w14:ligatures w14:val="standardContextual"/>
        </w:rPr>
        <w:tab/>
        <w:t xml:space="preserve">Europaparlamentet betonar att det behövs tillräckliga resurser för att säkerställa att </w:t>
      </w:r>
      <w:r w:rsidRPr="005375B7">
        <w:rPr>
          <w:kern w:val="2"/>
          <w14:ligatures w14:val="standardContextual"/>
        </w:rPr>
        <w:lastRenderedPageBreak/>
        <w:t>byråerna kan utföra nya uppgifter som krävs av dem enligt ny lagstiftning.</w:t>
      </w:r>
    </w:p>
    <w:p w14:paraId="6A126AFC"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11.</w:t>
      </w:r>
      <w:r w:rsidRPr="005375B7">
        <w:rPr>
          <w:kern w:val="2"/>
          <w14:ligatures w14:val="standardContextual"/>
        </w:rPr>
        <w:tab/>
        <w:t>Europaparlamentet understryker vikten av att byråerna förbättrar sin närvaro i media, på internet och sociala medier för att öka allmänhetens medvetenhet om deras arbete.</w:t>
      </w:r>
    </w:p>
    <w:p w14:paraId="5F9F27B4"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t>12.</w:t>
      </w:r>
      <w:r w:rsidRPr="005375B7">
        <w:rPr>
          <w:kern w:val="2"/>
          <w14:ligatures w14:val="standardContextual"/>
        </w:rPr>
        <w:tab/>
        <w:t>Europaparlamentet uppmärksammar på den ökande förvirringen på grund av de många fall där byråernas namn och akronymer är antingen identiska eller nästan identiska. Parlamentet uppmanar respektive byrå att undersöka hur man kan förbättra situationen,</w:t>
      </w:r>
    </w:p>
    <w:p w14:paraId="77C2FC47" w14:textId="77777777" w:rsidR="005375B7" w:rsidRPr="005375B7" w:rsidRDefault="005375B7" w:rsidP="005375B7">
      <w:pPr>
        <w:spacing w:after="240"/>
        <w:ind w:left="567" w:hanging="567"/>
        <w:rPr>
          <w:b/>
          <w:iCs/>
          <w:kern w:val="2"/>
          <w:szCs w:val="24"/>
          <w14:ligatures w14:val="standardContextual"/>
        </w:rPr>
      </w:pPr>
      <w:r w:rsidRPr="005375B7">
        <w:rPr>
          <w:b/>
          <w:iCs/>
          <w:kern w:val="2"/>
          <w14:ligatures w14:val="standardContextual"/>
        </w:rPr>
        <w:t>Styrning</w:t>
      </w:r>
    </w:p>
    <w:p w14:paraId="0E553279"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t>13.</w:t>
      </w:r>
      <w:r w:rsidRPr="005375B7">
        <w:rPr>
          <w:kern w:val="2"/>
          <w14:ligatures w14:val="standardContextual"/>
        </w:rPr>
        <w:tab/>
        <w:t>Europaparlamentet påminner om att den gemensamma ansatsen </w:t>
      </w:r>
      <w:r w:rsidRPr="005375B7">
        <w:rPr>
          <w:kern w:val="2"/>
          <w:szCs w:val="24"/>
          <w:vertAlign w:val="superscript"/>
          <w14:ligatures w14:val="standardContextual"/>
        </w:rPr>
        <w:footnoteReference w:id="403"/>
      </w:r>
      <w:r w:rsidRPr="005375B7">
        <w:rPr>
          <w:kern w:val="2"/>
          <w14:ligatures w14:val="standardContextual"/>
        </w:rPr>
        <w:t xml:space="preserve"> ger en översikt över de decentraliserade byråernas styrningsstruktur. Parlamentet erkänner de framsteg som EU:s byråer har gjort när det gäller att förbättra den ekonomiska förvaltningen och styrningsstrukturerna, samtidigt som man erkänner behovet av ytterligare förbättringar av effektivitet och ansvarsskyldighet. Parlamentet påminner om att styrelsen för alla decentraliserade byråer spelar en avgörande roll för att säkerställa god styrning och ansvarsskyldighet. Parlamentet påminner om att det i den gemensamma ansatsen föreslås att styrelsen ska bestå av en företrädare för varje medlemsstat, två företrädare för kommissionen, en ledamot som utses av Europaparlamentet (när så är lämpligt) och ett ”relativt begränsat” antal företrädare för berörda parter (när så är lämpligt), så att man säkerställer att dessa företräder många olika intressen och att urvalsprocessen varit transparent.</w:t>
      </w:r>
    </w:p>
    <w:p w14:paraId="757DF70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14.</w:t>
      </w:r>
      <w:r w:rsidRPr="005375B7">
        <w:rPr>
          <w:kern w:val="2"/>
          <w14:ligatures w14:val="standardContextual"/>
        </w:rPr>
        <w:tab/>
        <w:t>Europaparlamentet konstaterar att styrningsstrukturen för de decentraliserade byråerna generellt sett är ganska likartad för alla byråer. Parlamentet noterar att alla har en styrelse och en direktör. Parlamentet noterar att nio byråer har en styrelse (Cedefop, EUDA, Enisa, ERA, EU-Osha, Eurofound, Eurojust, FRA, EIT) </w:t>
      </w:r>
      <w:r w:rsidRPr="005375B7">
        <w:rPr>
          <w:kern w:val="2"/>
          <w:vertAlign w:val="superscript"/>
          <w14:ligatures w14:val="standardContextual"/>
        </w:rPr>
        <w:footnoteReference w:id="404"/>
      </w:r>
      <w:r w:rsidRPr="005375B7">
        <w:rPr>
          <w:kern w:val="2"/>
          <w14:ligatures w14:val="standardContextual"/>
        </w:rPr>
        <w:t>, medan endast de byråer som är kopplade till Europeiska unionens rymdprogram har en styrelse för säkerhetsackreditering. Parlamentet noterar vidare att en tillsynsnämnd eller tillsynsstyrelse har inrättats av de tre europeiska tillsynsmyndigheterna (Europeiska bankmyndigheten (EBA), Europeiska värdepappers- och marknadsmyndigheten (Esma) och Europeiska försäkrings- och tjänstepensionsmyndigheten (Eiopa) och av två byråer i klustret för den inre marknaden (Europeiska unionens byrå för samarbete mellan energitillsynsmyndigheter (Acer) och Byrån för stöd till Berec (Berecbyrån)).</w:t>
      </w:r>
    </w:p>
    <w:p w14:paraId="7C7B257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15.</w:t>
      </w:r>
      <w:r w:rsidRPr="005375B7">
        <w:rPr>
          <w:kern w:val="2"/>
          <w14:ligatures w14:val="standardContextual"/>
        </w:rPr>
        <w:tab/>
        <w:t xml:space="preserve">Europaparlamentet påminner om att Eurofounds, Cedefops och EU-Oshas styrelser har en trepartsstruktur. Parlamentet noterar att varje medlemsstat är representerad i varje styrelse av en företrädare för regeringen, en företrädare för arbetsgivarna och en företrädare för fackföreningarna (totalt 81 företrädare). Parlamentet noterar att kommissionen har tre företrädare och att det finns en oberoende expert (utan rösträtt) som utses av Europaparlamentet. Parlamentet påminner om att ETF:s styrelse är mindre, </w:t>
      </w:r>
      <w:r w:rsidRPr="005375B7">
        <w:rPr>
          <w:kern w:val="2"/>
          <w14:ligatures w14:val="standardContextual"/>
        </w:rPr>
        <w:lastRenderedPageBreak/>
        <w:t>med 27 företrädare från medlemsstaterna (utan arbetsmarknadens parter), tre företrädare för kommissionen (som delar en röst i styrelsen), tre experter som utses av Europaparlamentet (jämfört med en per trepartsbyrå) och tre företrädare för partnerländerna som utses av kommissionen </w:t>
      </w:r>
      <w:r w:rsidRPr="005375B7">
        <w:rPr>
          <w:kern w:val="2"/>
          <w:vertAlign w:val="superscript"/>
          <w14:ligatures w14:val="standardContextual"/>
        </w:rPr>
        <w:footnoteReference w:id="405"/>
      </w:r>
      <w:r w:rsidRPr="005375B7">
        <w:rPr>
          <w:kern w:val="2"/>
          <w14:ligatures w14:val="standardContextual"/>
        </w:rPr>
        <w:t>.</w:t>
      </w:r>
    </w:p>
    <w:p w14:paraId="1B59BA6D"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t>16.</w:t>
      </w:r>
      <w:r w:rsidRPr="005375B7">
        <w:rPr>
          <w:kern w:val="2"/>
          <w14:ligatures w14:val="standardContextual"/>
        </w:rPr>
        <w:tab/>
        <w:t>Europaparlamentet noterar slutsatserna från utvärderingen av Eurofound, Cedefop, ETF och EU-Osha om trepartsstyrningsstrukturen (Eurofound, Cedefop och EU-Osha). Parlamentet konstaterar att trepartsstrukturen ger fördelar såsom representation, strategisk ledning och kunskapsutbyte, men att styrelsernas storlek och mångfald innebär utmaningar när det gäller att hantera kompromisser om kärnverksamheten och administrativa beslut. Parlamentet påpekar att man i utvärderingen övervägde alternativa styrningsmodeller för att involvera arbetsmarknadens parter mer effektivt. Parlamentet understryker den ökade potentialen för besparingar och synergier i dessa byråers verksamhet. Parlamentet betonar behovet av strikt finansiell tillsyn över EU:s byråer för att säkerställa kostnadseffektivitet och förhindra missbruk av offentliga medel. Parlamentet understryker behovet av en ansvarsfull och behovsbaserad strategi för byråernas finansiering, som förhindrar ökad byråkrati och samtidigt säkerställer att byråerna har tillräckliga resurser för att fullgöra sina mandat.</w:t>
      </w:r>
    </w:p>
    <w:p w14:paraId="5C5199E0" w14:textId="77777777" w:rsidR="005375B7" w:rsidRPr="005375B7" w:rsidRDefault="005375B7" w:rsidP="005375B7">
      <w:pPr>
        <w:spacing w:before="100" w:beforeAutospacing="1" w:after="100" w:afterAutospacing="1"/>
        <w:ind w:left="567" w:hanging="567"/>
        <w:rPr>
          <w:kern w:val="2"/>
          <w:szCs w:val="24"/>
          <w14:ligatures w14:val="standardContextual"/>
        </w:rPr>
      </w:pPr>
      <w:r w:rsidRPr="005375B7">
        <w:rPr>
          <w:kern w:val="2"/>
          <w14:ligatures w14:val="standardContextual"/>
        </w:rPr>
        <w:t>17.</w:t>
      </w:r>
      <w:r w:rsidRPr="005375B7">
        <w:rPr>
          <w:kern w:val="2"/>
          <w14:ligatures w14:val="standardContextual"/>
        </w:rPr>
        <w:tab/>
        <w:t>Europaparlamentet noterar slutsatserna i rapporten om utvärderingen av Europaparlamentets och rådets förordning (EU) 2019/1896 </w:t>
      </w:r>
      <w:r w:rsidRPr="005375B7">
        <w:rPr>
          <w:kern w:val="2"/>
          <w:szCs w:val="24"/>
          <w:vertAlign w:val="superscript"/>
          <w14:ligatures w14:val="standardContextual"/>
        </w:rPr>
        <w:footnoteReference w:id="406"/>
      </w:r>
      <w:r w:rsidRPr="005375B7">
        <w:rPr>
          <w:kern w:val="2"/>
          <w14:ligatures w14:val="standardContextual"/>
        </w:rPr>
        <w:t xml:space="preserve"> om en europeisk gräns- och kustbevakning (Frontex), enligt vilka den förordningen är ändamålsenlig, och som inbegriper en översyn av den stående styrkan som offentliggjordes i februari 2024: Parlamentet noterar att förordningen visserligen utgör en ram för en effektiv gränsförvaltning, men att utmaningar kvarstår när det gäller styrning, ansvarsskyldighet och effektivitet. Parlamentet konstaterar att styrningsstrukturen kräver anpassningar för att säkerställa att Frontex fullt ut kan genomföra sitt uppdrag, bland annat bör man behandla balansen i representationen i styrelsen, rationalisera de interna beslutsprocesserna och undvika överlappande ansvarsområden. Parlamentet välkomnar den nya organisationsstruktur som styrelsen antog i november 2023 som ett steg mot förbättrad styrning, strategisk samordning och resursfördelning. Parlamentet uppmärksammar den administrativa ineffektivitet som lyfts fram i utvärderingsrapporten, särskilt när det gäller ersättningsförfaranden och byråkratiska hinder som medlemsstaterna ställs inför när de utstationerar personal till Frontex. Parlamentet uppmanar kommissionen att undersöka sätt att förenkla dessa processer för att minska onödiga bördor för nationella myndigheter. Parlamentet noterar vikten av att genomföra rekommendationerna i årsrapporten från ombudet för grundläggande rättigheter. Parlamentet erkänner de framsteg som gjorts, men uppmanar Frontex att fortsätta att öka transparensen, fullt ut samarbeta med utredningar och genomföra åtgärder som säkerställer skyddet av de grundläggande rättigheterna i all verksamhet.</w:t>
      </w:r>
    </w:p>
    <w:p w14:paraId="4188FBA5" w14:textId="77777777" w:rsidR="005375B7" w:rsidRPr="005375B7" w:rsidRDefault="005375B7" w:rsidP="005375B7">
      <w:pPr>
        <w:widowControl/>
        <w:spacing w:after="240"/>
        <w:ind w:left="567" w:hanging="567"/>
        <w:rPr>
          <w:kern w:val="2"/>
          <w:szCs w:val="24"/>
          <w14:ligatures w14:val="standardContextual"/>
        </w:rPr>
      </w:pPr>
      <w:r w:rsidRPr="005375B7">
        <w:rPr>
          <w:kern w:val="2"/>
          <w14:ligatures w14:val="standardContextual"/>
        </w:rPr>
        <w:t>18.</w:t>
      </w:r>
      <w:r w:rsidRPr="005375B7">
        <w:rPr>
          <w:kern w:val="2"/>
          <w14:ligatures w14:val="standardContextual"/>
        </w:rPr>
        <w:tab/>
        <w:t xml:space="preserve">Europaparlamentet betonar att en balanserad strategi som kombinerar effektiv gränskontroll med kraftfulla garantier för skydd av grundläggande rättigheter är </w:t>
      </w:r>
      <w:r w:rsidRPr="005375B7">
        <w:rPr>
          <w:kern w:val="2"/>
          <w14:ligatures w14:val="standardContextual"/>
        </w:rPr>
        <w:lastRenderedPageBreak/>
        <w:t>avgörande för att bevara ett säkert Schengenområde och en trovärdig ram för migrationshantering för unionen. Parlamentet upprepar därför vikten av strukturell och kontinuerlig utbildning om grundläggande rättigheter för tjänstemän inom den stående styrkan (Frontex) för att säkerställa deras medvetenhet om och efterlevnad av relevanta skyldigheter och standarder för grundläggande rättigheter, internationell människorättslagstiftning och humanitär rätt </w:t>
      </w:r>
      <w:r w:rsidRPr="005375B7">
        <w:rPr>
          <w:kern w:val="2"/>
          <w:szCs w:val="24"/>
          <w:vertAlign w:val="superscript"/>
          <w14:ligatures w14:val="standardContextual"/>
        </w:rPr>
        <w:footnoteReference w:id="407"/>
      </w:r>
      <w:r w:rsidRPr="005375B7">
        <w:rPr>
          <w:kern w:val="2"/>
          <w14:ligatures w14:val="standardContextual"/>
        </w:rPr>
        <w:t>. Parlamentet betonar dessutom vikten av att rapportera kränkningar av de grundläggande rättigheterna när man bevittnar sådana genom utfärdande av rapporter om allvarliga incidenter.</w:t>
      </w:r>
    </w:p>
    <w:p w14:paraId="3F2AB78B" w14:textId="77777777" w:rsidR="005375B7" w:rsidRPr="005375B7" w:rsidRDefault="005375B7" w:rsidP="005375B7">
      <w:pPr>
        <w:spacing w:after="240"/>
        <w:ind w:left="567" w:hanging="567"/>
        <w:rPr>
          <w:iCs/>
          <w:kern w:val="2"/>
          <w14:ligatures w14:val="standardContextual"/>
        </w:rPr>
      </w:pPr>
      <w:r w:rsidRPr="005375B7">
        <w:rPr>
          <w:b/>
          <w:iCs/>
          <w:kern w:val="2"/>
          <w14:ligatures w14:val="standardContextual"/>
        </w:rPr>
        <w:t>Budgetförvaltning och ekonomisk förvaltning</w:t>
      </w:r>
    </w:p>
    <w:p w14:paraId="64D017B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19.</w:t>
      </w:r>
      <w:r w:rsidRPr="005375B7">
        <w:rPr>
          <w:kern w:val="2"/>
          <w14:ligatures w14:val="standardContextual"/>
        </w:rPr>
        <w:tab/>
        <w:t>Europaparlamentet noterar att de totala slutliga inkomsterna för 2023 (efter ändringsbudgetar) och de jämförbara siffrorna för 2022 för de 33 unionsbyråer som ingår i denna resolution fördelade sig på följande sätt </w:t>
      </w:r>
      <w:r w:rsidRPr="005375B7">
        <w:rPr>
          <w:kern w:val="2"/>
          <w:vertAlign w:val="superscript"/>
          <w14:ligatures w14:val="standardContextual"/>
        </w:rPr>
        <w:footnoteReference w:id="408"/>
      </w:r>
      <w:r w:rsidRPr="005375B7">
        <w:rPr>
          <w:kern w:val="2"/>
          <w14:ligatures w14:val="standardContextual"/>
        </w:rPr>
        <w:t>:</w:t>
      </w:r>
    </w:p>
    <w:tbl>
      <w:tblPr>
        <w:tblStyle w:val="TableGrid"/>
        <w:tblW w:w="0" w:type="auto"/>
        <w:tblLook w:val="04A0" w:firstRow="1" w:lastRow="0" w:firstColumn="1" w:lastColumn="0" w:noHBand="0" w:noVBand="1"/>
      </w:tblPr>
      <w:tblGrid>
        <w:gridCol w:w="2122"/>
        <w:gridCol w:w="2038"/>
        <w:gridCol w:w="2360"/>
        <w:gridCol w:w="1555"/>
      </w:tblGrid>
      <w:tr w:rsidR="005375B7" w:rsidRPr="005375B7" w14:paraId="0904D67C" w14:textId="77777777" w:rsidTr="00982A76">
        <w:trPr>
          <w:trHeight w:val="293"/>
        </w:trPr>
        <w:tc>
          <w:tcPr>
            <w:tcW w:w="2122" w:type="dxa"/>
            <w:tcBorders>
              <w:top w:val="single" w:sz="4" w:space="0" w:color="auto"/>
              <w:left w:val="single" w:sz="4" w:space="0" w:color="auto"/>
              <w:bottom w:val="single" w:sz="4" w:space="0" w:color="auto"/>
              <w:right w:val="single" w:sz="4" w:space="0" w:color="auto"/>
            </w:tcBorders>
            <w:noWrap/>
            <w:hideMark/>
          </w:tcPr>
          <w:p w14:paraId="1E2B184F" w14:textId="77777777" w:rsidR="005375B7" w:rsidRPr="005375B7" w:rsidRDefault="005375B7" w:rsidP="005375B7">
            <w:pPr>
              <w:rPr>
                <w:szCs w:val="22"/>
              </w:rPr>
            </w:pPr>
          </w:p>
        </w:tc>
        <w:tc>
          <w:tcPr>
            <w:tcW w:w="2038" w:type="dxa"/>
            <w:tcBorders>
              <w:top w:val="single" w:sz="4" w:space="0" w:color="auto"/>
              <w:left w:val="single" w:sz="4" w:space="0" w:color="auto"/>
              <w:bottom w:val="single" w:sz="4" w:space="0" w:color="auto"/>
              <w:right w:val="single" w:sz="4" w:space="0" w:color="auto"/>
            </w:tcBorders>
            <w:noWrap/>
            <w:hideMark/>
          </w:tcPr>
          <w:p w14:paraId="76504B17" w14:textId="77777777" w:rsidR="005375B7" w:rsidRPr="005375B7" w:rsidRDefault="005375B7" w:rsidP="005375B7">
            <w:pPr>
              <w:spacing w:after="240"/>
              <w:ind w:left="567" w:hanging="567"/>
              <w:rPr>
                <w:bCs/>
                <w:szCs w:val="22"/>
              </w:rPr>
            </w:pPr>
            <w:r w:rsidRPr="005375B7">
              <w:rPr>
                <w:bCs/>
              </w:rPr>
              <w:t>Inkomster 2023 (euro)</w:t>
            </w:r>
          </w:p>
        </w:tc>
        <w:tc>
          <w:tcPr>
            <w:tcW w:w="2360" w:type="dxa"/>
            <w:tcBorders>
              <w:top w:val="single" w:sz="4" w:space="0" w:color="auto"/>
              <w:left w:val="single" w:sz="4" w:space="0" w:color="auto"/>
              <w:bottom w:val="single" w:sz="4" w:space="0" w:color="auto"/>
              <w:right w:val="single" w:sz="4" w:space="0" w:color="auto"/>
            </w:tcBorders>
            <w:noWrap/>
            <w:hideMark/>
          </w:tcPr>
          <w:p w14:paraId="015D9AA2" w14:textId="77777777" w:rsidR="005375B7" w:rsidRPr="005375B7" w:rsidRDefault="005375B7" w:rsidP="005375B7">
            <w:pPr>
              <w:spacing w:after="240"/>
              <w:ind w:left="567" w:hanging="567"/>
              <w:rPr>
                <w:bCs/>
                <w:szCs w:val="22"/>
              </w:rPr>
            </w:pPr>
            <w:r w:rsidRPr="005375B7">
              <w:rPr>
                <w:bCs/>
              </w:rPr>
              <w:t>Inkomster 2022 (euro)</w:t>
            </w:r>
          </w:p>
        </w:tc>
        <w:tc>
          <w:tcPr>
            <w:tcW w:w="1555" w:type="dxa"/>
            <w:tcBorders>
              <w:top w:val="single" w:sz="4" w:space="0" w:color="auto"/>
              <w:left w:val="single" w:sz="4" w:space="0" w:color="auto"/>
              <w:bottom w:val="single" w:sz="4" w:space="0" w:color="auto"/>
              <w:right w:val="single" w:sz="4" w:space="0" w:color="auto"/>
            </w:tcBorders>
            <w:noWrap/>
            <w:hideMark/>
          </w:tcPr>
          <w:p w14:paraId="7F01F444" w14:textId="77777777" w:rsidR="005375B7" w:rsidRPr="005375B7" w:rsidRDefault="005375B7" w:rsidP="005375B7">
            <w:pPr>
              <w:spacing w:after="240"/>
              <w:ind w:left="567" w:hanging="567"/>
              <w:jc w:val="center"/>
              <w:rPr>
                <w:bCs/>
                <w:szCs w:val="22"/>
              </w:rPr>
            </w:pPr>
            <w:r w:rsidRPr="005375B7">
              <w:rPr>
                <w:bCs/>
              </w:rPr>
              <w:t>∆ (%)</w:t>
            </w:r>
          </w:p>
        </w:tc>
      </w:tr>
      <w:tr w:rsidR="005375B7" w:rsidRPr="005375B7" w14:paraId="4E047BA5"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9A502C7" w14:textId="77777777" w:rsidR="005375B7" w:rsidRPr="005375B7" w:rsidRDefault="005375B7" w:rsidP="005375B7">
            <w:pPr>
              <w:spacing w:after="240"/>
              <w:ind w:left="567" w:hanging="567"/>
              <w:rPr>
                <w:bCs/>
                <w:szCs w:val="22"/>
              </w:rPr>
            </w:pPr>
            <w:r w:rsidRPr="005375B7">
              <w:t>Acer</w:t>
            </w:r>
          </w:p>
        </w:tc>
        <w:tc>
          <w:tcPr>
            <w:tcW w:w="2038" w:type="dxa"/>
            <w:tcBorders>
              <w:top w:val="single" w:sz="4" w:space="0" w:color="auto"/>
              <w:left w:val="single" w:sz="4" w:space="0" w:color="auto"/>
              <w:bottom w:val="single" w:sz="4" w:space="0" w:color="auto"/>
              <w:right w:val="single" w:sz="4" w:space="0" w:color="auto"/>
            </w:tcBorders>
            <w:noWrap/>
            <w:hideMark/>
          </w:tcPr>
          <w:p w14:paraId="6A685AD1" w14:textId="77777777" w:rsidR="005375B7" w:rsidRPr="005375B7" w:rsidRDefault="005375B7" w:rsidP="005375B7">
            <w:pPr>
              <w:spacing w:after="240"/>
              <w:ind w:left="567" w:hanging="567"/>
              <w:rPr>
                <w:bCs/>
                <w:szCs w:val="22"/>
              </w:rPr>
            </w:pPr>
            <w:r w:rsidRPr="005375B7">
              <w:rPr>
                <w:bCs/>
              </w:rPr>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4070EB8D" w14:textId="77777777" w:rsidR="005375B7" w:rsidRPr="005375B7" w:rsidRDefault="005375B7" w:rsidP="005375B7">
            <w:pPr>
              <w:spacing w:after="240"/>
              <w:ind w:left="567" w:hanging="567"/>
              <w:rPr>
                <w:bCs/>
                <w:szCs w:val="22"/>
              </w:rPr>
            </w:pPr>
            <w:r w:rsidRPr="005375B7">
              <w:rPr>
                <w:bCs/>
              </w:rPr>
              <w:t>24 827 843</w:t>
            </w:r>
          </w:p>
        </w:tc>
        <w:tc>
          <w:tcPr>
            <w:tcW w:w="1555" w:type="dxa"/>
            <w:tcBorders>
              <w:top w:val="single" w:sz="4" w:space="0" w:color="auto"/>
              <w:left w:val="single" w:sz="4" w:space="0" w:color="auto"/>
              <w:bottom w:val="single" w:sz="4" w:space="0" w:color="auto"/>
              <w:right w:val="single" w:sz="4" w:space="0" w:color="auto"/>
            </w:tcBorders>
            <w:noWrap/>
            <w:hideMark/>
          </w:tcPr>
          <w:p w14:paraId="47096214" w14:textId="77777777" w:rsidR="005375B7" w:rsidRPr="005375B7" w:rsidRDefault="005375B7" w:rsidP="005375B7">
            <w:pPr>
              <w:spacing w:after="240"/>
              <w:ind w:left="567" w:hanging="567"/>
              <w:rPr>
                <w:szCs w:val="22"/>
              </w:rPr>
            </w:pPr>
            <w:r w:rsidRPr="005375B7">
              <w:t>19,15</w:t>
            </w:r>
          </w:p>
        </w:tc>
      </w:tr>
      <w:tr w:rsidR="005375B7" w:rsidRPr="005375B7" w14:paraId="30E62469"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D0855BD" w14:textId="77777777" w:rsidR="005375B7" w:rsidRPr="005375B7" w:rsidRDefault="005375B7" w:rsidP="005375B7">
            <w:pPr>
              <w:spacing w:after="240"/>
              <w:ind w:left="567" w:hanging="567"/>
              <w:rPr>
                <w:bCs/>
                <w:szCs w:val="22"/>
              </w:rPr>
            </w:pPr>
            <w:r w:rsidRPr="005375B7">
              <w:t>Berecbyrån</w:t>
            </w:r>
          </w:p>
        </w:tc>
        <w:tc>
          <w:tcPr>
            <w:tcW w:w="2038" w:type="dxa"/>
            <w:tcBorders>
              <w:top w:val="single" w:sz="4" w:space="0" w:color="auto"/>
              <w:left w:val="single" w:sz="4" w:space="0" w:color="auto"/>
              <w:bottom w:val="single" w:sz="4" w:space="0" w:color="auto"/>
              <w:right w:val="single" w:sz="4" w:space="0" w:color="auto"/>
            </w:tcBorders>
            <w:noWrap/>
            <w:hideMark/>
          </w:tcPr>
          <w:p w14:paraId="63CE039B" w14:textId="77777777" w:rsidR="005375B7" w:rsidRPr="005375B7" w:rsidRDefault="005375B7" w:rsidP="005375B7">
            <w:pPr>
              <w:spacing w:after="240"/>
              <w:ind w:left="567" w:hanging="567"/>
              <w:rPr>
                <w:bCs/>
                <w:szCs w:val="22"/>
              </w:rPr>
            </w:pPr>
            <w:r w:rsidRPr="005375B7">
              <w:rPr>
                <w:bCs/>
              </w:rPr>
              <w:t>7 697 265</w:t>
            </w:r>
          </w:p>
        </w:tc>
        <w:tc>
          <w:tcPr>
            <w:tcW w:w="2360" w:type="dxa"/>
            <w:tcBorders>
              <w:top w:val="single" w:sz="4" w:space="0" w:color="auto"/>
              <w:left w:val="single" w:sz="4" w:space="0" w:color="auto"/>
              <w:bottom w:val="single" w:sz="4" w:space="0" w:color="auto"/>
              <w:right w:val="single" w:sz="4" w:space="0" w:color="auto"/>
            </w:tcBorders>
            <w:noWrap/>
            <w:hideMark/>
          </w:tcPr>
          <w:p w14:paraId="716D4A3D" w14:textId="77777777" w:rsidR="005375B7" w:rsidRPr="005375B7" w:rsidRDefault="005375B7" w:rsidP="005375B7">
            <w:pPr>
              <w:spacing w:after="240"/>
              <w:ind w:left="567" w:hanging="567"/>
              <w:rPr>
                <w:bCs/>
                <w:szCs w:val="22"/>
              </w:rPr>
            </w:pPr>
            <w:r w:rsidRPr="005375B7">
              <w:rPr>
                <w:bCs/>
              </w:rPr>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08C60CCF" w14:textId="77777777" w:rsidR="005375B7" w:rsidRPr="005375B7" w:rsidRDefault="005375B7" w:rsidP="005375B7">
            <w:pPr>
              <w:spacing w:after="240"/>
              <w:ind w:left="567" w:hanging="567"/>
              <w:rPr>
                <w:szCs w:val="22"/>
              </w:rPr>
            </w:pPr>
            <w:r w:rsidRPr="005375B7">
              <w:t>3,62</w:t>
            </w:r>
          </w:p>
        </w:tc>
      </w:tr>
      <w:tr w:rsidR="005375B7" w:rsidRPr="005375B7" w14:paraId="78050784"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80FA75D" w14:textId="77777777" w:rsidR="005375B7" w:rsidRPr="005375B7" w:rsidRDefault="005375B7" w:rsidP="005375B7">
            <w:pPr>
              <w:spacing w:after="240"/>
              <w:ind w:left="567" w:hanging="567"/>
              <w:rPr>
                <w:bCs/>
                <w:szCs w:val="22"/>
              </w:rPr>
            </w:pPr>
            <w:r w:rsidRPr="005375B7">
              <w:t>CDT </w:t>
            </w:r>
            <w:r w:rsidRPr="005375B7">
              <w:rPr>
                <w:bCs/>
              </w:rPr>
              <w:t>(</w:t>
            </w:r>
            <w:r w:rsidRPr="005375B7">
              <w:rPr>
                <w:bCs/>
                <w:szCs w:val="22"/>
                <w:vertAlign w:val="superscript"/>
              </w:rPr>
              <w:t>1</w:t>
            </w:r>
            <w:r w:rsidRPr="005375B7">
              <w:rPr>
                <w:bCs/>
              </w:rPr>
              <w:t>)</w:t>
            </w:r>
          </w:p>
        </w:tc>
        <w:tc>
          <w:tcPr>
            <w:tcW w:w="2038" w:type="dxa"/>
            <w:tcBorders>
              <w:top w:val="single" w:sz="4" w:space="0" w:color="auto"/>
              <w:left w:val="single" w:sz="4" w:space="0" w:color="auto"/>
              <w:bottom w:val="single" w:sz="4" w:space="0" w:color="auto"/>
              <w:right w:val="single" w:sz="4" w:space="0" w:color="auto"/>
            </w:tcBorders>
            <w:noWrap/>
            <w:hideMark/>
          </w:tcPr>
          <w:p w14:paraId="5B945EBE" w14:textId="77777777" w:rsidR="005375B7" w:rsidRPr="005375B7" w:rsidRDefault="005375B7" w:rsidP="005375B7">
            <w:pPr>
              <w:spacing w:after="240"/>
              <w:ind w:left="567" w:hanging="567"/>
              <w:rPr>
                <w:bCs/>
                <w:szCs w:val="22"/>
              </w:rPr>
            </w:pPr>
            <w:r w:rsidRPr="005375B7">
              <w:rPr>
                <w:bCs/>
              </w:rPr>
              <w:t>47 140 900</w:t>
            </w:r>
          </w:p>
        </w:tc>
        <w:tc>
          <w:tcPr>
            <w:tcW w:w="2360" w:type="dxa"/>
            <w:tcBorders>
              <w:top w:val="single" w:sz="4" w:space="0" w:color="auto"/>
              <w:left w:val="single" w:sz="4" w:space="0" w:color="auto"/>
              <w:bottom w:val="single" w:sz="4" w:space="0" w:color="auto"/>
              <w:right w:val="single" w:sz="4" w:space="0" w:color="auto"/>
            </w:tcBorders>
            <w:noWrap/>
            <w:hideMark/>
          </w:tcPr>
          <w:p w14:paraId="6603958F" w14:textId="77777777" w:rsidR="005375B7" w:rsidRPr="005375B7" w:rsidRDefault="005375B7" w:rsidP="005375B7">
            <w:pPr>
              <w:spacing w:after="240"/>
              <w:ind w:left="567" w:hanging="567"/>
              <w:rPr>
                <w:bCs/>
                <w:szCs w:val="22"/>
              </w:rPr>
            </w:pPr>
            <w:r w:rsidRPr="005375B7">
              <w:rPr>
                <w:bCs/>
              </w:rPr>
              <w:t>48 721 800</w:t>
            </w:r>
          </w:p>
        </w:tc>
        <w:tc>
          <w:tcPr>
            <w:tcW w:w="1555" w:type="dxa"/>
            <w:tcBorders>
              <w:top w:val="single" w:sz="4" w:space="0" w:color="auto"/>
              <w:left w:val="single" w:sz="4" w:space="0" w:color="auto"/>
              <w:bottom w:val="single" w:sz="4" w:space="0" w:color="auto"/>
              <w:right w:val="single" w:sz="4" w:space="0" w:color="auto"/>
            </w:tcBorders>
            <w:noWrap/>
            <w:hideMark/>
          </w:tcPr>
          <w:p w14:paraId="328D766D" w14:textId="0B022705" w:rsidR="005375B7" w:rsidRPr="005375B7" w:rsidRDefault="005375B7" w:rsidP="005375B7">
            <w:pPr>
              <w:spacing w:after="240"/>
              <w:ind w:left="567" w:hanging="567"/>
              <w:rPr>
                <w:szCs w:val="22"/>
              </w:rPr>
            </w:pPr>
            <w:r>
              <w:t>-</w:t>
            </w:r>
            <w:r w:rsidRPr="005375B7">
              <w:t>3,24</w:t>
            </w:r>
          </w:p>
        </w:tc>
      </w:tr>
      <w:tr w:rsidR="005375B7" w:rsidRPr="005375B7" w14:paraId="5C0E9A1F"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3FE3D93" w14:textId="77777777" w:rsidR="005375B7" w:rsidRPr="005375B7" w:rsidRDefault="005375B7" w:rsidP="005375B7">
            <w:pPr>
              <w:spacing w:after="240"/>
              <w:ind w:left="567" w:hanging="567"/>
              <w:rPr>
                <w:bCs/>
                <w:szCs w:val="22"/>
              </w:rPr>
            </w:pPr>
            <w:r w:rsidRPr="005375B7">
              <w:t>Cedefop</w:t>
            </w:r>
          </w:p>
        </w:tc>
        <w:tc>
          <w:tcPr>
            <w:tcW w:w="2038" w:type="dxa"/>
            <w:tcBorders>
              <w:top w:val="single" w:sz="4" w:space="0" w:color="auto"/>
              <w:left w:val="single" w:sz="4" w:space="0" w:color="auto"/>
              <w:bottom w:val="single" w:sz="4" w:space="0" w:color="auto"/>
              <w:right w:val="single" w:sz="4" w:space="0" w:color="auto"/>
            </w:tcBorders>
            <w:noWrap/>
            <w:hideMark/>
          </w:tcPr>
          <w:p w14:paraId="7B8D1C85" w14:textId="77777777" w:rsidR="005375B7" w:rsidRPr="005375B7" w:rsidRDefault="005375B7" w:rsidP="005375B7">
            <w:pPr>
              <w:spacing w:after="240"/>
              <w:ind w:left="567" w:hanging="567"/>
              <w:rPr>
                <w:bCs/>
                <w:szCs w:val="22"/>
              </w:rPr>
            </w:pPr>
            <w:r w:rsidRPr="005375B7">
              <w:rPr>
                <w:bCs/>
              </w:rPr>
              <w:t>20 140 610</w:t>
            </w:r>
          </w:p>
        </w:tc>
        <w:tc>
          <w:tcPr>
            <w:tcW w:w="2360" w:type="dxa"/>
            <w:tcBorders>
              <w:top w:val="single" w:sz="4" w:space="0" w:color="auto"/>
              <w:left w:val="single" w:sz="4" w:space="0" w:color="auto"/>
              <w:bottom w:val="single" w:sz="4" w:space="0" w:color="auto"/>
              <w:right w:val="single" w:sz="4" w:space="0" w:color="auto"/>
            </w:tcBorders>
            <w:noWrap/>
            <w:hideMark/>
          </w:tcPr>
          <w:p w14:paraId="6F8C1EB6" w14:textId="77777777" w:rsidR="005375B7" w:rsidRPr="005375B7" w:rsidRDefault="005375B7" w:rsidP="005375B7">
            <w:pPr>
              <w:spacing w:after="240"/>
              <w:ind w:left="567" w:hanging="567"/>
              <w:rPr>
                <w:bCs/>
                <w:szCs w:val="22"/>
              </w:rPr>
            </w:pPr>
            <w:r w:rsidRPr="005375B7">
              <w:rPr>
                <w:bCs/>
              </w:rPr>
              <w:t>18 434 420</w:t>
            </w:r>
          </w:p>
        </w:tc>
        <w:tc>
          <w:tcPr>
            <w:tcW w:w="1555" w:type="dxa"/>
            <w:tcBorders>
              <w:top w:val="single" w:sz="4" w:space="0" w:color="auto"/>
              <w:left w:val="single" w:sz="4" w:space="0" w:color="auto"/>
              <w:bottom w:val="single" w:sz="4" w:space="0" w:color="auto"/>
              <w:right w:val="single" w:sz="4" w:space="0" w:color="auto"/>
            </w:tcBorders>
            <w:noWrap/>
            <w:hideMark/>
          </w:tcPr>
          <w:p w14:paraId="6D832AD2" w14:textId="77777777" w:rsidR="005375B7" w:rsidRPr="005375B7" w:rsidRDefault="005375B7" w:rsidP="005375B7">
            <w:pPr>
              <w:spacing w:after="240"/>
              <w:ind w:left="567" w:hanging="567"/>
              <w:rPr>
                <w:szCs w:val="22"/>
              </w:rPr>
            </w:pPr>
            <w:r w:rsidRPr="005375B7">
              <w:t>9,26</w:t>
            </w:r>
          </w:p>
        </w:tc>
      </w:tr>
      <w:tr w:rsidR="005375B7" w:rsidRPr="005375B7" w14:paraId="01A721D4"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73B7D64" w14:textId="77777777" w:rsidR="005375B7" w:rsidRPr="005375B7" w:rsidRDefault="005375B7" w:rsidP="005375B7">
            <w:pPr>
              <w:spacing w:after="240"/>
              <w:ind w:left="567" w:hanging="567"/>
              <w:rPr>
                <w:bCs/>
                <w:szCs w:val="22"/>
              </w:rPr>
            </w:pPr>
            <w:r w:rsidRPr="005375B7">
              <w:t>Cepol</w:t>
            </w:r>
          </w:p>
        </w:tc>
        <w:tc>
          <w:tcPr>
            <w:tcW w:w="2038" w:type="dxa"/>
            <w:tcBorders>
              <w:top w:val="single" w:sz="4" w:space="0" w:color="auto"/>
              <w:left w:val="single" w:sz="4" w:space="0" w:color="auto"/>
              <w:bottom w:val="single" w:sz="4" w:space="0" w:color="auto"/>
              <w:right w:val="single" w:sz="4" w:space="0" w:color="auto"/>
            </w:tcBorders>
            <w:noWrap/>
            <w:hideMark/>
          </w:tcPr>
          <w:p w14:paraId="00462EE9" w14:textId="77777777" w:rsidR="005375B7" w:rsidRPr="005375B7" w:rsidRDefault="005375B7" w:rsidP="005375B7">
            <w:pPr>
              <w:spacing w:after="240"/>
              <w:ind w:left="567" w:hanging="567"/>
              <w:rPr>
                <w:bCs/>
                <w:szCs w:val="22"/>
              </w:rPr>
            </w:pPr>
            <w:r w:rsidRPr="005375B7">
              <w:rPr>
                <w:bCs/>
              </w:rPr>
              <w:t>14 211 723</w:t>
            </w:r>
          </w:p>
        </w:tc>
        <w:tc>
          <w:tcPr>
            <w:tcW w:w="2360" w:type="dxa"/>
            <w:tcBorders>
              <w:top w:val="single" w:sz="4" w:space="0" w:color="auto"/>
              <w:left w:val="single" w:sz="4" w:space="0" w:color="auto"/>
              <w:bottom w:val="single" w:sz="4" w:space="0" w:color="auto"/>
              <w:right w:val="single" w:sz="4" w:space="0" w:color="auto"/>
            </w:tcBorders>
            <w:noWrap/>
            <w:hideMark/>
          </w:tcPr>
          <w:p w14:paraId="1F82625C" w14:textId="77777777" w:rsidR="005375B7" w:rsidRPr="005375B7" w:rsidRDefault="005375B7" w:rsidP="005375B7">
            <w:pPr>
              <w:spacing w:after="240"/>
              <w:ind w:left="567" w:hanging="567"/>
              <w:rPr>
                <w:bCs/>
                <w:szCs w:val="22"/>
              </w:rPr>
            </w:pPr>
            <w:r w:rsidRPr="005375B7">
              <w:rPr>
                <w:bCs/>
              </w:rPr>
              <w:t>13 805 510</w:t>
            </w:r>
          </w:p>
        </w:tc>
        <w:tc>
          <w:tcPr>
            <w:tcW w:w="1555" w:type="dxa"/>
            <w:tcBorders>
              <w:top w:val="single" w:sz="4" w:space="0" w:color="auto"/>
              <w:left w:val="single" w:sz="4" w:space="0" w:color="auto"/>
              <w:bottom w:val="single" w:sz="4" w:space="0" w:color="auto"/>
              <w:right w:val="single" w:sz="4" w:space="0" w:color="auto"/>
            </w:tcBorders>
            <w:noWrap/>
            <w:hideMark/>
          </w:tcPr>
          <w:p w14:paraId="6804225C" w14:textId="77777777" w:rsidR="005375B7" w:rsidRPr="005375B7" w:rsidRDefault="005375B7" w:rsidP="005375B7">
            <w:pPr>
              <w:spacing w:after="240"/>
              <w:ind w:left="567" w:hanging="567"/>
              <w:rPr>
                <w:szCs w:val="22"/>
              </w:rPr>
            </w:pPr>
            <w:r w:rsidRPr="005375B7">
              <w:t>2,94</w:t>
            </w:r>
          </w:p>
        </w:tc>
      </w:tr>
      <w:tr w:rsidR="005375B7" w:rsidRPr="005375B7" w14:paraId="48C02802"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3C985E8" w14:textId="77777777" w:rsidR="005375B7" w:rsidRPr="005375B7" w:rsidRDefault="005375B7" w:rsidP="005375B7">
            <w:pPr>
              <w:spacing w:after="240"/>
              <w:ind w:left="567" w:hanging="567"/>
              <w:rPr>
                <w:bCs/>
                <w:szCs w:val="22"/>
              </w:rPr>
            </w:pPr>
            <w:r w:rsidRPr="005375B7">
              <w:t>EASA </w:t>
            </w:r>
            <w:r w:rsidRPr="005375B7">
              <w:rPr>
                <w:bCs/>
              </w:rPr>
              <w:t>(</w:t>
            </w:r>
            <w:r w:rsidRPr="005375B7">
              <w:rPr>
                <w:bCs/>
                <w:szCs w:val="22"/>
                <w:vertAlign w:val="superscript"/>
              </w:rPr>
              <w:t>2</w:t>
            </w:r>
            <w:r w:rsidRPr="005375B7">
              <w:rPr>
                <w:bCs/>
              </w:rPr>
              <w:t>)</w:t>
            </w:r>
          </w:p>
        </w:tc>
        <w:tc>
          <w:tcPr>
            <w:tcW w:w="2038" w:type="dxa"/>
            <w:tcBorders>
              <w:top w:val="single" w:sz="4" w:space="0" w:color="auto"/>
              <w:left w:val="single" w:sz="4" w:space="0" w:color="auto"/>
              <w:bottom w:val="single" w:sz="4" w:space="0" w:color="auto"/>
              <w:right w:val="single" w:sz="4" w:space="0" w:color="auto"/>
            </w:tcBorders>
            <w:noWrap/>
            <w:hideMark/>
          </w:tcPr>
          <w:p w14:paraId="6522B81F" w14:textId="77777777" w:rsidR="005375B7" w:rsidRPr="005375B7" w:rsidRDefault="005375B7" w:rsidP="005375B7">
            <w:pPr>
              <w:spacing w:after="240"/>
              <w:ind w:left="567" w:hanging="567"/>
              <w:rPr>
                <w:bCs/>
                <w:szCs w:val="22"/>
              </w:rPr>
            </w:pPr>
            <w:r w:rsidRPr="005375B7">
              <w:rPr>
                <w:bCs/>
              </w:rPr>
              <w:t>169 665 375</w:t>
            </w:r>
          </w:p>
        </w:tc>
        <w:tc>
          <w:tcPr>
            <w:tcW w:w="2360" w:type="dxa"/>
            <w:tcBorders>
              <w:top w:val="single" w:sz="4" w:space="0" w:color="auto"/>
              <w:left w:val="single" w:sz="4" w:space="0" w:color="auto"/>
              <w:bottom w:val="single" w:sz="4" w:space="0" w:color="auto"/>
              <w:right w:val="single" w:sz="4" w:space="0" w:color="auto"/>
            </w:tcBorders>
            <w:noWrap/>
            <w:hideMark/>
          </w:tcPr>
          <w:p w14:paraId="7FFE745A" w14:textId="77777777" w:rsidR="005375B7" w:rsidRPr="005375B7" w:rsidRDefault="005375B7" w:rsidP="005375B7">
            <w:pPr>
              <w:spacing w:after="240"/>
              <w:ind w:left="567" w:hanging="567"/>
              <w:rPr>
                <w:bCs/>
                <w:szCs w:val="22"/>
              </w:rPr>
            </w:pPr>
            <w:r w:rsidRPr="005375B7">
              <w:rPr>
                <w:bCs/>
              </w:rPr>
              <w:t>163 367 860</w:t>
            </w:r>
          </w:p>
        </w:tc>
        <w:tc>
          <w:tcPr>
            <w:tcW w:w="1555" w:type="dxa"/>
            <w:tcBorders>
              <w:top w:val="single" w:sz="4" w:space="0" w:color="auto"/>
              <w:left w:val="single" w:sz="4" w:space="0" w:color="auto"/>
              <w:bottom w:val="single" w:sz="4" w:space="0" w:color="auto"/>
              <w:right w:val="single" w:sz="4" w:space="0" w:color="auto"/>
            </w:tcBorders>
            <w:noWrap/>
            <w:hideMark/>
          </w:tcPr>
          <w:p w14:paraId="5FC2A1A5" w14:textId="77777777" w:rsidR="005375B7" w:rsidRPr="005375B7" w:rsidRDefault="005375B7" w:rsidP="005375B7">
            <w:pPr>
              <w:spacing w:after="240"/>
              <w:ind w:left="567" w:hanging="567"/>
              <w:rPr>
                <w:szCs w:val="22"/>
              </w:rPr>
            </w:pPr>
            <w:r w:rsidRPr="005375B7">
              <w:t>3,85</w:t>
            </w:r>
          </w:p>
        </w:tc>
      </w:tr>
      <w:tr w:rsidR="005375B7" w:rsidRPr="005375B7" w14:paraId="1F43632A"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ECBB23E" w14:textId="77777777" w:rsidR="005375B7" w:rsidRPr="005375B7" w:rsidRDefault="005375B7" w:rsidP="005375B7">
            <w:pPr>
              <w:spacing w:after="240"/>
              <w:ind w:left="567" w:hanging="567"/>
              <w:rPr>
                <w:bCs/>
                <w:szCs w:val="22"/>
              </w:rPr>
            </w:pPr>
            <w:r w:rsidRPr="005375B7">
              <w:t>EBA</w:t>
            </w:r>
          </w:p>
        </w:tc>
        <w:tc>
          <w:tcPr>
            <w:tcW w:w="2038" w:type="dxa"/>
            <w:tcBorders>
              <w:top w:val="single" w:sz="4" w:space="0" w:color="auto"/>
              <w:left w:val="single" w:sz="4" w:space="0" w:color="auto"/>
              <w:bottom w:val="single" w:sz="4" w:space="0" w:color="auto"/>
              <w:right w:val="single" w:sz="4" w:space="0" w:color="auto"/>
            </w:tcBorders>
            <w:noWrap/>
            <w:hideMark/>
          </w:tcPr>
          <w:p w14:paraId="37819C03" w14:textId="77777777" w:rsidR="005375B7" w:rsidRPr="005375B7" w:rsidRDefault="005375B7" w:rsidP="005375B7">
            <w:pPr>
              <w:spacing w:after="240"/>
              <w:ind w:left="567" w:hanging="567"/>
              <w:rPr>
                <w:bCs/>
                <w:szCs w:val="22"/>
              </w:rPr>
            </w:pPr>
            <w:r w:rsidRPr="005375B7">
              <w:rPr>
                <w:bCs/>
              </w:rPr>
              <w:t>52 672 002</w:t>
            </w:r>
          </w:p>
        </w:tc>
        <w:tc>
          <w:tcPr>
            <w:tcW w:w="2360" w:type="dxa"/>
            <w:tcBorders>
              <w:top w:val="single" w:sz="4" w:space="0" w:color="auto"/>
              <w:left w:val="single" w:sz="4" w:space="0" w:color="auto"/>
              <w:bottom w:val="single" w:sz="4" w:space="0" w:color="auto"/>
              <w:right w:val="single" w:sz="4" w:space="0" w:color="auto"/>
            </w:tcBorders>
            <w:noWrap/>
            <w:hideMark/>
          </w:tcPr>
          <w:p w14:paraId="024AEE5E" w14:textId="77777777" w:rsidR="005375B7" w:rsidRPr="005375B7" w:rsidRDefault="005375B7" w:rsidP="005375B7">
            <w:pPr>
              <w:spacing w:after="240"/>
              <w:ind w:left="567" w:hanging="567"/>
              <w:rPr>
                <w:bCs/>
                <w:szCs w:val="22"/>
              </w:rPr>
            </w:pPr>
            <w:r w:rsidRPr="005375B7">
              <w:rPr>
                <w:bCs/>
              </w:rPr>
              <w:t>50 315 014</w:t>
            </w:r>
          </w:p>
        </w:tc>
        <w:tc>
          <w:tcPr>
            <w:tcW w:w="1555" w:type="dxa"/>
            <w:tcBorders>
              <w:top w:val="single" w:sz="4" w:space="0" w:color="auto"/>
              <w:left w:val="single" w:sz="4" w:space="0" w:color="auto"/>
              <w:bottom w:val="single" w:sz="4" w:space="0" w:color="auto"/>
              <w:right w:val="single" w:sz="4" w:space="0" w:color="auto"/>
            </w:tcBorders>
            <w:noWrap/>
            <w:hideMark/>
          </w:tcPr>
          <w:p w14:paraId="0FA7465F" w14:textId="77777777" w:rsidR="005375B7" w:rsidRPr="005375B7" w:rsidRDefault="005375B7" w:rsidP="005375B7">
            <w:pPr>
              <w:spacing w:after="240"/>
              <w:ind w:left="567" w:hanging="567"/>
              <w:rPr>
                <w:szCs w:val="22"/>
              </w:rPr>
            </w:pPr>
            <w:r w:rsidRPr="005375B7">
              <w:t>4,68</w:t>
            </w:r>
          </w:p>
        </w:tc>
      </w:tr>
      <w:tr w:rsidR="005375B7" w:rsidRPr="005375B7" w14:paraId="4B715CD0"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73FF2A9" w14:textId="77777777" w:rsidR="005375B7" w:rsidRPr="005375B7" w:rsidRDefault="005375B7" w:rsidP="005375B7">
            <w:pPr>
              <w:spacing w:after="240"/>
              <w:ind w:left="567" w:hanging="567"/>
              <w:rPr>
                <w:bCs/>
                <w:szCs w:val="22"/>
              </w:rPr>
            </w:pPr>
            <w:r w:rsidRPr="005375B7">
              <w:t>ECDC</w:t>
            </w:r>
          </w:p>
        </w:tc>
        <w:tc>
          <w:tcPr>
            <w:tcW w:w="2038" w:type="dxa"/>
            <w:tcBorders>
              <w:top w:val="single" w:sz="4" w:space="0" w:color="auto"/>
              <w:left w:val="single" w:sz="4" w:space="0" w:color="auto"/>
              <w:bottom w:val="single" w:sz="4" w:space="0" w:color="auto"/>
              <w:right w:val="single" w:sz="4" w:space="0" w:color="auto"/>
            </w:tcBorders>
            <w:noWrap/>
            <w:hideMark/>
          </w:tcPr>
          <w:p w14:paraId="6B4D2445" w14:textId="77777777" w:rsidR="005375B7" w:rsidRPr="005375B7" w:rsidRDefault="005375B7" w:rsidP="005375B7">
            <w:pPr>
              <w:spacing w:after="240"/>
              <w:ind w:left="567" w:hanging="567"/>
              <w:rPr>
                <w:bCs/>
                <w:szCs w:val="22"/>
              </w:rPr>
            </w:pPr>
            <w:r w:rsidRPr="005375B7">
              <w:rPr>
                <w:bCs/>
              </w:rPr>
              <w:t>102 526 724</w:t>
            </w:r>
          </w:p>
        </w:tc>
        <w:tc>
          <w:tcPr>
            <w:tcW w:w="2360" w:type="dxa"/>
            <w:tcBorders>
              <w:top w:val="single" w:sz="4" w:space="0" w:color="auto"/>
              <w:left w:val="single" w:sz="4" w:space="0" w:color="auto"/>
              <w:bottom w:val="single" w:sz="4" w:space="0" w:color="auto"/>
              <w:right w:val="single" w:sz="4" w:space="0" w:color="auto"/>
            </w:tcBorders>
            <w:noWrap/>
            <w:hideMark/>
          </w:tcPr>
          <w:p w14:paraId="0975540B" w14:textId="77777777" w:rsidR="005375B7" w:rsidRPr="005375B7" w:rsidRDefault="005375B7" w:rsidP="005375B7">
            <w:pPr>
              <w:spacing w:after="240"/>
              <w:ind w:left="567" w:hanging="567"/>
              <w:rPr>
                <w:bCs/>
                <w:szCs w:val="22"/>
              </w:rPr>
            </w:pPr>
            <w:r w:rsidRPr="005375B7">
              <w:rPr>
                <w:bCs/>
              </w:rPr>
              <w:t>112 796 588</w:t>
            </w:r>
          </w:p>
        </w:tc>
        <w:tc>
          <w:tcPr>
            <w:tcW w:w="1555" w:type="dxa"/>
            <w:tcBorders>
              <w:top w:val="single" w:sz="4" w:space="0" w:color="auto"/>
              <w:left w:val="single" w:sz="4" w:space="0" w:color="auto"/>
              <w:bottom w:val="single" w:sz="4" w:space="0" w:color="auto"/>
              <w:right w:val="single" w:sz="4" w:space="0" w:color="auto"/>
            </w:tcBorders>
            <w:noWrap/>
            <w:hideMark/>
          </w:tcPr>
          <w:p w14:paraId="7525EFE7" w14:textId="456B33AE" w:rsidR="005375B7" w:rsidRPr="005375B7" w:rsidRDefault="005375B7" w:rsidP="005375B7">
            <w:pPr>
              <w:spacing w:after="240"/>
              <w:ind w:left="567" w:hanging="567"/>
              <w:rPr>
                <w:szCs w:val="22"/>
              </w:rPr>
            </w:pPr>
            <w:r>
              <w:t>-</w:t>
            </w:r>
            <w:r w:rsidRPr="005375B7">
              <w:t>9,10</w:t>
            </w:r>
          </w:p>
        </w:tc>
      </w:tr>
      <w:tr w:rsidR="005375B7" w:rsidRPr="005375B7" w14:paraId="22459F10"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70286FB" w14:textId="77777777" w:rsidR="005375B7" w:rsidRPr="005375B7" w:rsidRDefault="005375B7" w:rsidP="005375B7">
            <w:pPr>
              <w:spacing w:after="240"/>
              <w:ind w:left="567" w:hanging="567"/>
              <w:rPr>
                <w:bCs/>
                <w:szCs w:val="22"/>
              </w:rPr>
            </w:pPr>
            <w:r w:rsidRPr="005375B7">
              <w:t xml:space="preserve">Echa </w:t>
            </w:r>
          </w:p>
        </w:tc>
        <w:tc>
          <w:tcPr>
            <w:tcW w:w="2038" w:type="dxa"/>
            <w:tcBorders>
              <w:top w:val="single" w:sz="4" w:space="0" w:color="auto"/>
              <w:left w:val="single" w:sz="4" w:space="0" w:color="auto"/>
              <w:bottom w:val="single" w:sz="4" w:space="0" w:color="auto"/>
              <w:right w:val="single" w:sz="4" w:space="0" w:color="auto"/>
            </w:tcBorders>
            <w:noWrap/>
            <w:hideMark/>
          </w:tcPr>
          <w:p w14:paraId="170128D9" w14:textId="77777777" w:rsidR="005375B7" w:rsidRPr="005375B7" w:rsidRDefault="005375B7" w:rsidP="005375B7">
            <w:pPr>
              <w:spacing w:after="240"/>
              <w:ind w:left="567" w:hanging="567"/>
              <w:rPr>
                <w:bCs/>
                <w:szCs w:val="22"/>
              </w:rPr>
            </w:pPr>
            <w:r w:rsidRPr="005375B7">
              <w:rPr>
                <w:bCs/>
              </w:rPr>
              <w:t>123 280 140</w:t>
            </w:r>
          </w:p>
        </w:tc>
        <w:tc>
          <w:tcPr>
            <w:tcW w:w="2360" w:type="dxa"/>
            <w:tcBorders>
              <w:top w:val="single" w:sz="4" w:space="0" w:color="auto"/>
              <w:left w:val="single" w:sz="4" w:space="0" w:color="auto"/>
              <w:bottom w:val="single" w:sz="4" w:space="0" w:color="auto"/>
              <w:right w:val="single" w:sz="4" w:space="0" w:color="auto"/>
            </w:tcBorders>
            <w:noWrap/>
            <w:hideMark/>
          </w:tcPr>
          <w:p w14:paraId="2288C242" w14:textId="77777777" w:rsidR="005375B7" w:rsidRPr="005375B7" w:rsidRDefault="005375B7" w:rsidP="005375B7">
            <w:pPr>
              <w:spacing w:after="240"/>
              <w:ind w:left="567" w:hanging="567"/>
              <w:rPr>
                <w:bCs/>
                <w:szCs w:val="22"/>
              </w:rPr>
            </w:pPr>
            <w:r w:rsidRPr="005375B7">
              <w:rPr>
                <w:bCs/>
              </w:rPr>
              <w:t>116 981 740</w:t>
            </w:r>
          </w:p>
        </w:tc>
        <w:tc>
          <w:tcPr>
            <w:tcW w:w="1555" w:type="dxa"/>
            <w:tcBorders>
              <w:top w:val="single" w:sz="4" w:space="0" w:color="auto"/>
              <w:left w:val="single" w:sz="4" w:space="0" w:color="auto"/>
              <w:bottom w:val="single" w:sz="4" w:space="0" w:color="auto"/>
              <w:right w:val="single" w:sz="4" w:space="0" w:color="auto"/>
            </w:tcBorders>
            <w:noWrap/>
            <w:hideMark/>
          </w:tcPr>
          <w:p w14:paraId="73912501" w14:textId="77777777" w:rsidR="005375B7" w:rsidRPr="005375B7" w:rsidRDefault="005375B7" w:rsidP="005375B7">
            <w:pPr>
              <w:spacing w:after="240"/>
              <w:ind w:left="567" w:hanging="567"/>
              <w:rPr>
                <w:szCs w:val="22"/>
              </w:rPr>
            </w:pPr>
            <w:r w:rsidRPr="005375B7">
              <w:t>5,38</w:t>
            </w:r>
          </w:p>
        </w:tc>
      </w:tr>
      <w:tr w:rsidR="005375B7" w:rsidRPr="005375B7" w14:paraId="5738BC41"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3F3DA7D" w14:textId="77777777" w:rsidR="005375B7" w:rsidRPr="005375B7" w:rsidRDefault="005375B7" w:rsidP="005375B7">
            <w:pPr>
              <w:spacing w:after="240"/>
              <w:ind w:left="567" w:hanging="567"/>
              <w:rPr>
                <w:bCs/>
                <w:szCs w:val="22"/>
              </w:rPr>
            </w:pPr>
            <w:r w:rsidRPr="005375B7">
              <w:t>EEA</w:t>
            </w:r>
          </w:p>
        </w:tc>
        <w:tc>
          <w:tcPr>
            <w:tcW w:w="2038" w:type="dxa"/>
            <w:tcBorders>
              <w:top w:val="single" w:sz="4" w:space="0" w:color="auto"/>
              <w:left w:val="single" w:sz="4" w:space="0" w:color="auto"/>
              <w:bottom w:val="single" w:sz="4" w:space="0" w:color="auto"/>
              <w:right w:val="single" w:sz="4" w:space="0" w:color="auto"/>
            </w:tcBorders>
            <w:noWrap/>
            <w:hideMark/>
          </w:tcPr>
          <w:p w14:paraId="1D11D7A9" w14:textId="77777777" w:rsidR="005375B7" w:rsidRPr="005375B7" w:rsidRDefault="005375B7" w:rsidP="005375B7">
            <w:pPr>
              <w:spacing w:after="240"/>
              <w:ind w:left="567" w:hanging="567"/>
              <w:rPr>
                <w:bCs/>
                <w:szCs w:val="22"/>
              </w:rPr>
            </w:pPr>
            <w:r w:rsidRPr="005375B7">
              <w:rPr>
                <w:bCs/>
              </w:rPr>
              <w:t>76 114 130</w:t>
            </w:r>
          </w:p>
        </w:tc>
        <w:tc>
          <w:tcPr>
            <w:tcW w:w="2360" w:type="dxa"/>
            <w:tcBorders>
              <w:top w:val="single" w:sz="4" w:space="0" w:color="auto"/>
              <w:left w:val="single" w:sz="4" w:space="0" w:color="auto"/>
              <w:bottom w:val="single" w:sz="4" w:space="0" w:color="auto"/>
              <w:right w:val="single" w:sz="4" w:space="0" w:color="auto"/>
            </w:tcBorders>
            <w:noWrap/>
            <w:hideMark/>
          </w:tcPr>
          <w:p w14:paraId="508B3799" w14:textId="77777777" w:rsidR="005375B7" w:rsidRPr="005375B7" w:rsidRDefault="005375B7" w:rsidP="005375B7">
            <w:pPr>
              <w:spacing w:after="240"/>
              <w:ind w:left="567" w:hanging="567"/>
              <w:rPr>
                <w:bCs/>
                <w:szCs w:val="22"/>
              </w:rPr>
            </w:pPr>
            <w:r w:rsidRPr="005375B7">
              <w:rPr>
                <w:bCs/>
              </w:rPr>
              <w:t>92 863 021</w:t>
            </w:r>
          </w:p>
        </w:tc>
        <w:tc>
          <w:tcPr>
            <w:tcW w:w="1555" w:type="dxa"/>
            <w:tcBorders>
              <w:top w:val="single" w:sz="4" w:space="0" w:color="auto"/>
              <w:left w:val="single" w:sz="4" w:space="0" w:color="auto"/>
              <w:bottom w:val="single" w:sz="4" w:space="0" w:color="auto"/>
              <w:right w:val="single" w:sz="4" w:space="0" w:color="auto"/>
            </w:tcBorders>
            <w:noWrap/>
            <w:hideMark/>
          </w:tcPr>
          <w:p w14:paraId="07E0D42F" w14:textId="74664F0B" w:rsidR="005375B7" w:rsidRPr="005375B7" w:rsidRDefault="005375B7" w:rsidP="005375B7">
            <w:pPr>
              <w:spacing w:after="240"/>
              <w:ind w:left="567" w:hanging="567"/>
              <w:rPr>
                <w:szCs w:val="22"/>
              </w:rPr>
            </w:pPr>
            <w:r>
              <w:t>-</w:t>
            </w:r>
            <w:r w:rsidRPr="005375B7">
              <w:t>18,04</w:t>
            </w:r>
          </w:p>
        </w:tc>
      </w:tr>
      <w:tr w:rsidR="005375B7" w:rsidRPr="005375B7" w14:paraId="130FA967"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69AF7C2" w14:textId="77777777" w:rsidR="005375B7" w:rsidRPr="005375B7" w:rsidRDefault="005375B7" w:rsidP="005375B7">
            <w:pPr>
              <w:spacing w:after="240"/>
              <w:ind w:left="567" w:hanging="567"/>
              <w:rPr>
                <w:bCs/>
                <w:szCs w:val="22"/>
              </w:rPr>
            </w:pPr>
            <w:r w:rsidRPr="005375B7">
              <w:t>Echa</w:t>
            </w:r>
          </w:p>
        </w:tc>
        <w:tc>
          <w:tcPr>
            <w:tcW w:w="2038" w:type="dxa"/>
            <w:tcBorders>
              <w:top w:val="single" w:sz="4" w:space="0" w:color="auto"/>
              <w:left w:val="single" w:sz="4" w:space="0" w:color="auto"/>
              <w:bottom w:val="single" w:sz="4" w:space="0" w:color="auto"/>
              <w:right w:val="single" w:sz="4" w:space="0" w:color="auto"/>
            </w:tcBorders>
            <w:noWrap/>
            <w:hideMark/>
          </w:tcPr>
          <w:p w14:paraId="721FA7C3" w14:textId="77777777" w:rsidR="005375B7" w:rsidRPr="005375B7" w:rsidRDefault="005375B7" w:rsidP="005375B7">
            <w:pPr>
              <w:spacing w:after="240"/>
              <w:ind w:left="567" w:hanging="567"/>
              <w:rPr>
                <w:bCs/>
                <w:szCs w:val="22"/>
              </w:rPr>
            </w:pPr>
            <w:r w:rsidRPr="005375B7">
              <w:rPr>
                <w:bCs/>
              </w:rPr>
              <w:t>30 862 554</w:t>
            </w:r>
          </w:p>
        </w:tc>
        <w:tc>
          <w:tcPr>
            <w:tcW w:w="2360" w:type="dxa"/>
            <w:tcBorders>
              <w:top w:val="single" w:sz="4" w:space="0" w:color="auto"/>
              <w:left w:val="single" w:sz="4" w:space="0" w:color="auto"/>
              <w:bottom w:val="single" w:sz="4" w:space="0" w:color="auto"/>
              <w:right w:val="single" w:sz="4" w:space="0" w:color="auto"/>
            </w:tcBorders>
            <w:noWrap/>
            <w:hideMark/>
          </w:tcPr>
          <w:p w14:paraId="4373DF52" w14:textId="77777777" w:rsidR="005375B7" w:rsidRPr="005375B7" w:rsidRDefault="005375B7" w:rsidP="005375B7">
            <w:pPr>
              <w:spacing w:after="240"/>
              <w:ind w:left="567" w:hanging="567"/>
              <w:rPr>
                <w:bCs/>
                <w:szCs w:val="22"/>
              </w:rPr>
            </w:pPr>
            <w:r w:rsidRPr="005375B7">
              <w:rPr>
                <w:bCs/>
              </w:rPr>
              <w:t>35 734 297</w:t>
            </w:r>
          </w:p>
        </w:tc>
        <w:tc>
          <w:tcPr>
            <w:tcW w:w="1555" w:type="dxa"/>
            <w:tcBorders>
              <w:top w:val="single" w:sz="4" w:space="0" w:color="auto"/>
              <w:left w:val="single" w:sz="4" w:space="0" w:color="auto"/>
              <w:bottom w:val="single" w:sz="4" w:space="0" w:color="auto"/>
              <w:right w:val="single" w:sz="4" w:space="0" w:color="auto"/>
            </w:tcBorders>
            <w:noWrap/>
            <w:hideMark/>
          </w:tcPr>
          <w:p w14:paraId="4F4B33D1" w14:textId="79500FAB" w:rsidR="005375B7" w:rsidRPr="005375B7" w:rsidRDefault="005375B7" w:rsidP="005375B7">
            <w:pPr>
              <w:spacing w:after="240"/>
              <w:ind w:left="567" w:hanging="567"/>
              <w:rPr>
                <w:szCs w:val="22"/>
              </w:rPr>
            </w:pPr>
            <w:r>
              <w:t>-</w:t>
            </w:r>
            <w:r w:rsidRPr="005375B7">
              <w:t>13,63</w:t>
            </w:r>
          </w:p>
        </w:tc>
      </w:tr>
      <w:tr w:rsidR="005375B7" w:rsidRPr="005375B7" w14:paraId="7575B926"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AE28B0A" w14:textId="77777777" w:rsidR="005375B7" w:rsidRPr="005375B7" w:rsidRDefault="005375B7" w:rsidP="005375B7">
            <w:pPr>
              <w:spacing w:after="240"/>
              <w:ind w:left="567" w:hanging="567"/>
              <w:rPr>
                <w:bCs/>
                <w:szCs w:val="22"/>
              </w:rPr>
            </w:pPr>
            <w:r w:rsidRPr="005375B7">
              <w:t>Efsa</w:t>
            </w:r>
          </w:p>
        </w:tc>
        <w:tc>
          <w:tcPr>
            <w:tcW w:w="2038" w:type="dxa"/>
            <w:tcBorders>
              <w:top w:val="single" w:sz="4" w:space="0" w:color="auto"/>
              <w:left w:val="single" w:sz="4" w:space="0" w:color="auto"/>
              <w:bottom w:val="single" w:sz="4" w:space="0" w:color="auto"/>
              <w:right w:val="single" w:sz="4" w:space="0" w:color="auto"/>
            </w:tcBorders>
            <w:noWrap/>
            <w:hideMark/>
          </w:tcPr>
          <w:p w14:paraId="3FFCE86F" w14:textId="77777777" w:rsidR="005375B7" w:rsidRPr="005375B7" w:rsidRDefault="005375B7" w:rsidP="005375B7">
            <w:pPr>
              <w:spacing w:after="240"/>
              <w:ind w:left="567" w:hanging="567"/>
              <w:rPr>
                <w:bCs/>
                <w:szCs w:val="22"/>
              </w:rPr>
            </w:pPr>
            <w:r w:rsidRPr="005375B7">
              <w:rPr>
                <w:bCs/>
              </w:rPr>
              <w:t>148 954 729</w:t>
            </w:r>
          </w:p>
        </w:tc>
        <w:tc>
          <w:tcPr>
            <w:tcW w:w="2360" w:type="dxa"/>
            <w:tcBorders>
              <w:top w:val="single" w:sz="4" w:space="0" w:color="auto"/>
              <w:left w:val="single" w:sz="4" w:space="0" w:color="auto"/>
              <w:bottom w:val="single" w:sz="4" w:space="0" w:color="auto"/>
              <w:right w:val="single" w:sz="4" w:space="0" w:color="auto"/>
            </w:tcBorders>
            <w:noWrap/>
            <w:hideMark/>
          </w:tcPr>
          <w:p w14:paraId="646DB015" w14:textId="77777777" w:rsidR="005375B7" w:rsidRPr="005375B7" w:rsidRDefault="005375B7" w:rsidP="005375B7">
            <w:pPr>
              <w:spacing w:after="240"/>
              <w:ind w:left="567" w:hanging="567"/>
              <w:rPr>
                <w:bCs/>
                <w:szCs w:val="22"/>
              </w:rPr>
            </w:pPr>
            <w:r w:rsidRPr="005375B7">
              <w:rPr>
                <w:bCs/>
              </w:rPr>
              <w:t>134 773 287</w:t>
            </w:r>
          </w:p>
        </w:tc>
        <w:tc>
          <w:tcPr>
            <w:tcW w:w="1555" w:type="dxa"/>
            <w:tcBorders>
              <w:top w:val="single" w:sz="4" w:space="0" w:color="auto"/>
              <w:left w:val="single" w:sz="4" w:space="0" w:color="auto"/>
              <w:bottom w:val="single" w:sz="4" w:space="0" w:color="auto"/>
              <w:right w:val="single" w:sz="4" w:space="0" w:color="auto"/>
            </w:tcBorders>
            <w:noWrap/>
            <w:hideMark/>
          </w:tcPr>
          <w:p w14:paraId="5F08F396" w14:textId="77777777" w:rsidR="005375B7" w:rsidRPr="005375B7" w:rsidRDefault="005375B7" w:rsidP="005375B7">
            <w:pPr>
              <w:spacing w:after="240"/>
              <w:ind w:left="567" w:hanging="567"/>
              <w:rPr>
                <w:szCs w:val="22"/>
              </w:rPr>
            </w:pPr>
            <w:r w:rsidRPr="005375B7">
              <w:t>10,52</w:t>
            </w:r>
          </w:p>
        </w:tc>
      </w:tr>
      <w:tr w:rsidR="005375B7" w:rsidRPr="005375B7" w14:paraId="31113376"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04CEA14" w14:textId="77777777" w:rsidR="005375B7" w:rsidRPr="005375B7" w:rsidRDefault="005375B7" w:rsidP="005375B7">
            <w:pPr>
              <w:spacing w:after="240"/>
              <w:ind w:left="567" w:hanging="567"/>
              <w:rPr>
                <w:bCs/>
                <w:szCs w:val="22"/>
              </w:rPr>
            </w:pPr>
            <w:r w:rsidRPr="005375B7">
              <w:t>EIGE</w:t>
            </w:r>
          </w:p>
        </w:tc>
        <w:tc>
          <w:tcPr>
            <w:tcW w:w="2038" w:type="dxa"/>
            <w:tcBorders>
              <w:top w:val="single" w:sz="4" w:space="0" w:color="auto"/>
              <w:left w:val="single" w:sz="4" w:space="0" w:color="auto"/>
              <w:bottom w:val="single" w:sz="4" w:space="0" w:color="auto"/>
              <w:right w:val="single" w:sz="4" w:space="0" w:color="auto"/>
            </w:tcBorders>
            <w:noWrap/>
            <w:hideMark/>
          </w:tcPr>
          <w:p w14:paraId="61BCE418" w14:textId="77777777" w:rsidR="005375B7" w:rsidRPr="005375B7" w:rsidRDefault="005375B7" w:rsidP="005375B7">
            <w:pPr>
              <w:spacing w:after="240"/>
              <w:ind w:left="567" w:hanging="567"/>
              <w:rPr>
                <w:bCs/>
                <w:szCs w:val="22"/>
              </w:rPr>
            </w:pPr>
            <w:r w:rsidRPr="005375B7">
              <w:rPr>
                <w:bCs/>
              </w:rPr>
              <w:t>9 358 919</w:t>
            </w:r>
          </w:p>
        </w:tc>
        <w:tc>
          <w:tcPr>
            <w:tcW w:w="2360" w:type="dxa"/>
            <w:tcBorders>
              <w:top w:val="single" w:sz="4" w:space="0" w:color="auto"/>
              <w:left w:val="single" w:sz="4" w:space="0" w:color="auto"/>
              <w:bottom w:val="single" w:sz="4" w:space="0" w:color="auto"/>
              <w:right w:val="single" w:sz="4" w:space="0" w:color="auto"/>
            </w:tcBorders>
            <w:noWrap/>
            <w:hideMark/>
          </w:tcPr>
          <w:p w14:paraId="26875CF7" w14:textId="77777777" w:rsidR="005375B7" w:rsidRPr="005375B7" w:rsidRDefault="005375B7" w:rsidP="005375B7">
            <w:pPr>
              <w:spacing w:after="240"/>
              <w:ind w:left="567" w:hanging="567"/>
              <w:rPr>
                <w:bCs/>
                <w:szCs w:val="22"/>
              </w:rPr>
            </w:pPr>
            <w:r w:rsidRPr="005375B7">
              <w:rPr>
                <w:bCs/>
              </w:rPr>
              <w:t>8 432 920</w:t>
            </w:r>
          </w:p>
        </w:tc>
        <w:tc>
          <w:tcPr>
            <w:tcW w:w="1555" w:type="dxa"/>
            <w:tcBorders>
              <w:top w:val="single" w:sz="4" w:space="0" w:color="auto"/>
              <w:left w:val="single" w:sz="4" w:space="0" w:color="auto"/>
              <w:bottom w:val="single" w:sz="4" w:space="0" w:color="auto"/>
              <w:right w:val="single" w:sz="4" w:space="0" w:color="auto"/>
            </w:tcBorders>
            <w:noWrap/>
            <w:hideMark/>
          </w:tcPr>
          <w:p w14:paraId="320626F4" w14:textId="77777777" w:rsidR="005375B7" w:rsidRPr="005375B7" w:rsidRDefault="005375B7" w:rsidP="005375B7">
            <w:pPr>
              <w:spacing w:after="240"/>
              <w:ind w:left="567" w:hanging="567"/>
              <w:rPr>
                <w:szCs w:val="22"/>
              </w:rPr>
            </w:pPr>
            <w:r w:rsidRPr="005375B7">
              <w:t>10,98</w:t>
            </w:r>
          </w:p>
        </w:tc>
      </w:tr>
      <w:tr w:rsidR="005375B7" w:rsidRPr="005375B7" w14:paraId="782AE3EC"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BF00104" w14:textId="77777777" w:rsidR="005375B7" w:rsidRPr="005375B7" w:rsidRDefault="005375B7" w:rsidP="005375B7">
            <w:pPr>
              <w:spacing w:after="240"/>
              <w:ind w:left="567" w:hanging="567"/>
              <w:rPr>
                <w:bCs/>
                <w:szCs w:val="22"/>
              </w:rPr>
            </w:pPr>
            <w:r w:rsidRPr="005375B7">
              <w:t xml:space="preserve">Eiopa </w:t>
            </w:r>
          </w:p>
        </w:tc>
        <w:tc>
          <w:tcPr>
            <w:tcW w:w="2038" w:type="dxa"/>
            <w:tcBorders>
              <w:top w:val="single" w:sz="4" w:space="0" w:color="auto"/>
              <w:left w:val="single" w:sz="4" w:space="0" w:color="auto"/>
              <w:bottom w:val="single" w:sz="4" w:space="0" w:color="auto"/>
              <w:right w:val="single" w:sz="4" w:space="0" w:color="auto"/>
            </w:tcBorders>
            <w:noWrap/>
            <w:hideMark/>
          </w:tcPr>
          <w:p w14:paraId="4163FDC6" w14:textId="77777777" w:rsidR="005375B7" w:rsidRPr="005375B7" w:rsidRDefault="005375B7" w:rsidP="005375B7">
            <w:pPr>
              <w:spacing w:after="240"/>
              <w:ind w:left="567" w:hanging="567"/>
              <w:rPr>
                <w:bCs/>
                <w:szCs w:val="22"/>
              </w:rPr>
            </w:pPr>
            <w:r w:rsidRPr="005375B7">
              <w:rPr>
                <w:bCs/>
              </w:rPr>
              <w:t>36 714 492</w:t>
            </w:r>
          </w:p>
        </w:tc>
        <w:tc>
          <w:tcPr>
            <w:tcW w:w="2360" w:type="dxa"/>
            <w:tcBorders>
              <w:top w:val="single" w:sz="4" w:space="0" w:color="auto"/>
              <w:left w:val="single" w:sz="4" w:space="0" w:color="auto"/>
              <w:bottom w:val="single" w:sz="4" w:space="0" w:color="auto"/>
              <w:right w:val="single" w:sz="4" w:space="0" w:color="auto"/>
            </w:tcBorders>
            <w:noWrap/>
            <w:hideMark/>
          </w:tcPr>
          <w:p w14:paraId="340B7091" w14:textId="77777777" w:rsidR="005375B7" w:rsidRPr="005375B7" w:rsidRDefault="005375B7" w:rsidP="005375B7">
            <w:pPr>
              <w:spacing w:after="240"/>
              <w:ind w:left="567" w:hanging="567"/>
              <w:rPr>
                <w:bCs/>
                <w:szCs w:val="22"/>
              </w:rPr>
            </w:pPr>
            <w:r w:rsidRPr="005375B7">
              <w:rPr>
                <w:bCs/>
              </w:rPr>
              <w:t>34 571 120</w:t>
            </w:r>
          </w:p>
        </w:tc>
        <w:tc>
          <w:tcPr>
            <w:tcW w:w="1555" w:type="dxa"/>
            <w:tcBorders>
              <w:top w:val="single" w:sz="4" w:space="0" w:color="auto"/>
              <w:left w:val="single" w:sz="4" w:space="0" w:color="auto"/>
              <w:bottom w:val="single" w:sz="4" w:space="0" w:color="auto"/>
              <w:right w:val="single" w:sz="4" w:space="0" w:color="auto"/>
            </w:tcBorders>
            <w:noWrap/>
            <w:hideMark/>
          </w:tcPr>
          <w:p w14:paraId="35EA4A23" w14:textId="77777777" w:rsidR="005375B7" w:rsidRPr="005375B7" w:rsidRDefault="005375B7" w:rsidP="005375B7">
            <w:pPr>
              <w:spacing w:after="240"/>
              <w:ind w:left="567" w:hanging="567"/>
              <w:rPr>
                <w:szCs w:val="22"/>
              </w:rPr>
            </w:pPr>
            <w:r w:rsidRPr="005375B7">
              <w:t>6,20</w:t>
            </w:r>
          </w:p>
        </w:tc>
      </w:tr>
      <w:tr w:rsidR="005375B7" w:rsidRPr="005375B7" w14:paraId="1F0744B9"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076D251" w14:textId="77777777" w:rsidR="005375B7" w:rsidRPr="005375B7" w:rsidRDefault="005375B7" w:rsidP="005375B7">
            <w:pPr>
              <w:spacing w:after="240"/>
              <w:ind w:left="567" w:hanging="567"/>
              <w:rPr>
                <w:bCs/>
                <w:szCs w:val="22"/>
              </w:rPr>
            </w:pPr>
            <w:r w:rsidRPr="005375B7">
              <w:lastRenderedPageBreak/>
              <w:t>EIT</w:t>
            </w:r>
          </w:p>
        </w:tc>
        <w:tc>
          <w:tcPr>
            <w:tcW w:w="2038" w:type="dxa"/>
            <w:tcBorders>
              <w:top w:val="single" w:sz="4" w:space="0" w:color="auto"/>
              <w:left w:val="single" w:sz="4" w:space="0" w:color="auto"/>
              <w:bottom w:val="single" w:sz="4" w:space="0" w:color="auto"/>
              <w:right w:val="single" w:sz="4" w:space="0" w:color="auto"/>
            </w:tcBorders>
            <w:noWrap/>
            <w:hideMark/>
          </w:tcPr>
          <w:p w14:paraId="096F3164" w14:textId="77777777" w:rsidR="005375B7" w:rsidRPr="005375B7" w:rsidRDefault="005375B7" w:rsidP="005375B7">
            <w:pPr>
              <w:spacing w:after="240"/>
              <w:ind w:left="567" w:hanging="567"/>
              <w:rPr>
                <w:bCs/>
                <w:szCs w:val="22"/>
              </w:rPr>
            </w:pPr>
            <w:r w:rsidRPr="005375B7">
              <w:rPr>
                <w:bCs/>
              </w:rPr>
              <w:t>367 607 241</w:t>
            </w:r>
          </w:p>
        </w:tc>
        <w:tc>
          <w:tcPr>
            <w:tcW w:w="2360" w:type="dxa"/>
            <w:tcBorders>
              <w:top w:val="single" w:sz="4" w:space="0" w:color="auto"/>
              <w:left w:val="single" w:sz="4" w:space="0" w:color="auto"/>
              <w:bottom w:val="single" w:sz="4" w:space="0" w:color="auto"/>
              <w:right w:val="single" w:sz="4" w:space="0" w:color="auto"/>
            </w:tcBorders>
            <w:noWrap/>
            <w:hideMark/>
          </w:tcPr>
          <w:p w14:paraId="09C67324" w14:textId="77777777" w:rsidR="005375B7" w:rsidRPr="005375B7" w:rsidRDefault="005375B7" w:rsidP="005375B7">
            <w:pPr>
              <w:spacing w:after="240"/>
              <w:ind w:left="567" w:hanging="567"/>
              <w:rPr>
                <w:bCs/>
                <w:szCs w:val="22"/>
              </w:rPr>
            </w:pPr>
            <w:r w:rsidRPr="005375B7">
              <w:rPr>
                <w:bCs/>
              </w:rPr>
              <w:t>448 920 650</w:t>
            </w:r>
          </w:p>
        </w:tc>
        <w:tc>
          <w:tcPr>
            <w:tcW w:w="1555" w:type="dxa"/>
            <w:tcBorders>
              <w:top w:val="single" w:sz="4" w:space="0" w:color="auto"/>
              <w:left w:val="single" w:sz="4" w:space="0" w:color="auto"/>
              <w:bottom w:val="single" w:sz="4" w:space="0" w:color="auto"/>
              <w:right w:val="single" w:sz="4" w:space="0" w:color="auto"/>
            </w:tcBorders>
            <w:noWrap/>
            <w:hideMark/>
          </w:tcPr>
          <w:p w14:paraId="1D3BED31" w14:textId="3ECA9498" w:rsidR="005375B7" w:rsidRPr="005375B7" w:rsidRDefault="005375B7" w:rsidP="005375B7">
            <w:pPr>
              <w:spacing w:after="240"/>
              <w:ind w:left="567" w:hanging="567"/>
              <w:rPr>
                <w:szCs w:val="22"/>
              </w:rPr>
            </w:pPr>
            <w:r>
              <w:t>-</w:t>
            </w:r>
            <w:r w:rsidRPr="005375B7">
              <w:t>18,11</w:t>
            </w:r>
          </w:p>
        </w:tc>
      </w:tr>
      <w:tr w:rsidR="005375B7" w:rsidRPr="005375B7" w14:paraId="56658CE0"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4E43177" w14:textId="77777777" w:rsidR="005375B7" w:rsidRPr="005375B7" w:rsidRDefault="005375B7" w:rsidP="005375B7">
            <w:pPr>
              <w:spacing w:after="240"/>
              <w:rPr>
                <w:bCs/>
                <w:szCs w:val="22"/>
              </w:rPr>
            </w:pPr>
            <w:r w:rsidRPr="005375B7">
              <w:t>Europeiska arbetsmyndigheten</w:t>
            </w:r>
          </w:p>
        </w:tc>
        <w:tc>
          <w:tcPr>
            <w:tcW w:w="2038" w:type="dxa"/>
            <w:tcBorders>
              <w:top w:val="single" w:sz="4" w:space="0" w:color="auto"/>
              <w:left w:val="single" w:sz="4" w:space="0" w:color="auto"/>
              <w:bottom w:val="single" w:sz="4" w:space="0" w:color="auto"/>
              <w:right w:val="single" w:sz="4" w:space="0" w:color="auto"/>
            </w:tcBorders>
            <w:noWrap/>
            <w:hideMark/>
          </w:tcPr>
          <w:p w14:paraId="714A8E46" w14:textId="77777777" w:rsidR="005375B7" w:rsidRPr="005375B7" w:rsidRDefault="005375B7" w:rsidP="005375B7">
            <w:pPr>
              <w:spacing w:after="240"/>
              <w:ind w:left="567" w:hanging="567"/>
              <w:rPr>
                <w:bCs/>
                <w:szCs w:val="22"/>
              </w:rPr>
            </w:pPr>
            <w:r w:rsidRPr="005375B7">
              <w:rPr>
                <w:bCs/>
              </w:rPr>
              <w:t>39 973 330</w:t>
            </w:r>
          </w:p>
        </w:tc>
        <w:tc>
          <w:tcPr>
            <w:tcW w:w="2360" w:type="dxa"/>
            <w:tcBorders>
              <w:top w:val="single" w:sz="4" w:space="0" w:color="auto"/>
              <w:left w:val="single" w:sz="4" w:space="0" w:color="auto"/>
              <w:bottom w:val="single" w:sz="4" w:space="0" w:color="auto"/>
              <w:right w:val="single" w:sz="4" w:space="0" w:color="auto"/>
            </w:tcBorders>
            <w:noWrap/>
            <w:hideMark/>
          </w:tcPr>
          <w:p w14:paraId="544110EF" w14:textId="77777777" w:rsidR="005375B7" w:rsidRPr="005375B7" w:rsidRDefault="005375B7" w:rsidP="005375B7">
            <w:pPr>
              <w:spacing w:after="240"/>
              <w:ind w:left="567" w:hanging="567"/>
              <w:rPr>
                <w:bCs/>
                <w:szCs w:val="22"/>
              </w:rPr>
            </w:pPr>
            <w:r w:rsidRPr="005375B7">
              <w:rPr>
                <w:bCs/>
              </w:rPr>
              <w:t>34 689 842</w:t>
            </w:r>
          </w:p>
        </w:tc>
        <w:tc>
          <w:tcPr>
            <w:tcW w:w="1555" w:type="dxa"/>
            <w:tcBorders>
              <w:top w:val="single" w:sz="4" w:space="0" w:color="auto"/>
              <w:left w:val="single" w:sz="4" w:space="0" w:color="auto"/>
              <w:bottom w:val="single" w:sz="4" w:space="0" w:color="auto"/>
              <w:right w:val="single" w:sz="4" w:space="0" w:color="auto"/>
            </w:tcBorders>
            <w:noWrap/>
            <w:hideMark/>
          </w:tcPr>
          <w:p w14:paraId="5F338441" w14:textId="77777777" w:rsidR="005375B7" w:rsidRPr="005375B7" w:rsidRDefault="005375B7" w:rsidP="005375B7">
            <w:pPr>
              <w:spacing w:after="240"/>
              <w:ind w:left="567" w:hanging="567"/>
              <w:rPr>
                <w:szCs w:val="22"/>
              </w:rPr>
            </w:pPr>
            <w:r w:rsidRPr="005375B7">
              <w:t>15,23</w:t>
            </w:r>
          </w:p>
        </w:tc>
      </w:tr>
      <w:tr w:rsidR="005375B7" w:rsidRPr="005375B7" w14:paraId="083636C5"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0DA505C" w14:textId="77777777" w:rsidR="005375B7" w:rsidRPr="005375B7" w:rsidRDefault="005375B7" w:rsidP="005375B7">
            <w:pPr>
              <w:spacing w:after="240"/>
              <w:ind w:left="567" w:hanging="567"/>
              <w:rPr>
                <w:bCs/>
                <w:szCs w:val="22"/>
              </w:rPr>
            </w:pPr>
            <w:r w:rsidRPr="005375B7">
              <w:t xml:space="preserve">EMA </w:t>
            </w:r>
          </w:p>
        </w:tc>
        <w:tc>
          <w:tcPr>
            <w:tcW w:w="2038" w:type="dxa"/>
            <w:tcBorders>
              <w:top w:val="single" w:sz="4" w:space="0" w:color="auto"/>
              <w:left w:val="single" w:sz="4" w:space="0" w:color="auto"/>
              <w:bottom w:val="single" w:sz="4" w:space="0" w:color="auto"/>
              <w:right w:val="single" w:sz="4" w:space="0" w:color="auto"/>
            </w:tcBorders>
            <w:noWrap/>
            <w:hideMark/>
          </w:tcPr>
          <w:p w14:paraId="22498AE0" w14:textId="77777777" w:rsidR="005375B7" w:rsidRPr="005375B7" w:rsidRDefault="005375B7" w:rsidP="005375B7">
            <w:pPr>
              <w:spacing w:after="240"/>
              <w:ind w:left="567" w:hanging="567"/>
              <w:rPr>
                <w:bCs/>
                <w:szCs w:val="22"/>
              </w:rPr>
            </w:pPr>
            <w:r w:rsidRPr="005375B7">
              <w:rPr>
                <w:bCs/>
              </w:rPr>
              <w:t>448 603 000</w:t>
            </w:r>
          </w:p>
        </w:tc>
        <w:tc>
          <w:tcPr>
            <w:tcW w:w="2360" w:type="dxa"/>
            <w:tcBorders>
              <w:top w:val="single" w:sz="4" w:space="0" w:color="auto"/>
              <w:left w:val="single" w:sz="4" w:space="0" w:color="auto"/>
              <w:bottom w:val="single" w:sz="4" w:space="0" w:color="auto"/>
              <w:right w:val="single" w:sz="4" w:space="0" w:color="auto"/>
            </w:tcBorders>
            <w:noWrap/>
            <w:hideMark/>
          </w:tcPr>
          <w:p w14:paraId="7A6188B7" w14:textId="77777777" w:rsidR="005375B7" w:rsidRPr="005375B7" w:rsidRDefault="005375B7" w:rsidP="005375B7">
            <w:pPr>
              <w:spacing w:after="240"/>
              <w:ind w:left="567" w:hanging="567"/>
              <w:rPr>
                <w:bCs/>
                <w:szCs w:val="22"/>
              </w:rPr>
            </w:pPr>
            <w:r w:rsidRPr="005375B7">
              <w:rPr>
                <w:bCs/>
              </w:rPr>
              <w:t>421 815 000</w:t>
            </w:r>
          </w:p>
        </w:tc>
        <w:tc>
          <w:tcPr>
            <w:tcW w:w="1555" w:type="dxa"/>
            <w:tcBorders>
              <w:top w:val="single" w:sz="4" w:space="0" w:color="auto"/>
              <w:left w:val="single" w:sz="4" w:space="0" w:color="auto"/>
              <w:bottom w:val="single" w:sz="4" w:space="0" w:color="auto"/>
              <w:right w:val="single" w:sz="4" w:space="0" w:color="auto"/>
            </w:tcBorders>
            <w:noWrap/>
            <w:hideMark/>
          </w:tcPr>
          <w:p w14:paraId="0AC6D06A" w14:textId="77777777" w:rsidR="005375B7" w:rsidRPr="005375B7" w:rsidRDefault="005375B7" w:rsidP="005375B7">
            <w:pPr>
              <w:spacing w:after="240"/>
              <w:ind w:left="567" w:hanging="567"/>
              <w:rPr>
                <w:szCs w:val="22"/>
              </w:rPr>
            </w:pPr>
            <w:r w:rsidRPr="005375B7">
              <w:t>6,35</w:t>
            </w:r>
          </w:p>
        </w:tc>
      </w:tr>
      <w:tr w:rsidR="005375B7" w:rsidRPr="005375B7" w14:paraId="6224D158"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2DFE940" w14:textId="77777777" w:rsidR="005375B7" w:rsidRPr="005375B7" w:rsidRDefault="005375B7" w:rsidP="005375B7">
            <w:pPr>
              <w:spacing w:after="240"/>
              <w:ind w:left="567" w:hanging="567"/>
              <w:jc w:val="both"/>
              <w:rPr>
                <w:bCs/>
                <w:szCs w:val="22"/>
              </w:rPr>
            </w:pPr>
            <w:r w:rsidRPr="005375B7">
              <w:t>Euda (ECNN)</w:t>
            </w:r>
          </w:p>
        </w:tc>
        <w:tc>
          <w:tcPr>
            <w:tcW w:w="2038" w:type="dxa"/>
            <w:tcBorders>
              <w:top w:val="single" w:sz="4" w:space="0" w:color="auto"/>
              <w:left w:val="single" w:sz="4" w:space="0" w:color="auto"/>
              <w:bottom w:val="single" w:sz="4" w:space="0" w:color="auto"/>
              <w:right w:val="single" w:sz="4" w:space="0" w:color="auto"/>
            </w:tcBorders>
            <w:noWrap/>
            <w:hideMark/>
          </w:tcPr>
          <w:p w14:paraId="0304133F" w14:textId="77777777" w:rsidR="005375B7" w:rsidRPr="005375B7" w:rsidRDefault="005375B7" w:rsidP="005375B7">
            <w:pPr>
              <w:spacing w:after="240"/>
              <w:ind w:left="567" w:hanging="567"/>
              <w:rPr>
                <w:bCs/>
                <w:szCs w:val="22"/>
              </w:rPr>
            </w:pPr>
            <w:r w:rsidRPr="005375B7">
              <w:rPr>
                <w:bCs/>
              </w:rPr>
              <w:t>22 082 074</w:t>
            </w:r>
          </w:p>
        </w:tc>
        <w:tc>
          <w:tcPr>
            <w:tcW w:w="2360" w:type="dxa"/>
            <w:tcBorders>
              <w:top w:val="single" w:sz="4" w:space="0" w:color="auto"/>
              <w:left w:val="single" w:sz="4" w:space="0" w:color="auto"/>
              <w:bottom w:val="single" w:sz="4" w:space="0" w:color="auto"/>
              <w:right w:val="single" w:sz="4" w:space="0" w:color="auto"/>
            </w:tcBorders>
            <w:noWrap/>
            <w:hideMark/>
          </w:tcPr>
          <w:p w14:paraId="4E6306F1" w14:textId="77777777" w:rsidR="005375B7" w:rsidRPr="005375B7" w:rsidRDefault="005375B7" w:rsidP="005375B7">
            <w:pPr>
              <w:spacing w:after="240"/>
              <w:ind w:left="567" w:hanging="567"/>
              <w:rPr>
                <w:bCs/>
                <w:szCs w:val="22"/>
              </w:rPr>
            </w:pPr>
            <w:r w:rsidRPr="005375B7">
              <w:rPr>
                <w:bCs/>
              </w:rPr>
              <w:t>18 839 136</w:t>
            </w:r>
          </w:p>
        </w:tc>
        <w:tc>
          <w:tcPr>
            <w:tcW w:w="1555" w:type="dxa"/>
            <w:tcBorders>
              <w:top w:val="single" w:sz="4" w:space="0" w:color="auto"/>
              <w:left w:val="single" w:sz="4" w:space="0" w:color="auto"/>
              <w:bottom w:val="single" w:sz="4" w:space="0" w:color="auto"/>
              <w:right w:val="single" w:sz="4" w:space="0" w:color="auto"/>
            </w:tcBorders>
            <w:noWrap/>
            <w:hideMark/>
          </w:tcPr>
          <w:p w14:paraId="480E2817" w14:textId="77777777" w:rsidR="005375B7" w:rsidRPr="005375B7" w:rsidRDefault="005375B7" w:rsidP="005375B7">
            <w:pPr>
              <w:spacing w:after="240"/>
              <w:ind w:left="567" w:hanging="567"/>
              <w:rPr>
                <w:szCs w:val="22"/>
              </w:rPr>
            </w:pPr>
            <w:r w:rsidRPr="005375B7">
              <w:t>17,21</w:t>
            </w:r>
          </w:p>
        </w:tc>
      </w:tr>
      <w:tr w:rsidR="005375B7" w:rsidRPr="005375B7" w14:paraId="721747D9"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98018C0" w14:textId="77777777" w:rsidR="005375B7" w:rsidRPr="005375B7" w:rsidRDefault="005375B7" w:rsidP="005375B7">
            <w:pPr>
              <w:spacing w:after="240"/>
              <w:ind w:left="567" w:hanging="567"/>
              <w:rPr>
                <w:bCs/>
                <w:szCs w:val="22"/>
              </w:rPr>
            </w:pPr>
            <w:r w:rsidRPr="005375B7">
              <w:t>Emsa</w:t>
            </w:r>
          </w:p>
        </w:tc>
        <w:tc>
          <w:tcPr>
            <w:tcW w:w="2038" w:type="dxa"/>
            <w:tcBorders>
              <w:top w:val="single" w:sz="4" w:space="0" w:color="auto"/>
              <w:left w:val="single" w:sz="4" w:space="0" w:color="auto"/>
              <w:bottom w:val="single" w:sz="4" w:space="0" w:color="auto"/>
              <w:right w:val="single" w:sz="4" w:space="0" w:color="auto"/>
            </w:tcBorders>
            <w:noWrap/>
            <w:hideMark/>
          </w:tcPr>
          <w:p w14:paraId="02425A4A" w14:textId="77777777" w:rsidR="005375B7" w:rsidRPr="005375B7" w:rsidRDefault="005375B7" w:rsidP="005375B7">
            <w:pPr>
              <w:spacing w:after="240"/>
              <w:ind w:left="567" w:hanging="567"/>
              <w:rPr>
                <w:bCs/>
                <w:szCs w:val="22"/>
              </w:rPr>
            </w:pPr>
            <w:r w:rsidRPr="005375B7">
              <w:rPr>
                <w:bCs/>
              </w:rPr>
              <w:t>111 954 231</w:t>
            </w:r>
          </w:p>
        </w:tc>
        <w:tc>
          <w:tcPr>
            <w:tcW w:w="2360" w:type="dxa"/>
            <w:tcBorders>
              <w:top w:val="single" w:sz="4" w:space="0" w:color="auto"/>
              <w:left w:val="single" w:sz="4" w:space="0" w:color="auto"/>
              <w:bottom w:val="single" w:sz="4" w:space="0" w:color="auto"/>
              <w:right w:val="single" w:sz="4" w:space="0" w:color="auto"/>
            </w:tcBorders>
            <w:noWrap/>
            <w:hideMark/>
          </w:tcPr>
          <w:p w14:paraId="468E88DF" w14:textId="77777777" w:rsidR="005375B7" w:rsidRPr="005375B7" w:rsidRDefault="005375B7" w:rsidP="005375B7">
            <w:pPr>
              <w:spacing w:after="240"/>
              <w:ind w:left="567" w:hanging="567"/>
              <w:rPr>
                <w:bCs/>
                <w:szCs w:val="22"/>
              </w:rPr>
            </w:pPr>
            <w:r w:rsidRPr="005375B7">
              <w:rPr>
                <w:bCs/>
              </w:rPr>
              <w:t>115 807 270</w:t>
            </w:r>
          </w:p>
        </w:tc>
        <w:tc>
          <w:tcPr>
            <w:tcW w:w="1555" w:type="dxa"/>
            <w:tcBorders>
              <w:top w:val="single" w:sz="4" w:space="0" w:color="auto"/>
              <w:left w:val="single" w:sz="4" w:space="0" w:color="auto"/>
              <w:bottom w:val="single" w:sz="4" w:space="0" w:color="auto"/>
              <w:right w:val="single" w:sz="4" w:space="0" w:color="auto"/>
            </w:tcBorders>
            <w:noWrap/>
            <w:hideMark/>
          </w:tcPr>
          <w:p w14:paraId="6525B17F" w14:textId="07DCF1C6" w:rsidR="005375B7" w:rsidRPr="005375B7" w:rsidRDefault="005375B7" w:rsidP="005375B7">
            <w:pPr>
              <w:spacing w:after="240"/>
              <w:ind w:left="567" w:hanging="567"/>
              <w:rPr>
                <w:szCs w:val="22"/>
              </w:rPr>
            </w:pPr>
            <w:r>
              <w:t>-</w:t>
            </w:r>
            <w:r w:rsidRPr="005375B7">
              <w:t>3,33</w:t>
            </w:r>
          </w:p>
        </w:tc>
      </w:tr>
      <w:tr w:rsidR="005375B7" w:rsidRPr="005375B7" w14:paraId="59EAC7F6"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22C538F" w14:textId="77777777" w:rsidR="005375B7" w:rsidRPr="005375B7" w:rsidRDefault="005375B7" w:rsidP="005375B7">
            <w:pPr>
              <w:spacing w:after="240"/>
              <w:ind w:left="567" w:hanging="567"/>
              <w:rPr>
                <w:bCs/>
                <w:szCs w:val="22"/>
              </w:rPr>
            </w:pPr>
            <w:r w:rsidRPr="005375B7">
              <w:t>Enisa</w:t>
            </w:r>
          </w:p>
        </w:tc>
        <w:tc>
          <w:tcPr>
            <w:tcW w:w="2038" w:type="dxa"/>
            <w:tcBorders>
              <w:top w:val="single" w:sz="4" w:space="0" w:color="auto"/>
              <w:left w:val="single" w:sz="4" w:space="0" w:color="auto"/>
              <w:bottom w:val="single" w:sz="4" w:space="0" w:color="auto"/>
              <w:right w:val="single" w:sz="4" w:space="0" w:color="auto"/>
            </w:tcBorders>
            <w:noWrap/>
            <w:hideMark/>
          </w:tcPr>
          <w:p w14:paraId="798E5502" w14:textId="77777777" w:rsidR="005375B7" w:rsidRPr="005375B7" w:rsidRDefault="005375B7" w:rsidP="005375B7">
            <w:pPr>
              <w:spacing w:after="240"/>
              <w:ind w:left="567" w:hanging="567"/>
              <w:rPr>
                <w:bCs/>
                <w:szCs w:val="22"/>
              </w:rPr>
            </w:pPr>
            <w:r w:rsidRPr="005375B7">
              <w:rPr>
                <w:bCs/>
              </w:rPr>
              <w:t>25 183 495</w:t>
            </w:r>
          </w:p>
        </w:tc>
        <w:tc>
          <w:tcPr>
            <w:tcW w:w="2360" w:type="dxa"/>
            <w:tcBorders>
              <w:top w:val="single" w:sz="4" w:space="0" w:color="auto"/>
              <w:left w:val="single" w:sz="4" w:space="0" w:color="auto"/>
              <w:bottom w:val="single" w:sz="4" w:space="0" w:color="auto"/>
              <w:right w:val="single" w:sz="4" w:space="0" w:color="auto"/>
            </w:tcBorders>
            <w:noWrap/>
            <w:hideMark/>
          </w:tcPr>
          <w:p w14:paraId="6460398B" w14:textId="77777777" w:rsidR="005375B7" w:rsidRPr="005375B7" w:rsidRDefault="005375B7" w:rsidP="005375B7">
            <w:pPr>
              <w:spacing w:after="240"/>
              <w:ind w:left="567" w:hanging="567"/>
              <w:rPr>
                <w:bCs/>
                <w:szCs w:val="22"/>
              </w:rPr>
            </w:pPr>
            <w:r w:rsidRPr="005375B7">
              <w:rPr>
                <w:bCs/>
              </w:rPr>
              <w:t>39 207 625</w:t>
            </w:r>
          </w:p>
        </w:tc>
        <w:tc>
          <w:tcPr>
            <w:tcW w:w="1555" w:type="dxa"/>
            <w:tcBorders>
              <w:top w:val="single" w:sz="4" w:space="0" w:color="auto"/>
              <w:left w:val="single" w:sz="4" w:space="0" w:color="auto"/>
              <w:bottom w:val="single" w:sz="4" w:space="0" w:color="auto"/>
              <w:right w:val="single" w:sz="4" w:space="0" w:color="auto"/>
            </w:tcBorders>
            <w:noWrap/>
            <w:hideMark/>
          </w:tcPr>
          <w:p w14:paraId="5A8C782A" w14:textId="5CEFE43A" w:rsidR="005375B7" w:rsidRPr="005375B7" w:rsidRDefault="005375B7" w:rsidP="005375B7">
            <w:pPr>
              <w:spacing w:after="240"/>
              <w:ind w:left="567" w:hanging="567"/>
              <w:rPr>
                <w:szCs w:val="22"/>
              </w:rPr>
            </w:pPr>
            <w:r>
              <w:t>-</w:t>
            </w:r>
            <w:r w:rsidRPr="005375B7">
              <w:t>35,77</w:t>
            </w:r>
          </w:p>
        </w:tc>
      </w:tr>
      <w:tr w:rsidR="005375B7" w:rsidRPr="005375B7" w14:paraId="60754695"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F060701" w14:textId="77777777" w:rsidR="005375B7" w:rsidRPr="005375B7" w:rsidRDefault="005375B7" w:rsidP="005375B7">
            <w:pPr>
              <w:spacing w:after="240"/>
              <w:ind w:left="567" w:hanging="567"/>
              <w:rPr>
                <w:bCs/>
                <w:szCs w:val="22"/>
              </w:rPr>
            </w:pPr>
            <w:r w:rsidRPr="005375B7">
              <w:t>ERA</w:t>
            </w:r>
          </w:p>
        </w:tc>
        <w:tc>
          <w:tcPr>
            <w:tcW w:w="2038" w:type="dxa"/>
            <w:tcBorders>
              <w:top w:val="single" w:sz="4" w:space="0" w:color="auto"/>
              <w:left w:val="single" w:sz="4" w:space="0" w:color="auto"/>
              <w:bottom w:val="single" w:sz="4" w:space="0" w:color="auto"/>
              <w:right w:val="single" w:sz="4" w:space="0" w:color="auto"/>
            </w:tcBorders>
            <w:noWrap/>
            <w:hideMark/>
          </w:tcPr>
          <w:p w14:paraId="454774A6" w14:textId="77777777" w:rsidR="005375B7" w:rsidRPr="005375B7" w:rsidRDefault="005375B7" w:rsidP="005375B7">
            <w:pPr>
              <w:spacing w:after="240"/>
              <w:ind w:left="567" w:hanging="567"/>
              <w:rPr>
                <w:bCs/>
                <w:szCs w:val="22"/>
              </w:rPr>
            </w:pPr>
            <w:r w:rsidRPr="005375B7">
              <w:rPr>
                <w:bCs/>
              </w:rPr>
              <w:t xml:space="preserve">38 532 447 </w:t>
            </w:r>
          </w:p>
        </w:tc>
        <w:tc>
          <w:tcPr>
            <w:tcW w:w="2360" w:type="dxa"/>
            <w:tcBorders>
              <w:top w:val="single" w:sz="4" w:space="0" w:color="auto"/>
              <w:left w:val="single" w:sz="4" w:space="0" w:color="auto"/>
              <w:bottom w:val="single" w:sz="4" w:space="0" w:color="auto"/>
              <w:right w:val="single" w:sz="4" w:space="0" w:color="auto"/>
            </w:tcBorders>
            <w:noWrap/>
            <w:hideMark/>
          </w:tcPr>
          <w:p w14:paraId="6152E27D" w14:textId="77777777" w:rsidR="005375B7" w:rsidRPr="005375B7" w:rsidRDefault="005375B7" w:rsidP="005375B7">
            <w:pPr>
              <w:spacing w:after="240"/>
              <w:ind w:left="567" w:hanging="567"/>
              <w:rPr>
                <w:bCs/>
                <w:szCs w:val="22"/>
              </w:rPr>
            </w:pPr>
            <w:r w:rsidRPr="005375B7">
              <w:rPr>
                <w:bCs/>
              </w:rPr>
              <w:t>33 983 956</w:t>
            </w:r>
          </w:p>
        </w:tc>
        <w:tc>
          <w:tcPr>
            <w:tcW w:w="1555" w:type="dxa"/>
            <w:tcBorders>
              <w:top w:val="single" w:sz="4" w:space="0" w:color="auto"/>
              <w:left w:val="single" w:sz="4" w:space="0" w:color="auto"/>
              <w:bottom w:val="single" w:sz="4" w:space="0" w:color="auto"/>
              <w:right w:val="single" w:sz="4" w:space="0" w:color="auto"/>
            </w:tcBorders>
            <w:noWrap/>
            <w:hideMark/>
          </w:tcPr>
          <w:p w14:paraId="43C7BB9D" w14:textId="77777777" w:rsidR="005375B7" w:rsidRPr="005375B7" w:rsidRDefault="005375B7" w:rsidP="005375B7">
            <w:pPr>
              <w:spacing w:after="240"/>
              <w:ind w:left="567" w:hanging="567"/>
              <w:rPr>
                <w:szCs w:val="22"/>
              </w:rPr>
            </w:pPr>
            <w:r w:rsidRPr="005375B7">
              <w:t>13,38</w:t>
            </w:r>
          </w:p>
        </w:tc>
      </w:tr>
      <w:tr w:rsidR="005375B7" w:rsidRPr="005375B7" w14:paraId="6956FEFB"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E21A616" w14:textId="77777777" w:rsidR="005375B7" w:rsidRPr="005375B7" w:rsidRDefault="005375B7" w:rsidP="005375B7">
            <w:pPr>
              <w:spacing w:after="240"/>
              <w:ind w:left="567" w:hanging="567"/>
              <w:rPr>
                <w:bCs/>
                <w:szCs w:val="22"/>
              </w:rPr>
            </w:pPr>
            <w:r w:rsidRPr="005375B7">
              <w:t xml:space="preserve">ESA </w:t>
            </w:r>
          </w:p>
        </w:tc>
        <w:tc>
          <w:tcPr>
            <w:tcW w:w="2038" w:type="dxa"/>
            <w:tcBorders>
              <w:top w:val="single" w:sz="4" w:space="0" w:color="auto"/>
              <w:left w:val="single" w:sz="4" w:space="0" w:color="auto"/>
              <w:bottom w:val="single" w:sz="4" w:space="0" w:color="auto"/>
              <w:right w:val="single" w:sz="4" w:space="0" w:color="auto"/>
            </w:tcBorders>
            <w:noWrap/>
            <w:hideMark/>
          </w:tcPr>
          <w:p w14:paraId="3BED594F" w14:textId="77777777" w:rsidR="005375B7" w:rsidRPr="005375B7" w:rsidRDefault="005375B7" w:rsidP="005375B7">
            <w:pPr>
              <w:spacing w:after="240"/>
              <w:ind w:left="567" w:hanging="567"/>
              <w:rPr>
                <w:bCs/>
                <w:szCs w:val="22"/>
              </w:rPr>
            </w:pPr>
            <w:r w:rsidRPr="005375B7">
              <w:rPr>
                <w:bCs/>
              </w:rPr>
              <w:t>258 160</w:t>
            </w:r>
          </w:p>
        </w:tc>
        <w:tc>
          <w:tcPr>
            <w:tcW w:w="2360" w:type="dxa"/>
            <w:tcBorders>
              <w:top w:val="single" w:sz="4" w:space="0" w:color="auto"/>
              <w:left w:val="single" w:sz="4" w:space="0" w:color="auto"/>
              <w:bottom w:val="single" w:sz="4" w:space="0" w:color="auto"/>
              <w:right w:val="single" w:sz="4" w:space="0" w:color="auto"/>
            </w:tcBorders>
            <w:noWrap/>
            <w:hideMark/>
          </w:tcPr>
          <w:p w14:paraId="1B87F1D6" w14:textId="77777777" w:rsidR="005375B7" w:rsidRPr="005375B7" w:rsidRDefault="005375B7" w:rsidP="005375B7">
            <w:pPr>
              <w:spacing w:after="240"/>
              <w:ind w:left="567" w:hanging="567"/>
              <w:rPr>
                <w:bCs/>
                <w:szCs w:val="22"/>
              </w:rPr>
            </w:pPr>
            <w:r w:rsidRPr="005375B7">
              <w:rPr>
                <w:bCs/>
              </w:rPr>
              <w:t>167 000</w:t>
            </w:r>
          </w:p>
        </w:tc>
        <w:tc>
          <w:tcPr>
            <w:tcW w:w="1555" w:type="dxa"/>
            <w:tcBorders>
              <w:top w:val="single" w:sz="4" w:space="0" w:color="auto"/>
              <w:left w:val="single" w:sz="4" w:space="0" w:color="auto"/>
              <w:bottom w:val="single" w:sz="4" w:space="0" w:color="auto"/>
              <w:right w:val="single" w:sz="4" w:space="0" w:color="auto"/>
            </w:tcBorders>
            <w:noWrap/>
            <w:hideMark/>
          </w:tcPr>
          <w:p w14:paraId="495552D1" w14:textId="77777777" w:rsidR="005375B7" w:rsidRPr="005375B7" w:rsidRDefault="005375B7" w:rsidP="005375B7">
            <w:pPr>
              <w:spacing w:after="240"/>
              <w:ind w:left="567" w:hanging="567"/>
              <w:rPr>
                <w:szCs w:val="22"/>
              </w:rPr>
            </w:pPr>
            <w:r w:rsidRPr="005375B7">
              <w:t>54,59</w:t>
            </w:r>
          </w:p>
        </w:tc>
      </w:tr>
      <w:tr w:rsidR="005375B7" w:rsidRPr="005375B7" w14:paraId="57B670D2"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980C1F8" w14:textId="77777777" w:rsidR="005375B7" w:rsidRPr="005375B7" w:rsidRDefault="005375B7" w:rsidP="005375B7">
            <w:pPr>
              <w:spacing w:after="240"/>
              <w:ind w:left="567" w:hanging="567"/>
              <w:rPr>
                <w:bCs/>
                <w:szCs w:val="22"/>
              </w:rPr>
            </w:pPr>
            <w:r w:rsidRPr="005375B7">
              <w:t>Esma</w:t>
            </w:r>
          </w:p>
        </w:tc>
        <w:tc>
          <w:tcPr>
            <w:tcW w:w="2038" w:type="dxa"/>
            <w:tcBorders>
              <w:top w:val="single" w:sz="4" w:space="0" w:color="auto"/>
              <w:left w:val="single" w:sz="4" w:space="0" w:color="auto"/>
              <w:bottom w:val="single" w:sz="4" w:space="0" w:color="auto"/>
              <w:right w:val="single" w:sz="4" w:space="0" w:color="auto"/>
            </w:tcBorders>
            <w:noWrap/>
            <w:hideMark/>
          </w:tcPr>
          <w:p w14:paraId="6B9E1850" w14:textId="77777777" w:rsidR="005375B7" w:rsidRPr="005375B7" w:rsidRDefault="005375B7" w:rsidP="005375B7">
            <w:pPr>
              <w:spacing w:after="240"/>
              <w:ind w:left="567" w:hanging="567"/>
              <w:rPr>
                <w:bCs/>
                <w:szCs w:val="22"/>
              </w:rPr>
            </w:pPr>
            <w:r w:rsidRPr="005375B7">
              <w:rPr>
                <w:bCs/>
              </w:rPr>
              <w:t>72 509 657</w:t>
            </w:r>
          </w:p>
        </w:tc>
        <w:tc>
          <w:tcPr>
            <w:tcW w:w="2360" w:type="dxa"/>
            <w:tcBorders>
              <w:top w:val="single" w:sz="4" w:space="0" w:color="auto"/>
              <w:left w:val="single" w:sz="4" w:space="0" w:color="auto"/>
              <w:bottom w:val="single" w:sz="4" w:space="0" w:color="auto"/>
              <w:right w:val="single" w:sz="4" w:space="0" w:color="auto"/>
            </w:tcBorders>
            <w:noWrap/>
            <w:hideMark/>
          </w:tcPr>
          <w:p w14:paraId="2B17B15F" w14:textId="77777777" w:rsidR="005375B7" w:rsidRPr="005375B7" w:rsidRDefault="005375B7" w:rsidP="005375B7">
            <w:pPr>
              <w:spacing w:after="240"/>
              <w:ind w:left="567" w:hanging="567"/>
              <w:rPr>
                <w:bCs/>
                <w:szCs w:val="22"/>
              </w:rPr>
            </w:pPr>
            <w:r w:rsidRPr="005375B7">
              <w:rPr>
                <w:bCs/>
              </w:rPr>
              <w:t>68 068 551</w:t>
            </w:r>
          </w:p>
        </w:tc>
        <w:tc>
          <w:tcPr>
            <w:tcW w:w="1555" w:type="dxa"/>
            <w:tcBorders>
              <w:top w:val="single" w:sz="4" w:space="0" w:color="auto"/>
              <w:left w:val="single" w:sz="4" w:space="0" w:color="auto"/>
              <w:bottom w:val="single" w:sz="4" w:space="0" w:color="auto"/>
              <w:right w:val="single" w:sz="4" w:space="0" w:color="auto"/>
            </w:tcBorders>
            <w:noWrap/>
            <w:hideMark/>
          </w:tcPr>
          <w:p w14:paraId="46FC4A2D" w14:textId="77777777" w:rsidR="005375B7" w:rsidRPr="005375B7" w:rsidRDefault="005375B7" w:rsidP="005375B7">
            <w:pPr>
              <w:spacing w:after="240"/>
              <w:ind w:left="567" w:hanging="567"/>
              <w:rPr>
                <w:szCs w:val="22"/>
              </w:rPr>
            </w:pPr>
            <w:r w:rsidRPr="005375B7">
              <w:t>6,52</w:t>
            </w:r>
          </w:p>
        </w:tc>
      </w:tr>
      <w:tr w:rsidR="005375B7" w:rsidRPr="005375B7" w14:paraId="75B7A849"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D130547" w14:textId="77777777" w:rsidR="005375B7" w:rsidRPr="005375B7" w:rsidRDefault="005375B7" w:rsidP="005375B7">
            <w:pPr>
              <w:spacing w:after="240"/>
              <w:ind w:left="567" w:hanging="567"/>
              <w:rPr>
                <w:bCs/>
                <w:szCs w:val="22"/>
              </w:rPr>
            </w:pPr>
            <w:r w:rsidRPr="005375B7">
              <w:t xml:space="preserve">ETF </w:t>
            </w:r>
          </w:p>
        </w:tc>
        <w:tc>
          <w:tcPr>
            <w:tcW w:w="2038" w:type="dxa"/>
            <w:tcBorders>
              <w:top w:val="single" w:sz="4" w:space="0" w:color="auto"/>
              <w:left w:val="single" w:sz="4" w:space="0" w:color="auto"/>
              <w:bottom w:val="single" w:sz="4" w:space="0" w:color="auto"/>
              <w:right w:val="single" w:sz="4" w:space="0" w:color="auto"/>
            </w:tcBorders>
            <w:noWrap/>
            <w:hideMark/>
          </w:tcPr>
          <w:p w14:paraId="2DBE383B" w14:textId="77777777" w:rsidR="005375B7" w:rsidRPr="005375B7" w:rsidRDefault="005375B7" w:rsidP="005375B7">
            <w:pPr>
              <w:spacing w:after="240"/>
              <w:ind w:left="567" w:hanging="567"/>
              <w:rPr>
                <w:bCs/>
                <w:szCs w:val="22"/>
              </w:rPr>
            </w:pPr>
            <w:r w:rsidRPr="005375B7">
              <w:rPr>
                <w:bCs/>
              </w:rPr>
              <w:t>28 542 956</w:t>
            </w:r>
          </w:p>
        </w:tc>
        <w:tc>
          <w:tcPr>
            <w:tcW w:w="2360" w:type="dxa"/>
            <w:tcBorders>
              <w:top w:val="single" w:sz="4" w:space="0" w:color="auto"/>
              <w:left w:val="single" w:sz="4" w:space="0" w:color="auto"/>
              <w:bottom w:val="single" w:sz="4" w:space="0" w:color="auto"/>
              <w:right w:val="single" w:sz="4" w:space="0" w:color="auto"/>
            </w:tcBorders>
            <w:noWrap/>
            <w:hideMark/>
          </w:tcPr>
          <w:p w14:paraId="757FF530" w14:textId="77777777" w:rsidR="005375B7" w:rsidRPr="005375B7" w:rsidRDefault="005375B7" w:rsidP="005375B7">
            <w:pPr>
              <w:spacing w:after="240"/>
              <w:ind w:left="567" w:hanging="567"/>
              <w:rPr>
                <w:bCs/>
                <w:szCs w:val="22"/>
              </w:rPr>
            </w:pPr>
            <w:r w:rsidRPr="005375B7">
              <w:rPr>
                <w:bCs/>
              </w:rPr>
              <w:t>25 051 848</w:t>
            </w:r>
          </w:p>
        </w:tc>
        <w:tc>
          <w:tcPr>
            <w:tcW w:w="1555" w:type="dxa"/>
            <w:tcBorders>
              <w:top w:val="single" w:sz="4" w:space="0" w:color="auto"/>
              <w:left w:val="single" w:sz="4" w:space="0" w:color="auto"/>
              <w:bottom w:val="single" w:sz="4" w:space="0" w:color="auto"/>
              <w:right w:val="single" w:sz="4" w:space="0" w:color="auto"/>
            </w:tcBorders>
            <w:noWrap/>
            <w:hideMark/>
          </w:tcPr>
          <w:p w14:paraId="48EE36C3" w14:textId="77777777" w:rsidR="005375B7" w:rsidRPr="005375B7" w:rsidRDefault="005375B7" w:rsidP="005375B7">
            <w:pPr>
              <w:spacing w:after="240"/>
              <w:ind w:left="567" w:hanging="567"/>
              <w:rPr>
                <w:szCs w:val="22"/>
              </w:rPr>
            </w:pPr>
            <w:r w:rsidRPr="005375B7">
              <w:t>13,94</w:t>
            </w:r>
          </w:p>
        </w:tc>
      </w:tr>
      <w:tr w:rsidR="005375B7" w:rsidRPr="005375B7" w14:paraId="5C49A90C"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1BFE35F" w14:textId="77777777" w:rsidR="005375B7" w:rsidRPr="005375B7" w:rsidRDefault="005375B7" w:rsidP="005375B7">
            <w:pPr>
              <w:spacing w:after="240"/>
              <w:ind w:left="567" w:hanging="567"/>
              <w:rPr>
                <w:bCs/>
                <w:szCs w:val="22"/>
              </w:rPr>
            </w:pPr>
            <w:r w:rsidRPr="005375B7">
              <w:t>EUAA</w:t>
            </w:r>
          </w:p>
        </w:tc>
        <w:tc>
          <w:tcPr>
            <w:tcW w:w="2038" w:type="dxa"/>
            <w:tcBorders>
              <w:top w:val="single" w:sz="4" w:space="0" w:color="auto"/>
              <w:left w:val="single" w:sz="4" w:space="0" w:color="auto"/>
              <w:bottom w:val="single" w:sz="4" w:space="0" w:color="auto"/>
              <w:right w:val="single" w:sz="4" w:space="0" w:color="auto"/>
            </w:tcBorders>
            <w:noWrap/>
            <w:hideMark/>
          </w:tcPr>
          <w:p w14:paraId="598267E3" w14:textId="77777777" w:rsidR="005375B7" w:rsidRPr="005375B7" w:rsidRDefault="005375B7" w:rsidP="005375B7">
            <w:pPr>
              <w:spacing w:after="240"/>
              <w:ind w:left="567" w:hanging="567"/>
              <w:rPr>
                <w:bCs/>
                <w:szCs w:val="22"/>
              </w:rPr>
            </w:pPr>
            <w:r w:rsidRPr="005375B7">
              <w:rPr>
                <w:bCs/>
              </w:rPr>
              <w:t>170 135 127</w:t>
            </w:r>
          </w:p>
        </w:tc>
        <w:tc>
          <w:tcPr>
            <w:tcW w:w="2360" w:type="dxa"/>
            <w:tcBorders>
              <w:top w:val="single" w:sz="4" w:space="0" w:color="auto"/>
              <w:left w:val="single" w:sz="4" w:space="0" w:color="auto"/>
              <w:bottom w:val="single" w:sz="4" w:space="0" w:color="auto"/>
              <w:right w:val="single" w:sz="4" w:space="0" w:color="auto"/>
            </w:tcBorders>
            <w:noWrap/>
            <w:hideMark/>
          </w:tcPr>
          <w:p w14:paraId="7AD84807" w14:textId="77777777" w:rsidR="005375B7" w:rsidRPr="005375B7" w:rsidRDefault="005375B7" w:rsidP="005375B7">
            <w:pPr>
              <w:spacing w:after="240"/>
              <w:ind w:left="567" w:hanging="567"/>
              <w:rPr>
                <w:bCs/>
                <w:szCs w:val="22"/>
              </w:rPr>
            </w:pPr>
            <w:r w:rsidRPr="005375B7">
              <w:rPr>
                <w:bCs/>
              </w:rPr>
              <w:t>168 842 192</w:t>
            </w:r>
          </w:p>
        </w:tc>
        <w:tc>
          <w:tcPr>
            <w:tcW w:w="1555" w:type="dxa"/>
            <w:tcBorders>
              <w:top w:val="single" w:sz="4" w:space="0" w:color="auto"/>
              <w:left w:val="single" w:sz="4" w:space="0" w:color="auto"/>
              <w:bottom w:val="single" w:sz="4" w:space="0" w:color="auto"/>
              <w:right w:val="single" w:sz="4" w:space="0" w:color="auto"/>
            </w:tcBorders>
            <w:noWrap/>
            <w:hideMark/>
          </w:tcPr>
          <w:p w14:paraId="56502935" w14:textId="77777777" w:rsidR="005375B7" w:rsidRPr="005375B7" w:rsidRDefault="005375B7" w:rsidP="005375B7">
            <w:pPr>
              <w:spacing w:after="240"/>
              <w:ind w:left="567" w:hanging="567"/>
              <w:rPr>
                <w:szCs w:val="22"/>
              </w:rPr>
            </w:pPr>
            <w:r w:rsidRPr="005375B7">
              <w:t>0,77</w:t>
            </w:r>
          </w:p>
        </w:tc>
      </w:tr>
      <w:tr w:rsidR="005375B7" w:rsidRPr="005375B7" w14:paraId="1DA90A05"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0E7268D" w14:textId="77777777" w:rsidR="005375B7" w:rsidRPr="005375B7" w:rsidRDefault="005375B7" w:rsidP="005375B7">
            <w:pPr>
              <w:spacing w:after="240"/>
              <w:ind w:left="567" w:hanging="567"/>
              <w:rPr>
                <w:bCs/>
                <w:szCs w:val="22"/>
              </w:rPr>
            </w:pPr>
            <w:r w:rsidRPr="005375B7">
              <w:t xml:space="preserve">eu-Lisa </w:t>
            </w:r>
          </w:p>
        </w:tc>
        <w:tc>
          <w:tcPr>
            <w:tcW w:w="2038" w:type="dxa"/>
            <w:tcBorders>
              <w:top w:val="single" w:sz="4" w:space="0" w:color="auto"/>
              <w:left w:val="single" w:sz="4" w:space="0" w:color="auto"/>
              <w:bottom w:val="single" w:sz="4" w:space="0" w:color="auto"/>
              <w:right w:val="single" w:sz="4" w:space="0" w:color="auto"/>
            </w:tcBorders>
            <w:noWrap/>
            <w:hideMark/>
          </w:tcPr>
          <w:p w14:paraId="0EBEA600" w14:textId="77777777" w:rsidR="005375B7" w:rsidRPr="005375B7" w:rsidRDefault="005375B7" w:rsidP="005375B7">
            <w:pPr>
              <w:spacing w:after="240"/>
              <w:ind w:left="567" w:hanging="567"/>
              <w:rPr>
                <w:bCs/>
                <w:szCs w:val="22"/>
              </w:rPr>
            </w:pPr>
            <w:r w:rsidRPr="005375B7">
              <w:rPr>
                <w:bCs/>
              </w:rPr>
              <w:t>300 524 142</w:t>
            </w:r>
          </w:p>
        </w:tc>
        <w:tc>
          <w:tcPr>
            <w:tcW w:w="2360" w:type="dxa"/>
            <w:tcBorders>
              <w:top w:val="single" w:sz="4" w:space="0" w:color="auto"/>
              <w:left w:val="single" w:sz="4" w:space="0" w:color="auto"/>
              <w:bottom w:val="single" w:sz="4" w:space="0" w:color="auto"/>
              <w:right w:val="single" w:sz="4" w:space="0" w:color="auto"/>
            </w:tcBorders>
            <w:noWrap/>
            <w:hideMark/>
          </w:tcPr>
          <w:p w14:paraId="42F2F902" w14:textId="77777777" w:rsidR="005375B7" w:rsidRPr="005375B7" w:rsidRDefault="005375B7" w:rsidP="005375B7">
            <w:pPr>
              <w:spacing w:after="240"/>
              <w:ind w:left="567" w:hanging="567"/>
              <w:rPr>
                <w:bCs/>
                <w:szCs w:val="22"/>
              </w:rPr>
            </w:pPr>
            <w:r w:rsidRPr="005375B7">
              <w:rPr>
                <w:bCs/>
              </w:rPr>
              <w:t>296 508 265</w:t>
            </w:r>
          </w:p>
        </w:tc>
        <w:tc>
          <w:tcPr>
            <w:tcW w:w="1555" w:type="dxa"/>
            <w:tcBorders>
              <w:top w:val="single" w:sz="4" w:space="0" w:color="auto"/>
              <w:left w:val="single" w:sz="4" w:space="0" w:color="auto"/>
              <w:bottom w:val="single" w:sz="4" w:space="0" w:color="auto"/>
              <w:right w:val="single" w:sz="4" w:space="0" w:color="auto"/>
            </w:tcBorders>
            <w:noWrap/>
            <w:hideMark/>
          </w:tcPr>
          <w:p w14:paraId="7E47A59A" w14:textId="77777777" w:rsidR="005375B7" w:rsidRPr="005375B7" w:rsidRDefault="005375B7" w:rsidP="005375B7">
            <w:pPr>
              <w:spacing w:after="240"/>
              <w:ind w:left="567" w:hanging="567"/>
              <w:rPr>
                <w:szCs w:val="22"/>
              </w:rPr>
            </w:pPr>
            <w:r w:rsidRPr="005375B7">
              <w:t>1,35</w:t>
            </w:r>
          </w:p>
        </w:tc>
      </w:tr>
      <w:tr w:rsidR="005375B7" w:rsidRPr="005375B7" w14:paraId="56F851C1"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8F22C11" w14:textId="77777777" w:rsidR="005375B7" w:rsidRPr="005375B7" w:rsidRDefault="005375B7" w:rsidP="005375B7">
            <w:pPr>
              <w:spacing w:after="240"/>
              <w:ind w:left="567" w:hanging="567"/>
              <w:rPr>
                <w:bCs/>
                <w:szCs w:val="22"/>
              </w:rPr>
            </w:pPr>
            <w:r w:rsidRPr="005375B7">
              <w:t>EU-Osha</w:t>
            </w:r>
          </w:p>
        </w:tc>
        <w:tc>
          <w:tcPr>
            <w:tcW w:w="2038" w:type="dxa"/>
            <w:tcBorders>
              <w:top w:val="single" w:sz="4" w:space="0" w:color="auto"/>
              <w:left w:val="single" w:sz="4" w:space="0" w:color="auto"/>
              <w:bottom w:val="single" w:sz="4" w:space="0" w:color="auto"/>
              <w:right w:val="single" w:sz="4" w:space="0" w:color="auto"/>
            </w:tcBorders>
            <w:noWrap/>
            <w:hideMark/>
          </w:tcPr>
          <w:p w14:paraId="7D918899" w14:textId="77777777" w:rsidR="005375B7" w:rsidRPr="005375B7" w:rsidRDefault="005375B7" w:rsidP="005375B7">
            <w:pPr>
              <w:spacing w:after="240"/>
              <w:ind w:left="567" w:hanging="567"/>
              <w:rPr>
                <w:bCs/>
                <w:szCs w:val="22"/>
              </w:rPr>
            </w:pPr>
            <w:r w:rsidRPr="005375B7">
              <w:rPr>
                <w:bCs/>
              </w:rPr>
              <w:t>17 038 950</w:t>
            </w:r>
          </w:p>
        </w:tc>
        <w:tc>
          <w:tcPr>
            <w:tcW w:w="2360" w:type="dxa"/>
            <w:tcBorders>
              <w:top w:val="single" w:sz="4" w:space="0" w:color="auto"/>
              <w:left w:val="single" w:sz="4" w:space="0" w:color="auto"/>
              <w:bottom w:val="single" w:sz="4" w:space="0" w:color="auto"/>
              <w:right w:val="single" w:sz="4" w:space="0" w:color="auto"/>
            </w:tcBorders>
            <w:noWrap/>
            <w:hideMark/>
          </w:tcPr>
          <w:p w14:paraId="533262AC" w14:textId="77777777" w:rsidR="005375B7" w:rsidRPr="005375B7" w:rsidRDefault="005375B7" w:rsidP="005375B7">
            <w:pPr>
              <w:spacing w:after="240"/>
              <w:ind w:left="567" w:hanging="567"/>
              <w:rPr>
                <w:bCs/>
                <w:szCs w:val="22"/>
              </w:rPr>
            </w:pPr>
            <w:r w:rsidRPr="005375B7">
              <w:rPr>
                <w:bCs/>
              </w:rPr>
              <w:t>16 405 100</w:t>
            </w:r>
          </w:p>
        </w:tc>
        <w:tc>
          <w:tcPr>
            <w:tcW w:w="1555" w:type="dxa"/>
            <w:tcBorders>
              <w:top w:val="single" w:sz="4" w:space="0" w:color="auto"/>
              <w:left w:val="single" w:sz="4" w:space="0" w:color="auto"/>
              <w:bottom w:val="single" w:sz="4" w:space="0" w:color="auto"/>
              <w:right w:val="single" w:sz="4" w:space="0" w:color="auto"/>
            </w:tcBorders>
            <w:noWrap/>
            <w:hideMark/>
          </w:tcPr>
          <w:p w14:paraId="4F003B86" w14:textId="77777777" w:rsidR="005375B7" w:rsidRPr="005375B7" w:rsidRDefault="005375B7" w:rsidP="005375B7">
            <w:pPr>
              <w:spacing w:after="240"/>
              <w:ind w:left="567" w:hanging="567"/>
              <w:rPr>
                <w:szCs w:val="22"/>
              </w:rPr>
            </w:pPr>
            <w:r w:rsidRPr="005375B7">
              <w:t>3,86</w:t>
            </w:r>
          </w:p>
        </w:tc>
      </w:tr>
      <w:tr w:rsidR="005375B7" w:rsidRPr="005375B7" w14:paraId="34A72CD3"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F653D4C" w14:textId="77777777" w:rsidR="005375B7" w:rsidRPr="005375B7" w:rsidRDefault="005375B7" w:rsidP="005375B7">
            <w:pPr>
              <w:spacing w:after="240"/>
              <w:ind w:left="567" w:hanging="567"/>
              <w:rPr>
                <w:bCs/>
                <w:szCs w:val="22"/>
              </w:rPr>
            </w:pPr>
            <w:r w:rsidRPr="005375B7">
              <w:t>Eurofound</w:t>
            </w:r>
          </w:p>
        </w:tc>
        <w:tc>
          <w:tcPr>
            <w:tcW w:w="2038" w:type="dxa"/>
            <w:tcBorders>
              <w:top w:val="single" w:sz="4" w:space="0" w:color="auto"/>
              <w:left w:val="single" w:sz="4" w:space="0" w:color="auto"/>
              <w:bottom w:val="single" w:sz="4" w:space="0" w:color="auto"/>
              <w:right w:val="single" w:sz="4" w:space="0" w:color="auto"/>
            </w:tcBorders>
            <w:noWrap/>
            <w:hideMark/>
          </w:tcPr>
          <w:p w14:paraId="39ED3A77" w14:textId="77777777" w:rsidR="005375B7" w:rsidRPr="005375B7" w:rsidRDefault="005375B7" w:rsidP="005375B7">
            <w:pPr>
              <w:spacing w:after="240"/>
              <w:ind w:left="567" w:hanging="567"/>
              <w:rPr>
                <w:bCs/>
                <w:szCs w:val="22"/>
              </w:rPr>
            </w:pPr>
            <w:r w:rsidRPr="005375B7">
              <w:rPr>
                <w:bCs/>
              </w:rPr>
              <w:t>25 369 931</w:t>
            </w:r>
          </w:p>
        </w:tc>
        <w:tc>
          <w:tcPr>
            <w:tcW w:w="2360" w:type="dxa"/>
            <w:tcBorders>
              <w:top w:val="single" w:sz="4" w:space="0" w:color="auto"/>
              <w:left w:val="single" w:sz="4" w:space="0" w:color="auto"/>
              <w:bottom w:val="single" w:sz="4" w:space="0" w:color="auto"/>
              <w:right w:val="single" w:sz="4" w:space="0" w:color="auto"/>
            </w:tcBorders>
            <w:noWrap/>
            <w:hideMark/>
          </w:tcPr>
          <w:p w14:paraId="5CE8C75D" w14:textId="77777777" w:rsidR="005375B7" w:rsidRPr="005375B7" w:rsidRDefault="005375B7" w:rsidP="005375B7">
            <w:pPr>
              <w:spacing w:after="240"/>
              <w:ind w:left="567" w:hanging="567"/>
              <w:rPr>
                <w:bCs/>
                <w:szCs w:val="22"/>
              </w:rPr>
            </w:pPr>
            <w:r w:rsidRPr="005375B7">
              <w:rPr>
                <w:bCs/>
              </w:rPr>
              <w:t>22 438 000</w:t>
            </w:r>
          </w:p>
        </w:tc>
        <w:tc>
          <w:tcPr>
            <w:tcW w:w="1555" w:type="dxa"/>
            <w:tcBorders>
              <w:top w:val="single" w:sz="4" w:space="0" w:color="auto"/>
              <w:left w:val="single" w:sz="4" w:space="0" w:color="auto"/>
              <w:bottom w:val="single" w:sz="4" w:space="0" w:color="auto"/>
              <w:right w:val="single" w:sz="4" w:space="0" w:color="auto"/>
            </w:tcBorders>
            <w:noWrap/>
            <w:hideMark/>
          </w:tcPr>
          <w:p w14:paraId="69351658" w14:textId="77777777" w:rsidR="005375B7" w:rsidRPr="005375B7" w:rsidRDefault="005375B7" w:rsidP="005375B7">
            <w:pPr>
              <w:spacing w:after="240"/>
              <w:ind w:left="567" w:hanging="567"/>
              <w:rPr>
                <w:szCs w:val="22"/>
              </w:rPr>
            </w:pPr>
            <w:r w:rsidRPr="005375B7">
              <w:t>13,07</w:t>
            </w:r>
          </w:p>
        </w:tc>
      </w:tr>
      <w:tr w:rsidR="005375B7" w:rsidRPr="005375B7" w14:paraId="58C14F6C"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C6F61FD" w14:textId="77777777" w:rsidR="005375B7" w:rsidRPr="005375B7" w:rsidRDefault="005375B7" w:rsidP="005375B7">
            <w:pPr>
              <w:spacing w:after="240"/>
              <w:ind w:left="567" w:hanging="567"/>
              <w:rPr>
                <w:bCs/>
                <w:szCs w:val="22"/>
              </w:rPr>
            </w:pPr>
            <w:r w:rsidRPr="005375B7">
              <w:t xml:space="preserve">Eurojust </w:t>
            </w:r>
          </w:p>
        </w:tc>
        <w:tc>
          <w:tcPr>
            <w:tcW w:w="2038" w:type="dxa"/>
            <w:tcBorders>
              <w:top w:val="single" w:sz="4" w:space="0" w:color="auto"/>
              <w:left w:val="single" w:sz="4" w:space="0" w:color="auto"/>
              <w:bottom w:val="single" w:sz="4" w:space="0" w:color="auto"/>
              <w:right w:val="single" w:sz="4" w:space="0" w:color="auto"/>
            </w:tcBorders>
            <w:noWrap/>
            <w:hideMark/>
          </w:tcPr>
          <w:p w14:paraId="280ED764" w14:textId="77777777" w:rsidR="005375B7" w:rsidRPr="005375B7" w:rsidRDefault="005375B7" w:rsidP="005375B7">
            <w:pPr>
              <w:spacing w:after="240"/>
              <w:ind w:left="567" w:hanging="567"/>
              <w:rPr>
                <w:bCs/>
                <w:szCs w:val="22"/>
              </w:rPr>
            </w:pPr>
            <w:r w:rsidRPr="005375B7">
              <w:rPr>
                <w:bCs/>
              </w:rPr>
              <w:t>59 324 460</w:t>
            </w:r>
          </w:p>
        </w:tc>
        <w:tc>
          <w:tcPr>
            <w:tcW w:w="2360" w:type="dxa"/>
            <w:tcBorders>
              <w:top w:val="single" w:sz="4" w:space="0" w:color="auto"/>
              <w:left w:val="single" w:sz="4" w:space="0" w:color="auto"/>
              <w:bottom w:val="single" w:sz="4" w:space="0" w:color="auto"/>
              <w:right w:val="single" w:sz="4" w:space="0" w:color="auto"/>
            </w:tcBorders>
            <w:noWrap/>
            <w:hideMark/>
          </w:tcPr>
          <w:p w14:paraId="5C69DECF" w14:textId="77777777" w:rsidR="005375B7" w:rsidRPr="005375B7" w:rsidRDefault="005375B7" w:rsidP="005375B7">
            <w:pPr>
              <w:spacing w:after="240"/>
              <w:ind w:left="567" w:hanging="567"/>
              <w:rPr>
                <w:bCs/>
                <w:szCs w:val="22"/>
              </w:rPr>
            </w:pPr>
            <w:r w:rsidRPr="005375B7">
              <w:rPr>
                <w:bCs/>
              </w:rPr>
              <w:t>49 086 843</w:t>
            </w:r>
          </w:p>
        </w:tc>
        <w:tc>
          <w:tcPr>
            <w:tcW w:w="1555" w:type="dxa"/>
            <w:tcBorders>
              <w:top w:val="single" w:sz="4" w:space="0" w:color="auto"/>
              <w:left w:val="single" w:sz="4" w:space="0" w:color="auto"/>
              <w:bottom w:val="single" w:sz="4" w:space="0" w:color="auto"/>
              <w:right w:val="single" w:sz="4" w:space="0" w:color="auto"/>
            </w:tcBorders>
            <w:noWrap/>
            <w:hideMark/>
          </w:tcPr>
          <w:p w14:paraId="64958FFA" w14:textId="77777777" w:rsidR="005375B7" w:rsidRPr="005375B7" w:rsidRDefault="005375B7" w:rsidP="005375B7">
            <w:pPr>
              <w:spacing w:after="240"/>
              <w:ind w:left="567" w:hanging="567"/>
              <w:rPr>
                <w:szCs w:val="22"/>
              </w:rPr>
            </w:pPr>
            <w:r w:rsidRPr="005375B7">
              <w:t>20,86</w:t>
            </w:r>
          </w:p>
        </w:tc>
      </w:tr>
      <w:tr w:rsidR="005375B7" w:rsidRPr="005375B7" w14:paraId="428CBCC6"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B10C7C4" w14:textId="77777777" w:rsidR="005375B7" w:rsidRPr="005375B7" w:rsidRDefault="005375B7" w:rsidP="005375B7">
            <w:pPr>
              <w:spacing w:after="240"/>
              <w:ind w:left="567" w:hanging="567"/>
              <w:rPr>
                <w:bCs/>
                <w:szCs w:val="22"/>
              </w:rPr>
            </w:pPr>
            <w:r w:rsidRPr="005375B7">
              <w:t>Europol</w:t>
            </w:r>
          </w:p>
        </w:tc>
        <w:tc>
          <w:tcPr>
            <w:tcW w:w="2038" w:type="dxa"/>
            <w:tcBorders>
              <w:top w:val="single" w:sz="4" w:space="0" w:color="auto"/>
              <w:left w:val="single" w:sz="4" w:space="0" w:color="auto"/>
              <w:bottom w:val="single" w:sz="4" w:space="0" w:color="auto"/>
              <w:right w:val="single" w:sz="4" w:space="0" w:color="auto"/>
            </w:tcBorders>
            <w:noWrap/>
            <w:hideMark/>
          </w:tcPr>
          <w:p w14:paraId="1DCC6267" w14:textId="77777777" w:rsidR="005375B7" w:rsidRPr="005375B7" w:rsidRDefault="005375B7" w:rsidP="005375B7">
            <w:pPr>
              <w:spacing w:after="240"/>
              <w:ind w:left="567" w:hanging="567"/>
              <w:rPr>
                <w:bCs/>
                <w:szCs w:val="22"/>
              </w:rPr>
            </w:pPr>
            <w:r w:rsidRPr="005375B7">
              <w:rPr>
                <w:bCs/>
              </w:rPr>
              <w:t>212 925 809</w:t>
            </w:r>
          </w:p>
        </w:tc>
        <w:tc>
          <w:tcPr>
            <w:tcW w:w="2360" w:type="dxa"/>
            <w:tcBorders>
              <w:top w:val="single" w:sz="4" w:space="0" w:color="auto"/>
              <w:left w:val="single" w:sz="4" w:space="0" w:color="auto"/>
              <w:bottom w:val="single" w:sz="4" w:space="0" w:color="auto"/>
              <w:right w:val="single" w:sz="4" w:space="0" w:color="auto"/>
            </w:tcBorders>
            <w:noWrap/>
            <w:hideMark/>
          </w:tcPr>
          <w:p w14:paraId="44E7C5BC" w14:textId="77777777" w:rsidR="005375B7" w:rsidRPr="005375B7" w:rsidRDefault="005375B7" w:rsidP="005375B7">
            <w:pPr>
              <w:spacing w:after="240"/>
              <w:ind w:left="567" w:hanging="567"/>
              <w:rPr>
                <w:bCs/>
                <w:szCs w:val="22"/>
              </w:rPr>
            </w:pPr>
            <w:r w:rsidRPr="005375B7">
              <w:rPr>
                <w:bCs/>
              </w:rPr>
              <w:t>197 759 722</w:t>
            </w:r>
          </w:p>
        </w:tc>
        <w:tc>
          <w:tcPr>
            <w:tcW w:w="1555" w:type="dxa"/>
            <w:tcBorders>
              <w:top w:val="single" w:sz="4" w:space="0" w:color="auto"/>
              <w:left w:val="single" w:sz="4" w:space="0" w:color="auto"/>
              <w:bottom w:val="single" w:sz="4" w:space="0" w:color="auto"/>
              <w:right w:val="single" w:sz="4" w:space="0" w:color="auto"/>
            </w:tcBorders>
            <w:noWrap/>
            <w:hideMark/>
          </w:tcPr>
          <w:p w14:paraId="0A999F9B" w14:textId="77777777" w:rsidR="005375B7" w:rsidRPr="005375B7" w:rsidRDefault="005375B7" w:rsidP="005375B7">
            <w:pPr>
              <w:spacing w:after="240"/>
              <w:ind w:left="567" w:hanging="567"/>
              <w:rPr>
                <w:szCs w:val="22"/>
              </w:rPr>
            </w:pPr>
            <w:r w:rsidRPr="005375B7">
              <w:t>7,67</w:t>
            </w:r>
          </w:p>
        </w:tc>
      </w:tr>
      <w:tr w:rsidR="005375B7" w:rsidRPr="005375B7" w14:paraId="3CF70C1E"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C32CC00" w14:textId="77777777" w:rsidR="005375B7" w:rsidRPr="005375B7" w:rsidRDefault="005375B7" w:rsidP="005375B7">
            <w:pPr>
              <w:spacing w:after="240"/>
              <w:ind w:left="567" w:hanging="567"/>
              <w:rPr>
                <w:bCs/>
                <w:szCs w:val="22"/>
              </w:rPr>
            </w:pPr>
            <w:r w:rsidRPr="005375B7">
              <w:t>EUSPA</w:t>
            </w:r>
          </w:p>
        </w:tc>
        <w:tc>
          <w:tcPr>
            <w:tcW w:w="2038" w:type="dxa"/>
            <w:tcBorders>
              <w:top w:val="single" w:sz="4" w:space="0" w:color="auto"/>
              <w:left w:val="single" w:sz="4" w:space="0" w:color="auto"/>
              <w:bottom w:val="single" w:sz="4" w:space="0" w:color="auto"/>
              <w:right w:val="single" w:sz="4" w:space="0" w:color="auto"/>
            </w:tcBorders>
            <w:noWrap/>
            <w:hideMark/>
          </w:tcPr>
          <w:p w14:paraId="33C8EE33" w14:textId="77777777" w:rsidR="005375B7" w:rsidRPr="005375B7" w:rsidRDefault="005375B7" w:rsidP="005375B7">
            <w:pPr>
              <w:spacing w:after="240"/>
              <w:ind w:left="567" w:hanging="567"/>
              <w:rPr>
                <w:bCs/>
                <w:szCs w:val="22"/>
              </w:rPr>
            </w:pPr>
            <w:r w:rsidRPr="005375B7">
              <w:rPr>
                <w:bCs/>
              </w:rPr>
              <w:t>76 922 866</w:t>
            </w:r>
          </w:p>
        </w:tc>
        <w:tc>
          <w:tcPr>
            <w:tcW w:w="2360" w:type="dxa"/>
            <w:tcBorders>
              <w:top w:val="single" w:sz="4" w:space="0" w:color="auto"/>
              <w:left w:val="single" w:sz="4" w:space="0" w:color="auto"/>
              <w:bottom w:val="single" w:sz="4" w:space="0" w:color="auto"/>
              <w:right w:val="single" w:sz="4" w:space="0" w:color="auto"/>
            </w:tcBorders>
            <w:noWrap/>
            <w:hideMark/>
          </w:tcPr>
          <w:p w14:paraId="3E66D7F8" w14:textId="77777777" w:rsidR="005375B7" w:rsidRPr="005375B7" w:rsidRDefault="005375B7" w:rsidP="005375B7">
            <w:pPr>
              <w:spacing w:after="240"/>
              <w:ind w:left="567" w:hanging="567"/>
              <w:rPr>
                <w:bCs/>
                <w:szCs w:val="22"/>
              </w:rPr>
            </w:pPr>
            <w:r w:rsidRPr="005375B7">
              <w:rPr>
                <w:bCs/>
              </w:rPr>
              <w:t>65 392 492</w:t>
            </w:r>
          </w:p>
        </w:tc>
        <w:tc>
          <w:tcPr>
            <w:tcW w:w="1555" w:type="dxa"/>
            <w:tcBorders>
              <w:top w:val="single" w:sz="4" w:space="0" w:color="auto"/>
              <w:left w:val="single" w:sz="4" w:space="0" w:color="auto"/>
              <w:bottom w:val="single" w:sz="4" w:space="0" w:color="auto"/>
              <w:right w:val="single" w:sz="4" w:space="0" w:color="auto"/>
            </w:tcBorders>
            <w:noWrap/>
            <w:hideMark/>
          </w:tcPr>
          <w:p w14:paraId="0A781CD7" w14:textId="77777777" w:rsidR="005375B7" w:rsidRPr="005375B7" w:rsidRDefault="005375B7" w:rsidP="005375B7">
            <w:pPr>
              <w:spacing w:after="240"/>
              <w:ind w:left="567" w:hanging="567"/>
              <w:rPr>
                <w:szCs w:val="22"/>
              </w:rPr>
            </w:pPr>
            <w:r w:rsidRPr="005375B7">
              <w:t>17,63</w:t>
            </w:r>
          </w:p>
        </w:tc>
      </w:tr>
      <w:tr w:rsidR="005375B7" w:rsidRPr="005375B7" w14:paraId="5A963942"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C98B496" w14:textId="77777777" w:rsidR="005375B7" w:rsidRPr="005375B7" w:rsidRDefault="005375B7" w:rsidP="005375B7">
            <w:pPr>
              <w:spacing w:after="240"/>
              <w:ind w:left="567" w:hanging="567"/>
              <w:rPr>
                <w:bCs/>
                <w:szCs w:val="22"/>
              </w:rPr>
            </w:pPr>
            <w:r w:rsidRPr="005375B7">
              <w:t>FRA</w:t>
            </w:r>
          </w:p>
        </w:tc>
        <w:tc>
          <w:tcPr>
            <w:tcW w:w="2038" w:type="dxa"/>
            <w:tcBorders>
              <w:top w:val="single" w:sz="4" w:space="0" w:color="auto"/>
              <w:left w:val="single" w:sz="4" w:space="0" w:color="auto"/>
              <w:bottom w:val="single" w:sz="4" w:space="0" w:color="auto"/>
              <w:right w:val="single" w:sz="4" w:space="0" w:color="auto"/>
            </w:tcBorders>
            <w:noWrap/>
            <w:hideMark/>
          </w:tcPr>
          <w:p w14:paraId="3954C897" w14:textId="77777777" w:rsidR="005375B7" w:rsidRPr="005375B7" w:rsidRDefault="005375B7" w:rsidP="005375B7">
            <w:pPr>
              <w:spacing w:after="240"/>
              <w:ind w:left="567" w:hanging="567"/>
              <w:rPr>
                <w:bCs/>
                <w:szCs w:val="22"/>
              </w:rPr>
            </w:pPr>
            <w:r w:rsidRPr="005375B7">
              <w:rPr>
                <w:bCs/>
              </w:rPr>
              <w:t>26 191 031</w:t>
            </w:r>
          </w:p>
        </w:tc>
        <w:tc>
          <w:tcPr>
            <w:tcW w:w="2360" w:type="dxa"/>
            <w:tcBorders>
              <w:top w:val="single" w:sz="4" w:space="0" w:color="auto"/>
              <w:left w:val="single" w:sz="4" w:space="0" w:color="auto"/>
              <w:bottom w:val="single" w:sz="4" w:space="0" w:color="auto"/>
              <w:right w:val="single" w:sz="4" w:space="0" w:color="auto"/>
            </w:tcBorders>
            <w:noWrap/>
            <w:hideMark/>
          </w:tcPr>
          <w:p w14:paraId="04A02A7E" w14:textId="77777777" w:rsidR="005375B7" w:rsidRPr="005375B7" w:rsidRDefault="005375B7" w:rsidP="005375B7">
            <w:pPr>
              <w:spacing w:after="240"/>
              <w:ind w:left="567" w:hanging="567"/>
              <w:rPr>
                <w:bCs/>
                <w:szCs w:val="22"/>
              </w:rPr>
            </w:pPr>
            <w:r w:rsidRPr="005375B7">
              <w:rPr>
                <w:bCs/>
              </w:rPr>
              <w:t>25 857 952</w:t>
            </w:r>
          </w:p>
        </w:tc>
        <w:tc>
          <w:tcPr>
            <w:tcW w:w="1555" w:type="dxa"/>
            <w:tcBorders>
              <w:top w:val="single" w:sz="4" w:space="0" w:color="auto"/>
              <w:left w:val="single" w:sz="4" w:space="0" w:color="auto"/>
              <w:bottom w:val="single" w:sz="4" w:space="0" w:color="auto"/>
              <w:right w:val="single" w:sz="4" w:space="0" w:color="auto"/>
            </w:tcBorders>
            <w:noWrap/>
            <w:hideMark/>
          </w:tcPr>
          <w:p w14:paraId="0F8ACAE4" w14:textId="77777777" w:rsidR="005375B7" w:rsidRPr="005375B7" w:rsidRDefault="005375B7" w:rsidP="005375B7">
            <w:pPr>
              <w:spacing w:after="240"/>
              <w:ind w:left="567" w:hanging="567"/>
              <w:rPr>
                <w:szCs w:val="22"/>
              </w:rPr>
            </w:pPr>
            <w:r w:rsidRPr="005375B7">
              <w:t>1,29</w:t>
            </w:r>
          </w:p>
        </w:tc>
      </w:tr>
      <w:tr w:rsidR="005375B7" w:rsidRPr="005375B7" w14:paraId="7F263415"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01F8E2A" w14:textId="77777777" w:rsidR="005375B7" w:rsidRPr="005375B7" w:rsidRDefault="005375B7" w:rsidP="005375B7">
            <w:pPr>
              <w:spacing w:after="240"/>
              <w:ind w:left="567" w:hanging="567"/>
              <w:rPr>
                <w:bCs/>
                <w:szCs w:val="22"/>
              </w:rPr>
            </w:pPr>
            <w:r w:rsidRPr="005375B7">
              <w:t>Frontex</w:t>
            </w:r>
          </w:p>
        </w:tc>
        <w:tc>
          <w:tcPr>
            <w:tcW w:w="2038" w:type="dxa"/>
            <w:tcBorders>
              <w:top w:val="single" w:sz="4" w:space="0" w:color="auto"/>
              <w:left w:val="single" w:sz="4" w:space="0" w:color="auto"/>
              <w:bottom w:val="single" w:sz="4" w:space="0" w:color="auto"/>
              <w:right w:val="single" w:sz="4" w:space="0" w:color="auto"/>
            </w:tcBorders>
            <w:noWrap/>
            <w:hideMark/>
          </w:tcPr>
          <w:p w14:paraId="659DBE64" w14:textId="77777777" w:rsidR="005375B7" w:rsidRPr="005375B7" w:rsidRDefault="005375B7" w:rsidP="005375B7">
            <w:pPr>
              <w:spacing w:after="240"/>
              <w:ind w:left="567" w:hanging="567"/>
              <w:rPr>
                <w:bCs/>
                <w:szCs w:val="22"/>
              </w:rPr>
            </w:pPr>
            <w:r w:rsidRPr="005375B7">
              <w:rPr>
                <w:bCs/>
              </w:rPr>
              <w:t>829 352 752</w:t>
            </w:r>
          </w:p>
        </w:tc>
        <w:tc>
          <w:tcPr>
            <w:tcW w:w="2360" w:type="dxa"/>
            <w:tcBorders>
              <w:top w:val="single" w:sz="4" w:space="0" w:color="auto"/>
              <w:left w:val="single" w:sz="4" w:space="0" w:color="auto"/>
              <w:bottom w:val="single" w:sz="4" w:space="0" w:color="auto"/>
              <w:right w:val="single" w:sz="4" w:space="0" w:color="auto"/>
            </w:tcBorders>
            <w:noWrap/>
            <w:hideMark/>
          </w:tcPr>
          <w:p w14:paraId="6F9DFA10" w14:textId="77777777" w:rsidR="005375B7" w:rsidRPr="005375B7" w:rsidRDefault="005375B7" w:rsidP="005375B7">
            <w:pPr>
              <w:spacing w:after="240"/>
              <w:ind w:left="567" w:hanging="567"/>
              <w:rPr>
                <w:bCs/>
                <w:szCs w:val="22"/>
              </w:rPr>
            </w:pPr>
            <w:r w:rsidRPr="005375B7">
              <w:rPr>
                <w:bCs/>
              </w:rPr>
              <w:t>693 122 858</w:t>
            </w:r>
          </w:p>
        </w:tc>
        <w:tc>
          <w:tcPr>
            <w:tcW w:w="1555" w:type="dxa"/>
            <w:tcBorders>
              <w:top w:val="single" w:sz="4" w:space="0" w:color="auto"/>
              <w:left w:val="single" w:sz="4" w:space="0" w:color="auto"/>
              <w:bottom w:val="single" w:sz="4" w:space="0" w:color="auto"/>
              <w:right w:val="single" w:sz="4" w:space="0" w:color="auto"/>
            </w:tcBorders>
            <w:noWrap/>
            <w:hideMark/>
          </w:tcPr>
          <w:p w14:paraId="1A8F1BB2" w14:textId="77777777" w:rsidR="005375B7" w:rsidRPr="005375B7" w:rsidRDefault="005375B7" w:rsidP="005375B7">
            <w:pPr>
              <w:spacing w:after="240"/>
              <w:ind w:left="567" w:hanging="567"/>
              <w:rPr>
                <w:szCs w:val="22"/>
              </w:rPr>
            </w:pPr>
            <w:r w:rsidRPr="005375B7">
              <w:t>19,65</w:t>
            </w:r>
          </w:p>
        </w:tc>
      </w:tr>
      <w:tr w:rsidR="005375B7" w:rsidRPr="005375B7" w14:paraId="656FB30C" w14:textId="77777777" w:rsidTr="00982A76">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7A90136" w14:textId="77777777" w:rsidR="005375B7" w:rsidRPr="005375B7" w:rsidRDefault="005375B7" w:rsidP="005375B7">
            <w:pPr>
              <w:spacing w:after="240"/>
              <w:ind w:left="567" w:hanging="567"/>
              <w:jc w:val="right"/>
              <w:rPr>
                <w:bCs/>
                <w:szCs w:val="22"/>
              </w:rPr>
            </w:pPr>
            <w:r w:rsidRPr="005375B7">
              <w:t>TOTALT</w:t>
            </w:r>
          </w:p>
        </w:tc>
        <w:tc>
          <w:tcPr>
            <w:tcW w:w="2038" w:type="dxa"/>
            <w:tcBorders>
              <w:top w:val="single" w:sz="4" w:space="0" w:color="auto"/>
              <w:left w:val="single" w:sz="4" w:space="0" w:color="auto"/>
              <w:bottom w:val="single" w:sz="4" w:space="0" w:color="auto"/>
              <w:right w:val="single" w:sz="4" w:space="0" w:color="auto"/>
            </w:tcBorders>
            <w:noWrap/>
            <w:hideMark/>
          </w:tcPr>
          <w:p w14:paraId="29A070ED" w14:textId="77777777" w:rsidR="005375B7" w:rsidRPr="005375B7" w:rsidRDefault="005375B7" w:rsidP="005375B7">
            <w:pPr>
              <w:spacing w:after="240"/>
              <w:ind w:left="567" w:hanging="567"/>
              <w:rPr>
                <w:szCs w:val="22"/>
              </w:rPr>
            </w:pPr>
            <w:r w:rsidRPr="005375B7">
              <w:t>3 741 954 189</w:t>
            </w:r>
          </w:p>
        </w:tc>
        <w:tc>
          <w:tcPr>
            <w:tcW w:w="2360" w:type="dxa"/>
            <w:tcBorders>
              <w:top w:val="single" w:sz="4" w:space="0" w:color="auto"/>
              <w:left w:val="single" w:sz="4" w:space="0" w:color="auto"/>
              <w:bottom w:val="single" w:sz="4" w:space="0" w:color="auto"/>
              <w:right w:val="single" w:sz="4" w:space="0" w:color="auto"/>
            </w:tcBorders>
            <w:noWrap/>
            <w:hideMark/>
          </w:tcPr>
          <w:p w14:paraId="0B18F4C4" w14:textId="77777777" w:rsidR="005375B7" w:rsidRPr="005375B7" w:rsidRDefault="005375B7" w:rsidP="005375B7">
            <w:pPr>
              <w:spacing w:after="240"/>
              <w:ind w:left="567" w:hanging="567"/>
              <w:rPr>
                <w:szCs w:val="22"/>
              </w:rPr>
            </w:pPr>
            <w:r w:rsidRPr="005375B7">
              <w:t>3 605 018 178</w:t>
            </w:r>
          </w:p>
        </w:tc>
        <w:tc>
          <w:tcPr>
            <w:tcW w:w="1555" w:type="dxa"/>
            <w:tcBorders>
              <w:top w:val="single" w:sz="4" w:space="0" w:color="auto"/>
              <w:left w:val="single" w:sz="4" w:space="0" w:color="auto"/>
              <w:bottom w:val="single" w:sz="4" w:space="0" w:color="auto"/>
              <w:right w:val="single" w:sz="4" w:space="0" w:color="auto"/>
            </w:tcBorders>
            <w:noWrap/>
            <w:hideMark/>
          </w:tcPr>
          <w:p w14:paraId="5772AD50" w14:textId="77777777" w:rsidR="005375B7" w:rsidRPr="005375B7" w:rsidRDefault="005375B7" w:rsidP="005375B7">
            <w:pPr>
              <w:spacing w:after="240"/>
              <w:ind w:left="567" w:hanging="567"/>
              <w:rPr>
                <w:szCs w:val="22"/>
              </w:rPr>
            </w:pPr>
            <w:r w:rsidRPr="005375B7">
              <w:t>3,80</w:t>
            </w:r>
          </w:p>
        </w:tc>
      </w:tr>
      <w:tr w:rsidR="005375B7" w:rsidRPr="005375B7" w14:paraId="6CB24BA0" w14:textId="77777777" w:rsidTr="00982A76">
        <w:trPr>
          <w:trHeight w:val="285"/>
        </w:trPr>
        <w:tc>
          <w:tcPr>
            <w:tcW w:w="8075" w:type="dxa"/>
            <w:gridSpan w:val="4"/>
            <w:tcBorders>
              <w:top w:val="single" w:sz="4" w:space="0" w:color="auto"/>
              <w:left w:val="single" w:sz="4" w:space="0" w:color="auto"/>
              <w:bottom w:val="single" w:sz="4" w:space="0" w:color="auto"/>
              <w:right w:val="single" w:sz="4" w:space="0" w:color="auto"/>
            </w:tcBorders>
            <w:noWrap/>
          </w:tcPr>
          <w:p w14:paraId="0934BD29" w14:textId="77777777" w:rsidR="005375B7" w:rsidRPr="005375B7" w:rsidRDefault="005375B7" w:rsidP="005375B7">
            <w:pPr>
              <w:widowControl/>
              <w:ind w:left="567" w:hanging="567"/>
            </w:pPr>
            <w:r w:rsidRPr="005375B7">
              <w:t>(</w:t>
            </w:r>
            <w:r w:rsidRPr="005375B7">
              <w:rPr>
                <w:vertAlign w:val="superscript"/>
              </w:rPr>
              <w:t>1</w:t>
            </w:r>
            <w:r w:rsidRPr="005375B7">
              <w:t>)</w:t>
            </w:r>
            <w:r w:rsidRPr="005375B7">
              <w:tab/>
              <w:t>Överskott som överförts från föregående budgetår har dragits av.</w:t>
            </w:r>
          </w:p>
          <w:p w14:paraId="474993A7" w14:textId="77777777" w:rsidR="005375B7" w:rsidRPr="005375B7" w:rsidRDefault="005375B7" w:rsidP="005375B7">
            <w:pPr>
              <w:spacing w:after="240"/>
              <w:ind w:left="567" w:hanging="567"/>
            </w:pPr>
            <w:r w:rsidRPr="005375B7">
              <w:t>(</w:t>
            </w:r>
            <w:r w:rsidRPr="005375B7">
              <w:rPr>
                <w:vertAlign w:val="superscript"/>
              </w:rPr>
              <w:t>2</w:t>
            </w:r>
            <w:r w:rsidRPr="005375B7">
              <w:t>)</w:t>
            </w:r>
            <w:r w:rsidRPr="005375B7">
              <w:tab/>
              <w:t>Budgetkorrigeringar motsvarande ackumulerade överskott har dragits av.</w:t>
            </w:r>
          </w:p>
        </w:tc>
      </w:tr>
    </w:tbl>
    <w:p w14:paraId="0F0C30C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20.</w:t>
      </w:r>
      <w:r w:rsidRPr="005375B7">
        <w:rPr>
          <w:kern w:val="2"/>
          <w14:ligatures w14:val="standardContextual"/>
        </w:rPr>
        <w:tab/>
        <w:t>Europaparlamentet framhåller att ökningen av inkomsterna från 2022 till 2023 har varit betydande i vissa byråer: 54,59 % för ESA, 20,86 % för Eurojust, 19,65 % för Frontex och 19,15 % för Acer. Parlamentet välkomnar den ökade finansieringen till de brottsbekämpande myndigheterna.</w:t>
      </w:r>
    </w:p>
    <w:p w14:paraId="61B86C0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21.</w:t>
      </w:r>
      <w:r w:rsidRPr="005375B7">
        <w:rPr>
          <w:kern w:val="2"/>
          <w14:ligatures w14:val="standardContextual"/>
        </w:rPr>
        <w:tab/>
        <w:t xml:space="preserve">Europaparlamentet noterar att ökningen i ESA främst beror på den fortsatta utvecklingen av it-systemet för kärnenergiobservatoriet och ESA:s informationshantering (NOEMI) och tillhandahållandet av redovisningstjänster till </w:t>
      </w:r>
      <w:r w:rsidRPr="005375B7">
        <w:rPr>
          <w:kern w:val="2"/>
          <w14:ligatures w14:val="standardContextual"/>
        </w:rPr>
        <w:lastRenderedPageBreak/>
        <w:t>byrån. För Eurojusts del beror ökningen främst på de ytterligare resurser som behövs för att fullgöra de uppgifter som läggs till genom de tre förslag till förordningar som kommissionen lagt fram och för att kompensera för de särskilt allvarliga effekterna av inflationen </w:t>
      </w:r>
      <w:r w:rsidRPr="005375B7">
        <w:rPr>
          <w:kern w:val="2"/>
          <w:vertAlign w:val="superscript"/>
          <w14:ligatures w14:val="standardContextual"/>
        </w:rPr>
        <w:footnoteReference w:id="409"/>
      </w:r>
      <w:r w:rsidRPr="005375B7">
        <w:rPr>
          <w:kern w:val="2"/>
          <w14:ligatures w14:val="standardContextual"/>
        </w:rPr>
        <w:t>. För Frontex del syftar budgetökningen till att fortsätta bygga upp den stående styrkan av gränsbevakningstjänstemän, inbegripet utrustning </w:t>
      </w:r>
      <w:r w:rsidRPr="005375B7">
        <w:rPr>
          <w:kern w:val="2"/>
          <w:vertAlign w:val="superscript"/>
          <w14:ligatures w14:val="standardContextual"/>
        </w:rPr>
        <w:footnoteReference w:id="410"/>
      </w:r>
      <w:r w:rsidRPr="005375B7">
        <w:rPr>
          <w:kern w:val="2"/>
          <w14:ligatures w14:val="standardContextual"/>
        </w:rPr>
        <w:t>. När det gäller Acer beror ökningen främst på de ytterligare uppgifter som delegerats i de planerade reviderade förordningarna om energiinfrastruktur och minskning av metanutsläpp </w:t>
      </w:r>
      <w:r w:rsidRPr="005375B7">
        <w:rPr>
          <w:kern w:val="2"/>
          <w:vertAlign w:val="superscript"/>
          <w14:ligatures w14:val="standardContextual"/>
        </w:rPr>
        <w:footnoteReference w:id="411"/>
      </w:r>
      <w:r w:rsidRPr="005375B7">
        <w:rPr>
          <w:kern w:val="2"/>
          <w14:ligatures w14:val="standardContextual"/>
        </w:rPr>
        <w:t>, den tillhörande årliga löneindexeringen, högre rättsliga kostnader och ett högre budgetanslag som härrör från avgifter för specifika projekt.</w:t>
      </w:r>
    </w:p>
    <w:p w14:paraId="7B144C29"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t>22.</w:t>
      </w:r>
      <w:r w:rsidRPr="005375B7">
        <w:rPr>
          <w:kern w:val="2"/>
          <w14:ligatures w14:val="standardContextual"/>
        </w:rPr>
        <w:tab/>
        <w:t>Europaparlamentet bekräftar svaret på den skriftliga frågan om att Frontex överföringar (45 % 2023) är kopplade till dess driftscykel, vilken inte stämmer överens med kalenderåret och inte enkelt kan justeras eftersom den inbegriper alla medlemsstater. Parlamentet är medvetet om att kommissionens politiska prioriteringar och unionsmedborgarnas förväntningar på säkerhet är de förklaringar som används för att öka Frontex budget. Parlamentet insisterar på att det är viktigt att säkerställa tillräckliga resurser för att Frontex ska kunna fungera effektivt, samtidigt som man fortlöpande bedömer om dess budget är ändamålsenlig och ger resultat. Parlamentet påminner om behovet av att övervaka framstegen med byråns absorptionsförmåga, särskilt genom rekrytering av gräns- och kustbevakningspersonal, och betonar vikten av sund planering för att säkerställa dess effektivitet. Parlamentet uppmanar EU-byråernas nätverk att samarbeta med byråerna och revisionsrätten för att utveckla en standardiserad presentation av överföringar som stämmer bättre överens med budgetförordningens princip om ettårighet.</w:t>
      </w:r>
    </w:p>
    <w:p w14:paraId="54BAAD0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23.</w:t>
      </w:r>
      <w:r w:rsidRPr="005375B7">
        <w:rPr>
          <w:kern w:val="2"/>
          <w14:ligatures w14:val="standardContextual"/>
        </w:rPr>
        <w:tab/>
        <w:t>Europaparlamentet påminner om att majoriteten av EU-byråerna får sin finansiering helt och hållet genom bidrag från unionens budget. Parlamentet noterar dock att vissa byråer helt eller delvis finansieras genom alternativa inkomstkällor, däribland intyg, tillstånd, registrering av ämnen, bidrag, datainsamling, marknadskontroll, tillsyn och andra tjänster såsom översättning och terminologi som tillhandahålls av Översättningscentrum för Europeiska unionens organ (CdT).</w:t>
      </w:r>
    </w:p>
    <w:p w14:paraId="188C507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24.</w:t>
      </w:r>
      <w:r w:rsidRPr="005375B7">
        <w:rPr>
          <w:kern w:val="2"/>
          <w14:ligatures w14:val="standardContextual"/>
        </w:rPr>
        <w:tab/>
        <w:t>Europaparlamentet konstaterar särskilt följande:</w:t>
      </w:r>
    </w:p>
    <w:p w14:paraId="59F8A3AD" w14:textId="54F45762" w:rsidR="005375B7" w:rsidRPr="005375B7" w:rsidRDefault="001D2F8A" w:rsidP="005375B7">
      <w:pPr>
        <w:spacing w:after="240"/>
        <w:ind w:left="1134" w:hanging="567"/>
        <w:rPr>
          <w:kern w:val="2"/>
          <w14:ligatures w14:val="standardContextual"/>
        </w:rPr>
      </w:pPr>
      <w:r>
        <w:rPr>
          <w:kern w:val="2"/>
          <w14:ligatures w14:val="standardContextual"/>
        </w:rPr>
        <w:t>-</w:t>
      </w:r>
      <w:r w:rsidR="005375B7" w:rsidRPr="005375B7">
        <w:rPr>
          <w:kern w:val="2"/>
          <w14:ligatures w14:val="standardContextual"/>
        </w:rPr>
        <w:tab/>
        <w:t>Delvis självfinansierade byråer omfattar Europeiska byrån för luftfartssäkerhet (Easa), Europeiska unionens järnvägsbyrå (ERA), Byrån för samarbete mellan energitillsynsmyndigheter (Acer), Europeiska kemikaliemyndigheten (Echa) och Europeiska läkemedelsmyndigheten (EMA).</w:t>
      </w:r>
    </w:p>
    <w:p w14:paraId="32ABFCA4" w14:textId="0F0B8C3F" w:rsidR="005375B7" w:rsidRPr="005375B7" w:rsidRDefault="001D2F8A" w:rsidP="005375B7">
      <w:pPr>
        <w:spacing w:after="240"/>
        <w:ind w:left="1134" w:hanging="567"/>
        <w:rPr>
          <w:kern w:val="2"/>
          <w14:ligatures w14:val="standardContextual"/>
        </w:rPr>
      </w:pPr>
      <w:r>
        <w:rPr>
          <w:kern w:val="2"/>
          <w14:ligatures w14:val="standardContextual"/>
        </w:rPr>
        <w:t>-</w:t>
      </w:r>
      <w:r w:rsidR="005375B7" w:rsidRPr="005375B7">
        <w:rPr>
          <w:kern w:val="2"/>
          <w14:ligatures w14:val="standardContextual"/>
        </w:rPr>
        <w:tab/>
        <w:t>Bland de organ som är helt självfinansierade ingår CdT.</w:t>
      </w:r>
    </w:p>
    <w:p w14:paraId="0B07DC6C" w14:textId="08044947" w:rsidR="005375B7" w:rsidRPr="005375B7" w:rsidRDefault="001D2F8A" w:rsidP="005375B7">
      <w:pPr>
        <w:spacing w:after="240"/>
        <w:ind w:left="1134" w:hanging="567"/>
        <w:rPr>
          <w:kern w:val="2"/>
          <w14:ligatures w14:val="standardContextual"/>
        </w:rPr>
      </w:pPr>
      <w:r>
        <w:rPr>
          <w:kern w:val="2"/>
          <w14:ligatures w14:val="standardContextual"/>
        </w:rPr>
        <w:t>-</w:t>
      </w:r>
      <w:r w:rsidR="005375B7" w:rsidRPr="005375B7">
        <w:rPr>
          <w:kern w:val="2"/>
          <w14:ligatures w14:val="standardContextual"/>
        </w:rPr>
        <w:tab/>
        <w:t>Organ som delvis medfinansieras av nationella offentliga myndigheter är Europeiska bankmyndigheten (EBA), Europeiska försäkrings- och tjänstepensionsmyndigheten (Eiopa) och Europeiska värdepappers- och marknadsmyndigheten (Esma).</w:t>
      </w:r>
    </w:p>
    <w:p w14:paraId="479FE198" w14:textId="77777777" w:rsidR="005375B7" w:rsidRPr="005375B7" w:rsidRDefault="005375B7" w:rsidP="005375B7">
      <w:pPr>
        <w:spacing w:after="120"/>
        <w:ind w:left="567" w:hanging="567"/>
        <w:rPr>
          <w:kern w:val="2"/>
          <w14:ligatures w14:val="standardContextual"/>
        </w:rPr>
      </w:pPr>
      <w:r w:rsidRPr="005375B7">
        <w:rPr>
          <w:kern w:val="2"/>
          <w14:ligatures w14:val="standardContextual"/>
        </w:rPr>
        <w:t>25.</w:t>
      </w:r>
      <w:r w:rsidRPr="005375B7">
        <w:rPr>
          <w:kern w:val="2"/>
          <w14:ligatures w14:val="standardContextual"/>
        </w:rPr>
        <w:tab/>
        <w:t xml:space="preserve">Europaparlamentet noterar att finansieringskällan för självfinansierade byråer som ingår </w:t>
      </w:r>
      <w:r w:rsidRPr="005375B7">
        <w:rPr>
          <w:kern w:val="2"/>
          <w14:ligatures w14:val="standardContextual"/>
        </w:rPr>
        <w:lastRenderedPageBreak/>
        <w:t>i denna resolution för 2023 var uppdelad på följande sätt:</w:t>
      </w:r>
    </w:p>
    <w:tbl>
      <w:tblPr>
        <w:tblStyle w:val="TableGrid"/>
        <w:tblW w:w="7948" w:type="dxa"/>
        <w:tblLook w:val="04A0" w:firstRow="1" w:lastRow="0" w:firstColumn="1" w:lastColumn="0" w:noHBand="0" w:noVBand="1"/>
      </w:tblPr>
      <w:tblGrid>
        <w:gridCol w:w="1150"/>
        <w:gridCol w:w="1630"/>
        <w:gridCol w:w="1416"/>
        <w:gridCol w:w="696"/>
        <w:gridCol w:w="1461"/>
        <w:gridCol w:w="664"/>
        <w:gridCol w:w="1300"/>
      </w:tblGrid>
      <w:tr w:rsidR="005375B7" w:rsidRPr="005375B7" w14:paraId="32ADA0F1" w14:textId="77777777" w:rsidTr="00982A76">
        <w:trPr>
          <w:cantSplit/>
          <w:trHeight w:val="293"/>
          <w:tblHeader/>
        </w:trPr>
        <w:tc>
          <w:tcPr>
            <w:tcW w:w="917" w:type="dxa"/>
            <w:tcBorders>
              <w:top w:val="single" w:sz="4" w:space="0" w:color="auto"/>
              <w:left w:val="single" w:sz="4" w:space="0" w:color="auto"/>
              <w:bottom w:val="single" w:sz="4" w:space="0" w:color="auto"/>
              <w:right w:val="single" w:sz="4" w:space="0" w:color="auto"/>
            </w:tcBorders>
            <w:noWrap/>
            <w:hideMark/>
          </w:tcPr>
          <w:p w14:paraId="5B9E4D33" w14:textId="77777777" w:rsidR="005375B7" w:rsidRPr="005375B7" w:rsidRDefault="005375B7" w:rsidP="005375B7">
            <w:pPr>
              <w:widowControl/>
              <w:spacing w:after="120"/>
              <w:ind w:left="567" w:hanging="567"/>
            </w:pPr>
          </w:p>
        </w:tc>
        <w:tc>
          <w:tcPr>
            <w:tcW w:w="1630" w:type="dxa"/>
            <w:tcBorders>
              <w:top w:val="single" w:sz="4" w:space="0" w:color="auto"/>
              <w:left w:val="single" w:sz="4" w:space="0" w:color="auto"/>
              <w:bottom w:val="single" w:sz="4" w:space="0" w:color="auto"/>
              <w:right w:val="single" w:sz="4" w:space="0" w:color="auto"/>
            </w:tcBorders>
            <w:noWrap/>
            <w:hideMark/>
          </w:tcPr>
          <w:p w14:paraId="63047438" w14:textId="77777777" w:rsidR="005375B7" w:rsidRPr="005375B7" w:rsidRDefault="005375B7" w:rsidP="005375B7">
            <w:pPr>
              <w:spacing w:after="120"/>
              <w:jc w:val="center"/>
              <w:rPr>
                <w:bCs/>
              </w:rPr>
            </w:pPr>
            <w:r w:rsidRPr="005375B7">
              <w:rPr>
                <w:bCs/>
              </w:rPr>
              <w:t>Inkomster 2023 (euro)</w:t>
            </w:r>
          </w:p>
        </w:tc>
        <w:tc>
          <w:tcPr>
            <w:tcW w:w="1280" w:type="dxa"/>
            <w:tcBorders>
              <w:top w:val="single" w:sz="4" w:space="0" w:color="auto"/>
              <w:left w:val="single" w:sz="4" w:space="0" w:color="auto"/>
              <w:bottom w:val="single" w:sz="4" w:space="0" w:color="auto"/>
              <w:right w:val="single" w:sz="4" w:space="0" w:color="auto"/>
            </w:tcBorders>
            <w:noWrap/>
            <w:hideMark/>
          </w:tcPr>
          <w:p w14:paraId="3CEB6841" w14:textId="77777777" w:rsidR="005375B7" w:rsidRPr="005375B7" w:rsidRDefault="005375B7" w:rsidP="005375B7">
            <w:pPr>
              <w:spacing w:after="120"/>
              <w:jc w:val="center"/>
              <w:rPr>
                <w:bCs/>
              </w:rPr>
            </w:pPr>
            <w:r w:rsidRPr="005375B7">
              <w:rPr>
                <w:bCs/>
              </w:rPr>
              <w:t>EU-bidrag (euro)</w:t>
            </w:r>
          </w:p>
        </w:tc>
        <w:tc>
          <w:tcPr>
            <w:tcW w:w="696" w:type="dxa"/>
            <w:tcBorders>
              <w:top w:val="single" w:sz="4" w:space="0" w:color="auto"/>
              <w:left w:val="single" w:sz="4" w:space="0" w:color="auto"/>
              <w:bottom w:val="single" w:sz="4" w:space="0" w:color="auto"/>
              <w:right w:val="single" w:sz="4" w:space="0" w:color="auto"/>
            </w:tcBorders>
            <w:noWrap/>
            <w:hideMark/>
          </w:tcPr>
          <w:p w14:paraId="2E0B4C46" w14:textId="77777777" w:rsidR="005375B7" w:rsidRPr="005375B7" w:rsidRDefault="005375B7" w:rsidP="005375B7">
            <w:pPr>
              <w:spacing w:after="120"/>
              <w:ind w:left="567" w:hanging="567"/>
              <w:jc w:val="center"/>
              <w:rPr>
                <w:bCs/>
              </w:rPr>
            </w:pPr>
            <w:r w:rsidRPr="005375B7">
              <w:rPr>
                <w:bCs/>
              </w:rPr>
              <w:t>%</w:t>
            </w:r>
          </w:p>
        </w:tc>
        <w:tc>
          <w:tcPr>
            <w:tcW w:w="1461" w:type="dxa"/>
            <w:tcBorders>
              <w:top w:val="single" w:sz="4" w:space="0" w:color="auto"/>
              <w:left w:val="single" w:sz="4" w:space="0" w:color="auto"/>
              <w:bottom w:val="single" w:sz="4" w:space="0" w:color="auto"/>
              <w:right w:val="single" w:sz="4" w:space="0" w:color="auto"/>
            </w:tcBorders>
            <w:noWrap/>
            <w:hideMark/>
          </w:tcPr>
          <w:p w14:paraId="0279D7ED" w14:textId="77777777" w:rsidR="005375B7" w:rsidRPr="005375B7" w:rsidRDefault="005375B7" w:rsidP="005375B7">
            <w:pPr>
              <w:spacing w:after="120"/>
              <w:jc w:val="center"/>
              <w:rPr>
                <w:bCs/>
              </w:rPr>
            </w:pPr>
            <w:r w:rsidRPr="005375B7">
              <w:rPr>
                <w:bCs/>
              </w:rPr>
              <w:t>Egna inkomster (euro)</w:t>
            </w:r>
          </w:p>
        </w:tc>
        <w:tc>
          <w:tcPr>
            <w:tcW w:w="664" w:type="dxa"/>
            <w:tcBorders>
              <w:top w:val="single" w:sz="4" w:space="0" w:color="auto"/>
              <w:left w:val="single" w:sz="4" w:space="0" w:color="auto"/>
              <w:bottom w:val="single" w:sz="4" w:space="0" w:color="auto"/>
              <w:right w:val="single" w:sz="4" w:space="0" w:color="auto"/>
            </w:tcBorders>
            <w:noWrap/>
            <w:hideMark/>
          </w:tcPr>
          <w:p w14:paraId="175D3EF2" w14:textId="77777777" w:rsidR="005375B7" w:rsidRPr="005375B7" w:rsidRDefault="005375B7" w:rsidP="005375B7">
            <w:pPr>
              <w:spacing w:after="120"/>
              <w:ind w:left="567" w:hanging="567"/>
              <w:jc w:val="center"/>
              <w:rPr>
                <w:bCs/>
              </w:rPr>
            </w:pPr>
            <w:r w:rsidRPr="005375B7">
              <w:rPr>
                <w:bCs/>
              </w:rPr>
              <w:t>%</w:t>
            </w:r>
          </w:p>
        </w:tc>
        <w:tc>
          <w:tcPr>
            <w:tcW w:w="1300" w:type="dxa"/>
            <w:tcBorders>
              <w:top w:val="single" w:sz="4" w:space="0" w:color="auto"/>
              <w:left w:val="single" w:sz="4" w:space="0" w:color="auto"/>
              <w:bottom w:val="single" w:sz="4" w:space="0" w:color="auto"/>
              <w:right w:val="single" w:sz="4" w:space="0" w:color="auto"/>
            </w:tcBorders>
            <w:noWrap/>
            <w:hideMark/>
          </w:tcPr>
          <w:p w14:paraId="6F4484F5" w14:textId="77777777" w:rsidR="005375B7" w:rsidRPr="005375B7" w:rsidRDefault="005375B7" w:rsidP="005375B7">
            <w:pPr>
              <w:spacing w:after="120"/>
              <w:jc w:val="center"/>
              <w:rPr>
                <w:bCs/>
              </w:rPr>
            </w:pPr>
            <w:r w:rsidRPr="005375B7">
              <w:rPr>
                <w:bCs/>
              </w:rPr>
              <w:t>Övriga (euro)</w:t>
            </w:r>
          </w:p>
        </w:tc>
      </w:tr>
      <w:tr w:rsidR="005375B7" w:rsidRPr="005375B7" w14:paraId="5293480A" w14:textId="77777777" w:rsidTr="00982A76">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4A0413CB" w14:textId="77777777" w:rsidR="005375B7" w:rsidRPr="005375B7" w:rsidRDefault="005375B7" w:rsidP="005375B7">
            <w:pPr>
              <w:spacing w:after="120"/>
              <w:ind w:left="567" w:hanging="567"/>
              <w:rPr>
                <w:bCs/>
              </w:rPr>
            </w:pPr>
            <w:r w:rsidRPr="005375B7">
              <w:t>Acer</w:t>
            </w:r>
          </w:p>
        </w:tc>
        <w:tc>
          <w:tcPr>
            <w:tcW w:w="1630" w:type="dxa"/>
            <w:tcBorders>
              <w:top w:val="single" w:sz="4" w:space="0" w:color="auto"/>
              <w:left w:val="single" w:sz="4" w:space="0" w:color="auto"/>
              <w:bottom w:val="single" w:sz="4" w:space="0" w:color="auto"/>
              <w:right w:val="single" w:sz="4" w:space="0" w:color="auto"/>
            </w:tcBorders>
            <w:noWrap/>
            <w:hideMark/>
          </w:tcPr>
          <w:p w14:paraId="19782F36" w14:textId="77777777" w:rsidR="005375B7" w:rsidRPr="005375B7" w:rsidRDefault="005375B7" w:rsidP="005375B7">
            <w:pPr>
              <w:spacing w:after="120"/>
              <w:ind w:left="567" w:hanging="567"/>
              <w:rPr>
                <w:bCs/>
              </w:rPr>
            </w:pPr>
            <w:r w:rsidRPr="005375B7">
              <w:rPr>
                <w:bCs/>
              </w:rPr>
              <w:t>29 576 964</w:t>
            </w:r>
          </w:p>
        </w:tc>
        <w:tc>
          <w:tcPr>
            <w:tcW w:w="1280" w:type="dxa"/>
            <w:tcBorders>
              <w:top w:val="single" w:sz="4" w:space="0" w:color="auto"/>
              <w:left w:val="single" w:sz="4" w:space="0" w:color="auto"/>
              <w:bottom w:val="single" w:sz="4" w:space="0" w:color="auto"/>
              <w:right w:val="single" w:sz="4" w:space="0" w:color="auto"/>
            </w:tcBorders>
            <w:noWrap/>
            <w:hideMark/>
          </w:tcPr>
          <w:p w14:paraId="32B7E3A4" w14:textId="77777777" w:rsidR="005375B7" w:rsidRPr="005375B7" w:rsidRDefault="005375B7" w:rsidP="005375B7">
            <w:pPr>
              <w:spacing w:after="120"/>
              <w:ind w:left="567" w:hanging="567"/>
              <w:rPr>
                <w:bCs/>
              </w:rPr>
            </w:pPr>
            <w:r w:rsidRPr="005375B7">
              <w:rPr>
                <w:bCs/>
              </w:rPr>
              <w:t>19 418 599</w:t>
            </w:r>
          </w:p>
        </w:tc>
        <w:tc>
          <w:tcPr>
            <w:tcW w:w="696" w:type="dxa"/>
            <w:tcBorders>
              <w:top w:val="single" w:sz="4" w:space="0" w:color="auto"/>
              <w:left w:val="single" w:sz="4" w:space="0" w:color="auto"/>
              <w:bottom w:val="single" w:sz="4" w:space="0" w:color="auto"/>
              <w:right w:val="single" w:sz="4" w:space="0" w:color="auto"/>
            </w:tcBorders>
            <w:noWrap/>
            <w:hideMark/>
          </w:tcPr>
          <w:p w14:paraId="53A4C6D2" w14:textId="77777777" w:rsidR="005375B7" w:rsidRPr="005375B7" w:rsidRDefault="005375B7" w:rsidP="005375B7">
            <w:pPr>
              <w:spacing w:after="120"/>
              <w:ind w:left="567" w:hanging="567"/>
              <w:rPr>
                <w:bCs/>
              </w:rPr>
            </w:pPr>
            <w:r w:rsidRPr="005375B7">
              <w:rPr>
                <w:bCs/>
              </w:rPr>
              <w:t>66</w:t>
            </w:r>
          </w:p>
        </w:tc>
        <w:tc>
          <w:tcPr>
            <w:tcW w:w="1461" w:type="dxa"/>
            <w:tcBorders>
              <w:top w:val="single" w:sz="4" w:space="0" w:color="auto"/>
              <w:left w:val="single" w:sz="4" w:space="0" w:color="auto"/>
              <w:bottom w:val="single" w:sz="4" w:space="0" w:color="auto"/>
              <w:right w:val="single" w:sz="4" w:space="0" w:color="auto"/>
            </w:tcBorders>
            <w:noWrap/>
            <w:hideMark/>
          </w:tcPr>
          <w:p w14:paraId="736C41A0" w14:textId="77777777" w:rsidR="005375B7" w:rsidRPr="005375B7" w:rsidRDefault="005375B7" w:rsidP="005375B7">
            <w:pPr>
              <w:spacing w:after="120"/>
              <w:ind w:left="567" w:hanging="567"/>
              <w:rPr>
                <w:bCs/>
              </w:rPr>
            </w:pPr>
            <w:r w:rsidRPr="005375B7">
              <w:rPr>
                <w:bCs/>
              </w:rPr>
              <w:t>10 158 245</w:t>
            </w:r>
          </w:p>
        </w:tc>
        <w:tc>
          <w:tcPr>
            <w:tcW w:w="664" w:type="dxa"/>
            <w:tcBorders>
              <w:top w:val="single" w:sz="4" w:space="0" w:color="auto"/>
              <w:left w:val="single" w:sz="4" w:space="0" w:color="auto"/>
              <w:bottom w:val="single" w:sz="4" w:space="0" w:color="auto"/>
              <w:right w:val="single" w:sz="4" w:space="0" w:color="auto"/>
            </w:tcBorders>
            <w:noWrap/>
            <w:hideMark/>
          </w:tcPr>
          <w:p w14:paraId="1B1E8114" w14:textId="77777777" w:rsidR="005375B7" w:rsidRPr="005375B7" w:rsidRDefault="005375B7" w:rsidP="005375B7">
            <w:pPr>
              <w:spacing w:after="120"/>
              <w:ind w:left="567" w:hanging="567"/>
              <w:rPr>
                <w:bCs/>
              </w:rPr>
            </w:pPr>
            <w:r w:rsidRPr="005375B7">
              <w:rPr>
                <w:bCs/>
              </w:rPr>
              <w:t>34</w:t>
            </w:r>
          </w:p>
        </w:tc>
        <w:tc>
          <w:tcPr>
            <w:tcW w:w="1300" w:type="dxa"/>
            <w:tcBorders>
              <w:top w:val="single" w:sz="4" w:space="0" w:color="auto"/>
              <w:left w:val="single" w:sz="4" w:space="0" w:color="auto"/>
              <w:bottom w:val="single" w:sz="4" w:space="0" w:color="auto"/>
              <w:right w:val="single" w:sz="4" w:space="0" w:color="auto"/>
            </w:tcBorders>
            <w:noWrap/>
            <w:hideMark/>
          </w:tcPr>
          <w:p w14:paraId="7C4A89BE" w14:textId="77777777" w:rsidR="005375B7" w:rsidRPr="005375B7" w:rsidRDefault="005375B7" w:rsidP="005375B7">
            <w:pPr>
              <w:spacing w:after="120"/>
              <w:ind w:left="567" w:hanging="567"/>
              <w:rPr>
                <w:bCs/>
              </w:rPr>
            </w:pPr>
            <w:r w:rsidRPr="005375B7">
              <w:rPr>
                <w:bCs/>
              </w:rPr>
              <w:t>120</w:t>
            </w:r>
          </w:p>
        </w:tc>
      </w:tr>
      <w:tr w:rsidR="005375B7" w:rsidRPr="005375B7" w14:paraId="5FC54E26" w14:textId="77777777" w:rsidTr="00982A76">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773F97F3" w14:textId="77777777" w:rsidR="005375B7" w:rsidRPr="005375B7" w:rsidRDefault="005375B7" w:rsidP="005375B7">
            <w:pPr>
              <w:spacing w:after="120"/>
              <w:ind w:left="567" w:hanging="567"/>
              <w:rPr>
                <w:bCs/>
              </w:rPr>
            </w:pPr>
            <w:r w:rsidRPr="005375B7">
              <w:t xml:space="preserve">CdT </w:t>
            </w:r>
          </w:p>
        </w:tc>
        <w:tc>
          <w:tcPr>
            <w:tcW w:w="1630" w:type="dxa"/>
            <w:tcBorders>
              <w:top w:val="single" w:sz="4" w:space="0" w:color="auto"/>
              <w:left w:val="single" w:sz="4" w:space="0" w:color="auto"/>
              <w:bottom w:val="single" w:sz="4" w:space="0" w:color="auto"/>
              <w:right w:val="single" w:sz="4" w:space="0" w:color="auto"/>
            </w:tcBorders>
            <w:noWrap/>
            <w:hideMark/>
          </w:tcPr>
          <w:p w14:paraId="5DB529D4" w14:textId="77777777" w:rsidR="005375B7" w:rsidRPr="005375B7" w:rsidRDefault="005375B7" w:rsidP="005375B7">
            <w:pPr>
              <w:spacing w:after="120"/>
              <w:ind w:left="567" w:hanging="567"/>
              <w:rPr>
                <w:bCs/>
              </w:rPr>
            </w:pPr>
            <w:r w:rsidRPr="005375B7">
              <w:rPr>
                <w:bCs/>
              </w:rPr>
              <w:t>47 140 900</w:t>
            </w:r>
          </w:p>
        </w:tc>
        <w:tc>
          <w:tcPr>
            <w:tcW w:w="1280" w:type="dxa"/>
            <w:tcBorders>
              <w:top w:val="single" w:sz="4" w:space="0" w:color="auto"/>
              <w:left w:val="single" w:sz="4" w:space="0" w:color="auto"/>
              <w:bottom w:val="single" w:sz="4" w:space="0" w:color="auto"/>
              <w:right w:val="single" w:sz="4" w:space="0" w:color="auto"/>
            </w:tcBorders>
            <w:noWrap/>
            <w:hideMark/>
          </w:tcPr>
          <w:p w14:paraId="0A12A13B" w14:textId="77777777" w:rsidR="005375B7" w:rsidRPr="005375B7" w:rsidRDefault="005375B7" w:rsidP="005375B7">
            <w:pPr>
              <w:spacing w:after="120"/>
              <w:ind w:left="567" w:hanging="567"/>
              <w:rPr>
                <w:bCs/>
              </w:rPr>
            </w:pPr>
            <w:r w:rsidRPr="005375B7">
              <w:rPr>
                <w:bCs/>
              </w:rPr>
              <w:t>0</w:t>
            </w:r>
          </w:p>
        </w:tc>
        <w:tc>
          <w:tcPr>
            <w:tcW w:w="696" w:type="dxa"/>
            <w:tcBorders>
              <w:top w:val="single" w:sz="4" w:space="0" w:color="auto"/>
              <w:left w:val="single" w:sz="4" w:space="0" w:color="auto"/>
              <w:bottom w:val="single" w:sz="4" w:space="0" w:color="auto"/>
              <w:right w:val="single" w:sz="4" w:space="0" w:color="auto"/>
            </w:tcBorders>
            <w:noWrap/>
            <w:hideMark/>
          </w:tcPr>
          <w:p w14:paraId="07C0078A" w14:textId="77777777" w:rsidR="005375B7" w:rsidRPr="005375B7" w:rsidRDefault="005375B7" w:rsidP="005375B7">
            <w:pPr>
              <w:spacing w:after="120"/>
              <w:ind w:left="567" w:hanging="567"/>
              <w:rPr>
                <w:bCs/>
              </w:rPr>
            </w:pPr>
            <w:r w:rsidRPr="005375B7">
              <w:rPr>
                <w:bCs/>
              </w:rPr>
              <w:t>0</w:t>
            </w:r>
          </w:p>
        </w:tc>
        <w:tc>
          <w:tcPr>
            <w:tcW w:w="1461" w:type="dxa"/>
            <w:tcBorders>
              <w:top w:val="single" w:sz="4" w:space="0" w:color="auto"/>
              <w:left w:val="single" w:sz="4" w:space="0" w:color="auto"/>
              <w:bottom w:val="single" w:sz="4" w:space="0" w:color="auto"/>
              <w:right w:val="single" w:sz="4" w:space="0" w:color="auto"/>
            </w:tcBorders>
            <w:noWrap/>
            <w:hideMark/>
          </w:tcPr>
          <w:p w14:paraId="6CEDE7F6" w14:textId="77777777" w:rsidR="005375B7" w:rsidRPr="005375B7" w:rsidRDefault="005375B7" w:rsidP="005375B7">
            <w:pPr>
              <w:spacing w:after="120"/>
              <w:ind w:left="567" w:hanging="567"/>
              <w:rPr>
                <w:bCs/>
              </w:rPr>
            </w:pPr>
            <w:r w:rsidRPr="005375B7">
              <w:rPr>
                <w:bCs/>
              </w:rPr>
              <w:t>46 295 800</w:t>
            </w:r>
          </w:p>
        </w:tc>
        <w:tc>
          <w:tcPr>
            <w:tcW w:w="664" w:type="dxa"/>
            <w:tcBorders>
              <w:top w:val="single" w:sz="4" w:space="0" w:color="auto"/>
              <w:left w:val="single" w:sz="4" w:space="0" w:color="auto"/>
              <w:bottom w:val="single" w:sz="4" w:space="0" w:color="auto"/>
              <w:right w:val="single" w:sz="4" w:space="0" w:color="auto"/>
            </w:tcBorders>
            <w:noWrap/>
            <w:hideMark/>
          </w:tcPr>
          <w:p w14:paraId="7DE8B65C" w14:textId="77777777" w:rsidR="005375B7" w:rsidRPr="005375B7" w:rsidRDefault="005375B7" w:rsidP="005375B7">
            <w:pPr>
              <w:spacing w:after="120"/>
              <w:ind w:left="567" w:hanging="567"/>
              <w:rPr>
                <w:bCs/>
              </w:rPr>
            </w:pPr>
            <w:r w:rsidRPr="005375B7">
              <w:rPr>
                <w:bCs/>
              </w:rPr>
              <w:t>98</w:t>
            </w:r>
          </w:p>
        </w:tc>
        <w:tc>
          <w:tcPr>
            <w:tcW w:w="1300" w:type="dxa"/>
            <w:tcBorders>
              <w:top w:val="single" w:sz="4" w:space="0" w:color="auto"/>
              <w:left w:val="single" w:sz="4" w:space="0" w:color="auto"/>
              <w:bottom w:val="single" w:sz="4" w:space="0" w:color="auto"/>
              <w:right w:val="single" w:sz="4" w:space="0" w:color="auto"/>
            </w:tcBorders>
            <w:noWrap/>
            <w:hideMark/>
          </w:tcPr>
          <w:p w14:paraId="63A8DA23" w14:textId="77777777" w:rsidR="005375B7" w:rsidRPr="005375B7" w:rsidRDefault="005375B7" w:rsidP="005375B7">
            <w:pPr>
              <w:spacing w:after="120"/>
              <w:ind w:left="567" w:hanging="567"/>
              <w:rPr>
                <w:bCs/>
              </w:rPr>
            </w:pPr>
            <w:r w:rsidRPr="005375B7">
              <w:rPr>
                <w:bCs/>
              </w:rPr>
              <w:t>845 100</w:t>
            </w:r>
          </w:p>
        </w:tc>
      </w:tr>
      <w:tr w:rsidR="005375B7" w:rsidRPr="005375B7" w14:paraId="4ECF8E06" w14:textId="77777777" w:rsidTr="00982A76">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F53F50D" w14:textId="77777777" w:rsidR="005375B7" w:rsidRPr="005375B7" w:rsidRDefault="005375B7" w:rsidP="005375B7">
            <w:pPr>
              <w:spacing w:after="120"/>
              <w:ind w:left="567" w:hanging="567"/>
              <w:rPr>
                <w:bCs/>
              </w:rPr>
            </w:pPr>
            <w:r w:rsidRPr="005375B7">
              <w:t xml:space="preserve">Easa </w:t>
            </w:r>
          </w:p>
        </w:tc>
        <w:tc>
          <w:tcPr>
            <w:tcW w:w="1630" w:type="dxa"/>
            <w:tcBorders>
              <w:top w:val="single" w:sz="4" w:space="0" w:color="auto"/>
              <w:left w:val="single" w:sz="4" w:space="0" w:color="auto"/>
              <w:bottom w:val="single" w:sz="4" w:space="0" w:color="auto"/>
              <w:right w:val="single" w:sz="4" w:space="0" w:color="auto"/>
            </w:tcBorders>
            <w:noWrap/>
            <w:hideMark/>
          </w:tcPr>
          <w:p w14:paraId="42ECC71E" w14:textId="77777777" w:rsidR="005375B7" w:rsidRPr="005375B7" w:rsidRDefault="005375B7" w:rsidP="005375B7">
            <w:pPr>
              <w:spacing w:after="120"/>
              <w:ind w:left="567" w:hanging="567"/>
              <w:rPr>
                <w:bCs/>
              </w:rPr>
            </w:pPr>
            <w:r w:rsidRPr="005375B7">
              <w:rPr>
                <w:bCs/>
              </w:rPr>
              <w:t>169 665 375</w:t>
            </w:r>
          </w:p>
        </w:tc>
        <w:tc>
          <w:tcPr>
            <w:tcW w:w="1280" w:type="dxa"/>
            <w:tcBorders>
              <w:top w:val="single" w:sz="4" w:space="0" w:color="auto"/>
              <w:left w:val="single" w:sz="4" w:space="0" w:color="auto"/>
              <w:bottom w:val="single" w:sz="4" w:space="0" w:color="auto"/>
              <w:right w:val="single" w:sz="4" w:space="0" w:color="auto"/>
            </w:tcBorders>
            <w:noWrap/>
            <w:hideMark/>
          </w:tcPr>
          <w:p w14:paraId="109FAA1C" w14:textId="77777777" w:rsidR="005375B7" w:rsidRPr="005375B7" w:rsidRDefault="005375B7" w:rsidP="005375B7">
            <w:pPr>
              <w:spacing w:after="120"/>
              <w:ind w:left="567" w:hanging="567"/>
              <w:rPr>
                <w:bCs/>
              </w:rPr>
            </w:pPr>
            <w:r w:rsidRPr="005375B7">
              <w:rPr>
                <w:bCs/>
              </w:rPr>
              <w:t>44 329 433</w:t>
            </w:r>
          </w:p>
        </w:tc>
        <w:tc>
          <w:tcPr>
            <w:tcW w:w="696" w:type="dxa"/>
            <w:tcBorders>
              <w:top w:val="single" w:sz="4" w:space="0" w:color="auto"/>
              <w:left w:val="single" w:sz="4" w:space="0" w:color="auto"/>
              <w:bottom w:val="single" w:sz="4" w:space="0" w:color="auto"/>
              <w:right w:val="single" w:sz="4" w:space="0" w:color="auto"/>
            </w:tcBorders>
            <w:noWrap/>
            <w:hideMark/>
          </w:tcPr>
          <w:p w14:paraId="584DB057" w14:textId="77777777" w:rsidR="005375B7" w:rsidRPr="005375B7" w:rsidRDefault="005375B7" w:rsidP="005375B7">
            <w:pPr>
              <w:spacing w:after="120"/>
              <w:ind w:left="567" w:hanging="567"/>
              <w:rPr>
                <w:bCs/>
              </w:rPr>
            </w:pPr>
            <w:r w:rsidRPr="005375B7">
              <w:rPr>
                <w:bCs/>
              </w:rPr>
              <w:t>26</w:t>
            </w:r>
          </w:p>
        </w:tc>
        <w:tc>
          <w:tcPr>
            <w:tcW w:w="1461" w:type="dxa"/>
            <w:tcBorders>
              <w:top w:val="single" w:sz="4" w:space="0" w:color="auto"/>
              <w:left w:val="single" w:sz="4" w:space="0" w:color="auto"/>
              <w:bottom w:val="single" w:sz="4" w:space="0" w:color="auto"/>
              <w:right w:val="single" w:sz="4" w:space="0" w:color="auto"/>
            </w:tcBorders>
            <w:noWrap/>
            <w:hideMark/>
          </w:tcPr>
          <w:p w14:paraId="3772CDFA" w14:textId="77777777" w:rsidR="005375B7" w:rsidRPr="005375B7" w:rsidRDefault="005375B7" w:rsidP="005375B7">
            <w:pPr>
              <w:spacing w:after="120"/>
              <w:ind w:left="567" w:hanging="567"/>
              <w:rPr>
                <w:bCs/>
              </w:rPr>
            </w:pPr>
            <w:r w:rsidRPr="005375B7">
              <w:rPr>
                <w:bCs/>
              </w:rPr>
              <w:t>120 937 434</w:t>
            </w:r>
          </w:p>
        </w:tc>
        <w:tc>
          <w:tcPr>
            <w:tcW w:w="664" w:type="dxa"/>
            <w:tcBorders>
              <w:top w:val="single" w:sz="4" w:space="0" w:color="auto"/>
              <w:left w:val="single" w:sz="4" w:space="0" w:color="auto"/>
              <w:bottom w:val="single" w:sz="4" w:space="0" w:color="auto"/>
              <w:right w:val="single" w:sz="4" w:space="0" w:color="auto"/>
            </w:tcBorders>
            <w:noWrap/>
            <w:hideMark/>
          </w:tcPr>
          <w:p w14:paraId="4A54B787" w14:textId="77777777" w:rsidR="005375B7" w:rsidRPr="005375B7" w:rsidRDefault="005375B7" w:rsidP="005375B7">
            <w:pPr>
              <w:spacing w:after="120"/>
              <w:ind w:left="567" w:hanging="567"/>
              <w:rPr>
                <w:bCs/>
              </w:rPr>
            </w:pPr>
            <w:r w:rsidRPr="005375B7">
              <w:rPr>
                <w:bCs/>
              </w:rPr>
              <w:t>71</w:t>
            </w:r>
          </w:p>
        </w:tc>
        <w:tc>
          <w:tcPr>
            <w:tcW w:w="1300" w:type="dxa"/>
            <w:tcBorders>
              <w:top w:val="single" w:sz="4" w:space="0" w:color="auto"/>
              <w:left w:val="single" w:sz="4" w:space="0" w:color="auto"/>
              <w:bottom w:val="single" w:sz="4" w:space="0" w:color="auto"/>
              <w:right w:val="single" w:sz="4" w:space="0" w:color="auto"/>
            </w:tcBorders>
            <w:noWrap/>
            <w:hideMark/>
          </w:tcPr>
          <w:p w14:paraId="2F11895D" w14:textId="77777777" w:rsidR="005375B7" w:rsidRPr="005375B7" w:rsidRDefault="005375B7" w:rsidP="005375B7">
            <w:pPr>
              <w:spacing w:after="120"/>
              <w:ind w:left="567" w:hanging="567"/>
              <w:rPr>
                <w:bCs/>
              </w:rPr>
            </w:pPr>
            <w:r w:rsidRPr="005375B7">
              <w:rPr>
                <w:bCs/>
              </w:rPr>
              <w:t>4 398 508</w:t>
            </w:r>
          </w:p>
        </w:tc>
      </w:tr>
      <w:tr w:rsidR="005375B7" w:rsidRPr="005375B7" w14:paraId="54EF98DE" w14:textId="77777777" w:rsidTr="00982A76">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B8862D6" w14:textId="77777777" w:rsidR="005375B7" w:rsidRPr="005375B7" w:rsidRDefault="005375B7" w:rsidP="005375B7">
            <w:pPr>
              <w:spacing w:after="120"/>
              <w:ind w:left="567" w:hanging="567"/>
              <w:rPr>
                <w:bCs/>
              </w:rPr>
            </w:pPr>
            <w:r w:rsidRPr="005375B7">
              <w:t>EBA</w:t>
            </w:r>
          </w:p>
        </w:tc>
        <w:tc>
          <w:tcPr>
            <w:tcW w:w="1630" w:type="dxa"/>
            <w:tcBorders>
              <w:top w:val="single" w:sz="4" w:space="0" w:color="auto"/>
              <w:left w:val="single" w:sz="4" w:space="0" w:color="auto"/>
              <w:bottom w:val="single" w:sz="4" w:space="0" w:color="auto"/>
              <w:right w:val="single" w:sz="4" w:space="0" w:color="auto"/>
            </w:tcBorders>
            <w:noWrap/>
            <w:hideMark/>
          </w:tcPr>
          <w:p w14:paraId="0A445961" w14:textId="77777777" w:rsidR="005375B7" w:rsidRPr="005375B7" w:rsidRDefault="005375B7" w:rsidP="005375B7">
            <w:pPr>
              <w:spacing w:after="120"/>
              <w:ind w:left="567" w:hanging="567"/>
              <w:rPr>
                <w:bCs/>
              </w:rPr>
            </w:pPr>
            <w:r w:rsidRPr="005375B7">
              <w:rPr>
                <w:bCs/>
              </w:rPr>
              <w:t>52 672 002</w:t>
            </w:r>
          </w:p>
        </w:tc>
        <w:tc>
          <w:tcPr>
            <w:tcW w:w="1280" w:type="dxa"/>
            <w:tcBorders>
              <w:top w:val="single" w:sz="4" w:space="0" w:color="auto"/>
              <w:left w:val="single" w:sz="4" w:space="0" w:color="auto"/>
              <w:bottom w:val="single" w:sz="4" w:space="0" w:color="auto"/>
              <w:right w:val="single" w:sz="4" w:space="0" w:color="auto"/>
            </w:tcBorders>
            <w:noWrap/>
            <w:hideMark/>
          </w:tcPr>
          <w:p w14:paraId="7B25831A" w14:textId="77777777" w:rsidR="005375B7" w:rsidRPr="005375B7" w:rsidRDefault="005375B7" w:rsidP="005375B7">
            <w:pPr>
              <w:spacing w:after="120"/>
              <w:ind w:left="567" w:hanging="567"/>
              <w:rPr>
                <w:bCs/>
              </w:rPr>
            </w:pPr>
            <w:r w:rsidRPr="005375B7">
              <w:rPr>
                <w:bCs/>
              </w:rPr>
              <w:t>19 428 306</w:t>
            </w:r>
          </w:p>
        </w:tc>
        <w:tc>
          <w:tcPr>
            <w:tcW w:w="696" w:type="dxa"/>
            <w:tcBorders>
              <w:top w:val="single" w:sz="4" w:space="0" w:color="auto"/>
              <w:left w:val="single" w:sz="4" w:space="0" w:color="auto"/>
              <w:bottom w:val="single" w:sz="4" w:space="0" w:color="auto"/>
              <w:right w:val="single" w:sz="4" w:space="0" w:color="auto"/>
            </w:tcBorders>
            <w:noWrap/>
            <w:hideMark/>
          </w:tcPr>
          <w:p w14:paraId="6923645E" w14:textId="77777777" w:rsidR="005375B7" w:rsidRPr="005375B7" w:rsidRDefault="005375B7" w:rsidP="005375B7">
            <w:pPr>
              <w:spacing w:after="120"/>
              <w:ind w:left="567" w:hanging="567"/>
              <w:rPr>
                <w:bCs/>
              </w:rPr>
            </w:pPr>
            <w:r w:rsidRPr="005375B7">
              <w:rPr>
                <w:bCs/>
              </w:rPr>
              <w:t>37</w:t>
            </w:r>
          </w:p>
        </w:tc>
        <w:tc>
          <w:tcPr>
            <w:tcW w:w="1461" w:type="dxa"/>
            <w:tcBorders>
              <w:top w:val="single" w:sz="4" w:space="0" w:color="auto"/>
              <w:left w:val="single" w:sz="4" w:space="0" w:color="auto"/>
              <w:bottom w:val="single" w:sz="4" w:space="0" w:color="auto"/>
              <w:right w:val="single" w:sz="4" w:space="0" w:color="auto"/>
            </w:tcBorders>
            <w:noWrap/>
            <w:hideMark/>
          </w:tcPr>
          <w:p w14:paraId="0DCE67F5" w14:textId="77777777" w:rsidR="005375B7" w:rsidRPr="005375B7" w:rsidRDefault="005375B7" w:rsidP="005375B7">
            <w:pPr>
              <w:spacing w:after="120"/>
              <w:ind w:left="567" w:hanging="567"/>
              <w:rPr>
                <w:bCs/>
              </w:rPr>
            </w:pPr>
            <w:r w:rsidRPr="005375B7">
              <w:rPr>
                <w:bCs/>
              </w:rPr>
              <w:t>31 479 331</w:t>
            </w:r>
          </w:p>
        </w:tc>
        <w:tc>
          <w:tcPr>
            <w:tcW w:w="664" w:type="dxa"/>
            <w:tcBorders>
              <w:top w:val="single" w:sz="4" w:space="0" w:color="auto"/>
              <w:left w:val="single" w:sz="4" w:space="0" w:color="auto"/>
              <w:bottom w:val="single" w:sz="4" w:space="0" w:color="auto"/>
              <w:right w:val="single" w:sz="4" w:space="0" w:color="auto"/>
            </w:tcBorders>
            <w:noWrap/>
            <w:hideMark/>
          </w:tcPr>
          <w:p w14:paraId="4276D481" w14:textId="77777777" w:rsidR="005375B7" w:rsidRPr="005375B7" w:rsidRDefault="005375B7" w:rsidP="005375B7">
            <w:pPr>
              <w:spacing w:after="120"/>
              <w:ind w:left="567" w:hanging="567"/>
              <w:rPr>
                <w:bCs/>
              </w:rPr>
            </w:pPr>
            <w:r w:rsidRPr="005375B7">
              <w:rPr>
                <w:bCs/>
              </w:rPr>
              <w:t>60</w:t>
            </w:r>
          </w:p>
        </w:tc>
        <w:tc>
          <w:tcPr>
            <w:tcW w:w="1300" w:type="dxa"/>
            <w:tcBorders>
              <w:top w:val="single" w:sz="4" w:space="0" w:color="auto"/>
              <w:left w:val="single" w:sz="4" w:space="0" w:color="auto"/>
              <w:bottom w:val="single" w:sz="4" w:space="0" w:color="auto"/>
              <w:right w:val="single" w:sz="4" w:space="0" w:color="auto"/>
            </w:tcBorders>
            <w:noWrap/>
            <w:hideMark/>
          </w:tcPr>
          <w:p w14:paraId="63C34309" w14:textId="77777777" w:rsidR="005375B7" w:rsidRPr="005375B7" w:rsidRDefault="005375B7" w:rsidP="005375B7">
            <w:pPr>
              <w:spacing w:after="120"/>
              <w:ind w:left="567" w:hanging="567"/>
              <w:rPr>
                <w:bCs/>
              </w:rPr>
            </w:pPr>
            <w:r w:rsidRPr="005375B7">
              <w:rPr>
                <w:bCs/>
              </w:rPr>
              <w:t>1 764 364</w:t>
            </w:r>
          </w:p>
        </w:tc>
      </w:tr>
      <w:tr w:rsidR="005375B7" w:rsidRPr="005375B7" w14:paraId="1C711635" w14:textId="77777777" w:rsidTr="00982A76">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6C86C5F" w14:textId="77777777" w:rsidR="005375B7" w:rsidRPr="005375B7" w:rsidRDefault="005375B7" w:rsidP="005375B7">
            <w:pPr>
              <w:spacing w:after="120"/>
              <w:ind w:left="567" w:hanging="567"/>
              <w:rPr>
                <w:bCs/>
              </w:rPr>
            </w:pPr>
            <w:r w:rsidRPr="005375B7">
              <w:t xml:space="preserve">Echa </w:t>
            </w:r>
          </w:p>
        </w:tc>
        <w:tc>
          <w:tcPr>
            <w:tcW w:w="1630" w:type="dxa"/>
            <w:tcBorders>
              <w:top w:val="single" w:sz="4" w:space="0" w:color="auto"/>
              <w:left w:val="single" w:sz="4" w:space="0" w:color="auto"/>
              <w:bottom w:val="single" w:sz="4" w:space="0" w:color="auto"/>
              <w:right w:val="single" w:sz="4" w:space="0" w:color="auto"/>
            </w:tcBorders>
            <w:noWrap/>
            <w:hideMark/>
          </w:tcPr>
          <w:p w14:paraId="51F22551" w14:textId="77777777" w:rsidR="005375B7" w:rsidRPr="005375B7" w:rsidRDefault="005375B7" w:rsidP="005375B7">
            <w:pPr>
              <w:spacing w:after="120"/>
              <w:ind w:left="567" w:hanging="567"/>
              <w:rPr>
                <w:bCs/>
              </w:rPr>
            </w:pPr>
            <w:r w:rsidRPr="005375B7">
              <w:rPr>
                <w:bCs/>
              </w:rPr>
              <w:t>123 280 140</w:t>
            </w:r>
          </w:p>
        </w:tc>
        <w:tc>
          <w:tcPr>
            <w:tcW w:w="1280" w:type="dxa"/>
            <w:tcBorders>
              <w:top w:val="single" w:sz="4" w:space="0" w:color="auto"/>
              <w:left w:val="single" w:sz="4" w:space="0" w:color="auto"/>
              <w:bottom w:val="single" w:sz="4" w:space="0" w:color="auto"/>
              <w:right w:val="single" w:sz="4" w:space="0" w:color="auto"/>
            </w:tcBorders>
            <w:noWrap/>
            <w:hideMark/>
          </w:tcPr>
          <w:p w14:paraId="518E8617" w14:textId="77777777" w:rsidR="005375B7" w:rsidRPr="005375B7" w:rsidRDefault="005375B7" w:rsidP="005375B7">
            <w:pPr>
              <w:spacing w:after="120"/>
              <w:ind w:left="567" w:hanging="567"/>
              <w:rPr>
                <w:bCs/>
              </w:rPr>
            </w:pPr>
            <w:r w:rsidRPr="005375B7">
              <w:rPr>
                <w:bCs/>
              </w:rPr>
              <w:t>81 274 568</w:t>
            </w:r>
          </w:p>
        </w:tc>
        <w:tc>
          <w:tcPr>
            <w:tcW w:w="696" w:type="dxa"/>
            <w:tcBorders>
              <w:top w:val="single" w:sz="4" w:space="0" w:color="auto"/>
              <w:left w:val="single" w:sz="4" w:space="0" w:color="auto"/>
              <w:bottom w:val="single" w:sz="4" w:space="0" w:color="auto"/>
              <w:right w:val="single" w:sz="4" w:space="0" w:color="auto"/>
            </w:tcBorders>
            <w:noWrap/>
            <w:hideMark/>
          </w:tcPr>
          <w:p w14:paraId="63BB0F3F" w14:textId="77777777" w:rsidR="005375B7" w:rsidRPr="005375B7" w:rsidRDefault="005375B7" w:rsidP="005375B7">
            <w:pPr>
              <w:spacing w:after="120"/>
              <w:ind w:left="567" w:hanging="567"/>
              <w:rPr>
                <w:bCs/>
              </w:rPr>
            </w:pPr>
            <w:r w:rsidRPr="005375B7">
              <w:rPr>
                <w:bCs/>
              </w:rPr>
              <w:t>66</w:t>
            </w:r>
          </w:p>
        </w:tc>
        <w:tc>
          <w:tcPr>
            <w:tcW w:w="1461" w:type="dxa"/>
            <w:tcBorders>
              <w:top w:val="single" w:sz="4" w:space="0" w:color="auto"/>
              <w:left w:val="single" w:sz="4" w:space="0" w:color="auto"/>
              <w:bottom w:val="single" w:sz="4" w:space="0" w:color="auto"/>
              <w:right w:val="single" w:sz="4" w:space="0" w:color="auto"/>
            </w:tcBorders>
            <w:noWrap/>
            <w:hideMark/>
          </w:tcPr>
          <w:p w14:paraId="1A44DD7F" w14:textId="77777777" w:rsidR="005375B7" w:rsidRPr="005375B7" w:rsidRDefault="005375B7" w:rsidP="005375B7">
            <w:pPr>
              <w:spacing w:after="120"/>
              <w:ind w:left="567" w:hanging="567"/>
              <w:rPr>
                <w:bCs/>
              </w:rPr>
            </w:pPr>
            <w:r w:rsidRPr="005375B7">
              <w:rPr>
                <w:bCs/>
              </w:rPr>
              <w:t>33 107 484</w:t>
            </w:r>
          </w:p>
        </w:tc>
        <w:tc>
          <w:tcPr>
            <w:tcW w:w="664" w:type="dxa"/>
            <w:tcBorders>
              <w:top w:val="single" w:sz="4" w:space="0" w:color="auto"/>
              <w:left w:val="single" w:sz="4" w:space="0" w:color="auto"/>
              <w:bottom w:val="single" w:sz="4" w:space="0" w:color="auto"/>
              <w:right w:val="single" w:sz="4" w:space="0" w:color="auto"/>
            </w:tcBorders>
            <w:noWrap/>
            <w:hideMark/>
          </w:tcPr>
          <w:p w14:paraId="5EF22368" w14:textId="77777777" w:rsidR="005375B7" w:rsidRPr="005375B7" w:rsidRDefault="005375B7" w:rsidP="005375B7">
            <w:pPr>
              <w:spacing w:after="120"/>
              <w:ind w:left="567" w:hanging="567"/>
              <w:rPr>
                <w:bCs/>
              </w:rPr>
            </w:pPr>
            <w:r w:rsidRPr="005375B7">
              <w:rPr>
                <w:bCs/>
              </w:rPr>
              <w:t>27</w:t>
            </w:r>
          </w:p>
        </w:tc>
        <w:tc>
          <w:tcPr>
            <w:tcW w:w="1300" w:type="dxa"/>
            <w:tcBorders>
              <w:top w:val="single" w:sz="4" w:space="0" w:color="auto"/>
              <w:left w:val="single" w:sz="4" w:space="0" w:color="auto"/>
              <w:bottom w:val="single" w:sz="4" w:space="0" w:color="auto"/>
              <w:right w:val="single" w:sz="4" w:space="0" w:color="auto"/>
            </w:tcBorders>
            <w:noWrap/>
            <w:hideMark/>
          </w:tcPr>
          <w:p w14:paraId="0A45378F" w14:textId="77777777" w:rsidR="005375B7" w:rsidRPr="005375B7" w:rsidRDefault="005375B7" w:rsidP="005375B7">
            <w:pPr>
              <w:spacing w:after="120"/>
              <w:ind w:left="567" w:hanging="567"/>
              <w:rPr>
                <w:bCs/>
              </w:rPr>
            </w:pPr>
            <w:r w:rsidRPr="005375B7">
              <w:rPr>
                <w:bCs/>
              </w:rPr>
              <w:t>8 898 088</w:t>
            </w:r>
          </w:p>
        </w:tc>
      </w:tr>
      <w:tr w:rsidR="005375B7" w:rsidRPr="005375B7" w14:paraId="6FF01BC1" w14:textId="77777777" w:rsidTr="00982A76">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396DBE01" w14:textId="77777777" w:rsidR="005375B7" w:rsidRPr="005375B7" w:rsidRDefault="005375B7" w:rsidP="005375B7">
            <w:pPr>
              <w:spacing w:after="120"/>
              <w:ind w:left="567" w:hanging="567"/>
              <w:rPr>
                <w:bCs/>
              </w:rPr>
            </w:pPr>
            <w:r w:rsidRPr="005375B7">
              <w:t xml:space="preserve">Eiopa </w:t>
            </w:r>
          </w:p>
        </w:tc>
        <w:tc>
          <w:tcPr>
            <w:tcW w:w="1630" w:type="dxa"/>
            <w:tcBorders>
              <w:top w:val="single" w:sz="4" w:space="0" w:color="auto"/>
              <w:left w:val="single" w:sz="4" w:space="0" w:color="auto"/>
              <w:bottom w:val="single" w:sz="4" w:space="0" w:color="auto"/>
              <w:right w:val="single" w:sz="4" w:space="0" w:color="auto"/>
            </w:tcBorders>
            <w:noWrap/>
            <w:hideMark/>
          </w:tcPr>
          <w:p w14:paraId="421F0288" w14:textId="77777777" w:rsidR="005375B7" w:rsidRPr="005375B7" w:rsidRDefault="005375B7" w:rsidP="005375B7">
            <w:pPr>
              <w:spacing w:after="120"/>
              <w:ind w:left="567" w:hanging="567"/>
              <w:rPr>
                <w:bCs/>
              </w:rPr>
            </w:pPr>
            <w:r w:rsidRPr="005375B7">
              <w:rPr>
                <w:bCs/>
              </w:rPr>
              <w:t>36 714 492</w:t>
            </w:r>
          </w:p>
        </w:tc>
        <w:tc>
          <w:tcPr>
            <w:tcW w:w="1280" w:type="dxa"/>
            <w:tcBorders>
              <w:top w:val="single" w:sz="4" w:space="0" w:color="auto"/>
              <w:left w:val="single" w:sz="4" w:space="0" w:color="auto"/>
              <w:bottom w:val="single" w:sz="4" w:space="0" w:color="auto"/>
              <w:right w:val="single" w:sz="4" w:space="0" w:color="auto"/>
            </w:tcBorders>
            <w:noWrap/>
            <w:hideMark/>
          </w:tcPr>
          <w:p w14:paraId="3AB0F0E6" w14:textId="77777777" w:rsidR="005375B7" w:rsidRPr="005375B7" w:rsidRDefault="005375B7" w:rsidP="005375B7">
            <w:pPr>
              <w:spacing w:after="120"/>
              <w:ind w:left="567" w:hanging="567"/>
              <w:rPr>
                <w:bCs/>
              </w:rPr>
            </w:pPr>
            <w:r w:rsidRPr="005375B7">
              <w:rPr>
                <w:bCs/>
              </w:rPr>
              <w:t>13 470 715</w:t>
            </w:r>
          </w:p>
        </w:tc>
        <w:tc>
          <w:tcPr>
            <w:tcW w:w="696" w:type="dxa"/>
            <w:tcBorders>
              <w:top w:val="single" w:sz="4" w:space="0" w:color="auto"/>
              <w:left w:val="single" w:sz="4" w:space="0" w:color="auto"/>
              <w:bottom w:val="single" w:sz="4" w:space="0" w:color="auto"/>
              <w:right w:val="single" w:sz="4" w:space="0" w:color="auto"/>
            </w:tcBorders>
            <w:noWrap/>
            <w:hideMark/>
          </w:tcPr>
          <w:p w14:paraId="31168B10" w14:textId="77777777" w:rsidR="005375B7" w:rsidRPr="005375B7" w:rsidRDefault="005375B7" w:rsidP="005375B7">
            <w:pPr>
              <w:spacing w:after="120"/>
              <w:ind w:left="567" w:hanging="567"/>
              <w:rPr>
                <w:bCs/>
              </w:rPr>
            </w:pPr>
            <w:r w:rsidRPr="005375B7">
              <w:rPr>
                <w:bCs/>
              </w:rPr>
              <w:t>37</w:t>
            </w:r>
          </w:p>
        </w:tc>
        <w:tc>
          <w:tcPr>
            <w:tcW w:w="1461" w:type="dxa"/>
            <w:tcBorders>
              <w:top w:val="single" w:sz="4" w:space="0" w:color="auto"/>
              <w:left w:val="single" w:sz="4" w:space="0" w:color="auto"/>
              <w:bottom w:val="single" w:sz="4" w:space="0" w:color="auto"/>
              <w:right w:val="single" w:sz="4" w:space="0" w:color="auto"/>
            </w:tcBorders>
            <w:noWrap/>
            <w:hideMark/>
          </w:tcPr>
          <w:p w14:paraId="48E1A0AE" w14:textId="77777777" w:rsidR="005375B7" w:rsidRPr="005375B7" w:rsidRDefault="005375B7" w:rsidP="005375B7">
            <w:pPr>
              <w:spacing w:after="120"/>
              <w:ind w:left="567" w:hanging="567"/>
              <w:rPr>
                <w:bCs/>
              </w:rPr>
            </w:pPr>
            <w:r w:rsidRPr="005375B7">
              <w:rPr>
                <w:bCs/>
              </w:rPr>
              <w:t>22 086 958</w:t>
            </w:r>
          </w:p>
        </w:tc>
        <w:tc>
          <w:tcPr>
            <w:tcW w:w="664" w:type="dxa"/>
            <w:tcBorders>
              <w:top w:val="single" w:sz="4" w:space="0" w:color="auto"/>
              <w:left w:val="single" w:sz="4" w:space="0" w:color="auto"/>
              <w:bottom w:val="single" w:sz="4" w:space="0" w:color="auto"/>
              <w:right w:val="single" w:sz="4" w:space="0" w:color="auto"/>
            </w:tcBorders>
            <w:noWrap/>
            <w:hideMark/>
          </w:tcPr>
          <w:p w14:paraId="12DE1213" w14:textId="77777777" w:rsidR="005375B7" w:rsidRPr="005375B7" w:rsidRDefault="005375B7" w:rsidP="005375B7">
            <w:pPr>
              <w:spacing w:after="120"/>
              <w:ind w:left="567" w:hanging="567"/>
              <w:rPr>
                <w:bCs/>
              </w:rPr>
            </w:pPr>
            <w:r w:rsidRPr="005375B7">
              <w:rPr>
                <w:bCs/>
              </w:rPr>
              <w:t>60</w:t>
            </w:r>
          </w:p>
        </w:tc>
        <w:tc>
          <w:tcPr>
            <w:tcW w:w="1300" w:type="dxa"/>
            <w:tcBorders>
              <w:top w:val="single" w:sz="4" w:space="0" w:color="auto"/>
              <w:left w:val="single" w:sz="4" w:space="0" w:color="auto"/>
              <w:bottom w:val="single" w:sz="4" w:space="0" w:color="auto"/>
              <w:right w:val="single" w:sz="4" w:space="0" w:color="auto"/>
            </w:tcBorders>
            <w:noWrap/>
            <w:hideMark/>
          </w:tcPr>
          <w:p w14:paraId="6C6814BA" w14:textId="77777777" w:rsidR="005375B7" w:rsidRPr="005375B7" w:rsidRDefault="005375B7" w:rsidP="005375B7">
            <w:pPr>
              <w:spacing w:after="120"/>
              <w:ind w:left="567" w:hanging="567"/>
              <w:rPr>
                <w:bCs/>
              </w:rPr>
            </w:pPr>
            <w:r w:rsidRPr="005375B7">
              <w:rPr>
                <w:bCs/>
              </w:rPr>
              <w:t>1 156 819</w:t>
            </w:r>
          </w:p>
        </w:tc>
      </w:tr>
      <w:tr w:rsidR="005375B7" w:rsidRPr="005375B7" w14:paraId="3598B679" w14:textId="77777777" w:rsidTr="00982A76">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6965A270" w14:textId="77777777" w:rsidR="005375B7" w:rsidRPr="005375B7" w:rsidRDefault="005375B7" w:rsidP="005375B7">
            <w:pPr>
              <w:spacing w:after="120"/>
              <w:ind w:left="567" w:hanging="567"/>
              <w:rPr>
                <w:bCs/>
              </w:rPr>
            </w:pPr>
            <w:r w:rsidRPr="005375B7">
              <w:t xml:space="preserve">EMA </w:t>
            </w:r>
          </w:p>
        </w:tc>
        <w:tc>
          <w:tcPr>
            <w:tcW w:w="1630" w:type="dxa"/>
            <w:tcBorders>
              <w:top w:val="single" w:sz="4" w:space="0" w:color="auto"/>
              <w:left w:val="single" w:sz="4" w:space="0" w:color="auto"/>
              <w:bottom w:val="single" w:sz="4" w:space="0" w:color="auto"/>
              <w:right w:val="single" w:sz="4" w:space="0" w:color="auto"/>
            </w:tcBorders>
            <w:noWrap/>
            <w:hideMark/>
          </w:tcPr>
          <w:p w14:paraId="7B158F1B" w14:textId="77777777" w:rsidR="005375B7" w:rsidRPr="005375B7" w:rsidRDefault="005375B7" w:rsidP="005375B7">
            <w:pPr>
              <w:spacing w:after="120"/>
              <w:ind w:left="567" w:hanging="567"/>
              <w:rPr>
                <w:bCs/>
              </w:rPr>
            </w:pPr>
            <w:r w:rsidRPr="005375B7">
              <w:rPr>
                <w:bCs/>
              </w:rPr>
              <w:t>448 603 000</w:t>
            </w:r>
          </w:p>
        </w:tc>
        <w:tc>
          <w:tcPr>
            <w:tcW w:w="1280" w:type="dxa"/>
            <w:tcBorders>
              <w:top w:val="single" w:sz="4" w:space="0" w:color="auto"/>
              <w:left w:val="single" w:sz="4" w:space="0" w:color="auto"/>
              <w:bottom w:val="single" w:sz="4" w:space="0" w:color="auto"/>
              <w:right w:val="single" w:sz="4" w:space="0" w:color="auto"/>
            </w:tcBorders>
            <w:noWrap/>
            <w:hideMark/>
          </w:tcPr>
          <w:p w14:paraId="051FF8A5" w14:textId="77777777" w:rsidR="005375B7" w:rsidRPr="005375B7" w:rsidRDefault="005375B7" w:rsidP="005375B7">
            <w:pPr>
              <w:spacing w:after="120"/>
              <w:ind w:left="567" w:hanging="567"/>
              <w:rPr>
                <w:bCs/>
              </w:rPr>
            </w:pPr>
            <w:r w:rsidRPr="005375B7">
              <w:rPr>
                <w:bCs/>
              </w:rPr>
              <w:t>50 027 000</w:t>
            </w:r>
          </w:p>
        </w:tc>
        <w:tc>
          <w:tcPr>
            <w:tcW w:w="696" w:type="dxa"/>
            <w:tcBorders>
              <w:top w:val="single" w:sz="4" w:space="0" w:color="auto"/>
              <w:left w:val="single" w:sz="4" w:space="0" w:color="auto"/>
              <w:bottom w:val="single" w:sz="4" w:space="0" w:color="auto"/>
              <w:right w:val="single" w:sz="4" w:space="0" w:color="auto"/>
            </w:tcBorders>
            <w:noWrap/>
            <w:hideMark/>
          </w:tcPr>
          <w:p w14:paraId="369292E8" w14:textId="77777777" w:rsidR="005375B7" w:rsidRPr="005375B7" w:rsidRDefault="005375B7" w:rsidP="005375B7">
            <w:pPr>
              <w:spacing w:after="120"/>
              <w:ind w:left="567" w:hanging="567"/>
              <w:rPr>
                <w:bCs/>
              </w:rPr>
            </w:pPr>
            <w:r w:rsidRPr="005375B7">
              <w:rPr>
                <w:bCs/>
              </w:rPr>
              <w:t>11</w:t>
            </w:r>
          </w:p>
        </w:tc>
        <w:tc>
          <w:tcPr>
            <w:tcW w:w="1461" w:type="dxa"/>
            <w:tcBorders>
              <w:top w:val="single" w:sz="4" w:space="0" w:color="auto"/>
              <w:left w:val="single" w:sz="4" w:space="0" w:color="auto"/>
              <w:bottom w:val="single" w:sz="4" w:space="0" w:color="auto"/>
              <w:right w:val="single" w:sz="4" w:space="0" w:color="auto"/>
            </w:tcBorders>
            <w:noWrap/>
            <w:hideMark/>
          </w:tcPr>
          <w:p w14:paraId="301A9444" w14:textId="77777777" w:rsidR="005375B7" w:rsidRPr="005375B7" w:rsidRDefault="005375B7" w:rsidP="005375B7">
            <w:pPr>
              <w:spacing w:after="120"/>
              <w:ind w:left="567" w:hanging="567"/>
              <w:rPr>
                <w:bCs/>
              </w:rPr>
            </w:pPr>
            <w:r w:rsidRPr="005375B7">
              <w:rPr>
                <w:bCs/>
              </w:rPr>
              <w:t>398 209 000</w:t>
            </w:r>
          </w:p>
        </w:tc>
        <w:tc>
          <w:tcPr>
            <w:tcW w:w="664" w:type="dxa"/>
            <w:tcBorders>
              <w:top w:val="single" w:sz="4" w:space="0" w:color="auto"/>
              <w:left w:val="single" w:sz="4" w:space="0" w:color="auto"/>
              <w:bottom w:val="single" w:sz="4" w:space="0" w:color="auto"/>
              <w:right w:val="single" w:sz="4" w:space="0" w:color="auto"/>
            </w:tcBorders>
            <w:noWrap/>
            <w:hideMark/>
          </w:tcPr>
          <w:p w14:paraId="06B6C135" w14:textId="77777777" w:rsidR="005375B7" w:rsidRPr="005375B7" w:rsidRDefault="005375B7" w:rsidP="005375B7">
            <w:pPr>
              <w:spacing w:after="120"/>
              <w:ind w:left="567" w:hanging="567"/>
              <w:rPr>
                <w:bCs/>
              </w:rPr>
            </w:pPr>
            <w:r w:rsidRPr="005375B7">
              <w:rPr>
                <w:bCs/>
              </w:rPr>
              <w:t>89</w:t>
            </w:r>
          </w:p>
        </w:tc>
        <w:tc>
          <w:tcPr>
            <w:tcW w:w="1300" w:type="dxa"/>
            <w:tcBorders>
              <w:top w:val="single" w:sz="4" w:space="0" w:color="auto"/>
              <w:left w:val="single" w:sz="4" w:space="0" w:color="auto"/>
              <w:bottom w:val="single" w:sz="4" w:space="0" w:color="auto"/>
              <w:right w:val="single" w:sz="4" w:space="0" w:color="auto"/>
            </w:tcBorders>
            <w:noWrap/>
            <w:hideMark/>
          </w:tcPr>
          <w:p w14:paraId="2C1ED331" w14:textId="77777777" w:rsidR="005375B7" w:rsidRPr="005375B7" w:rsidRDefault="005375B7" w:rsidP="005375B7">
            <w:pPr>
              <w:spacing w:after="120"/>
              <w:ind w:left="567" w:hanging="567"/>
              <w:rPr>
                <w:bCs/>
              </w:rPr>
            </w:pPr>
            <w:r w:rsidRPr="005375B7">
              <w:rPr>
                <w:bCs/>
              </w:rPr>
              <w:t>367 000</w:t>
            </w:r>
          </w:p>
        </w:tc>
      </w:tr>
      <w:tr w:rsidR="005375B7" w:rsidRPr="005375B7" w14:paraId="61800FC1" w14:textId="77777777" w:rsidTr="00982A76">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3E9D1839" w14:textId="77777777" w:rsidR="005375B7" w:rsidRPr="005375B7" w:rsidRDefault="005375B7" w:rsidP="005375B7">
            <w:pPr>
              <w:spacing w:after="120"/>
              <w:ind w:left="567" w:hanging="567"/>
              <w:rPr>
                <w:bCs/>
              </w:rPr>
            </w:pPr>
            <w:r w:rsidRPr="005375B7">
              <w:t>ERA</w:t>
            </w:r>
          </w:p>
        </w:tc>
        <w:tc>
          <w:tcPr>
            <w:tcW w:w="1630" w:type="dxa"/>
            <w:tcBorders>
              <w:top w:val="single" w:sz="4" w:space="0" w:color="auto"/>
              <w:left w:val="single" w:sz="4" w:space="0" w:color="auto"/>
              <w:bottom w:val="single" w:sz="4" w:space="0" w:color="auto"/>
              <w:right w:val="single" w:sz="4" w:space="0" w:color="auto"/>
            </w:tcBorders>
            <w:noWrap/>
            <w:hideMark/>
          </w:tcPr>
          <w:p w14:paraId="2BB71B80" w14:textId="77777777" w:rsidR="005375B7" w:rsidRPr="005375B7" w:rsidRDefault="005375B7" w:rsidP="005375B7">
            <w:pPr>
              <w:spacing w:after="120"/>
              <w:ind w:left="567" w:hanging="567"/>
              <w:rPr>
                <w:bCs/>
              </w:rPr>
            </w:pPr>
            <w:r w:rsidRPr="005375B7">
              <w:rPr>
                <w:bCs/>
              </w:rPr>
              <w:t>38 532 447</w:t>
            </w:r>
          </w:p>
        </w:tc>
        <w:tc>
          <w:tcPr>
            <w:tcW w:w="1280" w:type="dxa"/>
            <w:tcBorders>
              <w:top w:val="single" w:sz="4" w:space="0" w:color="auto"/>
              <w:left w:val="single" w:sz="4" w:space="0" w:color="auto"/>
              <w:bottom w:val="single" w:sz="4" w:space="0" w:color="auto"/>
              <w:right w:val="single" w:sz="4" w:space="0" w:color="auto"/>
            </w:tcBorders>
            <w:noWrap/>
            <w:hideMark/>
          </w:tcPr>
          <w:p w14:paraId="2AA6BA58" w14:textId="77777777" w:rsidR="005375B7" w:rsidRPr="005375B7" w:rsidRDefault="005375B7" w:rsidP="005375B7">
            <w:pPr>
              <w:spacing w:after="120"/>
              <w:ind w:left="567" w:hanging="567"/>
              <w:rPr>
                <w:bCs/>
              </w:rPr>
            </w:pPr>
            <w:r w:rsidRPr="005375B7">
              <w:rPr>
                <w:bCs/>
              </w:rPr>
              <w:t>27 418 274</w:t>
            </w:r>
          </w:p>
        </w:tc>
        <w:tc>
          <w:tcPr>
            <w:tcW w:w="696" w:type="dxa"/>
            <w:tcBorders>
              <w:top w:val="single" w:sz="4" w:space="0" w:color="auto"/>
              <w:left w:val="single" w:sz="4" w:space="0" w:color="auto"/>
              <w:bottom w:val="single" w:sz="4" w:space="0" w:color="auto"/>
              <w:right w:val="single" w:sz="4" w:space="0" w:color="auto"/>
            </w:tcBorders>
            <w:noWrap/>
            <w:hideMark/>
          </w:tcPr>
          <w:p w14:paraId="59478853" w14:textId="77777777" w:rsidR="005375B7" w:rsidRPr="005375B7" w:rsidRDefault="005375B7" w:rsidP="005375B7">
            <w:pPr>
              <w:spacing w:after="120"/>
              <w:ind w:left="567" w:hanging="567"/>
              <w:rPr>
                <w:bCs/>
              </w:rPr>
            </w:pPr>
            <w:r w:rsidRPr="005375B7">
              <w:rPr>
                <w:bCs/>
              </w:rPr>
              <w:t>71</w:t>
            </w:r>
          </w:p>
        </w:tc>
        <w:tc>
          <w:tcPr>
            <w:tcW w:w="1461" w:type="dxa"/>
            <w:tcBorders>
              <w:top w:val="single" w:sz="4" w:space="0" w:color="auto"/>
              <w:left w:val="single" w:sz="4" w:space="0" w:color="auto"/>
              <w:bottom w:val="single" w:sz="4" w:space="0" w:color="auto"/>
              <w:right w:val="single" w:sz="4" w:space="0" w:color="auto"/>
            </w:tcBorders>
            <w:noWrap/>
            <w:hideMark/>
          </w:tcPr>
          <w:p w14:paraId="2845C77F" w14:textId="77777777" w:rsidR="005375B7" w:rsidRPr="005375B7" w:rsidRDefault="005375B7" w:rsidP="005375B7">
            <w:pPr>
              <w:spacing w:after="120"/>
              <w:ind w:left="567" w:hanging="567"/>
              <w:rPr>
                <w:bCs/>
              </w:rPr>
            </w:pPr>
            <w:r w:rsidRPr="005375B7">
              <w:rPr>
                <w:bCs/>
              </w:rPr>
              <w:t>10 312 858</w:t>
            </w:r>
          </w:p>
        </w:tc>
        <w:tc>
          <w:tcPr>
            <w:tcW w:w="664" w:type="dxa"/>
            <w:tcBorders>
              <w:top w:val="single" w:sz="4" w:space="0" w:color="auto"/>
              <w:left w:val="single" w:sz="4" w:space="0" w:color="auto"/>
              <w:bottom w:val="single" w:sz="4" w:space="0" w:color="auto"/>
              <w:right w:val="single" w:sz="4" w:space="0" w:color="auto"/>
            </w:tcBorders>
            <w:noWrap/>
            <w:hideMark/>
          </w:tcPr>
          <w:p w14:paraId="180329D5" w14:textId="77777777" w:rsidR="005375B7" w:rsidRPr="005375B7" w:rsidRDefault="005375B7" w:rsidP="005375B7">
            <w:pPr>
              <w:spacing w:after="120"/>
              <w:ind w:left="567" w:hanging="567"/>
              <w:rPr>
                <w:bCs/>
              </w:rPr>
            </w:pPr>
            <w:r w:rsidRPr="005375B7">
              <w:rPr>
                <w:bCs/>
              </w:rPr>
              <w:t>27</w:t>
            </w:r>
          </w:p>
        </w:tc>
        <w:tc>
          <w:tcPr>
            <w:tcW w:w="1300" w:type="dxa"/>
            <w:tcBorders>
              <w:top w:val="single" w:sz="4" w:space="0" w:color="auto"/>
              <w:left w:val="single" w:sz="4" w:space="0" w:color="auto"/>
              <w:bottom w:val="single" w:sz="4" w:space="0" w:color="auto"/>
              <w:right w:val="single" w:sz="4" w:space="0" w:color="auto"/>
            </w:tcBorders>
            <w:noWrap/>
            <w:hideMark/>
          </w:tcPr>
          <w:p w14:paraId="4C6889EC" w14:textId="77777777" w:rsidR="005375B7" w:rsidRPr="005375B7" w:rsidRDefault="005375B7" w:rsidP="005375B7">
            <w:pPr>
              <w:spacing w:after="120"/>
              <w:ind w:left="567" w:hanging="567"/>
              <w:rPr>
                <w:bCs/>
              </w:rPr>
            </w:pPr>
            <w:r w:rsidRPr="005375B7">
              <w:rPr>
                <w:bCs/>
              </w:rPr>
              <w:t>801 315</w:t>
            </w:r>
          </w:p>
        </w:tc>
      </w:tr>
      <w:tr w:rsidR="005375B7" w:rsidRPr="005375B7" w14:paraId="123244E7" w14:textId="77777777" w:rsidTr="00982A76">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8E943F8" w14:textId="77777777" w:rsidR="005375B7" w:rsidRPr="005375B7" w:rsidRDefault="005375B7" w:rsidP="005375B7">
            <w:pPr>
              <w:spacing w:after="120"/>
              <w:ind w:left="567" w:hanging="567"/>
              <w:rPr>
                <w:bCs/>
              </w:rPr>
            </w:pPr>
            <w:r w:rsidRPr="005375B7">
              <w:t>Esma</w:t>
            </w:r>
          </w:p>
        </w:tc>
        <w:tc>
          <w:tcPr>
            <w:tcW w:w="1630" w:type="dxa"/>
            <w:tcBorders>
              <w:top w:val="single" w:sz="4" w:space="0" w:color="auto"/>
              <w:left w:val="single" w:sz="4" w:space="0" w:color="auto"/>
              <w:bottom w:val="single" w:sz="4" w:space="0" w:color="auto"/>
              <w:right w:val="single" w:sz="4" w:space="0" w:color="auto"/>
            </w:tcBorders>
            <w:noWrap/>
            <w:hideMark/>
          </w:tcPr>
          <w:p w14:paraId="77E1474C" w14:textId="77777777" w:rsidR="005375B7" w:rsidRPr="005375B7" w:rsidRDefault="005375B7" w:rsidP="005375B7">
            <w:pPr>
              <w:spacing w:after="120"/>
              <w:ind w:left="567" w:hanging="567"/>
              <w:rPr>
                <w:bCs/>
              </w:rPr>
            </w:pPr>
            <w:r w:rsidRPr="005375B7">
              <w:rPr>
                <w:bCs/>
              </w:rPr>
              <w:t>72 509 657</w:t>
            </w:r>
          </w:p>
        </w:tc>
        <w:tc>
          <w:tcPr>
            <w:tcW w:w="1280" w:type="dxa"/>
            <w:tcBorders>
              <w:top w:val="single" w:sz="4" w:space="0" w:color="auto"/>
              <w:left w:val="single" w:sz="4" w:space="0" w:color="auto"/>
              <w:bottom w:val="single" w:sz="4" w:space="0" w:color="auto"/>
              <w:right w:val="single" w:sz="4" w:space="0" w:color="auto"/>
            </w:tcBorders>
            <w:noWrap/>
            <w:hideMark/>
          </w:tcPr>
          <w:p w14:paraId="18793662" w14:textId="77777777" w:rsidR="005375B7" w:rsidRPr="005375B7" w:rsidRDefault="005375B7" w:rsidP="005375B7">
            <w:pPr>
              <w:spacing w:after="120"/>
              <w:ind w:left="567" w:hanging="567"/>
              <w:rPr>
                <w:bCs/>
              </w:rPr>
            </w:pPr>
            <w:r w:rsidRPr="005375B7">
              <w:rPr>
                <w:bCs/>
              </w:rPr>
              <w:t>18 588 578</w:t>
            </w:r>
          </w:p>
        </w:tc>
        <w:tc>
          <w:tcPr>
            <w:tcW w:w="696" w:type="dxa"/>
            <w:tcBorders>
              <w:top w:val="single" w:sz="4" w:space="0" w:color="auto"/>
              <w:left w:val="single" w:sz="4" w:space="0" w:color="auto"/>
              <w:bottom w:val="single" w:sz="4" w:space="0" w:color="auto"/>
              <w:right w:val="single" w:sz="4" w:space="0" w:color="auto"/>
            </w:tcBorders>
            <w:noWrap/>
            <w:hideMark/>
          </w:tcPr>
          <w:p w14:paraId="7D28062B" w14:textId="77777777" w:rsidR="005375B7" w:rsidRPr="005375B7" w:rsidRDefault="005375B7" w:rsidP="005375B7">
            <w:pPr>
              <w:spacing w:after="120"/>
              <w:ind w:left="567" w:hanging="567"/>
              <w:rPr>
                <w:bCs/>
              </w:rPr>
            </w:pPr>
            <w:r w:rsidRPr="005375B7">
              <w:rPr>
                <w:bCs/>
              </w:rPr>
              <w:t>26</w:t>
            </w:r>
          </w:p>
        </w:tc>
        <w:tc>
          <w:tcPr>
            <w:tcW w:w="1461" w:type="dxa"/>
            <w:tcBorders>
              <w:top w:val="single" w:sz="4" w:space="0" w:color="auto"/>
              <w:left w:val="single" w:sz="4" w:space="0" w:color="auto"/>
              <w:bottom w:val="single" w:sz="4" w:space="0" w:color="auto"/>
              <w:right w:val="single" w:sz="4" w:space="0" w:color="auto"/>
            </w:tcBorders>
            <w:noWrap/>
            <w:hideMark/>
          </w:tcPr>
          <w:p w14:paraId="0381A526" w14:textId="77777777" w:rsidR="005375B7" w:rsidRPr="005375B7" w:rsidRDefault="005375B7" w:rsidP="005375B7">
            <w:pPr>
              <w:spacing w:after="120"/>
              <w:ind w:left="567" w:hanging="567"/>
              <w:rPr>
                <w:bCs/>
              </w:rPr>
            </w:pPr>
            <w:r w:rsidRPr="005375B7">
              <w:rPr>
                <w:bCs/>
              </w:rPr>
              <w:t>52 224 114</w:t>
            </w:r>
          </w:p>
        </w:tc>
        <w:tc>
          <w:tcPr>
            <w:tcW w:w="664" w:type="dxa"/>
            <w:tcBorders>
              <w:top w:val="single" w:sz="4" w:space="0" w:color="auto"/>
              <w:left w:val="single" w:sz="4" w:space="0" w:color="auto"/>
              <w:bottom w:val="single" w:sz="4" w:space="0" w:color="auto"/>
              <w:right w:val="single" w:sz="4" w:space="0" w:color="auto"/>
            </w:tcBorders>
            <w:noWrap/>
            <w:hideMark/>
          </w:tcPr>
          <w:p w14:paraId="1FA94A4B" w14:textId="77777777" w:rsidR="005375B7" w:rsidRPr="005375B7" w:rsidRDefault="005375B7" w:rsidP="005375B7">
            <w:pPr>
              <w:spacing w:after="120"/>
              <w:ind w:left="567" w:hanging="567"/>
              <w:rPr>
                <w:bCs/>
              </w:rPr>
            </w:pPr>
            <w:r w:rsidRPr="005375B7">
              <w:rPr>
                <w:bCs/>
              </w:rPr>
              <w:t>72</w:t>
            </w:r>
          </w:p>
        </w:tc>
        <w:tc>
          <w:tcPr>
            <w:tcW w:w="1300" w:type="dxa"/>
            <w:tcBorders>
              <w:top w:val="single" w:sz="4" w:space="0" w:color="auto"/>
              <w:left w:val="single" w:sz="4" w:space="0" w:color="auto"/>
              <w:bottom w:val="single" w:sz="4" w:space="0" w:color="auto"/>
              <w:right w:val="single" w:sz="4" w:space="0" w:color="auto"/>
            </w:tcBorders>
            <w:noWrap/>
            <w:hideMark/>
          </w:tcPr>
          <w:p w14:paraId="3C93EE85" w14:textId="77777777" w:rsidR="005375B7" w:rsidRPr="005375B7" w:rsidRDefault="005375B7" w:rsidP="005375B7">
            <w:pPr>
              <w:spacing w:after="120"/>
              <w:ind w:left="567" w:hanging="567"/>
              <w:rPr>
                <w:bCs/>
              </w:rPr>
            </w:pPr>
            <w:r w:rsidRPr="005375B7">
              <w:rPr>
                <w:bCs/>
              </w:rPr>
              <w:t>1 696 965</w:t>
            </w:r>
          </w:p>
        </w:tc>
      </w:tr>
      <w:tr w:rsidR="005375B7" w:rsidRPr="005375B7" w14:paraId="48A94541" w14:textId="77777777" w:rsidTr="00982A76">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D8A0A91" w14:textId="77777777" w:rsidR="005375B7" w:rsidRPr="005375B7" w:rsidRDefault="005375B7" w:rsidP="005375B7">
            <w:pPr>
              <w:spacing w:after="120"/>
              <w:jc w:val="right"/>
              <w:rPr>
                <w:bCs/>
              </w:rPr>
            </w:pPr>
            <w:r w:rsidRPr="005375B7">
              <w:t>TOTALT</w:t>
            </w:r>
          </w:p>
        </w:tc>
        <w:tc>
          <w:tcPr>
            <w:tcW w:w="1630" w:type="dxa"/>
            <w:tcBorders>
              <w:top w:val="single" w:sz="4" w:space="0" w:color="auto"/>
              <w:left w:val="single" w:sz="4" w:space="0" w:color="auto"/>
              <w:bottom w:val="single" w:sz="4" w:space="0" w:color="auto"/>
              <w:right w:val="single" w:sz="4" w:space="0" w:color="auto"/>
            </w:tcBorders>
            <w:noWrap/>
            <w:hideMark/>
          </w:tcPr>
          <w:p w14:paraId="23C41C71" w14:textId="77777777" w:rsidR="005375B7" w:rsidRPr="005375B7" w:rsidRDefault="005375B7" w:rsidP="005375B7">
            <w:pPr>
              <w:spacing w:after="120"/>
              <w:ind w:left="567" w:hanging="567"/>
              <w:rPr>
                <w:bCs/>
              </w:rPr>
            </w:pPr>
            <w:r w:rsidRPr="005375B7">
              <w:t>1 018 694 977</w:t>
            </w:r>
          </w:p>
        </w:tc>
        <w:tc>
          <w:tcPr>
            <w:tcW w:w="1280" w:type="dxa"/>
            <w:tcBorders>
              <w:top w:val="single" w:sz="4" w:space="0" w:color="auto"/>
              <w:left w:val="single" w:sz="4" w:space="0" w:color="auto"/>
              <w:bottom w:val="single" w:sz="4" w:space="0" w:color="auto"/>
              <w:right w:val="single" w:sz="4" w:space="0" w:color="auto"/>
            </w:tcBorders>
            <w:noWrap/>
            <w:hideMark/>
          </w:tcPr>
          <w:p w14:paraId="3583E4A2" w14:textId="77777777" w:rsidR="005375B7" w:rsidRPr="005375B7" w:rsidRDefault="005375B7" w:rsidP="005375B7">
            <w:pPr>
              <w:spacing w:after="120"/>
              <w:ind w:left="567" w:hanging="567"/>
              <w:rPr>
                <w:bCs/>
              </w:rPr>
            </w:pPr>
            <w:r w:rsidRPr="005375B7">
              <w:t>273 955 473</w:t>
            </w:r>
          </w:p>
        </w:tc>
        <w:tc>
          <w:tcPr>
            <w:tcW w:w="696" w:type="dxa"/>
            <w:tcBorders>
              <w:top w:val="single" w:sz="4" w:space="0" w:color="auto"/>
              <w:left w:val="single" w:sz="4" w:space="0" w:color="auto"/>
              <w:bottom w:val="single" w:sz="4" w:space="0" w:color="auto"/>
              <w:right w:val="single" w:sz="4" w:space="0" w:color="auto"/>
            </w:tcBorders>
            <w:noWrap/>
            <w:hideMark/>
          </w:tcPr>
          <w:p w14:paraId="1FE6DC91" w14:textId="77777777" w:rsidR="005375B7" w:rsidRPr="005375B7" w:rsidRDefault="005375B7" w:rsidP="005375B7">
            <w:pPr>
              <w:spacing w:after="120"/>
              <w:ind w:left="567" w:hanging="567"/>
              <w:rPr>
                <w:bCs/>
              </w:rPr>
            </w:pPr>
            <w:r w:rsidRPr="005375B7">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76A8659D" w14:textId="77777777" w:rsidR="005375B7" w:rsidRPr="005375B7" w:rsidRDefault="005375B7" w:rsidP="005375B7">
            <w:pPr>
              <w:spacing w:after="120"/>
              <w:ind w:left="567" w:hanging="567"/>
              <w:rPr>
                <w:bCs/>
              </w:rPr>
            </w:pPr>
            <w:r w:rsidRPr="005375B7">
              <w:t>724 811 224</w:t>
            </w:r>
          </w:p>
        </w:tc>
        <w:tc>
          <w:tcPr>
            <w:tcW w:w="664" w:type="dxa"/>
            <w:tcBorders>
              <w:top w:val="single" w:sz="4" w:space="0" w:color="auto"/>
              <w:left w:val="single" w:sz="4" w:space="0" w:color="auto"/>
              <w:bottom w:val="single" w:sz="4" w:space="0" w:color="auto"/>
              <w:right w:val="single" w:sz="4" w:space="0" w:color="auto"/>
            </w:tcBorders>
            <w:noWrap/>
            <w:hideMark/>
          </w:tcPr>
          <w:p w14:paraId="354F280E" w14:textId="77777777" w:rsidR="005375B7" w:rsidRPr="005375B7" w:rsidRDefault="005375B7" w:rsidP="005375B7">
            <w:pPr>
              <w:spacing w:after="120"/>
              <w:ind w:left="567" w:hanging="567"/>
              <w:rPr>
                <w:bCs/>
              </w:rPr>
            </w:pPr>
            <w:r w:rsidRPr="005375B7">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38C069D8" w14:textId="77777777" w:rsidR="005375B7" w:rsidRPr="005375B7" w:rsidRDefault="005375B7" w:rsidP="005375B7">
            <w:pPr>
              <w:spacing w:after="120"/>
              <w:ind w:left="567" w:hanging="567"/>
              <w:rPr>
                <w:bCs/>
              </w:rPr>
            </w:pPr>
            <w:r w:rsidRPr="005375B7">
              <w:t>19 928 279</w:t>
            </w:r>
          </w:p>
        </w:tc>
      </w:tr>
    </w:tbl>
    <w:p w14:paraId="20D2BAE3"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26.</w:t>
      </w:r>
      <w:r w:rsidRPr="005375B7">
        <w:rPr>
          <w:kern w:val="2"/>
          <w14:ligatures w14:val="standardContextual"/>
        </w:rPr>
        <w:tab/>
        <w:t>Europaparlamentet noterar revisionsrättens iakttagelse att Europeiska unionens byrå för samarbete mellan energitillsynsmyndigheter (Acer), Europeiska unionens byrå för luftfartssäkerhet (Easa), Europeiska kemikaliemyndigheten (Echa), Europeiska läkemedelsmyndigheten (EMA), Europeiska unionens järnvägsbyrå (ERA) och Europeiska värdepappers- och marknadsmyndigheten (Esma) är rättsligt skyldiga att identifiera och separat redovisa kostnaderna för verksamhet som finansieras med egna inkomster. Parlamentet noterar att dessa byråer har inrättat system för att uppfylla detta krav och noterar att vissa byråer såsom EMA, Easa och ERA går längre än dessa krav.</w:t>
      </w:r>
    </w:p>
    <w:p w14:paraId="4F585BFF" w14:textId="57D0386A" w:rsidR="005375B7" w:rsidRPr="005375B7" w:rsidRDefault="005375B7" w:rsidP="005375B7">
      <w:pPr>
        <w:spacing w:after="240"/>
        <w:ind w:left="567" w:hanging="567"/>
        <w:rPr>
          <w:kern w:val="2"/>
          <w14:ligatures w14:val="standardContextual"/>
        </w:rPr>
      </w:pPr>
      <w:r w:rsidRPr="005375B7">
        <w:rPr>
          <w:kern w:val="2"/>
          <w14:ligatures w14:val="standardContextual"/>
        </w:rPr>
        <w:t>27.</w:t>
      </w:r>
      <w:r w:rsidRPr="005375B7">
        <w:rPr>
          <w:kern w:val="2"/>
          <w14:ligatures w14:val="standardContextual"/>
        </w:rPr>
        <w:tab/>
        <w:t xml:space="preserve">Europaparlamentet konstaterar att det i inrättandeförordningarna för de tre europeiska tillsynsmyndigheterna (EBA, Eiopa och Esma </w:t>
      </w:r>
      <w:r>
        <w:rPr>
          <w:kern w:val="2"/>
          <w14:ligatures w14:val="standardContextual"/>
        </w:rPr>
        <w:t>-</w:t>
      </w:r>
      <w:r w:rsidRPr="005375B7">
        <w:rPr>
          <w:kern w:val="2"/>
          <w14:ligatures w14:val="standardContextual"/>
        </w:rPr>
        <w:t xml:space="preserve"> med undantag för verksamhet som finansieras genom tillsynsavgifter) fastställs att de bidrag som de tar emot från nationella behöriga myndigheter inledningsvis bör stå för 60 % av deras budgetar, medan återstående 40 % kommer från unionens budget. Parlamentet noterar att detta återspeglar kombinationen av regleringsuppgifter (som är lämpliga för EU-finansiering) och uppgifter som rör enhetlighet i tillsynen (som är lämpliga för bidrag från nationella behöriga myndigheter) inom ramen för de tre myndigheternas mandat. Parlamentet framhåller att på grund av avsaknaden av en tydlig avgränsning i inrättandeförordningarna mellan den verksamhet som finansieras av de två källorna skiljer dessa myndigheter inte mellan de kostnader som täcks av bidraget från unionens budget och de kostnader som täcks av nationella bidrag.</w:t>
      </w:r>
    </w:p>
    <w:p w14:paraId="0BCE350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28.</w:t>
      </w:r>
      <w:r w:rsidRPr="005375B7">
        <w:rPr>
          <w:kern w:val="2"/>
          <w14:ligatures w14:val="standardContextual"/>
        </w:rPr>
        <w:tab/>
        <w:t>Europaparlamentet uppmanar EBA, Eiopa och Esma att utveckla denna kapacitet för att identifiera och separat redovisa kostnaderna för verksamhet som genererar deras respektive flöden av egna inkomster i syfte att förbättra deras beslutsfattande och kvaliteten på den information som de tillhandahåller berörda parter om de underskott eller överskott som sådan verksamhet ger upphov till.</w:t>
      </w:r>
    </w:p>
    <w:p w14:paraId="00D637C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29.</w:t>
      </w:r>
      <w:r w:rsidRPr="005375B7">
        <w:rPr>
          <w:kern w:val="2"/>
          <w14:ligatures w14:val="standardContextual"/>
        </w:rPr>
        <w:tab/>
        <w:t xml:space="preserve">Europaparlamentet noterar att CdT har infört ett system för att övervaka kostnaderna för varje verksamhet och produkt som genererar egna inkomster, vilket gör det möjligt för CdT att beräkna vinster eller förluster. Parlamentet framhåller att under 2023 </w:t>
      </w:r>
      <w:r w:rsidRPr="005375B7">
        <w:rPr>
          <w:kern w:val="2"/>
          <w14:ligatures w14:val="standardContextual"/>
        </w:rPr>
        <w:lastRenderedPageBreak/>
        <w:t>rapporterades förluster på totalt 3,4 miljoner EUR för 10 av CdT:s 17 viktigaste produkter.</w:t>
      </w:r>
    </w:p>
    <w:p w14:paraId="3525762D"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30.</w:t>
      </w:r>
      <w:r w:rsidRPr="005375B7">
        <w:rPr>
          <w:kern w:val="2"/>
          <w14:ligatures w14:val="standardContextual"/>
        </w:rPr>
        <w:tab/>
        <w:t>Europaparlamentet understryker att CdT under det senaste årtiondet har upplevt sju år med budgetunderskott och sex år med bokföringsmässiga förluster på grund av minskande affärsvolymer. Parlamentet noterar att CdT, för att hantera de minskade affärsvolymerna, har utnyttjat en särskild reserv som skapades 2011 för att säkerställa budget- och prisstabilitet. Parlamentet noterar att denna reserv nådde en topp på 15,6 miljoner EUR 2014 och därefter minskade till 10,3 miljoner EUR 2022 och 8,9 miljoner EUR 2023. Parlamentet är medvetet om att när reserven väl är helt uttömd skulle eventuella ytterligare underskott behöva täckas av subventioner från unionens budget, i enlighet med CdT:s inrättandeförordning. Parlamentet uppmanar CdT att rapportera till den ansvarsfrihetsbeviljande myndigheten om sina planer för att minska riskerna för driftskontinuiteten.</w:t>
      </w:r>
    </w:p>
    <w:p w14:paraId="7933636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31.</w:t>
      </w:r>
      <w:r w:rsidRPr="005375B7">
        <w:rPr>
          <w:kern w:val="2"/>
          <w14:ligatures w14:val="standardContextual"/>
        </w:rPr>
        <w:tab/>
        <w:t>Europaparlamentet noterar att byråerna måste förbättra sin ekonomiska rapportering och sina mekanismer för internkontroll. Parlamentet uppmanar byråerna att årligen överlämna en detaljerad uppställning av utgifter, inbegripet uppdelade uppgifter om externa avtal, konsulttjänster och underleverantörer. Parlamentet insisterar på att det behövs verktyg för digital rapportering i realtid som förbättrar den ekonomiska tillsynen och ansvarsskyldigheten gentemot Europaparlamentet och allmänheten. Parlamentet uppmuntrar till ytterligare framsteg med revisionsrekommendationerna.</w:t>
      </w:r>
    </w:p>
    <w:p w14:paraId="43786D12" w14:textId="77777777" w:rsidR="005375B7" w:rsidRPr="005375B7" w:rsidRDefault="005375B7" w:rsidP="005375B7">
      <w:pPr>
        <w:spacing w:after="240"/>
        <w:ind w:left="567" w:hanging="567"/>
        <w:rPr>
          <w:b/>
          <w:iCs/>
          <w:kern w:val="2"/>
          <w:szCs w:val="24"/>
          <w14:ligatures w14:val="standardContextual"/>
        </w:rPr>
      </w:pPr>
      <w:r w:rsidRPr="005375B7">
        <w:rPr>
          <w:b/>
          <w:iCs/>
          <w:kern w:val="2"/>
          <w14:ligatures w14:val="standardContextual"/>
        </w:rPr>
        <w:t>De huvudsakliga risker som identifierats av revisionsrätten</w:t>
      </w:r>
    </w:p>
    <w:p w14:paraId="7DFD3243"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32.</w:t>
      </w:r>
      <w:r w:rsidRPr="005375B7">
        <w:rPr>
          <w:kern w:val="2"/>
          <w14:ligatures w14:val="standardContextual"/>
        </w:rPr>
        <w:tab/>
      </w:r>
      <w:r w:rsidRPr="005375B7">
        <w:rPr>
          <w:color w:val="000000"/>
          <w:kern w:val="2"/>
          <w14:ligatures w14:val="standardContextual"/>
        </w:rPr>
        <w:t>Europaparlamentet noterar slutsatsen från revisionsrätten i dess årsrapport om EU:s byråer för budgetåret 2023 att revisionsrättens granskning visade liknande resultat som föregående år (2022), och att brister i förfarandena för offentlig upphandling fortfarande var den främsta källan till oriktiga betalningar.</w:t>
      </w:r>
    </w:p>
    <w:p w14:paraId="757E35A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33.</w:t>
      </w:r>
      <w:r w:rsidRPr="005375B7">
        <w:rPr>
          <w:kern w:val="2"/>
          <w14:ligatures w14:val="standardContextual"/>
        </w:rPr>
        <w:tab/>
      </w:r>
      <w:r w:rsidRPr="005375B7">
        <w:rPr>
          <w:color w:val="000000"/>
          <w:kern w:val="2"/>
          <w14:ligatures w14:val="standardContextual"/>
        </w:rPr>
        <w:t>Europaparlamentet noterar med hänvisning till revisionsrättens rapport att den övergripande risken för tillförlitligheten för byråernas räkenskaper, som fastställts genom tillämpning av de redovisningsregler som antagits av kommissionens räkenskapsförare och som bygger på internationella redovisningsstandarder, generellt sett är låg, vilket även var fallet 2022.</w:t>
      </w:r>
    </w:p>
    <w:p w14:paraId="05DDA862"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34.</w:t>
      </w:r>
      <w:r w:rsidRPr="005375B7">
        <w:rPr>
          <w:kern w:val="2"/>
          <w14:ligatures w14:val="standardContextual"/>
        </w:rPr>
        <w:tab/>
      </w:r>
      <w:r w:rsidRPr="005375B7">
        <w:rPr>
          <w:color w:val="000000"/>
          <w:kern w:val="2"/>
          <w14:ligatures w14:val="standardContextual"/>
        </w:rPr>
        <w:t>Europaparlamentet understryker att revisionsrätten enligt sin rapport anser att den totala risken för lagligheten och korrektheten i de inkomster som ligger till grund för byråernas räkenskaper är låg för de flesta byråer, och att den är medelhög för de byråer som är delvis självfinansierade och som omfattas av specifika förordningar om uppbörd av avgifter och andra bidrag till inkomsterna, vilket var fallet även 2022.</w:t>
      </w:r>
    </w:p>
    <w:p w14:paraId="2391613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35.</w:t>
      </w:r>
      <w:r w:rsidRPr="005375B7">
        <w:rPr>
          <w:kern w:val="2"/>
          <w14:ligatures w14:val="standardContextual"/>
        </w:rPr>
        <w:tab/>
      </w:r>
      <w:r w:rsidRPr="005375B7">
        <w:rPr>
          <w:color w:val="000000"/>
          <w:kern w:val="2"/>
          <w14:ligatures w14:val="standardContextual"/>
        </w:rPr>
        <w:t>Europaparlamentet noterar att revisionsrätten anser att risken för lagligheten och korrektheten för de betalningar som ligger till grund för byråernas räkenskaper totalt sett är medelhög, och varierar från låg till hög för specifika budgetavdelningar. Parlamentet noterar att revisionsrätten anser att risken för avdelning I (personalutgifter) i allmänhet är låg, för avdelning II (administrativa utgifter) medelhög och för avdelning III (driftsutgifter) låg till hög, beroende på byrån i fråga och arten av dess driftsutgifter. Parlamentet påpekar att revisionsrätten anser att risken när det gäller avdelning III liknar risken för avdelning II, men eftersom det rör sig om mycket högre belopp i avdelning III anses inverkan vara större.</w:t>
      </w:r>
    </w:p>
    <w:p w14:paraId="1B4A4103"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lastRenderedPageBreak/>
        <w:t>36.</w:t>
      </w:r>
      <w:r w:rsidRPr="005375B7">
        <w:rPr>
          <w:kern w:val="2"/>
          <w14:ligatures w14:val="standardContextual"/>
        </w:rPr>
        <w:tab/>
        <w:t>Europaparlamentet är bekymrat över att revisionsrätten, för sjätte året i rad, anser att risken för en sund ekonomisk förvaltning är medelhög och främst förknippad med offentliga upphandlingsförfaranden som inte säkerställde att bästa möjliga valuta för pengarna uppnåddes.</w:t>
      </w:r>
    </w:p>
    <w:p w14:paraId="0AACCA03" w14:textId="77777777" w:rsidR="005375B7" w:rsidRPr="005375B7" w:rsidRDefault="005375B7" w:rsidP="005375B7">
      <w:pPr>
        <w:spacing w:after="240"/>
        <w:ind w:left="567" w:hanging="567"/>
        <w:rPr>
          <w:color w:val="000000"/>
          <w:kern w:val="2"/>
          <w14:ligatures w14:val="standardContextual"/>
        </w:rPr>
      </w:pPr>
      <w:r w:rsidRPr="005375B7">
        <w:rPr>
          <w:kern w:val="2"/>
          <w14:ligatures w14:val="standardContextual"/>
        </w:rPr>
        <w:t>37.</w:t>
      </w:r>
      <w:r w:rsidRPr="005375B7">
        <w:rPr>
          <w:kern w:val="2"/>
          <w14:ligatures w14:val="standardContextual"/>
        </w:rPr>
        <w:tab/>
      </w:r>
      <w:r w:rsidRPr="005375B7">
        <w:rPr>
          <w:color w:val="000000"/>
          <w:kern w:val="2"/>
          <w14:ligatures w14:val="standardContextual"/>
        </w:rPr>
        <w:t>Europaparlamentet noterar att revisionsrätten anser att risken för budgetförvaltningen är låg, och att revisionsrättens granskning visar på stora överföringar av gjorda åtaganden.</w:t>
      </w:r>
    </w:p>
    <w:p w14:paraId="21CE983A" w14:textId="77777777" w:rsidR="005375B7" w:rsidRPr="005375B7" w:rsidRDefault="005375B7" w:rsidP="005375B7">
      <w:pPr>
        <w:spacing w:after="240"/>
        <w:ind w:left="567" w:hanging="567"/>
        <w:rPr>
          <w:color w:val="000000"/>
          <w:kern w:val="2"/>
          <w14:ligatures w14:val="standardContextual"/>
        </w:rPr>
      </w:pPr>
      <w:r w:rsidRPr="005375B7">
        <w:rPr>
          <w:color w:val="000000"/>
          <w:kern w:val="2"/>
          <w14:ligatures w14:val="standardContextual"/>
        </w:rPr>
        <w:t>38.</w:t>
      </w:r>
      <w:r w:rsidRPr="005375B7">
        <w:rPr>
          <w:color w:val="000000"/>
          <w:kern w:val="2"/>
          <w14:ligatures w14:val="standardContextual"/>
        </w:rPr>
        <w:tab/>
        <w:t>Europaparlamentet noterar att enligt revisionsrättens rapport var de vanligaste problemen bland byråerna i) brister i den offentliga upphandlingen, som alltjämt var den största källan till oriktiga betalningar, ii) utmaningar i samband med budgetförvaltningen, såsom alltför stora överföringar och sena betalningar, och iii) brister i den interna kontrollen, särskilt när det gäller att säkerställa efterlevnad av budgetförordningar och förfarandemässiga riktlinjer.</w:t>
      </w:r>
    </w:p>
    <w:p w14:paraId="0DB2B952" w14:textId="77777777" w:rsidR="005375B7" w:rsidRPr="005375B7" w:rsidRDefault="005375B7" w:rsidP="005375B7">
      <w:pPr>
        <w:spacing w:after="240"/>
        <w:ind w:left="567" w:hanging="567"/>
        <w:rPr>
          <w:b/>
          <w:iCs/>
          <w:kern w:val="2"/>
          <w14:ligatures w14:val="standardContextual"/>
        </w:rPr>
      </w:pPr>
      <w:r w:rsidRPr="005375B7">
        <w:rPr>
          <w:b/>
          <w:iCs/>
          <w:kern w:val="2"/>
          <w14:ligatures w14:val="standardContextual"/>
        </w:rPr>
        <w:t>Översikt över granskningsresultaten</w:t>
      </w:r>
    </w:p>
    <w:p w14:paraId="1C7C46D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39.</w:t>
      </w:r>
      <w:r w:rsidRPr="005375B7">
        <w:rPr>
          <w:kern w:val="2"/>
          <w14:ligatures w14:val="standardContextual"/>
        </w:rPr>
        <w:tab/>
        <w:t>Europaparlamentet noterar att revisionsrätten lämnade ett revisionsuttalande utan reservation om tillförlitligheten för alla byråers räkenskaper. Parlamentet noterar att revisionsrätten lämnade ett uttalande utan reservation om lagligheten och korrektheten i de inkomster som låg till grund för samtliga byråers räkenskaper. Parlamentet konstaterar dock att även om revisionsrätten lämnade ett uttalande utan reservation om lagligheten och korrektheten i de betalningar som ligger till grund för de flesta byråernas räkenskaper noterades undantag för följande fyra byråer: Europeiska institutet för innovation och teknik (EIT), Europeiska arbetsmyndigheten, Europeiska unionens cybersäkerhetsbyrå (Enisa) och Europeiska unionens byrå för den operativa förvaltningen av stora it-system (eu-Lisa).</w:t>
      </w:r>
    </w:p>
    <w:p w14:paraId="66B7A8C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40.</w:t>
      </w:r>
      <w:r w:rsidRPr="005375B7">
        <w:rPr>
          <w:kern w:val="2"/>
          <w14:ligatures w14:val="standardContextual"/>
        </w:rPr>
        <w:tab/>
        <w:t>Europaparlamentet konstaterar att när det gäller EIT handlar reservationen om oriktiga bidragsbetalningar, där EIT genomförde efterhandskontroller av ett urval av 174 kostnadsposter. Parlamentet noterar att EIT avvisade kostnader för 27 kostnadsposter och att revisionsrätten identifierade tre ytterligare kostnadsposter för vilka EIT inte kunde lägga fram bevis för att stödmottagarna uppfyllde väsentliga villkor i bidragsavtalet, vilket resulterade i ett uppskattat totalt belopp på 12,2 miljoner EUR i oriktiga bidragsbetalningar och motsvarar en uppskattad felprocent på 3,4 %. Parlamentet noterar att EIT inte godtar ett av de fel som rapporterats av revisionsrätten rörande ett enskilt fall som påverkar tre kostnadsposter, som EIT anser är stödberättigande. Parlamentet noterar vidare att enligt EIT skulle den uppskattade felnivån som rapporterats av revisionsrätten utan detta fall ligga under väsentlighetströskeln på 2 %, vilket skulle leda till ett revisionsuttalande utan reservation om lagligheten och korrektheten i EIT:s betalningar.</w:t>
      </w:r>
    </w:p>
    <w:p w14:paraId="2ED3F833"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41.</w:t>
      </w:r>
      <w:r w:rsidRPr="005375B7">
        <w:rPr>
          <w:kern w:val="2"/>
          <w14:ligatures w14:val="standardContextual"/>
        </w:rPr>
        <w:tab/>
        <w:t xml:space="preserve">Europaparlamentet beklagar att när det gäller Europeiska arbetsmyndigheten avser reservationen betalningar på 1,6 miljoner EUR 2023, vilket motsvarar 3,8 % av samtliga tillgängliga betalningsbemyndiganden. Parlamentet noterar att detta belopp inkluderar 1,3 miljoner EUR för ett kontrakt som ansågs vara oriktigt i 2022 års revisionsrapport på grund av att det tilldelade värdet överskred den fastställda högsta kontraktsgränsen, och 0,3 miljoner EUR i samband med brister i förhandskontrollerna när det gäller kontraktsgenomförandet. Parlamentet noterar Europeiska arbetsmyndighetens svar där det förklaras att det oriktiga kontraktet löpte ut i februari 2024 och ersattes av ett nytt ramavtal som upprättades i november 2023. Parlamentet är medvetet om Europeiska </w:t>
      </w:r>
      <w:r w:rsidRPr="005375B7">
        <w:rPr>
          <w:kern w:val="2"/>
          <w14:ligatures w14:val="standardContextual"/>
        </w:rPr>
        <w:lastRenderedPageBreak/>
        <w:t>arbetsmyndighetens beslut att tillfälligt fortsätta tillämpa det oriktiga kontraktet för att minska riskerna, skydda sitt anseende och säkerställa ett oavbrutet tillhandahållande av tjänster, vilket gjorde det möjligt för myndigheten att upprätthålla en konsekvent nivå på verksamheten och genomföra planerad verksamhet fram till dess att det nya avtalet trädde i kraft.</w:t>
      </w:r>
    </w:p>
    <w:p w14:paraId="14E57EB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42.</w:t>
      </w:r>
      <w:r w:rsidRPr="005375B7">
        <w:rPr>
          <w:kern w:val="2"/>
          <w14:ligatures w14:val="standardContextual"/>
        </w:rPr>
        <w:tab/>
        <w:t>Europaparlamentet noterar att för Enisas del avser reservationen oriktiga betalningar på 1,8 miljoner EUR som gjordes 2023, vilket motsvarar 4,1 % av de totala tillgängliga betalningsbemyndigandena 2023. Parlamentet påminner om att Enisa i augusti 2022 fick ytterligare 15 miljoner EUR i sin budget för att ge ökat cybersäkerhetsstöd till medlemsstaterna efter Rysslands invasion av Ukraina. Parlamentet noterar vidare att Enisa i september 2022 inledde ett upphandlingsförfarande med 28 delar och därefter undertecknade 28 separata ramavtal till ett värde av 14,4 miljoner EUR. Parlamentet är medvetet om att styrelsen i början av 2023 gjorde ett undantag från sina budgetbestämmelser för att tillmötesgå medlemsstaternas reviderade begäranden om cybersäkerhetsstöd. Parlamentet noterar att enligt Enisas svar utgjorde styrelsens beslut ett undantag (begränsat i tid och omfattning) för att hantera en särskild exceptionell situation i ett mycket svårt internationellt sammanhang. Parlamentet noterar att detta undantag vederbörligen registrerades i enlighet med tillämpningen av Enisas ram för internkontroll och följaktligen rapporterades i den konsoliderade årliga verksamhetsrapporten för 2023.</w:t>
      </w:r>
    </w:p>
    <w:p w14:paraId="433A0EB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43.</w:t>
      </w:r>
      <w:r w:rsidRPr="005375B7">
        <w:rPr>
          <w:kern w:val="2"/>
          <w14:ligatures w14:val="standardContextual"/>
        </w:rPr>
        <w:tab/>
        <w:t>Europaparlamentet konstaterar att reservationen för eu-Lisa avser oriktiga betalningar på totalt 12,6 miljoner EUR som gjordes 2023, vilket motsvarar 3,2 % av de totala tillgängliga betalningsbemyndigandena, inklusive 2,7 miljoner EUR för kontrakt som granskades 2023 och 9,9 miljoner EUR för kontrakt som bedömdes som oriktiga i 2022 års revisionsrapport.</w:t>
      </w:r>
    </w:p>
    <w:p w14:paraId="25524D3B"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44.</w:t>
      </w:r>
      <w:r w:rsidRPr="005375B7">
        <w:rPr>
          <w:kern w:val="2"/>
          <w14:ligatures w14:val="standardContextual"/>
        </w:rPr>
        <w:tab/>
        <w:t>Europaparlamentet noterar med oro att ett uttalande med reservation om lagligheten och korrektheten i eu-Lisas betalningar upprepas, vilket återspeglar de kvarstående problem som rapporterats i revisionsrättens rapporter sedan 2020. Parlamentet noterar revisionsrättens iakttagelse att de flesta av de kontrakt som innehöll fel antingen hade löpt ut eller sagts upp av eu-Lisa 2023.</w:t>
      </w:r>
    </w:p>
    <w:p w14:paraId="61699B5C"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45.</w:t>
      </w:r>
      <w:r w:rsidRPr="005375B7">
        <w:rPr>
          <w:kern w:val="2"/>
          <w14:ligatures w14:val="standardContextual"/>
        </w:rPr>
        <w:tab/>
        <w:t>Europaparlamentet konstaterar att grunden för ett uttalande med reservation (eu-Lisa) under 2023 omfattade följande oriktigheter:</w:t>
      </w:r>
    </w:p>
    <w:p w14:paraId="2B7A0AD7" w14:textId="552B7B55" w:rsidR="005375B7" w:rsidRPr="005375B7" w:rsidRDefault="001D2F8A" w:rsidP="005375B7">
      <w:pPr>
        <w:spacing w:after="240"/>
        <w:ind w:left="1134" w:hanging="567"/>
        <w:rPr>
          <w:kern w:val="2"/>
          <w14:ligatures w14:val="standardContextual"/>
        </w:rPr>
      </w:pPr>
      <w:r>
        <w:rPr>
          <w:kern w:val="2"/>
          <w14:ligatures w14:val="standardContextual"/>
        </w:rPr>
        <w:t>-</w:t>
      </w:r>
      <w:r w:rsidR="005375B7" w:rsidRPr="005375B7">
        <w:rPr>
          <w:kern w:val="2"/>
          <w14:ligatures w14:val="standardContextual"/>
        </w:rPr>
        <w:tab/>
        <w:t>Oriktigheter i samband med ett ramavtal: Parlamentet noterar att eu-Lisa gjorde betydande ändringar i vissa priskomponenter i två anbudsgivares ekonomiska anbud, som gick utöver de korrigeringar som tillåts enligt artikel 151 i budgetförordningen, och hade en direkt påverkan på resultatet av anbudet, med tillhörande betalningar på totalt 2,7 miljoner EUR under 2023.</w:t>
      </w:r>
    </w:p>
    <w:p w14:paraId="03FE9B99" w14:textId="0059769C" w:rsidR="005375B7" w:rsidRPr="005375B7" w:rsidRDefault="001D2F8A" w:rsidP="005375B7">
      <w:pPr>
        <w:spacing w:after="240"/>
        <w:ind w:left="1134" w:hanging="567"/>
        <w:rPr>
          <w:kern w:val="2"/>
          <w14:ligatures w14:val="standardContextual"/>
        </w:rPr>
      </w:pPr>
      <w:r>
        <w:rPr>
          <w:kern w:val="2"/>
          <w14:ligatures w14:val="standardContextual"/>
        </w:rPr>
        <w:t>-</w:t>
      </w:r>
      <w:r w:rsidR="005375B7" w:rsidRPr="005375B7">
        <w:rPr>
          <w:kern w:val="2"/>
          <w14:ligatures w14:val="standardContextual"/>
        </w:rPr>
        <w:tab/>
        <w:t>Inte motiverat att använda ett förhandlat förfarande: Parlamentet noterar vidare den oriktiga betalningen på 7,7 miljoner EUR i samband med ett ramavtal som tilldelats genom ett förhandlat förfarande utan att vara vederbörligen motiverat, vilket strider mot upphandlingsstandarderna.</w:t>
      </w:r>
    </w:p>
    <w:p w14:paraId="59A3E69E" w14:textId="30504708" w:rsidR="005375B7" w:rsidRPr="005375B7" w:rsidRDefault="001D2F8A" w:rsidP="005375B7">
      <w:pPr>
        <w:spacing w:after="240"/>
        <w:ind w:left="1134" w:hanging="567"/>
        <w:rPr>
          <w:kern w:val="2"/>
          <w14:ligatures w14:val="standardContextual"/>
        </w:rPr>
      </w:pPr>
      <w:r>
        <w:rPr>
          <w:kern w:val="2"/>
          <w14:ligatures w14:val="standardContextual"/>
        </w:rPr>
        <w:t>-</w:t>
      </w:r>
      <w:r w:rsidR="005375B7" w:rsidRPr="005375B7">
        <w:rPr>
          <w:kern w:val="2"/>
          <w14:ligatures w14:val="standardContextual"/>
        </w:rPr>
        <w:tab/>
        <w:t>Otillåten kontraktsändring: Parlamentet konstaterar att betalningar på 1,8 miljoner EUR klassificerades som oriktiga till följd av en otillåten ändring som ökade värdet på ett kontrakt till fast pris med 3,6 miljoner EUR.</w:t>
      </w:r>
    </w:p>
    <w:p w14:paraId="7FD3116A" w14:textId="2E2B115B" w:rsidR="005375B7" w:rsidRPr="005375B7" w:rsidRDefault="001D2F8A" w:rsidP="005375B7">
      <w:pPr>
        <w:spacing w:after="240"/>
        <w:ind w:left="1134" w:hanging="567"/>
        <w:rPr>
          <w:kern w:val="2"/>
          <w14:ligatures w14:val="standardContextual"/>
        </w:rPr>
      </w:pPr>
      <w:r>
        <w:rPr>
          <w:kern w:val="2"/>
          <w14:ligatures w14:val="standardContextual"/>
        </w:rPr>
        <w:lastRenderedPageBreak/>
        <w:t>-</w:t>
      </w:r>
      <w:r w:rsidR="005375B7" w:rsidRPr="005375B7">
        <w:rPr>
          <w:kern w:val="2"/>
          <w14:ligatures w14:val="standardContextual"/>
        </w:rPr>
        <w:tab/>
        <w:t>Bristande efterlevnad av ramavtalsvillkoren: Parlamentet noterar med oro att betalningarna för ramavtalet för underhåll av gemensam delad infrastruktur på totalt 0,4 miljoner EUR var oriktiga, eftersom det specifika kontraktet avvek från ramavtalet.</w:t>
      </w:r>
    </w:p>
    <w:p w14:paraId="5F4FFD6D"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46.</w:t>
      </w:r>
      <w:r w:rsidRPr="005375B7">
        <w:rPr>
          <w:kern w:val="2"/>
          <w14:ligatures w14:val="standardContextual"/>
        </w:rPr>
        <w:tab/>
        <w:t>Europaparlamentet uttrycker djup oro över de återkommande upphandlingsproblem som leder till ett uttalande med reservation för fjärde året i rad och uppmanar med kraft eu-Lisa att vidta omedelbara korrigerande åtgärder för att ta itu med dessa problem och undvika att de upprepas i framtida ekonomisk förvaltning och upphandlingspraxis och säkerställa full överensstämmelse med budgetförordningen. Parlamentet vill se att Europaparlamentet informeras om framsteg i detta avseende före den 30 juni 2025.</w:t>
      </w:r>
    </w:p>
    <w:p w14:paraId="1ABA2A6C"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47.</w:t>
      </w:r>
      <w:r w:rsidRPr="005375B7">
        <w:rPr>
          <w:kern w:val="2"/>
          <w14:ligatures w14:val="standardContextual"/>
        </w:rPr>
        <w:tab/>
        <w:t>Europaparlamentet välkomnar att revisionsrätten under utfrågningen </w:t>
      </w:r>
      <w:r w:rsidRPr="005375B7">
        <w:rPr>
          <w:kern w:val="2"/>
          <w:vertAlign w:val="superscript"/>
          <w14:ligatures w14:val="standardContextual"/>
        </w:rPr>
        <w:footnoteReference w:id="412"/>
      </w:r>
      <w:r w:rsidRPr="005375B7">
        <w:rPr>
          <w:kern w:val="2"/>
          <w14:ligatures w14:val="standardContextual"/>
        </w:rPr>
        <w:t xml:space="preserve"> medgav att trots uttalandet med reservation för 2023 (eu-Lisa) håller de identifierade bristerna på att åtgärdas och att förbättringar har noterats.</w:t>
      </w:r>
    </w:p>
    <w:p w14:paraId="72FA335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48.</w:t>
      </w:r>
      <w:r w:rsidRPr="005375B7">
        <w:rPr>
          <w:kern w:val="2"/>
          <w14:ligatures w14:val="standardContextual"/>
        </w:rPr>
        <w:tab/>
        <w:t>Europaparlamentet insisterar på att även om det i budgetförordningen inte fastställs några tak för överföringar, undergräver återkommande och alltför stora överföringar principen om budgetens ettårighet och tyder på strukturella problem i budgetprocessen och budgetens genomförandecykel. Parlamentet noterar att nivån på överföringar som påverkar alla budgetavdelningar tillsammans är högre än 15 % i 14 byråer (Enisa, Eurofound, EIGE, eu-Lisa, EMA, EUSPA, Europeiska arbetsmyndigheten, FRA, EFCA, ECDC, EU-Osha, Acer, Frontex och ESA). Parlamentet noterar att överföringarna för Frontex och ESA uppgår till mer än 40 % respektive 50 %.</w:t>
      </w:r>
    </w:p>
    <w:p w14:paraId="038FB293"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49.</w:t>
      </w:r>
      <w:r w:rsidRPr="005375B7">
        <w:rPr>
          <w:kern w:val="2"/>
          <w14:ligatures w14:val="standardContextual"/>
        </w:rPr>
        <w:tab/>
        <w:t>Europaparlamentet påminner om att det i regelverket föreskrivs att byråerna ska göra betalningar inom särskilda tidsfrister. Parlamentet noterar att om dessa tidsfrister inte respekteras kan fordringsägarna få rätt till dröjsmålsränta. Parlamentet konstaterar att revisionsrätten för 2023 rapporterar att även om det totala beloppet för dröjsmålsränta ansågs vara oväsentligt, är det värt att notera att nio byråer (Acer, ECDC, EEA, EUDA, Enisa, ERA, EU-Osha, Eurojust och Frontex) ofta inte respekterade sina betalningsfrister. Parlamentet uppmanar de berörda byråerna att se till att de lagstadgade tidsfristerna för betalningar respekteras. Parlamentet framhåller att även om det totala beloppet för dröjsmålsränta var lågt kan den höga frekvensen av försenade betalningar inverka negativt på byråernas rykte.</w:t>
      </w:r>
    </w:p>
    <w:p w14:paraId="3AC26687"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50.</w:t>
      </w:r>
      <w:r w:rsidRPr="005375B7">
        <w:rPr>
          <w:kern w:val="2"/>
          <w14:ligatures w14:val="standardContextual"/>
        </w:rPr>
        <w:tab/>
        <w:t>Europaparlamentet framhåller att revisionsrätten lämnade upplysningar av särskild betydelse för att understryka ett förhållande som har presenterats eller som det har lämnats upplysningar om i räkenskaperna och som är så viktigt att det är grundläggande för förståelsen av räkenskaperna eller de underliggande inkomsterna eller betalningarna. Parlamentet noterar vidare att revisionsrätten för budgetåret 2023 lämnade upplysningar av särskild betydelse för följande byråer som ingår i denna resolution: CdT, EBA, EIT, EMA, ERA, Esma, Eurojust, eu-Lisa och Frontex.</w:t>
      </w:r>
    </w:p>
    <w:p w14:paraId="4EE41A90"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51.</w:t>
      </w:r>
      <w:r w:rsidRPr="005375B7">
        <w:rPr>
          <w:kern w:val="2"/>
          <w14:ligatures w14:val="standardContextual"/>
        </w:rPr>
        <w:tab/>
        <w:t>Europaparlamentet påminner om att CdT i sin årsredovisning lämnar upplysningar om de minskade rörelseintäkterna, vilket har påverkat dess ekonomiska resultat negativt.</w:t>
      </w:r>
    </w:p>
    <w:p w14:paraId="1FDBF822"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52.</w:t>
      </w:r>
      <w:r w:rsidRPr="005375B7">
        <w:rPr>
          <w:kern w:val="2"/>
          <w14:ligatures w14:val="standardContextual"/>
        </w:rPr>
        <w:tab/>
        <w:t xml:space="preserve">Europaparlamentet uppmärksammar uppgifter i årsredovisningen för ERA och Eurojust </w:t>
      </w:r>
      <w:r w:rsidRPr="005375B7">
        <w:rPr>
          <w:kern w:val="2"/>
          <w14:ligatures w14:val="standardContextual"/>
        </w:rPr>
        <w:lastRenderedPageBreak/>
        <w:t>om genomförandet av Summa </w:t>
      </w:r>
      <w:r w:rsidRPr="005375B7">
        <w:rPr>
          <w:kern w:val="2"/>
          <w:vertAlign w:val="superscript"/>
          <w14:ligatures w14:val="standardContextual"/>
        </w:rPr>
        <w:footnoteReference w:id="413"/>
      </w:r>
      <w:r w:rsidRPr="005375B7">
        <w:rPr>
          <w:kern w:val="2"/>
          <w14:ligatures w14:val="standardContextual"/>
        </w:rPr>
        <w:t>. Parlamentet noterar att tekniska problem under hela 2023 fortsatte att bidra till en ökning av sena betalningar (50 % 2023) och fall av bristande efterlevnad inom Eurojust.</w:t>
      </w:r>
      <w:r w:rsidRPr="005375B7">
        <w:rPr>
          <w:color w:val="101010"/>
          <w:kern w:val="2"/>
          <w14:ligatures w14:val="standardContextual"/>
        </w:rPr>
        <w:t xml:space="preserve"> </w:t>
      </w:r>
      <w:r w:rsidRPr="005375B7">
        <w:rPr>
          <w:kern w:val="2"/>
          <w14:ligatures w14:val="standardContextual"/>
        </w:rPr>
        <w:t>Parlamentet noterar att ERA upplevde tekniska problem under det första kvartalet, även om betydande förbättringar gjordes jämfört med 2022.</w:t>
      </w:r>
    </w:p>
    <w:p w14:paraId="54CAE07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53.</w:t>
      </w:r>
      <w:r w:rsidRPr="005375B7">
        <w:rPr>
          <w:kern w:val="2"/>
          <w14:ligatures w14:val="standardContextual"/>
        </w:rPr>
        <w:tab/>
        <w:t>Europaparlamentet noterar att Esmas och EBA:s räkenskaper innehåller en upplysning om en osäkerhetsfaktor i samband med utfallet av ett rättsfall </w:t>
      </w:r>
      <w:r w:rsidRPr="005375B7">
        <w:rPr>
          <w:kern w:val="2"/>
          <w:vertAlign w:val="superscript"/>
          <w14:ligatures w14:val="standardContextual"/>
        </w:rPr>
        <w:footnoteReference w:id="414"/>
      </w:r>
      <w:r w:rsidRPr="005375B7">
        <w:rPr>
          <w:kern w:val="2"/>
          <w14:ligatures w14:val="standardContextual"/>
        </w:rPr>
        <w:t>. Parlamentet noterar att Esma formellt underrättades om ett rättsfall i samband med ett gemensamt upphandlingsförfarande där tre andra EU-byråer deltog utöver Esma (EBA, Eiopa och ERA). Parlamentet är medvetet om att förfarandet resulterade i ett ramavtal till ett värde av 40,2 miljoner EUR, och att Esma och EBA i slutet av 2023 hade undertecknat specifika kontrakt på totalt 2 185 226 EUR respektive 6 306 786 EUR.</w:t>
      </w:r>
    </w:p>
    <w:p w14:paraId="0611B383"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54.</w:t>
      </w:r>
      <w:r w:rsidRPr="005375B7">
        <w:rPr>
          <w:kern w:val="2"/>
          <w14:ligatures w14:val="standardContextual"/>
        </w:rPr>
        <w:tab/>
        <w:t>Europaparlamentet är bekymrat över att sökanden yrkar ogiltigförklaring av ett upphandlingsbeslut och ekonomisk ersättning på mellan 400 000 EUR och 3,5 miljoner EUR. Parlamentet noterar att varken Esmas eller EBA:s ledning på grund av det tidiga skedet av förfarandet kan tillhandahålla någon tillförlitlig uppskattning av de potentiella kostnaderna till följd av ärendet </w:t>
      </w:r>
      <w:r w:rsidRPr="005375B7">
        <w:rPr>
          <w:kern w:val="2"/>
          <w:vertAlign w:val="superscript"/>
          <w14:ligatures w14:val="standardContextual"/>
        </w:rPr>
        <w:footnoteReference w:id="415"/>
      </w:r>
      <w:r w:rsidRPr="005375B7">
        <w:rPr>
          <w:kern w:val="2"/>
          <w14:ligatures w14:val="standardContextual"/>
        </w:rPr>
        <w:t>.</w:t>
      </w:r>
    </w:p>
    <w:p w14:paraId="7020553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55.</w:t>
      </w:r>
      <w:r w:rsidRPr="005375B7">
        <w:rPr>
          <w:kern w:val="2"/>
          <w14:ligatures w14:val="standardContextual"/>
        </w:rPr>
        <w:tab/>
        <w:t>Europaparlamentet uppmärksammar upplysningen i Esmas räkenskaper om en nedskrivning på 368 300 EUR, som avser utestående avgifter från enheter som står under tillsyn i tredjeländer. Parlamentet noterar att nedskrivningen hänger samman med att förordningen om Europas marknadsinfrastrukturer (Emir) inte förser Esma med någon ändamålsenlig mekanism för att driva in utestående avgifter från länder utanför unionen. Parlamentet välkomnar att medlagstiftarna nyligen enades om att ändra förordningen (Emir 3) varigenom en möjlighet infördes för Esma att återkalla godkännandet för enheter som står under tillsyn i tredjeländer som inte betalar sina avgifter.</w:t>
      </w:r>
    </w:p>
    <w:p w14:paraId="2373359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56.</w:t>
      </w:r>
      <w:r w:rsidRPr="005375B7">
        <w:rPr>
          <w:kern w:val="2"/>
          <w14:ligatures w14:val="standardContextual"/>
        </w:rPr>
        <w:tab/>
        <w:t>Europaparlamentet noterar att EBA:s räkenskaper innehåller upplysningar om de betydande effekterna av rättsakten om digital operativ motståndskraft för finanssektorn (DORA-förordningen) och förordningen om marknader för kryptotillgångar (MiCA-förordningen) och de ofinansierade resurser som behövs för att genomföra de ytterligare uppgifterna och för att tillämpa en lämplig tillsyns- och övervakningspolitik som ägde rum 2023 innan avgiftsuttaget kunde inledas. Parlamentet noterar att det var nödvändigt för EBA att omfördela resurser till denna förberedande verksamhet.</w:t>
      </w:r>
    </w:p>
    <w:p w14:paraId="15DCBF4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57.</w:t>
      </w:r>
      <w:r w:rsidRPr="005375B7">
        <w:rPr>
          <w:kern w:val="2"/>
          <w14:ligatures w14:val="standardContextual"/>
        </w:rPr>
        <w:tab/>
        <w:t>Europaparlamentet noterar att EIT:s årsredovisning innehåller en beskrivning av de antaganden som använts för att beräkna de driftskostnader (bidragskostnader) som är upplupna och redovisas som en minskande post under tillgångar i form av förhandsfinansiering i balansräkningen. Parlamentet påminner om att upplupna bidragskostnader är en betydande uppskattning som i sig medför osäkerhet.</w:t>
      </w:r>
    </w:p>
    <w:p w14:paraId="50A1AD5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58.</w:t>
      </w:r>
      <w:r w:rsidRPr="005375B7">
        <w:rPr>
          <w:kern w:val="2"/>
          <w14:ligatures w14:val="standardContextual"/>
        </w:rPr>
        <w:tab/>
        <w:t xml:space="preserve">Europaparlamentet noterar att EMA i sin årsredovisning lämnar väsentliga upplysningar om sina tidigare lokaler i London och den osäkerhet som uppstått till följd av att </w:t>
      </w:r>
      <w:r w:rsidRPr="005375B7">
        <w:rPr>
          <w:kern w:val="2"/>
          <w14:ligatures w14:val="standardContextual"/>
        </w:rPr>
        <w:lastRenderedPageBreak/>
        <w:t>andrahandshyresgästens moderbolag har ansökt om konkurs. Parlamentet noterar med oro att EMA skulle kunna hållas ansvarigt för hela det belopp som återstår att betala enligt huvudavtalet. Parlamentet är medvetet om att det högsta belopp, inklusive kommunal skatt, som EMA skulle behöva betala om lokalerna står tomma för återstoden av hyresavtalet, uppgår till 550 miljoner EUR. Parlamentet noterar att EMA för närvarande omförhandlar villkoren för andrahandsuthyrningen med koncernens brittiska filial, och att EMA som en del av dessa omförhandlingar har gått med på att senarelägga hyresbetalningarna för de två första kvartalen 2024 och att sänka andrahandshyresgästens hyra från och med den 1 januari 2024. Parlamentet noterar att EMA i samband med detta har gjort en avsättning för ett förlustavtal till ett belopp på 131,4 miljoner EUR. Parlamentet noterar att myndighetens andrahandshyresgäst har fullgjort sina avtalsenliga skyldigheter för 2023, med hyresbetalningar som täcker perioden fram till och med den 31 december 2023, och uppmanar med kraft EMA och kommissionen att hitta en hållbar lösning för att säga upp avtalet och alla tillhörande skyldigheter före nästa förfarande för beviljande av ansvarsfrihet 2024.</w:t>
      </w:r>
    </w:p>
    <w:p w14:paraId="65842AE3"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59.</w:t>
      </w:r>
      <w:r w:rsidRPr="005375B7">
        <w:rPr>
          <w:kern w:val="2"/>
          <w14:ligatures w14:val="standardContextual"/>
        </w:rPr>
        <w:tab/>
        <w:t>Europaparlamentet konstaterar att eu-Lisas räkenskaper innehåller en redovisning av den ekonomiska situationen för en huvudentreprenör med två aktiva ramavtal. Parlamentet noterar att eu-Lisa har två aktiva ramavtal med en entreprenör som ingår i ett konsortium och att denna entreprenör ersatte sitt moderbolag i avtalen och ansvarar för att genomföra och underhålla in- och utresesystemet och tillhandahålla tjänster inom del 1 i det övergripande ramavtalet för transaktioner. Parlamentet noterar att de utestående kontrakterade beloppen uppgår till 97,5 miljoner EUR respektive 41 miljoner EUR. Parlamentet noterar att eu-Lisa, för att hantera potentiella risker kopplade till moderföretagets ekonomiska bärkraft, noga övervakar uppdragstagarens finansiella soliditet med hjälp av oberoende riskbedömningsverktyg och direkta förfrågningar. Parlamentet noterar dessutom att eu-Lisa regelbundet bedömer framstegen med avseende på tillgångar under utveckling för att säkerställa att dess mandat inte påverkas negativt och att man är proaktiv när det gäller att hantera och minska risker i samband med störningar i leveranskedjan inom ramen för de finansiella bestämmelserna </w:t>
      </w:r>
      <w:r w:rsidRPr="005375B7">
        <w:rPr>
          <w:kern w:val="2"/>
          <w:vertAlign w:val="superscript"/>
          <w14:ligatures w14:val="standardContextual"/>
        </w:rPr>
        <w:footnoteReference w:id="416"/>
      </w:r>
      <w:r w:rsidRPr="005375B7">
        <w:rPr>
          <w:kern w:val="2"/>
          <w14:ligatures w14:val="standardContextual"/>
        </w:rPr>
        <w:t>.</w:t>
      </w:r>
    </w:p>
    <w:p w14:paraId="1A6E3476"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60.</w:t>
      </w:r>
      <w:r w:rsidRPr="005375B7">
        <w:rPr>
          <w:kern w:val="2"/>
          <w14:ligatures w14:val="standardContextual"/>
        </w:rPr>
        <w:tab/>
        <w:t>Europaparlamentet påminner om de olika metoder som Frontex och revisionsrätten vid upprepade tillfällen har använt för att beräkna Schengenassocierade länders bidrag till Frontex budget. Parlamentet noterar att revisionsrätten anser att Frontex tolkning är felaktig, vilket leder till att de Schengenassocierade länderna bidrar med omkring 3,5 miljoner EUR (7 %) mindre till Frontex budget än de borde göra med tanke på storleken på deras ekonomier i förhållande till unionens ekonomi. Parlamentet noterar att den tillförordnade räkenskapsföraren undersökte situationen och, i likhet med styrelsen, anser att Frontex inte behöver se över den nuvarande beräkningsmetoden för de Schengenassocierade ländernas bidrag till Frontex budget </w:t>
      </w:r>
      <w:r w:rsidRPr="005375B7">
        <w:rPr>
          <w:kern w:val="2"/>
          <w:vertAlign w:val="superscript"/>
          <w14:ligatures w14:val="standardContextual"/>
        </w:rPr>
        <w:footnoteReference w:id="417"/>
      </w:r>
      <w:r w:rsidRPr="005375B7">
        <w:rPr>
          <w:kern w:val="2"/>
          <w14:ligatures w14:val="standardContextual"/>
        </w:rPr>
        <w:t>. Parlamentet noterar Frontex uppföljningsrapport till ansvarsfrihetsbetänkandet för 2022, där det anges att byrån inte har för avsikt att ändra den metod som används för dessa beräkningar. Parlamentet uppmanar byrån att rapportera till den ansvarsfrihetsbeviljande myndigheten med en detaljerad förklaring av den metod som använts i dessa beräkningar.</w:t>
      </w:r>
    </w:p>
    <w:p w14:paraId="10DF5F39" w14:textId="77777777" w:rsidR="005375B7" w:rsidRPr="005375B7" w:rsidRDefault="005375B7" w:rsidP="005375B7">
      <w:pPr>
        <w:spacing w:after="240"/>
        <w:ind w:left="567" w:hanging="567"/>
        <w:rPr>
          <w:b/>
          <w:iCs/>
          <w:kern w:val="2"/>
          <w14:ligatures w14:val="standardContextual"/>
        </w:rPr>
      </w:pPr>
      <w:r w:rsidRPr="005375B7">
        <w:rPr>
          <w:b/>
          <w:iCs/>
          <w:kern w:val="2"/>
          <w14:ligatures w14:val="standardContextual"/>
        </w:rPr>
        <w:t>Verksamhetsresultat</w:t>
      </w:r>
    </w:p>
    <w:p w14:paraId="6454C4B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lastRenderedPageBreak/>
        <w:t>61.</w:t>
      </w:r>
      <w:r w:rsidRPr="005375B7">
        <w:rPr>
          <w:kern w:val="2"/>
          <w14:ligatures w14:val="standardContextual"/>
        </w:rPr>
        <w:tab/>
        <w:t>Europaparlamentet noterar att den gemensamma ansatsen för decentraliserade byråer inför konceptet med nyckelprestationsindikatorer som syftar till att förbättra prestationsspårningen för byråerna.</w:t>
      </w:r>
    </w:p>
    <w:p w14:paraId="230B13AB"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62.</w:t>
      </w:r>
      <w:r w:rsidRPr="005375B7">
        <w:rPr>
          <w:kern w:val="2"/>
          <w14:ligatures w14:val="standardContextual"/>
        </w:rPr>
        <w:tab/>
        <w:t>Europaparlamentet noterar dessutom att enligt den färdplan som utarbetats av kommissionen </w:t>
      </w:r>
      <w:r w:rsidRPr="005375B7">
        <w:rPr>
          <w:kern w:val="2"/>
          <w:vertAlign w:val="superscript"/>
          <w14:ligatures w14:val="standardContextual"/>
        </w:rPr>
        <w:footnoteReference w:id="418"/>
      </w:r>
      <w:r w:rsidRPr="005375B7">
        <w:rPr>
          <w:kern w:val="2"/>
          <w14:ligatures w14:val="standardContextual"/>
        </w:rPr>
        <w:t xml:space="preserve"> bör nyckelprestationsindikatorer utarbetas för både byråns och dess direktörs arbete. Parlamentet noterar dessutom att kommissionen också föreslog att mallar skulle tas fram för det årliga arbetsprogrammet eller utvärderingen.</w:t>
      </w:r>
    </w:p>
    <w:p w14:paraId="7AFE5EA2"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63.</w:t>
      </w:r>
      <w:r w:rsidRPr="005375B7">
        <w:rPr>
          <w:kern w:val="2"/>
          <w14:ligatures w14:val="standardContextual"/>
        </w:rPr>
        <w:tab/>
        <w:t>Europaparlamentet påpekar att enligt färdplanen bör nyckelprestationsindikatorer utarbetas årligen av byråerna och kommissionen och därför ändras från år till år, vilket gör det svårt att spåra byråns verksamhetsresultat under en längre period eftersom vissa nyckelprestationsindikatorer kanske inte tillämpas under flera år.</w:t>
      </w:r>
    </w:p>
    <w:p w14:paraId="0B81730D"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64.</w:t>
      </w:r>
      <w:r w:rsidRPr="005375B7">
        <w:rPr>
          <w:kern w:val="2"/>
          <w14:ligatures w14:val="standardContextual"/>
        </w:rPr>
        <w:tab/>
        <w:t>Europaparlamentet rekommenderar att byråerna vidtar åtgärder för att uppnå utestående eller försenade indikatorer och regelbundet justerar sina nyckelprestationsindikatorer för att förbättra sina verksamhetsresultat.</w:t>
      </w:r>
    </w:p>
    <w:p w14:paraId="0027797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65.</w:t>
      </w:r>
      <w:r w:rsidRPr="005375B7">
        <w:rPr>
          <w:kern w:val="2"/>
          <w14:ligatures w14:val="standardContextual"/>
        </w:rPr>
        <w:tab/>
        <w:t>Europaparlamentet understryker att kommissionens riktlinjer </w:t>
      </w:r>
      <w:r w:rsidRPr="005375B7">
        <w:rPr>
          <w:kern w:val="2"/>
          <w:vertAlign w:val="superscript"/>
          <w14:ligatures w14:val="standardContextual"/>
        </w:rPr>
        <w:footnoteReference w:id="419"/>
      </w:r>
      <w:r w:rsidRPr="005375B7">
        <w:rPr>
          <w:kern w:val="2"/>
          <w14:ligatures w14:val="standardContextual"/>
        </w:rPr>
        <w:t xml:space="preserve"> för nyckelprestationsindikatorer för direktörer för EU:s decentraliserade byråer helt och hållet fokuserar på direktörernas prestationer, dvs. de avser främst förvaltningen av budget- och personalresurser, och att de inte används för att bedöma resultaten eller effektiviteten och ändamålsenligheten i verksamheten inom ramen för byråernas mandat </w:t>
      </w:r>
      <w:r w:rsidRPr="005375B7">
        <w:rPr>
          <w:kern w:val="2"/>
          <w:vertAlign w:val="superscript"/>
          <w14:ligatures w14:val="standardContextual"/>
        </w:rPr>
        <w:footnoteReference w:id="420"/>
      </w:r>
      <w:r w:rsidRPr="005375B7">
        <w:rPr>
          <w:kern w:val="2"/>
          <w14:ligatures w14:val="standardContextual"/>
        </w:rPr>
        <w:t>.</w:t>
      </w:r>
    </w:p>
    <w:p w14:paraId="056C79F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66.</w:t>
      </w:r>
      <w:r w:rsidRPr="005375B7">
        <w:rPr>
          <w:kern w:val="2"/>
          <w14:ligatures w14:val="standardContextual"/>
        </w:rPr>
        <w:tab/>
        <w:t>Europaparlamentet betonar dessutom att eftersom det inte finns någon standardmetod för att presentera nyckelprestationsindikatorer i byråernas årliga verksamhetsrapporter är det svårt att få en överblick över läget avseende varje byrås verksamhetsresultat.</w:t>
      </w:r>
    </w:p>
    <w:p w14:paraId="2D90C6FD"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67.</w:t>
      </w:r>
      <w:r w:rsidRPr="005375B7">
        <w:rPr>
          <w:kern w:val="2"/>
          <w14:ligatures w14:val="standardContextual"/>
        </w:rPr>
        <w:tab/>
        <w:t>Europaparlamentet understryker att nyckelprestationsindikatorer, på grundval av revisionsrättens slutsatser, inte bidrar till att spåra byråernas resultat när det gäller verksamhet och ekonomisk förvaltning och personalförvaltning.</w:t>
      </w:r>
    </w:p>
    <w:p w14:paraId="262EA539"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68.</w:t>
      </w:r>
      <w:r w:rsidRPr="005375B7">
        <w:rPr>
          <w:kern w:val="2"/>
          <w14:ligatures w14:val="standardContextual"/>
        </w:rPr>
        <w:tab/>
        <w:t>Europaparlamentet efterlyser en oberoende prestationsbedömning av alla byråer för att bedöma huruvida deras verksamhet i praktiken stämmer överens med unionens politiska prioriteringar och ger påtagliga resultat. Parlamentet insisterar på att det införs prestationsbaserad budgetering och riktmärken för effektivitet för att säkerställa en optimal resursfördelning och effektstyrd styrning.</w:t>
      </w:r>
    </w:p>
    <w:p w14:paraId="66855009"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69.</w:t>
      </w:r>
      <w:r w:rsidRPr="005375B7">
        <w:rPr>
          <w:kern w:val="2"/>
          <w14:ligatures w14:val="standardContextual"/>
        </w:rPr>
        <w:tab/>
        <w:t xml:space="preserve">Europaparlamentet välkomnar att Echa har vidtagit åtgärder för att främja principen ”ett ämne, en bedömning” i samarbete med Europeiska myndigheten för livsmedelssäkerhet </w:t>
      </w:r>
      <w:r w:rsidRPr="005375B7">
        <w:rPr>
          <w:kern w:val="2"/>
          <w14:ligatures w14:val="standardContextual"/>
        </w:rPr>
        <w:lastRenderedPageBreak/>
        <w:t>(Efsa) för att säkerställa större konsekvens i bedömningen av faror och risker när det gäller verksamma ämnen. Parlamentet uppmanar byråerna att fortsätta att främja samarbetet med andra EU-byråer och internationella organisationer och att främja en dialog med berörda parter och medborgare.</w:t>
      </w:r>
    </w:p>
    <w:p w14:paraId="235C670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70.</w:t>
      </w:r>
      <w:r w:rsidRPr="005375B7">
        <w:rPr>
          <w:kern w:val="2"/>
          <w14:ligatures w14:val="standardContextual"/>
        </w:rPr>
        <w:tab/>
        <w:t>Europaparlamentet påminner om unionens nolltoleransstrategi mot olagligt, orapporterat och oreglerat fiske (IUU-fiske) och de viktiga bidragen från Europeiska fiskerikontrollbyrån (EFCA) till genomförandet av den gemensamma fiskeripolitiken, särskilt när det gäller fiskerikontroll och kampen mot IUU-fiske.</w:t>
      </w:r>
    </w:p>
    <w:p w14:paraId="2AE9ACD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71.</w:t>
      </w:r>
      <w:r w:rsidRPr="005375B7">
        <w:rPr>
          <w:kern w:val="2"/>
          <w14:ligatures w14:val="standardContextual"/>
        </w:rPr>
        <w:tab/>
        <w:t>Europaparlamentet betonar att det i första hand är medlemsstaterna som ansvarar för kontrollen av fiskeriverksamhet, medan byråns uppgifter är begränsade till stöd och samordning och till att bistå medlemsstaterna på detta område. Parlamentet uppmanar byrån att stödja medlemsstaterna i arbetet med att övervaka och fastställa allvarliga överträdelser när det gäller tvångsarbete och att tillhandahålla lämplig utbildning av inspektörer när det gäller dessa allvarliga överträdelser.</w:t>
      </w:r>
    </w:p>
    <w:p w14:paraId="6199B05D"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72.</w:t>
      </w:r>
      <w:r w:rsidRPr="005375B7">
        <w:rPr>
          <w:kern w:val="2"/>
          <w14:ligatures w14:val="standardContextual"/>
        </w:rPr>
        <w:tab/>
        <w:t>Europaparlamentet uppmanar EUSPA att fortsätta sitt arbete som viktig bidragsgivare till genomförandet av EU:s rymdprogram, vilket stärker unionens industriella bas, konkurrenskraft och innovation. Parlamentet uppmuntrar en prioritering av europeisk upphandling, särskilt på områden som är avgörande för unionens motståndskraft, strategiska oberoende och suveränitet. Parlamentet belyser den viktiga roll som Galileo och dess offentligt reglerade tjänst spelar för unionens säkerhet och försvar, tillsammans med Govsatcoms kortsiktiga fördelar och IRIS² långsiktiga strategiska värde. Parlamentet betonar att unionens initiativ för försvars- och säkerhetskapacitet bör utnyttja expertisen och infrastrukturen hos unionens rymdsektor för att undvika onödigt dubbelarbete.</w:t>
      </w:r>
    </w:p>
    <w:p w14:paraId="600FD95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73.</w:t>
      </w:r>
      <w:r w:rsidRPr="005375B7">
        <w:rPr>
          <w:kern w:val="2"/>
          <w14:ligatures w14:val="standardContextual"/>
        </w:rPr>
        <w:tab/>
        <w:t>Europaparlamentet noterar den nya färdplanen för interoperabilitet. Parlamentet erkänner att den nya tidsplanen för införandet av och interoperabiliteten mellan unionens informationssystem var nödvändig på grund av förseningar i utvecklingen av in- och utresesystemet, EU-systemet för reseuppgifter och resetillstånd (Etias) och det europeiska informationssystemet för utbyte av uppgifter ur kriminalregister avseende tredjelandsmedborgare (Ecris-TCN). Parlamentet understryker att ett snabbt, effektivt och tillförlitligt informationsutbyte i enlighet med tillämplig lagstiftning är avgörande för att upprätthålla och stärka unionens område med frihet, säkerhet och rättvisa. Parlamentet bekräftar i detta avseende det arbete och de förbättringar som har uppnåtts av eu-Lisa.</w:t>
      </w:r>
    </w:p>
    <w:p w14:paraId="5B10EA17"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74.</w:t>
      </w:r>
      <w:r w:rsidRPr="005375B7">
        <w:rPr>
          <w:kern w:val="2"/>
          <w14:ligatures w14:val="standardContextual"/>
        </w:rPr>
        <w:tab/>
        <w:t>Europaparlamentet noterar de insatser som gjorts av Översättningscentrum för Europeiska unionens organ för att möjliggöra och främja flerspråkighet i unionen, till exempel när det gäller kommunikation från EU:s byråer och utvecklingen av terminologi inom specialiserade ämnesområden för att förbättra översättningarnas kvalitet. Parlamentet välkomnar inrättandet av en arbetsgrupp för artificiell intelligens (AI) i juni 2023 och beslutet att fortsätta arbetet i denna grupp i en ny rådgivande grupp för AI.</w:t>
      </w:r>
    </w:p>
    <w:p w14:paraId="32F1634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75.</w:t>
      </w:r>
      <w:r w:rsidRPr="005375B7">
        <w:rPr>
          <w:kern w:val="2"/>
          <w14:ligatures w14:val="standardContextual"/>
        </w:rPr>
        <w:tab/>
        <w:t xml:space="preserve">Europaparlamentet uppmanar EFCA att stödja medlemsstaterna i arbetet med att övervaka och fastställa allvarliga överträdelser i samband med tillämpningen av artikel </w:t>
      </w:r>
      <w:r w:rsidRPr="005375B7">
        <w:rPr>
          <w:kern w:val="2"/>
          <w14:ligatures w14:val="standardContextual"/>
        </w:rPr>
        <w:lastRenderedPageBreak/>
        <w:t>90.2 p i Europaparlamentets och rådets förordning (EU) 2023/2842 </w:t>
      </w:r>
      <w:r w:rsidRPr="005375B7">
        <w:rPr>
          <w:kern w:val="2"/>
          <w:vertAlign w:val="superscript"/>
          <w14:ligatures w14:val="standardContextual"/>
        </w:rPr>
        <w:footnoteReference w:id="421"/>
      </w:r>
      <w:r w:rsidRPr="005375B7">
        <w:rPr>
          <w:kern w:val="2"/>
          <w14:ligatures w14:val="standardContextual"/>
        </w:rPr>
        <w:t xml:space="preserve"> om tvångsarbete, samt att tillhandahålla lämplig utbildning av inspektörer när det gäller dessa allvarliga överträdelser.</w:t>
      </w:r>
    </w:p>
    <w:p w14:paraId="7179617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76.</w:t>
      </w:r>
      <w:r w:rsidRPr="005375B7">
        <w:rPr>
          <w:kern w:val="2"/>
          <w14:ligatures w14:val="standardContextual"/>
        </w:rPr>
        <w:tab/>
        <w:t>Europaparlamentet noterar att EFCA under 2023 rapporterade 44 993 inspektioner (till havs och på land), vilka ledde till att misstänkta överträdelser upptäcktes i minst 4 230 av dessa inspektioner. Parlamentet noterar att dessa uppgifter tillsammans utgör en liten minskning av det totala antalet inspektioner (5 % färre inspektioner jämfört med 2022), samt en minskning med 18 % av det totala antalet inspektioner där misstänkta överträdelser upptäcktes. Parlamentet påminner om att inspektionerna och annan uppföljning spelar en framträdande roll inte bara för en fullgod förvaltning av fiskeresurserna utan också för att garantera lika villkor för unionens fiskare.</w:t>
      </w:r>
    </w:p>
    <w:p w14:paraId="589E1768"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77.</w:t>
      </w:r>
      <w:r w:rsidRPr="005375B7">
        <w:rPr>
          <w:kern w:val="2"/>
          <w14:ligatures w14:val="standardContextual"/>
        </w:rPr>
        <w:tab/>
        <w:t>Europaparlamentet lovordar Eurojusts insatser för digitalisering av rättsväsendet, nämligen genomförandet av ett nytt ärendehanteringssystem efter den senaste ändringen av Eurojustförordningen </w:t>
      </w:r>
      <w:r w:rsidRPr="005375B7">
        <w:rPr>
          <w:kern w:val="2"/>
          <w:vertAlign w:val="superscript"/>
          <w14:ligatures w14:val="standardContextual"/>
        </w:rPr>
        <w:footnoteReference w:id="422"/>
      </w:r>
      <w:r w:rsidRPr="005375B7">
        <w:rPr>
          <w:kern w:val="2"/>
          <w14:ligatures w14:val="standardContextual"/>
        </w:rPr>
        <w:t xml:space="preserve"> och genomförandet av den nya samarbetsplattformen för gemensamma utredningsgrupper </w:t>
      </w:r>
      <w:r w:rsidRPr="005375B7">
        <w:rPr>
          <w:kern w:val="2"/>
          <w:vertAlign w:val="superscript"/>
          <w14:ligatures w14:val="standardContextual"/>
        </w:rPr>
        <w:footnoteReference w:id="423"/>
      </w:r>
      <w:r w:rsidRPr="005375B7">
        <w:rPr>
          <w:kern w:val="2"/>
          <w14:ligatures w14:val="standardContextual"/>
        </w:rPr>
        <w:t>. Parlamentet noterar Eurojusts roll som kontaktpunkt för tredjeländer och internationella organisationer när det gäller förfrågningar i Ecris-TCN i samband med straffrättsliga förfaranden.</w:t>
      </w:r>
    </w:p>
    <w:p w14:paraId="43F4DBB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78.</w:t>
      </w:r>
      <w:r w:rsidRPr="005375B7">
        <w:rPr>
          <w:kern w:val="2"/>
          <w14:ligatures w14:val="standardContextual"/>
        </w:rPr>
        <w:tab/>
        <w:t>Europaparlamentet betonar vikten av Eurojusts fortsatta stöd till Ukraina, genom den gemensamma utredningsgrupp som utreder påstådda centrala internationella brott som begåtts i Ukraina, genom att driva databasen över bevis för de allvarligaste internationella brotten (Ciced) för att bevara, lagra och analysera bevis för centrala internationella brott i en enda, säker, central databas, genom att säkerställa en säker digital dataöverföringsmetod för bevisupptagningen och dess analys. Parlamentet välkomnar vidare inrättandet av det nya internationella centrumet för lagföring av aggressionsbrottet mot Ukraina (ICPA) vid Eurojust som har som syfte att stödja nationella utredningar och uppnå enighet om gemensamma utrednings- och lagföringsstrategier, och att aktivt bidra till det arbete som utförs av arbetsgruppen ”Freeze and Seize” för att säkerställa ett effektivt genomförande av unionens sanktioner i hela Europeiska unionen.</w:t>
      </w:r>
    </w:p>
    <w:p w14:paraId="239D69F3" w14:textId="2D5A5F97" w:rsidR="005375B7" w:rsidRPr="005375B7" w:rsidRDefault="005375B7" w:rsidP="005375B7">
      <w:pPr>
        <w:spacing w:after="240"/>
        <w:ind w:left="567" w:hanging="567"/>
        <w:rPr>
          <w:kern w:val="2"/>
          <w14:ligatures w14:val="standardContextual"/>
        </w:rPr>
      </w:pPr>
      <w:r w:rsidRPr="005375B7">
        <w:rPr>
          <w:kern w:val="2"/>
          <w14:ligatures w14:val="standardContextual"/>
        </w:rPr>
        <w:t>79.</w:t>
      </w:r>
      <w:r w:rsidRPr="005375B7">
        <w:rPr>
          <w:kern w:val="2"/>
          <w14:ligatures w14:val="standardContextual"/>
        </w:rPr>
        <w:tab/>
        <w:t xml:space="preserve">Europaparlamentet framhåller FRA:s roll som en viktig väktare av de grundläggande rättigheterna och rättsstatsprincipen, i enlighet med stadgan om de grundläggande rättigheterna, och lovordar dess stöd för att säkerställa respekt, skydd och förverkligande av grundläggande rättigheter i EU:s befintliga lagstiftning och politik på området jämlikhet och antidiskriminering, såsom unionens lagstiftning och politik för </w:t>
      </w:r>
      <w:r w:rsidRPr="005375B7">
        <w:rPr>
          <w:kern w:val="2"/>
          <w14:ligatures w14:val="standardContextual"/>
        </w:rPr>
        <w:lastRenderedPageBreak/>
        <w:t>att bekämpa rasism, antisemitism och islamofobi, och stöd till insamlingen av jämlikhetsdata och genomförandet av strategier för jämlikhet och antirasism, såsom de nationella strategiska ramarna för romer, och bidra till halvtidsöversynen av jämlikhetsstrategin för hbtqi-personer 2020</w:t>
      </w:r>
      <w:r>
        <w:rPr>
          <w:kern w:val="2"/>
          <w14:ligatures w14:val="standardContextual"/>
        </w:rPr>
        <w:t>-</w:t>
      </w:r>
      <w:r w:rsidRPr="005375B7">
        <w:rPr>
          <w:kern w:val="2"/>
          <w14:ligatures w14:val="standardContextual"/>
        </w:rPr>
        <w:t>2025, skyddet av det civila samhället och utsatta människorättsförsvarare, samt stödja översynen av direktivet om brottsoffers rättigheter, handlingsplanen mot rasism och unionens strategi för att bekämpa antisemitism och främja judiskt liv, och ge råd om efterlevnaden av de grundläggande rättigheterna när det gäller utveckling och användning av AI-system och genomförande och användning av unionens medel.</w:t>
      </w:r>
    </w:p>
    <w:p w14:paraId="68F655C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80.</w:t>
      </w:r>
      <w:r w:rsidRPr="005375B7">
        <w:rPr>
          <w:kern w:val="2"/>
          <w14:ligatures w14:val="standardContextual"/>
        </w:rPr>
        <w:tab/>
        <w:t>Europaparlamentet betonar FRA:s vägledning och engagemang på området asyl och migration, gränser och interoperabilitet och dess viktiga fokusering på grundläggande rättigheter, medlemsstaternas internationella skyldigheter och unionens människorättslagstiftning på detta område, inbegripet samarbete med Europeiska unionens asylbyrå (EUAA) för att öka förståelsen för vikten av förmyndare och juridiska ombud som bistår ensamkommande barn som söker internationellt skydd inom unionen och den utbildning som ges till Europols personal för att öka medvetenheten om och förståelsen för överväganden om grundläggande rättigheter i relevanta operativa sammanhang. Parlamentet välkomnar FRA:s lägliga bidrag till genomförandet av direktivet om tillfälligt skydd i samband med flyktingar som flyr från Ukraina samt när det gäller att identifiera utmaningarna i samband med genomförandet av unionsrätten om varaktig bosättning samt identifiera bristerna i viseringskodexen och förteckningen över de åtgärder som unionen och dess medlemsstater kan vidta för att minska antalet dödsfall till sjöss.</w:t>
      </w:r>
    </w:p>
    <w:p w14:paraId="4D45D6F0"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81.</w:t>
      </w:r>
      <w:r w:rsidRPr="005375B7">
        <w:rPr>
          <w:kern w:val="2"/>
          <w14:ligatures w14:val="standardContextual"/>
        </w:rPr>
        <w:tab/>
        <w:t>Europaparlamentet välkomnar FRA:s bidrag till utvärderingen av förordningen om en europeisk gräns- och kustbevakning, deltagandet i Europeiska gräns- och kustbevakningsbyråns (Frontex) styrelsemöten och medordförandeskapet i Frontex rådgivande forum för grundläggande rättigheter samt samarbetet med Frontex kontor för grundläggande rättigheter.</w:t>
      </w:r>
    </w:p>
    <w:p w14:paraId="0B5383A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82.</w:t>
      </w:r>
      <w:r w:rsidRPr="005375B7">
        <w:rPr>
          <w:kern w:val="2"/>
          <w14:ligatures w14:val="standardContextual"/>
        </w:rPr>
        <w:tab/>
        <w:t>Europaparlamentet noterar med tillfredsställelse att FRA tillhandahöll analyser av och sakkunskap om grundläggande rättigheter för att stödja verksamheten och arbetet i andra EU-byråer för rättsliga och inrikes frågor (RIF), däribland EUAA, Frontex, Europol, Europeiska unionens byrå för den operativa förvaltningen av stora it-system inom området frihet, säkerhet och rättvisa (eu-Lisa) och Europeiska unionens byrå för utbildning av tjänstemän inom brottsbekämpning (Cepol). Parlamentet välkomnar FRA:s bidrag under 2023 till att främja respekten för de grundläggande rättigheterna, bland annat genom vägledning om unionens medel och hantering av de utmaningar som ny teknik medför. Parlamentet uppmanar FRA att fastställa på vilket sätt rättsstatsprincipen och de grundläggande rättigheterna är oupplösligt förbundna med varandra, och hur dess arbete skulle kunna införlivas eller utvecklas i samverkan med kommissionens arbete inom ramen för den årliga rapporten om rättsstatsprincipen.</w:t>
      </w:r>
    </w:p>
    <w:p w14:paraId="1DEDE4E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83.</w:t>
      </w:r>
      <w:r w:rsidRPr="005375B7">
        <w:rPr>
          <w:kern w:val="2"/>
          <w14:ligatures w14:val="standardContextual"/>
        </w:rPr>
        <w:tab/>
        <w:t xml:space="preserve">Europaparlamentet lovordar Europols framgångsrika införande av Perci (EU:s plattform för olagligt innehåll online), och särskilt det fullständiga genomförandet av rekommendationerna från Europeiska datatillsynsmannen (EDPS). Parlamentet uppskattar det starka samarbetet med EDPS och den gemensamma arbetsgrupp som inrättats med Frontex för att följa upp datatillsynsmannens rekommendationer när det gäller Frontex PeDRA-program (Processing of Personal Data for Risk Analysis), där båda organen har ett starkt intresse av att skydda de grundläggande rättigheterna och </w:t>
      </w:r>
      <w:r w:rsidRPr="005375B7">
        <w:rPr>
          <w:kern w:val="2"/>
          <w14:ligatures w14:val="standardContextual"/>
        </w:rPr>
        <w:lastRenderedPageBreak/>
        <w:t>samtidigt främja säkerheten.</w:t>
      </w:r>
    </w:p>
    <w:p w14:paraId="4A7224FD"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84.</w:t>
      </w:r>
      <w:r w:rsidRPr="005375B7">
        <w:rPr>
          <w:kern w:val="2"/>
          <w14:ligatures w14:val="standardContextual"/>
        </w:rPr>
        <w:tab/>
        <w:t>Europaparlamentet välkomnar genomförandet av Europolförordningen </w:t>
      </w:r>
      <w:r w:rsidRPr="005375B7">
        <w:rPr>
          <w:kern w:val="2"/>
          <w:szCs w:val="24"/>
          <w:vertAlign w:val="superscript"/>
          <w14:ligatures w14:val="standardContextual"/>
        </w:rPr>
        <w:footnoteReference w:id="424"/>
      </w:r>
      <w:r w:rsidRPr="005375B7">
        <w:rPr>
          <w:kern w:val="2"/>
          <w14:ligatures w14:val="standardContextual"/>
        </w:rPr>
        <w:t xml:space="preserve"> i dess ändrade lydelse från 2022, särskilt den snabba utnämningen av ett ombud för grundläggande rättigheter i januari 2023, vilket avsevärt har stärkt Europols engagemang för mänskliga rättigheter i dess verksamhet.</w:t>
      </w:r>
    </w:p>
    <w:p w14:paraId="1801DFEB"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85.</w:t>
      </w:r>
      <w:r w:rsidRPr="005375B7">
        <w:rPr>
          <w:kern w:val="2"/>
          <w14:ligatures w14:val="standardContextual"/>
        </w:rPr>
        <w:tab/>
        <w:t>Europaparlamentet erkänner vikten av lokala initiativ som stärker hälso- och sjukvårdssystemen och miljöinitiativen och samtidigt ökar samarbetet med medlemsstaterna och byråerna (ECDC, Echa, EEA, Efsa och EMA). Parlamentet vill se en förbättring av strategin för fördelning av medel, där man prioriterar en minskning av de administrativa bördorna och kanaliserar resurser direkt till slutmottagarna genom att förenkla förfarandena för att förbättra tillgängligheten för ekonomiska aktörer på fältet.</w:t>
      </w:r>
    </w:p>
    <w:p w14:paraId="1AF8045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86.</w:t>
      </w:r>
      <w:r w:rsidRPr="005375B7">
        <w:rPr>
          <w:kern w:val="2"/>
          <w14:ligatures w14:val="standardContextual"/>
        </w:rPr>
        <w:tab/>
        <w:t>Europaparlamentet noterar att de tre byråernas (Easas, Emsas och ERA:s) prestationer för 2023 enligt bedömningen av generaldirektoratet för transport och rörlighet, som säkerställer tillsynen av dem, var helt i linje med kommissionens överenskomna mål: Vid den regelbundna övervakningen och tillsynen identifierades inga särskilda problem som skulle kunna ha en väsentlig inverkan på tillförlitligheten, och rapporterna från de externa och interna revisorerna belyste inte heller några större problem som skulle kunna ge upphov till ytterligare betänkligheter för GD Transport och rörlighet.</w:t>
      </w:r>
    </w:p>
    <w:p w14:paraId="37CAC8B5" w14:textId="2DF43E7E" w:rsidR="005375B7" w:rsidRPr="005375B7" w:rsidRDefault="005375B7" w:rsidP="005375B7">
      <w:pPr>
        <w:spacing w:after="240"/>
        <w:ind w:left="567" w:hanging="567"/>
        <w:rPr>
          <w:kern w:val="2"/>
          <w14:ligatures w14:val="standardContextual"/>
        </w:rPr>
      </w:pPr>
      <w:r w:rsidRPr="005375B7">
        <w:rPr>
          <w:kern w:val="2"/>
          <w14:ligatures w14:val="standardContextual"/>
        </w:rPr>
        <w:t>87.</w:t>
      </w:r>
      <w:r w:rsidRPr="005375B7">
        <w:rPr>
          <w:kern w:val="2"/>
          <w14:ligatures w14:val="standardContextual"/>
        </w:rPr>
        <w:tab/>
        <w:t xml:space="preserve">Europaparlamentet noterar att Easa under 2023 fördjupade sitt samarbete betydligt med militära organisationer inom ramen för EU:s handlingsplan för militär rörlighet 2.0 och att byrån nu bjuds in till alla möten med Natos luftfartskommitté. Parlamentet uppmärksammar godkännandet av byråns strategi för civil-militär samverkan </w:t>
      </w:r>
      <w:r>
        <w:rPr>
          <w:kern w:val="2"/>
          <w14:ligatures w14:val="standardContextual"/>
        </w:rPr>
        <w:t>-</w:t>
      </w:r>
      <w:r w:rsidRPr="005375B7">
        <w:rPr>
          <w:kern w:val="2"/>
          <w14:ligatures w14:val="standardContextual"/>
        </w:rPr>
        <w:t xml:space="preserve"> dess långsiktiga prioritering </w:t>
      </w:r>
      <w:r>
        <w:rPr>
          <w:kern w:val="2"/>
          <w14:ligatures w14:val="standardContextual"/>
        </w:rPr>
        <w:t>-</w:t>
      </w:r>
      <w:r w:rsidRPr="005375B7">
        <w:rPr>
          <w:kern w:val="2"/>
          <w14:ligatures w14:val="standardContextual"/>
        </w:rPr>
        <w:t xml:space="preserve"> som stöder dess deltagande i arbetet med att certifiera militära luftfartyg som härrör från civila luftfartyg utifrån konceptet ”så civilt som möjligt och så militärt som krävs”.</w:t>
      </w:r>
    </w:p>
    <w:p w14:paraId="79829873"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88.</w:t>
      </w:r>
      <w:r w:rsidRPr="005375B7">
        <w:rPr>
          <w:kern w:val="2"/>
          <w14:ligatures w14:val="standardContextual"/>
        </w:rPr>
        <w:tab/>
        <w:t>Europaparlamentet noterar att Emsa under 2023 fortsatte att tillhandahålla ett mycket ändamålsenligt stöd för att hjälpa till att minska sjötransportsektorns miljöpåverkan, bland annat genom att delta i det stora antalet initiativ med koppling till den europeiska gröna given. Parlamentet noterar särskilt den tekniska expertis byrån tillhandahöll i samband med översynen av sjösäkerhetspaketet. Parlamentet lovordar byråns stöd till kommissionen och medlemsstaterna i det slutliga antagandet av de förslag som lades fram som en del av 55 %-paketet, särskilt när det gäller utvidgningen av utsläppshandelssystemet till sjötransporter och FuelEU Maritime-förordningen. Parlamentet uppskattar i detta sammanhang byråns pågående forskning om potentialen hos olika alternativa bränslen och de tillhörande säkerhetsövervägandena i samband med införandet och användningen av hållbara alternativa energikällor för fartyg. Parlamentet välkomnar att Thetis-MRV-systemet anpassats till kraven i lagstiftningen om EU:s utsläppshandelssystem.</w:t>
      </w:r>
    </w:p>
    <w:p w14:paraId="221F65AC"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89.</w:t>
      </w:r>
      <w:r w:rsidRPr="005375B7">
        <w:rPr>
          <w:kern w:val="2"/>
          <w14:ligatures w14:val="standardContextual"/>
        </w:rPr>
        <w:tab/>
        <w:t>Europaparlamentet välkomnar de fem byråernas (Eurofounds, Cedefops, ETF:s, EU-</w:t>
      </w:r>
      <w:r w:rsidRPr="005375B7">
        <w:rPr>
          <w:kern w:val="2"/>
          <w14:ligatures w14:val="standardContextual"/>
        </w:rPr>
        <w:lastRenderedPageBreak/>
        <w:t>Oshas och Europeiska arbetsmyndighetens) fortsatta och växande samarbete och resursdelning sinsemellan och med andra institutioner, inbegripet andra EU-byråer, kommissionen och parlamentet.</w:t>
      </w:r>
    </w:p>
    <w:p w14:paraId="298C2E8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90.</w:t>
      </w:r>
      <w:r w:rsidRPr="005375B7">
        <w:rPr>
          <w:kern w:val="2"/>
          <w14:ligatures w14:val="standardContextual"/>
        </w:rPr>
        <w:tab/>
        <w:t>Europaparlamentet uppmanar kommissionen att säkerställa ett bättre utnyttjande av byråernas (Eurofounds, Cedefops, ETF:s, EU-Oshas och Europeiska arbetsmyndighetens) sakkunskap inom relevanta politikområden, till exempel när det gäller utarbetande av rapporter och studier och genomförande av forskning och undersökningar, vilket kan möjliggöra ett effektivare utnyttjande av unionens befintliga budgetresurser jämfört med alternativa lösningar. Parlamentet uppskattar de fem byråernas insatser för att vidareutveckla sin digitala kommunikation och onlinekommunikation, och på detta sätt öka sin synlighet och medvetenheten om det arbete som de utför och som har stor genomslagskraft. Parlamentet betonar i detta avseende byråernas outnyttjade potential att tillhandahålla specifik, relevant information och produkter av samma kvalitet som externa konsulter, om byråernas mandat tillåter det.</w:t>
      </w:r>
    </w:p>
    <w:p w14:paraId="01E2EAD6" w14:textId="77777777" w:rsidR="005375B7" w:rsidRPr="005375B7" w:rsidRDefault="005375B7" w:rsidP="005375B7">
      <w:pPr>
        <w:widowControl/>
        <w:spacing w:after="240"/>
        <w:ind w:left="567" w:hanging="567"/>
        <w:rPr>
          <w:kern w:val="2"/>
          <w14:ligatures w14:val="standardContextual"/>
        </w:rPr>
      </w:pPr>
      <w:r w:rsidRPr="005375B7">
        <w:rPr>
          <w:kern w:val="2"/>
          <w14:ligatures w14:val="standardContextual"/>
        </w:rPr>
        <w:t>91.</w:t>
      </w:r>
      <w:r w:rsidRPr="005375B7">
        <w:rPr>
          <w:kern w:val="2"/>
          <w14:ligatures w14:val="standardContextual"/>
        </w:rPr>
        <w:tab/>
        <w:t>Europaparlamentet välkomnar byråernas (Eurofounds, Cedefops, ETF:s, EU-Oshas och Europeiska arbetsmyndighetens) insatser för att genomföra strategier för mångfald och inkludering, särskilt när det gäller personer med funktionsnedsättning. Parlamentet uppmuntrar byråerna att förbättra insamlingen av jämförbara uppgifter om anställning av personer med funktionsnedsättning. Parlamentet erkänner de framsteg som gjorts inom byråerna för att uppnå en jämn könsfördelning bland personalen. Parlamentet efterlyser ytterligare insatser för att säkerställa en jämn könsfördelning även på högre ledningsnivå och för att integrera jämställdhetsperspektivet i all verksamhet.</w:t>
      </w:r>
    </w:p>
    <w:p w14:paraId="7957C0C5"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92.</w:t>
      </w:r>
      <w:r w:rsidRPr="005375B7">
        <w:rPr>
          <w:kern w:val="2"/>
          <w14:ligatures w14:val="standardContextual"/>
        </w:rPr>
        <w:tab/>
        <w:t>Europaparlamentet noterar att insatserna för budgetövervakning under budgetåret 2023 resulterade i en budgetgenomförandegrad för åtagandebemyndigandena för det innevarande året på i genomsnitt över 97 %, med undantag för CdT och Europeiska arbetsmyndigheten, för vilka genomförandegraden var 89,55 % respektive 93,72 %. Parlamentet noterar att de byråer som uppvisar den lägsta genomförandegraden för det innevarande årets betalningsbemyndiganden är följande, förtecknade i stigande ordning tillsammans med sina respektive procentsatser: ESA med 47,61 %, Frontex med 55,37 %, EU-Osha med 68,83 %, Acer med 70,69 % och ECDC med 71,79 %.</w:t>
      </w:r>
    </w:p>
    <w:p w14:paraId="368B4C2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93.</w:t>
      </w:r>
      <w:r w:rsidRPr="005375B7">
        <w:rPr>
          <w:kern w:val="2"/>
          <w14:ligatures w14:val="standardContextual"/>
        </w:rPr>
        <w:tab/>
        <w:t>Europaparlamentet noterar ökningen av EUAA:s budget för 2023 från 168 miljoner EUR till 170 miljoner EUR (+0,77 %) och av dess personal från 519 till 529 (+2 %). Parlamentet upprepar den viktiga roll som Europeiska unionens asylbyrå spelar för att stödja medlemsstaterna i genomförandet av det gemensamma europeiska asylsystemet och övervaka att det genomförs på rätt sätt. Parlamentet påminner om att den ansvarsfrihetsbeviljande myndigheten i sitt betänkande om ansvarsfrihet för Europeiska unionens asylbyrå för 2022 belyste oro kring byråns interna förvaltning och förfaranden, och noterade att Europeiska byrån för bedrägeribekämpning (Olaf) hade inlett en utredning, som nu har slutförts, om påstådd nepotism och andra problem som rörde dess ekonomiska förvaltning. Parlamentet beklagar att byråns verkställande direktör undvek att lämna svar under den förberedande utfrågningen om ansvarsfrihet i CONT-utskottet. Parlamentet är mycket oroat över att byråns styrelse vägrar att avslöja innehållet och rekommendationen i nämnda rapport från Olaf till den ansvarsfrihetsbeviljande myndigheten. Parlamentet uppmanar byrån att omedelbart göra rapportens slutsatser tillgängliga.</w:t>
      </w:r>
    </w:p>
    <w:p w14:paraId="18F4D453"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lastRenderedPageBreak/>
        <w:t>94.</w:t>
      </w:r>
      <w:r w:rsidRPr="005375B7">
        <w:rPr>
          <w:kern w:val="2"/>
          <w14:ligatures w14:val="standardContextual"/>
        </w:rPr>
        <w:tab/>
        <w:t>Europaparlamentet anser att Olafs slutrapport (OC-2022-0717) om EUAA innehåller mycket oroande slutsatser om fastställda fakta, som äventyrar byråns stabilitet, styrning och anseende, och framtvingar beslutet om att skjuta upp beviljandet av ansvarsfrihet för byrån för budgetåret 2023. Parlamentet påminner dessutom om att Olaf fastställde och kvantifierade ekonomiska konsekvenser som inte kan återvinnas, vilket bekräftar den negativa inverkan på en sund ekonomisk förvaltning av byråns resurser. Parlamentet begär därför att styrelsen gör en omfattande uppföljning med detaljerade uppgifter om alla åtgärder som vidtagits för att korrigera de brister som upptäckts.</w:t>
      </w:r>
    </w:p>
    <w:p w14:paraId="0382466D"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95.</w:t>
      </w:r>
      <w:r w:rsidRPr="005375B7">
        <w:rPr>
          <w:kern w:val="2"/>
          <w14:ligatures w14:val="standardContextual"/>
        </w:rPr>
        <w:tab/>
        <w:t>Europaparlamentet uppmanar med kraft byrån att fullt ut klargöra alla olösta frågor, att genomföra Olafs rekommendationer på ett trovärdigt och transparent sätt och att inrätta robusta mekanismer för intern kontroll, etisk tillsyn och ansvarsskyldighet. Parlamentet uppmanar byrån att utan onödigt dröjsmål informera den ansvarsfrihetsbeviljande myndigheten om eventuella korrigerande åtgärder som vidtagits.</w:t>
      </w:r>
    </w:p>
    <w:p w14:paraId="37D48802" w14:textId="77777777" w:rsidR="005375B7" w:rsidRPr="005375B7" w:rsidRDefault="005375B7" w:rsidP="005375B7">
      <w:pPr>
        <w:spacing w:after="240"/>
        <w:ind w:left="567" w:hanging="567"/>
        <w:rPr>
          <w:b/>
          <w:iCs/>
          <w:kern w:val="2"/>
          <w14:ligatures w14:val="standardContextual"/>
        </w:rPr>
      </w:pPr>
      <w:r w:rsidRPr="005375B7">
        <w:rPr>
          <w:b/>
          <w:iCs/>
          <w:kern w:val="2"/>
          <w14:ligatures w14:val="standardContextual"/>
        </w:rPr>
        <w:t>Upphandling</w:t>
      </w:r>
    </w:p>
    <w:p w14:paraId="6F72885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96.</w:t>
      </w:r>
      <w:r w:rsidRPr="005375B7">
        <w:rPr>
          <w:kern w:val="2"/>
          <w14:ligatures w14:val="standardContextual"/>
        </w:rPr>
        <w:tab/>
        <w:t>Europaparlamentet noterar med oro att brister i den offentliga upphandlingen fortfarande är den största källan till oriktiga betalningar. Parlamentet betonar att revisionsrätten gjorde 38 iakttagelser om brister i den offentliga upphandlingen under 2023 (jämfört med 41 under 2022 och 28 under 2021) </w:t>
      </w:r>
      <w:r w:rsidRPr="005375B7">
        <w:rPr>
          <w:kern w:val="2"/>
          <w:vertAlign w:val="superscript"/>
          <w14:ligatures w14:val="standardContextual"/>
        </w:rPr>
        <w:footnoteReference w:id="425"/>
      </w:r>
      <w:r w:rsidRPr="005375B7">
        <w:rPr>
          <w:kern w:val="2"/>
          <w14:ligatures w14:val="standardContextual"/>
        </w:rPr>
        <w:t>. Parlamentet uppmanar med kraft byråerna att vidta åtgärder för att säkerställa strikt efterlevnad av upphandlingsreglerna och principerna om transparens, konkurrens och kostnadseffektivitet. Parlamentet påminner om att det behövs regelbundna utbildningsprogram för personal i ekonomisk förvaltning, upphandlingsregler och förebyggande av bedrägerier. Parlamentet efterlyser strängare åtgärder för ansvarsskyldighet som säkerställer att eventuella bestående brister leder till riktade korrigerande åtgärder och konsekvenser vid upprepad bristande efterlevnad.</w:t>
      </w:r>
    </w:p>
    <w:p w14:paraId="17E58D16"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97.</w:t>
      </w:r>
      <w:r w:rsidRPr="005375B7">
        <w:rPr>
          <w:kern w:val="2"/>
          <w14:ligatures w14:val="standardContextual"/>
        </w:rPr>
        <w:tab/>
        <w:t>Europaparlamentet noterar att enligt revisionsrätten avser 13 </w:t>
      </w:r>
      <w:r w:rsidRPr="005375B7">
        <w:rPr>
          <w:kern w:val="2"/>
          <w:vertAlign w:val="superscript"/>
          <w14:ligatures w14:val="standardContextual"/>
        </w:rPr>
        <w:footnoteReference w:id="426"/>
      </w:r>
      <w:r w:rsidRPr="005375B7">
        <w:rPr>
          <w:kern w:val="2"/>
          <w14:ligatures w14:val="standardContextual"/>
        </w:rPr>
        <w:t xml:space="preserve"> av iakttagelserna om brister som ledde till oriktiga betalningar under 2023 oriktigheter som upptäckts och nämnts i tidigare revisioner. Parlamentet noterar att för de återstående 25 iakttagelserna påverkade nio betalningar och de övriga 16 ledde inte till oriktiga betalningar under 2023. Parlamentet noterar att de iakttagelser för året som inte påverkade betalningar avser byråerna Acer, EBA, eu-Lisa, Esma, Emsa, Enisa, ERA, EIGE, ECDC, EEA, EUDA, EUAA och Cepol. Parlamentet noterar byråernas svar och uppmanar byråerna att vidta åtgärder för att korrigera de brister som upptäckts och rapportera tillbaka till den ansvarsfrihetsbeviljande myndigheten om de åtgärder som vidtagits för att åtgärda dem.</w:t>
      </w:r>
    </w:p>
    <w:p w14:paraId="5C6234D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98.</w:t>
      </w:r>
      <w:r w:rsidRPr="005375B7">
        <w:rPr>
          <w:kern w:val="2"/>
          <w14:ligatures w14:val="standardContextual"/>
        </w:rPr>
        <w:tab/>
        <w:t xml:space="preserve">Europaparlamentet uppmärksammar de nio iakttagelser för året från revisionsrätten som påverkar betalningarna. Parlamentet noterar att när det gäller Enisa, eu-Lisa och </w:t>
      </w:r>
      <w:r w:rsidRPr="005375B7">
        <w:rPr>
          <w:kern w:val="2"/>
          <w14:ligatures w14:val="standardContextual"/>
        </w:rPr>
        <w:lastRenderedPageBreak/>
        <w:t>Europeiska arbetsmyndigheten utgör de oriktigheter som upptäckts, tillsammans med dem som identifierats vid tidigare revisioner som ledde till betalningar 2023 (endast för eu-Lisa och Europeiska arbetsmyndigheten), grunden för ett uttalande med reservation från revisionsrätten och har beskrivits under rubriken ”Översikt över granskningsresultaten” i denna resolution.</w:t>
      </w:r>
    </w:p>
    <w:p w14:paraId="3E932B79"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99.</w:t>
      </w:r>
      <w:r w:rsidRPr="005375B7">
        <w:rPr>
          <w:kern w:val="2"/>
          <w14:ligatures w14:val="standardContextual"/>
        </w:rPr>
        <w:tab/>
        <w:t>Europaparlamentet noterar att de återstående iakttagelser för året som påverkar betalningar avser CdT, EIGE, EFCA, ERA och EU-Osha med en iakttagelse per byrå, med undantag för den sistnämnda byrån som har två. Parlamentet noterar att skälen till iakttagelserna och byråernas svar på revisionsrättens iakttagelse är uppdelade på följande sätt:</w:t>
      </w:r>
    </w:p>
    <w:p w14:paraId="2EF7A058" w14:textId="1CC03C39" w:rsidR="005375B7" w:rsidRPr="005375B7" w:rsidRDefault="001D2F8A" w:rsidP="005375B7">
      <w:pPr>
        <w:widowControl/>
        <w:spacing w:after="240"/>
        <w:ind w:left="1134" w:hanging="567"/>
        <w:rPr>
          <w:rFonts w:eastAsia="Calibri"/>
          <w:kern w:val="2"/>
          <w:szCs w:val="24"/>
          <w:lang w:eastAsia="en-US"/>
          <w14:ligatures w14:val="standardContextual"/>
        </w:rPr>
      </w:pPr>
      <w:r>
        <w:rPr>
          <w:rFonts w:eastAsia="Calibri"/>
          <w:kern w:val="2"/>
          <w:szCs w:val="24"/>
          <w:lang w:eastAsia="en-US"/>
          <w14:ligatures w14:val="standardContextual"/>
        </w:rPr>
        <w:t>-</w:t>
      </w:r>
      <w:r w:rsidR="005375B7" w:rsidRPr="005375B7">
        <w:rPr>
          <w:rFonts w:eastAsia="Calibri"/>
          <w:kern w:val="2"/>
          <w:szCs w:val="24"/>
          <w:lang w:eastAsia="en-US"/>
          <w14:ligatures w14:val="standardContextual"/>
        </w:rPr>
        <w:tab/>
        <w:t>När det gäller CdT avser iakttagelsen felaktig användning av förfarandet för direkt tilldelning i stället för inledandet av ett konkurrensutsatt förfarande baserat på en uppskattning av framtida kostnader, vilket ledde till oriktiga betalningar inom ramen för dessa kontrakt på totalt 25 800 EUR under 2023. Parlamentet noterar CdT:s svar att man kommer att anordna förenklade konkurrensutsatta förfaranden för underhållstjänster som överstiger 1 000 EUR.</w:t>
      </w:r>
    </w:p>
    <w:p w14:paraId="6CCF0C35" w14:textId="60F4A84C" w:rsidR="005375B7" w:rsidRPr="005375B7" w:rsidRDefault="001D2F8A" w:rsidP="005375B7">
      <w:pPr>
        <w:widowControl/>
        <w:spacing w:after="240"/>
        <w:ind w:left="1134" w:hanging="567"/>
        <w:rPr>
          <w:rFonts w:eastAsia="Calibri"/>
          <w:kern w:val="2"/>
          <w:szCs w:val="24"/>
          <w:lang w:eastAsia="en-US"/>
          <w14:ligatures w14:val="standardContextual"/>
        </w:rPr>
      </w:pPr>
      <w:r>
        <w:rPr>
          <w:rFonts w:eastAsia="Calibri"/>
          <w:kern w:val="2"/>
          <w:szCs w:val="24"/>
          <w:lang w:eastAsia="en-US"/>
          <w14:ligatures w14:val="standardContextual"/>
        </w:rPr>
        <w:t>-</w:t>
      </w:r>
      <w:r w:rsidR="005375B7" w:rsidRPr="005375B7">
        <w:rPr>
          <w:rFonts w:eastAsia="Calibri"/>
          <w:kern w:val="2"/>
          <w:szCs w:val="24"/>
          <w:lang w:eastAsia="en-US"/>
          <w14:ligatures w14:val="standardContextual"/>
        </w:rPr>
        <w:tab/>
        <w:t>När det gäller ERA avser iakttagelsen undertecknandet av ett specifikt kontrakt utan förnyad konkurrensutsättning i enlighet med ramavtalet, vilket ledde till betalningar på totalt 254 400 EUR i samband med detta kontrakt. Parlamentet noterar ERA:s svar att från och med 2024 har ERA börjat tillämpa sin egen förnyade konkurrensutsättning för de tjänster som avses.</w:t>
      </w:r>
    </w:p>
    <w:p w14:paraId="5E144EF4" w14:textId="287E0BE2" w:rsidR="005375B7" w:rsidRPr="005375B7" w:rsidRDefault="001D2F8A" w:rsidP="005375B7">
      <w:pPr>
        <w:widowControl/>
        <w:spacing w:after="240"/>
        <w:ind w:left="1134" w:hanging="567"/>
        <w:rPr>
          <w:rFonts w:eastAsia="Calibri"/>
          <w:kern w:val="2"/>
          <w:szCs w:val="24"/>
          <w:lang w:eastAsia="en-US"/>
          <w14:ligatures w14:val="standardContextual"/>
        </w:rPr>
      </w:pPr>
      <w:r>
        <w:rPr>
          <w:rFonts w:eastAsia="Calibri"/>
          <w:kern w:val="2"/>
          <w:szCs w:val="24"/>
          <w:lang w:eastAsia="en-US"/>
          <w14:ligatures w14:val="standardContextual"/>
        </w:rPr>
        <w:t>-</w:t>
      </w:r>
      <w:r w:rsidR="005375B7" w:rsidRPr="005375B7">
        <w:rPr>
          <w:rFonts w:eastAsia="Calibri"/>
          <w:kern w:val="2"/>
          <w:szCs w:val="24"/>
          <w:lang w:eastAsia="en-US"/>
          <w14:ligatures w14:val="standardContextual"/>
        </w:rPr>
        <w:tab/>
        <w:t>EIGE:s iakttagelse avser felaktig tillämpning av förhandskontroller, överskridande av taket i ramavtalet och felaktig tillämpning av dagskostnader, vilket resulterade i oriktiga betalningar på 76 500 EUR. Parlamentet noterar att EIGE kommer att säkerställa ett korrekt genomförande av interinstitutionella ramavtal med fokus på personalrelaterade kontrakt.</w:t>
      </w:r>
    </w:p>
    <w:p w14:paraId="4C25D0AA" w14:textId="7854EE20" w:rsidR="005375B7" w:rsidRPr="005375B7" w:rsidRDefault="001D2F8A" w:rsidP="005375B7">
      <w:pPr>
        <w:widowControl/>
        <w:spacing w:after="240"/>
        <w:ind w:left="1134" w:hanging="567"/>
        <w:rPr>
          <w:rFonts w:eastAsia="Calibri"/>
          <w:kern w:val="2"/>
          <w:szCs w:val="24"/>
          <w:lang w:eastAsia="en-US"/>
          <w14:ligatures w14:val="standardContextual"/>
        </w:rPr>
      </w:pPr>
      <w:r>
        <w:rPr>
          <w:rFonts w:eastAsia="Calibri"/>
          <w:kern w:val="2"/>
          <w:szCs w:val="24"/>
          <w:lang w:eastAsia="en-US"/>
          <w14:ligatures w14:val="standardContextual"/>
        </w:rPr>
        <w:t>-</w:t>
      </w:r>
      <w:r w:rsidR="005375B7" w:rsidRPr="005375B7">
        <w:rPr>
          <w:rFonts w:eastAsia="Calibri"/>
          <w:kern w:val="2"/>
          <w:szCs w:val="24"/>
          <w:lang w:eastAsia="en-US"/>
          <w14:ligatures w14:val="standardContextual"/>
        </w:rPr>
        <w:tab/>
        <w:t>EFCA använde ett interinstitutionellt ramavtal för tillhandahållande av researrangemang utanför sitt befogenhetsområde för att förvärva tjänster för anordnande av evenemang och de tillhörande betalningarna under 2023 på 257 300 EUR var oriktiga. Parlamentet noterar att byrån enligt EFCA stötte på oväntade situationer som ledde till förseningar i förfarandet och att byrån som korrigerande åtgärd kommer att utarbeta en beredskapsplan för att mildra effekterna av oväntade händelser.</w:t>
      </w:r>
    </w:p>
    <w:p w14:paraId="61C2E46B" w14:textId="53ABE509" w:rsidR="005375B7" w:rsidRPr="005375B7" w:rsidRDefault="001D2F8A" w:rsidP="005375B7">
      <w:pPr>
        <w:widowControl/>
        <w:spacing w:after="240"/>
        <w:ind w:left="1134" w:hanging="567"/>
        <w:rPr>
          <w:rFonts w:eastAsia="Calibri"/>
          <w:kern w:val="2"/>
          <w:szCs w:val="24"/>
          <w:lang w:eastAsia="en-US"/>
          <w14:ligatures w14:val="standardContextual"/>
        </w:rPr>
      </w:pPr>
      <w:r>
        <w:rPr>
          <w:rFonts w:eastAsia="Calibri"/>
          <w:kern w:val="2"/>
          <w:szCs w:val="24"/>
          <w:lang w:eastAsia="en-US"/>
          <w14:ligatures w14:val="standardContextual"/>
        </w:rPr>
        <w:t>-</w:t>
      </w:r>
      <w:r w:rsidR="005375B7" w:rsidRPr="005375B7">
        <w:rPr>
          <w:rFonts w:eastAsia="Calibri"/>
          <w:kern w:val="2"/>
          <w:szCs w:val="24"/>
          <w:lang w:eastAsia="en-US"/>
          <w14:ligatures w14:val="standardContextual"/>
        </w:rPr>
        <w:tab/>
        <w:t>EU-Osha har två iakttagelser:</w:t>
      </w:r>
    </w:p>
    <w:p w14:paraId="0CC1D4D6" w14:textId="77777777" w:rsidR="005375B7" w:rsidRPr="005375B7" w:rsidRDefault="005375B7" w:rsidP="005375B7">
      <w:pPr>
        <w:widowControl/>
        <w:spacing w:after="240"/>
        <w:ind w:left="1701" w:hanging="567"/>
        <w:rPr>
          <w:rFonts w:eastAsia="Calibri"/>
          <w:kern w:val="2"/>
          <w:szCs w:val="24"/>
          <w:lang w:eastAsia="en-US"/>
          <w14:ligatures w14:val="standardContextual"/>
        </w:rPr>
      </w:pPr>
      <w:r w:rsidRPr="005375B7">
        <w:rPr>
          <w:rFonts w:eastAsia="Calibri"/>
          <w:kern w:val="2"/>
          <w:szCs w:val="24"/>
          <w:lang w:eastAsia="en-US"/>
          <w14:ligatures w14:val="standardContextual"/>
        </w:rPr>
        <w:t>1)</w:t>
      </w:r>
      <w:r w:rsidRPr="005375B7">
        <w:rPr>
          <w:rFonts w:eastAsia="Calibri"/>
          <w:kern w:val="2"/>
          <w:szCs w:val="24"/>
          <w:lang w:eastAsia="en-US"/>
          <w14:ligatures w14:val="standardContextual"/>
        </w:rPr>
        <w:tab/>
        <w:t>Oriktigheter vid tilldelningen av tre förhandlade förfaranden med en enda ekonomisk aktör, utan offentliggörande av ett meddelande om upphandling, som enligt revisionsrätten inte uppfyllde villkoren i punkt 11.1 c i bilaga I till budgetförordningen och ledde till oriktiga betalningar på 67 100 EUR under 2023. Parlamentet noterar EU-Oshas svar att byrån befann sig i en extremt akut situation och inte hade några andra genomförbara alternativ för att säkerställa driftskontinuitet.</w:t>
      </w:r>
    </w:p>
    <w:p w14:paraId="030EC1CE" w14:textId="77777777" w:rsidR="005375B7" w:rsidRPr="005375B7" w:rsidRDefault="005375B7" w:rsidP="005375B7">
      <w:pPr>
        <w:widowControl/>
        <w:spacing w:after="240"/>
        <w:ind w:left="1701" w:hanging="567"/>
        <w:rPr>
          <w:rFonts w:eastAsia="Calibri"/>
          <w:kern w:val="2"/>
          <w:szCs w:val="24"/>
          <w:lang w:eastAsia="en-US"/>
          <w14:ligatures w14:val="standardContextual"/>
        </w:rPr>
      </w:pPr>
      <w:r w:rsidRPr="005375B7">
        <w:rPr>
          <w:rFonts w:eastAsia="Calibri"/>
          <w:kern w:val="2"/>
          <w:szCs w:val="24"/>
          <w:lang w:eastAsia="en-US"/>
          <w14:ligatures w14:val="standardContextual"/>
        </w:rPr>
        <w:t>2)</w:t>
      </w:r>
      <w:r w:rsidRPr="005375B7">
        <w:rPr>
          <w:rFonts w:eastAsia="Calibri"/>
          <w:kern w:val="2"/>
          <w:szCs w:val="24"/>
          <w:lang w:eastAsia="en-US"/>
          <w14:ligatures w14:val="standardContextual"/>
        </w:rPr>
        <w:tab/>
        <w:t xml:space="preserve">Två direkttilldelade kontrakt resulterade i oriktiga betalningar på 29 700 EUR. Parlamentet konstaterar att dessa kontrakt borde ha kombinerats i ett </w:t>
      </w:r>
      <w:r w:rsidRPr="005375B7">
        <w:rPr>
          <w:rFonts w:eastAsia="Calibri"/>
          <w:kern w:val="2"/>
          <w:szCs w:val="24"/>
          <w:lang w:eastAsia="en-US"/>
          <w14:ligatures w14:val="standardContextual"/>
        </w:rPr>
        <w:lastRenderedPageBreak/>
        <w:t>enda konkurrensutsatt förfarande eftersom de avsåg nästan identiska tjänster, och att artikel 160 i budgetförordningen, som förbjuder uppdelning av kontrakt, inte hade respekterats. Parlamentet noterar att EU-Osha kommer att förbättra dokumentationen av sina marknadsprospekteringar och undersöka alternativa upphandlingsverktyg.</w:t>
      </w:r>
    </w:p>
    <w:p w14:paraId="682DA7D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100.</w:t>
      </w:r>
      <w:r w:rsidRPr="005375B7">
        <w:rPr>
          <w:kern w:val="2"/>
          <w14:ligatures w14:val="standardContextual"/>
        </w:rPr>
        <w:tab/>
        <w:t>Europaparlamentet upprepar revisionsrättens rekommendation att de berörda byråerna vid genomförandet av ramavtal endast bör använda specifika kontrakt för att upphandla varor eller tjänster som omfattas av tillhörande ramavtal. Parlamentet upprepar vidare revisionsrättens rekommendation att de berörda byråerna också bör följa bestämmelserna i budgetförordningen om ändring av befintliga kontrakt, att specifika kontrakt ska fastställa priser, kvantitet och leveranstider och att genomförandet av kontrakten ska kontrolleras på lämpligt sätt när det gäller dessa viktiga aspekter.</w:t>
      </w:r>
    </w:p>
    <w:p w14:paraId="3A8BEEAC"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101.</w:t>
      </w:r>
      <w:r w:rsidRPr="005375B7">
        <w:rPr>
          <w:kern w:val="2"/>
          <w14:ligatures w14:val="standardContextual"/>
        </w:rPr>
        <w:tab/>
        <w:t>Europaparlamentet påminner om vikten av att i samband med alla upphandlingsförfaranden säkerställa varor och tjänster av god kvalitet och rättvis konkurrens mellan anbudsgivare och att köpa in de ekonomiskt mest fördelaktiga varorna och tjänsterna, ge företräde åt europeiska företag framför icke-europeiska företag och respektera principerna om transparens, proportionalitet, likabehandling och icke-diskriminering.</w:t>
      </w:r>
    </w:p>
    <w:p w14:paraId="254FFCA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102.</w:t>
      </w:r>
      <w:r w:rsidRPr="005375B7">
        <w:rPr>
          <w:kern w:val="2"/>
          <w14:ligatures w14:val="standardContextual"/>
        </w:rPr>
        <w:tab/>
        <w:t>Europaparlamentet insisterar på behovet av att stärka upphandlingssamarbetet mellan EUAN och kommissionen.</w:t>
      </w:r>
    </w:p>
    <w:p w14:paraId="089B4C30"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t>103.</w:t>
      </w:r>
      <w:r w:rsidRPr="005375B7">
        <w:rPr>
          <w:kern w:val="2"/>
          <w14:ligatures w14:val="standardContextual"/>
        </w:rPr>
        <w:tab/>
        <w:t>Europaparlamentet betonar vikten av att förbättra digitaliseringen av byråerna, både för intern verksamhet och förvaltning samt för att påskynda digitaliseringen av förfaranden. Parlamentet betonar behovet av att förbli proaktiv. Parlamentet stöder i detta avseende ytterligare investeringar i digitala verktyg och innovation för att förbättra förfarandemässiga uppgifter och förhindra en digital klyfta mellan byråerna.</w:t>
      </w:r>
    </w:p>
    <w:p w14:paraId="48C67A8B" w14:textId="77777777" w:rsidR="005375B7" w:rsidRPr="005375B7" w:rsidRDefault="005375B7" w:rsidP="005375B7">
      <w:pPr>
        <w:spacing w:after="240"/>
        <w:rPr>
          <w:b/>
          <w:iCs/>
          <w:kern w:val="2"/>
          <w14:ligatures w14:val="standardContextual"/>
        </w:rPr>
      </w:pPr>
      <w:r w:rsidRPr="005375B7">
        <w:rPr>
          <w:b/>
          <w:iCs/>
          <w:kern w:val="2"/>
          <w14:ligatures w14:val="standardContextual"/>
        </w:rPr>
        <w:t>Personalpolitik, jämställdhet, inkludering, intressekonflikter och förebyggande av bedrägerier</w:t>
      </w:r>
    </w:p>
    <w:p w14:paraId="01580DAD"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104.</w:t>
      </w:r>
      <w:r w:rsidRPr="005375B7">
        <w:rPr>
          <w:kern w:val="2"/>
          <w14:ligatures w14:val="standardContextual"/>
        </w:rPr>
        <w:tab/>
        <w:t>Europaparlamentet konstaterar att de 33 decentraliserade byråerna rapporterade att de 2023 hade totalt 10 580 anställda (jämfört med 10 146 under 2022), bestående av tjänstemän, tillfälligt anställda, kontraktsanställda och utstationerade nationella experter, vilket motsvarar en ökning med 4,27 % jämfört med 2022.</w:t>
      </w:r>
    </w:p>
    <w:p w14:paraId="2A115DE5"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t>105.</w:t>
      </w:r>
      <w:r w:rsidRPr="005375B7">
        <w:rPr>
          <w:kern w:val="2"/>
          <w14:ligatures w14:val="standardContextual"/>
        </w:rPr>
        <w:tab/>
        <w:t xml:space="preserve">Europaparlamentet noterar att fall av utbrändhet (totalt 25) registrerades vid sex byråer, nämligen Easa (fem fall), EEA (fyra fall), EFCA (ett fall), Efsa (två fall), EMA (tio fall) och Europol (tre fall). Parlamentet noterar dock att inte alla byråer, däribland ECDC, Echa, Emsa, Enisa, ERA, FRA och Frontex, samlar in uppgifter om utbrändhet på grund av dataskydd. Parlamentet uttrycker sin oro över att medicinska uppgifter inte samlas in, eftersom dessa är viktiga för att följa upp byråpersonalens psykiska välbefinnande. Parlamentet uppmanar med kraft byråerna att vidta omedelbara åtgärder för att hantera de ökande fallen av utbrändhet bland personalen. Parlamentet noterar att flera anställda tog ut övertid vid 19 byråer under 2022 (13 under 2021). Parlamentet noterar särskilt att ett stort antal anställda har tagit ut övertid i Efsa (81 % av personalen) och Eurofound (97 % av personalen). Parlamentet påminner i detta avseende om vikten av att utveckla en långsiktig personalpolitik, inbegripet strukturer för stöd till psykisk hälsa, som säkerställer en övergripande strategi för balans mellan arbete och privatliv, inbegripet </w:t>
      </w:r>
      <w:r w:rsidRPr="005375B7">
        <w:rPr>
          <w:kern w:val="2"/>
          <w14:ligatures w14:val="standardContextual"/>
        </w:rPr>
        <w:lastRenderedPageBreak/>
        <w:t>bestämmelser om distansarbete och karriärutveckling. Parlamentet betonar dessutom vikten av att skydda personalens psykiska hälsa och välbefinnande.</w:t>
      </w:r>
    </w:p>
    <w:p w14:paraId="774BEEEF"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t>106.</w:t>
      </w:r>
      <w:r w:rsidRPr="005375B7">
        <w:rPr>
          <w:kern w:val="2"/>
          <w14:ligatures w14:val="standardContextual"/>
        </w:rPr>
        <w:tab/>
        <w:t>Europaparlamentet noterar att EIT:s direktör, som talade för EU-byråernas nätverk, vid budgetkontrollutskottets möte den 4 december 2024 samtyckte till att undersöka typerna av kontrakt för städpersonal som arbetar vid de decentraliserade byråerna. Parlamentet uppmanar EU-byråernas nätverk att informera den ansvarsfrihetsbeviljande myndigheten om typerna av kontrakt för städpersonal som arbetar vid de decentraliserade byråerna, inbegripet andelen långtids- och korttidskontrakt.</w:t>
      </w:r>
    </w:p>
    <w:p w14:paraId="371A3CE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107.</w:t>
      </w:r>
      <w:r w:rsidRPr="005375B7">
        <w:rPr>
          <w:kern w:val="2"/>
          <w14:ligatures w14:val="standardContextual"/>
        </w:rPr>
        <w:tab/>
        <w:t>Europaparlamentet stöder Frontex fortsatta insatser för att stärka sitt ombud för grundläggande rättigheter, och noterar att 46 övervakare av grundläggande rättigheter anställdes 2023. Parlamentet betonar vikten av att säkerställa att alla övervakare av grundläggande rättigheter rekryteras i lönegrad AD, för att ytterligare stärka deras kapacitet och oberoende. Parlamentet erkänner att Frontex har vidtagit betydande åtgärder för att följa upp yttrandena från ombudet för grundläggande rättigheter, särskilt i frågor som jämställdhetsintegrering och människohandel.</w:t>
      </w:r>
    </w:p>
    <w:p w14:paraId="049E2AC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108.</w:t>
      </w:r>
      <w:r w:rsidRPr="005375B7">
        <w:rPr>
          <w:kern w:val="2"/>
          <w14:ligatures w14:val="standardContextual"/>
        </w:rPr>
        <w:tab/>
        <w:t>Europaparlamentet noterar att personalomsättningen under 2023 var mer än 5 % vid 18 av 33 byråer (Cedefop, Cepol, EBA, EFCA, EIGE, Eiopa, EIT, Europeiska arbetsmyndigheten, EUDA, ETF, EUAA, eu-Lisa, Eurofound, Eurojust, Europol och EUSPA), och att tre av dem överskred 10 % (Berecbyrån, CdT och Eurojust). Parlamentet lovordar de byråer som har vidtagit riktade åtgärder för att förhindra en hög personalomsättning. Parlamentet betonar vikten av att alla byråer genomför åtgärder i syfte att förbättra hanteringen och bevarandet av talanger. Parlamentet räknar med att EUAN ska vara ett forum för sina medlemsbyråer när det gäller utbyte av god praxis och, där så är möjligt, verka för samordning i detta avseende. Parlamentet uppmanar kommissionen att aktivt stödja byråer i deras rekrytering av den expertis som behövs för att utföra deras uppdrag, och på så sätt uppmuntra ett närmare samarbete med universitet och andra relevanta institutioner.</w:t>
      </w:r>
    </w:p>
    <w:p w14:paraId="42DBE01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109.</w:t>
      </w:r>
      <w:r w:rsidRPr="005375B7">
        <w:rPr>
          <w:kern w:val="2"/>
          <w14:ligatures w14:val="standardContextual"/>
        </w:rPr>
        <w:tab/>
        <w:t>Europaparlamentet betonar att geografisk balans fortfarande är en utmaning för flera byråer och att en betydande andel av deras totala personal är medborgare i de medlemsstater där byråerna är belägna.</w:t>
      </w:r>
    </w:p>
    <w:p w14:paraId="0831D836"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110.</w:t>
      </w:r>
      <w:r w:rsidRPr="005375B7">
        <w:rPr>
          <w:kern w:val="2"/>
          <w14:ligatures w14:val="standardContextual"/>
        </w:rPr>
        <w:tab/>
        <w:t>Europaparlamentet är medvetet om att förmågan att locka till sig talanger och säkerställa en geografiskt diversifierad arbetsstyrka är kopplad till byråernas individuella särdrag (t.ex. plats, infrastruktur, skola, politikområde) samt till externa begränsande faktorer (t.ex. konkurrens med den privata sektorn, otrygga anställningar på grund av korttidskontrakt, låga korrigeringskoefficienter). Parlamentet noterar med uppskattning utifrån EUAN:s rapport om uppföljningen av ansvarsfriheten för 2021 de åtgärder som vidtagits av EUAN för att komma till rätta med bristen på attraktionskraft och förbättra representativiteten för byråernas personal när det gäller ålder, kön och geografiskt ursprung.</w:t>
      </w:r>
    </w:p>
    <w:p w14:paraId="7B404603"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t>111.</w:t>
      </w:r>
      <w:r w:rsidRPr="005375B7">
        <w:rPr>
          <w:kern w:val="2"/>
          <w14:ligatures w14:val="standardContextual"/>
        </w:rPr>
        <w:tab/>
        <w:t xml:space="preserve">Europaparlamentet påminner om att byråerna i länder med relativt låg korrigeringskoefficient står inför ständiga utmaningar när det gäller att locka kvalificerad och geografiskt diversifierad personal. Parlamentet uppmanar kommissionen att tillsammans med respektive medlemsstat analysera denna fråga och överväga att använda ekonomiska incitament för att bidra till att minska problemet. Parlamentet påminner dessutom om att korrigeringskoefficienten omsätter den allmänna </w:t>
      </w:r>
      <w:r w:rsidRPr="005375B7">
        <w:rPr>
          <w:kern w:val="2"/>
          <w14:ligatures w14:val="standardContextual"/>
        </w:rPr>
        <w:lastRenderedPageBreak/>
        <w:t>principen om likabehandling i praktiken.</w:t>
      </w:r>
    </w:p>
    <w:p w14:paraId="6BCADC58"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t>112.</w:t>
      </w:r>
      <w:r w:rsidRPr="005375B7">
        <w:rPr>
          <w:kern w:val="2"/>
          <w14:ligatures w14:val="standardContextual"/>
        </w:rPr>
        <w:tab/>
        <w:t>Europaparlamentet betonar att vissa byråer i stor utsträckning använder sig av externa konsulter, främst på IKT-området men även inom sina kärnverksamheter, som utgör en betydande del av deras driftsbudget (t.ex. Acer, ETF, Europeiska arbetsmyndigheten osv.). Parlamentet uppmanar alla byråer att prioritera fast anställd personal framför externa konsulter och kontraktsanställda, i syfte att garantera högkvalitativa arbetsvillkor och förhindra förlust av kunskap och erfarenheter. Parlamentet uppmanar dessutom byråerna att förhindra otrygga anställningar till följd av korttidskontrakt och prioritera långsiktig sysselsättning. Parlamentet efterlyser i detta avseende flexibilitet för byråerna att omvandla tjänster för utstationerade nationella experter till tjänster för tillfälligt anställda, för att säkerställa bevarande av sakkunskap, operativ funktion och driftskontinuitet. Parlamentet insisterar vidare på att man bör undvika att externalisera uppgifter till konsulter när det finns tillgänglig intern expertis.</w:t>
      </w:r>
    </w:p>
    <w:p w14:paraId="60741487"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113.</w:t>
      </w:r>
      <w:r w:rsidRPr="005375B7">
        <w:rPr>
          <w:kern w:val="2"/>
          <w14:ligatures w14:val="standardContextual"/>
        </w:rPr>
        <w:tab/>
        <w:t>Europaparlamentet erkänner de framsteg som gjorts inom byråerna för att uppnå en jämn könsfördelning bland personalen. Parlamentet efterlyser intensifierade insatser för att säkerställa en jämn könsfördelning på högre ledningsnivå och för att systematiskt integrera jämställdhet i alla politiska åtgärder, förfaranden och verksamheter inom byråerna.</w:t>
      </w:r>
    </w:p>
    <w:p w14:paraId="604462EC"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114.</w:t>
      </w:r>
      <w:r w:rsidRPr="005375B7">
        <w:rPr>
          <w:kern w:val="2"/>
          <w14:ligatures w14:val="standardContextual"/>
        </w:rPr>
        <w:tab/>
        <w:t>Europaparlamentet uppmanar byråerna att fastställa tydliga mål och tidsplaner för att uppnå en jämn könsfördelning och geografisk mångfald i den högsta ledningen och i beslutsfattande organ, och att systematiskt rapportera om framstegen.</w:t>
      </w:r>
    </w:p>
    <w:p w14:paraId="3A93D672" w14:textId="77777777" w:rsidR="005375B7" w:rsidRPr="005375B7" w:rsidRDefault="005375B7" w:rsidP="005375B7">
      <w:pPr>
        <w:widowControl/>
        <w:spacing w:after="240"/>
        <w:ind w:left="567" w:hanging="567"/>
        <w:rPr>
          <w:kern w:val="2"/>
          <w:szCs w:val="24"/>
          <w14:ligatures w14:val="standardContextual"/>
        </w:rPr>
      </w:pPr>
      <w:r w:rsidRPr="005375B7">
        <w:rPr>
          <w:kern w:val="2"/>
          <w14:ligatures w14:val="standardContextual"/>
        </w:rPr>
        <w:t>115.</w:t>
      </w:r>
      <w:r w:rsidRPr="005375B7">
        <w:rPr>
          <w:kern w:val="2"/>
          <w14:ligatures w14:val="standardContextual"/>
        </w:rPr>
        <w:tab/>
        <w:t>Europaparlamentet noterar att könsfördelningen förbättrades under 2023 jämfört med 2022 för högre chefer och mellanchefer </w:t>
      </w:r>
      <w:r w:rsidRPr="005375B7">
        <w:rPr>
          <w:kern w:val="2"/>
          <w:szCs w:val="24"/>
          <w:vertAlign w:val="superscript"/>
          <w14:ligatures w14:val="standardContextual"/>
        </w:rPr>
        <w:footnoteReference w:id="427"/>
      </w:r>
      <w:r w:rsidRPr="005375B7">
        <w:rPr>
          <w:kern w:val="2"/>
          <w14:ligatures w14:val="standardContextual"/>
        </w:rPr>
        <w:t xml:space="preserve"> och bland styrelseledamöterna </w:t>
      </w:r>
      <w:r w:rsidRPr="005375B7">
        <w:rPr>
          <w:kern w:val="2"/>
          <w:szCs w:val="24"/>
          <w:vertAlign w:val="superscript"/>
          <w14:ligatures w14:val="standardContextual"/>
        </w:rPr>
        <w:footnoteReference w:id="428"/>
      </w:r>
      <w:r w:rsidRPr="005375B7">
        <w:rPr>
          <w:kern w:val="2"/>
          <w14:ligatures w14:val="standardContextual"/>
        </w:rPr>
        <w:t>. Parlamentet noterar att den könsfördelning som rapporterades för personalen totalt </w:t>
      </w:r>
      <w:r w:rsidRPr="005375B7">
        <w:rPr>
          <w:kern w:val="2"/>
          <w:szCs w:val="24"/>
          <w:vertAlign w:val="superscript"/>
          <w14:ligatures w14:val="standardContextual"/>
        </w:rPr>
        <w:footnoteReference w:id="429"/>
      </w:r>
      <w:r w:rsidRPr="005375B7">
        <w:rPr>
          <w:kern w:val="2"/>
          <w14:ligatures w14:val="standardContextual"/>
        </w:rPr>
        <w:t xml:space="preserve"> sett inte ändrades. Parlamentet uppmuntrar Acer, Berecbyrån, Cedefop, ECDC, Echa, Efsa, Eiopa, EMCDDA, Emsa, Enisa, ERA, eu-Lisa, Europeiska arbetsmyndigheten, Europol, EUAA, EUSPA och Frontex att stödja kvinnor som söker ledande befattningar. Parlamentet upprepar sin uppmaning till kommissionen och medlemsstaterna att säkerställa en jämn könsfördelning när de nominerar och utser ledande befattningshavare och styrelseledamöter. Parlamentet påminner om byråernas ambition att göra gemensam sak med kommissionen så att en könsfördelning på 50 % på alla nivåer i kommissionens förvaltning uppnås före utgången av 2025. Parlamentet uppmanar byråerna att fortsätta att ta hänsyn till dessa aspekter</w:t>
      </w:r>
      <w:r w:rsidRPr="005375B7">
        <w:rPr>
          <w:kern w:val="2"/>
          <w14:ligatures w14:val="standardContextual"/>
        </w:rPr>
        <w:br/>
        <w:t>vid all framtida rekrytering av personal och att arbeta för en ytterligare förbättring av könsfördelningen på högre ledningsnivå.</w:t>
      </w:r>
    </w:p>
    <w:p w14:paraId="54969DAB"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t>116.</w:t>
      </w:r>
      <w:r w:rsidRPr="005375B7">
        <w:rPr>
          <w:kern w:val="2"/>
          <w14:ligatures w14:val="standardContextual"/>
        </w:rPr>
        <w:tab/>
        <w:t xml:space="preserve">Europaparlamentet uppmanar med kraft de decentraliserade byråerna att stärka jämställdhetspolitiken på alla nivåer och säkerställa lika möjligheter när det gäller rekrytering, karriärutveckling och arbetsvillkor för all personal. Parlamentet uppmuntrar alla byråer att anta och genomföra robusta strategier för mångfald och inkludering som främjar rättvisa och balans och säkerställer lika möjligheter och lika representation för kvinnor och minoriteter i ledande befattningar. Parlamentet uppmanar byråerna att </w:t>
      </w:r>
      <w:r w:rsidRPr="005375B7">
        <w:rPr>
          <w:kern w:val="2"/>
          <w14:ligatures w14:val="standardContextual"/>
        </w:rPr>
        <w:lastRenderedPageBreak/>
        <w:t>utveckla övergripande strategier för att bedöma framstegen och identifiera områden där förbättringar kan göras. Parlamentet påminner om att det kommer att bedöma efterlevnaden av dessa principer i det årliga ansvarsfrihetsförfarandet.</w:t>
      </w:r>
    </w:p>
    <w:p w14:paraId="312B833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117.</w:t>
      </w:r>
      <w:r w:rsidRPr="005375B7">
        <w:rPr>
          <w:kern w:val="2"/>
          <w14:ligatures w14:val="standardContextual"/>
        </w:rPr>
        <w:tab/>
        <w:t>Europaparlamentet noterar att alla byråer har infört åtgärder för att förbättra personalens välbefinnande på arbetsplatsen och balansen mellan arbetsliv och privatliv. Parlamentet noterar att antalet sådana åtgärder och deras inverkan i hög grad varierar från en byrå till en annan och att det inte verkar finnas någon gemensam referensram mellan byråerna. Parlamentet uppmanar EUAN att samordna insatserna för att utveckla en gemensam referensram i detta avseende. Parlamentet noterar med tillfredsställelse att en stor majoritet av byråerna har infört åtgärder för integrering av personer med funktionsnedsättning. Parlamentet uppmuntrar byråerna att upprätthålla god praxis för personalens välbefinnande, inkludering och integrering av personer med funktionsnedsättning och att fortsätta att ta itu med balansen mellan arbete och privatliv samt livslångt lärande och karriärutveckling. Parlamentet betonar vikten av att intensifiera insatserna för att uppnå en jämn könsfördelning och geografisk balans bland institutionell personal och högre chefer. Parlamentet understryker den värdefulla roll som utbyte av bästa praxis kan spela när det gäller personalförvaltning. Parlamentet uppmanar byråerna att tillhandahålla relevant och regelbunden utbildning för sin personal.</w:t>
      </w:r>
    </w:p>
    <w:p w14:paraId="6D5488A6" w14:textId="77777777" w:rsidR="005375B7" w:rsidRPr="005375B7" w:rsidRDefault="005375B7" w:rsidP="005375B7">
      <w:pPr>
        <w:spacing w:after="240"/>
        <w:ind w:left="567" w:hanging="567"/>
        <w:rPr>
          <w:kern w:val="2"/>
          <w:szCs w:val="24"/>
          <w14:ligatures w14:val="standardContextual"/>
        </w:rPr>
      </w:pPr>
      <w:r w:rsidRPr="005375B7">
        <w:rPr>
          <w:kern w:val="2"/>
          <w14:ligatures w14:val="standardContextual"/>
        </w:rPr>
        <w:t>118.</w:t>
      </w:r>
      <w:r w:rsidRPr="005375B7">
        <w:rPr>
          <w:kern w:val="2"/>
          <w14:ligatures w14:val="standardContextual"/>
        </w:rPr>
        <w:tab/>
        <w:t>Europaparlamentet uppmuntrar alla byråer att genomföra en policy för att skydda den personliga värdigheten och förebygga psykiska och sexuella trakasserier och att delta i den byråövergripande arbetsgruppen för konfidentiella rådgivare. Parlamentet begär i detta avseende att det införs obligatorisk utbildning i förebyggande åtgärder mot trakasserier som ska följas av anställda vid EU:s byråer. Parlamentet noterar med oro att Enisa, enligt svaren på det standardiserade frågeformuläret, meddelade den ansvarsfrihetsbeviljande myndigheten att två administrativa utredningar av påstådda trakasserier pågick under 2023. Enisa informerade dessutom om att en av dem avslutades 2024 efter att ha mottagit en slutrapport från Olaf. Parlamentet förväntar sig att byrån noggrant följer upp de pågående ärendena och inför kraftfulla åtgärder för att förhindra eventuella framtida liknande fall. Parlamentet uppmanar byråerna att via uppföljningsrapporten regelbundet rapportera om framstegen på detta område.</w:t>
      </w:r>
    </w:p>
    <w:p w14:paraId="5F0B3BB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119.</w:t>
      </w:r>
      <w:r w:rsidRPr="005375B7">
        <w:rPr>
          <w:kern w:val="2"/>
          <w14:ligatures w14:val="standardContextual"/>
        </w:rPr>
        <w:tab/>
        <w:t>Europaparlamentet konstaterar att upplevda intressekonflikter kan utgöra en anseenderisk för byrån och bör tas itu med, även om de visar sig vara ogrundade.</w:t>
      </w:r>
    </w:p>
    <w:p w14:paraId="4CFDEB03" w14:textId="77777777" w:rsidR="005375B7" w:rsidRPr="005375B7" w:rsidRDefault="005375B7" w:rsidP="005375B7">
      <w:pPr>
        <w:spacing w:after="240"/>
        <w:ind w:left="567" w:hanging="567"/>
        <w:rPr>
          <w:kern w:val="2"/>
          <w:szCs w:val="24"/>
          <w14:ligatures w14:val="standardContextual"/>
        </w:rPr>
      </w:pPr>
      <w:r w:rsidRPr="005375B7">
        <w:rPr>
          <w:kern w:val="2"/>
          <w:szCs w:val="24"/>
          <w14:ligatures w14:val="standardContextual"/>
        </w:rPr>
        <w:t>120.</w:t>
      </w:r>
      <w:r w:rsidRPr="005375B7">
        <w:rPr>
          <w:kern w:val="2"/>
          <w:szCs w:val="24"/>
          <w14:ligatures w14:val="standardContextual"/>
        </w:rPr>
        <w:tab/>
        <w:t>Europaparlamentet uppmanar med kraft alla byråer att ytterligare stärka förebyggandet och hanteringen av intressekonflikter, inbegripet systematiska intresseförklaringar från högsta ledningen, externa experter och styrelseledamöter, som offentliggörs på ett proaktivt och tillgängligt sätt.</w:t>
      </w:r>
    </w:p>
    <w:p w14:paraId="442DB9A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121.</w:t>
      </w:r>
      <w:r w:rsidRPr="005375B7">
        <w:rPr>
          <w:kern w:val="2"/>
          <w14:ligatures w14:val="standardContextual"/>
        </w:rPr>
        <w:tab/>
        <w:t>Europaparlamentet understryker vikten av att skydda EU-byråernas oberoende från otillbörlig påverkan från industrin för att upprätthålla allmänhetens förtroende för deras beslutsfattande. Parlamentet uttrycker oro över brister i lagstiftningen och potentiella intressekonflikter inom vissa byråer. Parlamentet framhåller problem som rör nära band till industrin och rapporter om otillbörlig påverkan, särskilt genom svängdörrsproblematik mellan offentliga institutioner och privata företag. Parlamentet betonar behovet av större transparens, starkare tillsynsmekanismer och ett fast åtagande att prioritera folkhälsa och säkerhet framför ekonomiska intressen.</w:t>
      </w:r>
    </w:p>
    <w:p w14:paraId="2937A37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lastRenderedPageBreak/>
        <w:t>122.</w:t>
      </w:r>
      <w:r w:rsidRPr="005375B7">
        <w:rPr>
          <w:kern w:val="2"/>
          <w14:ligatures w14:val="standardContextual"/>
        </w:rPr>
        <w:tab/>
        <w:t>Europaparlamentet noterar att revisionsrätten inte rapporterade några större fall av intressekonflikter för 2023, med undantag för Frontex och EMCDDA.</w:t>
      </w:r>
    </w:p>
    <w:p w14:paraId="5686F2BB"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123.</w:t>
      </w:r>
      <w:r w:rsidRPr="005375B7">
        <w:rPr>
          <w:kern w:val="2"/>
          <w14:ligatures w14:val="standardContextual"/>
        </w:rPr>
        <w:tab/>
        <w:t>Europaparlamentet anser att de flesta byråer för närvarande har robusta och omfattande förfaranden för att öka medvetenheten och förebygga intressekonflikter, vilket ger berörda parter och allmänheten den försäkran om personalens oberoende som krävs.</w:t>
      </w:r>
    </w:p>
    <w:p w14:paraId="121ADC5C" w14:textId="54459237" w:rsidR="005375B7" w:rsidRPr="005375B7" w:rsidRDefault="005375B7" w:rsidP="005375B7">
      <w:pPr>
        <w:spacing w:after="240"/>
        <w:ind w:left="567" w:hanging="567"/>
        <w:rPr>
          <w:kern w:val="2"/>
          <w14:ligatures w14:val="standardContextual"/>
        </w:rPr>
      </w:pPr>
      <w:r w:rsidRPr="005375B7">
        <w:rPr>
          <w:kern w:val="2"/>
          <w14:ligatures w14:val="standardContextual"/>
        </w:rPr>
        <w:t>124.</w:t>
      </w:r>
      <w:r w:rsidRPr="005375B7">
        <w:rPr>
          <w:kern w:val="2"/>
          <w14:ligatures w14:val="standardContextual"/>
        </w:rPr>
        <w:tab/>
        <w:t>Europaparlamentet noterar med tillfredsställelse det starka samarbetet med byråerna för rättsliga och inrikes frågor, särskilt ingåendet av ett nytt samarbetsavtal med Europeiska byrån för bedrägeribekämpning (Olaf), inledandet av 15 nya ärenden där Eurojust stödde Europeiska åklagarmyndigheten (Eppo) samt samarbetet i 42 ärenden med Europeiska unionens byrå för samarbete inom brottsbekämpning (Europol), och betonar att Eurojust och Europol inledde ett pilotprojekt för systematiskt och strukturellt utbyte av uppgifter i syfte att upptäcka kopplingar, vilket kommer att ses över under första halvåret 2024. Parlamentet välkomnar Eurojusts och Olafs handlingsplan 2022</w:t>
      </w:r>
      <w:r>
        <w:rPr>
          <w:kern w:val="2"/>
          <w14:ligatures w14:val="standardContextual"/>
        </w:rPr>
        <w:t>-</w:t>
      </w:r>
      <w:r w:rsidRPr="005375B7">
        <w:rPr>
          <w:kern w:val="2"/>
          <w14:ligatures w14:val="standardContextual"/>
        </w:rPr>
        <w:t>2023 för att bekämpa brott som skadar EU:s ekonomiska intressen.</w:t>
      </w:r>
    </w:p>
    <w:p w14:paraId="2B846288" w14:textId="77777777" w:rsidR="005375B7" w:rsidRPr="005375B7" w:rsidRDefault="005375B7" w:rsidP="005375B7">
      <w:pPr>
        <w:spacing w:after="240"/>
        <w:ind w:left="567" w:hanging="567"/>
        <w:rPr>
          <w:b/>
          <w:iCs/>
          <w:kern w:val="2"/>
          <w14:ligatures w14:val="standardContextual"/>
        </w:rPr>
      </w:pPr>
      <w:r w:rsidRPr="005375B7">
        <w:rPr>
          <w:b/>
          <w:iCs/>
          <w:kern w:val="2"/>
          <w14:ligatures w14:val="standardContextual"/>
        </w:rPr>
        <w:t>Internkontroll</w:t>
      </w:r>
    </w:p>
    <w:p w14:paraId="10C4BC39"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125.</w:t>
      </w:r>
      <w:r w:rsidRPr="005375B7">
        <w:rPr>
          <w:kern w:val="2"/>
          <w14:ligatures w14:val="standardContextual"/>
        </w:rPr>
        <w:tab/>
        <w:t>Europaparlamentet noterar med oro revisionsrättens iakttagelser på området förvaltnings- och kontrollsystem som berör nio byråer, nämligen EMA, Europol, EUSPA, Eurofound, EIT, Eurojust, Acer, Enisa och EEA.</w:t>
      </w:r>
    </w:p>
    <w:p w14:paraId="66758EC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126.</w:t>
      </w:r>
      <w:r w:rsidRPr="005375B7">
        <w:rPr>
          <w:kern w:val="2"/>
          <w14:ligatures w14:val="standardContextual"/>
        </w:rPr>
        <w:tab/>
        <w:t>Europaparlamentet betonar att när det gäller Europol och EIT ledde två av tre iakttagelser till oriktiga betalningar under 2023.</w:t>
      </w:r>
    </w:p>
    <w:p w14:paraId="46F256DB"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127.</w:t>
      </w:r>
      <w:r w:rsidRPr="005375B7">
        <w:rPr>
          <w:kern w:val="2"/>
          <w14:ligatures w14:val="standardContextual"/>
        </w:rPr>
        <w:tab/>
        <w:t>Europaparlamentet påminner om att revisionsrätten 2022 konstaterade att Europol felaktigt hade återbetalat mervärdesskatt genom bidrag till offentliga myndigheter genom att betrakta det som stödberättigande kostnader och att 2023 uppgick ersättningen för detta koncept till 279 900 EUR. Parlamentet välkomnar Europols beslut att inte längre betrakta mervärdesskatt som en stödberättigande kostnad för nya driftsbidrag.</w:t>
      </w:r>
    </w:p>
    <w:p w14:paraId="59FAFA1B"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128.</w:t>
      </w:r>
      <w:r w:rsidRPr="005375B7">
        <w:rPr>
          <w:kern w:val="2"/>
          <w14:ligatures w14:val="standardContextual"/>
        </w:rPr>
        <w:tab/>
        <w:t>Europaparlamentet noterar att när det gäller EIT utgör en av iakttagelserna grunden för ett uttalande med reservation om lagligheten och korrektheten i de betalningar som ligger till grund för räkenskaperna, vilket har beskrivits under rubriken ”Översikt över granskningsresultaten” i denna resolution.</w:t>
      </w:r>
    </w:p>
    <w:p w14:paraId="0C59C2E4"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129.</w:t>
      </w:r>
      <w:r w:rsidRPr="005375B7">
        <w:rPr>
          <w:kern w:val="2"/>
          <w14:ligatures w14:val="standardContextual"/>
        </w:rPr>
        <w:tab/>
        <w:t>Europaparlamentet är bekymrat över att revisionsrättens andra iakttagelse om EIT avser byråns övergång till en flerårig bidragsavtalsstruktur, men att förfaranden och riktlinjer för efterhandskontroller av bidragsbetalningar inte har uppdaterats för att ta hänsyn till konsekvenserna. Parlamentet välkomnar att EIT redan håller på att uppdatera sin mekanism för efterhandskontroll för att hantera dessa konsekvenser.</w:t>
      </w:r>
    </w:p>
    <w:p w14:paraId="6A965993"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130.</w:t>
      </w:r>
      <w:r w:rsidRPr="005375B7">
        <w:rPr>
          <w:kern w:val="2"/>
          <w14:ligatures w14:val="standardContextual"/>
        </w:rPr>
        <w:tab/>
        <w:t>Europaparlamentet är medvetet om att EMA under det första kvartalet 2023 genomförde en datamigrering men inte respekterade tidsfristerna för 48 veterinärinspektioner, vilket ledde till betydande fakturaförseningar som inte rapporterats i registret över undantag och felaktigt bokförda inkomster. Parlamentet noterar att detta strider mot EMA:s budgetförordning och visar på en svaghet i dess förvaltnings- och kontrollsystem. Parlamentet noterar EMA:s mål att förbättra processen i samband med genomförandet av den nya avgiftsförordningen.</w:t>
      </w:r>
    </w:p>
    <w:p w14:paraId="24F757D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lastRenderedPageBreak/>
        <w:t>131.</w:t>
      </w:r>
      <w:r w:rsidRPr="005375B7">
        <w:rPr>
          <w:kern w:val="2"/>
          <w14:ligatures w14:val="standardContextual"/>
        </w:rPr>
        <w:tab/>
        <w:t>Europaparlamentet noterar att Eurofound har gjort en betalning på 38 600 EUR med koppling till ett kontrakt för att bedöma kvaliteten hos undersökningsuppgifter utan att samla in vissa viktiga styrkande handlingar som rör de avtalsenliga resultaten.</w:t>
      </w:r>
    </w:p>
    <w:p w14:paraId="3FF08042"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132.</w:t>
      </w:r>
      <w:r w:rsidRPr="005375B7">
        <w:rPr>
          <w:kern w:val="2"/>
          <w14:ligatures w14:val="standardContextual"/>
        </w:rPr>
        <w:tab/>
        <w:t>Europaparlamentet noterar att Eurojust under 2023 observerade en ökning av atypiska transaktioner som klassificeras som undantag eller fall av bristande efterlevnad, där antalet ökade från 43 till 71 och det totala berörda beloppet ökade från 294 000 EUR till 566 400 EUR jämfört med 2022. Parlamentet noterar Eurojusts svar på iakttagelsen att merparten av de totala fallen av bristande efterlevnad under 2023 berodde på ett enda fall som avsåg ett bidrag till en gemensam utredningsgrupp. Parlamentet noterar att enligt byrån beror ökningen främst på otillräckliga personalresurser och ineffektivitet i de interna processerna, och välkomnar att Eurojust har åtgärdat problemet genom att se över det nuvarande förfarandet för registrering och rapportering av fall av bristande efterlevnad under 2024.</w:t>
      </w:r>
    </w:p>
    <w:p w14:paraId="08753893"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133.</w:t>
      </w:r>
      <w:r w:rsidRPr="005375B7">
        <w:rPr>
          <w:kern w:val="2"/>
          <w14:ligatures w14:val="standardContextual"/>
        </w:rPr>
        <w:tab/>
        <w:t>Europaparlamentet noterar att EUSPA:s verkställande direktör hade bekräftat att övervakningsverksamheten hade inletts i ett tidigt skede innan ett bidragsavtal undertecknades, vilket resulterade i verksamhet som genomfördes utan något budgetåtagande. Parlamentet betonar att detta inte rapporterades i undantagsregistret eller den årliga verksamhetsrapporten, vilket strider mot budgetförordningen. Parlamentet noterar att EUSPA hävdar att det inte fanns något behov av att registrera den tidiga starten av verksamheten utan ett budgetåtagande i undantagsregistret, men byrån medger att fallet inte rapporterades i den årliga verksamhetsrapporten enligt vad som krävs.</w:t>
      </w:r>
    </w:p>
    <w:p w14:paraId="140815A7"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134.</w:t>
      </w:r>
      <w:r w:rsidRPr="005375B7">
        <w:rPr>
          <w:kern w:val="2"/>
          <w14:ligatures w14:val="standardContextual"/>
        </w:rPr>
        <w:tab/>
        <w:t>Europaparlamentet noterar Acers utnämning av en ny räkenskapsförare, som också var gruppledare för avdelningen för budget, ekonomi och upphandling, i strid med Acers budgetförordning som kräver åtskillnad mellan funktionerna som utanordnare och räkenskapsförare. Parlamentet konstaterar att från och med den 1 maj 2024 genomfördes en omorganisation och att gruppledaren för budget-, ekonomi- och upphandlingsgruppen har befriats från sina funktioner som gruppledare.</w:t>
      </w:r>
    </w:p>
    <w:p w14:paraId="15336EA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135.</w:t>
      </w:r>
      <w:r w:rsidRPr="005375B7">
        <w:rPr>
          <w:kern w:val="2"/>
          <w14:ligatures w14:val="standardContextual"/>
        </w:rPr>
        <w:tab/>
        <w:t>Europaparlamentet noterar att Enisas verkställande direktör i september 2023 tillät 15 tillfälliga arbetstagare att ta på sig roller i ekonomihanteringsprocessen utan förhandsgodkännande, vilket strider mot bestämmelserna. Parlamentet är medvetet om att Enisa enligt byråns svar har använt tillfälliga arbetstagare och utstationerade nationella experter på grund av verksamhetsbehov och resursbrist, och kommer att försöka få undantag från de finansiella reglerna om resursbristen kvarstår.</w:t>
      </w:r>
    </w:p>
    <w:p w14:paraId="7127CA7C"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136.</w:t>
      </w:r>
      <w:r w:rsidRPr="005375B7">
        <w:rPr>
          <w:kern w:val="2"/>
          <w14:ligatures w14:val="standardContextual"/>
        </w:rPr>
        <w:tab/>
        <w:t>Europaparlamentet noterar vidare att Enisas räkenskapsförare också utsågs till samordnare för intern kontroll, i strid med bestämmelserna som föreskriver åtskillnad mellan funktioner. Parlamentet konstaterar att Enisa har noterat iakttagelsen men att byrån anser att rollerna som samordnare för intern kontroll och räkenskapsförare inte nödvändigtvis är oförenliga eftersom utanordnaren inte hade delegerat några befogenheter till samordnaren för intern kontroll. Parlamentet välkomnar att Enisa kommer att klargöra rollerna och ansvarsområdena för samordnaren för intern kontroll i sina interna processer. Parlamentet begär att Europaparlamentet informeras om framsteg i detta avseende före den 30 juni 2025.</w:t>
      </w:r>
    </w:p>
    <w:p w14:paraId="1E8FF98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137.</w:t>
      </w:r>
      <w:r w:rsidRPr="005375B7">
        <w:rPr>
          <w:kern w:val="2"/>
          <w14:ligatures w14:val="standardContextual"/>
        </w:rPr>
        <w:tab/>
        <w:t xml:space="preserve">Europaparlamentet konstaterar att EEA godkände bidrag i form av betalningar av standardbelopp utan att kunna visa hur beloppet beräknades, vilket innebar en risk som </w:t>
      </w:r>
      <w:r w:rsidRPr="005375B7">
        <w:rPr>
          <w:kern w:val="2"/>
          <w14:ligatures w14:val="standardContextual"/>
        </w:rPr>
        <w:lastRenderedPageBreak/>
        <w:t>inte stod i proportion till de tjänster som tillhandahölls. Parlamentet noterar att EEA anser att det skriftliga beslutet om betalningen av ett standardbelopp är helt förenligt med de relevanta bestämmelserna i budgetförordningen. Parlamentet betonar att byrån kommer att se till att standardbelopp fastställs och dokumenteras korrekt i fall där kostnader redovisas av partner i Europeiska ämnescentrum som är enmansföretag/egenföretagare </w:t>
      </w:r>
      <w:r w:rsidRPr="005375B7">
        <w:rPr>
          <w:kern w:val="2"/>
          <w:vertAlign w:val="superscript"/>
          <w14:ligatures w14:val="standardContextual"/>
        </w:rPr>
        <w:footnoteReference w:id="430"/>
      </w:r>
      <w:r w:rsidRPr="005375B7">
        <w:rPr>
          <w:kern w:val="2"/>
          <w14:ligatures w14:val="standardContextual"/>
        </w:rPr>
        <w:t>.</w:t>
      </w:r>
    </w:p>
    <w:p w14:paraId="1463601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138.</w:t>
      </w:r>
      <w:r w:rsidRPr="005375B7">
        <w:rPr>
          <w:kern w:val="2"/>
          <w14:ligatures w14:val="standardContextual"/>
        </w:rPr>
        <w:tab/>
        <w:t>Europaparlamentet noterar att EEA lade ut finansiella förhandskontroller på entreprenad till en extern uppdragstagare och att revisionsrätten fann brister i kontrollarrangemangen. Parlamentet noterar att EEA som svar på detta noterade revisionsrättens iakttagelse och kommer att uppdatera förfarandena för förhandskontroller för att säkerställa att denna risk hanteras.</w:t>
      </w:r>
    </w:p>
    <w:p w14:paraId="436B36B7"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139.</w:t>
      </w:r>
      <w:r w:rsidRPr="005375B7">
        <w:rPr>
          <w:kern w:val="2"/>
          <w14:ligatures w14:val="standardContextual"/>
        </w:rPr>
        <w:tab/>
        <w:t>Europaparlamentet uppmanar byråerna att omgående och systematiskt genomföra revisionsrättens iakttagelser och vidta konkreta korrigerande åtgärder för att ta itu med identifierade brister i ramen för intern kontroll. Parlamentet efterlyser vidtagandet av strängare åtgärder för ansvarsskyldighet som säkerställer att eventuella bestående brister leder till riktade korrigerande åtgärder och konsekvenser vid upprepad bristande efterlevnad.</w:t>
      </w:r>
    </w:p>
    <w:p w14:paraId="031EDFD4" w14:textId="77777777" w:rsidR="005375B7" w:rsidRPr="005375B7" w:rsidRDefault="005375B7" w:rsidP="005375B7">
      <w:pPr>
        <w:spacing w:after="240"/>
        <w:ind w:left="567" w:hanging="567"/>
        <w:rPr>
          <w:iCs/>
          <w:kern w:val="2"/>
          <w14:ligatures w14:val="standardContextual"/>
        </w:rPr>
      </w:pPr>
      <w:r w:rsidRPr="005375B7">
        <w:rPr>
          <w:b/>
          <w:iCs/>
          <w:kern w:val="2"/>
          <w14:ligatures w14:val="standardContextual"/>
        </w:rPr>
        <w:t>Cybersäkerhet, etik och transparens</w:t>
      </w:r>
    </w:p>
    <w:p w14:paraId="527D773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140.</w:t>
      </w:r>
      <w:r w:rsidRPr="005375B7">
        <w:rPr>
          <w:kern w:val="2"/>
          <w14:ligatures w14:val="standardContextual"/>
        </w:rPr>
        <w:tab/>
        <w:t>Europaparlamentet uppmärksammar behovet av att vidta alla nödvändiga säkerhetsåtgärder för att skydda den behandlade informationens onlineintegritet, och insisterar på att öka byråernas motståndskraft mot cyberattacker eller infiltrationsförsök, särskilt med ursprung i Ryssland eller andra tredjeländer. Parlamentet understryker att gemensam upphandling på detta område mellan byråerna skulle kunna leda till minskade finansiella kostnader och bättre resultat.</w:t>
      </w:r>
    </w:p>
    <w:p w14:paraId="325389D2"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141.</w:t>
      </w:r>
      <w:r w:rsidRPr="005375B7">
        <w:rPr>
          <w:kern w:val="2"/>
          <w14:ligatures w14:val="standardContextual"/>
        </w:rPr>
        <w:tab/>
        <w:t>Europaparlamentet välkomnar FRA:s samarbete med Europeiska unionens cybersäkerhetsbyrå (Enisa) för att skydda integritet och dataskydd under hela utvecklingen och genomförandet av cybersäkerhetsinitiativ, och med eu-Lisa för att garantera att utformningen och användningen av it-system överensstämmer med standarder för grundläggande rättigheter.</w:t>
      </w:r>
    </w:p>
    <w:p w14:paraId="49DB0C0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142.</w:t>
      </w:r>
      <w:r w:rsidRPr="005375B7">
        <w:rPr>
          <w:kern w:val="2"/>
          <w14:ligatures w14:val="standardContextual"/>
        </w:rPr>
        <w:tab/>
        <w:t>Europaparlamentet konstaterar att EU:s decentraliserade byråer har inrättat olika mekanismer för att hantera transparens och lobbyverksamhet inom sina respektive politikområden. Parlamentet understryker dock att byråerna enligt revisionsrätten inte alltid lyckas uppnå tillfredsställande nivåer av transparens och valuta för pengarna i upphandlingar med komplexa upphandlingsregler och upphandlingsförfaranden </w:t>
      </w:r>
      <w:r w:rsidRPr="005375B7">
        <w:rPr>
          <w:kern w:val="2"/>
          <w:vertAlign w:val="superscript"/>
          <w14:ligatures w14:val="standardContextual"/>
        </w:rPr>
        <w:footnoteReference w:id="431"/>
      </w:r>
      <w:r w:rsidRPr="005375B7">
        <w:rPr>
          <w:kern w:val="2"/>
          <w14:ligatures w14:val="standardContextual"/>
        </w:rPr>
        <w:t>. Parlamentet noterar med oro de kvarstående problemen med transparens som i sin tur påverkar samstämmigheten, effektiviteten och framför allt ansvarsskyldigheten.</w:t>
      </w:r>
    </w:p>
    <w:p w14:paraId="7369B1CC"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143.</w:t>
      </w:r>
      <w:r w:rsidRPr="005375B7">
        <w:rPr>
          <w:kern w:val="2"/>
          <w14:ligatures w14:val="standardContextual"/>
        </w:rPr>
        <w:tab/>
        <w:t xml:space="preserve">Europaparlamentet framhåller de positiva framstegen med att genomföra målen för </w:t>
      </w:r>
      <w:r w:rsidRPr="005375B7">
        <w:rPr>
          <w:kern w:val="2"/>
          <w14:ligatures w14:val="standardContextual"/>
        </w:rPr>
        <w:lastRenderedPageBreak/>
        <w:t>grundläggande rättigheter, inbegripet det pågående genomförandet av handlingsplanen för grundläggande rättigheter och den oberoende utvärderingen av byråns efterlevnad av ramen för grundläggande rättigheter, i linje med förordningen om den europeiska gräns- och kustbevakningen. Parlamentet välkomnar Frontex proaktiva uppföljning av klagomål som rör grundläggande rättigheter, där majoriteten avvisades på grund av att de inte kunde tas upp till prövning. Parlamentet välkomnar Frontex förstärkta engagemang för transparens och ansvarsskyldighet.</w:t>
      </w:r>
    </w:p>
    <w:p w14:paraId="38D6DAF7"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144.</w:t>
      </w:r>
      <w:r w:rsidRPr="005375B7">
        <w:rPr>
          <w:kern w:val="2"/>
          <w14:ligatures w14:val="standardContextual"/>
        </w:rPr>
        <w:tab/>
        <w:t>Europaparlamentet betonar att för att uppnå full tydlighet och transparens och i linje med revisionsrättens iakttagelse bör byråer som har egna inkomster offentliggöra samma information på ett lättförståeligt sätt i sina slutliga årsredovisningar, konsoliderade årliga verksamhetsrapporter och samlade programdokument, eftersom dessa rapporter tjänar olika syften.</w:t>
      </w:r>
    </w:p>
    <w:p w14:paraId="259B1950"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145.</w:t>
      </w:r>
      <w:r w:rsidRPr="005375B7">
        <w:rPr>
          <w:kern w:val="2"/>
          <w14:ligatures w14:val="standardContextual"/>
        </w:rPr>
        <w:tab/>
        <w:t>Europaparlamentet noterar vidare att Frontex under 2023 vägrade att ge allmänheten tillgång till en rapport från dess ombud för grundläggande rättigheter om en Frontexinsats i Albanien (ärende 652/2023/VB), vilket ledde till en utredning av ombudsmannen. Ombudsmannen ansåg att Frontex borde ha gett tillgång till vissa delar av rapporten och välkomnar att Frontex godtog ombudsmannens förslag till en lösning.</w:t>
      </w:r>
    </w:p>
    <w:p w14:paraId="4A26D4E6"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146.</w:t>
      </w:r>
      <w:r w:rsidRPr="005375B7">
        <w:rPr>
          <w:kern w:val="2"/>
          <w14:ligatures w14:val="standardContextual"/>
        </w:rPr>
        <w:tab/>
        <w:t>Europaparlamentet beklagar att tillämpningen av öppenhetsregistret på externa kontakter inte är obligatorisk för de decentraliserade byråerna. Parlamentet noterar dock att enligt det interinstitutionella avtalet av den 20 maj 2021 </w:t>
      </w:r>
      <w:r w:rsidRPr="005375B7">
        <w:rPr>
          <w:kern w:val="2"/>
          <w:vertAlign w:val="superscript"/>
          <w14:ligatures w14:val="standardContextual"/>
        </w:rPr>
        <w:footnoteReference w:id="432"/>
      </w:r>
      <w:r w:rsidRPr="005375B7">
        <w:rPr>
          <w:kern w:val="2"/>
          <w14:ligatures w14:val="standardContextual"/>
        </w:rPr>
        <w:t xml:space="preserve"> mellan Europaparlamentet, Europeiska unionens råd och kommissionen om ett obligatoriskt öppenhetsregister har byråerna möjlighet att använda öppenhetsregistret på frivillig basis.</w:t>
      </w:r>
    </w:p>
    <w:p w14:paraId="4EC2564B"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147.</w:t>
      </w:r>
      <w:r w:rsidRPr="005375B7">
        <w:rPr>
          <w:kern w:val="2"/>
          <w14:ligatures w14:val="standardContextual"/>
        </w:rPr>
        <w:tab/>
        <w:t>Europaparlamentet uppmuntrar alla byråer att utnyttja denna frivilliga möjlighet och följa eu-Lisas och Frontex exempel, som är de enda två byråer som kräver att tredje parters externa kontakter registrerar sig i öppenhetsregistret.</w:t>
      </w:r>
    </w:p>
    <w:p w14:paraId="107553D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148.</w:t>
      </w:r>
      <w:r w:rsidRPr="005375B7">
        <w:rPr>
          <w:kern w:val="2"/>
          <w14:ligatures w14:val="standardContextual"/>
        </w:rPr>
        <w:tab/>
        <w:t>Europaparlamentet betonar att användningen av öppenhetsregistret främjas och uppmuntras av undertecknarna av det interinstitutionella avtalet. Parlamentet påminner om den starka uppmaningen till alla decentraliserade byråer att fullt ut utnyttja registret.</w:t>
      </w:r>
    </w:p>
    <w:p w14:paraId="001D20DE"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149.</w:t>
      </w:r>
      <w:r w:rsidRPr="005375B7">
        <w:rPr>
          <w:kern w:val="2"/>
          <w14:ligatures w14:val="standardContextual"/>
        </w:rPr>
        <w:tab/>
        <w:t>Europaparlamentet noterar att eu-Lisa fokuserade på cybersäkerhet och bekämpning av hot på cyberområdet, särskilt genom att göra nödvändiga förberedelser för de skyldigheter som följer av unionens nya förordningar om informationssäkerhet och cybersäkerhet. Parlamentet betonar att eu-Lisa driver och upprätthåller en plattform för säkerhetsövervakning, en plan för cybersäkerhetsincidenter, beredskapsplaner och arrangemang för ständig beredskap för att säkerställa snabb identifiering av och reaktion på cyberhot. Parlamentet välkomnar eu-Lisas roll när det gäller att stödja cybersäkerhetsövningar mellan byråerna i samarbete med RIF-byråernas nätverk </w:t>
      </w:r>
      <w:r w:rsidRPr="005375B7">
        <w:rPr>
          <w:kern w:val="2"/>
          <w:szCs w:val="24"/>
          <w:vertAlign w:val="superscript"/>
          <w14:ligatures w14:val="standardContextual"/>
        </w:rPr>
        <w:footnoteReference w:id="433"/>
      </w:r>
      <w:r w:rsidRPr="005375B7">
        <w:rPr>
          <w:kern w:val="2"/>
          <w14:ligatures w14:val="standardContextual"/>
        </w:rPr>
        <w:t xml:space="preserve">. Parlamentet understryker vikten av att decentraliserade byråer har full förmåga att försvara sig mot cyberattacker. Parlamentet uppmuntrar till ett närmare samarbete </w:t>
      </w:r>
      <w:r w:rsidRPr="005375B7">
        <w:rPr>
          <w:kern w:val="2"/>
          <w14:ligatures w14:val="standardContextual"/>
        </w:rPr>
        <w:lastRenderedPageBreak/>
        <w:t>mellan eu-Lisa och de andra byråerna för att bygga upp ett mer motståndskraftigt och kollektivt svar på it-brottslighet. Europaparlamentet betonar i detta avseende vikten av att stärka cybersäkerhetsåtgärderna vid alla byråer, mot bakgrund av de ökande riskerna för cyberhot och dataintrång. Parlamentet efterlyser ytterligare investeringar i säker it-infrastruktur och cybersäkerhetsutbildning för byråns personal. Parlamentet uppmanar med kraft byråerna att lämna in en årlig rapport om bedömningen av cybersäkerhetsrisker till parlamentet och revisionsrätten.</w:t>
      </w:r>
    </w:p>
    <w:p w14:paraId="78829101"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150.</w:t>
      </w:r>
      <w:r w:rsidRPr="005375B7">
        <w:rPr>
          <w:kern w:val="2"/>
          <w14:ligatures w14:val="standardContextual"/>
        </w:rPr>
        <w:tab/>
        <w:t>Europaparlamentet uppmanar med kraft Frontex att utan dröjsmål säkerställa ett fullständigt genomförande av alla rekommendationer från europeiska revisions- och granskningsorgan, särskilt Olaf och de från Europaparlamentets arbetsgrupp för granskning av Frontex, Europeiska ombudsmannen, revisionsrätten och Frontex arbetsgrupp för grundläggande rättigheter och rättsliga operativa aspekter av insatser (FRaLO-arbetsgruppen).</w:t>
      </w:r>
    </w:p>
    <w:p w14:paraId="4401C196"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151.</w:t>
      </w:r>
      <w:r w:rsidRPr="005375B7">
        <w:rPr>
          <w:kern w:val="2"/>
          <w14:ligatures w14:val="standardContextual"/>
        </w:rPr>
        <w:tab/>
        <w:t>Europaparlamentet konstaterar att alla byråer har en policy för visselblåsare. Parlamentet uppmanar alla byråer att se till att de har särskilda, säkra och effektiva rapporteringskanaler i linje med de relevanta kraven i Europaparlamentet och rådets direktiv (EU) 2019/1937 </w:t>
      </w:r>
      <w:r w:rsidRPr="005375B7">
        <w:rPr>
          <w:kern w:val="2"/>
          <w:vertAlign w:val="superscript"/>
          <w14:ligatures w14:val="standardContextual"/>
        </w:rPr>
        <w:footnoteReference w:id="434"/>
      </w:r>
      <w:r w:rsidRPr="005375B7">
        <w:rPr>
          <w:kern w:val="2"/>
          <w14:ligatures w14:val="standardContextual"/>
        </w:rPr>
        <w:t xml:space="preserve"> om visselblåsning.</w:t>
      </w:r>
    </w:p>
    <w:p w14:paraId="126C60D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152.</w:t>
      </w:r>
      <w:r w:rsidRPr="005375B7">
        <w:rPr>
          <w:kern w:val="2"/>
          <w14:ligatures w14:val="standardContextual"/>
        </w:rPr>
        <w:tab/>
        <w:t>Europaparlamentet förespråkar ett systematiskt införande av AI-specifika riskbedömningar i byråernas interna revisioner, för att säkerställa efterlevnad av unionens etiska riktlinjer och cybersäkerhetsstandarder. Parlamentet efterlyser ett utvidgat mandat för Enisa som omfattar särskild tillsyn av risker i samband med användningen av artificiell intelligens inom EU:s byråer.</w:t>
      </w:r>
    </w:p>
    <w:p w14:paraId="62CC3800" w14:textId="77777777" w:rsidR="005375B7" w:rsidRPr="005375B7" w:rsidRDefault="005375B7" w:rsidP="005375B7">
      <w:pPr>
        <w:spacing w:after="240"/>
        <w:ind w:left="567" w:hanging="567"/>
        <w:rPr>
          <w:iCs/>
          <w:kern w:val="2"/>
          <w14:ligatures w14:val="standardContextual"/>
        </w:rPr>
      </w:pPr>
      <w:r w:rsidRPr="005375B7">
        <w:rPr>
          <w:b/>
          <w:iCs/>
          <w:color w:val="000000"/>
          <w:kern w:val="2"/>
          <w14:ligatures w14:val="standardContextual"/>
        </w:rPr>
        <w:t>Hållbarhet, miljöpåverkan och social inkludering</w:t>
      </w:r>
    </w:p>
    <w:p w14:paraId="4F8D49A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153.</w:t>
      </w:r>
      <w:r w:rsidRPr="005375B7">
        <w:rPr>
          <w:kern w:val="2"/>
          <w14:ligatures w14:val="standardContextual"/>
        </w:rPr>
        <w:tab/>
        <w:t>Europaparlamentet noterar att totalt 11 </w:t>
      </w:r>
      <w:r w:rsidRPr="005375B7">
        <w:rPr>
          <w:kern w:val="2"/>
          <w:vertAlign w:val="superscript"/>
          <w14:ligatures w14:val="standardContextual"/>
        </w:rPr>
        <w:footnoteReference w:id="435"/>
      </w:r>
      <w:r w:rsidRPr="005375B7">
        <w:rPr>
          <w:kern w:val="2"/>
          <w14:ligatures w14:val="standardContextual"/>
        </w:rPr>
        <w:t xml:space="preserve"> av de 33 EU-byråerna (33 %) redan har genomfört EU:s miljölednings- och miljörevisionsordning (Emas). Parlamentet noterar med tillfredsställelse de proaktiva åtgärder som flera byråer vidtar för att få Emas-certifiering inom en nära framtid </w:t>
      </w:r>
      <w:r w:rsidRPr="005375B7">
        <w:rPr>
          <w:kern w:val="2"/>
          <w:vertAlign w:val="superscript"/>
          <w14:ligatures w14:val="standardContextual"/>
        </w:rPr>
        <w:footnoteReference w:id="436"/>
      </w:r>
      <w:r w:rsidRPr="005375B7">
        <w:rPr>
          <w:kern w:val="2"/>
          <w14:ligatures w14:val="standardContextual"/>
        </w:rPr>
        <w:t>. Parlamentet noterar att vissa byråer </w:t>
      </w:r>
      <w:r w:rsidRPr="005375B7">
        <w:rPr>
          <w:kern w:val="2"/>
          <w:vertAlign w:val="superscript"/>
          <w14:ligatures w14:val="standardContextual"/>
        </w:rPr>
        <w:footnoteReference w:id="437"/>
      </w:r>
      <w:r w:rsidRPr="005375B7">
        <w:rPr>
          <w:kern w:val="2"/>
          <w14:ligatures w14:val="standardContextual"/>
        </w:rPr>
        <w:t xml:space="preserve"> med större budget inte har meddelat sina planer på att genomföra Emas på kort sikt. Parlamentet noterar att Easa för närvarande håller på att bedöma instrument för systematiska och kontinuerliga förbättringar av miljöprestanda, inbegripet Emas, och kommer att tillhandahålla en uppdatering till den ansvarsfrihetsbeviljande myndigheten senare i år.</w:t>
      </w:r>
    </w:p>
    <w:p w14:paraId="7A4FEDA6"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154.</w:t>
      </w:r>
      <w:r w:rsidRPr="005375B7">
        <w:rPr>
          <w:kern w:val="2"/>
          <w14:ligatures w14:val="standardContextual"/>
        </w:rPr>
        <w:tab/>
        <w:t>Europaparlamentet påminner om att det i 2022 års (övergripande) betänkande om ansvarsfrihet påpekades att 14 byråer fortfarande inte hade några planer för hållbarhet. Parlamentet noterar att revisionsrättens rapport för budgetåret 2023 inte innehöll uppdaterade siffror om detta. Parlamentet upprepar vikten av att alla byråer har planer för hållbarhet. Parlamentet uppmanar med kraft byråerna att rapportera till kommissionen om sina byggnaders energiprestanda.</w:t>
      </w:r>
    </w:p>
    <w:p w14:paraId="675CF2E9"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155.</w:t>
      </w:r>
      <w:r w:rsidRPr="005375B7">
        <w:rPr>
          <w:kern w:val="2"/>
          <w14:ligatures w14:val="standardContextual"/>
        </w:rPr>
        <w:tab/>
        <w:t xml:space="preserve">Europaparlamentet uppmanar revisionsrätten att regelbundet uppdatera siffrorna för </w:t>
      </w:r>
      <w:r w:rsidRPr="005375B7">
        <w:rPr>
          <w:kern w:val="2"/>
          <w14:ligatures w14:val="standardContextual"/>
        </w:rPr>
        <w:lastRenderedPageBreak/>
        <w:t>situationen avseende byråernas planer för hållbarhet.</w:t>
      </w:r>
    </w:p>
    <w:p w14:paraId="73DFCD5A"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156.</w:t>
      </w:r>
      <w:r w:rsidRPr="005375B7">
        <w:rPr>
          <w:kern w:val="2"/>
          <w14:ligatures w14:val="standardContextual"/>
        </w:rPr>
        <w:tab/>
        <w:t>Europaparlamentet noterar att byråerna under budgetåret 2023 visade ett växande engagemang för miljö- och hållbarhetsmål. Parlamentet noterar att Europeiska miljöbyrån (EEA) spelade en central roll i övervakningen och rapporteringen om klimatförändringar och miljöprestanda i hela unionen. Parlamentet noterar att byråer som Cinea och EEA gick i spetsen för genomförandet av hållbarhetsrelaterade program och bidrog till EU-omfattande initiativ som syftar till att minska koldioxidavtrycket och främja förnybar energi.</w:t>
      </w:r>
    </w:p>
    <w:p w14:paraId="6BD5E76F"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157.</w:t>
      </w:r>
      <w:r w:rsidRPr="005375B7">
        <w:rPr>
          <w:kern w:val="2"/>
          <w14:ligatures w14:val="standardContextual"/>
        </w:rPr>
        <w:tab/>
        <w:t>Europaparlamentet noterar med oro att vissa byråer, trots den allmänna tendensen till framsteg, hade svårt att integrera hållbarhet i sina företagsstrategier på grund av ineffektivitet i förfarandena och otillräcklig resursfördelning. Parlamentet betonar därför behovet av en mer sammanhållen och genomförbar ram för att säkerställa långsiktig hållbarhet i byråernas verksamhet.</w:t>
      </w:r>
    </w:p>
    <w:p w14:paraId="081C8357" w14:textId="77777777" w:rsidR="005375B7" w:rsidRPr="005375B7" w:rsidRDefault="005375B7" w:rsidP="005375B7">
      <w:pPr>
        <w:spacing w:after="240"/>
        <w:ind w:left="567" w:hanging="567"/>
        <w:rPr>
          <w:iCs/>
          <w:kern w:val="2"/>
          <w14:ligatures w14:val="standardContextual"/>
        </w:rPr>
      </w:pPr>
      <w:r w:rsidRPr="005375B7">
        <w:rPr>
          <w:b/>
          <w:iCs/>
          <w:kern w:val="2"/>
          <w14:ligatures w14:val="standardContextual"/>
        </w:rPr>
        <w:t>Uppföljning av tidigare års iakttagelser från revisionsrätten</w:t>
      </w:r>
    </w:p>
    <w:p w14:paraId="48E75761" w14:textId="77777777" w:rsidR="005375B7" w:rsidRPr="005375B7" w:rsidRDefault="005375B7" w:rsidP="005375B7">
      <w:pPr>
        <w:widowControl/>
        <w:spacing w:after="240"/>
        <w:ind w:left="567" w:hanging="567"/>
        <w:jc w:val="both"/>
        <w:rPr>
          <w:bCs/>
          <w:iCs/>
          <w:kern w:val="2"/>
          <w14:ligatures w14:val="standardContextual"/>
        </w:rPr>
      </w:pPr>
      <w:r w:rsidRPr="005375B7">
        <w:rPr>
          <w:kern w:val="2"/>
          <w14:ligatures w14:val="standardContextual"/>
        </w:rPr>
        <w:t>158.</w:t>
      </w:r>
      <w:r w:rsidRPr="005375B7">
        <w:rPr>
          <w:kern w:val="2"/>
          <w14:ligatures w14:val="standardContextual"/>
        </w:rPr>
        <w:tab/>
        <w:t>Europaparlamentet noterar att ”iakttagelser” i byråernas särskilda årsrapporter i själva verket är icke tidsbundna rekommendationer från revisionsrätten. Parlamentet noterar att revisionsrätten årligen följer upp dessa iakttagelser genom att bedöma deras status som ”pågår” eller ”har genomförts”.</w:t>
      </w:r>
    </w:p>
    <w:p w14:paraId="6E0FF59C"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159.</w:t>
      </w:r>
      <w:r w:rsidRPr="005375B7">
        <w:rPr>
          <w:kern w:val="2"/>
          <w14:ligatures w14:val="standardContextual"/>
        </w:rPr>
        <w:tab/>
        <w:t>Europaparlamentet noterar att av totalt 116 iakttagelser som revisionsrätten gjort avseende tidigare år för de byråer som ingår i denna resolution har totalt 58 genomförts under 2023, totalt 53 pågår fortfarande och fem har delvis genomförts. Parlamentet konstaterar att antalet pågående iakttagelser varierar mellan byråerna. Vissa har inga pågående iakttagelser, vilket är fallet för Berecbyrån, EBA, Echa, EEA, Emsa, Enisa, EU-Osha, EUSPA och Eurofound, medan eu-Lisa, Frontex och Europeiska arbetsmyndigheten har det högsta antalet pågående iakttagelser med åtta, sju respektive fem iakttagelser. Parlamentet uppmanar dessa byråer att vidta proaktiva åtgärder för att lösa dessa pågående ärenden.</w:t>
      </w:r>
    </w:p>
    <w:p w14:paraId="754E458C"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160.</w:t>
      </w:r>
      <w:r w:rsidRPr="005375B7">
        <w:rPr>
          <w:kern w:val="2"/>
          <w14:ligatures w14:val="standardContextual"/>
        </w:rPr>
        <w:tab/>
        <w:t>Europaparlamentet noterar att sex av de 53 pågående iakttagelserna avser en hög nivå av överföringar (Acer, Europeiska arbetsmyndigheten, EFCA, eu-Lisa, FRA och Frontex). Parlamentet är oroat över att när det gäller Frontex pågår denna iakttagelse sedan 2018.</w:t>
      </w:r>
    </w:p>
    <w:p w14:paraId="56CF1102"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161.</w:t>
      </w:r>
      <w:r w:rsidRPr="005375B7">
        <w:rPr>
          <w:kern w:val="2"/>
          <w14:ligatures w14:val="standardContextual"/>
        </w:rPr>
        <w:tab/>
        <w:t>Europaparlamentet noterar att ERA sedan 2018 har en pågående iakttagelse om uttag av avgifter och taxor för certifieringsuppgifter, som inleddes 2019. Parlamentet noterar att enligt förordningen bör små och medelstora företags särskilda behov beaktas och ERA förväntas genomföra effektiva kontroller för att kontrollera om sökande kan betraktas som små och medelstora företag. Parlamentet uppmanar byrån att rapportera tillbaka till den ansvarsfrihetsbeviljande myndigheten om den aktuella situationen när det gäller denna fråga och att ange skälen till varför den fortfarande har status som pågående.</w:t>
      </w:r>
    </w:p>
    <w:p w14:paraId="60CC4B06"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t>162.</w:t>
      </w:r>
      <w:r w:rsidRPr="005375B7">
        <w:rPr>
          <w:kern w:val="2"/>
          <w14:ligatures w14:val="standardContextual"/>
        </w:rPr>
        <w:tab/>
        <w:t>Europaparlamentet noterar att Easa under åren har ackumulerat ett överskott på över 50 miljoner EUR från verksamhet som finansieras av näringslivet, för vilket det inte finns någon bestämmelse i Easas inrättandeförordning. Parlamentet uppmanar kommissionen att föreslå en lösning på lagstiftningsnivå för att ta itu med denna fråga.</w:t>
      </w:r>
    </w:p>
    <w:p w14:paraId="18670218" w14:textId="77777777" w:rsidR="005375B7" w:rsidRPr="005375B7" w:rsidRDefault="005375B7" w:rsidP="005375B7">
      <w:pPr>
        <w:spacing w:after="240"/>
        <w:ind w:left="567" w:hanging="567"/>
        <w:rPr>
          <w:kern w:val="2"/>
          <w14:ligatures w14:val="standardContextual"/>
        </w:rPr>
      </w:pPr>
      <w:r w:rsidRPr="005375B7">
        <w:rPr>
          <w:kern w:val="2"/>
          <w14:ligatures w14:val="standardContextual"/>
        </w:rPr>
        <w:lastRenderedPageBreak/>
        <w:t>163.</w:t>
      </w:r>
      <w:r w:rsidRPr="005375B7">
        <w:rPr>
          <w:kern w:val="2"/>
          <w14:ligatures w14:val="standardContextual"/>
        </w:rPr>
        <w:tab/>
        <w:t>Europaparlamentet noterar att Acer hade använt tillfälliga arbetstagare för att utföra långsiktiga uppgifter för att kompensera för bristen på direkt anställd personal sedan 2019. Parlamentet uppmanar kommissionen att tillhandahålla ytterligare tjänster som omfattas av tjänsteföreskrifterna.</w:t>
      </w:r>
    </w:p>
    <w:p w14:paraId="32651116" w14:textId="145CF826" w:rsidR="004439CF" w:rsidRPr="006F588B" w:rsidRDefault="005375B7" w:rsidP="005375B7">
      <w:pPr>
        <w:spacing w:after="240"/>
        <w:ind w:left="567" w:hanging="567"/>
        <w:rPr>
          <w:i/>
          <w:vanish/>
        </w:rPr>
      </w:pPr>
      <w:r w:rsidRPr="005375B7">
        <w:rPr>
          <w:kern w:val="2"/>
          <w14:ligatures w14:val="standardContextual"/>
        </w:rPr>
        <w:t>164.</w:t>
      </w:r>
      <w:r w:rsidRPr="005375B7">
        <w:rPr>
          <w:kern w:val="2"/>
          <w14:ligatures w14:val="standardContextual"/>
        </w:rPr>
        <w:tab/>
        <w:t xml:space="preserve">Europaparlamentet uppdrar åt talmannen att översända denna resolution till de byråer som omfattas av detta förfarande för beviljande av ansvarsfrihet samt till rådet, kommissionen och revisionsrätten, och att se till att de offentliggörs i </w:t>
      </w:r>
      <w:r w:rsidRPr="005375B7">
        <w:rPr>
          <w:i/>
          <w:kern w:val="2"/>
          <w14:ligatures w14:val="standardContextual"/>
        </w:rPr>
        <w:t>Europeiska unionens officiella tidning</w:t>
      </w:r>
      <w:r w:rsidRPr="005375B7">
        <w:rPr>
          <w:kern w:val="2"/>
          <w14:ligatures w14:val="standardContextual"/>
        </w:rPr>
        <w:t xml:space="preserve"> (L-serien).</w:t>
      </w:r>
      <w:r w:rsidR="004439CF" w:rsidRPr="006F588B">
        <w:rPr>
          <w:i/>
        </w:rPr>
        <w:fldChar w:fldCharType="begin"/>
      </w:r>
      <w:r w:rsidR="004439CF" w:rsidRPr="006F588B">
        <w:rPr>
          <w:i/>
        </w:rPr>
        <w:instrText xml:space="preserve"> TC"(</w:instrText>
      </w:r>
      <w:bookmarkStart w:id="2" w:name="DocNumber"/>
      <w:r w:rsidR="004439CF" w:rsidRPr="006F588B">
        <w:rPr>
          <w:i/>
        </w:rPr>
        <w:instrText>A10-0065/2025</w:instrText>
      </w:r>
      <w:bookmarkEnd w:id="2"/>
      <w:r w:rsidR="004439CF" w:rsidRPr="006F588B">
        <w:rPr>
          <w:i/>
        </w:rPr>
        <w:instrText xml:space="preserve"> - Föredragande: Erik Marquardt)"\l3 \n&gt; \* MERGEFORMAT </w:instrText>
      </w:r>
      <w:r w:rsidR="004439CF" w:rsidRPr="006F588B">
        <w:rPr>
          <w:i/>
        </w:rPr>
        <w:fldChar w:fldCharType="end"/>
      </w:r>
    </w:p>
    <w:p w14:paraId="6A4D469E" w14:textId="77777777" w:rsidR="004439CF" w:rsidRPr="006F588B" w:rsidRDefault="004439CF" w:rsidP="004439CF">
      <w:pPr>
        <w:rPr>
          <w:vanish/>
        </w:rPr>
      </w:pPr>
      <w:bookmarkStart w:id="3" w:name="Commission"/>
      <w:r w:rsidRPr="006F588B">
        <w:rPr>
          <w:vanish/>
        </w:rPr>
        <w:t>Budgetkontrollutskottet</w:t>
      </w:r>
      <w:bookmarkEnd w:id="3"/>
    </w:p>
    <w:p w14:paraId="319AFC22" w14:textId="77777777" w:rsidR="004439CF" w:rsidRPr="006F588B" w:rsidRDefault="004439CF" w:rsidP="004439CF">
      <w:pPr>
        <w:rPr>
          <w:vanish/>
        </w:rPr>
      </w:pPr>
      <w:bookmarkStart w:id="4" w:name="PE"/>
      <w:r w:rsidRPr="006F588B">
        <w:rPr>
          <w:vanish/>
        </w:rPr>
        <w:t>PE765.000</w:t>
      </w:r>
      <w:bookmarkEnd w:id="4"/>
    </w:p>
    <w:sectPr w:rsidR="004439CF" w:rsidRPr="006F588B" w:rsidSect="006F58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FFB61" w14:textId="77777777" w:rsidR="0049088F" w:rsidRPr="006F588B" w:rsidRDefault="0049088F">
      <w:r w:rsidRPr="006F588B">
        <w:separator/>
      </w:r>
    </w:p>
  </w:endnote>
  <w:endnote w:type="continuationSeparator" w:id="0">
    <w:p w14:paraId="70A827EE" w14:textId="77777777" w:rsidR="0049088F" w:rsidRPr="006F588B" w:rsidRDefault="0049088F">
      <w:r w:rsidRPr="006F58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2F4FF" w14:textId="77777777" w:rsidR="0049088F" w:rsidRPr="006F588B" w:rsidRDefault="0049088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4FB5A" w14:textId="77777777" w:rsidR="0049088F" w:rsidRPr="006F588B" w:rsidRDefault="0049088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44E30" w14:textId="77777777" w:rsidR="0049088F" w:rsidRPr="006F588B" w:rsidRDefault="004908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036D6" w14:textId="77777777" w:rsidR="0049088F" w:rsidRPr="006F588B" w:rsidRDefault="0049088F">
      <w:r w:rsidRPr="006F588B">
        <w:separator/>
      </w:r>
    </w:p>
  </w:footnote>
  <w:footnote w:type="continuationSeparator" w:id="0">
    <w:p w14:paraId="70EF3BAB" w14:textId="77777777" w:rsidR="0049088F" w:rsidRPr="006F588B" w:rsidRDefault="0049088F">
      <w:r w:rsidRPr="006F588B">
        <w:continuationSeparator/>
      </w:r>
    </w:p>
  </w:footnote>
  <w:footnote w:id="1">
    <w:p w14:paraId="3AB5B431" w14:textId="77777777" w:rsidR="005375B7" w:rsidRPr="008C3CF3" w:rsidRDefault="005375B7" w:rsidP="005375B7">
      <w:pPr>
        <w:pStyle w:val="FootnoteText"/>
        <w:ind w:left="567" w:hanging="567"/>
        <w:rPr>
          <w:sz w:val="24"/>
          <w:lang w:val="fi-FI"/>
        </w:rPr>
      </w:pPr>
      <w:r w:rsidRPr="008C3CF3">
        <w:rPr>
          <w:rStyle w:val="FootnoteReference"/>
          <w:sz w:val="24"/>
        </w:rPr>
        <w:footnoteRef/>
      </w:r>
      <w:r w:rsidRPr="008C3CF3">
        <w:rPr>
          <w:sz w:val="24"/>
          <w:lang w:val="fi-FI"/>
        </w:rPr>
        <w:t xml:space="preserve"> </w:t>
      </w:r>
      <w:r w:rsidRPr="00822C8C">
        <w:rPr>
          <w:sz w:val="24"/>
          <w:lang w:val="fi-FI"/>
        </w:rPr>
        <w:tab/>
        <w:t xml:space="preserve">EUT C, C/2024/6332, 24.10.2024, ELI: </w:t>
      </w:r>
      <w:hyperlink r:id="rId1" w:history="1">
        <w:r w:rsidRPr="00822C8C">
          <w:rPr>
            <w:rStyle w:val="Hyperlink1"/>
            <w:sz w:val="24"/>
            <w:lang w:val="fi-FI"/>
          </w:rPr>
          <w:t>http://data.europa.eu/eli/C/2024/6332/oj</w:t>
        </w:r>
      </w:hyperlink>
      <w:r w:rsidRPr="00822C8C">
        <w:rPr>
          <w:sz w:val="24"/>
          <w:lang w:val="fi-FI"/>
        </w:rPr>
        <w:t>.</w:t>
      </w:r>
    </w:p>
  </w:footnote>
  <w:footnote w:id="2">
    <w:p w14:paraId="67CE8408" w14:textId="77777777" w:rsidR="005375B7" w:rsidRPr="008C3CF3" w:rsidRDefault="005375B7" w:rsidP="005375B7">
      <w:pPr>
        <w:pStyle w:val="FootnoteText"/>
        <w:ind w:left="567" w:hanging="567"/>
        <w:rPr>
          <w:sz w:val="24"/>
          <w:lang w:val="fi-FI"/>
        </w:rPr>
      </w:pPr>
      <w:r w:rsidRPr="008C3CF3">
        <w:rPr>
          <w:rStyle w:val="FootnoteReference"/>
          <w:sz w:val="24"/>
        </w:rPr>
        <w:footnoteRef/>
      </w:r>
      <w:r w:rsidRPr="008C3CF3">
        <w:rPr>
          <w:sz w:val="24"/>
          <w:lang w:val="fi-FI"/>
        </w:rPr>
        <w:t xml:space="preserve"> </w:t>
      </w:r>
      <w:r w:rsidRPr="00822C8C">
        <w:rPr>
          <w:sz w:val="24"/>
          <w:lang w:val="fi-FI"/>
        </w:rPr>
        <w:tab/>
        <w:t xml:space="preserve">EUT C, C/2024/6041, 10.10.2024, ELI: </w:t>
      </w:r>
      <w:hyperlink r:id="rId2" w:history="1">
        <w:r w:rsidRPr="00822C8C">
          <w:rPr>
            <w:rStyle w:val="Hyperlink1"/>
            <w:sz w:val="24"/>
            <w:lang w:val="fi-FI"/>
          </w:rPr>
          <w:t>http://data.europa.eu/eli/C/2024/6041/oj</w:t>
        </w:r>
      </w:hyperlink>
      <w:r w:rsidRPr="00822C8C">
        <w:rPr>
          <w:sz w:val="24"/>
          <w:lang w:val="fi-FI"/>
        </w:rPr>
        <w:t>.</w:t>
      </w:r>
    </w:p>
  </w:footnote>
  <w:footnote w:id="3">
    <w:p w14:paraId="78AC04A3" w14:textId="77777777" w:rsidR="005375B7" w:rsidRPr="008C3CF3" w:rsidRDefault="005375B7" w:rsidP="005375B7">
      <w:pPr>
        <w:pStyle w:val="FootnoteText"/>
        <w:ind w:left="567" w:hanging="567"/>
        <w:rPr>
          <w:sz w:val="24"/>
          <w:lang w:val="fi-FI"/>
        </w:rPr>
      </w:pPr>
      <w:r w:rsidRPr="008C3CF3">
        <w:rPr>
          <w:rStyle w:val="FootnoteReference"/>
          <w:sz w:val="24"/>
        </w:rPr>
        <w:footnoteRef/>
      </w:r>
      <w:r w:rsidRPr="008C3CF3">
        <w:rPr>
          <w:sz w:val="24"/>
          <w:lang w:val="fi-FI"/>
        </w:rPr>
        <w:t xml:space="preserve"> </w:t>
      </w:r>
      <w:r w:rsidRPr="00822C8C">
        <w:rPr>
          <w:sz w:val="24"/>
          <w:lang w:val="fi-FI"/>
        </w:rPr>
        <w:tab/>
        <w:t xml:space="preserve">EUT L 193, 30.7.2018, s. 1, ELI: </w:t>
      </w:r>
      <w:hyperlink r:id="rId3" w:history="1">
        <w:r w:rsidRPr="00822C8C">
          <w:rPr>
            <w:rStyle w:val="Hyperlink1"/>
            <w:sz w:val="24"/>
            <w:lang w:val="fi-FI"/>
          </w:rPr>
          <w:t>http://data.europa.eu/eli/reg/2018/1046/oj</w:t>
        </w:r>
      </w:hyperlink>
      <w:r w:rsidRPr="00822C8C">
        <w:rPr>
          <w:sz w:val="24"/>
          <w:lang w:val="fi-FI"/>
        </w:rPr>
        <w:t>.</w:t>
      </w:r>
    </w:p>
  </w:footnote>
  <w:footnote w:id="4">
    <w:p w14:paraId="7A3AEA55" w14:textId="77777777" w:rsidR="005375B7" w:rsidRPr="008C3CF3" w:rsidRDefault="005375B7" w:rsidP="005375B7">
      <w:pPr>
        <w:pStyle w:val="FootnoteText"/>
        <w:ind w:left="567" w:hanging="567"/>
        <w:rPr>
          <w:sz w:val="24"/>
          <w:lang w:val="fi-FI"/>
        </w:rPr>
      </w:pPr>
      <w:r w:rsidRPr="008C3CF3">
        <w:rPr>
          <w:rStyle w:val="FootnoteReference"/>
          <w:sz w:val="24"/>
        </w:rPr>
        <w:footnoteRef/>
      </w:r>
      <w:r w:rsidRPr="008C3CF3">
        <w:rPr>
          <w:sz w:val="24"/>
          <w:lang w:val="fi-FI"/>
        </w:rPr>
        <w:t xml:space="preserve"> </w:t>
      </w:r>
      <w:r w:rsidRPr="00822C8C">
        <w:rPr>
          <w:sz w:val="24"/>
          <w:lang w:val="fi-FI"/>
        </w:rPr>
        <w:tab/>
        <w:t xml:space="preserve">EUT L, 2024/2509, 26.9.2024, ELI: </w:t>
      </w:r>
      <w:hyperlink r:id="rId4" w:history="1">
        <w:r w:rsidRPr="00822C8C">
          <w:rPr>
            <w:rStyle w:val="Hyperlink1"/>
            <w:sz w:val="24"/>
            <w:lang w:val="fi-FI"/>
          </w:rPr>
          <w:t>http://data.europa.eu/eli/reg/2024/2509/oj</w:t>
        </w:r>
      </w:hyperlink>
      <w:r w:rsidRPr="00822C8C">
        <w:rPr>
          <w:rStyle w:val="Hyperlink1"/>
          <w:sz w:val="24"/>
          <w:lang w:val="fi-FI"/>
        </w:rPr>
        <w:t>.</w:t>
      </w:r>
    </w:p>
  </w:footnote>
  <w:footnote w:id="5">
    <w:p w14:paraId="413CA84E" w14:textId="77777777" w:rsidR="005375B7" w:rsidRPr="008C3CF3" w:rsidRDefault="005375B7" w:rsidP="005375B7">
      <w:pPr>
        <w:pStyle w:val="FootnoteText"/>
        <w:ind w:left="567" w:hanging="567"/>
        <w:rPr>
          <w:sz w:val="24"/>
          <w:lang w:val="fi-FI"/>
        </w:rPr>
      </w:pPr>
      <w:r w:rsidRPr="008C3CF3">
        <w:rPr>
          <w:rStyle w:val="FootnoteReference"/>
          <w:sz w:val="24"/>
        </w:rPr>
        <w:footnoteRef/>
      </w:r>
      <w:r w:rsidRPr="008C3CF3">
        <w:rPr>
          <w:sz w:val="24"/>
          <w:lang w:val="fi-FI"/>
        </w:rPr>
        <w:t xml:space="preserve"> </w:t>
      </w:r>
      <w:r w:rsidRPr="00822C8C">
        <w:rPr>
          <w:sz w:val="24"/>
          <w:lang w:val="fi-FI"/>
        </w:rPr>
        <w:tab/>
        <w:t xml:space="preserve">EUT L 158, 14.6.2019, s. 22, ELI: </w:t>
      </w:r>
      <w:hyperlink r:id="rId5" w:history="1">
        <w:r w:rsidRPr="00822C8C">
          <w:rPr>
            <w:rStyle w:val="Hyperlink1"/>
            <w:sz w:val="24"/>
            <w:lang w:val="fi-FI"/>
          </w:rPr>
          <w:t>http://data.europa.eu/eli/reg/2019/942/oj</w:t>
        </w:r>
      </w:hyperlink>
      <w:r w:rsidRPr="00822C8C">
        <w:rPr>
          <w:sz w:val="24"/>
          <w:lang w:val="fi-FI"/>
        </w:rPr>
        <w:t>.</w:t>
      </w:r>
    </w:p>
  </w:footnote>
  <w:footnote w:id="6">
    <w:p w14:paraId="4F1181B1" w14:textId="77777777" w:rsidR="005375B7" w:rsidRPr="008C3CF3" w:rsidRDefault="005375B7" w:rsidP="005375B7">
      <w:pPr>
        <w:pStyle w:val="FootnoteText"/>
        <w:ind w:left="567" w:hanging="567"/>
        <w:rPr>
          <w:sz w:val="24"/>
          <w:lang w:val="fi-FI"/>
        </w:rPr>
      </w:pPr>
      <w:r w:rsidRPr="008C3CF3">
        <w:rPr>
          <w:rStyle w:val="FootnoteReference"/>
          <w:sz w:val="24"/>
        </w:rPr>
        <w:footnoteRef/>
      </w:r>
      <w:r w:rsidRPr="008C3CF3">
        <w:rPr>
          <w:sz w:val="24"/>
          <w:lang w:val="fi-FI"/>
        </w:rPr>
        <w:t xml:space="preserve"> </w:t>
      </w:r>
      <w:r w:rsidRPr="00822C8C">
        <w:rPr>
          <w:sz w:val="24"/>
          <w:lang w:val="fi-FI"/>
        </w:rPr>
        <w:tab/>
        <w:t xml:space="preserve">EUT L 122, 10.5.2019, s. 1, ELI: </w:t>
      </w:r>
      <w:hyperlink r:id="rId6" w:history="1">
        <w:r w:rsidRPr="00822C8C">
          <w:rPr>
            <w:rStyle w:val="Hyperlink1"/>
            <w:sz w:val="24"/>
            <w:lang w:val="fi-FI"/>
          </w:rPr>
          <w:t>http://data.europa.eu/eli/reg_del/2019/715/oj</w:t>
        </w:r>
      </w:hyperlink>
      <w:r w:rsidRPr="00822C8C">
        <w:rPr>
          <w:sz w:val="24"/>
          <w:lang w:val="fi-FI"/>
        </w:rPr>
        <w:t>.</w:t>
      </w:r>
    </w:p>
  </w:footnote>
  <w:footnote w:id="7">
    <w:p w14:paraId="6DA93678" w14:textId="77777777" w:rsidR="005375B7" w:rsidRPr="0079479B" w:rsidRDefault="005375B7" w:rsidP="005375B7">
      <w:pPr>
        <w:pStyle w:val="FootnoteText"/>
        <w:ind w:left="567" w:hanging="567"/>
        <w:rPr>
          <w:sz w:val="24"/>
          <w:lang w:val="fi-FI"/>
        </w:rPr>
      </w:pPr>
      <w:r w:rsidRPr="0079479B">
        <w:rPr>
          <w:rStyle w:val="FootnoteReference"/>
          <w:sz w:val="24"/>
        </w:rPr>
        <w:footnoteRef/>
      </w:r>
      <w:r w:rsidRPr="0079479B">
        <w:rPr>
          <w:sz w:val="24"/>
          <w:lang w:val="fi-FI"/>
        </w:rPr>
        <w:t xml:space="preserve"> </w:t>
      </w:r>
      <w:r w:rsidRPr="00822C8C">
        <w:rPr>
          <w:sz w:val="24"/>
          <w:lang w:val="fi-FI"/>
        </w:rPr>
        <w:tab/>
        <w:t xml:space="preserve">EUT C, C/2024/6332, 24.10.2024, ELI: </w:t>
      </w:r>
      <w:hyperlink r:id="rId7" w:history="1">
        <w:r w:rsidRPr="00822C8C">
          <w:rPr>
            <w:rStyle w:val="Hyperlink1"/>
            <w:sz w:val="24"/>
            <w:lang w:val="fi-FI"/>
          </w:rPr>
          <w:t>http://data.europa.eu/eli/C/2024/6332/oj</w:t>
        </w:r>
      </w:hyperlink>
      <w:r w:rsidRPr="00822C8C">
        <w:rPr>
          <w:sz w:val="24"/>
          <w:lang w:val="fi-FI"/>
        </w:rPr>
        <w:t>.</w:t>
      </w:r>
    </w:p>
  </w:footnote>
  <w:footnote w:id="8">
    <w:p w14:paraId="0F9B8B43" w14:textId="77777777" w:rsidR="005375B7" w:rsidRPr="0079479B" w:rsidRDefault="005375B7" w:rsidP="005375B7">
      <w:pPr>
        <w:pStyle w:val="FootnoteText"/>
        <w:ind w:left="567" w:hanging="567"/>
        <w:rPr>
          <w:sz w:val="24"/>
          <w:lang w:val="fi-FI"/>
        </w:rPr>
      </w:pPr>
      <w:r w:rsidRPr="0079479B">
        <w:rPr>
          <w:rStyle w:val="FootnoteReference"/>
          <w:sz w:val="24"/>
        </w:rPr>
        <w:footnoteRef/>
      </w:r>
      <w:r w:rsidRPr="0079479B">
        <w:rPr>
          <w:sz w:val="24"/>
          <w:lang w:val="fi-FI"/>
        </w:rPr>
        <w:t xml:space="preserve"> </w:t>
      </w:r>
      <w:r w:rsidRPr="00822C8C">
        <w:rPr>
          <w:sz w:val="24"/>
          <w:lang w:val="fi-FI"/>
        </w:rPr>
        <w:tab/>
        <w:t xml:space="preserve">EUT C, C/2024/6041, 10.10.2024, ELI: </w:t>
      </w:r>
      <w:hyperlink r:id="rId8" w:history="1">
        <w:r w:rsidRPr="00822C8C">
          <w:rPr>
            <w:rStyle w:val="Hyperlink1"/>
            <w:sz w:val="24"/>
            <w:lang w:val="fi-FI"/>
          </w:rPr>
          <w:t>http://data.europa.eu/eli/C/2024/6041/oj</w:t>
        </w:r>
      </w:hyperlink>
      <w:r w:rsidRPr="00822C8C">
        <w:rPr>
          <w:sz w:val="24"/>
          <w:lang w:val="fi-FI"/>
        </w:rPr>
        <w:t>.</w:t>
      </w:r>
    </w:p>
  </w:footnote>
  <w:footnote w:id="9">
    <w:p w14:paraId="5D3A51F2" w14:textId="77777777" w:rsidR="005375B7" w:rsidRPr="0079479B" w:rsidRDefault="005375B7" w:rsidP="005375B7">
      <w:pPr>
        <w:pStyle w:val="FootnoteText"/>
        <w:ind w:left="567" w:hanging="567"/>
        <w:rPr>
          <w:sz w:val="24"/>
          <w:lang w:val="fi-FI"/>
        </w:rPr>
      </w:pPr>
      <w:r w:rsidRPr="0079479B">
        <w:rPr>
          <w:rStyle w:val="FootnoteReference"/>
          <w:sz w:val="24"/>
        </w:rPr>
        <w:footnoteRef/>
      </w:r>
      <w:r w:rsidRPr="0079479B">
        <w:rPr>
          <w:sz w:val="24"/>
          <w:lang w:val="fi-FI"/>
        </w:rPr>
        <w:t xml:space="preserve"> </w:t>
      </w:r>
      <w:r w:rsidRPr="00822C8C">
        <w:rPr>
          <w:sz w:val="24"/>
          <w:lang w:val="fi-FI"/>
        </w:rPr>
        <w:tab/>
        <w:t xml:space="preserve">EUT L 193, 30.7.2018, s. 1, ELI: </w:t>
      </w:r>
      <w:hyperlink r:id="rId9" w:history="1">
        <w:r w:rsidRPr="00822C8C">
          <w:rPr>
            <w:rStyle w:val="Hyperlink1"/>
            <w:sz w:val="24"/>
            <w:lang w:val="fi-FI"/>
          </w:rPr>
          <w:t>http://data.europa.eu/eli/reg/2018/1046/oj</w:t>
        </w:r>
      </w:hyperlink>
      <w:r w:rsidRPr="00822C8C">
        <w:rPr>
          <w:sz w:val="24"/>
          <w:lang w:val="fi-FI"/>
        </w:rPr>
        <w:t>.</w:t>
      </w:r>
    </w:p>
  </w:footnote>
  <w:footnote w:id="10">
    <w:p w14:paraId="21668B21" w14:textId="77777777" w:rsidR="005375B7" w:rsidRPr="0079479B" w:rsidRDefault="005375B7" w:rsidP="005375B7">
      <w:pPr>
        <w:pStyle w:val="FootnoteText"/>
        <w:ind w:left="567" w:hanging="567"/>
        <w:rPr>
          <w:sz w:val="24"/>
          <w:lang w:val="fi-FI"/>
        </w:rPr>
      </w:pPr>
      <w:r w:rsidRPr="0079479B">
        <w:rPr>
          <w:rStyle w:val="FootnoteReference"/>
          <w:sz w:val="24"/>
        </w:rPr>
        <w:footnoteRef/>
      </w:r>
      <w:r w:rsidRPr="0079479B">
        <w:rPr>
          <w:sz w:val="24"/>
          <w:lang w:val="fi-FI"/>
        </w:rPr>
        <w:t xml:space="preserve"> </w:t>
      </w:r>
      <w:r w:rsidRPr="00822C8C">
        <w:rPr>
          <w:sz w:val="24"/>
          <w:lang w:val="fi-FI"/>
        </w:rPr>
        <w:tab/>
        <w:t xml:space="preserve">EUT L, 2024/2509, 26.9.2024, ELI: </w:t>
      </w:r>
      <w:hyperlink r:id="rId10" w:history="1">
        <w:r w:rsidRPr="00822C8C">
          <w:rPr>
            <w:rStyle w:val="Hyperlink1"/>
            <w:sz w:val="24"/>
            <w:lang w:val="fi-FI"/>
          </w:rPr>
          <w:t>http://data.europa.eu/eli/reg/2024/2509/oj</w:t>
        </w:r>
      </w:hyperlink>
      <w:r w:rsidRPr="00822C8C">
        <w:rPr>
          <w:rStyle w:val="Hyperlink1"/>
          <w:sz w:val="24"/>
          <w:lang w:val="fi-FI"/>
        </w:rPr>
        <w:t>.</w:t>
      </w:r>
    </w:p>
  </w:footnote>
  <w:footnote w:id="11">
    <w:p w14:paraId="75F43F23" w14:textId="77777777" w:rsidR="005375B7" w:rsidRPr="0079479B" w:rsidRDefault="005375B7" w:rsidP="005375B7">
      <w:pPr>
        <w:pStyle w:val="FootnoteText"/>
        <w:ind w:left="567" w:hanging="567"/>
        <w:rPr>
          <w:sz w:val="24"/>
          <w:lang w:val="fi-FI"/>
        </w:rPr>
      </w:pPr>
      <w:r w:rsidRPr="0079479B">
        <w:rPr>
          <w:rStyle w:val="FootnoteReference"/>
          <w:sz w:val="24"/>
        </w:rPr>
        <w:footnoteRef/>
      </w:r>
      <w:r w:rsidRPr="0079479B">
        <w:rPr>
          <w:sz w:val="24"/>
          <w:lang w:val="fi-FI"/>
        </w:rPr>
        <w:t xml:space="preserve"> </w:t>
      </w:r>
      <w:r w:rsidRPr="00822C8C">
        <w:rPr>
          <w:sz w:val="24"/>
          <w:lang w:val="fi-FI"/>
        </w:rPr>
        <w:tab/>
        <w:t xml:space="preserve">EUT L 158, 14.6.2019, s. 22, ELI: </w:t>
      </w:r>
      <w:hyperlink r:id="rId11" w:history="1">
        <w:r w:rsidRPr="00822C8C">
          <w:rPr>
            <w:rStyle w:val="Hyperlink1"/>
            <w:sz w:val="24"/>
            <w:lang w:val="fi-FI"/>
          </w:rPr>
          <w:t>http://data.europa.eu/eli/reg/2019/942/oj</w:t>
        </w:r>
      </w:hyperlink>
      <w:r w:rsidRPr="00822C8C">
        <w:rPr>
          <w:sz w:val="24"/>
          <w:lang w:val="fi-FI"/>
        </w:rPr>
        <w:t>.</w:t>
      </w:r>
    </w:p>
  </w:footnote>
  <w:footnote w:id="12">
    <w:p w14:paraId="36270CDD" w14:textId="77777777" w:rsidR="005375B7" w:rsidRPr="0079479B" w:rsidRDefault="005375B7" w:rsidP="005375B7">
      <w:pPr>
        <w:pStyle w:val="FootnoteText"/>
        <w:ind w:left="567" w:hanging="567"/>
        <w:rPr>
          <w:sz w:val="24"/>
          <w:lang w:val="fi-FI"/>
        </w:rPr>
      </w:pPr>
      <w:r w:rsidRPr="0079479B">
        <w:rPr>
          <w:rStyle w:val="FootnoteReference"/>
          <w:sz w:val="24"/>
        </w:rPr>
        <w:footnoteRef/>
      </w:r>
      <w:r w:rsidRPr="0079479B">
        <w:rPr>
          <w:sz w:val="24"/>
          <w:lang w:val="fi-FI"/>
        </w:rPr>
        <w:t xml:space="preserve"> </w:t>
      </w:r>
      <w:r w:rsidRPr="00822C8C">
        <w:rPr>
          <w:sz w:val="24"/>
          <w:lang w:val="fi-FI"/>
        </w:rPr>
        <w:tab/>
        <w:t xml:space="preserve">EUT L 122, 10.5.2019, s. 1, ELI: </w:t>
      </w:r>
      <w:hyperlink r:id="rId12" w:history="1">
        <w:r w:rsidRPr="00822C8C">
          <w:rPr>
            <w:rStyle w:val="Hyperlink1"/>
            <w:sz w:val="24"/>
            <w:lang w:val="fi-FI"/>
          </w:rPr>
          <w:t>http://data.europa.eu/eli/reg_del/2019/715/oj</w:t>
        </w:r>
      </w:hyperlink>
      <w:r w:rsidRPr="00822C8C">
        <w:rPr>
          <w:sz w:val="24"/>
          <w:lang w:val="fi-FI"/>
        </w:rPr>
        <w:t>.</w:t>
      </w:r>
    </w:p>
  </w:footnote>
  <w:footnote w:id="13">
    <w:p w14:paraId="13254A89" w14:textId="77777777" w:rsidR="005375B7" w:rsidRPr="006608E1" w:rsidRDefault="005375B7" w:rsidP="005375B7">
      <w:pPr>
        <w:pStyle w:val="FootnoteText"/>
        <w:ind w:left="567" w:hanging="567"/>
        <w:rPr>
          <w:sz w:val="24"/>
          <w:lang w:val="fi-FI"/>
        </w:rPr>
      </w:pPr>
      <w:r w:rsidRPr="006608E1">
        <w:rPr>
          <w:rStyle w:val="FootnoteReference"/>
          <w:sz w:val="24"/>
        </w:rPr>
        <w:footnoteRef/>
      </w:r>
      <w:r w:rsidRPr="006608E1">
        <w:rPr>
          <w:sz w:val="24"/>
          <w:lang w:val="fi-FI"/>
        </w:rPr>
        <w:t xml:space="preserve"> </w:t>
      </w:r>
      <w:r w:rsidRPr="00822C8C">
        <w:rPr>
          <w:sz w:val="24"/>
          <w:lang w:val="fi-FI"/>
        </w:rPr>
        <w:tab/>
        <w:t xml:space="preserve">EUT C, C/2024/6332, 24.10.2024, ELI: </w:t>
      </w:r>
      <w:hyperlink r:id="rId13" w:history="1">
        <w:r w:rsidRPr="00822C8C">
          <w:rPr>
            <w:rStyle w:val="Hyperlink1"/>
            <w:sz w:val="24"/>
            <w:lang w:val="fi-FI"/>
          </w:rPr>
          <w:t>http://data.europa.eu/eli/C/2024/6332/oj</w:t>
        </w:r>
      </w:hyperlink>
      <w:r w:rsidRPr="00822C8C">
        <w:rPr>
          <w:sz w:val="24"/>
          <w:lang w:val="fi-FI"/>
        </w:rPr>
        <w:t>.</w:t>
      </w:r>
    </w:p>
  </w:footnote>
  <w:footnote w:id="14">
    <w:p w14:paraId="18A931DA" w14:textId="77777777" w:rsidR="005375B7" w:rsidRPr="006608E1" w:rsidRDefault="005375B7" w:rsidP="005375B7">
      <w:pPr>
        <w:pStyle w:val="FootnoteText"/>
        <w:ind w:left="567" w:hanging="567"/>
        <w:rPr>
          <w:sz w:val="24"/>
          <w:lang w:val="fi-FI"/>
        </w:rPr>
      </w:pPr>
      <w:r w:rsidRPr="006608E1">
        <w:rPr>
          <w:rStyle w:val="FootnoteReference"/>
          <w:sz w:val="24"/>
        </w:rPr>
        <w:footnoteRef/>
      </w:r>
      <w:r w:rsidRPr="006608E1">
        <w:rPr>
          <w:sz w:val="24"/>
          <w:lang w:val="fi-FI"/>
        </w:rPr>
        <w:t xml:space="preserve"> </w:t>
      </w:r>
      <w:r w:rsidRPr="00822C8C">
        <w:rPr>
          <w:sz w:val="24"/>
          <w:lang w:val="fi-FI"/>
        </w:rPr>
        <w:tab/>
        <w:t xml:space="preserve">EUT C, C/2024/6041, 10.10.2024, ELI: </w:t>
      </w:r>
      <w:hyperlink r:id="rId14" w:history="1">
        <w:r w:rsidRPr="00822C8C">
          <w:rPr>
            <w:rStyle w:val="Hyperlink1"/>
            <w:sz w:val="24"/>
            <w:lang w:val="fi-FI"/>
          </w:rPr>
          <w:t>http://data.europa.eu/eli/C/2024/6041/oj</w:t>
        </w:r>
      </w:hyperlink>
      <w:r w:rsidRPr="00822C8C">
        <w:rPr>
          <w:sz w:val="24"/>
          <w:lang w:val="fi-FI"/>
        </w:rPr>
        <w:t>.</w:t>
      </w:r>
    </w:p>
  </w:footnote>
  <w:footnote w:id="15">
    <w:p w14:paraId="2DEA47FF" w14:textId="77777777" w:rsidR="005375B7" w:rsidRPr="006608E1" w:rsidRDefault="005375B7" w:rsidP="005375B7">
      <w:pPr>
        <w:pStyle w:val="FootnoteText"/>
        <w:ind w:left="567" w:hanging="567"/>
        <w:rPr>
          <w:sz w:val="24"/>
          <w:lang w:val="fi-FI"/>
        </w:rPr>
      </w:pPr>
      <w:r w:rsidRPr="006608E1">
        <w:rPr>
          <w:rStyle w:val="FootnoteReference"/>
          <w:sz w:val="24"/>
        </w:rPr>
        <w:footnoteRef/>
      </w:r>
      <w:r w:rsidRPr="006608E1">
        <w:rPr>
          <w:sz w:val="24"/>
          <w:lang w:val="fi-FI"/>
        </w:rPr>
        <w:t xml:space="preserve"> </w:t>
      </w:r>
      <w:r w:rsidRPr="00822C8C">
        <w:rPr>
          <w:sz w:val="24"/>
          <w:lang w:val="fi-FI"/>
        </w:rPr>
        <w:tab/>
        <w:t xml:space="preserve">EUT L 193, 30.7.2018, s. 1, ELI: </w:t>
      </w:r>
      <w:hyperlink r:id="rId15" w:history="1">
        <w:r w:rsidRPr="00822C8C">
          <w:rPr>
            <w:rStyle w:val="Hyperlink1"/>
            <w:sz w:val="24"/>
            <w:lang w:val="fi-FI"/>
          </w:rPr>
          <w:t>http://data.europa.eu/eli/reg/2018/1046/oj</w:t>
        </w:r>
      </w:hyperlink>
      <w:r w:rsidRPr="00822C8C">
        <w:rPr>
          <w:sz w:val="24"/>
          <w:lang w:val="fi-FI"/>
        </w:rPr>
        <w:t>.</w:t>
      </w:r>
    </w:p>
  </w:footnote>
  <w:footnote w:id="16">
    <w:p w14:paraId="0FD8C646" w14:textId="77777777" w:rsidR="005375B7" w:rsidRPr="006608E1" w:rsidRDefault="005375B7" w:rsidP="005375B7">
      <w:pPr>
        <w:pStyle w:val="FootnoteText"/>
        <w:ind w:left="567" w:hanging="567"/>
        <w:rPr>
          <w:sz w:val="24"/>
          <w:lang w:val="fi-FI"/>
        </w:rPr>
      </w:pPr>
      <w:r w:rsidRPr="006608E1">
        <w:rPr>
          <w:rStyle w:val="FootnoteReference"/>
          <w:sz w:val="24"/>
        </w:rPr>
        <w:footnoteRef/>
      </w:r>
      <w:r w:rsidRPr="006608E1">
        <w:rPr>
          <w:sz w:val="24"/>
          <w:lang w:val="fi-FI"/>
        </w:rPr>
        <w:t xml:space="preserve"> </w:t>
      </w:r>
      <w:r w:rsidRPr="00822C8C">
        <w:rPr>
          <w:sz w:val="24"/>
          <w:lang w:val="fi-FI"/>
        </w:rPr>
        <w:tab/>
        <w:t xml:space="preserve">EUT L, 2024/2509, 26.9.2024, ELI: </w:t>
      </w:r>
      <w:hyperlink r:id="rId16" w:history="1">
        <w:r w:rsidRPr="00822C8C">
          <w:rPr>
            <w:rStyle w:val="Hyperlink1"/>
            <w:sz w:val="24"/>
            <w:lang w:val="fi-FI"/>
          </w:rPr>
          <w:t>http://data.europa.eu/eli/reg/2024/2509/oj</w:t>
        </w:r>
      </w:hyperlink>
      <w:r w:rsidRPr="00822C8C">
        <w:rPr>
          <w:rStyle w:val="Hyperlink1"/>
          <w:sz w:val="24"/>
          <w:lang w:val="fi-FI"/>
        </w:rPr>
        <w:t>.</w:t>
      </w:r>
    </w:p>
  </w:footnote>
  <w:footnote w:id="17">
    <w:p w14:paraId="0A3B2D98" w14:textId="77777777" w:rsidR="005375B7" w:rsidRPr="006608E1" w:rsidRDefault="005375B7" w:rsidP="005375B7">
      <w:pPr>
        <w:pStyle w:val="FootnoteText"/>
        <w:ind w:left="567" w:hanging="567"/>
        <w:rPr>
          <w:sz w:val="24"/>
          <w:lang w:val="fi-FI"/>
        </w:rPr>
      </w:pPr>
      <w:r w:rsidRPr="006608E1">
        <w:rPr>
          <w:rStyle w:val="FootnoteReference"/>
          <w:sz w:val="24"/>
        </w:rPr>
        <w:footnoteRef/>
      </w:r>
      <w:r w:rsidRPr="006608E1">
        <w:rPr>
          <w:sz w:val="24"/>
          <w:lang w:val="fi-FI"/>
        </w:rPr>
        <w:t xml:space="preserve"> </w:t>
      </w:r>
      <w:r w:rsidRPr="00822C8C">
        <w:rPr>
          <w:sz w:val="24"/>
          <w:lang w:val="fi-FI"/>
        </w:rPr>
        <w:tab/>
        <w:t xml:space="preserve">EUT L 321, 17.12.2018, s. 1, ELI: </w:t>
      </w:r>
      <w:hyperlink r:id="rId17" w:history="1">
        <w:r w:rsidRPr="00822C8C">
          <w:rPr>
            <w:rStyle w:val="Hyperlink1"/>
            <w:sz w:val="24"/>
            <w:lang w:val="fi-FI"/>
          </w:rPr>
          <w:t>http://data.europa.eu/eli/reg/2018/1971/oj</w:t>
        </w:r>
      </w:hyperlink>
      <w:r w:rsidRPr="00822C8C">
        <w:rPr>
          <w:sz w:val="24"/>
          <w:lang w:val="fi-FI"/>
        </w:rPr>
        <w:t>.</w:t>
      </w:r>
    </w:p>
  </w:footnote>
  <w:footnote w:id="18">
    <w:p w14:paraId="1B50E29C" w14:textId="77777777" w:rsidR="005375B7" w:rsidRPr="006608E1" w:rsidRDefault="005375B7" w:rsidP="005375B7">
      <w:pPr>
        <w:pStyle w:val="FootnoteText"/>
        <w:ind w:left="567" w:hanging="567"/>
        <w:rPr>
          <w:sz w:val="24"/>
          <w:lang w:val="fi-FI"/>
        </w:rPr>
      </w:pPr>
      <w:r w:rsidRPr="006608E1">
        <w:rPr>
          <w:rStyle w:val="FootnoteReference"/>
          <w:sz w:val="24"/>
        </w:rPr>
        <w:footnoteRef/>
      </w:r>
      <w:r w:rsidRPr="006608E1">
        <w:rPr>
          <w:sz w:val="24"/>
          <w:lang w:val="fi-FI"/>
        </w:rPr>
        <w:t xml:space="preserve"> </w:t>
      </w:r>
      <w:r w:rsidRPr="00822C8C">
        <w:rPr>
          <w:sz w:val="24"/>
          <w:lang w:val="fi-FI"/>
        </w:rPr>
        <w:tab/>
        <w:t xml:space="preserve">EUT L 122, 10.5.2019, s. 1, ELI: </w:t>
      </w:r>
      <w:hyperlink r:id="rId18" w:history="1">
        <w:r w:rsidRPr="00822C8C">
          <w:rPr>
            <w:rStyle w:val="Hyperlink1"/>
            <w:sz w:val="24"/>
            <w:lang w:val="fi-FI"/>
          </w:rPr>
          <w:t>http://data.europa.eu/eli/reg_del/2019/715/oj</w:t>
        </w:r>
      </w:hyperlink>
      <w:r w:rsidRPr="00822C8C">
        <w:rPr>
          <w:sz w:val="24"/>
          <w:lang w:val="fi-FI"/>
        </w:rPr>
        <w:t>.</w:t>
      </w:r>
    </w:p>
  </w:footnote>
  <w:footnote w:id="19">
    <w:p w14:paraId="09122B9B" w14:textId="77777777" w:rsidR="005375B7" w:rsidRPr="00152C5E" w:rsidRDefault="005375B7" w:rsidP="005375B7">
      <w:pPr>
        <w:pStyle w:val="FootnoteText"/>
        <w:ind w:left="567" w:hanging="567"/>
        <w:rPr>
          <w:sz w:val="24"/>
          <w:lang w:val="fi-FI"/>
        </w:rPr>
      </w:pPr>
      <w:r w:rsidRPr="00152C5E">
        <w:rPr>
          <w:rStyle w:val="FootnoteReference"/>
          <w:sz w:val="24"/>
        </w:rPr>
        <w:footnoteRef/>
      </w:r>
      <w:r w:rsidRPr="00152C5E">
        <w:rPr>
          <w:sz w:val="24"/>
          <w:lang w:val="fi-FI"/>
        </w:rPr>
        <w:t xml:space="preserve"> </w:t>
      </w:r>
      <w:r w:rsidRPr="00822C8C">
        <w:rPr>
          <w:sz w:val="24"/>
          <w:lang w:val="fi-FI"/>
        </w:rPr>
        <w:tab/>
        <w:t xml:space="preserve">EUT C, C/2024/6332, 24.10.2024, ELI: </w:t>
      </w:r>
      <w:hyperlink r:id="rId19" w:history="1">
        <w:r w:rsidRPr="00822C8C">
          <w:rPr>
            <w:rStyle w:val="Hyperlink1"/>
            <w:sz w:val="24"/>
            <w:lang w:val="fi-FI"/>
          </w:rPr>
          <w:t>http://data.europa.eu/eli/C/2024/6332/oj</w:t>
        </w:r>
      </w:hyperlink>
      <w:r w:rsidRPr="00822C8C">
        <w:rPr>
          <w:sz w:val="24"/>
          <w:lang w:val="fi-FI"/>
        </w:rPr>
        <w:t>.</w:t>
      </w:r>
    </w:p>
  </w:footnote>
  <w:footnote w:id="20">
    <w:p w14:paraId="191F7DE0" w14:textId="77777777" w:rsidR="005375B7" w:rsidRPr="00152C5E" w:rsidRDefault="005375B7" w:rsidP="005375B7">
      <w:pPr>
        <w:pStyle w:val="FootnoteText"/>
        <w:ind w:left="567" w:hanging="567"/>
        <w:rPr>
          <w:sz w:val="24"/>
          <w:lang w:val="fi-FI"/>
        </w:rPr>
      </w:pPr>
      <w:r w:rsidRPr="00152C5E">
        <w:rPr>
          <w:rStyle w:val="FootnoteReference"/>
          <w:sz w:val="24"/>
        </w:rPr>
        <w:footnoteRef/>
      </w:r>
      <w:r w:rsidRPr="00152C5E">
        <w:rPr>
          <w:sz w:val="24"/>
          <w:lang w:val="fi-FI"/>
        </w:rPr>
        <w:t xml:space="preserve"> </w:t>
      </w:r>
      <w:r w:rsidRPr="00822C8C">
        <w:rPr>
          <w:sz w:val="24"/>
          <w:lang w:val="fi-FI"/>
        </w:rPr>
        <w:tab/>
        <w:t xml:space="preserve">EUT C, C/2024/6041, 10.10.2024, ELI: </w:t>
      </w:r>
      <w:hyperlink r:id="rId20" w:history="1">
        <w:r w:rsidRPr="00822C8C">
          <w:rPr>
            <w:rStyle w:val="Hyperlink1"/>
            <w:sz w:val="24"/>
            <w:lang w:val="fi-FI"/>
          </w:rPr>
          <w:t>http://data.europa.eu/eli/C/2024/6041/oj</w:t>
        </w:r>
      </w:hyperlink>
      <w:r w:rsidRPr="00822C8C">
        <w:rPr>
          <w:sz w:val="24"/>
          <w:lang w:val="fi-FI"/>
        </w:rPr>
        <w:t>.</w:t>
      </w:r>
    </w:p>
  </w:footnote>
  <w:footnote w:id="21">
    <w:p w14:paraId="682CC66D" w14:textId="77777777" w:rsidR="005375B7" w:rsidRPr="00152C5E" w:rsidRDefault="005375B7" w:rsidP="005375B7">
      <w:pPr>
        <w:pStyle w:val="FootnoteText"/>
        <w:ind w:left="567" w:hanging="567"/>
        <w:rPr>
          <w:sz w:val="24"/>
          <w:lang w:val="fi-FI"/>
        </w:rPr>
      </w:pPr>
      <w:r w:rsidRPr="00152C5E">
        <w:rPr>
          <w:rStyle w:val="FootnoteReference"/>
          <w:sz w:val="24"/>
        </w:rPr>
        <w:footnoteRef/>
      </w:r>
      <w:r w:rsidRPr="00152C5E">
        <w:rPr>
          <w:sz w:val="24"/>
          <w:lang w:val="fi-FI"/>
        </w:rPr>
        <w:t xml:space="preserve"> </w:t>
      </w:r>
      <w:r w:rsidRPr="00822C8C">
        <w:rPr>
          <w:sz w:val="24"/>
          <w:lang w:val="fi-FI"/>
        </w:rPr>
        <w:tab/>
        <w:t xml:space="preserve">EUT L 193, 30.7.2018, s. 1, ELI: </w:t>
      </w:r>
      <w:hyperlink r:id="rId21" w:history="1">
        <w:r w:rsidRPr="00822C8C">
          <w:rPr>
            <w:rStyle w:val="Hyperlink1"/>
            <w:sz w:val="24"/>
            <w:lang w:val="fi-FI"/>
          </w:rPr>
          <w:t>http://data.europa.eu/eli/reg/2018/1046/oj</w:t>
        </w:r>
      </w:hyperlink>
      <w:r w:rsidRPr="00822C8C">
        <w:rPr>
          <w:sz w:val="24"/>
          <w:lang w:val="fi-FI"/>
        </w:rPr>
        <w:t>.</w:t>
      </w:r>
    </w:p>
  </w:footnote>
  <w:footnote w:id="22">
    <w:p w14:paraId="18C52B73" w14:textId="77777777" w:rsidR="005375B7" w:rsidRPr="00152C5E" w:rsidRDefault="005375B7" w:rsidP="005375B7">
      <w:pPr>
        <w:pStyle w:val="FootnoteText"/>
        <w:ind w:left="567" w:hanging="567"/>
        <w:rPr>
          <w:sz w:val="24"/>
          <w:lang w:val="fi-FI"/>
        </w:rPr>
      </w:pPr>
      <w:r w:rsidRPr="00152C5E">
        <w:rPr>
          <w:rStyle w:val="FootnoteReference"/>
          <w:sz w:val="24"/>
        </w:rPr>
        <w:footnoteRef/>
      </w:r>
      <w:r w:rsidRPr="00152C5E">
        <w:rPr>
          <w:sz w:val="24"/>
          <w:lang w:val="fi-FI"/>
        </w:rPr>
        <w:t xml:space="preserve"> </w:t>
      </w:r>
      <w:r w:rsidRPr="00822C8C">
        <w:rPr>
          <w:sz w:val="24"/>
          <w:lang w:val="fi-FI"/>
        </w:rPr>
        <w:tab/>
        <w:t xml:space="preserve">EUT L, 2024/2509, 26.9.2024, ELI: </w:t>
      </w:r>
      <w:hyperlink r:id="rId22" w:history="1">
        <w:r w:rsidRPr="00822C8C">
          <w:rPr>
            <w:rStyle w:val="Hyperlink1"/>
            <w:sz w:val="24"/>
            <w:lang w:val="fi-FI"/>
          </w:rPr>
          <w:t>http://data.europa.eu/eli/reg/2024/2509/oj</w:t>
        </w:r>
      </w:hyperlink>
      <w:r w:rsidRPr="00822C8C">
        <w:rPr>
          <w:rStyle w:val="Hyperlink1"/>
          <w:sz w:val="24"/>
          <w:lang w:val="fi-FI"/>
        </w:rPr>
        <w:t>.</w:t>
      </w:r>
    </w:p>
  </w:footnote>
  <w:footnote w:id="23">
    <w:p w14:paraId="5F20AB2C" w14:textId="77777777" w:rsidR="005375B7" w:rsidRPr="00152C5E" w:rsidRDefault="005375B7" w:rsidP="005375B7">
      <w:pPr>
        <w:pStyle w:val="FootnoteText"/>
        <w:ind w:left="567" w:hanging="567"/>
        <w:rPr>
          <w:sz w:val="24"/>
          <w:lang w:val="fi-FI"/>
        </w:rPr>
      </w:pPr>
      <w:r w:rsidRPr="00152C5E">
        <w:rPr>
          <w:rStyle w:val="FootnoteReference"/>
          <w:sz w:val="24"/>
        </w:rPr>
        <w:footnoteRef/>
      </w:r>
      <w:r w:rsidRPr="00152C5E">
        <w:rPr>
          <w:sz w:val="24"/>
          <w:lang w:val="fi-FI"/>
        </w:rPr>
        <w:t xml:space="preserve"> </w:t>
      </w:r>
      <w:r w:rsidRPr="00822C8C">
        <w:rPr>
          <w:sz w:val="24"/>
          <w:lang w:val="fi-FI"/>
        </w:rPr>
        <w:tab/>
        <w:t xml:space="preserve">EUT L 321, 17.12.2018, s. 1, ELI: </w:t>
      </w:r>
      <w:hyperlink r:id="rId23" w:history="1">
        <w:r w:rsidRPr="00822C8C">
          <w:rPr>
            <w:rStyle w:val="Hyperlink1"/>
            <w:sz w:val="24"/>
            <w:lang w:val="fi-FI"/>
          </w:rPr>
          <w:t>http://data.europa.eu/eli/reg/2018/1971/oj</w:t>
        </w:r>
      </w:hyperlink>
      <w:r w:rsidRPr="00822C8C">
        <w:rPr>
          <w:sz w:val="24"/>
          <w:lang w:val="fi-FI"/>
        </w:rPr>
        <w:t>.</w:t>
      </w:r>
    </w:p>
  </w:footnote>
  <w:footnote w:id="24">
    <w:p w14:paraId="0353B35F" w14:textId="77777777" w:rsidR="005375B7" w:rsidRPr="00152C5E" w:rsidRDefault="005375B7" w:rsidP="005375B7">
      <w:pPr>
        <w:pStyle w:val="FootnoteText"/>
        <w:ind w:left="567" w:hanging="567"/>
        <w:rPr>
          <w:sz w:val="24"/>
          <w:lang w:val="fi-FI"/>
        </w:rPr>
      </w:pPr>
      <w:r w:rsidRPr="00152C5E">
        <w:rPr>
          <w:rStyle w:val="FootnoteReference"/>
          <w:sz w:val="24"/>
        </w:rPr>
        <w:footnoteRef/>
      </w:r>
      <w:r w:rsidRPr="00152C5E">
        <w:rPr>
          <w:sz w:val="24"/>
          <w:lang w:val="fi-FI"/>
        </w:rPr>
        <w:t xml:space="preserve"> </w:t>
      </w:r>
      <w:r w:rsidRPr="00822C8C">
        <w:rPr>
          <w:sz w:val="24"/>
          <w:lang w:val="fi-FI"/>
        </w:rPr>
        <w:tab/>
        <w:t xml:space="preserve">EUT L 122, 10.5.2019, s. 1, ELI: </w:t>
      </w:r>
      <w:hyperlink r:id="rId24" w:history="1">
        <w:r w:rsidRPr="00822C8C">
          <w:rPr>
            <w:rStyle w:val="Hyperlink1"/>
            <w:sz w:val="24"/>
            <w:lang w:val="fi-FI"/>
          </w:rPr>
          <w:t>http://data.europa.eu/eli/reg_del/2019/715/oj</w:t>
        </w:r>
      </w:hyperlink>
      <w:r w:rsidRPr="00822C8C">
        <w:rPr>
          <w:sz w:val="24"/>
          <w:lang w:val="fi-FI"/>
        </w:rPr>
        <w:t>.</w:t>
      </w:r>
    </w:p>
  </w:footnote>
  <w:footnote w:id="25">
    <w:p w14:paraId="3D14E4B5" w14:textId="77777777" w:rsidR="005375B7" w:rsidRPr="00CB7CB4" w:rsidRDefault="005375B7" w:rsidP="005375B7">
      <w:pPr>
        <w:pStyle w:val="FootnoteText"/>
        <w:ind w:left="567" w:hanging="567"/>
        <w:rPr>
          <w:sz w:val="24"/>
          <w:lang w:val="fi-FI"/>
        </w:rPr>
      </w:pPr>
      <w:r w:rsidRPr="00CB7CB4">
        <w:rPr>
          <w:rStyle w:val="FootnoteReference"/>
          <w:sz w:val="24"/>
        </w:rPr>
        <w:footnoteRef/>
      </w:r>
      <w:r w:rsidRPr="00CB7CB4">
        <w:rPr>
          <w:sz w:val="24"/>
          <w:lang w:val="fi-FI"/>
        </w:rPr>
        <w:t xml:space="preserve"> </w:t>
      </w:r>
      <w:r w:rsidRPr="00822C8C">
        <w:rPr>
          <w:sz w:val="24"/>
          <w:lang w:val="fi-FI"/>
        </w:rPr>
        <w:tab/>
        <w:t xml:space="preserve">EUT C, C/2024/6332, 24.10.2024, ELI: </w:t>
      </w:r>
      <w:hyperlink r:id="rId25" w:history="1">
        <w:r w:rsidRPr="00822C8C">
          <w:rPr>
            <w:rStyle w:val="Hyperlink1"/>
            <w:sz w:val="24"/>
            <w:lang w:val="fi-FI"/>
          </w:rPr>
          <w:t>http://data.europa.eu/eli/C/2024/6332/oj</w:t>
        </w:r>
      </w:hyperlink>
      <w:r w:rsidRPr="00822C8C">
        <w:rPr>
          <w:sz w:val="24"/>
          <w:lang w:val="fi-FI"/>
        </w:rPr>
        <w:t>.</w:t>
      </w:r>
    </w:p>
  </w:footnote>
  <w:footnote w:id="26">
    <w:p w14:paraId="6596B923" w14:textId="77777777" w:rsidR="005375B7" w:rsidRPr="00CB7CB4" w:rsidRDefault="005375B7" w:rsidP="005375B7">
      <w:pPr>
        <w:pStyle w:val="FootnoteText"/>
        <w:ind w:left="567" w:hanging="567"/>
        <w:rPr>
          <w:sz w:val="24"/>
          <w:lang w:val="fi-FI"/>
        </w:rPr>
      </w:pPr>
      <w:r w:rsidRPr="00CB7CB4">
        <w:rPr>
          <w:rStyle w:val="FootnoteReference"/>
          <w:sz w:val="24"/>
        </w:rPr>
        <w:footnoteRef/>
      </w:r>
      <w:r w:rsidRPr="00CB7CB4">
        <w:rPr>
          <w:sz w:val="24"/>
          <w:lang w:val="fi-FI"/>
        </w:rPr>
        <w:t xml:space="preserve"> </w:t>
      </w:r>
      <w:r w:rsidRPr="00822C8C">
        <w:rPr>
          <w:sz w:val="24"/>
          <w:lang w:val="fi-FI"/>
        </w:rPr>
        <w:tab/>
        <w:t xml:space="preserve">EUT C, C/2024/6041, 10.10.2024, ELI: </w:t>
      </w:r>
      <w:hyperlink r:id="rId26" w:history="1">
        <w:r w:rsidRPr="00822C8C">
          <w:rPr>
            <w:rStyle w:val="Hyperlink1"/>
            <w:sz w:val="24"/>
            <w:lang w:val="fi-FI"/>
          </w:rPr>
          <w:t>http://data.europa.eu/eli/C/2024/6041/oj</w:t>
        </w:r>
      </w:hyperlink>
      <w:r w:rsidRPr="00822C8C">
        <w:rPr>
          <w:sz w:val="24"/>
          <w:lang w:val="fi-FI"/>
        </w:rPr>
        <w:t>.</w:t>
      </w:r>
    </w:p>
  </w:footnote>
  <w:footnote w:id="27">
    <w:p w14:paraId="62496C33" w14:textId="77777777" w:rsidR="005375B7" w:rsidRPr="00CB7CB4" w:rsidRDefault="005375B7" w:rsidP="005375B7">
      <w:pPr>
        <w:pStyle w:val="FootnoteText"/>
        <w:ind w:left="567" w:hanging="567"/>
        <w:rPr>
          <w:sz w:val="24"/>
          <w:lang w:val="fi-FI"/>
        </w:rPr>
      </w:pPr>
      <w:r w:rsidRPr="00CB7CB4">
        <w:rPr>
          <w:rStyle w:val="FootnoteReference"/>
          <w:sz w:val="24"/>
        </w:rPr>
        <w:footnoteRef/>
      </w:r>
      <w:r w:rsidRPr="00CB7CB4">
        <w:rPr>
          <w:sz w:val="24"/>
          <w:lang w:val="fi-FI"/>
        </w:rPr>
        <w:t xml:space="preserve"> </w:t>
      </w:r>
      <w:r w:rsidRPr="00822C8C">
        <w:rPr>
          <w:sz w:val="24"/>
          <w:lang w:val="fi-FI"/>
        </w:rPr>
        <w:tab/>
        <w:t xml:space="preserve">EUT L 193, 30.7.2018, s. 1, ELI: </w:t>
      </w:r>
      <w:hyperlink r:id="rId27" w:history="1">
        <w:r w:rsidRPr="00822C8C">
          <w:rPr>
            <w:rStyle w:val="Hyperlink1"/>
            <w:sz w:val="24"/>
            <w:lang w:val="fi-FI"/>
          </w:rPr>
          <w:t>http://data.europa.eu/eli/reg/2018/1046/oj</w:t>
        </w:r>
      </w:hyperlink>
      <w:r w:rsidRPr="00822C8C">
        <w:rPr>
          <w:sz w:val="24"/>
          <w:lang w:val="fi-FI"/>
        </w:rPr>
        <w:t>.</w:t>
      </w:r>
    </w:p>
  </w:footnote>
  <w:footnote w:id="28">
    <w:p w14:paraId="35C8BD5D" w14:textId="77777777" w:rsidR="005375B7" w:rsidRPr="00CB7CB4" w:rsidRDefault="005375B7" w:rsidP="005375B7">
      <w:pPr>
        <w:pStyle w:val="FootnoteText"/>
        <w:ind w:left="567" w:hanging="567"/>
        <w:rPr>
          <w:sz w:val="24"/>
          <w:lang w:val="fi-FI"/>
        </w:rPr>
      </w:pPr>
      <w:r w:rsidRPr="00CB7CB4">
        <w:rPr>
          <w:rStyle w:val="FootnoteReference"/>
          <w:sz w:val="24"/>
        </w:rPr>
        <w:footnoteRef/>
      </w:r>
      <w:r w:rsidRPr="00CB7CB4">
        <w:rPr>
          <w:sz w:val="24"/>
          <w:lang w:val="fi-FI"/>
        </w:rPr>
        <w:t xml:space="preserve"> </w:t>
      </w:r>
      <w:r w:rsidRPr="00822C8C">
        <w:rPr>
          <w:sz w:val="24"/>
          <w:lang w:val="fi-FI"/>
        </w:rPr>
        <w:tab/>
        <w:t xml:space="preserve">EUT L, 2024/2509, 26.9.2024, ELI: </w:t>
      </w:r>
      <w:hyperlink r:id="rId28" w:history="1">
        <w:r w:rsidRPr="00822C8C">
          <w:rPr>
            <w:rStyle w:val="Hyperlink1"/>
            <w:sz w:val="24"/>
            <w:lang w:val="fi-FI"/>
          </w:rPr>
          <w:t>http://data.europa.eu/eli/reg/2024/2509/oj</w:t>
        </w:r>
      </w:hyperlink>
      <w:r w:rsidRPr="00822C8C">
        <w:rPr>
          <w:rStyle w:val="Hyperlink1"/>
          <w:sz w:val="24"/>
          <w:lang w:val="fi-FI"/>
        </w:rPr>
        <w:t>.</w:t>
      </w:r>
    </w:p>
  </w:footnote>
  <w:footnote w:id="29">
    <w:p w14:paraId="711574A5" w14:textId="77777777" w:rsidR="005375B7" w:rsidRPr="00CB7CB4" w:rsidRDefault="005375B7" w:rsidP="005375B7">
      <w:pPr>
        <w:pStyle w:val="FootnoteText"/>
        <w:ind w:left="567" w:hanging="567"/>
        <w:rPr>
          <w:sz w:val="24"/>
          <w:lang w:val="fi-FI"/>
        </w:rPr>
      </w:pPr>
      <w:r w:rsidRPr="00CB7CB4">
        <w:rPr>
          <w:rStyle w:val="FootnoteReference"/>
          <w:sz w:val="24"/>
        </w:rPr>
        <w:footnoteRef/>
      </w:r>
      <w:r w:rsidRPr="00CB7CB4">
        <w:rPr>
          <w:sz w:val="24"/>
          <w:lang w:val="fi-FI"/>
        </w:rPr>
        <w:t xml:space="preserve"> </w:t>
      </w:r>
      <w:r w:rsidRPr="00822C8C">
        <w:rPr>
          <w:sz w:val="24"/>
          <w:lang w:val="fi-FI"/>
        </w:rPr>
        <w:tab/>
        <w:t xml:space="preserve">EGT L 314, 7.12.1994, s. 1, ELI: </w:t>
      </w:r>
      <w:hyperlink r:id="rId29" w:history="1">
        <w:r w:rsidRPr="00822C8C">
          <w:rPr>
            <w:rStyle w:val="Hyperlink1"/>
            <w:sz w:val="24"/>
            <w:lang w:val="fi-FI"/>
          </w:rPr>
          <w:t>http://data.europa.eu/eli/reg/1994/2965/oj</w:t>
        </w:r>
      </w:hyperlink>
      <w:r w:rsidRPr="00822C8C">
        <w:rPr>
          <w:sz w:val="24"/>
          <w:lang w:val="fi-FI"/>
        </w:rPr>
        <w:t>.</w:t>
      </w:r>
    </w:p>
  </w:footnote>
  <w:footnote w:id="30">
    <w:p w14:paraId="5F28D24E" w14:textId="77777777" w:rsidR="005375B7" w:rsidRPr="00CB7CB4" w:rsidRDefault="005375B7" w:rsidP="005375B7">
      <w:pPr>
        <w:pStyle w:val="FootnoteText"/>
        <w:ind w:left="567" w:hanging="567"/>
        <w:rPr>
          <w:sz w:val="24"/>
          <w:lang w:val="fi-FI"/>
        </w:rPr>
      </w:pPr>
      <w:r w:rsidRPr="00CB7CB4">
        <w:rPr>
          <w:rStyle w:val="FootnoteReference"/>
          <w:sz w:val="24"/>
        </w:rPr>
        <w:footnoteRef/>
      </w:r>
      <w:r w:rsidRPr="00CB7CB4">
        <w:rPr>
          <w:sz w:val="24"/>
          <w:lang w:val="fi-FI"/>
        </w:rPr>
        <w:t xml:space="preserve"> </w:t>
      </w:r>
      <w:r w:rsidRPr="00822C8C">
        <w:rPr>
          <w:sz w:val="24"/>
          <w:lang w:val="fi-FI"/>
        </w:rPr>
        <w:tab/>
        <w:t xml:space="preserve">EUT L 122, 10.5.2019, s. 1, ELI: </w:t>
      </w:r>
      <w:hyperlink r:id="rId30" w:history="1">
        <w:r w:rsidRPr="00822C8C">
          <w:rPr>
            <w:rStyle w:val="Hyperlink1"/>
            <w:sz w:val="24"/>
            <w:lang w:val="fi-FI"/>
          </w:rPr>
          <w:t>http://data.europa.eu/eli/reg_del/2019/715/oj</w:t>
        </w:r>
      </w:hyperlink>
      <w:r w:rsidRPr="00822C8C">
        <w:rPr>
          <w:sz w:val="24"/>
          <w:lang w:val="fi-FI"/>
        </w:rPr>
        <w:t>.</w:t>
      </w:r>
    </w:p>
  </w:footnote>
  <w:footnote w:id="31">
    <w:p w14:paraId="3C18D79F" w14:textId="77777777" w:rsidR="005375B7" w:rsidRPr="004768D6" w:rsidRDefault="005375B7" w:rsidP="005375B7">
      <w:pPr>
        <w:pStyle w:val="FootnoteText"/>
        <w:ind w:left="567" w:hanging="567"/>
        <w:rPr>
          <w:sz w:val="24"/>
          <w:lang w:val="fi-FI"/>
        </w:rPr>
      </w:pPr>
      <w:r w:rsidRPr="004768D6">
        <w:rPr>
          <w:rStyle w:val="FootnoteReference"/>
          <w:sz w:val="24"/>
        </w:rPr>
        <w:footnoteRef/>
      </w:r>
      <w:r w:rsidRPr="004768D6">
        <w:rPr>
          <w:sz w:val="24"/>
          <w:lang w:val="fi-FI"/>
        </w:rPr>
        <w:t xml:space="preserve"> </w:t>
      </w:r>
      <w:r w:rsidRPr="00822C8C">
        <w:rPr>
          <w:sz w:val="24"/>
          <w:lang w:val="fi-FI"/>
        </w:rPr>
        <w:tab/>
        <w:t xml:space="preserve">EUT C, C/2024/6332, 24.10.2024, ELI: </w:t>
      </w:r>
      <w:hyperlink r:id="rId31" w:history="1">
        <w:r w:rsidRPr="00822C8C">
          <w:rPr>
            <w:rStyle w:val="Hyperlink1"/>
            <w:sz w:val="24"/>
            <w:lang w:val="fi-FI"/>
          </w:rPr>
          <w:t>http://data.europa.eu/eli/C/2024/6332/oj</w:t>
        </w:r>
      </w:hyperlink>
      <w:r w:rsidRPr="00822C8C">
        <w:rPr>
          <w:sz w:val="24"/>
          <w:lang w:val="fi-FI"/>
        </w:rPr>
        <w:t>.</w:t>
      </w:r>
    </w:p>
  </w:footnote>
  <w:footnote w:id="32">
    <w:p w14:paraId="2014CE13" w14:textId="77777777" w:rsidR="005375B7" w:rsidRPr="004768D6" w:rsidRDefault="005375B7" w:rsidP="005375B7">
      <w:pPr>
        <w:pStyle w:val="FootnoteText"/>
        <w:ind w:left="567" w:hanging="567"/>
        <w:rPr>
          <w:sz w:val="24"/>
          <w:lang w:val="fi-FI"/>
        </w:rPr>
      </w:pPr>
      <w:r w:rsidRPr="004768D6">
        <w:rPr>
          <w:rStyle w:val="FootnoteReference"/>
          <w:sz w:val="24"/>
        </w:rPr>
        <w:footnoteRef/>
      </w:r>
      <w:r w:rsidRPr="004768D6">
        <w:rPr>
          <w:sz w:val="24"/>
          <w:lang w:val="fi-FI"/>
        </w:rPr>
        <w:t xml:space="preserve"> </w:t>
      </w:r>
      <w:r w:rsidRPr="00822C8C">
        <w:rPr>
          <w:sz w:val="24"/>
          <w:lang w:val="fi-FI"/>
        </w:rPr>
        <w:tab/>
        <w:t xml:space="preserve">EUT C, C/2024/6041, 10.10.2024, ELI: </w:t>
      </w:r>
      <w:hyperlink r:id="rId32" w:history="1">
        <w:r w:rsidRPr="00822C8C">
          <w:rPr>
            <w:rStyle w:val="Hyperlink1"/>
            <w:sz w:val="24"/>
            <w:lang w:val="fi-FI"/>
          </w:rPr>
          <w:t>http://data.europa.eu/eli/C/2024/6041/oj</w:t>
        </w:r>
      </w:hyperlink>
      <w:r w:rsidRPr="00822C8C">
        <w:rPr>
          <w:sz w:val="24"/>
          <w:lang w:val="fi-FI"/>
        </w:rPr>
        <w:t>.</w:t>
      </w:r>
    </w:p>
  </w:footnote>
  <w:footnote w:id="33">
    <w:p w14:paraId="5932642D" w14:textId="77777777" w:rsidR="005375B7" w:rsidRPr="004768D6" w:rsidRDefault="005375B7" w:rsidP="005375B7">
      <w:pPr>
        <w:pStyle w:val="FootnoteText"/>
        <w:ind w:left="567" w:hanging="567"/>
        <w:rPr>
          <w:sz w:val="24"/>
          <w:lang w:val="fi-FI"/>
        </w:rPr>
      </w:pPr>
      <w:r w:rsidRPr="004768D6">
        <w:rPr>
          <w:rStyle w:val="FootnoteReference"/>
          <w:sz w:val="24"/>
        </w:rPr>
        <w:footnoteRef/>
      </w:r>
      <w:r w:rsidRPr="004768D6">
        <w:rPr>
          <w:sz w:val="24"/>
          <w:lang w:val="fi-FI"/>
        </w:rPr>
        <w:t xml:space="preserve"> </w:t>
      </w:r>
      <w:r w:rsidRPr="00822C8C">
        <w:rPr>
          <w:sz w:val="24"/>
          <w:lang w:val="fi-FI"/>
        </w:rPr>
        <w:tab/>
        <w:t xml:space="preserve">EUT L 193, 30.7.2018, s. 1, ELI: </w:t>
      </w:r>
      <w:hyperlink r:id="rId33" w:history="1">
        <w:r w:rsidRPr="00822C8C">
          <w:rPr>
            <w:rStyle w:val="Hyperlink1"/>
            <w:sz w:val="24"/>
            <w:lang w:val="fi-FI"/>
          </w:rPr>
          <w:t>http://data.europa.eu/eli/reg/2018/1046/oj</w:t>
        </w:r>
      </w:hyperlink>
      <w:r w:rsidRPr="00822C8C">
        <w:rPr>
          <w:sz w:val="24"/>
          <w:lang w:val="fi-FI"/>
        </w:rPr>
        <w:t>.</w:t>
      </w:r>
    </w:p>
  </w:footnote>
  <w:footnote w:id="34">
    <w:p w14:paraId="7D39F1CE" w14:textId="77777777" w:rsidR="005375B7" w:rsidRPr="004768D6" w:rsidRDefault="005375B7" w:rsidP="005375B7">
      <w:pPr>
        <w:pStyle w:val="FootnoteText"/>
        <w:ind w:left="567" w:hanging="567"/>
        <w:rPr>
          <w:sz w:val="24"/>
          <w:lang w:val="fi-FI"/>
        </w:rPr>
      </w:pPr>
      <w:r w:rsidRPr="004768D6">
        <w:rPr>
          <w:rStyle w:val="FootnoteReference"/>
          <w:sz w:val="24"/>
        </w:rPr>
        <w:footnoteRef/>
      </w:r>
      <w:r w:rsidRPr="004768D6">
        <w:rPr>
          <w:sz w:val="24"/>
          <w:lang w:val="fi-FI"/>
        </w:rPr>
        <w:t xml:space="preserve"> </w:t>
      </w:r>
      <w:r w:rsidRPr="00822C8C">
        <w:rPr>
          <w:sz w:val="24"/>
          <w:lang w:val="fi-FI"/>
        </w:rPr>
        <w:tab/>
        <w:t xml:space="preserve">EUT L, 2024/2509, 26.9.2024, ELI: </w:t>
      </w:r>
      <w:hyperlink r:id="rId34" w:history="1">
        <w:r w:rsidRPr="00822C8C">
          <w:rPr>
            <w:rStyle w:val="Hyperlink1"/>
            <w:sz w:val="24"/>
            <w:lang w:val="fi-FI"/>
          </w:rPr>
          <w:t>http://data.europa.eu/eli/reg/2024/2509/oj</w:t>
        </w:r>
      </w:hyperlink>
      <w:r w:rsidRPr="005375B7">
        <w:rPr>
          <w:rStyle w:val="Hyperlink1"/>
          <w:color w:val="000000"/>
          <w:sz w:val="24"/>
          <w:lang w:val="fi-FI"/>
        </w:rPr>
        <w:t>.</w:t>
      </w:r>
    </w:p>
  </w:footnote>
  <w:footnote w:id="35">
    <w:p w14:paraId="32FE5569" w14:textId="77777777" w:rsidR="005375B7" w:rsidRPr="004768D6" w:rsidRDefault="005375B7" w:rsidP="005375B7">
      <w:pPr>
        <w:pStyle w:val="FootnoteText"/>
        <w:ind w:left="567" w:hanging="567"/>
        <w:rPr>
          <w:sz w:val="24"/>
          <w:lang w:val="fi-FI"/>
        </w:rPr>
      </w:pPr>
      <w:r w:rsidRPr="004768D6">
        <w:rPr>
          <w:rStyle w:val="FootnoteReference"/>
          <w:sz w:val="24"/>
        </w:rPr>
        <w:footnoteRef/>
      </w:r>
      <w:r w:rsidRPr="004768D6">
        <w:rPr>
          <w:sz w:val="24"/>
          <w:lang w:val="fi-FI"/>
        </w:rPr>
        <w:t xml:space="preserve"> </w:t>
      </w:r>
      <w:r w:rsidRPr="00822C8C">
        <w:rPr>
          <w:sz w:val="24"/>
          <w:lang w:val="fi-FI"/>
        </w:rPr>
        <w:tab/>
        <w:t xml:space="preserve">EGT L 314, 7.12.1994, s. 1, ELI: </w:t>
      </w:r>
      <w:hyperlink r:id="rId35" w:history="1">
        <w:r w:rsidRPr="00822C8C">
          <w:rPr>
            <w:rStyle w:val="Hyperlink1"/>
            <w:sz w:val="24"/>
            <w:lang w:val="fi-FI"/>
          </w:rPr>
          <w:t>http://data.europa.eu/eli/reg/1994/2965/oj</w:t>
        </w:r>
      </w:hyperlink>
      <w:r w:rsidRPr="00822C8C">
        <w:rPr>
          <w:sz w:val="24"/>
          <w:lang w:val="fi-FI"/>
        </w:rPr>
        <w:t>.</w:t>
      </w:r>
    </w:p>
  </w:footnote>
  <w:footnote w:id="36">
    <w:p w14:paraId="621F746F" w14:textId="77777777" w:rsidR="005375B7" w:rsidRPr="004768D6" w:rsidRDefault="005375B7" w:rsidP="005375B7">
      <w:pPr>
        <w:pStyle w:val="FootnoteText"/>
        <w:ind w:left="567" w:hanging="567"/>
        <w:rPr>
          <w:sz w:val="24"/>
          <w:lang w:val="fi-FI"/>
        </w:rPr>
      </w:pPr>
      <w:r w:rsidRPr="004768D6">
        <w:rPr>
          <w:rStyle w:val="FootnoteReference"/>
          <w:sz w:val="24"/>
        </w:rPr>
        <w:footnoteRef/>
      </w:r>
      <w:r w:rsidRPr="004768D6">
        <w:rPr>
          <w:sz w:val="24"/>
          <w:lang w:val="fi-FI"/>
        </w:rPr>
        <w:t xml:space="preserve"> </w:t>
      </w:r>
      <w:r w:rsidRPr="00822C8C">
        <w:rPr>
          <w:sz w:val="24"/>
          <w:lang w:val="fi-FI"/>
        </w:rPr>
        <w:tab/>
        <w:t xml:space="preserve">EUT L 122, 10.5.2019, s. 1, ELI: </w:t>
      </w:r>
      <w:hyperlink r:id="rId36" w:history="1">
        <w:r w:rsidRPr="00822C8C">
          <w:rPr>
            <w:rStyle w:val="Hyperlink1"/>
            <w:sz w:val="24"/>
            <w:lang w:val="fi-FI"/>
          </w:rPr>
          <w:t>http://data.europa.eu/eli/reg_del/2019/715/oj</w:t>
        </w:r>
      </w:hyperlink>
      <w:r w:rsidRPr="00822C8C">
        <w:rPr>
          <w:sz w:val="24"/>
          <w:lang w:val="fi-FI"/>
        </w:rPr>
        <w:t>.</w:t>
      </w:r>
    </w:p>
  </w:footnote>
  <w:footnote w:id="37">
    <w:p w14:paraId="6BC2B79D" w14:textId="77777777" w:rsidR="005375B7" w:rsidRPr="002424B4" w:rsidRDefault="005375B7" w:rsidP="005375B7">
      <w:pPr>
        <w:pStyle w:val="FootnoteText"/>
        <w:ind w:left="567" w:hanging="567"/>
        <w:rPr>
          <w:sz w:val="24"/>
          <w:lang w:val="fi-FI"/>
        </w:rPr>
      </w:pPr>
      <w:r w:rsidRPr="002424B4">
        <w:rPr>
          <w:rStyle w:val="FootnoteReference"/>
          <w:sz w:val="24"/>
        </w:rPr>
        <w:footnoteRef/>
      </w:r>
      <w:r w:rsidRPr="002424B4">
        <w:rPr>
          <w:sz w:val="24"/>
          <w:lang w:val="fi-FI"/>
        </w:rPr>
        <w:t xml:space="preserve"> </w:t>
      </w:r>
      <w:r w:rsidRPr="00822C8C">
        <w:rPr>
          <w:sz w:val="24"/>
          <w:lang w:val="fi-FI"/>
        </w:rPr>
        <w:tab/>
        <w:t xml:space="preserve">EUT C, C/2024/6332, 24.10.2024, ELI: </w:t>
      </w:r>
      <w:hyperlink r:id="rId37" w:history="1">
        <w:r w:rsidRPr="00822C8C">
          <w:rPr>
            <w:rStyle w:val="Hyperlink1"/>
            <w:sz w:val="24"/>
            <w:lang w:val="fi-FI"/>
          </w:rPr>
          <w:t>http://data.europa.eu/eli/C/2024/6332/oj</w:t>
        </w:r>
      </w:hyperlink>
      <w:r w:rsidRPr="00822C8C">
        <w:rPr>
          <w:sz w:val="24"/>
          <w:lang w:val="fi-FI"/>
        </w:rPr>
        <w:t>.</w:t>
      </w:r>
    </w:p>
  </w:footnote>
  <w:footnote w:id="38">
    <w:p w14:paraId="280AF474" w14:textId="77777777" w:rsidR="005375B7" w:rsidRPr="002424B4" w:rsidRDefault="005375B7" w:rsidP="005375B7">
      <w:pPr>
        <w:pStyle w:val="FootnoteText"/>
        <w:ind w:left="567" w:hanging="567"/>
        <w:rPr>
          <w:sz w:val="24"/>
          <w:lang w:val="fi-FI"/>
        </w:rPr>
      </w:pPr>
      <w:r w:rsidRPr="002424B4">
        <w:rPr>
          <w:rStyle w:val="FootnoteReference"/>
          <w:sz w:val="24"/>
        </w:rPr>
        <w:footnoteRef/>
      </w:r>
      <w:r w:rsidRPr="002424B4">
        <w:rPr>
          <w:sz w:val="24"/>
          <w:lang w:val="fi-FI"/>
        </w:rPr>
        <w:t xml:space="preserve"> </w:t>
      </w:r>
      <w:r w:rsidRPr="00822C8C">
        <w:rPr>
          <w:sz w:val="24"/>
          <w:lang w:val="fi-FI"/>
        </w:rPr>
        <w:tab/>
        <w:t xml:space="preserve">EUT C, C/2024/6041, 10.10.2024, ELI: </w:t>
      </w:r>
      <w:hyperlink r:id="rId38" w:history="1">
        <w:r w:rsidRPr="00822C8C">
          <w:rPr>
            <w:rStyle w:val="Hyperlink1"/>
            <w:sz w:val="24"/>
            <w:lang w:val="fi-FI"/>
          </w:rPr>
          <w:t>http://data.europa.eu/eli/C/2024/6041/oj</w:t>
        </w:r>
      </w:hyperlink>
      <w:r w:rsidRPr="00822C8C">
        <w:rPr>
          <w:sz w:val="24"/>
          <w:lang w:val="fi-FI"/>
        </w:rPr>
        <w:t>.</w:t>
      </w:r>
    </w:p>
  </w:footnote>
  <w:footnote w:id="39">
    <w:p w14:paraId="4750C7B4" w14:textId="77777777" w:rsidR="005375B7" w:rsidRPr="002424B4" w:rsidRDefault="005375B7" w:rsidP="005375B7">
      <w:pPr>
        <w:pStyle w:val="FootnoteText"/>
        <w:ind w:left="567" w:hanging="567"/>
        <w:rPr>
          <w:sz w:val="24"/>
          <w:lang w:val="fi-FI"/>
        </w:rPr>
      </w:pPr>
      <w:r w:rsidRPr="002424B4">
        <w:rPr>
          <w:rStyle w:val="FootnoteReference"/>
          <w:sz w:val="24"/>
        </w:rPr>
        <w:footnoteRef/>
      </w:r>
      <w:r w:rsidRPr="002424B4">
        <w:rPr>
          <w:sz w:val="24"/>
          <w:lang w:val="fi-FI"/>
        </w:rPr>
        <w:t xml:space="preserve"> </w:t>
      </w:r>
      <w:r w:rsidRPr="00822C8C">
        <w:rPr>
          <w:sz w:val="24"/>
          <w:lang w:val="fi-FI"/>
        </w:rPr>
        <w:tab/>
        <w:t xml:space="preserve">EUT L 193, 30.7.2018, s. 1, ELI: </w:t>
      </w:r>
      <w:hyperlink r:id="rId39" w:history="1">
        <w:r w:rsidRPr="00822C8C">
          <w:rPr>
            <w:rStyle w:val="Hyperlink1"/>
            <w:sz w:val="24"/>
            <w:lang w:val="fi-FI"/>
          </w:rPr>
          <w:t>http://data.europa.eu/eli/reg/2018/1046/oj</w:t>
        </w:r>
      </w:hyperlink>
      <w:r w:rsidRPr="00822C8C">
        <w:rPr>
          <w:sz w:val="24"/>
          <w:lang w:val="fi-FI"/>
        </w:rPr>
        <w:t>.</w:t>
      </w:r>
    </w:p>
  </w:footnote>
  <w:footnote w:id="40">
    <w:p w14:paraId="010A1BC3" w14:textId="77777777" w:rsidR="005375B7" w:rsidRPr="002424B4" w:rsidRDefault="005375B7" w:rsidP="005375B7">
      <w:pPr>
        <w:pStyle w:val="FootnoteText"/>
        <w:ind w:left="567" w:hanging="567"/>
        <w:rPr>
          <w:sz w:val="24"/>
          <w:lang w:val="fi-FI"/>
        </w:rPr>
      </w:pPr>
      <w:r w:rsidRPr="002424B4">
        <w:rPr>
          <w:rStyle w:val="FootnoteReference"/>
          <w:sz w:val="24"/>
        </w:rPr>
        <w:footnoteRef/>
      </w:r>
      <w:r w:rsidRPr="002424B4">
        <w:rPr>
          <w:sz w:val="24"/>
          <w:lang w:val="fi-FI"/>
        </w:rPr>
        <w:t xml:space="preserve"> </w:t>
      </w:r>
      <w:r w:rsidRPr="00822C8C">
        <w:rPr>
          <w:sz w:val="24"/>
          <w:lang w:val="fi-FI"/>
        </w:rPr>
        <w:tab/>
        <w:t xml:space="preserve">EUT L, 2024/2509, 26.9.2024, ELI: </w:t>
      </w:r>
      <w:hyperlink r:id="rId40" w:history="1">
        <w:r w:rsidRPr="00822C8C">
          <w:rPr>
            <w:rStyle w:val="Hyperlink1"/>
            <w:sz w:val="24"/>
            <w:lang w:val="fi-FI"/>
          </w:rPr>
          <w:t>http://data.europa.eu/eli/reg/2024/2509/oj</w:t>
        </w:r>
      </w:hyperlink>
      <w:r w:rsidRPr="00822C8C">
        <w:rPr>
          <w:rStyle w:val="Hyperlink1"/>
          <w:sz w:val="24"/>
          <w:lang w:val="fi-FI"/>
        </w:rPr>
        <w:t>.</w:t>
      </w:r>
    </w:p>
  </w:footnote>
  <w:footnote w:id="41">
    <w:p w14:paraId="7BD7B35F" w14:textId="77777777" w:rsidR="005375B7" w:rsidRPr="002424B4" w:rsidRDefault="005375B7" w:rsidP="005375B7">
      <w:pPr>
        <w:pStyle w:val="FootnoteText"/>
        <w:ind w:left="567" w:hanging="567"/>
        <w:rPr>
          <w:sz w:val="24"/>
          <w:lang w:val="fi-FI"/>
        </w:rPr>
      </w:pPr>
      <w:r w:rsidRPr="002424B4">
        <w:rPr>
          <w:rStyle w:val="FootnoteReference"/>
          <w:sz w:val="24"/>
        </w:rPr>
        <w:footnoteRef/>
      </w:r>
      <w:r w:rsidRPr="002424B4">
        <w:rPr>
          <w:sz w:val="24"/>
          <w:lang w:val="fi-FI"/>
        </w:rPr>
        <w:t xml:space="preserve"> </w:t>
      </w:r>
      <w:r w:rsidRPr="00822C8C">
        <w:rPr>
          <w:sz w:val="24"/>
          <w:lang w:val="fi-FI"/>
        </w:rPr>
        <w:tab/>
        <w:t xml:space="preserve">EUT L 30, 31.1.2019, s. 90, ELI: </w:t>
      </w:r>
      <w:hyperlink r:id="rId41" w:history="1">
        <w:r w:rsidRPr="00822C8C">
          <w:rPr>
            <w:rStyle w:val="Hyperlink1"/>
            <w:sz w:val="24"/>
            <w:lang w:val="fi-FI"/>
          </w:rPr>
          <w:t>http://data.europa.eu/eli/reg/2019/128/oj</w:t>
        </w:r>
      </w:hyperlink>
      <w:r w:rsidRPr="00822C8C">
        <w:rPr>
          <w:sz w:val="24"/>
          <w:lang w:val="fi-FI"/>
        </w:rPr>
        <w:t>.</w:t>
      </w:r>
    </w:p>
  </w:footnote>
  <w:footnote w:id="42">
    <w:p w14:paraId="1D0931CF" w14:textId="77777777" w:rsidR="005375B7" w:rsidRPr="002424B4" w:rsidRDefault="005375B7" w:rsidP="005375B7">
      <w:pPr>
        <w:pStyle w:val="FootnoteText"/>
        <w:ind w:left="567" w:hanging="567"/>
        <w:rPr>
          <w:sz w:val="24"/>
          <w:lang w:val="fi-FI"/>
        </w:rPr>
      </w:pPr>
      <w:r w:rsidRPr="002424B4">
        <w:rPr>
          <w:rStyle w:val="FootnoteReference"/>
          <w:sz w:val="24"/>
        </w:rPr>
        <w:footnoteRef/>
      </w:r>
      <w:r w:rsidRPr="002424B4">
        <w:rPr>
          <w:sz w:val="24"/>
          <w:lang w:val="fi-FI"/>
        </w:rPr>
        <w:t xml:space="preserve"> </w:t>
      </w:r>
      <w:r w:rsidRPr="00822C8C">
        <w:rPr>
          <w:sz w:val="24"/>
          <w:lang w:val="fi-FI"/>
        </w:rPr>
        <w:tab/>
        <w:t xml:space="preserve">EUT L 122, 10.5.2019, s. 1, ELI: </w:t>
      </w:r>
      <w:hyperlink r:id="rId42" w:history="1">
        <w:r w:rsidRPr="00822C8C">
          <w:rPr>
            <w:rStyle w:val="Hyperlink1"/>
            <w:sz w:val="24"/>
            <w:lang w:val="fi-FI"/>
          </w:rPr>
          <w:t>http://data.europa.eu/eli/reg_del/2019/715/oj</w:t>
        </w:r>
      </w:hyperlink>
      <w:r w:rsidRPr="00822C8C">
        <w:rPr>
          <w:sz w:val="24"/>
          <w:lang w:val="fi-FI"/>
        </w:rPr>
        <w:t>.</w:t>
      </w:r>
    </w:p>
  </w:footnote>
  <w:footnote w:id="43">
    <w:p w14:paraId="04C89F9B" w14:textId="77777777" w:rsidR="005375B7" w:rsidRPr="00577849" w:rsidRDefault="005375B7" w:rsidP="005375B7">
      <w:pPr>
        <w:pStyle w:val="FootnoteText"/>
        <w:ind w:left="567" w:hanging="567"/>
        <w:rPr>
          <w:sz w:val="24"/>
          <w:lang w:val="fi-FI"/>
        </w:rPr>
      </w:pPr>
      <w:r w:rsidRPr="00577849">
        <w:rPr>
          <w:rStyle w:val="FootnoteReference"/>
          <w:sz w:val="24"/>
        </w:rPr>
        <w:footnoteRef/>
      </w:r>
      <w:r w:rsidRPr="00577849">
        <w:rPr>
          <w:sz w:val="24"/>
          <w:lang w:val="fi-FI"/>
        </w:rPr>
        <w:t xml:space="preserve"> </w:t>
      </w:r>
      <w:r w:rsidRPr="00822C8C">
        <w:rPr>
          <w:sz w:val="24"/>
          <w:lang w:val="fi-FI"/>
        </w:rPr>
        <w:tab/>
        <w:t xml:space="preserve">EUT C, C/2024/6332, 24.10.2024, ELI: </w:t>
      </w:r>
      <w:hyperlink r:id="rId43" w:history="1">
        <w:r w:rsidRPr="00822C8C">
          <w:rPr>
            <w:rStyle w:val="Hyperlink1"/>
            <w:sz w:val="24"/>
            <w:lang w:val="fi-FI"/>
          </w:rPr>
          <w:t>http://data.europa.eu/eli/C/2024/6332/oj</w:t>
        </w:r>
      </w:hyperlink>
      <w:r w:rsidRPr="00822C8C">
        <w:rPr>
          <w:sz w:val="24"/>
          <w:lang w:val="fi-FI"/>
        </w:rPr>
        <w:t>.</w:t>
      </w:r>
    </w:p>
  </w:footnote>
  <w:footnote w:id="44">
    <w:p w14:paraId="1F9FA2C6" w14:textId="77777777" w:rsidR="005375B7" w:rsidRPr="00577849" w:rsidRDefault="005375B7" w:rsidP="005375B7">
      <w:pPr>
        <w:pStyle w:val="FootnoteText"/>
        <w:ind w:left="567" w:hanging="567"/>
        <w:rPr>
          <w:sz w:val="24"/>
          <w:lang w:val="fi-FI"/>
        </w:rPr>
      </w:pPr>
      <w:r w:rsidRPr="00577849">
        <w:rPr>
          <w:rStyle w:val="FootnoteReference"/>
          <w:sz w:val="24"/>
        </w:rPr>
        <w:footnoteRef/>
      </w:r>
      <w:r w:rsidRPr="00577849">
        <w:rPr>
          <w:sz w:val="24"/>
          <w:lang w:val="fi-FI"/>
        </w:rPr>
        <w:t xml:space="preserve"> </w:t>
      </w:r>
      <w:r w:rsidRPr="00822C8C">
        <w:rPr>
          <w:sz w:val="24"/>
          <w:lang w:val="fi-FI"/>
        </w:rPr>
        <w:tab/>
        <w:t xml:space="preserve">EUT C, C/2024/6041, 10.10.2024, ELI: </w:t>
      </w:r>
      <w:hyperlink r:id="rId44" w:history="1">
        <w:r w:rsidRPr="00822C8C">
          <w:rPr>
            <w:rStyle w:val="Hyperlink1"/>
            <w:sz w:val="24"/>
            <w:lang w:val="fi-FI"/>
          </w:rPr>
          <w:t>http://data.europa.eu/eli/C/2024/6041/oj</w:t>
        </w:r>
      </w:hyperlink>
      <w:r w:rsidRPr="00822C8C">
        <w:rPr>
          <w:sz w:val="24"/>
          <w:lang w:val="fi-FI"/>
        </w:rPr>
        <w:t>.</w:t>
      </w:r>
    </w:p>
  </w:footnote>
  <w:footnote w:id="45">
    <w:p w14:paraId="4A3458E0" w14:textId="77777777" w:rsidR="005375B7" w:rsidRPr="00577849" w:rsidRDefault="005375B7" w:rsidP="005375B7">
      <w:pPr>
        <w:pStyle w:val="FootnoteText"/>
        <w:ind w:left="567" w:hanging="567"/>
        <w:rPr>
          <w:sz w:val="24"/>
          <w:lang w:val="fi-FI"/>
        </w:rPr>
      </w:pPr>
      <w:r w:rsidRPr="00577849">
        <w:rPr>
          <w:rStyle w:val="FootnoteReference"/>
          <w:sz w:val="24"/>
        </w:rPr>
        <w:footnoteRef/>
      </w:r>
      <w:r w:rsidRPr="00577849">
        <w:rPr>
          <w:sz w:val="24"/>
          <w:lang w:val="fi-FI"/>
        </w:rPr>
        <w:t xml:space="preserve"> </w:t>
      </w:r>
      <w:r w:rsidRPr="00822C8C">
        <w:rPr>
          <w:sz w:val="24"/>
          <w:lang w:val="fi-FI"/>
        </w:rPr>
        <w:tab/>
        <w:t xml:space="preserve">EUT L 193, 30.7.2018, s. 1, ELI: </w:t>
      </w:r>
      <w:hyperlink r:id="rId45" w:history="1">
        <w:r w:rsidRPr="00822C8C">
          <w:rPr>
            <w:rStyle w:val="Hyperlink1"/>
            <w:sz w:val="24"/>
            <w:lang w:val="fi-FI"/>
          </w:rPr>
          <w:t>http://data.europa.eu/eli/reg/2018/1046/oj</w:t>
        </w:r>
      </w:hyperlink>
      <w:r w:rsidRPr="00822C8C">
        <w:rPr>
          <w:sz w:val="24"/>
          <w:lang w:val="fi-FI"/>
        </w:rPr>
        <w:t>.</w:t>
      </w:r>
    </w:p>
  </w:footnote>
  <w:footnote w:id="46">
    <w:p w14:paraId="55426623" w14:textId="77777777" w:rsidR="005375B7" w:rsidRPr="00577849" w:rsidRDefault="005375B7" w:rsidP="005375B7">
      <w:pPr>
        <w:pStyle w:val="FootnoteText"/>
        <w:ind w:left="567" w:hanging="567"/>
        <w:rPr>
          <w:sz w:val="24"/>
          <w:lang w:val="fi-FI"/>
        </w:rPr>
      </w:pPr>
      <w:r w:rsidRPr="00577849">
        <w:rPr>
          <w:rStyle w:val="FootnoteReference"/>
          <w:sz w:val="24"/>
        </w:rPr>
        <w:footnoteRef/>
      </w:r>
      <w:r w:rsidRPr="00577849">
        <w:rPr>
          <w:sz w:val="24"/>
          <w:lang w:val="fi-FI"/>
        </w:rPr>
        <w:t xml:space="preserve"> </w:t>
      </w:r>
      <w:r w:rsidRPr="00822C8C">
        <w:rPr>
          <w:sz w:val="24"/>
          <w:lang w:val="fi-FI"/>
        </w:rPr>
        <w:tab/>
        <w:t xml:space="preserve">EUT L, 2024/2509, 26.9.2024, ELI: </w:t>
      </w:r>
      <w:hyperlink r:id="rId46" w:history="1">
        <w:r w:rsidRPr="00822C8C">
          <w:rPr>
            <w:rStyle w:val="Hyperlink1"/>
            <w:sz w:val="24"/>
            <w:lang w:val="fi-FI"/>
          </w:rPr>
          <w:t>http://data.europa.eu/eli/reg/2024/2509/oj</w:t>
        </w:r>
      </w:hyperlink>
      <w:r w:rsidRPr="00822C8C">
        <w:rPr>
          <w:rStyle w:val="Hyperlink1"/>
          <w:sz w:val="24"/>
          <w:lang w:val="fi-FI"/>
        </w:rPr>
        <w:t>.</w:t>
      </w:r>
    </w:p>
  </w:footnote>
  <w:footnote w:id="47">
    <w:p w14:paraId="6F55219B" w14:textId="77777777" w:rsidR="005375B7" w:rsidRPr="00577849" w:rsidRDefault="005375B7" w:rsidP="005375B7">
      <w:pPr>
        <w:pStyle w:val="FootnoteText"/>
        <w:ind w:left="567" w:hanging="567"/>
        <w:rPr>
          <w:sz w:val="24"/>
          <w:lang w:val="fi-FI"/>
        </w:rPr>
      </w:pPr>
      <w:r w:rsidRPr="00577849">
        <w:rPr>
          <w:rStyle w:val="FootnoteReference"/>
          <w:sz w:val="24"/>
        </w:rPr>
        <w:footnoteRef/>
      </w:r>
      <w:r w:rsidRPr="00577849">
        <w:rPr>
          <w:sz w:val="24"/>
          <w:lang w:val="fi-FI"/>
        </w:rPr>
        <w:t xml:space="preserve"> </w:t>
      </w:r>
      <w:r w:rsidRPr="00822C8C">
        <w:rPr>
          <w:sz w:val="24"/>
          <w:lang w:val="fi-FI"/>
        </w:rPr>
        <w:tab/>
        <w:t xml:space="preserve">EUT L 30, 31.1.2019, s. 90, ELI: </w:t>
      </w:r>
      <w:hyperlink r:id="rId47" w:history="1">
        <w:r w:rsidRPr="00822C8C">
          <w:rPr>
            <w:rStyle w:val="Hyperlink1"/>
            <w:sz w:val="24"/>
            <w:lang w:val="fi-FI"/>
          </w:rPr>
          <w:t>http://data.europa.eu/eli/reg/2019/128/oj</w:t>
        </w:r>
      </w:hyperlink>
      <w:r w:rsidRPr="00822C8C">
        <w:rPr>
          <w:sz w:val="24"/>
          <w:lang w:val="fi-FI"/>
        </w:rPr>
        <w:t>.</w:t>
      </w:r>
    </w:p>
  </w:footnote>
  <w:footnote w:id="48">
    <w:p w14:paraId="2FF72FCB" w14:textId="77777777" w:rsidR="005375B7" w:rsidRPr="00577849" w:rsidRDefault="005375B7" w:rsidP="005375B7">
      <w:pPr>
        <w:pStyle w:val="FootnoteText"/>
        <w:ind w:left="567" w:hanging="567"/>
        <w:rPr>
          <w:sz w:val="24"/>
          <w:lang w:val="fi-FI"/>
        </w:rPr>
      </w:pPr>
      <w:r w:rsidRPr="00577849">
        <w:rPr>
          <w:rStyle w:val="FootnoteReference"/>
          <w:sz w:val="24"/>
        </w:rPr>
        <w:footnoteRef/>
      </w:r>
      <w:r w:rsidRPr="00577849">
        <w:rPr>
          <w:sz w:val="24"/>
          <w:lang w:val="fi-FI"/>
        </w:rPr>
        <w:t xml:space="preserve"> </w:t>
      </w:r>
      <w:r w:rsidRPr="00822C8C">
        <w:rPr>
          <w:sz w:val="24"/>
          <w:lang w:val="fi-FI"/>
        </w:rPr>
        <w:tab/>
        <w:t xml:space="preserve">EUT L 122, 10.5.2019, s. 1, ELI: </w:t>
      </w:r>
      <w:hyperlink r:id="rId48" w:history="1">
        <w:r w:rsidRPr="00822C8C">
          <w:rPr>
            <w:rStyle w:val="Hyperlink1"/>
            <w:sz w:val="24"/>
            <w:lang w:val="fi-FI"/>
          </w:rPr>
          <w:t>http://data.europa.eu/eli/reg_del/2019/715/oj</w:t>
        </w:r>
      </w:hyperlink>
      <w:r w:rsidRPr="00822C8C">
        <w:rPr>
          <w:sz w:val="24"/>
          <w:lang w:val="fi-FI"/>
        </w:rPr>
        <w:t>.</w:t>
      </w:r>
    </w:p>
  </w:footnote>
  <w:footnote w:id="49">
    <w:p w14:paraId="38F15B95" w14:textId="77777777" w:rsidR="005375B7" w:rsidRPr="00FA42FB" w:rsidRDefault="005375B7" w:rsidP="005375B7">
      <w:pPr>
        <w:pStyle w:val="FootnoteText"/>
        <w:ind w:left="567" w:hanging="567"/>
        <w:rPr>
          <w:sz w:val="24"/>
          <w:lang w:val="fi-FI"/>
        </w:rPr>
      </w:pPr>
      <w:r w:rsidRPr="00FA42FB">
        <w:rPr>
          <w:rStyle w:val="FootnoteReference"/>
          <w:sz w:val="24"/>
        </w:rPr>
        <w:footnoteRef/>
      </w:r>
      <w:r w:rsidRPr="00FA42FB">
        <w:rPr>
          <w:sz w:val="24"/>
          <w:lang w:val="fi-FI"/>
        </w:rPr>
        <w:t xml:space="preserve"> </w:t>
      </w:r>
      <w:r w:rsidRPr="00822C8C">
        <w:rPr>
          <w:sz w:val="24"/>
          <w:lang w:val="fi-FI"/>
        </w:rPr>
        <w:tab/>
        <w:t xml:space="preserve">EUT C, C/2024/6332, 24.10.2024, ELI: </w:t>
      </w:r>
      <w:hyperlink r:id="rId49" w:history="1">
        <w:r w:rsidRPr="00822C8C">
          <w:rPr>
            <w:rStyle w:val="Hyperlink1"/>
            <w:sz w:val="24"/>
            <w:lang w:val="fi-FI"/>
          </w:rPr>
          <w:t>http://data.europa.eu/eli/C/2024/6332/oj</w:t>
        </w:r>
      </w:hyperlink>
      <w:r w:rsidRPr="00822C8C">
        <w:rPr>
          <w:sz w:val="24"/>
          <w:lang w:val="fi-FI"/>
        </w:rPr>
        <w:t>.</w:t>
      </w:r>
    </w:p>
  </w:footnote>
  <w:footnote w:id="50">
    <w:p w14:paraId="1E533EFE" w14:textId="77777777" w:rsidR="005375B7" w:rsidRPr="00FA42FB" w:rsidRDefault="005375B7" w:rsidP="005375B7">
      <w:pPr>
        <w:pStyle w:val="FootnoteText"/>
        <w:ind w:left="567" w:hanging="567"/>
        <w:rPr>
          <w:sz w:val="24"/>
          <w:lang w:val="fi-FI"/>
        </w:rPr>
      </w:pPr>
      <w:r w:rsidRPr="00FA42FB">
        <w:rPr>
          <w:rStyle w:val="FootnoteReference"/>
          <w:sz w:val="24"/>
        </w:rPr>
        <w:footnoteRef/>
      </w:r>
      <w:r w:rsidRPr="00FA42FB">
        <w:rPr>
          <w:sz w:val="24"/>
          <w:lang w:val="fi-FI"/>
        </w:rPr>
        <w:t xml:space="preserve"> </w:t>
      </w:r>
      <w:r w:rsidRPr="00822C8C">
        <w:rPr>
          <w:sz w:val="24"/>
          <w:lang w:val="fi-FI"/>
        </w:rPr>
        <w:tab/>
        <w:t xml:space="preserve">EUT C, C/2024/6041, 10.10.2024, ELI: </w:t>
      </w:r>
      <w:hyperlink r:id="rId50" w:history="1">
        <w:r w:rsidRPr="00822C8C">
          <w:rPr>
            <w:rStyle w:val="Hyperlink1"/>
            <w:sz w:val="24"/>
            <w:lang w:val="fi-FI"/>
          </w:rPr>
          <w:t>http://data.europa.eu/eli/C/2024/6041/oj</w:t>
        </w:r>
      </w:hyperlink>
      <w:r w:rsidRPr="00822C8C">
        <w:rPr>
          <w:sz w:val="24"/>
          <w:lang w:val="fi-FI"/>
        </w:rPr>
        <w:t>.</w:t>
      </w:r>
    </w:p>
  </w:footnote>
  <w:footnote w:id="51">
    <w:p w14:paraId="7AA46445" w14:textId="77777777" w:rsidR="005375B7" w:rsidRPr="00FA42FB" w:rsidRDefault="005375B7" w:rsidP="005375B7">
      <w:pPr>
        <w:pStyle w:val="FootnoteText"/>
        <w:ind w:left="567" w:hanging="567"/>
        <w:rPr>
          <w:sz w:val="24"/>
          <w:lang w:val="fi-FI"/>
        </w:rPr>
      </w:pPr>
      <w:r w:rsidRPr="00FA42FB">
        <w:rPr>
          <w:rStyle w:val="FootnoteReference"/>
          <w:sz w:val="24"/>
        </w:rPr>
        <w:footnoteRef/>
      </w:r>
      <w:r w:rsidRPr="00FA42FB">
        <w:rPr>
          <w:sz w:val="24"/>
          <w:lang w:val="fi-FI"/>
        </w:rPr>
        <w:t xml:space="preserve"> </w:t>
      </w:r>
      <w:r w:rsidRPr="00822C8C">
        <w:rPr>
          <w:sz w:val="24"/>
          <w:lang w:val="fi-FI"/>
        </w:rPr>
        <w:tab/>
        <w:t xml:space="preserve">EUT L 193, 30.7.2018, s. 1, ELI: </w:t>
      </w:r>
      <w:hyperlink r:id="rId51" w:history="1">
        <w:r w:rsidRPr="00822C8C">
          <w:rPr>
            <w:rStyle w:val="Hyperlink1"/>
            <w:sz w:val="24"/>
            <w:lang w:val="fi-FI"/>
          </w:rPr>
          <w:t>http://data.europa.eu/eli/reg/2018/1046/oj</w:t>
        </w:r>
      </w:hyperlink>
      <w:r w:rsidRPr="00822C8C">
        <w:rPr>
          <w:sz w:val="24"/>
          <w:lang w:val="fi-FI"/>
        </w:rPr>
        <w:t>.</w:t>
      </w:r>
    </w:p>
  </w:footnote>
  <w:footnote w:id="52">
    <w:p w14:paraId="0FA7AEA5" w14:textId="77777777" w:rsidR="005375B7" w:rsidRPr="00FA42FB" w:rsidRDefault="005375B7" w:rsidP="005375B7">
      <w:pPr>
        <w:pStyle w:val="FootnoteText"/>
        <w:ind w:left="567" w:hanging="567"/>
        <w:rPr>
          <w:sz w:val="24"/>
          <w:lang w:val="fi-FI"/>
        </w:rPr>
      </w:pPr>
      <w:r w:rsidRPr="00FA42FB">
        <w:rPr>
          <w:rStyle w:val="FootnoteReference"/>
          <w:sz w:val="24"/>
        </w:rPr>
        <w:footnoteRef/>
      </w:r>
      <w:r w:rsidRPr="00FA42FB">
        <w:rPr>
          <w:sz w:val="24"/>
          <w:lang w:val="fi-FI"/>
        </w:rPr>
        <w:t xml:space="preserve"> </w:t>
      </w:r>
      <w:r w:rsidRPr="00822C8C">
        <w:rPr>
          <w:sz w:val="24"/>
          <w:lang w:val="fi-FI"/>
        </w:rPr>
        <w:tab/>
        <w:t xml:space="preserve">EUT L, 2024/2509, 26.9.2024, ELI: </w:t>
      </w:r>
      <w:hyperlink r:id="rId52" w:history="1">
        <w:r w:rsidRPr="00822C8C">
          <w:rPr>
            <w:rStyle w:val="Hyperlink1"/>
            <w:sz w:val="24"/>
            <w:lang w:val="fi-FI"/>
          </w:rPr>
          <w:t>http://data.europa.eu/eli/reg/2024/2509/oj</w:t>
        </w:r>
      </w:hyperlink>
      <w:r w:rsidRPr="00822C8C">
        <w:rPr>
          <w:rStyle w:val="Hyperlink1"/>
          <w:sz w:val="24"/>
          <w:lang w:val="fi-FI"/>
        </w:rPr>
        <w:t>.</w:t>
      </w:r>
    </w:p>
  </w:footnote>
  <w:footnote w:id="53">
    <w:p w14:paraId="2EE3A1EC" w14:textId="77777777" w:rsidR="005375B7" w:rsidRPr="00FA42FB" w:rsidRDefault="005375B7" w:rsidP="005375B7">
      <w:pPr>
        <w:pStyle w:val="FootnoteText"/>
        <w:ind w:left="567" w:hanging="567"/>
        <w:rPr>
          <w:sz w:val="24"/>
          <w:lang w:val="fi-FI"/>
        </w:rPr>
      </w:pPr>
      <w:r w:rsidRPr="00FA42FB">
        <w:rPr>
          <w:rStyle w:val="FootnoteReference"/>
          <w:sz w:val="24"/>
        </w:rPr>
        <w:footnoteRef/>
      </w:r>
      <w:r w:rsidRPr="00FA42FB">
        <w:rPr>
          <w:sz w:val="24"/>
          <w:lang w:val="fi-FI"/>
        </w:rPr>
        <w:t xml:space="preserve"> </w:t>
      </w:r>
      <w:r w:rsidRPr="00822C8C">
        <w:rPr>
          <w:sz w:val="24"/>
          <w:lang w:val="fi-FI"/>
        </w:rPr>
        <w:tab/>
        <w:t xml:space="preserve">EUT L 319, 4.12.2015, s. 1, ELI: </w:t>
      </w:r>
      <w:hyperlink r:id="rId53" w:history="1">
        <w:r w:rsidRPr="00822C8C">
          <w:rPr>
            <w:rStyle w:val="Hyperlink1"/>
            <w:sz w:val="24"/>
            <w:lang w:val="fi-FI"/>
          </w:rPr>
          <w:t>http://data.europa.eu/eli/reg/2015/2219/oj</w:t>
        </w:r>
      </w:hyperlink>
      <w:r w:rsidRPr="00822C8C">
        <w:rPr>
          <w:sz w:val="24"/>
          <w:lang w:val="fi-FI"/>
        </w:rPr>
        <w:t>.</w:t>
      </w:r>
    </w:p>
  </w:footnote>
  <w:footnote w:id="54">
    <w:p w14:paraId="6DC79421" w14:textId="77777777" w:rsidR="005375B7" w:rsidRPr="00FA42FB" w:rsidRDefault="005375B7" w:rsidP="005375B7">
      <w:pPr>
        <w:pStyle w:val="FootnoteText"/>
        <w:ind w:left="567" w:hanging="567"/>
        <w:rPr>
          <w:sz w:val="24"/>
          <w:lang w:val="fi-FI"/>
        </w:rPr>
      </w:pPr>
      <w:r w:rsidRPr="00FA42FB">
        <w:rPr>
          <w:rStyle w:val="FootnoteReference"/>
          <w:sz w:val="24"/>
        </w:rPr>
        <w:footnoteRef/>
      </w:r>
      <w:r w:rsidRPr="00FA42FB">
        <w:rPr>
          <w:sz w:val="24"/>
          <w:lang w:val="fi-FI"/>
        </w:rPr>
        <w:t xml:space="preserve"> </w:t>
      </w:r>
      <w:r w:rsidRPr="00822C8C">
        <w:rPr>
          <w:sz w:val="24"/>
          <w:lang w:val="fi-FI"/>
        </w:rPr>
        <w:tab/>
        <w:t xml:space="preserve">EUT L 122, 10.5.2019, s. 1, ELI: </w:t>
      </w:r>
      <w:hyperlink r:id="rId54" w:history="1">
        <w:r w:rsidRPr="00822C8C">
          <w:rPr>
            <w:rStyle w:val="Hyperlink1"/>
            <w:sz w:val="24"/>
            <w:lang w:val="fi-FI"/>
          </w:rPr>
          <w:t>http://data.europa.eu/eli/reg_del/2019/715/oj</w:t>
        </w:r>
      </w:hyperlink>
      <w:r w:rsidRPr="00822C8C">
        <w:rPr>
          <w:sz w:val="24"/>
          <w:lang w:val="fi-FI"/>
        </w:rPr>
        <w:t>.</w:t>
      </w:r>
    </w:p>
  </w:footnote>
  <w:footnote w:id="55">
    <w:p w14:paraId="1C8A9513" w14:textId="77777777" w:rsidR="005375B7" w:rsidRPr="00980E47" w:rsidRDefault="005375B7" w:rsidP="005375B7">
      <w:pPr>
        <w:pStyle w:val="FootnoteText"/>
        <w:ind w:left="567" w:hanging="567"/>
        <w:rPr>
          <w:sz w:val="24"/>
          <w:lang w:val="fi-FI"/>
        </w:rPr>
      </w:pPr>
      <w:r w:rsidRPr="00980E47">
        <w:rPr>
          <w:rStyle w:val="FootnoteReference"/>
          <w:sz w:val="24"/>
        </w:rPr>
        <w:footnoteRef/>
      </w:r>
      <w:r w:rsidRPr="00980E47">
        <w:rPr>
          <w:sz w:val="24"/>
          <w:lang w:val="fi-FI"/>
        </w:rPr>
        <w:t xml:space="preserve"> </w:t>
      </w:r>
      <w:r w:rsidRPr="00822C8C">
        <w:rPr>
          <w:sz w:val="24"/>
          <w:lang w:val="fi-FI"/>
        </w:rPr>
        <w:tab/>
        <w:t xml:space="preserve">EUT C, C/2024/6332, 24.10.2024, ELI: </w:t>
      </w:r>
      <w:hyperlink r:id="rId55" w:history="1">
        <w:r w:rsidRPr="00822C8C">
          <w:rPr>
            <w:rStyle w:val="Hyperlink1"/>
            <w:sz w:val="24"/>
            <w:lang w:val="fi-FI"/>
          </w:rPr>
          <w:t>http://data.europa.eu/eli/C/2024/6332/oj</w:t>
        </w:r>
      </w:hyperlink>
      <w:r w:rsidRPr="00822C8C">
        <w:rPr>
          <w:sz w:val="24"/>
          <w:lang w:val="fi-FI"/>
        </w:rPr>
        <w:t>.</w:t>
      </w:r>
    </w:p>
  </w:footnote>
  <w:footnote w:id="56">
    <w:p w14:paraId="0B85C0B7" w14:textId="77777777" w:rsidR="005375B7" w:rsidRPr="00980E47" w:rsidRDefault="005375B7" w:rsidP="005375B7">
      <w:pPr>
        <w:pStyle w:val="FootnoteText"/>
        <w:ind w:left="567" w:hanging="567"/>
        <w:rPr>
          <w:sz w:val="24"/>
          <w:lang w:val="fi-FI"/>
        </w:rPr>
      </w:pPr>
      <w:r w:rsidRPr="00980E47">
        <w:rPr>
          <w:rStyle w:val="FootnoteReference"/>
          <w:sz w:val="24"/>
        </w:rPr>
        <w:footnoteRef/>
      </w:r>
      <w:r w:rsidRPr="00980E47">
        <w:rPr>
          <w:sz w:val="24"/>
          <w:lang w:val="fi-FI"/>
        </w:rPr>
        <w:t xml:space="preserve"> </w:t>
      </w:r>
      <w:r w:rsidRPr="00822C8C">
        <w:rPr>
          <w:sz w:val="24"/>
          <w:lang w:val="fi-FI"/>
        </w:rPr>
        <w:tab/>
        <w:t xml:space="preserve">EUT C, C/2024/6041, 10.10.2024, ELI: </w:t>
      </w:r>
      <w:hyperlink r:id="rId56" w:history="1">
        <w:r w:rsidRPr="00822C8C">
          <w:rPr>
            <w:rStyle w:val="Hyperlink1"/>
            <w:sz w:val="24"/>
            <w:lang w:val="fi-FI"/>
          </w:rPr>
          <w:t>http://data.europa.eu/eli/C/2024/6041/oj</w:t>
        </w:r>
      </w:hyperlink>
      <w:r w:rsidRPr="00822C8C">
        <w:rPr>
          <w:sz w:val="24"/>
          <w:lang w:val="fi-FI"/>
        </w:rPr>
        <w:t>.</w:t>
      </w:r>
    </w:p>
  </w:footnote>
  <w:footnote w:id="57">
    <w:p w14:paraId="253ED28C" w14:textId="77777777" w:rsidR="005375B7" w:rsidRPr="00980E47" w:rsidRDefault="005375B7" w:rsidP="005375B7">
      <w:pPr>
        <w:pStyle w:val="FootnoteText"/>
        <w:ind w:left="567" w:hanging="567"/>
        <w:rPr>
          <w:sz w:val="24"/>
          <w:lang w:val="fi-FI"/>
        </w:rPr>
      </w:pPr>
      <w:r w:rsidRPr="00980E47">
        <w:rPr>
          <w:rStyle w:val="FootnoteReference"/>
          <w:sz w:val="24"/>
        </w:rPr>
        <w:footnoteRef/>
      </w:r>
      <w:r w:rsidRPr="00980E47">
        <w:rPr>
          <w:sz w:val="24"/>
          <w:lang w:val="fi-FI"/>
        </w:rPr>
        <w:t xml:space="preserve"> </w:t>
      </w:r>
      <w:r w:rsidRPr="00822C8C">
        <w:rPr>
          <w:sz w:val="24"/>
          <w:lang w:val="fi-FI"/>
        </w:rPr>
        <w:tab/>
        <w:t xml:space="preserve">EUT L 193, 30.7.2018, s. 1, ELI: </w:t>
      </w:r>
      <w:hyperlink r:id="rId57" w:history="1">
        <w:r w:rsidRPr="00822C8C">
          <w:rPr>
            <w:rStyle w:val="Hyperlink1"/>
            <w:sz w:val="24"/>
            <w:lang w:val="fi-FI"/>
          </w:rPr>
          <w:t>http://data.europa.eu/eli/reg/2018/1046/oj</w:t>
        </w:r>
      </w:hyperlink>
      <w:r w:rsidRPr="00822C8C">
        <w:rPr>
          <w:sz w:val="24"/>
          <w:lang w:val="fi-FI"/>
        </w:rPr>
        <w:t>.</w:t>
      </w:r>
    </w:p>
  </w:footnote>
  <w:footnote w:id="58">
    <w:p w14:paraId="762002D2" w14:textId="77777777" w:rsidR="005375B7" w:rsidRPr="00980E47" w:rsidRDefault="005375B7" w:rsidP="005375B7">
      <w:pPr>
        <w:pStyle w:val="FootnoteText"/>
        <w:ind w:left="567" w:hanging="567"/>
        <w:rPr>
          <w:sz w:val="24"/>
          <w:lang w:val="fi-FI"/>
        </w:rPr>
      </w:pPr>
      <w:r w:rsidRPr="00980E47">
        <w:rPr>
          <w:rStyle w:val="FootnoteReference"/>
          <w:sz w:val="24"/>
        </w:rPr>
        <w:footnoteRef/>
      </w:r>
      <w:r w:rsidRPr="00980E47">
        <w:rPr>
          <w:sz w:val="24"/>
          <w:lang w:val="fi-FI"/>
        </w:rPr>
        <w:t xml:space="preserve"> </w:t>
      </w:r>
      <w:r w:rsidRPr="00822C8C">
        <w:rPr>
          <w:sz w:val="24"/>
          <w:lang w:val="fi-FI"/>
        </w:rPr>
        <w:tab/>
        <w:t xml:space="preserve">EUT L, 2024/2509, 26.9.2024, ELI: </w:t>
      </w:r>
      <w:hyperlink r:id="rId58" w:history="1">
        <w:r w:rsidRPr="00822C8C">
          <w:rPr>
            <w:rStyle w:val="Hyperlink1"/>
            <w:sz w:val="24"/>
            <w:lang w:val="fi-FI"/>
          </w:rPr>
          <w:t>http://data.europa.eu/eli/reg/2024/2509/oj</w:t>
        </w:r>
      </w:hyperlink>
      <w:r w:rsidRPr="00822C8C">
        <w:rPr>
          <w:rStyle w:val="Hyperlink1"/>
          <w:sz w:val="24"/>
          <w:lang w:val="fi-FI"/>
        </w:rPr>
        <w:t>.</w:t>
      </w:r>
    </w:p>
  </w:footnote>
  <w:footnote w:id="59">
    <w:p w14:paraId="45193ACF" w14:textId="77777777" w:rsidR="005375B7" w:rsidRPr="00980E47" w:rsidRDefault="005375B7" w:rsidP="005375B7">
      <w:pPr>
        <w:pStyle w:val="FootnoteText"/>
        <w:ind w:left="567" w:hanging="567"/>
        <w:rPr>
          <w:sz w:val="24"/>
          <w:lang w:val="fi-FI"/>
        </w:rPr>
      </w:pPr>
      <w:r w:rsidRPr="00980E47">
        <w:rPr>
          <w:rStyle w:val="FootnoteReference"/>
          <w:sz w:val="24"/>
        </w:rPr>
        <w:footnoteRef/>
      </w:r>
      <w:r w:rsidRPr="00980E47">
        <w:rPr>
          <w:sz w:val="24"/>
          <w:lang w:val="fi-FI"/>
        </w:rPr>
        <w:t xml:space="preserve"> </w:t>
      </w:r>
      <w:r w:rsidRPr="00822C8C">
        <w:rPr>
          <w:sz w:val="24"/>
          <w:lang w:val="fi-FI"/>
        </w:rPr>
        <w:tab/>
        <w:t xml:space="preserve">EUT L 319, 4.12.2015, s. 1, ELI: </w:t>
      </w:r>
      <w:hyperlink r:id="rId59" w:history="1">
        <w:r w:rsidRPr="00822C8C">
          <w:rPr>
            <w:rStyle w:val="Hyperlink1"/>
            <w:sz w:val="24"/>
            <w:lang w:val="fi-FI"/>
          </w:rPr>
          <w:t>http://data.europa.eu/eli/reg/2015/2219/oj</w:t>
        </w:r>
      </w:hyperlink>
      <w:r w:rsidRPr="00822C8C">
        <w:rPr>
          <w:sz w:val="24"/>
          <w:lang w:val="fi-FI"/>
        </w:rPr>
        <w:t>.</w:t>
      </w:r>
    </w:p>
  </w:footnote>
  <w:footnote w:id="60">
    <w:p w14:paraId="73F1EF3D" w14:textId="77777777" w:rsidR="005375B7" w:rsidRPr="00980E47" w:rsidRDefault="005375B7" w:rsidP="005375B7">
      <w:pPr>
        <w:pStyle w:val="FootnoteText"/>
        <w:ind w:left="567" w:hanging="567"/>
        <w:rPr>
          <w:sz w:val="24"/>
          <w:lang w:val="fi-FI"/>
        </w:rPr>
      </w:pPr>
      <w:r w:rsidRPr="00980E47">
        <w:rPr>
          <w:rStyle w:val="FootnoteReference"/>
          <w:sz w:val="24"/>
        </w:rPr>
        <w:footnoteRef/>
      </w:r>
      <w:r w:rsidRPr="00980E47">
        <w:rPr>
          <w:sz w:val="24"/>
          <w:lang w:val="fi-FI"/>
        </w:rPr>
        <w:t xml:space="preserve"> </w:t>
      </w:r>
      <w:r w:rsidRPr="00822C8C">
        <w:rPr>
          <w:sz w:val="24"/>
          <w:lang w:val="fi-FI"/>
        </w:rPr>
        <w:tab/>
        <w:t xml:space="preserve">EUT L 122, 10.5.2019, s. 1, ELI: </w:t>
      </w:r>
      <w:hyperlink r:id="rId60" w:history="1">
        <w:r w:rsidRPr="00822C8C">
          <w:rPr>
            <w:rStyle w:val="Hyperlink1"/>
            <w:sz w:val="24"/>
            <w:lang w:val="fi-FI"/>
          </w:rPr>
          <w:t>http://data.europa.eu/eli/reg_del/2019/715/oj</w:t>
        </w:r>
      </w:hyperlink>
      <w:r w:rsidRPr="00822C8C">
        <w:rPr>
          <w:sz w:val="24"/>
          <w:lang w:val="fi-FI"/>
        </w:rPr>
        <w:t>.</w:t>
      </w:r>
    </w:p>
  </w:footnote>
  <w:footnote w:id="61">
    <w:p w14:paraId="2373E169" w14:textId="77777777" w:rsidR="005375B7" w:rsidRPr="005B7B32" w:rsidRDefault="005375B7" w:rsidP="005375B7">
      <w:pPr>
        <w:pStyle w:val="FootnoteText"/>
        <w:ind w:left="567" w:hanging="567"/>
        <w:rPr>
          <w:sz w:val="24"/>
          <w:lang w:val="fi-FI"/>
        </w:rPr>
      </w:pPr>
      <w:r w:rsidRPr="005B7B32">
        <w:rPr>
          <w:rStyle w:val="FootnoteReference"/>
          <w:sz w:val="24"/>
        </w:rPr>
        <w:footnoteRef/>
      </w:r>
      <w:r w:rsidRPr="005B7B32">
        <w:rPr>
          <w:sz w:val="24"/>
          <w:lang w:val="fi-FI"/>
        </w:rPr>
        <w:t xml:space="preserve"> </w:t>
      </w:r>
      <w:r w:rsidRPr="00822C8C">
        <w:rPr>
          <w:sz w:val="24"/>
          <w:lang w:val="fi-FI"/>
        </w:rPr>
        <w:tab/>
        <w:t xml:space="preserve">EUT C, C/2024/6332, 24.10.2024, ELI: </w:t>
      </w:r>
      <w:hyperlink r:id="rId61" w:history="1">
        <w:r w:rsidRPr="00822C8C">
          <w:rPr>
            <w:rStyle w:val="Hyperlink1"/>
            <w:sz w:val="24"/>
            <w:lang w:val="fi-FI"/>
          </w:rPr>
          <w:t>http://data.europa.eu/eli/C/2024/6332/oj</w:t>
        </w:r>
      </w:hyperlink>
      <w:r w:rsidRPr="00822C8C">
        <w:rPr>
          <w:sz w:val="24"/>
          <w:lang w:val="fi-FI"/>
        </w:rPr>
        <w:t>.</w:t>
      </w:r>
    </w:p>
  </w:footnote>
  <w:footnote w:id="62">
    <w:p w14:paraId="2F9B4280" w14:textId="77777777" w:rsidR="005375B7" w:rsidRPr="005B7B32" w:rsidRDefault="005375B7" w:rsidP="005375B7">
      <w:pPr>
        <w:pStyle w:val="FootnoteText"/>
        <w:ind w:left="567" w:hanging="567"/>
        <w:rPr>
          <w:sz w:val="24"/>
          <w:lang w:val="fi-FI"/>
        </w:rPr>
      </w:pPr>
      <w:r w:rsidRPr="005B7B32">
        <w:rPr>
          <w:rStyle w:val="FootnoteReference"/>
          <w:sz w:val="24"/>
        </w:rPr>
        <w:footnoteRef/>
      </w:r>
      <w:r w:rsidRPr="005B7B32">
        <w:rPr>
          <w:sz w:val="24"/>
          <w:lang w:val="fi-FI"/>
        </w:rPr>
        <w:t xml:space="preserve"> </w:t>
      </w:r>
      <w:r w:rsidRPr="00822C8C">
        <w:rPr>
          <w:sz w:val="24"/>
          <w:lang w:val="fi-FI"/>
        </w:rPr>
        <w:tab/>
        <w:t xml:space="preserve">EUT C, C/2024/6041, 10.10.2024, ELI: </w:t>
      </w:r>
      <w:hyperlink r:id="rId62" w:history="1">
        <w:r w:rsidRPr="00822C8C">
          <w:rPr>
            <w:rStyle w:val="Hyperlink1"/>
            <w:sz w:val="24"/>
            <w:lang w:val="fi-FI"/>
          </w:rPr>
          <w:t>http://data.europa.eu/eli/C/2024/6041/oj</w:t>
        </w:r>
      </w:hyperlink>
      <w:r w:rsidRPr="00822C8C">
        <w:rPr>
          <w:sz w:val="24"/>
          <w:lang w:val="fi-FI"/>
        </w:rPr>
        <w:t>.</w:t>
      </w:r>
    </w:p>
  </w:footnote>
  <w:footnote w:id="63">
    <w:p w14:paraId="7252FBAB" w14:textId="77777777" w:rsidR="005375B7" w:rsidRPr="005B7B32" w:rsidRDefault="005375B7" w:rsidP="005375B7">
      <w:pPr>
        <w:pStyle w:val="FootnoteText"/>
        <w:ind w:left="567" w:hanging="567"/>
        <w:rPr>
          <w:sz w:val="24"/>
          <w:lang w:val="fi-FI"/>
        </w:rPr>
      </w:pPr>
      <w:r w:rsidRPr="005B7B32">
        <w:rPr>
          <w:rStyle w:val="FootnoteReference"/>
          <w:sz w:val="24"/>
        </w:rPr>
        <w:footnoteRef/>
      </w:r>
      <w:r w:rsidRPr="005B7B32">
        <w:rPr>
          <w:sz w:val="24"/>
          <w:lang w:val="fi-FI"/>
        </w:rPr>
        <w:t xml:space="preserve"> </w:t>
      </w:r>
      <w:r w:rsidRPr="00822C8C">
        <w:rPr>
          <w:sz w:val="24"/>
          <w:lang w:val="fi-FI"/>
        </w:rPr>
        <w:tab/>
        <w:t xml:space="preserve">EUT L 193, 30.7.2018, s. 1, ELI: </w:t>
      </w:r>
      <w:hyperlink r:id="rId63" w:history="1">
        <w:r w:rsidRPr="00822C8C">
          <w:rPr>
            <w:rStyle w:val="Hyperlink1"/>
            <w:sz w:val="24"/>
            <w:lang w:val="fi-FI"/>
          </w:rPr>
          <w:t>http://data.europa.eu/eli/reg/2018/1046/oj</w:t>
        </w:r>
      </w:hyperlink>
      <w:r w:rsidRPr="00822C8C">
        <w:rPr>
          <w:sz w:val="24"/>
          <w:lang w:val="fi-FI"/>
        </w:rPr>
        <w:t>.</w:t>
      </w:r>
    </w:p>
  </w:footnote>
  <w:footnote w:id="64">
    <w:p w14:paraId="748DC0C9" w14:textId="77777777" w:rsidR="005375B7" w:rsidRPr="005B7B32" w:rsidRDefault="005375B7" w:rsidP="005375B7">
      <w:pPr>
        <w:pStyle w:val="FootnoteText"/>
        <w:ind w:left="567" w:hanging="567"/>
        <w:rPr>
          <w:sz w:val="24"/>
          <w:lang w:val="fi-FI"/>
        </w:rPr>
      </w:pPr>
      <w:r w:rsidRPr="005B7B32">
        <w:rPr>
          <w:rStyle w:val="FootnoteReference"/>
          <w:sz w:val="24"/>
        </w:rPr>
        <w:footnoteRef/>
      </w:r>
      <w:r w:rsidRPr="005B7B32">
        <w:rPr>
          <w:sz w:val="24"/>
          <w:lang w:val="fi-FI"/>
        </w:rPr>
        <w:t xml:space="preserve"> </w:t>
      </w:r>
      <w:r w:rsidRPr="00822C8C">
        <w:rPr>
          <w:sz w:val="24"/>
          <w:lang w:val="fi-FI"/>
        </w:rPr>
        <w:tab/>
        <w:t xml:space="preserve">EUT L, 2024/2509, 26.9.2024, ELI: </w:t>
      </w:r>
      <w:hyperlink r:id="rId64" w:history="1">
        <w:r w:rsidRPr="00822C8C">
          <w:rPr>
            <w:rStyle w:val="Hyperlink1"/>
            <w:sz w:val="24"/>
            <w:lang w:val="fi-FI"/>
          </w:rPr>
          <w:t>http://data.europa.eu/eli/reg/2024/2509/oj</w:t>
        </w:r>
      </w:hyperlink>
      <w:r w:rsidRPr="00822C8C">
        <w:rPr>
          <w:rStyle w:val="Hyperlink1"/>
          <w:sz w:val="24"/>
          <w:lang w:val="fi-FI"/>
        </w:rPr>
        <w:t>.</w:t>
      </w:r>
    </w:p>
  </w:footnote>
  <w:footnote w:id="65">
    <w:p w14:paraId="7D29CDFC" w14:textId="77777777" w:rsidR="005375B7" w:rsidRPr="005B7B32" w:rsidRDefault="005375B7" w:rsidP="005375B7">
      <w:pPr>
        <w:pStyle w:val="FootnoteText"/>
        <w:ind w:left="567" w:hanging="567"/>
        <w:rPr>
          <w:sz w:val="24"/>
          <w:lang w:val="fi-FI"/>
        </w:rPr>
      </w:pPr>
      <w:r w:rsidRPr="005B7B32">
        <w:rPr>
          <w:rStyle w:val="FootnoteReference"/>
          <w:sz w:val="24"/>
        </w:rPr>
        <w:footnoteRef/>
      </w:r>
      <w:r w:rsidRPr="005B7B32">
        <w:rPr>
          <w:sz w:val="24"/>
          <w:lang w:val="fi-FI"/>
        </w:rPr>
        <w:t xml:space="preserve"> </w:t>
      </w:r>
      <w:r w:rsidRPr="00822C8C">
        <w:rPr>
          <w:sz w:val="24"/>
          <w:lang w:val="fi-FI"/>
        </w:rPr>
        <w:tab/>
        <w:t xml:space="preserve">EUT L 212, 22.8.2018, s. 1, ELI: </w:t>
      </w:r>
      <w:hyperlink r:id="rId65" w:history="1">
        <w:r w:rsidRPr="00822C8C">
          <w:rPr>
            <w:rStyle w:val="Hyperlink1"/>
            <w:sz w:val="24"/>
            <w:lang w:val="fi-FI"/>
          </w:rPr>
          <w:t>http://data.europa.eu/eli/reg/2018/1139/oj</w:t>
        </w:r>
      </w:hyperlink>
      <w:r w:rsidRPr="00822C8C">
        <w:rPr>
          <w:sz w:val="24"/>
          <w:lang w:val="fi-FI"/>
        </w:rPr>
        <w:t>.</w:t>
      </w:r>
    </w:p>
  </w:footnote>
  <w:footnote w:id="66">
    <w:p w14:paraId="47D03D33" w14:textId="77777777" w:rsidR="005375B7" w:rsidRPr="005B7B32" w:rsidRDefault="005375B7" w:rsidP="005375B7">
      <w:pPr>
        <w:pStyle w:val="FootnoteText"/>
        <w:ind w:left="567" w:hanging="567"/>
        <w:rPr>
          <w:sz w:val="24"/>
          <w:lang w:val="fi-FI"/>
        </w:rPr>
      </w:pPr>
      <w:r w:rsidRPr="005B7B32">
        <w:rPr>
          <w:rStyle w:val="FootnoteReference"/>
          <w:sz w:val="24"/>
        </w:rPr>
        <w:footnoteRef/>
      </w:r>
      <w:r w:rsidRPr="005B7B32">
        <w:rPr>
          <w:sz w:val="24"/>
          <w:lang w:val="fi-FI"/>
        </w:rPr>
        <w:t xml:space="preserve"> </w:t>
      </w:r>
      <w:r w:rsidRPr="00822C8C">
        <w:rPr>
          <w:sz w:val="24"/>
          <w:lang w:val="fi-FI"/>
        </w:rPr>
        <w:tab/>
        <w:t xml:space="preserve">EUT L 122, 10.5.2019, s. 1, ELI: </w:t>
      </w:r>
      <w:hyperlink r:id="rId66" w:history="1">
        <w:r w:rsidRPr="00822C8C">
          <w:rPr>
            <w:rStyle w:val="Hyperlink1"/>
            <w:sz w:val="24"/>
            <w:lang w:val="fi-FI"/>
          </w:rPr>
          <w:t>http://data.europa.eu/eli/reg_del/2019/715/oj</w:t>
        </w:r>
      </w:hyperlink>
      <w:r w:rsidRPr="00822C8C">
        <w:rPr>
          <w:sz w:val="24"/>
          <w:lang w:val="fi-FI"/>
        </w:rPr>
        <w:t>.</w:t>
      </w:r>
    </w:p>
  </w:footnote>
  <w:footnote w:id="67">
    <w:p w14:paraId="1AC8A2B9" w14:textId="77777777" w:rsidR="005375B7" w:rsidRPr="002A4A91" w:rsidRDefault="005375B7" w:rsidP="005375B7">
      <w:pPr>
        <w:pStyle w:val="FootnoteText"/>
        <w:ind w:left="567" w:hanging="567"/>
        <w:rPr>
          <w:sz w:val="24"/>
          <w:lang w:val="fi-FI"/>
        </w:rPr>
      </w:pPr>
      <w:r w:rsidRPr="002A4A91">
        <w:rPr>
          <w:rStyle w:val="FootnoteReference"/>
          <w:sz w:val="24"/>
        </w:rPr>
        <w:footnoteRef/>
      </w:r>
      <w:r w:rsidRPr="002A4A91">
        <w:rPr>
          <w:sz w:val="24"/>
          <w:lang w:val="fi-FI"/>
        </w:rPr>
        <w:t xml:space="preserve"> </w:t>
      </w:r>
      <w:r w:rsidRPr="00822C8C">
        <w:rPr>
          <w:sz w:val="24"/>
          <w:lang w:val="fi-FI"/>
        </w:rPr>
        <w:tab/>
        <w:t xml:space="preserve">EUT C, C/2024/6332, 24.10.2024, ELI: </w:t>
      </w:r>
      <w:hyperlink r:id="rId67" w:history="1">
        <w:r w:rsidRPr="00822C8C">
          <w:rPr>
            <w:rStyle w:val="Hyperlink1"/>
            <w:sz w:val="24"/>
            <w:lang w:val="fi-FI"/>
          </w:rPr>
          <w:t>http://data.europa.eu/eli/C/2024/6332/oj</w:t>
        </w:r>
      </w:hyperlink>
      <w:r w:rsidRPr="00822C8C">
        <w:rPr>
          <w:sz w:val="24"/>
          <w:lang w:val="fi-FI"/>
        </w:rPr>
        <w:t>.</w:t>
      </w:r>
    </w:p>
  </w:footnote>
  <w:footnote w:id="68">
    <w:p w14:paraId="1E175AD7" w14:textId="77777777" w:rsidR="005375B7" w:rsidRPr="002A4A91" w:rsidRDefault="005375B7" w:rsidP="005375B7">
      <w:pPr>
        <w:pStyle w:val="FootnoteText"/>
        <w:ind w:left="567" w:hanging="567"/>
        <w:rPr>
          <w:sz w:val="24"/>
          <w:lang w:val="fi-FI"/>
        </w:rPr>
      </w:pPr>
      <w:r w:rsidRPr="002A4A91">
        <w:rPr>
          <w:rStyle w:val="FootnoteReference"/>
          <w:sz w:val="24"/>
        </w:rPr>
        <w:footnoteRef/>
      </w:r>
      <w:r w:rsidRPr="002A4A91">
        <w:rPr>
          <w:sz w:val="24"/>
          <w:lang w:val="fi-FI"/>
        </w:rPr>
        <w:t xml:space="preserve"> </w:t>
      </w:r>
      <w:r w:rsidRPr="00822C8C">
        <w:rPr>
          <w:sz w:val="24"/>
          <w:lang w:val="fi-FI"/>
        </w:rPr>
        <w:tab/>
        <w:t xml:space="preserve">EUT C, C/2024/6041, 10.10.2024, ELI: </w:t>
      </w:r>
      <w:hyperlink r:id="rId68" w:history="1">
        <w:r w:rsidRPr="00822C8C">
          <w:rPr>
            <w:rStyle w:val="Hyperlink1"/>
            <w:sz w:val="24"/>
            <w:lang w:val="fi-FI"/>
          </w:rPr>
          <w:t>http://data.europa.eu/eli/C/2024/6041/oj</w:t>
        </w:r>
      </w:hyperlink>
      <w:r w:rsidRPr="00822C8C">
        <w:rPr>
          <w:sz w:val="24"/>
          <w:lang w:val="fi-FI"/>
        </w:rPr>
        <w:t>.</w:t>
      </w:r>
    </w:p>
  </w:footnote>
  <w:footnote w:id="69">
    <w:p w14:paraId="0104B676" w14:textId="77777777" w:rsidR="005375B7" w:rsidRPr="002A4A91" w:rsidRDefault="005375B7" w:rsidP="005375B7">
      <w:pPr>
        <w:pStyle w:val="FootnoteText"/>
        <w:ind w:left="567" w:hanging="567"/>
        <w:rPr>
          <w:sz w:val="24"/>
          <w:lang w:val="fi-FI"/>
        </w:rPr>
      </w:pPr>
      <w:r w:rsidRPr="002A4A91">
        <w:rPr>
          <w:rStyle w:val="FootnoteReference"/>
          <w:sz w:val="24"/>
        </w:rPr>
        <w:footnoteRef/>
      </w:r>
      <w:r w:rsidRPr="002A4A91">
        <w:rPr>
          <w:sz w:val="24"/>
          <w:lang w:val="fi-FI"/>
        </w:rPr>
        <w:t xml:space="preserve"> </w:t>
      </w:r>
      <w:r w:rsidRPr="00822C8C">
        <w:rPr>
          <w:sz w:val="24"/>
          <w:lang w:val="fi-FI"/>
        </w:rPr>
        <w:tab/>
        <w:t xml:space="preserve">EUT L 193, 30.7.2018, s. 1, ELI: </w:t>
      </w:r>
      <w:hyperlink r:id="rId69" w:history="1">
        <w:r w:rsidRPr="00822C8C">
          <w:rPr>
            <w:rStyle w:val="Hyperlink1"/>
            <w:sz w:val="24"/>
            <w:lang w:val="fi-FI"/>
          </w:rPr>
          <w:t>http://data.europa.eu/eli/reg/2018/1046/oj</w:t>
        </w:r>
      </w:hyperlink>
      <w:r w:rsidRPr="00822C8C">
        <w:rPr>
          <w:sz w:val="24"/>
          <w:lang w:val="fi-FI"/>
        </w:rPr>
        <w:t>.</w:t>
      </w:r>
    </w:p>
  </w:footnote>
  <w:footnote w:id="70">
    <w:p w14:paraId="2CD883DE" w14:textId="77777777" w:rsidR="005375B7" w:rsidRPr="002A4A91" w:rsidRDefault="005375B7" w:rsidP="005375B7">
      <w:pPr>
        <w:pStyle w:val="FootnoteText"/>
        <w:ind w:left="567" w:hanging="567"/>
        <w:rPr>
          <w:sz w:val="24"/>
          <w:lang w:val="fi-FI"/>
        </w:rPr>
      </w:pPr>
      <w:r w:rsidRPr="002A4A91">
        <w:rPr>
          <w:rStyle w:val="FootnoteReference"/>
          <w:sz w:val="24"/>
        </w:rPr>
        <w:footnoteRef/>
      </w:r>
      <w:r w:rsidRPr="002A4A91">
        <w:rPr>
          <w:sz w:val="24"/>
          <w:lang w:val="fi-FI"/>
        </w:rPr>
        <w:t xml:space="preserve"> </w:t>
      </w:r>
      <w:r w:rsidRPr="00822C8C">
        <w:rPr>
          <w:sz w:val="24"/>
          <w:lang w:val="fi-FI"/>
        </w:rPr>
        <w:tab/>
        <w:t xml:space="preserve">EUT L, 2024/2509, 26.9.2024, ELI: </w:t>
      </w:r>
      <w:hyperlink r:id="rId70" w:history="1">
        <w:r w:rsidRPr="00822C8C">
          <w:rPr>
            <w:rStyle w:val="Hyperlink1"/>
            <w:sz w:val="24"/>
            <w:lang w:val="fi-FI"/>
          </w:rPr>
          <w:t>http://data.europa.eu/eli/reg/2024/2509/oj</w:t>
        </w:r>
      </w:hyperlink>
      <w:r w:rsidRPr="00822C8C">
        <w:rPr>
          <w:rStyle w:val="Hyperlink1"/>
          <w:sz w:val="24"/>
          <w:lang w:val="fi-FI"/>
        </w:rPr>
        <w:t>.</w:t>
      </w:r>
    </w:p>
  </w:footnote>
  <w:footnote w:id="71">
    <w:p w14:paraId="09479B91" w14:textId="77777777" w:rsidR="005375B7" w:rsidRPr="002A4A91" w:rsidRDefault="005375B7" w:rsidP="005375B7">
      <w:pPr>
        <w:pStyle w:val="FootnoteText"/>
        <w:ind w:left="567" w:hanging="567"/>
        <w:rPr>
          <w:sz w:val="24"/>
          <w:lang w:val="fi-FI"/>
        </w:rPr>
      </w:pPr>
      <w:r w:rsidRPr="002A4A91">
        <w:rPr>
          <w:rStyle w:val="FootnoteReference"/>
          <w:sz w:val="24"/>
        </w:rPr>
        <w:footnoteRef/>
      </w:r>
      <w:r w:rsidRPr="002A4A91">
        <w:rPr>
          <w:sz w:val="24"/>
          <w:lang w:val="fi-FI"/>
        </w:rPr>
        <w:t xml:space="preserve"> </w:t>
      </w:r>
      <w:r w:rsidRPr="00822C8C">
        <w:rPr>
          <w:sz w:val="24"/>
          <w:lang w:val="fi-FI"/>
        </w:rPr>
        <w:tab/>
        <w:t xml:space="preserve">EUT L 212, 22.8.2018, s. 1, ELI: </w:t>
      </w:r>
      <w:hyperlink r:id="rId71" w:history="1">
        <w:r w:rsidRPr="00822C8C">
          <w:rPr>
            <w:rStyle w:val="Hyperlink1"/>
            <w:sz w:val="24"/>
            <w:lang w:val="fi-FI"/>
          </w:rPr>
          <w:t>http://data.europa.eu/eli/reg/2018/1139/oj</w:t>
        </w:r>
      </w:hyperlink>
      <w:r w:rsidRPr="00822C8C">
        <w:rPr>
          <w:sz w:val="24"/>
          <w:lang w:val="fi-FI"/>
        </w:rPr>
        <w:t>.</w:t>
      </w:r>
    </w:p>
  </w:footnote>
  <w:footnote w:id="72">
    <w:p w14:paraId="1B27C655" w14:textId="77777777" w:rsidR="005375B7" w:rsidRPr="002A4A91" w:rsidRDefault="005375B7" w:rsidP="005375B7">
      <w:pPr>
        <w:pStyle w:val="FootnoteText"/>
        <w:ind w:left="567" w:hanging="567"/>
        <w:rPr>
          <w:sz w:val="24"/>
          <w:lang w:val="fi-FI"/>
        </w:rPr>
      </w:pPr>
      <w:r w:rsidRPr="002A4A91">
        <w:rPr>
          <w:rStyle w:val="FootnoteReference"/>
          <w:sz w:val="24"/>
        </w:rPr>
        <w:footnoteRef/>
      </w:r>
      <w:r w:rsidRPr="002A4A91">
        <w:rPr>
          <w:sz w:val="24"/>
          <w:lang w:val="fi-FI"/>
        </w:rPr>
        <w:t xml:space="preserve"> </w:t>
      </w:r>
      <w:r w:rsidRPr="00822C8C">
        <w:rPr>
          <w:sz w:val="24"/>
          <w:lang w:val="fi-FI"/>
        </w:rPr>
        <w:tab/>
        <w:t xml:space="preserve">EUT L 122, 10.5.2019, s. 1, ELI: </w:t>
      </w:r>
      <w:hyperlink r:id="rId72" w:history="1">
        <w:r w:rsidRPr="00822C8C">
          <w:rPr>
            <w:rStyle w:val="Hyperlink1"/>
            <w:sz w:val="24"/>
            <w:lang w:val="fi-FI"/>
          </w:rPr>
          <w:t>http://data.europa.eu/eli/reg_del/2019/715/oj</w:t>
        </w:r>
      </w:hyperlink>
      <w:r w:rsidRPr="00822C8C">
        <w:rPr>
          <w:sz w:val="24"/>
          <w:lang w:val="fi-FI"/>
        </w:rPr>
        <w:t>.</w:t>
      </w:r>
    </w:p>
  </w:footnote>
  <w:footnote w:id="73">
    <w:p w14:paraId="5FF072FF" w14:textId="77777777" w:rsidR="005375B7" w:rsidRPr="00AD1936" w:rsidRDefault="005375B7" w:rsidP="005375B7">
      <w:pPr>
        <w:pStyle w:val="FootnoteText"/>
        <w:ind w:left="567" w:hanging="567"/>
        <w:rPr>
          <w:sz w:val="24"/>
          <w:lang w:val="fi-FI"/>
        </w:rPr>
      </w:pPr>
      <w:r w:rsidRPr="00AD1936">
        <w:rPr>
          <w:rStyle w:val="FootnoteReference"/>
          <w:sz w:val="24"/>
        </w:rPr>
        <w:footnoteRef/>
      </w:r>
      <w:r w:rsidRPr="00AD1936">
        <w:rPr>
          <w:sz w:val="24"/>
          <w:lang w:val="fi-FI"/>
        </w:rPr>
        <w:t xml:space="preserve"> </w:t>
      </w:r>
      <w:r w:rsidRPr="00822C8C">
        <w:rPr>
          <w:sz w:val="24"/>
          <w:lang w:val="fi-FI"/>
        </w:rPr>
        <w:tab/>
        <w:t xml:space="preserve">EUT C, C/2024/6332, 24.10.2024, ELI: </w:t>
      </w:r>
      <w:hyperlink r:id="rId73" w:history="1">
        <w:r w:rsidRPr="00822C8C">
          <w:rPr>
            <w:rStyle w:val="Hyperlink1"/>
            <w:sz w:val="24"/>
            <w:lang w:val="fi-FI"/>
          </w:rPr>
          <w:t>http://data.europa.eu/eli/C/2024/6332/oj</w:t>
        </w:r>
      </w:hyperlink>
      <w:r w:rsidRPr="00822C8C">
        <w:rPr>
          <w:sz w:val="24"/>
          <w:lang w:val="fi-FI"/>
        </w:rPr>
        <w:t>.</w:t>
      </w:r>
    </w:p>
  </w:footnote>
  <w:footnote w:id="74">
    <w:p w14:paraId="2678871A" w14:textId="77777777" w:rsidR="005375B7" w:rsidRPr="00AD1936" w:rsidRDefault="005375B7" w:rsidP="005375B7">
      <w:pPr>
        <w:pStyle w:val="FootnoteText"/>
        <w:ind w:left="567" w:hanging="567"/>
        <w:rPr>
          <w:sz w:val="24"/>
          <w:lang w:val="fi-FI"/>
        </w:rPr>
      </w:pPr>
      <w:r w:rsidRPr="00AD1936">
        <w:rPr>
          <w:rStyle w:val="FootnoteReference"/>
          <w:sz w:val="24"/>
        </w:rPr>
        <w:footnoteRef/>
      </w:r>
      <w:r w:rsidRPr="00AD1936">
        <w:rPr>
          <w:sz w:val="24"/>
          <w:lang w:val="fi-FI"/>
        </w:rPr>
        <w:t xml:space="preserve"> </w:t>
      </w:r>
      <w:r w:rsidRPr="00822C8C">
        <w:rPr>
          <w:sz w:val="24"/>
          <w:lang w:val="fi-FI"/>
        </w:rPr>
        <w:tab/>
        <w:t xml:space="preserve">EUT C, C/2024/6041, 10.10.2024, ELI: </w:t>
      </w:r>
      <w:hyperlink r:id="rId74" w:history="1">
        <w:r w:rsidRPr="00822C8C">
          <w:rPr>
            <w:rStyle w:val="Hyperlink1"/>
            <w:sz w:val="24"/>
            <w:lang w:val="fi-FI"/>
          </w:rPr>
          <w:t>http://data.europa.eu/eli/C/2024/6041/oj</w:t>
        </w:r>
      </w:hyperlink>
      <w:r w:rsidRPr="00822C8C">
        <w:rPr>
          <w:sz w:val="24"/>
          <w:lang w:val="fi-FI"/>
        </w:rPr>
        <w:t>.</w:t>
      </w:r>
    </w:p>
  </w:footnote>
  <w:footnote w:id="75">
    <w:p w14:paraId="78E3C629" w14:textId="77777777" w:rsidR="005375B7" w:rsidRPr="00AD1936" w:rsidRDefault="005375B7" w:rsidP="005375B7">
      <w:pPr>
        <w:pStyle w:val="FootnoteText"/>
        <w:ind w:left="567" w:hanging="567"/>
        <w:rPr>
          <w:sz w:val="24"/>
          <w:lang w:val="fi-FI"/>
        </w:rPr>
      </w:pPr>
      <w:r w:rsidRPr="00AD1936">
        <w:rPr>
          <w:rStyle w:val="FootnoteReference"/>
          <w:sz w:val="24"/>
        </w:rPr>
        <w:footnoteRef/>
      </w:r>
      <w:r w:rsidRPr="00AD1936">
        <w:rPr>
          <w:sz w:val="24"/>
          <w:lang w:val="fi-FI"/>
        </w:rPr>
        <w:t xml:space="preserve"> </w:t>
      </w:r>
      <w:r w:rsidRPr="00822C8C">
        <w:rPr>
          <w:sz w:val="24"/>
          <w:lang w:val="fi-FI"/>
        </w:rPr>
        <w:tab/>
        <w:t xml:space="preserve">EUT L 193, 30.7.2018, s. 1, ELI: </w:t>
      </w:r>
      <w:hyperlink r:id="rId75" w:history="1">
        <w:r w:rsidRPr="00822C8C">
          <w:rPr>
            <w:rStyle w:val="Hyperlink1"/>
            <w:sz w:val="24"/>
            <w:lang w:val="fi-FI"/>
          </w:rPr>
          <w:t>http://data.europa.eu/eli/reg/2018/1046/oj</w:t>
        </w:r>
      </w:hyperlink>
      <w:r w:rsidRPr="00822C8C">
        <w:rPr>
          <w:sz w:val="24"/>
          <w:lang w:val="fi-FI"/>
        </w:rPr>
        <w:t>.</w:t>
      </w:r>
    </w:p>
  </w:footnote>
  <w:footnote w:id="76">
    <w:p w14:paraId="55360B4E" w14:textId="77777777" w:rsidR="005375B7" w:rsidRPr="00AD1936" w:rsidRDefault="005375B7" w:rsidP="005375B7">
      <w:pPr>
        <w:pStyle w:val="FootnoteText"/>
        <w:ind w:left="567" w:hanging="567"/>
        <w:rPr>
          <w:sz w:val="24"/>
          <w:lang w:val="fi-FI"/>
        </w:rPr>
      </w:pPr>
      <w:r w:rsidRPr="00AD1936">
        <w:rPr>
          <w:rStyle w:val="FootnoteReference"/>
          <w:sz w:val="24"/>
        </w:rPr>
        <w:footnoteRef/>
      </w:r>
      <w:r w:rsidRPr="00AD1936">
        <w:rPr>
          <w:sz w:val="24"/>
          <w:lang w:val="fi-FI"/>
        </w:rPr>
        <w:t xml:space="preserve"> </w:t>
      </w:r>
      <w:r w:rsidRPr="00822C8C">
        <w:rPr>
          <w:sz w:val="24"/>
          <w:lang w:val="fi-FI"/>
        </w:rPr>
        <w:tab/>
        <w:t xml:space="preserve">EUT L, 2024/2509, 26.9.2024, ELI: </w:t>
      </w:r>
      <w:hyperlink r:id="rId76" w:history="1">
        <w:r w:rsidRPr="00822C8C">
          <w:rPr>
            <w:rStyle w:val="Hyperlink1"/>
            <w:sz w:val="24"/>
            <w:lang w:val="fi-FI"/>
          </w:rPr>
          <w:t>http://data.europa.eu/eli/reg/2024/2509/oj</w:t>
        </w:r>
      </w:hyperlink>
      <w:r w:rsidRPr="00822C8C">
        <w:rPr>
          <w:rStyle w:val="Hyperlink1"/>
          <w:sz w:val="24"/>
          <w:lang w:val="fi-FI"/>
        </w:rPr>
        <w:t>.</w:t>
      </w:r>
    </w:p>
  </w:footnote>
  <w:footnote w:id="77">
    <w:p w14:paraId="155C8548" w14:textId="77777777" w:rsidR="005375B7" w:rsidRPr="00AD1936" w:rsidRDefault="005375B7" w:rsidP="005375B7">
      <w:pPr>
        <w:pStyle w:val="FootnoteText"/>
        <w:ind w:left="567" w:hanging="567"/>
        <w:rPr>
          <w:sz w:val="24"/>
          <w:lang w:val="fi-FI"/>
        </w:rPr>
      </w:pPr>
      <w:r w:rsidRPr="00AD1936">
        <w:rPr>
          <w:rStyle w:val="FootnoteReference"/>
          <w:sz w:val="24"/>
        </w:rPr>
        <w:footnoteRef/>
      </w:r>
      <w:r w:rsidRPr="00AD1936">
        <w:rPr>
          <w:sz w:val="24"/>
          <w:lang w:val="fi-FI"/>
        </w:rPr>
        <w:t xml:space="preserve"> </w:t>
      </w:r>
      <w:r w:rsidRPr="00822C8C">
        <w:rPr>
          <w:sz w:val="24"/>
          <w:lang w:val="fi-FI"/>
        </w:rPr>
        <w:tab/>
        <w:t xml:space="preserve">EUT L 331, 15.12.2010, s. 12, ELI: </w:t>
      </w:r>
      <w:hyperlink r:id="rId77" w:history="1">
        <w:r w:rsidRPr="00822C8C">
          <w:rPr>
            <w:rStyle w:val="Hyperlink1"/>
            <w:sz w:val="24"/>
            <w:lang w:val="fi-FI"/>
          </w:rPr>
          <w:t>http://data.europa.eu/eli/reg/2010/1093/oj</w:t>
        </w:r>
      </w:hyperlink>
      <w:r w:rsidRPr="00822C8C">
        <w:rPr>
          <w:sz w:val="24"/>
          <w:lang w:val="fi-FI"/>
        </w:rPr>
        <w:t>.</w:t>
      </w:r>
    </w:p>
  </w:footnote>
  <w:footnote w:id="78">
    <w:p w14:paraId="1971DBBF" w14:textId="77777777" w:rsidR="005375B7" w:rsidRPr="00AD1936" w:rsidRDefault="005375B7" w:rsidP="005375B7">
      <w:pPr>
        <w:pStyle w:val="FootnoteText"/>
        <w:ind w:left="567" w:hanging="567"/>
        <w:rPr>
          <w:sz w:val="24"/>
          <w:lang w:val="fi-FI"/>
        </w:rPr>
      </w:pPr>
      <w:r w:rsidRPr="00AD1936">
        <w:rPr>
          <w:rStyle w:val="FootnoteReference"/>
          <w:sz w:val="24"/>
        </w:rPr>
        <w:footnoteRef/>
      </w:r>
      <w:r w:rsidRPr="00AD1936">
        <w:rPr>
          <w:sz w:val="24"/>
          <w:lang w:val="fi-FI"/>
        </w:rPr>
        <w:t xml:space="preserve"> </w:t>
      </w:r>
      <w:r w:rsidRPr="00822C8C">
        <w:rPr>
          <w:sz w:val="24"/>
          <w:lang w:val="fi-FI"/>
        </w:rPr>
        <w:tab/>
        <w:t xml:space="preserve">EUT L 122, 10.5.2019, s. 1, ELI: </w:t>
      </w:r>
      <w:hyperlink r:id="rId78" w:history="1">
        <w:r w:rsidRPr="00822C8C">
          <w:rPr>
            <w:rStyle w:val="Hyperlink1"/>
            <w:sz w:val="24"/>
            <w:lang w:val="fi-FI"/>
          </w:rPr>
          <w:t>http://data.europa.eu/eli/reg_del/2019/715/oj</w:t>
        </w:r>
      </w:hyperlink>
      <w:r w:rsidRPr="00822C8C">
        <w:rPr>
          <w:sz w:val="24"/>
          <w:lang w:val="fi-FI"/>
        </w:rPr>
        <w:t>.</w:t>
      </w:r>
    </w:p>
  </w:footnote>
  <w:footnote w:id="79">
    <w:p w14:paraId="4007F7E4" w14:textId="77777777" w:rsidR="005375B7" w:rsidRPr="009801CE" w:rsidRDefault="005375B7" w:rsidP="005375B7">
      <w:pPr>
        <w:pStyle w:val="FootnoteText"/>
        <w:ind w:left="567" w:hanging="567"/>
        <w:rPr>
          <w:sz w:val="24"/>
          <w:lang w:val="fi-FI"/>
        </w:rPr>
      </w:pPr>
      <w:r w:rsidRPr="009801CE">
        <w:rPr>
          <w:rStyle w:val="FootnoteReference"/>
          <w:sz w:val="24"/>
        </w:rPr>
        <w:footnoteRef/>
      </w:r>
      <w:r w:rsidRPr="009801CE">
        <w:rPr>
          <w:sz w:val="24"/>
          <w:lang w:val="fi-FI"/>
        </w:rPr>
        <w:t xml:space="preserve"> </w:t>
      </w:r>
      <w:r w:rsidRPr="00822C8C">
        <w:rPr>
          <w:sz w:val="24"/>
          <w:lang w:val="fi-FI"/>
        </w:rPr>
        <w:tab/>
        <w:t xml:space="preserve">EUT C, C/2024/6332, 24.10.2024, ELI: </w:t>
      </w:r>
      <w:hyperlink r:id="rId79" w:history="1">
        <w:r w:rsidRPr="00822C8C">
          <w:rPr>
            <w:rStyle w:val="Hyperlink1"/>
            <w:sz w:val="24"/>
            <w:lang w:val="fi-FI"/>
          </w:rPr>
          <w:t>http://data.europa.eu/eli/C/2024/6332/oj</w:t>
        </w:r>
      </w:hyperlink>
      <w:r w:rsidRPr="00822C8C">
        <w:rPr>
          <w:sz w:val="24"/>
          <w:lang w:val="fi-FI"/>
        </w:rPr>
        <w:t>.</w:t>
      </w:r>
    </w:p>
  </w:footnote>
  <w:footnote w:id="80">
    <w:p w14:paraId="0CBDC6F0" w14:textId="77777777" w:rsidR="005375B7" w:rsidRPr="009801CE" w:rsidRDefault="005375B7" w:rsidP="005375B7">
      <w:pPr>
        <w:pStyle w:val="FootnoteText"/>
        <w:ind w:left="567" w:hanging="567"/>
        <w:rPr>
          <w:sz w:val="24"/>
          <w:lang w:val="fi-FI"/>
        </w:rPr>
      </w:pPr>
      <w:r w:rsidRPr="009801CE">
        <w:rPr>
          <w:rStyle w:val="FootnoteReference"/>
          <w:sz w:val="24"/>
        </w:rPr>
        <w:footnoteRef/>
      </w:r>
      <w:r w:rsidRPr="009801CE">
        <w:rPr>
          <w:sz w:val="24"/>
          <w:lang w:val="fi-FI"/>
        </w:rPr>
        <w:t xml:space="preserve"> </w:t>
      </w:r>
      <w:r w:rsidRPr="00822C8C">
        <w:rPr>
          <w:sz w:val="24"/>
          <w:lang w:val="fi-FI"/>
        </w:rPr>
        <w:tab/>
        <w:t xml:space="preserve">EUT C, C/2024/6041, 10.10.2024, ELI: </w:t>
      </w:r>
      <w:hyperlink r:id="rId80" w:history="1">
        <w:r w:rsidRPr="00822C8C">
          <w:rPr>
            <w:rStyle w:val="Hyperlink1"/>
            <w:sz w:val="24"/>
            <w:lang w:val="fi-FI"/>
          </w:rPr>
          <w:t>http://data.europa.eu/eli/C/2024/6041/oj</w:t>
        </w:r>
      </w:hyperlink>
      <w:r w:rsidRPr="00822C8C">
        <w:rPr>
          <w:sz w:val="24"/>
          <w:lang w:val="fi-FI"/>
        </w:rPr>
        <w:t>.</w:t>
      </w:r>
    </w:p>
  </w:footnote>
  <w:footnote w:id="81">
    <w:p w14:paraId="6785A83F" w14:textId="77777777" w:rsidR="005375B7" w:rsidRPr="009801CE" w:rsidRDefault="005375B7" w:rsidP="005375B7">
      <w:pPr>
        <w:pStyle w:val="FootnoteText"/>
        <w:ind w:left="567" w:hanging="567"/>
        <w:rPr>
          <w:sz w:val="24"/>
          <w:lang w:val="fi-FI"/>
        </w:rPr>
      </w:pPr>
      <w:r w:rsidRPr="009801CE">
        <w:rPr>
          <w:rStyle w:val="FootnoteReference"/>
          <w:sz w:val="24"/>
        </w:rPr>
        <w:footnoteRef/>
      </w:r>
      <w:r w:rsidRPr="009801CE">
        <w:rPr>
          <w:sz w:val="24"/>
          <w:lang w:val="fi-FI"/>
        </w:rPr>
        <w:t xml:space="preserve"> </w:t>
      </w:r>
      <w:r w:rsidRPr="00822C8C">
        <w:rPr>
          <w:sz w:val="24"/>
          <w:lang w:val="fi-FI"/>
        </w:rPr>
        <w:tab/>
        <w:t xml:space="preserve">EUT L 193, 30.7.2018, s. 1, ELI: </w:t>
      </w:r>
      <w:hyperlink r:id="rId81" w:history="1">
        <w:r w:rsidRPr="00822C8C">
          <w:rPr>
            <w:rStyle w:val="Hyperlink1"/>
            <w:sz w:val="24"/>
            <w:lang w:val="fi-FI"/>
          </w:rPr>
          <w:t>http://data.europa.eu/eli/reg/2018/1046/oj</w:t>
        </w:r>
      </w:hyperlink>
      <w:r w:rsidRPr="00822C8C">
        <w:rPr>
          <w:sz w:val="24"/>
          <w:lang w:val="fi-FI"/>
        </w:rPr>
        <w:t>.</w:t>
      </w:r>
    </w:p>
  </w:footnote>
  <w:footnote w:id="82">
    <w:p w14:paraId="0D946889" w14:textId="77777777" w:rsidR="005375B7" w:rsidRPr="009801CE" w:rsidRDefault="005375B7" w:rsidP="005375B7">
      <w:pPr>
        <w:pStyle w:val="FootnoteText"/>
        <w:ind w:left="567" w:hanging="567"/>
        <w:rPr>
          <w:sz w:val="24"/>
          <w:lang w:val="fi-FI"/>
        </w:rPr>
      </w:pPr>
      <w:r w:rsidRPr="009801CE">
        <w:rPr>
          <w:rStyle w:val="FootnoteReference"/>
          <w:sz w:val="24"/>
        </w:rPr>
        <w:footnoteRef/>
      </w:r>
      <w:r w:rsidRPr="009801CE">
        <w:rPr>
          <w:sz w:val="24"/>
          <w:lang w:val="fi-FI"/>
        </w:rPr>
        <w:t xml:space="preserve"> </w:t>
      </w:r>
      <w:r w:rsidRPr="00822C8C">
        <w:rPr>
          <w:sz w:val="24"/>
          <w:lang w:val="fi-FI"/>
        </w:rPr>
        <w:tab/>
        <w:t xml:space="preserve">EUT L, 2024/2509, 26.9.2024, ELI: </w:t>
      </w:r>
      <w:hyperlink r:id="rId82" w:history="1">
        <w:r w:rsidRPr="00822C8C">
          <w:rPr>
            <w:rStyle w:val="Hyperlink1"/>
            <w:sz w:val="24"/>
            <w:lang w:val="fi-FI"/>
          </w:rPr>
          <w:t>http://data.europa.eu/eli/reg/2024/2509/oj</w:t>
        </w:r>
      </w:hyperlink>
      <w:r w:rsidRPr="00822C8C">
        <w:rPr>
          <w:rStyle w:val="Hyperlink1"/>
          <w:sz w:val="24"/>
          <w:lang w:val="fi-FI"/>
        </w:rPr>
        <w:t>.</w:t>
      </w:r>
    </w:p>
  </w:footnote>
  <w:footnote w:id="83">
    <w:p w14:paraId="117AF59D" w14:textId="77777777" w:rsidR="005375B7" w:rsidRPr="009801CE" w:rsidRDefault="005375B7" w:rsidP="005375B7">
      <w:pPr>
        <w:pStyle w:val="FootnoteText"/>
        <w:ind w:left="567" w:hanging="567"/>
        <w:rPr>
          <w:sz w:val="24"/>
          <w:lang w:val="fi-FI"/>
        </w:rPr>
      </w:pPr>
      <w:r w:rsidRPr="009801CE">
        <w:rPr>
          <w:rStyle w:val="FootnoteReference"/>
          <w:sz w:val="24"/>
        </w:rPr>
        <w:footnoteRef/>
      </w:r>
      <w:r w:rsidRPr="009801CE">
        <w:rPr>
          <w:sz w:val="24"/>
          <w:lang w:val="fi-FI"/>
        </w:rPr>
        <w:t xml:space="preserve"> </w:t>
      </w:r>
      <w:r w:rsidRPr="00822C8C">
        <w:rPr>
          <w:sz w:val="24"/>
          <w:lang w:val="fi-FI"/>
        </w:rPr>
        <w:tab/>
        <w:t xml:space="preserve">EUT L 331, 15.12.2010, s. 12, ELI: </w:t>
      </w:r>
      <w:hyperlink r:id="rId83" w:history="1">
        <w:r w:rsidRPr="00822C8C">
          <w:rPr>
            <w:rStyle w:val="Hyperlink1"/>
            <w:sz w:val="24"/>
            <w:lang w:val="fi-FI"/>
          </w:rPr>
          <w:t>http://data.europa.eu/eli/reg/2010/1093/oj</w:t>
        </w:r>
      </w:hyperlink>
      <w:r w:rsidRPr="00822C8C">
        <w:rPr>
          <w:sz w:val="24"/>
          <w:lang w:val="fi-FI"/>
        </w:rPr>
        <w:t>.</w:t>
      </w:r>
    </w:p>
  </w:footnote>
  <w:footnote w:id="84">
    <w:p w14:paraId="352D3119" w14:textId="77777777" w:rsidR="005375B7" w:rsidRPr="009801CE" w:rsidRDefault="005375B7" w:rsidP="005375B7">
      <w:pPr>
        <w:pStyle w:val="FootnoteText"/>
        <w:ind w:left="567" w:hanging="567"/>
        <w:rPr>
          <w:sz w:val="24"/>
          <w:lang w:val="fi-FI"/>
        </w:rPr>
      </w:pPr>
      <w:r w:rsidRPr="009801CE">
        <w:rPr>
          <w:rStyle w:val="FootnoteReference"/>
          <w:sz w:val="24"/>
        </w:rPr>
        <w:footnoteRef/>
      </w:r>
      <w:r w:rsidRPr="009801CE">
        <w:rPr>
          <w:sz w:val="24"/>
          <w:lang w:val="fi-FI"/>
        </w:rPr>
        <w:t xml:space="preserve"> </w:t>
      </w:r>
      <w:r w:rsidRPr="00822C8C">
        <w:rPr>
          <w:sz w:val="24"/>
          <w:lang w:val="fi-FI"/>
        </w:rPr>
        <w:tab/>
        <w:t xml:space="preserve">EUT L 122, 10.5.2019, s. 1, ELI: </w:t>
      </w:r>
      <w:hyperlink r:id="rId84" w:history="1">
        <w:r w:rsidRPr="00822C8C">
          <w:rPr>
            <w:rStyle w:val="Hyperlink1"/>
            <w:sz w:val="24"/>
            <w:lang w:val="fi-FI"/>
          </w:rPr>
          <w:t>http://data.europa.eu/eli/reg_del/2019/715/oj</w:t>
        </w:r>
      </w:hyperlink>
      <w:r w:rsidRPr="00822C8C">
        <w:rPr>
          <w:sz w:val="24"/>
          <w:lang w:val="fi-FI"/>
        </w:rPr>
        <w:t>.</w:t>
      </w:r>
    </w:p>
  </w:footnote>
  <w:footnote w:id="85">
    <w:p w14:paraId="21C1543D" w14:textId="77777777" w:rsidR="005375B7" w:rsidRPr="00670AD7" w:rsidRDefault="005375B7" w:rsidP="005375B7">
      <w:pPr>
        <w:pStyle w:val="FootnoteText"/>
        <w:ind w:left="567" w:hanging="567"/>
        <w:rPr>
          <w:sz w:val="24"/>
          <w:lang w:val="fi-FI"/>
        </w:rPr>
      </w:pPr>
      <w:r w:rsidRPr="00670AD7">
        <w:rPr>
          <w:rStyle w:val="FootnoteReference"/>
          <w:sz w:val="24"/>
        </w:rPr>
        <w:footnoteRef/>
      </w:r>
      <w:r w:rsidRPr="00670AD7">
        <w:rPr>
          <w:sz w:val="24"/>
          <w:lang w:val="fi-FI"/>
        </w:rPr>
        <w:t xml:space="preserve"> </w:t>
      </w:r>
      <w:r w:rsidRPr="00822C8C">
        <w:rPr>
          <w:sz w:val="24"/>
          <w:lang w:val="fi-FI"/>
        </w:rPr>
        <w:tab/>
        <w:t xml:space="preserve">EUT C, C/2024/6332, 24.10.2024, ELI: </w:t>
      </w:r>
      <w:hyperlink r:id="rId85" w:history="1">
        <w:r w:rsidRPr="00822C8C">
          <w:rPr>
            <w:rStyle w:val="Hyperlink1"/>
            <w:sz w:val="24"/>
            <w:lang w:val="fi-FI"/>
          </w:rPr>
          <w:t>http://data.europa.eu/eli/C/2024/6332/oj</w:t>
        </w:r>
      </w:hyperlink>
      <w:r w:rsidRPr="00822C8C">
        <w:rPr>
          <w:sz w:val="24"/>
          <w:lang w:val="fi-FI"/>
        </w:rPr>
        <w:t>.</w:t>
      </w:r>
    </w:p>
  </w:footnote>
  <w:footnote w:id="86">
    <w:p w14:paraId="10C97EEE" w14:textId="77777777" w:rsidR="005375B7" w:rsidRPr="00670AD7" w:rsidRDefault="005375B7" w:rsidP="005375B7">
      <w:pPr>
        <w:pStyle w:val="FootnoteText"/>
        <w:ind w:left="567" w:hanging="567"/>
        <w:rPr>
          <w:sz w:val="24"/>
          <w:lang w:val="fi-FI"/>
        </w:rPr>
      </w:pPr>
      <w:r w:rsidRPr="00670AD7">
        <w:rPr>
          <w:rStyle w:val="FootnoteReference"/>
          <w:sz w:val="24"/>
        </w:rPr>
        <w:footnoteRef/>
      </w:r>
      <w:r w:rsidRPr="00670AD7">
        <w:rPr>
          <w:sz w:val="24"/>
          <w:lang w:val="fi-FI"/>
        </w:rPr>
        <w:t xml:space="preserve"> </w:t>
      </w:r>
      <w:r w:rsidRPr="00822C8C">
        <w:rPr>
          <w:sz w:val="24"/>
          <w:lang w:val="fi-FI"/>
        </w:rPr>
        <w:tab/>
        <w:t xml:space="preserve">EUT C, C/2024/6041, 10.10.2024, ELI: </w:t>
      </w:r>
      <w:hyperlink r:id="rId86" w:history="1">
        <w:r w:rsidRPr="00822C8C">
          <w:rPr>
            <w:rStyle w:val="Hyperlink1"/>
            <w:sz w:val="24"/>
            <w:lang w:val="fi-FI"/>
          </w:rPr>
          <w:t>http://data.europa.eu/eli/C/2024/6041/oj</w:t>
        </w:r>
      </w:hyperlink>
      <w:r w:rsidRPr="00822C8C">
        <w:rPr>
          <w:sz w:val="24"/>
          <w:lang w:val="fi-FI"/>
        </w:rPr>
        <w:t>.</w:t>
      </w:r>
    </w:p>
  </w:footnote>
  <w:footnote w:id="87">
    <w:p w14:paraId="1D1730FA" w14:textId="77777777" w:rsidR="005375B7" w:rsidRPr="00670AD7" w:rsidRDefault="005375B7" w:rsidP="005375B7">
      <w:pPr>
        <w:pStyle w:val="FootnoteText"/>
        <w:ind w:left="567" w:hanging="567"/>
        <w:rPr>
          <w:sz w:val="24"/>
          <w:lang w:val="fi-FI"/>
        </w:rPr>
      </w:pPr>
      <w:r w:rsidRPr="00670AD7">
        <w:rPr>
          <w:rStyle w:val="FootnoteReference"/>
          <w:sz w:val="24"/>
        </w:rPr>
        <w:footnoteRef/>
      </w:r>
      <w:r w:rsidRPr="00670AD7">
        <w:rPr>
          <w:sz w:val="24"/>
          <w:lang w:val="fi-FI"/>
        </w:rPr>
        <w:t xml:space="preserve"> </w:t>
      </w:r>
      <w:r w:rsidRPr="00822C8C">
        <w:rPr>
          <w:sz w:val="24"/>
          <w:lang w:val="fi-FI"/>
        </w:rPr>
        <w:tab/>
        <w:t xml:space="preserve">EUT L 193, 30.7.2018, s. 1, ELI: </w:t>
      </w:r>
      <w:hyperlink r:id="rId87" w:history="1">
        <w:r w:rsidRPr="00822C8C">
          <w:rPr>
            <w:rStyle w:val="Hyperlink1"/>
            <w:sz w:val="24"/>
            <w:lang w:val="fi-FI"/>
          </w:rPr>
          <w:t>http://data.europa.eu/eli/reg/2018/1046/oj</w:t>
        </w:r>
      </w:hyperlink>
      <w:r w:rsidRPr="00822C8C">
        <w:rPr>
          <w:sz w:val="24"/>
          <w:lang w:val="fi-FI"/>
        </w:rPr>
        <w:t>.</w:t>
      </w:r>
    </w:p>
  </w:footnote>
  <w:footnote w:id="88">
    <w:p w14:paraId="1DBEA95C" w14:textId="77777777" w:rsidR="005375B7" w:rsidRPr="00670AD7" w:rsidRDefault="005375B7" w:rsidP="005375B7">
      <w:pPr>
        <w:pStyle w:val="FootnoteText"/>
        <w:ind w:left="567" w:hanging="567"/>
        <w:rPr>
          <w:sz w:val="24"/>
          <w:lang w:val="fi-FI"/>
        </w:rPr>
      </w:pPr>
      <w:r w:rsidRPr="00670AD7">
        <w:rPr>
          <w:rStyle w:val="FootnoteReference"/>
          <w:sz w:val="24"/>
        </w:rPr>
        <w:footnoteRef/>
      </w:r>
      <w:r w:rsidRPr="00670AD7">
        <w:rPr>
          <w:sz w:val="24"/>
          <w:lang w:val="fi-FI"/>
        </w:rPr>
        <w:t xml:space="preserve"> </w:t>
      </w:r>
      <w:r w:rsidRPr="00822C8C">
        <w:rPr>
          <w:sz w:val="24"/>
          <w:lang w:val="fi-FI"/>
        </w:rPr>
        <w:tab/>
        <w:t xml:space="preserve">EUT L, 2024/2509, 26.9.2024, ELI: </w:t>
      </w:r>
      <w:hyperlink r:id="rId88" w:history="1">
        <w:r w:rsidRPr="00822C8C">
          <w:rPr>
            <w:rStyle w:val="Hyperlink1"/>
            <w:sz w:val="24"/>
            <w:lang w:val="fi-FI"/>
          </w:rPr>
          <w:t>http://data.europa.eu/eli/reg/2024/2509/oj</w:t>
        </w:r>
      </w:hyperlink>
      <w:r w:rsidRPr="00822C8C">
        <w:rPr>
          <w:rStyle w:val="Hyperlink1"/>
          <w:sz w:val="24"/>
          <w:lang w:val="fi-FI"/>
        </w:rPr>
        <w:t>.</w:t>
      </w:r>
    </w:p>
  </w:footnote>
  <w:footnote w:id="89">
    <w:p w14:paraId="3673ED4A" w14:textId="77777777" w:rsidR="005375B7" w:rsidRPr="00670AD7" w:rsidRDefault="005375B7" w:rsidP="005375B7">
      <w:pPr>
        <w:pStyle w:val="FootnoteText"/>
        <w:ind w:left="567" w:hanging="567"/>
        <w:rPr>
          <w:sz w:val="24"/>
          <w:lang w:val="fi-FI"/>
        </w:rPr>
      </w:pPr>
      <w:r w:rsidRPr="00670AD7">
        <w:rPr>
          <w:rStyle w:val="FootnoteReference"/>
          <w:sz w:val="24"/>
        </w:rPr>
        <w:footnoteRef/>
      </w:r>
      <w:r w:rsidRPr="00670AD7">
        <w:rPr>
          <w:sz w:val="24"/>
          <w:lang w:val="fi-FI"/>
        </w:rPr>
        <w:t xml:space="preserve"> </w:t>
      </w:r>
      <w:r w:rsidRPr="00822C8C">
        <w:rPr>
          <w:sz w:val="24"/>
          <w:lang w:val="fi-FI"/>
        </w:rPr>
        <w:tab/>
        <w:t xml:space="preserve">EUT L 142, 30.4.2004, s. 1, ELI: </w:t>
      </w:r>
      <w:hyperlink r:id="rId89" w:history="1">
        <w:r w:rsidRPr="00822C8C">
          <w:rPr>
            <w:rStyle w:val="Hyperlink1"/>
            <w:sz w:val="24"/>
            <w:lang w:val="fi-FI"/>
          </w:rPr>
          <w:t>http://data.europa.eu/eli/reg/2004/851/oj</w:t>
        </w:r>
      </w:hyperlink>
      <w:r w:rsidRPr="00822C8C">
        <w:rPr>
          <w:sz w:val="24"/>
          <w:lang w:val="fi-FI"/>
        </w:rPr>
        <w:t>.</w:t>
      </w:r>
    </w:p>
  </w:footnote>
  <w:footnote w:id="90">
    <w:p w14:paraId="1862F292" w14:textId="77777777" w:rsidR="005375B7" w:rsidRPr="00670AD7" w:rsidRDefault="005375B7" w:rsidP="005375B7">
      <w:pPr>
        <w:pStyle w:val="FootnoteText"/>
        <w:ind w:left="567" w:hanging="567"/>
        <w:rPr>
          <w:sz w:val="24"/>
          <w:lang w:val="fi-FI"/>
        </w:rPr>
      </w:pPr>
      <w:r w:rsidRPr="00670AD7">
        <w:rPr>
          <w:rStyle w:val="FootnoteReference"/>
          <w:sz w:val="24"/>
        </w:rPr>
        <w:footnoteRef/>
      </w:r>
      <w:r w:rsidRPr="00670AD7">
        <w:rPr>
          <w:sz w:val="24"/>
          <w:lang w:val="fi-FI"/>
        </w:rPr>
        <w:t xml:space="preserve"> </w:t>
      </w:r>
      <w:r w:rsidRPr="00822C8C">
        <w:rPr>
          <w:sz w:val="24"/>
          <w:lang w:val="fi-FI"/>
        </w:rPr>
        <w:tab/>
        <w:t xml:space="preserve">EUT L 122, 10.5.2019, s. 1, ELI: </w:t>
      </w:r>
      <w:hyperlink r:id="rId90" w:history="1">
        <w:r w:rsidRPr="00822C8C">
          <w:rPr>
            <w:rStyle w:val="Hyperlink1"/>
            <w:sz w:val="24"/>
            <w:lang w:val="fi-FI"/>
          </w:rPr>
          <w:t>http://data.europa.eu/eli/reg_del/2019/715/oj</w:t>
        </w:r>
      </w:hyperlink>
      <w:r w:rsidRPr="00822C8C">
        <w:rPr>
          <w:sz w:val="24"/>
          <w:lang w:val="fi-FI"/>
        </w:rPr>
        <w:t>.</w:t>
      </w:r>
    </w:p>
  </w:footnote>
  <w:footnote w:id="91">
    <w:p w14:paraId="270097D8" w14:textId="77777777" w:rsidR="005375B7" w:rsidRPr="00922AB0" w:rsidRDefault="005375B7" w:rsidP="005375B7">
      <w:pPr>
        <w:pStyle w:val="FootnoteText"/>
        <w:ind w:left="567" w:hanging="567"/>
        <w:rPr>
          <w:sz w:val="24"/>
          <w:lang w:val="fi-FI"/>
        </w:rPr>
      </w:pPr>
      <w:r w:rsidRPr="00922AB0">
        <w:rPr>
          <w:rStyle w:val="FootnoteReference"/>
          <w:sz w:val="24"/>
        </w:rPr>
        <w:footnoteRef/>
      </w:r>
      <w:r w:rsidRPr="00922AB0">
        <w:rPr>
          <w:sz w:val="24"/>
          <w:lang w:val="fi-FI"/>
        </w:rPr>
        <w:t xml:space="preserve"> </w:t>
      </w:r>
      <w:r w:rsidRPr="00822C8C">
        <w:rPr>
          <w:sz w:val="24"/>
          <w:lang w:val="fi-FI"/>
        </w:rPr>
        <w:tab/>
        <w:t xml:space="preserve">EUT C, C/2024/6332, 24.10.2024, ELI: </w:t>
      </w:r>
      <w:hyperlink r:id="rId91" w:history="1">
        <w:r w:rsidRPr="00822C8C">
          <w:rPr>
            <w:rStyle w:val="Hyperlink1"/>
            <w:sz w:val="24"/>
            <w:lang w:val="fi-FI"/>
          </w:rPr>
          <w:t>http://data.europa.eu/eli/C/2024/6332/oj</w:t>
        </w:r>
      </w:hyperlink>
      <w:r w:rsidRPr="00822C8C">
        <w:rPr>
          <w:sz w:val="24"/>
          <w:lang w:val="fi-FI"/>
        </w:rPr>
        <w:t>.</w:t>
      </w:r>
    </w:p>
  </w:footnote>
  <w:footnote w:id="92">
    <w:p w14:paraId="5CCDF3E9" w14:textId="77777777" w:rsidR="005375B7" w:rsidRPr="00922AB0" w:rsidRDefault="005375B7" w:rsidP="005375B7">
      <w:pPr>
        <w:pStyle w:val="FootnoteText"/>
        <w:ind w:left="567" w:hanging="567"/>
        <w:rPr>
          <w:sz w:val="24"/>
          <w:lang w:val="fi-FI"/>
        </w:rPr>
      </w:pPr>
      <w:r w:rsidRPr="00922AB0">
        <w:rPr>
          <w:rStyle w:val="FootnoteReference"/>
          <w:sz w:val="24"/>
        </w:rPr>
        <w:footnoteRef/>
      </w:r>
      <w:r w:rsidRPr="00922AB0">
        <w:rPr>
          <w:sz w:val="24"/>
          <w:lang w:val="fi-FI"/>
        </w:rPr>
        <w:t xml:space="preserve"> </w:t>
      </w:r>
      <w:r w:rsidRPr="00822C8C">
        <w:rPr>
          <w:sz w:val="24"/>
          <w:lang w:val="fi-FI"/>
        </w:rPr>
        <w:tab/>
        <w:t xml:space="preserve">EUT C, C/2024/6041, 10.10.2024, ELI: </w:t>
      </w:r>
      <w:hyperlink r:id="rId92" w:history="1">
        <w:r w:rsidRPr="00822C8C">
          <w:rPr>
            <w:rStyle w:val="Hyperlink1"/>
            <w:sz w:val="24"/>
            <w:lang w:val="fi-FI"/>
          </w:rPr>
          <w:t>http://data.europa.eu/eli/C/2024/6041/oj</w:t>
        </w:r>
      </w:hyperlink>
      <w:r w:rsidRPr="00822C8C">
        <w:rPr>
          <w:sz w:val="24"/>
          <w:lang w:val="fi-FI"/>
        </w:rPr>
        <w:t>.</w:t>
      </w:r>
    </w:p>
  </w:footnote>
  <w:footnote w:id="93">
    <w:p w14:paraId="6413258F" w14:textId="77777777" w:rsidR="005375B7" w:rsidRPr="00922AB0" w:rsidRDefault="005375B7" w:rsidP="005375B7">
      <w:pPr>
        <w:pStyle w:val="FootnoteText"/>
        <w:ind w:left="567" w:hanging="567"/>
        <w:rPr>
          <w:sz w:val="24"/>
          <w:lang w:val="fi-FI"/>
        </w:rPr>
      </w:pPr>
      <w:r w:rsidRPr="00922AB0">
        <w:rPr>
          <w:rStyle w:val="FootnoteReference"/>
          <w:sz w:val="24"/>
        </w:rPr>
        <w:footnoteRef/>
      </w:r>
      <w:r w:rsidRPr="00922AB0">
        <w:rPr>
          <w:sz w:val="24"/>
          <w:lang w:val="fi-FI"/>
        </w:rPr>
        <w:t xml:space="preserve"> </w:t>
      </w:r>
      <w:r w:rsidRPr="00822C8C">
        <w:rPr>
          <w:sz w:val="24"/>
          <w:lang w:val="fi-FI"/>
        </w:rPr>
        <w:tab/>
        <w:t xml:space="preserve">EUT L 193, 30.7.2018, s. 1, ELI: </w:t>
      </w:r>
      <w:hyperlink r:id="rId93" w:history="1">
        <w:r w:rsidRPr="00822C8C">
          <w:rPr>
            <w:rStyle w:val="Hyperlink1"/>
            <w:sz w:val="24"/>
            <w:lang w:val="fi-FI"/>
          </w:rPr>
          <w:t>http://data.europa.eu/eli/reg/2018/1046/oj</w:t>
        </w:r>
      </w:hyperlink>
      <w:r w:rsidRPr="00822C8C">
        <w:rPr>
          <w:sz w:val="24"/>
          <w:lang w:val="fi-FI"/>
        </w:rPr>
        <w:t>.</w:t>
      </w:r>
    </w:p>
  </w:footnote>
  <w:footnote w:id="94">
    <w:p w14:paraId="4D94B8B6" w14:textId="77777777" w:rsidR="005375B7" w:rsidRPr="00922AB0" w:rsidRDefault="005375B7" w:rsidP="005375B7">
      <w:pPr>
        <w:pStyle w:val="FootnoteText"/>
        <w:ind w:left="567" w:hanging="567"/>
        <w:rPr>
          <w:sz w:val="24"/>
          <w:lang w:val="fi-FI"/>
        </w:rPr>
      </w:pPr>
      <w:r w:rsidRPr="00922AB0">
        <w:rPr>
          <w:rStyle w:val="FootnoteReference"/>
          <w:sz w:val="24"/>
        </w:rPr>
        <w:footnoteRef/>
      </w:r>
      <w:r w:rsidRPr="00922AB0">
        <w:rPr>
          <w:sz w:val="24"/>
          <w:lang w:val="fi-FI"/>
        </w:rPr>
        <w:t xml:space="preserve"> </w:t>
      </w:r>
      <w:r w:rsidRPr="00822C8C">
        <w:rPr>
          <w:sz w:val="24"/>
          <w:lang w:val="fi-FI"/>
        </w:rPr>
        <w:tab/>
        <w:t xml:space="preserve">EUT L, 2024/2509, 26.9.2024, ELI: </w:t>
      </w:r>
      <w:hyperlink r:id="rId94" w:history="1">
        <w:r w:rsidRPr="00822C8C">
          <w:rPr>
            <w:rStyle w:val="Hyperlink1"/>
            <w:sz w:val="24"/>
            <w:lang w:val="fi-FI"/>
          </w:rPr>
          <w:t>http://data.europa.eu/eli/reg/2024/2509/oj</w:t>
        </w:r>
      </w:hyperlink>
      <w:r w:rsidRPr="00822C8C">
        <w:rPr>
          <w:rStyle w:val="Hyperlink1"/>
          <w:sz w:val="24"/>
          <w:lang w:val="fi-FI"/>
        </w:rPr>
        <w:t>.</w:t>
      </w:r>
    </w:p>
  </w:footnote>
  <w:footnote w:id="95">
    <w:p w14:paraId="5D7F0F2F" w14:textId="77777777" w:rsidR="005375B7" w:rsidRPr="00922AB0" w:rsidRDefault="005375B7" w:rsidP="005375B7">
      <w:pPr>
        <w:pStyle w:val="FootnoteText"/>
        <w:ind w:left="567" w:hanging="567"/>
        <w:rPr>
          <w:sz w:val="24"/>
          <w:lang w:val="fi-FI"/>
        </w:rPr>
      </w:pPr>
      <w:r w:rsidRPr="00922AB0">
        <w:rPr>
          <w:rStyle w:val="FootnoteReference"/>
          <w:sz w:val="24"/>
        </w:rPr>
        <w:footnoteRef/>
      </w:r>
      <w:r w:rsidRPr="00922AB0">
        <w:rPr>
          <w:sz w:val="24"/>
          <w:lang w:val="fi-FI"/>
        </w:rPr>
        <w:t xml:space="preserve"> </w:t>
      </w:r>
      <w:r w:rsidRPr="00822C8C">
        <w:rPr>
          <w:sz w:val="24"/>
          <w:lang w:val="fi-FI"/>
        </w:rPr>
        <w:tab/>
        <w:t xml:space="preserve">EUT L 142, 30.4.2004, s. 1, ELI: </w:t>
      </w:r>
      <w:hyperlink r:id="rId95" w:history="1">
        <w:r w:rsidRPr="00822C8C">
          <w:rPr>
            <w:rStyle w:val="Hyperlink1"/>
            <w:sz w:val="24"/>
            <w:lang w:val="fi-FI"/>
          </w:rPr>
          <w:t>http://data.europa.eu/eli/reg/2004/851/oj</w:t>
        </w:r>
      </w:hyperlink>
      <w:r w:rsidRPr="00822C8C">
        <w:rPr>
          <w:sz w:val="24"/>
          <w:lang w:val="fi-FI"/>
        </w:rPr>
        <w:t>.</w:t>
      </w:r>
    </w:p>
  </w:footnote>
  <w:footnote w:id="96">
    <w:p w14:paraId="6E765B95" w14:textId="77777777" w:rsidR="005375B7" w:rsidRPr="00922AB0" w:rsidRDefault="005375B7" w:rsidP="005375B7">
      <w:pPr>
        <w:pStyle w:val="FootnoteText"/>
        <w:ind w:left="567" w:hanging="567"/>
        <w:rPr>
          <w:sz w:val="24"/>
          <w:lang w:val="fi-FI"/>
        </w:rPr>
      </w:pPr>
      <w:r w:rsidRPr="00922AB0">
        <w:rPr>
          <w:rStyle w:val="FootnoteReference"/>
          <w:sz w:val="24"/>
        </w:rPr>
        <w:footnoteRef/>
      </w:r>
      <w:r w:rsidRPr="00922AB0">
        <w:rPr>
          <w:sz w:val="24"/>
          <w:lang w:val="fi-FI"/>
        </w:rPr>
        <w:t xml:space="preserve"> </w:t>
      </w:r>
      <w:r w:rsidRPr="00822C8C">
        <w:rPr>
          <w:sz w:val="24"/>
          <w:lang w:val="fi-FI"/>
        </w:rPr>
        <w:tab/>
        <w:t xml:space="preserve">EUT L 122, 10.5.2019, s. 1, ELI: </w:t>
      </w:r>
      <w:hyperlink r:id="rId96" w:history="1">
        <w:r w:rsidRPr="00822C8C">
          <w:rPr>
            <w:rStyle w:val="Hyperlink1"/>
            <w:sz w:val="24"/>
            <w:lang w:val="fi-FI"/>
          </w:rPr>
          <w:t>http://data.europa.eu/eli/reg_del/2019/715/oj</w:t>
        </w:r>
      </w:hyperlink>
      <w:r w:rsidRPr="00822C8C">
        <w:rPr>
          <w:sz w:val="24"/>
          <w:lang w:val="fi-FI"/>
        </w:rPr>
        <w:t>.</w:t>
      </w:r>
    </w:p>
  </w:footnote>
  <w:footnote w:id="97">
    <w:p w14:paraId="4DA45758" w14:textId="77777777" w:rsidR="005375B7" w:rsidRPr="0067645F" w:rsidRDefault="005375B7" w:rsidP="005375B7">
      <w:pPr>
        <w:pStyle w:val="FootnoteText"/>
        <w:ind w:left="567" w:hanging="567"/>
        <w:rPr>
          <w:sz w:val="24"/>
          <w:lang w:val="fi-FI"/>
        </w:rPr>
      </w:pPr>
      <w:r w:rsidRPr="0067645F">
        <w:rPr>
          <w:rStyle w:val="FootnoteReference"/>
          <w:sz w:val="24"/>
        </w:rPr>
        <w:footnoteRef/>
      </w:r>
      <w:r w:rsidRPr="0067645F">
        <w:rPr>
          <w:sz w:val="24"/>
          <w:lang w:val="fi-FI"/>
        </w:rPr>
        <w:t xml:space="preserve"> </w:t>
      </w:r>
      <w:r w:rsidRPr="00822C8C">
        <w:rPr>
          <w:sz w:val="24"/>
          <w:lang w:val="fi-FI"/>
        </w:rPr>
        <w:tab/>
        <w:t xml:space="preserve">EUT C, C/2024/6332, 24.10.2024, ELI: </w:t>
      </w:r>
      <w:hyperlink r:id="rId97" w:history="1">
        <w:r w:rsidRPr="00822C8C">
          <w:rPr>
            <w:rStyle w:val="Hyperlink1"/>
            <w:sz w:val="24"/>
            <w:lang w:val="fi-FI"/>
          </w:rPr>
          <w:t>http://data.europa.eu/eli/C/2024/6332/oj</w:t>
        </w:r>
      </w:hyperlink>
      <w:r w:rsidRPr="00822C8C">
        <w:rPr>
          <w:sz w:val="24"/>
          <w:lang w:val="fi-FI"/>
        </w:rPr>
        <w:t>.</w:t>
      </w:r>
    </w:p>
  </w:footnote>
  <w:footnote w:id="98">
    <w:p w14:paraId="34B79A52" w14:textId="77777777" w:rsidR="005375B7" w:rsidRPr="0067645F" w:rsidRDefault="005375B7" w:rsidP="005375B7">
      <w:pPr>
        <w:pStyle w:val="FootnoteText"/>
        <w:ind w:left="567" w:hanging="567"/>
        <w:rPr>
          <w:sz w:val="24"/>
          <w:lang w:val="fi-FI"/>
        </w:rPr>
      </w:pPr>
      <w:r w:rsidRPr="0067645F">
        <w:rPr>
          <w:rStyle w:val="FootnoteReference"/>
          <w:sz w:val="24"/>
        </w:rPr>
        <w:footnoteRef/>
      </w:r>
      <w:r w:rsidRPr="0067645F">
        <w:rPr>
          <w:sz w:val="24"/>
          <w:lang w:val="fi-FI"/>
        </w:rPr>
        <w:t xml:space="preserve"> </w:t>
      </w:r>
      <w:r w:rsidRPr="00822C8C">
        <w:rPr>
          <w:sz w:val="24"/>
          <w:lang w:val="fi-FI"/>
        </w:rPr>
        <w:tab/>
        <w:t xml:space="preserve">EUT C, C/2024/6041, 10.10.2024, ELI: </w:t>
      </w:r>
      <w:hyperlink r:id="rId98" w:history="1">
        <w:r w:rsidRPr="00822C8C">
          <w:rPr>
            <w:rStyle w:val="Hyperlink1"/>
            <w:sz w:val="24"/>
            <w:lang w:val="fi-FI"/>
          </w:rPr>
          <w:t>http://data.europa.eu/eli/C/2024/6041/oj</w:t>
        </w:r>
      </w:hyperlink>
      <w:r w:rsidRPr="00822C8C">
        <w:rPr>
          <w:sz w:val="24"/>
          <w:lang w:val="fi-FI"/>
        </w:rPr>
        <w:t>.</w:t>
      </w:r>
    </w:p>
  </w:footnote>
  <w:footnote w:id="99">
    <w:p w14:paraId="02A7FCFB" w14:textId="77777777" w:rsidR="005375B7" w:rsidRPr="0067645F" w:rsidRDefault="005375B7" w:rsidP="005375B7">
      <w:pPr>
        <w:pStyle w:val="FootnoteText"/>
        <w:ind w:left="567" w:hanging="567"/>
        <w:rPr>
          <w:sz w:val="24"/>
          <w:lang w:val="fi-FI"/>
        </w:rPr>
      </w:pPr>
      <w:r w:rsidRPr="0067645F">
        <w:rPr>
          <w:rStyle w:val="FootnoteReference"/>
          <w:sz w:val="24"/>
        </w:rPr>
        <w:footnoteRef/>
      </w:r>
      <w:r w:rsidRPr="0067645F">
        <w:rPr>
          <w:sz w:val="24"/>
          <w:lang w:val="fi-FI"/>
        </w:rPr>
        <w:t xml:space="preserve"> </w:t>
      </w:r>
      <w:r w:rsidRPr="00822C8C">
        <w:rPr>
          <w:sz w:val="24"/>
          <w:lang w:val="fi-FI"/>
        </w:rPr>
        <w:tab/>
        <w:t xml:space="preserve">EUT L 193, 30.7.2018, s. 1, ELI: </w:t>
      </w:r>
      <w:hyperlink r:id="rId99" w:history="1">
        <w:r w:rsidRPr="00822C8C">
          <w:rPr>
            <w:rStyle w:val="Hyperlink1"/>
            <w:sz w:val="24"/>
            <w:lang w:val="fi-FI"/>
          </w:rPr>
          <w:t>http://data.europa.eu/eli/reg/2018/1046/oj</w:t>
        </w:r>
      </w:hyperlink>
      <w:r w:rsidRPr="00822C8C">
        <w:rPr>
          <w:sz w:val="24"/>
          <w:lang w:val="fi-FI"/>
        </w:rPr>
        <w:t>.</w:t>
      </w:r>
    </w:p>
  </w:footnote>
  <w:footnote w:id="100">
    <w:p w14:paraId="01A0DDB6" w14:textId="77777777" w:rsidR="005375B7" w:rsidRPr="0067645F" w:rsidRDefault="005375B7" w:rsidP="005375B7">
      <w:pPr>
        <w:pStyle w:val="FootnoteText"/>
        <w:ind w:left="567" w:hanging="567"/>
        <w:rPr>
          <w:sz w:val="24"/>
          <w:lang w:val="fi-FI"/>
        </w:rPr>
      </w:pPr>
      <w:r w:rsidRPr="0067645F">
        <w:rPr>
          <w:rStyle w:val="FootnoteReference"/>
          <w:sz w:val="24"/>
        </w:rPr>
        <w:footnoteRef/>
      </w:r>
      <w:r w:rsidRPr="0067645F">
        <w:rPr>
          <w:sz w:val="24"/>
          <w:lang w:val="fi-FI"/>
        </w:rPr>
        <w:t xml:space="preserve"> </w:t>
      </w:r>
      <w:r w:rsidRPr="00822C8C">
        <w:rPr>
          <w:sz w:val="24"/>
          <w:lang w:val="fi-FI"/>
        </w:rPr>
        <w:tab/>
        <w:t xml:space="preserve">EUT L, 2024/2509, 26.9.2024, ELI: </w:t>
      </w:r>
      <w:hyperlink r:id="rId100" w:history="1">
        <w:r w:rsidRPr="00822C8C">
          <w:rPr>
            <w:rStyle w:val="Hyperlink1"/>
            <w:sz w:val="24"/>
            <w:lang w:val="fi-FI"/>
          </w:rPr>
          <w:t>http://data.europa.eu/eli/reg/2024/2509/oj</w:t>
        </w:r>
      </w:hyperlink>
      <w:r w:rsidRPr="00822C8C">
        <w:rPr>
          <w:rStyle w:val="Hyperlink1"/>
          <w:sz w:val="24"/>
          <w:lang w:val="fi-FI"/>
        </w:rPr>
        <w:t>.</w:t>
      </w:r>
    </w:p>
  </w:footnote>
  <w:footnote w:id="101">
    <w:p w14:paraId="13664F43" w14:textId="77777777" w:rsidR="005375B7" w:rsidRPr="0067645F" w:rsidRDefault="005375B7" w:rsidP="005375B7">
      <w:pPr>
        <w:pStyle w:val="FootnoteText"/>
        <w:ind w:left="567" w:hanging="567"/>
        <w:rPr>
          <w:sz w:val="24"/>
          <w:lang w:val="fi-FI"/>
        </w:rPr>
      </w:pPr>
      <w:r w:rsidRPr="0067645F">
        <w:rPr>
          <w:rStyle w:val="FootnoteReference"/>
          <w:sz w:val="24"/>
        </w:rPr>
        <w:footnoteRef/>
      </w:r>
      <w:r w:rsidRPr="0067645F">
        <w:rPr>
          <w:sz w:val="24"/>
          <w:lang w:val="fi-FI"/>
        </w:rPr>
        <w:t xml:space="preserve"> </w:t>
      </w:r>
      <w:r w:rsidRPr="00822C8C">
        <w:rPr>
          <w:sz w:val="24"/>
          <w:lang w:val="fi-FI"/>
        </w:rPr>
        <w:tab/>
        <w:t xml:space="preserve">EUT L 396, 30.12.2006, s. 1, ELI: </w:t>
      </w:r>
      <w:hyperlink r:id="rId101" w:history="1">
        <w:r w:rsidRPr="00822C8C">
          <w:rPr>
            <w:rStyle w:val="Hyperlink1"/>
            <w:sz w:val="24"/>
            <w:lang w:val="fi-FI"/>
          </w:rPr>
          <w:t>http://data.europa.eu/eli/reg/2006/1907/oj</w:t>
        </w:r>
      </w:hyperlink>
      <w:r w:rsidRPr="00822C8C">
        <w:rPr>
          <w:sz w:val="24"/>
          <w:lang w:val="fi-FI"/>
        </w:rPr>
        <w:t>.</w:t>
      </w:r>
    </w:p>
  </w:footnote>
  <w:footnote w:id="102">
    <w:p w14:paraId="56FB7408" w14:textId="77777777" w:rsidR="005375B7" w:rsidRPr="0067645F" w:rsidRDefault="005375B7" w:rsidP="005375B7">
      <w:pPr>
        <w:pStyle w:val="FootnoteText"/>
        <w:ind w:left="567" w:hanging="567"/>
        <w:rPr>
          <w:sz w:val="24"/>
          <w:lang w:val="fi-FI"/>
        </w:rPr>
      </w:pPr>
      <w:r w:rsidRPr="0067645F">
        <w:rPr>
          <w:rStyle w:val="FootnoteReference"/>
          <w:sz w:val="24"/>
        </w:rPr>
        <w:footnoteRef/>
      </w:r>
      <w:r w:rsidRPr="0067645F">
        <w:rPr>
          <w:sz w:val="24"/>
          <w:lang w:val="fi-FI"/>
        </w:rPr>
        <w:t xml:space="preserve"> </w:t>
      </w:r>
      <w:r w:rsidRPr="00822C8C">
        <w:rPr>
          <w:sz w:val="24"/>
          <w:lang w:val="fi-FI"/>
        </w:rPr>
        <w:tab/>
        <w:t xml:space="preserve">EUT L 122, 10.5.2019, s. 1, ELI: </w:t>
      </w:r>
      <w:hyperlink r:id="rId102" w:history="1">
        <w:r w:rsidRPr="00822C8C">
          <w:rPr>
            <w:rStyle w:val="Hyperlink1"/>
            <w:sz w:val="24"/>
            <w:lang w:val="fi-FI"/>
          </w:rPr>
          <w:t>http://data.europa.eu/eli/reg_del/2019/715/oj</w:t>
        </w:r>
      </w:hyperlink>
      <w:r w:rsidRPr="00822C8C">
        <w:rPr>
          <w:sz w:val="24"/>
          <w:lang w:val="fi-FI"/>
        </w:rPr>
        <w:t>.</w:t>
      </w:r>
    </w:p>
  </w:footnote>
  <w:footnote w:id="103">
    <w:p w14:paraId="079F348D" w14:textId="77777777" w:rsidR="005375B7" w:rsidRPr="002339F1" w:rsidRDefault="005375B7" w:rsidP="005375B7">
      <w:pPr>
        <w:pStyle w:val="FootnoteText"/>
        <w:ind w:left="567" w:hanging="567"/>
        <w:rPr>
          <w:sz w:val="24"/>
          <w:lang w:val="fi-FI"/>
        </w:rPr>
      </w:pPr>
      <w:r w:rsidRPr="002339F1">
        <w:rPr>
          <w:rStyle w:val="FootnoteReference"/>
          <w:sz w:val="24"/>
        </w:rPr>
        <w:footnoteRef/>
      </w:r>
      <w:r w:rsidRPr="002339F1">
        <w:rPr>
          <w:sz w:val="24"/>
          <w:lang w:val="fi-FI"/>
        </w:rPr>
        <w:t xml:space="preserve"> </w:t>
      </w:r>
      <w:r w:rsidRPr="00822C8C">
        <w:rPr>
          <w:sz w:val="24"/>
          <w:lang w:val="fi-FI"/>
        </w:rPr>
        <w:tab/>
        <w:t xml:space="preserve">EUT C, C/2024/6332, 24.10.2024, ELI: </w:t>
      </w:r>
      <w:hyperlink r:id="rId103" w:history="1">
        <w:r w:rsidRPr="00822C8C">
          <w:rPr>
            <w:rStyle w:val="Hyperlink1"/>
            <w:sz w:val="24"/>
            <w:lang w:val="fi-FI"/>
          </w:rPr>
          <w:t>http://data.europa.eu/eli/C/2024/6332/oj</w:t>
        </w:r>
      </w:hyperlink>
      <w:r w:rsidRPr="00822C8C">
        <w:rPr>
          <w:sz w:val="24"/>
          <w:lang w:val="fi-FI"/>
        </w:rPr>
        <w:t>.</w:t>
      </w:r>
    </w:p>
  </w:footnote>
  <w:footnote w:id="104">
    <w:p w14:paraId="01AFC285" w14:textId="77777777" w:rsidR="005375B7" w:rsidRPr="002339F1" w:rsidRDefault="005375B7" w:rsidP="005375B7">
      <w:pPr>
        <w:pStyle w:val="FootnoteText"/>
        <w:ind w:left="567" w:hanging="567"/>
        <w:rPr>
          <w:sz w:val="24"/>
          <w:lang w:val="fi-FI"/>
        </w:rPr>
      </w:pPr>
      <w:r w:rsidRPr="002339F1">
        <w:rPr>
          <w:rStyle w:val="FootnoteReference"/>
          <w:sz w:val="24"/>
        </w:rPr>
        <w:footnoteRef/>
      </w:r>
      <w:r w:rsidRPr="002339F1">
        <w:rPr>
          <w:sz w:val="24"/>
          <w:lang w:val="fi-FI"/>
        </w:rPr>
        <w:t xml:space="preserve"> </w:t>
      </w:r>
      <w:r w:rsidRPr="00822C8C">
        <w:rPr>
          <w:sz w:val="24"/>
          <w:lang w:val="fi-FI"/>
        </w:rPr>
        <w:tab/>
        <w:t xml:space="preserve">EUT C, C/2024/6041, 10.10.2024, ELI: </w:t>
      </w:r>
      <w:hyperlink r:id="rId104" w:history="1">
        <w:r w:rsidRPr="00822C8C">
          <w:rPr>
            <w:rStyle w:val="Hyperlink1"/>
            <w:sz w:val="24"/>
            <w:lang w:val="fi-FI"/>
          </w:rPr>
          <w:t>http://data.europa.eu/eli/C/2024/6041/oj</w:t>
        </w:r>
      </w:hyperlink>
      <w:r w:rsidRPr="00822C8C">
        <w:rPr>
          <w:sz w:val="24"/>
          <w:lang w:val="fi-FI"/>
        </w:rPr>
        <w:t>.</w:t>
      </w:r>
    </w:p>
  </w:footnote>
  <w:footnote w:id="105">
    <w:p w14:paraId="4EC60BC2" w14:textId="77777777" w:rsidR="005375B7" w:rsidRPr="002339F1" w:rsidRDefault="005375B7" w:rsidP="005375B7">
      <w:pPr>
        <w:pStyle w:val="FootnoteText"/>
        <w:ind w:left="567" w:hanging="567"/>
        <w:rPr>
          <w:sz w:val="24"/>
          <w:lang w:val="fi-FI"/>
        </w:rPr>
      </w:pPr>
      <w:r w:rsidRPr="002339F1">
        <w:rPr>
          <w:rStyle w:val="FootnoteReference"/>
          <w:sz w:val="24"/>
        </w:rPr>
        <w:footnoteRef/>
      </w:r>
      <w:r w:rsidRPr="002339F1">
        <w:rPr>
          <w:sz w:val="24"/>
          <w:lang w:val="fi-FI"/>
        </w:rPr>
        <w:t xml:space="preserve"> </w:t>
      </w:r>
      <w:r w:rsidRPr="00822C8C">
        <w:rPr>
          <w:sz w:val="24"/>
          <w:lang w:val="fi-FI"/>
        </w:rPr>
        <w:tab/>
        <w:t xml:space="preserve">EUT L 193, 30.7.2018, s. 1, ELI: </w:t>
      </w:r>
      <w:hyperlink r:id="rId105" w:history="1">
        <w:r w:rsidRPr="00822C8C">
          <w:rPr>
            <w:rStyle w:val="Hyperlink1"/>
            <w:sz w:val="24"/>
            <w:lang w:val="fi-FI"/>
          </w:rPr>
          <w:t>http://data.europa.eu/eli/reg/2018/1046/oj</w:t>
        </w:r>
      </w:hyperlink>
      <w:r w:rsidRPr="00822C8C">
        <w:rPr>
          <w:sz w:val="24"/>
          <w:lang w:val="fi-FI"/>
        </w:rPr>
        <w:t>.</w:t>
      </w:r>
    </w:p>
  </w:footnote>
  <w:footnote w:id="106">
    <w:p w14:paraId="1EBDE819" w14:textId="77777777" w:rsidR="005375B7" w:rsidRPr="002339F1" w:rsidRDefault="005375B7" w:rsidP="005375B7">
      <w:pPr>
        <w:pStyle w:val="FootnoteText"/>
        <w:ind w:left="567" w:hanging="567"/>
        <w:rPr>
          <w:sz w:val="24"/>
          <w:lang w:val="fi-FI"/>
        </w:rPr>
      </w:pPr>
      <w:r w:rsidRPr="002339F1">
        <w:rPr>
          <w:rStyle w:val="FootnoteReference"/>
          <w:sz w:val="24"/>
        </w:rPr>
        <w:footnoteRef/>
      </w:r>
      <w:r w:rsidRPr="002339F1">
        <w:rPr>
          <w:sz w:val="24"/>
          <w:lang w:val="fi-FI"/>
        </w:rPr>
        <w:t xml:space="preserve"> </w:t>
      </w:r>
      <w:r w:rsidRPr="00822C8C">
        <w:rPr>
          <w:sz w:val="24"/>
          <w:lang w:val="fi-FI"/>
        </w:rPr>
        <w:tab/>
        <w:t xml:space="preserve">EUT L, 2024/2509, 26.9.2024, ELI: </w:t>
      </w:r>
      <w:hyperlink r:id="rId106" w:history="1">
        <w:r w:rsidRPr="00822C8C">
          <w:rPr>
            <w:rStyle w:val="Hyperlink1"/>
            <w:sz w:val="24"/>
            <w:lang w:val="fi-FI"/>
          </w:rPr>
          <w:t>http://data.europa.eu/eli/reg/2024/2509/oj</w:t>
        </w:r>
      </w:hyperlink>
      <w:r w:rsidRPr="00822C8C">
        <w:rPr>
          <w:rStyle w:val="Hyperlink1"/>
          <w:sz w:val="24"/>
          <w:lang w:val="fi-FI"/>
        </w:rPr>
        <w:t>.</w:t>
      </w:r>
    </w:p>
  </w:footnote>
  <w:footnote w:id="107">
    <w:p w14:paraId="767DD0A9" w14:textId="77777777" w:rsidR="005375B7" w:rsidRPr="002339F1" w:rsidRDefault="005375B7" w:rsidP="005375B7">
      <w:pPr>
        <w:pStyle w:val="FootnoteText"/>
        <w:ind w:left="567" w:hanging="567"/>
        <w:rPr>
          <w:sz w:val="24"/>
          <w:lang w:val="fi-FI"/>
        </w:rPr>
      </w:pPr>
      <w:r w:rsidRPr="002339F1">
        <w:rPr>
          <w:rStyle w:val="FootnoteReference"/>
          <w:sz w:val="24"/>
        </w:rPr>
        <w:footnoteRef/>
      </w:r>
      <w:r w:rsidRPr="002339F1">
        <w:rPr>
          <w:sz w:val="24"/>
          <w:lang w:val="fi-FI"/>
        </w:rPr>
        <w:t xml:space="preserve"> </w:t>
      </w:r>
      <w:r w:rsidRPr="00822C8C">
        <w:rPr>
          <w:sz w:val="24"/>
          <w:lang w:val="fi-FI"/>
        </w:rPr>
        <w:tab/>
        <w:t xml:space="preserve">EUT L 396, 30.12.2006, s. 1, ELI: </w:t>
      </w:r>
      <w:hyperlink r:id="rId107" w:history="1">
        <w:r w:rsidRPr="00822C8C">
          <w:rPr>
            <w:rStyle w:val="Hyperlink1"/>
            <w:sz w:val="24"/>
            <w:lang w:val="fi-FI"/>
          </w:rPr>
          <w:t>http://data.europa.eu/eli/reg/2006/1907/oj</w:t>
        </w:r>
      </w:hyperlink>
      <w:r w:rsidRPr="00822C8C">
        <w:rPr>
          <w:sz w:val="24"/>
          <w:lang w:val="fi-FI"/>
        </w:rPr>
        <w:t>.</w:t>
      </w:r>
    </w:p>
  </w:footnote>
  <w:footnote w:id="108">
    <w:p w14:paraId="53BACB78" w14:textId="77777777" w:rsidR="005375B7" w:rsidRPr="002339F1" w:rsidRDefault="005375B7" w:rsidP="005375B7">
      <w:pPr>
        <w:pStyle w:val="FootnoteText"/>
        <w:ind w:left="567" w:hanging="567"/>
        <w:rPr>
          <w:sz w:val="24"/>
          <w:lang w:val="fi-FI"/>
        </w:rPr>
      </w:pPr>
      <w:r w:rsidRPr="002339F1">
        <w:rPr>
          <w:rStyle w:val="FootnoteReference"/>
          <w:sz w:val="24"/>
        </w:rPr>
        <w:footnoteRef/>
      </w:r>
      <w:r w:rsidRPr="002339F1">
        <w:rPr>
          <w:sz w:val="24"/>
          <w:lang w:val="fi-FI"/>
        </w:rPr>
        <w:t xml:space="preserve"> </w:t>
      </w:r>
      <w:r w:rsidRPr="00822C8C">
        <w:rPr>
          <w:sz w:val="24"/>
          <w:lang w:val="fi-FI"/>
        </w:rPr>
        <w:tab/>
        <w:t xml:space="preserve">EUT L 122, 10.5.2019, s. 1, ELI: </w:t>
      </w:r>
      <w:hyperlink r:id="rId108" w:history="1">
        <w:r w:rsidRPr="00822C8C">
          <w:rPr>
            <w:rStyle w:val="Hyperlink1"/>
            <w:sz w:val="24"/>
            <w:lang w:val="fi-FI"/>
          </w:rPr>
          <w:t>http://data.europa.eu/eli/reg_del/2019/715/oj</w:t>
        </w:r>
      </w:hyperlink>
      <w:r w:rsidRPr="00822C8C">
        <w:rPr>
          <w:sz w:val="24"/>
          <w:lang w:val="fi-FI"/>
        </w:rPr>
        <w:t>.</w:t>
      </w:r>
    </w:p>
  </w:footnote>
  <w:footnote w:id="109">
    <w:p w14:paraId="401C9FF9" w14:textId="77777777" w:rsidR="005375B7" w:rsidRPr="00805336" w:rsidRDefault="005375B7" w:rsidP="005375B7">
      <w:pPr>
        <w:pStyle w:val="FootnoteText"/>
        <w:ind w:left="567" w:hanging="567"/>
        <w:rPr>
          <w:sz w:val="24"/>
          <w:lang w:val="fi-FI"/>
        </w:rPr>
      </w:pPr>
      <w:r w:rsidRPr="00805336">
        <w:rPr>
          <w:rStyle w:val="FootnoteReference"/>
          <w:sz w:val="24"/>
        </w:rPr>
        <w:footnoteRef/>
      </w:r>
      <w:r w:rsidRPr="00805336">
        <w:rPr>
          <w:sz w:val="24"/>
          <w:lang w:val="fi-FI"/>
        </w:rPr>
        <w:t xml:space="preserve"> </w:t>
      </w:r>
      <w:r w:rsidRPr="00822C8C">
        <w:rPr>
          <w:sz w:val="24"/>
          <w:lang w:val="fi-FI"/>
        </w:rPr>
        <w:tab/>
        <w:t xml:space="preserve">EUT C, C/2024/6332, 24.10.2024, ELI: </w:t>
      </w:r>
      <w:hyperlink r:id="rId109" w:history="1">
        <w:r w:rsidRPr="00822C8C">
          <w:rPr>
            <w:rStyle w:val="Hyperlink1"/>
            <w:sz w:val="24"/>
            <w:lang w:val="fi-FI"/>
          </w:rPr>
          <w:t>http://data.europa.eu/eli/C/2024/6332/oj</w:t>
        </w:r>
      </w:hyperlink>
      <w:r w:rsidRPr="00822C8C">
        <w:rPr>
          <w:sz w:val="24"/>
          <w:lang w:val="fi-FI"/>
        </w:rPr>
        <w:t>.</w:t>
      </w:r>
    </w:p>
  </w:footnote>
  <w:footnote w:id="110">
    <w:p w14:paraId="2531E415" w14:textId="77777777" w:rsidR="005375B7" w:rsidRPr="00805336" w:rsidRDefault="005375B7" w:rsidP="005375B7">
      <w:pPr>
        <w:pStyle w:val="FootnoteText"/>
        <w:ind w:left="567" w:hanging="567"/>
        <w:rPr>
          <w:sz w:val="24"/>
          <w:lang w:val="fi-FI"/>
        </w:rPr>
      </w:pPr>
      <w:r w:rsidRPr="00805336">
        <w:rPr>
          <w:rStyle w:val="FootnoteReference"/>
          <w:sz w:val="24"/>
        </w:rPr>
        <w:footnoteRef/>
      </w:r>
      <w:r w:rsidRPr="00805336">
        <w:rPr>
          <w:sz w:val="24"/>
          <w:lang w:val="fi-FI"/>
        </w:rPr>
        <w:t xml:space="preserve"> </w:t>
      </w:r>
      <w:r w:rsidRPr="00822C8C">
        <w:rPr>
          <w:sz w:val="24"/>
          <w:lang w:val="fi-FI"/>
        </w:rPr>
        <w:tab/>
        <w:t xml:space="preserve">EUT C, C/2024/6041, 10.10.2024, ELI: </w:t>
      </w:r>
      <w:hyperlink r:id="rId110" w:history="1">
        <w:r w:rsidRPr="00822C8C">
          <w:rPr>
            <w:rStyle w:val="Hyperlink1"/>
            <w:sz w:val="24"/>
            <w:lang w:val="fi-FI"/>
          </w:rPr>
          <w:t>http://data.europa.eu/eli/C/2024/6041/oj</w:t>
        </w:r>
      </w:hyperlink>
      <w:r w:rsidRPr="00822C8C">
        <w:rPr>
          <w:sz w:val="24"/>
          <w:lang w:val="fi-FI"/>
        </w:rPr>
        <w:t>.</w:t>
      </w:r>
    </w:p>
  </w:footnote>
  <w:footnote w:id="111">
    <w:p w14:paraId="0607BE31" w14:textId="77777777" w:rsidR="005375B7" w:rsidRPr="00805336" w:rsidRDefault="005375B7" w:rsidP="005375B7">
      <w:pPr>
        <w:pStyle w:val="FootnoteText"/>
        <w:ind w:left="567" w:hanging="567"/>
        <w:rPr>
          <w:sz w:val="24"/>
          <w:lang w:val="fi-FI"/>
        </w:rPr>
      </w:pPr>
      <w:r w:rsidRPr="00805336">
        <w:rPr>
          <w:rStyle w:val="FootnoteReference"/>
          <w:sz w:val="24"/>
        </w:rPr>
        <w:footnoteRef/>
      </w:r>
      <w:r w:rsidRPr="00805336">
        <w:rPr>
          <w:sz w:val="24"/>
          <w:lang w:val="fi-FI"/>
        </w:rPr>
        <w:t xml:space="preserve"> </w:t>
      </w:r>
      <w:r w:rsidRPr="00822C8C">
        <w:rPr>
          <w:sz w:val="24"/>
          <w:lang w:val="fi-FI"/>
        </w:rPr>
        <w:tab/>
        <w:t xml:space="preserve">EUT L 193, 30.7.2018, s. 1, ELI: </w:t>
      </w:r>
      <w:hyperlink r:id="rId111" w:history="1">
        <w:r w:rsidRPr="00822C8C">
          <w:rPr>
            <w:rStyle w:val="Hyperlink1"/>
            <w:sz w:val="24"/>
            <w:lang w:val="fi-FI"/>
          </w:rPr>
          <w:t>http://data.europa.eu/eli/reg/2018/1046/oj</w:t>
        </w:r>
      </w:hyperlink>
      <w:r w:rsidRPr="00822C8C">
        <w:rPr>
          <w:sz w:val="24"/>
          <w:lang w:val="fi-FI"/>
        </w:rPr>
        <w:t>.</w:t>
      </w:r>
    </w:p>
  </w:footnote>
  <w:footnote w:id="112">
    <w:p w14:paraId="721818FE" w14:textId="77777777" w:rsidR="005375B7" w:rsidRPr="00805336" w:rsidRDefault="005375B7" w:rsidP="005375B7">
      <w:pPr>
        <w:pStyle w:val="FootnoteText"/>
        <w:ind w:left="567" w:hanging="567"/>
        <w:rPr>
          <w:sz w:val="24"/>
          <w:lang w:val="fi-FI"/>
        </w:rPr>
      </w:pPr>
      <w:r w:rsidRPr="00805336">
        <w:rPr>
          <w:rStyle w:val="FootnoteReference"/>
          <w:sz w:val="24"/>
        </w:rPr>
        <w:footnoteRef/>
      </w:r>
      <w:r w:rsidRPr="00805336">
        <w:rPr>
          <w:sz w:val="24"/>
          <w:lang w:val="fi-FI"/>
        </w:rPr>
        <w:t xml:space="preserve"> </w:t>
      </w:r>
      <w:r w:rsidRPr="00822C8C">
        <w:rPr>
          <w:sz w:val="24"/>
          <w:lang w:val="fi-FI"/>
        </w:rPr>
        <w:tab/>
        <w:t xml:space="preserve">EUT L, 2024/2509, 26.9.2024, ELI: </w:t>
      </w:r>
      <w:hyperlink r:id="rId112" w:history="1">
        <w:r w:rsidRPr="00822C8C">
          <w:rPr>
            <w:rStyle w:val="Hyperlink1"/>
            <w:sz w:val="24"/>
            <w:lang w:val="fi-FI"/>
          </w:rPr>
          <w:t>http://data.europa.eu/eli/reg/2024/2509/oj</w:t>
        </w:r>
      </w:hyperlink>
      <w:r w:rsidRPr="00822C8C">
        <w:rPr>
          <w:rStyle w:val="Hyperlink1"/>
          <w:sz w:val="24"/>
          <w:lang w:val="fi-FI"/>
        </w:rPr>
        <w:t>.</w:t>
      </w:r>
    </w:p>
  </w:footnote>
  <w:footnote w:id="113">
    <w:p w14:paraId="2183B525" w14:textId="77777777" w:rsidR="005375B7" w:rsidRPr="00805336" w:rsidRDefault="005375B7" w:rsidP="005375B7">
      <w:pPr>
        <w:pStyle w:val="FootnoteText"/>
        <w:ind w:left="567" w:hanging="567"/>
        <w:rPr>
          <w:sz w:val="24"/>
          <w:lang w:val="fi-FI"/>
        </w:rPr>
      </w:pPr>
      <w:r w:rsidRPr="00805336">
        <w:rPr>
          <w:rStyle w:val="FootnoteReference"/>
          <w:sz w:val="24"/>
        </w:rPr>
        <w:footnoteRef/>
      </w:r>
      <w:r w:rsidRPr="00805336">
        <w:rPr>
          <w:sz w:val="24"/>
          <w:lang w:val="fi-FI"/>
        </w:rPr>
        <w:t xml:space="preserve"> </w:t>
      </w:r>
      <w:r w:rsidRPr="00822C8C">
        <w:rPr>
          <w:sz w:val="24"/>
          <w:lang w:val="fi-FI"/>
        </w:rPr>
        <w:tab/>
        <w:t xml:space="preserve">EUT L 126, 21.5.2009, s. 13, ELI: </w:t>
      </w:r>
      <w:hyperlink r:id="rId113" w:history="1">
        <w:r w:rsidRPr="00822C8C">
          <w:rPr>
            <w:rStyle w:val="Hyperlink1"/>
            <w:sz w:val="24"/>
            <w:lang w:val="fi-FI"/>
          </w:rPr>
          <w:t>http://data.europa.eu/eli/reg/2009/401/oj</w:t>
        </w:r>
      </w:hyperlink>
      <w:r w:rsidRPr="00822C8C">
        <w:rPr>
          <w:sz w:val="24"/>
          <w:lang w:val="fi-FI"/>
        </w:rPr>
        <w:t>.</w:t>
      </w:r>
    </w:p>
  </w:footnote>
  <w:footnote w:id="114">
    <w:p w14:paraId="54C9236F" w14:textId="77777777" w:rsidR="005375B7" w:rsidRPr="00805336" w:rsidRDefault="005375B7" w:rsidP="005375B7">
      <w:pPr>
        <w:pStyle w:val="FootnoteText"/>
        <w:ind w:left="567" w:hanging="567"/>
        <w:rPr>
          <w:sz w:val="24"/>
          <w:lang w:val="fi-FI"/>
        </w:rPr>
      </w:pPr>
      <w:r w:rsidRPr="00805336">
        <w:rPr>
          <w:rStyle w:val="FootnoteReference"/>
          <w:sz w:val="24"/>
        </w:rPr>
        <w:footnoteRef/>
      </w:r>
      <w:r w:rsidRPr="00805336">
        <w:rPr>
          <w:sz w:val="24"/>
          <w:lang w:val="fi-FI"/>
        </w:rPr>
        <w:t xml:space="preserve"> </w:t>
      </w:r>
      <w:r w:rsidRPr="00822C8C">
        <w:rPr>
          <w:sz w:val="24"/>
          <w:lang w:val="fi-FI"/>
        </w:rPr>
        <w:tab/>
        <w:t xml:space="preserve">EUT L 122, 10.5.2019, s. 1, ELI: </w:t>
      </w:r>
      <w:hyperlink r:id="rId114" w:history="1">
        <w:r w:rsidRPr="00822C8C">
          <w:rPr>
            <w:rStyle w:val="Hyperlink1"/>
            <w:sz w:val="24"/>
            <w:lang w:val="fi-FI"/>
          </w:rPr>
          <w:t>http://data.europa.eu/eli/reg_del/2019/715/oj</w:t>
        </w:r>
      </w:hyperlink>
      <w:r w:rsidRPr="00822C8C">
        <w:rPr>
          <w:sz w:val="24"/>
          <w:lang w:val="fi-FI"/>
        </w:rPr>
        <w:t>.</w:t>
      </w:r>
    </w:p>
  </w:footnote>
  <w:footnote w:id="115">
    <w:p w14:paraId="43612EBE" w14:textId="77777777" w:rsidR="005375B7" w:rsidRPr="004134F3" w:rsidRDefault="005375B7" w:rsidP="005375B7">
      <w:pPr>
        <w:pStyle w:val="FootnoteText"/>
        <w:ind w:left="567" w:hanging="567"/>
        <w:rPr>
          <w:sz w:val="24"/>
          <w:lang w:val="fi-FI"/>
        </w:rPr>
      </w:pPr>
      <w:r w:rsidRPr="004134F3">
        <w:rPr>
          <w:rStyle w:val="FootnoteReference"/>
          <w:sz w:val="24"/>
        </w:rPr>
        <w:footnoteRef/>
      </w:r>
      <w:r w:rsidRPr="004134F3">
        <w:rPr>
          <w:sz w:val="24"/>
          <w:lang w:val="fi-FI"/>
        </w:rPr>
        <w:t xml:space="preserve"> </w:t>
      </w:r>
      <w:r w:rsidRPr="00822C8C">
        <w:rPr>
          <w:sz w:val="24"/>
          <w:lang w:val="fi-FI"/>
        </w:rPr>
        <w:tab/>
        <w:t xml:space="preserve">EUT C, C/2024/6332, 24.10.2024, ELI: </w:t>
      </w:r>
      <w:hyperlink r:id="rId115" w:history="1">
        <w:r w:rsidRPr="00822C8C">
          <w:rPr>
            <w:rStyle w:val="Hyperlink1"/>
            <w:sz w:val="24"/>
            <w:lang w:val="fi-FI"/>
          </w:rPr>
          <w:t>http://data.europa.eu/eli/C/2024/6332/oj</w:t>
        </w:r>
      </w:hyperlink>
      <w:r w:rsidRPr="00822C8C">
        <w:rPr>
          <w:sz w:val="24"/>
          <w:lang w:val="fi-FI"/>
        </w:rPr>
        <w:t>.</w:t>
      </w:r>
    </w:p>
  </w:footnote>
  <w:footnote w:id="116">
    <w:p w14:paraId="024B0B90" w14:textId="77777777" w:rsidR="005375B7" w:rsidRPr="004134F3" w:rsidRDefault="005375B7" w:rsidP="005375B7">
      <w:pPr>
        <w:pStyle w:val="FootnoteText"/>
        <w:ind w:left="567" w:hanging="567"/>
        <w:rPr>
          <w:sz w:val="24"/>
          <w:lang w:val="fi-FI"/>
        </w:rPr>
      </w:pPr>
      <w:r w:rsidRPr="004134F3">
        <w:rPr>
          <w:rStyle w:val="FootnoteReference"/>
          <w:sz w:val="24"/>
        </w:rPr>
        <w:footnoteRef/>
      </w:r>
      <w:r w:rsidRPr="004134F3">
        <w:rPr>
          <w:sz w:val="24"/>
          <w:lang w:val="fi-FI"/>
        </w:rPr>
        <w:t xml:space="preserve"> </w:t>
      </w:r>
      <w:r w:rsidRPr="00822C8C">
        <w:rPr>
          <w:sz w:val="24"/>
          <w:lang w:val="fi-FI"/>
        </w:rPr>
        <w:tab/>
        <w:t xml:space="preserve">EUT C, C/2024/6041, 10.10.2024, ELI: </w:t>
      </w:r>
      <w:hyperlink r:id="rId116" w:history="1">
        <w:r w:rsidRPr="00822C8C">
          <w:rPr>
            <w:rStyle w:val="Hyperlink1"/>
            <w:sz w:val="24"/>
            <w:lang w:val="fi-FI"/>
          </w:rPr>
          <w:t>http://data.europa.eu/eli/C/2024/6041/oj</w:t>
        </w:r>
      </w:hyperlink>
      <w:r w:rsidRPr="00822C8C">
        <w:rPr>
          <w:sz w:val="24"/>
          <w:lang w:val="fi-FI"/>
        </w:rPr>
        <w:t>.</w:t>
      </w:r>
    </w:p>
  </w:footnote>
  <w:footnote w:id="117">
    <w:p w14:paraId="1407534E" w14:textId="77777777" w:rsidR="005375B7" w:rsidRPr="004134F3" w:rsidRDefault="005375B7" w:rsidP="005375B7">
      <w:pPr>
        <w:pStyle w:val="FootnoteText"/>
        <w:ind w:left="567" w:hanging="567"/>
        <w:rPr>
          <w:sz w:val="24"/>
          <w:lang w:val="fi-FI"/>
        </w:rPr>
      </w:pPr>
      <w:r w:rsidRPr="004134F3">
        <w:rPr>
          <w:rStyle w:val="FootnoteReference"/>
          <w:sz w:val="24"/>
        </w:rPr>
        <w:footnoteRef/>
      </w:r>
      <w:r w:rsidRPr="004134F3">
        <w:rPr>
          <w:sz w:val="24"/>
          <w:lang w:val="fi-FI"/>
        </w:rPr>
        <w:t xml:space="preserve"> </w:t>
      </w:r>
      <w:r w:rsidRPr="00822C8C">
        <w:rPr>
          <w:sz w:val="24"/>
          <w:lang w:val="fi-FI"/>
        </w:rPr>
        <w:tab/>
        <w:t xml:space="preserve">EUT L 193, 30.7.2018, s. 1, ELI: </w:t>
      </w:r>
      <w:hyperlink r:id="rId117" w:history="1">
        <w:r w:rsidRPr="00822C8C">
          <w:rPr>
            <w:rStyle w:val="Hyperlink1"/>
            <w:sz w:val="24"/>
            <w:lang w:val="fi-FI"/>
          </w:rPr>
          <w:t>http://data.europa.eu/eli/reg/2018/1046/oj</w:t>
        </w:r>
      </w:hyperlink>
      <w:r w:rsidRPr="00822C8C">
        <w:rPr>
          <w:sz w:val="24"/>
          <w:lang w:val="fi-FI"/>
        </w:rPr>
        <w:t>.</w:t>
      </w:r>
    </w:p>
  </w:footnote>
  <w:footnote w:id="118">
    <w:p w14:paraId="78138F75" w14:textId="77777777" w:rsidR="005375B7" w:rsidRPr="004134F3" w:rsidRDefault="005375B7" w:rsidP="005375B7">
      <w:pPr>
        <w:pStyle w:val="FootnoteText"/>
        <w:ind w:left="567" w:hanging="567"/>
        <w:rPr>
          <w:sz w:val="24"/>
          <w:lang w:val="fi-FI"/>
        </w:rPr>
      </w:pPr>
      <w:r w:rsidRPr="004134F3">
        <w:rPr>
          <w:rStyle w:val="FootnoteReference"/>
          <w:sz w:val="24"/>
        </w:rPr>
        <w:footnoteRef/>
      </w:r>
      <w:r w:rsidRPr="004134F3">
        <w:rPr>
          <w:sz w:val="24"/>
          <w:lang w:val="fi-FI"/>
        </w:rPr>
        <w:t xml:space="preserve"> </w:t>
      </w:r>
      <w:r w:rsidRPr="00822C8C">
        <w:rPr>
          <w:sz w:val="24"/>
          <w:lang w:val="fi-FI"/>
        </w:rPr>
        <w:tab/>
        <w:t xml:space="preserve">EUT L, 2024/2509, 26.9.2024, ELI: </w:t>
      </w:r>
      <w:hyperlink r:id="rId118" w:history="1">
        <w:r w:rsidRPr="00822C8C">
          <w:rPr>
            <w:rStyle w:val="Hyperlink1"/>
            <w:sz w:val="24"/>
            <w:lang w:val="fi-FI"/>
          </w:rPr>
          <w:t>http://data.europa.eu/eli/reg/2024/2509/oj</w:t>
        </w:r>
      </w:hyperlink>
      <w:r w:rsidRPr="00822C8C">
        <w:rPr>
          <w:rStyle w:val="Hyperlink1"/>
          <w:sz w:val="24"/>
          <w:lang w:val="fi-FI"/>
        </w:rPr>
        <w:t>.</w:t>
      </w:r>
    </w:p>
  </w:footnote>
  <w:footnote w:id="119">
    <w:p w14:paraId="21736E39" w14:textId="77777777" w:rsidR="005375B7" w:rsidRPr="004134F3" w:rsidRDefault="005375B7" w:rsidP="005375B7">
      <w:pPr>
        <w:pStyle w:val="FootnoteText"/>
        <w:ind w:left="567" w:hanging="567"/>
        <w:rPr>
          <w:sz w:val="24"/>
          <w:lang w:val="fi-FI"/>
        </w:rPr>
      </w:pPr>
      <w:r w:rsidRPr="004134F3">
        <w:rPr>
          <w:rStyle w:val="FootnoteReference"/>
          <w:sz w:val="24"/>
        </w:rPr>
        <w:footnoteRef/>
      </w:r>
      <w:r w:rsidRPr="004134F3">
        <w:rPr>
          <w:sz w:val="24"/>
          <w:lang w:val="fi-FI"/>
        </w:rPr>
        <w:t xml:space="preserve"> </w:t>
      </w:r>
      <w:r w:rsidRPr="00822C8C">
        <w:rPr>
          <w:sz w:val="24"/>
          <w:lang w:val="fi-FI"/>
        </w:rPr>
        <w:tab/>
        <w:t xml:space="preserve">EUT L 126, 21.5.2009, s. 13, ELI: </w:t>
      </w:r>
      <w:hyperlink r:id="rId119" w:history="1">
        <w:r w:rsidRPr="00822C8C">
          <w:rPr>
            <w:rStyle w:val="Hyperlink1"/>
            <w:sz w:val="24"/>
            <w:lang w:val="fi-FI"/>
          </w:rPr>
          <w:t>http://data.europa.eu/eli/reg/2009/401/oj</w:t>
        </w:r>
      </w:hyperlink>
      <w:r w:rsidRPr="00822C8C">
        <w:rPr>
          <w:sz w:val="24"/>
          <w:lang w:val="fi-FI"/>
        </w:rPr>
        <w:t>.</w:t>
      </w:r>
    </w:p>
  </w:footnote>
  <w:footnote w:id="120">
    <w:p w14:paraId="645837C7" w14:textId="77777777" w:rsidR="005375B7" w:rsidRPr="004134F3" w:rsidRDefault="005375B7" w:rsidP="005375B7">
      <w:pPr>
        <w:pStyle w:val="FootnoteText"/>
        <w:ind w:left="567" w:hanging="567"/>
        <w:rPr>
          <w:sz w:val="24"/>
          <w:lang w:val="fi-FI"/>
        </w:rPr>
      </w:pPr>
      <w:r w:rsidRPr="004134F3">
        <w:rPr>
          <w:rStyle w:val="FootnoteReference"/>
          <w:sz w:val="24"/>
        </w:rPr>
        <w:footnoteRef/>
      </w:r>
      <w:r w:rsidRPr="004134F3">
        <w:rPr>
          <w:sz w:val="24"/>
          <w:lang w:val="fi-FI"/>
        </w:rPr>
        <w:t xml:space="preserve"> </w:t>
      </w:r>
      <w:r w:rsidRPr="00822C8C">
        <w:rPr>
          <w:sz w:val="24"/>
          <w:lang w:val="fi-FI"/>
        </w:rPr>
        <w:tab/>
        <w:t xml:space="preserve">EUT L 122, 10.5.2019, s. 1, ELI: </w:t>
      </w:r>
      <w:hyperlink r:id="rId120" w:history="1">
        <w:r w:rsidRPr="00822C8C">
          <w:rPr>
            <w:rStyle w:val="Hyperlink1"/>
            <w:sz w:val="24"/>
            <w:lang w:val="fi-FI"/>
          </w:rPr>
          <w:t>http://data.europa.eu/eli/reg_del/2019/715/oj</w:t>
        </w:r>
      </w:hyperlink>
      <w:r w:rsidRPr="00822C8C">
        <w:rPr>
          <w:sz w:val="24"/>
          <w:lang w:val="fi-FI"/>
        </w:rPr>
        <w:t>.</w:t>
      </w:r>
    </w:p>
  </w:footnote>
  <w:footnote w:id="121">
    <w:p w14:paraId="2760BA8A" w14:textId="77777777" w:rsidR="005375B7" w:rsidRPr="00290425" w:rsidRDefault="005375B7" w:rsidP="005375B7">
      <w:pPr>
        <w:pStyle w:val="FootnoteText"/>
        <w:ind w:left="567" w:hanging="567"/>
        <w:rPr>
          <w:sz w:val="24"/>
          <w:lang w:val="fi-FI"/>
        </w:rPr>
      </w:pPr>
      <w:r w:rsidRPr="00290425">
        <w:rPr>
          <w:rStyle w:val="FootnoteReference"/>
          <w:sz w:val="24"/>
        </w:rPr>
        <w:footnoteRef/>
      </w:r>
      <w:r w:rsidRPr="00290425">
        <w:rPr>
          <w:sz w:val="24"/>
          <w:lang w:val="fi-FI"/>
        </w:rPr>
        <w:t xml:space="preserve"> </w:t>
      </w:r>
      <w:r w:rsidRPr="00822C8C">
        <w:rPr>
          <w:sz w:val="24"/>
          <w:lang w:val="fi-FI"/>
        </w:rPr>
        <w:tab/>
        <w:t xml:space="preserve">EUT C, C/2024/6332, 24.10.2024, ELI: </w:t>
      </w:r>
      <w:hyperlink r:id="rId121" w:history="1">
        <w:r w:rsidRPr="00822C8C">
          <w:rPr>
            <w:rStyle w:val="Hyperlink1"/>
            <w:sz w:val="24"/>
            <w:lang w:val="fi-FI"/>
          </w:rPr>
          <w:t>http://data.europa.eu/eli/C/2024/6332/oj</w:t>
        </w:r>
      </w:hyperlink>
      <w:r w:rsidRPr="00822C8C">
        <w:rPr>
          <w:sz w:val="24"/>
          <w:lang w:val="fi-FI"/>
        </w:rPr>
        <w:t>.</w:t>
      </w:r>
    </w:p>
  </w:footnote>
  <w:footnote w:id="122">
    <w:p w14:paraId="44E11387" w14:textId="77777777" w:rsidR="005375B7" w:rsidRPr="00290425" w:rsidRDefault="005375B7" w:rsidP="005375B7">
      <w:pPr>
        <w:pStyle w:val="FootnoteText"/>
        <w:ind w:left="567" w:hanging="567"/>
        <w:rPr>
          <w:sz w:val="24"/>
          <w:lang w:val="fi-FI"/>
        </w:rPr>
      </w:pPr>
      <w:r w:rsidRPr="00290425">
        <w:rPr>
          <w:rStyle w:val="FootnoteReference"/>
          <w:sz w:val="24"/>
        </w:rPr>
        <w:footnoteRef/>
      </w:r>
      <w:r w:rsidRPr="00290425">
        <w:rPr>
          <w:sz w:val="24"/>
          <w:lang w:val="fi-FI"/>
        </w:rPr>
        <w:t xml:space="preserve"> </w:t>
      </w:r>
      <w:r w:rsidRPr="00822C8C">
        <w:rPr>
          <w:sz w:val="24"/>
          <w:lang w:val="fi-FI"/>
        </w:rPr>
        <w:tab/>
        <w:t xml:space="preserve">EUT C, C/2024/6041, 10.10.2024, ELI: </w:t>
      </w:r>
      <w:hyperlink r:id="rId122" w:history="1">
        <w:r w:rsidRPr="00822C8C">
          <w:rPr>
            <w:rStyle w:val="Hyperlink1"/>
            <w:sz w:val="24"/>
            <w:lang w:val="fi-FI"/>
          </w:rPr>
          <w:t>http://data.europa.eu/eli/C/2024/6041/oj</w:t>
        </w:r>
      </w:hyperlink>
      <w:r w:rsidRPr="00822C8C">
        <w:rPr>
          <w:sz w:val="24"/>
          <w:lang w:val="fi-FI"/>
        </w:rPr>
        <w:t>.</w:t>
      </w:r>
    </w:p>
  </w:footnote>
  <w:footnote w:id="123">
    <w:p w14:paraId="09B70241" w14:textId="77777777" w:rsidR="005375B7" w:rsidRPr="00290425" w:rsidRDefault="005375B7" w:rsidP="005375B7">
      <w:pPr>
        <w:pStyle w:val="FootnoteText"/>
        <w:ind w:left="567" w:hanging="567"/>
        <w:rPr>
          <w:sz w:val="24"/>
          <w:lang w:val="fi-FI"/>
        </w:rPr>
      </w:pPr>
      <w:r w:rsidRPr="00290425">
        <w:rPr>
          <w:rStyle w:val="FootnoteReference"/>
          <w:sz w:val="24"/>
        </w:rPr>
        <w:footnoteRef/>
      </w:r>
      <w:r w:rsidRPr="00290425">
        <w:rPr>
          <w:sz w:val="24"/>
          <w:lang w:val="fi-FI"/>
        </w:rPr>
        <w:t xml:space="preserve"> </w:t>
      </w:r>
      <w:r w:rsidRPr="00822C8C">
        <w:rPr>
          <w:sz w:val="24"/>
          <w:lang w:val="fi-FI"/>
        </w:rPr>
        <w:tab/>
        <w:t xml:space="preserve">EUT L 193, 30.7.2018, s. 1, ELI: </w:t>
      </w:r>
      <w:hyperlink r:id="rId123" w:history="1">
        <w:r w:rsidRPr="00822C8C">
          <w:rPr>
            <w:rStyle w:val="Hyperlink1"/>
            <w:sz w:val="24"/>
            <w:lang w:val="fi-FI"/>
          </w:rPr>
          <w:t>http://data.europa.eu/eli/reg/2018/1046/oj</w:t>
        </w:r>
      </w:hyperlink>
      <w:r w:rsidRPr="00822C8C">
        <w:rPr>
          <w:sz w:val="24"/>
          <w:lang w:val="fi-FI"/>
        </w:rPr>
        <w:t>.</w:t>
      </w:r>
    </w:p>
  </w:footnote>
  <w:footnote w:id="124">
    <w:p w14:paraId="4CDE33C8" w14:textId="77777777" w:rsidR="005375B7" w:rsidRPr="00290425" w:rsidRDefault="005375B7" w:rsidP="005375B7">
      <w:pPr>
        <w:pStyle w:val="FootnoteText"/>
        <w:ind w:left="567" w:hanging="567"/>
        <w:rPr>
          <w:sz w:val="24"/>
          <w:lang w:val="fi-FI"/>
        </w:rPr>
      </w:pPr>
      <w:r w:rsidRPr="00290425">
        <w:rPr>
          <w:rStyle w:val="FootnoteReference"/>
          <w:sz w:val="24"/>
        </w:rPr>
        <w:footnoteRef/>
      </w:r>
      <w:r w:rsidRPr="00290425">
        <w:rPr>
          <w:sz w:val="24"/>
          <w:lang w:val="fi-FI"/>
        </w:rPr>
        <w:t xml:space="preserve"> </w:t>
      </w:r>
      <w:r w:rsidRPr="00822C8C">
        <w:rPr>
          <w:sz w:val="24"/>
          <w:lang w:val="fi-FI"/>
        </w:rPr>
        <w:tab/>
        <w:t xml:space="preserve">EUT L, 2024/2509, 26.9.2024, ELI: </w:t>
      </w:r>
      <w:hyperlink r:id="rId124" w:history="1">
        <w:r w:rsidRPr="00822C8C">
          <w:rPr>
            <w:rStyle w:val="Hyperlink1"/>
            <w:sz w:val="24"/>
            <w:lang w:val="fi-FI"/>
          </w:rPr>
          <w:t>http://data.europa.eu/eli/reg/2024/2509/oj</w:t>
        </w:r>
      </w:hyperlink>
      <w:r w:rsidRPr="00822C8C">
        <w:rPr>
          <w:rStyle w:val="Hyperlink1"/>
          <w:sz w:val="24"/>
          <w:lang w:val="fi-FI"/>
        </w:rPr>
        <w:t>.</w:t>
      </w:r>
    </w:p>
  </w:footnote>
  <w:footnote w:id="125">
    <w:p w14:paraId="03755408" w14:textId="77777777" w:rsidR="005375B7" w:rsidRPr="00290425" w:rsidRDefault="005375B7" w:rsidP="005375B7">
      <w:pPr>
        <w:pStyle w:val="FootnoteText"/>
        <w:ind w:left="567" w:hanging="567"/>
        <w:rPr>
          <w:sz w:val="24"/>
          <w:vertAlign w:val="superscript"/>
          <w:lang w:val="fi-FI"/>
        </w:rPr>
      </w:pPr>
      <w:r w:rsidRPr="00290425">
        <w:rPr>
          <w:rStyle w:val="FootnoteReference"/>
          <w:sz w:val="24"/>
        </w:rPr>
        <w:footnoteRef/>
      </w:r>
      <w:r w:rsidRPr="00290425">
        <w:rPr>
          <w:sz w:val="24"/>
          <w:lang w:val="fi-FI"/>
        </w:rPr>
        <w:t xml:space="preserve"> </w:t>
      </w:r>
      <w:r w:rsidRPr="00822C8C">
        <w:rPr>
          <w:sz w:val="24"/>
          <w:lang w:val="fi-FI"/>
        </w:rPr>
        <w:tab/>
        <w:t xml:space="preserve">EUT L 83, 25.3.2019, s. 18, ELI: </w:t>
      </w:r>
      <w:hyperlink r:id="rId125" w:history="1">
        <w:r w:rsidRPr="00822C8C">
          <w:rPr>
            <w:rStyle w:val="Hyperlink1"/>
            <w:sz w:val="24"/>
            <w:lang w:val="fi-FI"/>
          </w:rPr>
          <w:t>http://data.europa.eu/eli/reg/2019/473/oj</w:t>
        </w:r>
      </w:hyperlink>
      <w:r w:rsidRPr="00822C8C">
        <w:rPr>
          <w:sz w:val="24"/>
          <w:lang w:val="fi-FI"/>
        </w:rPr>
        <w:t>.</w:t>
      </w:r>
    </w:p>
  </w:footnote>
  <w:footnote w:id="126">
    <w:p w14:paraId="47255840" w14:textId="77777777" w:rsidR="005375B7" w:rsidRPr="00290425" w:rsidRDefault="005375B7" w:rsidP="005375B7">
      <w:pPr>
        <w:pStyle w:val="FootnoteText"/>
        <w:ind w:left="567" w:hanging="567"/>
        <w:rPr>
          <w:sz w:val="24"/>
          <w:lang w:val="fi-FI"/>
        </w:rPr>
      </w:pPr>
      <w:r w:rsidRPr="00290425">
        <w:rPr>
          <w:rStyle w:val="FootnoteReference"/>
          <w:sz w:val="24"/>
        </w:rPr>
        <w:footnoteRef/>
      </w:r>
      <w:r w:rsidRPr="00290425">
        <w:rPr>
          <w:sz w:val="24"/>
          <w:lang w:val="fi-FI"/>
        </w:rPr>
        <w:t xml:space="preserve"> </w:t>
      </w:r>
      <w:r w:rsidRPr="00822C8C">
        <w:rPr>
          <w:sz w:val="24"/>
          <w:lang w:val="fi-FI"/>
        </w:rPr>
        <w:tab/>
        <w:t xml:space="preserve">EUT L 122, 10.5.2019, s. 1, ELI: </w:t>
      </w:r>
      <w:hyperlink r:id="rId126" w:history="1">
        <w:r w:rsidRPr="00822C8C">
          <w:rPr>
            <w:rStyle w:val="Hyperlink1"/>
            <w:sz w:val="24"/>
            <w:lang w:val="fi-FI"/>
          </w:rPr>
          <w:t>http://data.europa.eu/eli/reg_del/2019/715/oj</w:t>
        </w:r>
      </w:hyperlink>
      <w:r w:rsidRPr="00822C8C">
        <w:rPr>
          <w:sz w:val="24"/>
          <w:lang w:val="fi-FI"/>
        </w:rPr>
        <w:t>.</w:t>
      </w:r>
    </w:p>
  </w:footnote>
  <w:footnote w:id="127">
    <w:p w14:paraId="7EB76291" w14:textId="77777777" w:rsidR="005375B7" w:rsidRPr="00084C45" w:rsidRDefault="005375B7" w:rsidP="005375B7">
      <w:pPr>
        <w:pStyle w:val="FootnoteText"/>
        <w:ind w:left="567" w:hanging="567"/>
        <w:rPr>
          <w:sz w:val="24"/>
          <w:lang w:val="fi-FI"/>
        </w:rPr>
      </w:pPr>
      <w:r w:rsidRPr="00084C45">
        <w:rPr>
          <w:rStyle w:val="FootnoteReference"/>
          <w:sz w:val="24"/>
        </w:rPr>
        <w:footnoteRef/>
      </w:r>
      <w:r w:rsidRPr="00084C45">
        <w:rPr>
          <w:sz w:val="24"/>
          <w:lang w:val="fi-FI"/>
        </w:rPr>
        <w:t xml:space="preserve"> </w:t>
      </w:r>
      <w:r w:rsidRPr="00822C8C">
        <w:rPr>
          <w:sz w:val="24"/>
          <w:lang w:val="fi-FI"/>
        </w:rPr>
        <w:tab/>
        <w:t xml:space="preserve">EUT C, C/2024/6332, 24.10.2024, ELI: </w:t>
      </w:r>
      <w:hyperlink r:id="rId127" w:history="1">
        <w:r w:rsidRPr="00822C8C">
          <w:rPr>
            <w:rStyle w:val="Hyperlink1"/>
            <w:sz w:val="24"/>
            <w:lang w:val="fi-FI"/>
          </w:rPr>
          <w:t>http://data.europa.eu/eli/C/2024/6332/oj</w:t>
        </w:r>
      </w:hyperlink>
      <w:r w:rsidRPr="00822C8C">
        <w:rPr>
          <w:sz w:val="24"/>
          <w:lang w:val="fi-FI"/>
        </w:rPr>
        <w:t>.</w:t>
      </w:r>
    </w:p>
  </w:footnote>
  <w:footnote w:id="128">
    <w:p w14:paraId="5C4D5447" w14:textId="77777777" w:rsidR="005375B7" w:rsidRPr="00084C45" w:rsidRDefault="005375B7" w:rsidP="005375B7">
      <w:pPr>
        <w:pStyle w:val="FootnoteText"/>
        <w:ind w:left="567" w:hanging="567"/>
        <w:rPr>
          <w:sz w:val="24"/>
          <w:lang w:val="fi-FI"/>
        </w:rPr>
      </w:pPr>
      <w:r w:rsidRPr="00084C45">
        <w:rPr>
          <w:rStyle w:val="FootnoteReference"/>
          <w:sz w:val="24"/>
        </w:rPr>
        <w:footnoteRef/>
      </w:r>
      <w:r w:rsidRPr="00084C45">
        <w:rPr>
          <w:sz w:val="24"/>
          <w:lang w:val="fi-FI"/>
        </w:rPr>
        <w:t xml:space="preserve"> </w:t>
      </w:r>
      <w:r w:rsidRPr="00822C8C">
        <w:rPr>
          <w:sz w:val="24"/>
          <w:lang w:val="fi-FI"/>
        </w:rPr>
        <w:tab/>
        <w:t xml:space="preserve">EUT C, C/2024/6041, 10.10.2024, ELI: </w:t>
      </w:r>
      <w:hyperlink r:id="rId128" w:history="1">
        <w:r w:rsidRPr="00822C8C">
          <w:rPr>
            <w:rStyle w:val="Hyperlink1"/>
            <w:sz w:val="24"/>
            <w:lang w:val="fi-FI"/>
          </w:rPr>
          <w:t>http://data.europa.eu/eli/C/2024/6041/oj</w:t>
        </w:r>
      </w:hyperlink>
      <w:r w:rsidRPr="00822C8C">
        <w:rPr>
          <w:sz w:val="24"/>
          <w:lang w:val="fi-FI"/>
        </w:rPr>
        <w:t>.</w:t>
      </w:r>
    </w:p>
  </w:footnote>
  <w:footnote w:id="129">
    <w:p w14:paraId="1DA70E86" w14:textId="77777777" w:rsidR="005375B7" w:rsidRPr="00084C45" w:rsidRDefault="005375B7" w:rsidP="005375B7">
      <w:pPr>
        <w:pStyle w:val="FootnoteText"/>
        <w:ind w:left="567" w:hanging="567"/>
        <w:rPr>
          <w:sz w:val="24"/>
          <w:lang w:val="fi-FI"/>
        </w:rPr>
      </w:pPr>
      <w:r w:rsidRPr="00084C45">
        <w:rPr>
          <w:rStyle w:val="FootnoteReference"/>
          <w:sz w:val="24"/>
        </w:rPr>
        <w:footnoteRef/>
      </w:r>
      <w:r w:rsidRPr="00084C45">
        <w:rPr>
          <w:sz w:val="24"/>
          <w:lang w:val="fi-FI"/>
        </w:rPr>
        <w:t xml:space="preserve"> </w:t>
      </w:r>
      <w:r w:rsidRPr="00822C8C">
        <w:rPr>
          <w:sz w:val="24"/>
          <w:lang w:val="fi-FI"/>
        </w:rPr>
        <w:tab/>
        <w:t xml:space="preserve">EUT L 193, 30.7.2018, s. 1, ELI: </w:t>
      </w:r>
      <w:hyperlink r:id="rId129" w:history="1">
        <w:r w:rsidRPr="00822C8C">
          <w:rPr>
            <w:rStyle w:val="Hyperlink1"/>
            <w:sz w:val="24"/>
            <w:lang w:val="fi-FI"/>
          </w:rPr>
          <w:t>http://data.europa.eu/eli/reg/2018/1046/oj</w:t>
        </w:r>
      </w:hyperlink>
      <w:r w:rsidRPr="00822C8C">
        <w:rPr>
          <w:sz w:val="24"/>
          <w:lang w:val="fi-FI"/>
        </w:rPr>
        <w:t>.</w:t>
      </w:r>
    </w:p>
  </w:footnote>
  <w:footnote w:id="130">
    <w:p w14:paraId="2CE4DF48" w14:textId="77777777" w:rsidR="005375B7" w:rsidRPr="00084C45" w:rsidRDefault="005375B7" w:rsidP="005375B7">
      <w:pPr>
        <w:pStyle w:val="FootnoteText"/>
        <w:ind w:left="567" w:hanging="567"/>
        <w:rPr>
          <w:sz w:val="24"/>
          <w:lang w:val="fi-FI"/>
        </w:rPr>
      </w:pPr>
      <w:r w:rsidRPr="00084C45">
        <w:rPr>
          <w:rStyle w:val="FootnoteReference"/>
          <w:sz w:val="24"/>
        </w:rPr>
        <w:footnoteRef/>
      </w:r>
      <w:r w:rsidRPr="00084C45">
        <w:rPr>
          <w:sz w:val="24"/>
          <w:lang w:val="fi-FI"/>
        </w:rPr>
        <w:t xml:space="preserve"> </w:t>
      </w:r>
      <w:r w:rsidRPr="00822C8C">
        <w:rPr>
          <w:sz w:val="24"/>
          <w:lang w:val="fi-FI"/>
        </w:rPr>
        <w:tab/>
        <w:t xml:space="preserve">EUT L, 2024/2509, 26.9.2024, ELI: </w:t>
      </w:r>
      <w:hyperlink r:id="rId130" w:history="1">
        <w:r w:rsidRPr="00822C8C">
          <w:rPr>
            <w:rStyle w:val="Hyperlink1"/>
            <w:sz w:val="24"/>
            <w:lang w:val="fi-FI"/>
          </w:rPr>
          <w:t>http://data.europa.eu/eli/reg/2024/2509/oj</w:t>
        </w:r>
      </w:hyperlink>
      <w:r w:rsidRPr="00822C8C">
        <w:rPr>
          <w:rStyle w:val="Hyperlink1"/>
          <w:sz w:val="24"/>
          <w:lang w:val="fi-FI"/>
        </w:rPr>
        <w:t>.</w:t>
      </w:r>
    </w:p>
  </w:footnote>
  <w:footnote w:id="131">
    <w:p w14:paraId="63569443" w14:textId="77777777" w:rsidR="005375B7" w:rsidRPr="00084C45" w:rsidRDefault="005375B7" w:rsidP="005375B7">
      <w:pPr>
        <w:pStyle w:val="FootnoteText"/>
        <w:ind w:left="567" w:hanging="567"/>
        <w:rPr>
          <w:sz w:val="24"/>
          <w:lang w:val="fi-FI"/>
        </w:rPr>
      </w:pPr>
      <w:r w:rsidRPr="00084C45">
        <w:rPr>
          <w:rStyle w:val="FootnoteReference"/>
          <w:sz w:val="24"/>
        </w:rPr>
        <w:footnoteRef/>
      </w:r>
      <w:r w:rsidRPr="00084C45">
        <w:rPr>
          <w:sz w:val="24"/>
          <w:lang w:val="fi-FI"/>
        </w:rPr>
        <w:t xml:space="preserve"> </w:t>
      </w:r>
      <w:r w:rsidRPr="00822C8C">
        <w:rPr>
          <w:sz w:val="24"/>
          <w:lang w:val="fi-FI"/>
        </w:rPr>
        <w:tab/>
        <w:t xml:space="preserve">EUT L 83, 25.3.2019, s. 18, ELI: </w:t>
      </w:r>
      <w:hyperlink r:id="rId131" w:history="1">
        <w:r w:rsidRPr="00822C8C">
          <w:rPr>
            <w:rStyle w:val="Hyperlink1"/>
            <w:sz w:val="24"/>
            <w:lang w:val="fi-FI"/>
          </w:rPr>
          <w:t>http://data.europa.eu/eli/reg/2019/473/oj</w:t>
        </w:r>
      </w:hyperlink>
      <w:r w:rsidRPr="00822C8C">
        <w:rPr>
          <w:sz w:val="24"/>
          <w:lang w:val="fi-FI"/>
        </w:rPr>
        <w:t>.</w:t>
      </w:r>
    </w:p>
  </w:footnote>
  <w:footnote w:id="132">
    <w:p w14:paraId="0B82B6A5" w14:textId="77777777" w:rsidR="005375B7" w:rsidRPr="00084C45" w:rsidRDefault="005375B7" w:rsidP="005375B7">
      <w:pPr>
        <w:pStyle w:val="FootnoteText"/>
        <w:ind w:left="567" w:hanging="567"/>
        <w:rPr>
          <w:sz w:val="24"/>
          <w:lang w:val="fi-FI"/>
        </w:rPr>
      </w:pPr>
      <w:r w:rsidRPr="00084C45">
        <w:rPr>
          <w:rStyle w:val="FootnoteReference"/>
          <w:sz w:val="24"/>
        </w:rPr>
        <w:footnoteRef/>
      </w:r>
      <w:r w:rsidRPr="00084C45">
        <w:rPr>
          <w:sz w:val="24"/>
          <w:lang w:val="fi-FI"/>
        </w:rPr>
        <w:t xml:space="preserve"> </w:t>
      </w:r>
      <w:r w:rsidRPr="00822C8C">
        <w:rPr>
          <w:sz w:val="24"/>
          <w:lang w:val="fi-FI"/>
        </w:rPr>
        <w:tab/>
        <w:t xml:space="preserve">EUT L 122, 10.5.2019, s. 1, ELI: </w:t>
      </w:r>
      <w:hyperlink r:id="rId132" w:history="1">
        <w:r w:rsidRPr="00822C8C">
          <w:rPr>
            <w:rStyle w:val="Hyperlink1"/>
            <w:sz w:val="24"/>
            <w:lang w:val="fi-FI"/>
          </w:rPr>
          <w:t>http://data.europa.eu/eli/reg_del/2019/715/oj</w:t>
        </w:r>
      </w:hyperlink>
      <w:r w:rsidRPr="00822C8C">
        <w:rPr>
          <w:sz w:val="24"/>
          <w:lang w:val="fi-FI"/>
        </w:rPr>
        <w:t>.</w:t>
      </w:r>
    </w:p>
  </w:footnote>
  <w:footnote w:id="133">
    <w:p w14:paraId="30A5856D" w14:textId="77777777" w:rsidR="005375B7" w:rsidRPr="00980888" w:rsidRDefault="005375B7" w:rsidP="005375B7">
      <w:pPr>
        <w:pStyle w:val="FootnoteText"/>
        <w:ind w:left="567" w:hanging="567"/>
        <w:rPr>
          <w:sz w:val="24"/>
          <w:lang w:val="fi-FI"/>
        </w:rPr>
      </w:pPr>
      <w:r w:rsidRPr="00980888">
        <w:rPr>
          <w:rStyle w:val="FootnoteReference"/>
          <w:sz w:val="24"/>
        </w:rPr>
        <w:footnoteRef/>
      </w:r>
      <w:r w:rsidRPr="00980888">
        <w:rPr>
          <w:sz w:val="24"/>
          <w:lang w:val="fi-FI"/>
        </w:rPr>
        <w:t xml:space="preserve"> </w:t>
      </w:r>
      <w:r w:rsidRPr="00822C8C">
        <w:rPr>
          <w:sz w:val="24"/>
          <w:lang w:val="fi-FI"/>
        </w:rPr>
        <w:tab/>
        <w:t xml:space="preserve">EUT C, C/2024/6332, 24.10.2024, ELI: </w:t>
      </w:r>
      <w:hyperlink r:id="rId133" w:history="1">
        <w:r w:rsidRPr="00822C8C">
          <w:rPr>
            <w:rStyle w:val="Hyperlink1"/>
            <w:sz w:val="24"/>
            <w:lang w:val="fi-FI"/>
          </w:rPr>
          <w:t>http://data.europa.eu/eli/C/2024/6332/oj</w:t>
        </w:r>
      </w:hyperlink>
      <w:r w:rsidRPr="00822C8C">
        <w:rPr>
          <w:sz w:val="24"/>
          <w:lang w:val="fi-FI"/>
        </w:rPr>
        <w:t>.</w:t>
      </w:r>
    </w:p>
  </w:footnote>
  <w:footnote w:id="134">
    <w:p w14:paraId="58FC63E3" w14:textId="77777777" w:rsidR="005375B7" w:rsidRPr="00980888" w:rsidRDefault="005375B7" w:rsidP="005375B7">
      <w:pPr>
        <w:pStyle w:val="FootnoteText"/>
        <w:ind w:left="567" w:hanging="567"/>
        <w:rPr>
          <w:sz w:val="24"/>
          <w:lang w:val="fi-FI"/>
        </w:rPr>
      </w:pPr>
      <w:r w:rsidRPr="00980888">
        <w:rPr>
          <w:rStyle w:val="FootnoteReference"/>
          <w:sz w:val="24"/>
        </w:rPr>
        <w:footnoteRef/>
      </w:r>
      <w:r w:rsidRPr="00980888">
        <w:rPr>
          <w:sz w:val="24"/>
          <w:lang w:val="fi-FI"/>
        </w:rPr>
        <w:t xml:space="preserve"> </w:t>
      </w:r>
      <w:r w:rsidRPr="00822C8C">
        <w:rPr>
          <w:sz w:val="24"/>
          <w:lang w:val="fi-FI"/>
        </w:rPr>
        <w:tab/>
        <w:t xml:space="preserve">EUT C, C/2024/6041, 10.10.2024, ELI: </w:t>
      </w:r>
      <w:hyperlink r:id="rId134" w:history="1">
        <w:r w:rsidRPr="00822C8C">
          <w:rPr>
            <w:rStyle w:val="Hyperlink1"/>
            <w:sz w:val="24"/>
            <w:lang w:val="fi-FI"/>
          </w:rPr>
          <w:t>http://data.europa.eu/eli/C/2024/6041/oj</w:t>
        </w:r>
      </w:hyperlink>
      <w:r w:rsidRPr="00822C8C">
        <w:rPr>
          <w:sz w:val="24"/>
          <w:lang w:val="fi-FI"/>
        </w:rPr>
        <w:t>.</w:t>
      </w:r>
    </w:p>
  </w:footnote>
  <w:footnote w:id="135">
    <w:p w14:paraId="6590EBA1" w14:textId="77777777" w:rsidR="005375B7" w:rsidRPr="00980888" w:rsidRDefault="005375B7" w:rsidP="005375B7">
      <w:pPr>
        <w:pStyle w:val="FootnoteText"/>
        <w:ind w:left="567" w:hanging="567"/>
        <w:rPr>
          <w:sz w:val="24"/>
          <w:lang w:val="fi-FI"/>
        </w:rPr>
      </w:pPr>
      <w:r w:rsidRPr="00980888">
        <w:rPr>
          <w:rStyle w:val="FootnoteReference"/>
          <w:sz w:val="24"/>
        </w:rPr>
        <w:footnoteRef/>
      </w:r>
      <w:r w:rsidRPr="00980888">
        <w:rPr>
          <w:sz w:val="24"/>
          <w:lang w:val="fi-FI"/>
        </w:rPr>
        <w:t xml:space="preserve"> </w:t>
      </w:r>
      <w:r w:rsidRPr="00822C8C">
        <w:rPr>
          <w:sz w:val="24"/>
          <w:lang w:val="fi-FI"/>
        </w:rPr>
        <w:tab/>
        <w:t xml:space="preserve">EUT L 193, 30.7.2018, s. 1, ELI: </w:t>
      </w:r>
      <w:hyperlink r:id="rId135" w:history="1">
        <w:r w:rsidRPr="00822C8C">
          <w:rPr>
            <w:rStyle w:val="Hyperlink1"/>
            <w:sz w:val="24"/>
            <w:lang w:val="fi-FI"/>
          </w:rPr>
          <w:t>http://data.europa.eu/eli/reg/2018/1046/oj</w:t>
        </w:r>
      </w:hyperlink>
      <w:r w:rsidRPr="00822C8C">
        <w:rPr>
          <w:sz w:val="24"/>
          <w:lang w:val="fi-FI"/>
        </w:rPr>
        <w:t>.</w:t>
      </w:r>
    </w:p>
  </w:footnote>
  <w:footnote w:id="136">
    <w:p w14:paraId="03AC7C79" w14:textId="77777777" w:rsidR="005375B7" w:rsidRPr="00980888" w:rsidRDefault="005375B7" w:rsidP="005375B7">
      <w:pPr>
        <w:pStyle w:val="FootnoteText"/>
        <w:ind w:left="567" w:hanging="567"/>
        <w:rPr>
          <w:sz w:val="24"/>
          <w:lang w:val="fi-FI"/>
        </w:rPr>
      </w:pPr>
      <w:r w:rsidRPr="00980888">
        <w:rPr>
          <w:rStyle w:val="FootnoteReference"/>
          <w:sz w:val="24"/>
        </w:rPr>
        <w:footnoteRef/>
      </w:r>
      <w:r w:rsidRPr="00980888">
        <w:rPr>
          <w:sz w:val="24"/>
          <w:lang w:val="fi-FI"/>
        </w:rPr>
        <w:t xml:space="preserve"> </w:t>
      </w:r>
      <w:r w:rsidRPr="00822C8C">
        <w:rPr>
          <w:sz w:val="24"/>
          <w:lang w:val="fi-FI"/>
        </w:rPr>
        <w:tab/>
        <w:t xml:space="preserve">EUT L, 2024/2509, 26.9.2024, ELI: </w:t>
      </w:r>
      <w:hyperlink r:id="rId136" w:history="1">
        <w:r w:rsidRPr="00822C8C">
          <w:rPr>
            <w:rStyle w:val="Hyperlink1"/>
            <w:sz w:val="24"/>
            <w:lang w:val="fi-FI"/>
          </w:rPr>
          <w:t>http://data.europa.eu/eli/reg/2024/2509/oj</w:t>
        </w:r>
      </w:hyperlink>
      <w:r w:rsidRPr="00822C8C">
        <w:rPr>
          <w:rStyle w:val="Hyperlink1"/>
          <w:sz w:val="24"/>
          <w:lang w:val="fi-FI"/>
        </w:rPr>
        <w:t>.</w:t>
      </w:r>
    </w:p>
  </w:footnote>
  <w:footnote w:id="137">
    <w:p w14:paraId="0B2FE08A" w14:textId="77777777" w:rsidR="005375B7" w:rsidRPr="00980888" w:rsidRDefault="005375B7" w:rsidP="005375B7">
      <w:pPr>
        <w:pStyle w:val="FootnoteText"/>
        <w:ind w:left="567" w:hanging="567"/>
        <w:rPr>
          <w:sz w:val="24"/>
          <w:lang w:val="fi-FI"/>
        </w:rPr>
      </w:pPr>
      <w:r w:rsidRPr="00980888">
        <w:rPr>
          <w:rStyle w:val="FootnoteReference"/>
          <w:sz w:val="24"/>
        </w:rPr>
        <w:footnoteRef/>
      </w:r>
      <w:r w:rsidRPr="00980888">
        <w:rPr>
          <w:sz w:val="24"/>
          <w:lang w:val="fi-FI"/>
        </w:rPr>
        <w:t xml:space="preserve"> </w:t>
      </w:r>
      <w:r w:rsidRPr="00822C8C">
        <w:rPr>
          <w:sz w:val="24"/>
          <w:lang w:val="fi-FI"/>
        </w:rPr>
        <w:tab/>
        <w:t xml:space="preserve">EGT L 31, 1.2.2002, s. 1, ELI: </w:t>
      </w:r>
      <w:hyperlink r:id="rId137" w:history="1">
        <w:r w:rsidRPr="00822C8C">
          <w:rPr>
            <w:rStyle w:val="Hyperlink1"/>
            <w:sz w:val="24"/>
            <w:lang w:val="fi-FI"/>
          </w:rPr>
          <w:t>http://data.europa.eu/eli/reg/2002/178/oj</w:t>
        </w:r>
      </w:hyperlink>
      <w:r w:rsidRPr="00822C8C">
        <w:rPr>
          <w:sz w:val="24"/>
          <w:lang w:val="fi-FI"/>
        </w:rPr>
        <w:t>.</w:t>
      </w:r>
    </w:p>
  </w:footnote>
  <w:footnote w:id="138">
    <w:p w14:paraId="46C5B28C" w14:textId="77777777" w:rsidR="005375B7" w:rsidRPr="00980888" w:rsidRDefault="005375B7" w:rsidP="005375B7">
      <w:pPr>
        <w:pStyle w:val="FootnoteText"/>
        <w:ind w:left="567" w:hanging="567"/>
        <w:rPr>
          <w:sz w:val="24"/>
          <w:lang w:val="fi-FI"/>
        </w:rPr>
      </w:pPr>
      <w:r w:rsidRPr="00980888">
        <w:rPr>
          <w:rStyle w:val="FootnoteReference"/>
          <w:sz w:val="24"/>
        </w:rPr>
        <w:footnoteRef/>
      </w:r>
      <w:r w:rsidRPr="00980888">
        <w:rPr>
          <w:sz w:val="24"/>
          <w:lang w:val="fi-FI"/>
        </w:rPr>
        <w:t xml:space="preserve"> </w:t>
      </w:r>
      <w:r w:rsidRPr="00822C8C">
        <w:rPr>
          <w:sz w:val="24"/>
          <w:lang w:val="fi-FI"/>
        </w:rPr>
        <w:tab/>
        <w:t xml:space="preserve">EUT L 122, 10.5.2019, s. 1, ELI: </w:t>
      </w:r>
      <w:hyperlink r:id="rId138" w:history="1">
        <w:r w:rsidRPr="00822C8C">
          <w:rPr>
            <w:rStyle w:val="Hyperlink1"/>
            <w:sz w:val="24"/>
            <w:lang w:val="fi-FI"/>
          </w:rPr>
          <w:t>http://data.europa.eu/eli/reg_del/2019/715/oj</w:t>
        </w:r>
      </w:hyperlink>
      <w:r w:rsidRPr="00822C8C">
        <w:rPr>
          <w:sz w:val="24"/>
          <w:lang w:val="fi-FI"/>
        </w:rPr>
        <w:t>.</w:t>
      </w:r>
    </w:p>
  </w:footnote>
  <w:footnote w:id="139">
    <w:p w14:paraId="295F8957" w14:textId="77777777" w:rsidR="005375B7" w:rsidRPr="0058240E" w:rsidRDefault="005375B7" w:rsidP="005375B7">
      <w:pPr>
        <w:pStyle w:val="FootnoteText"/>
        <w:ind w:left="567" w:hanging="567"/>
        <w:rPr>
          <w:sz w:val="24"/>
          <w:lang w:val="fi-FI"/>
        </w:rPr>
      </w:pPr>
      <w:r w:rsidRPr="0058240E">
        <w:rPr>
          <w:rStyle w:val="FootnoteReference"/>
          <w:sz w:val="24"/>
        </w:rPr>
        <w:footnoteRef/>
      </w:r>
      <w:r w:rsidRPr="0058240E">
        <w:rPr>
          <w:sz w:val="24"/>
          <w:lang w:val="fi-FI"/>
        </w:rPr>
        <w:t xml:space="preserve"> </w:t>
      </w:r>
      <w:r w:rsidRPr="00822C8C">
        <w:rPr>
          <w:sz w:val="24"/>
          <w:lang w:val="fi-FI"/>
        </w:rPr>
        <w:tab/>
        <w:t xml:space="preserve">EUT C, C/2024/6332, 24.10.2024, ELI: </w:t>
      </w:r>
      <w:hyperlink r:id="rId139" w:history="1">
        <w:r w:rsidRPr="00822C8C">
          <w:rPr>
            <w:rStyle w:val="Hyperlink1"/>
            <w:sz w:val="24"/>
            <w:lang w:val="fi-FI"/>
          </w:rPr>
          <w:t>http://data.europa.eu/eli/C/2024/6332/oj</w:t>
        </w:r>
      </w:hyperlink>
      <w:r w:rsidRPr="00822C8C">
        <w:rPr>
          <w:sz w:val="24"/>
          <w:lang w:val="fi-FI"/>
        </w:rPr>
        <w:t>.</w:t>
      </w:r>
    </w:p>
  </w:footnote>
  <w:footnote w:id="140">
    <w:p w14:paraId="51249856" w14:textId="77777777" w:rsidR="005375B7" w:rsidRPr="0058240E" w:rsidRDefault="005375B7" w:rsidP="005375B7">
      <w:pPr>
        <w:pStyle w:val="FootnoteText"/>
        <w:ind w:left="567" w:hanging="567"/>
        <w:rPr>
          <w:sz w:val="24"/>
          <w:lang w:val="fi-FI"/>
        </w:rPr>
      </w:pPr>
      <w:r w:rsidRPr="0058240E">
        <w:rPr>
          <w:rStyle w:val="FootnoteReference"/>
          <w:sz w:val="24"/>
        </w:rPr>
        <w:footnoteRef/>
      </w:r>
      <w:r w:rsidRPr="0058240E">
        <w:rPr>
          <w:sz w:val="24"/>
          <w:lang w:val="fi-FI"/>
        </w:rPr>
        <w:t xml:space="preserve"> </w:t>
      </w:r>
      <w:r w:rsidRPr="00822C8C">
        <w:rPr>
          <w:sz w:val="24"/>
          <w:lang w:val="fi-FI"/>
        </w:rPr>
        <w:tab/>
        <w:t xml:space="preserve">EUT C, C/2024/6041, 10.10.2024, ELI: </w:t>
      </w:r>
      <w:hyperlink r:id="rId140" w:history="1">
        <w:r w:rsidRPr="00822C8C">
          <w:rPr>
            <w:rStyle w:val="Hyperlink1"/>
            <w:sz w:val="24"/>
            <w:lang w:val="fi-FI"/>
          </w:rPr>
          <w:t>http://data.europa.eu/eli/C/2024/6041/oj</w:t>
        </w:r>
      </w:hyperlink>
      <w:r w:rsidRPr="00822C8C">
        <w:rPr>
          <w:sz w:val="24"/>
          <w:lang w:val="fi-FI"/>
        </w:rPr>
        <w:t>.</w:t>
      </w:r>
    </w:p>
  </w:footnote>
  <w:footnote w:id="141">
    <w:p w14:paraId="03F4EAE5" w14:textId="77777777" w:rsidR="005375B7" w:rsidRPr="0058240E" w:rsidRDefault="005375B7" w:rsidP="005375B7">
      <w:pPr>
        <w:pStyle w:val="FootnoteText"/>
        <w:ind w:left="567" w:hanging="567"/>
        <w:rPr>
          <w:sz w:val="24"/>
          <w:lang w:val="fi-FI"/>
        </w:rPr>
      </w:pPr>
      <w:r w:rsidRPr="0058240E">
        <w:rPr>
          <w:rStyle w:val="FootnoteReference"/>
          <w:sz w:val="24"/>
        </w:rPr>
        <w:footnoteRef/>
      </w:r>
      <w:r w:rsidRPr="0058240E">
        <w:rPr>
          <w:sz w:val="24"/>
          <w:lang w:val="fi-FI"/>
        </w:rPr>
        <w:t xml:space="preserve"> </w:t>
      </w:r>
      <w:r w:rsidRPr="00822C8C">
        <w:rPr>
          <w:sz w:val="24"/>
          <w:lang w:val="fi-FI"/>
        </w:rPr>
        <w:tab/>
        <w:t xml:space="preserve">EUT L 193, 30.7.2018, s. 1, ELI: </w:t>
      </w:r>
      <w:hyperlink r:id="rId141" w:history="1">
        <w:r w:rsidRPr="00822C8C">
          <w:rPr>
            <w:rStyle w:val="Hyperlink1"/>
            <w:sz w:val="24"/>
            <w:lang w:val="fi-FI"/>
          </w:rPr>
          <w:t>http://data.europa.eu/eli/reg/2018/1046/oj</w:t>
        </w:r>
      </w:hyperlink>
      <w:r w:rsidRPr="00822C8C">
        <w:rPr>
          <w:sz w:val="24"/>
          <w:lang w:val="fi-FI"/>
        </w:rPr>
        <w:t>.</w:t>
      </w:r>
    </w:p>
  </w:footnote>
  <w:footnote w:id="142">
    <w:p w14:paraId="65E409E3" w14:textId="77777777" w:rsidR="005375B7" w:rsidRPr="0058240E" w:rsidRDefault="005375B7" w:rsidP="005375B7">
      <w:pPr>
        <w:pStyle w:val="FootnoteText"/>
        <w:ind w:left="567" w:hanging="567"/>
        <w:rPr>
          <w:sz w:val="24"/>
          <w:lang w:val="fi-FI"/>
        </w:rPr>
      </w:pPr>
      <w:r w:rsidRPr="0058240E">
        <w:rPr>
          <w:rStyle w:val="FootnoteReference"/>
          <w:sz w:val="24"/>
        </w:rPr>
        <w:footnoteRef/>
      </w:r>
      <w:r w:rsidRPr="0058240E">
        <w:rPr>
          <w:sz w:val="24"/>
          <w:lang w:val="fi-FI"/>
        </w:rPr>
        <w:t xml:space="preserve"> </w:t>
      </w:r>
      <w:r w:rsidRPr="00822C8C">
        <w:rPr>
          <w:sz w:val="24"/>
          <w:lang w:val="fi-FI"/>
        </w:rPr>
        <w:tab/>
        <w:t xml:space="preserve">EUT L, 2024/2509, 26.9.2024, ELI: </w:t>
      </w:r>
      <w:hyperlink r:id="rId142" w:history="1">
        <w:r w:rsidRPr="00822C8C">
          <w:rPr>
            <w:rStyle w:val="Hyperlink1"/>
            <w:sz w:val="24"/>
            <w:lang w:val="fi-FI"/>
          </w:rPr>
          <w:t>http://data.europa.eu/eli/reg/2024/2509/oj</w:t>
        </w:r>
      </w:hyperlink>
      <w:r w:rsidRPr="00822C8C">
        <w:rPr>
          <w:rStyle w:val="Hyperlink1"/>
          <w:sz w:val="24"/>
          <w:lang w:val="fi-FI"/>
        </w:rPr>
        <w:t>.</w:t>
      </w:r>
    </w:p>
  </w:footnote>
  <w:footnote w:id="143">
    <w:p w14:paraId="785C3A3B" w14:textId="77777777" w:rsidR="005375B7" w:rsidRPr="0058240E" w:rsidRDefault="005375B7" w:rsidP="005375B7">
      <w:pPr>
        <w:pStyle w:val="FootnoteText"/>
        <w:ind w:left="567" w:hanging="567"/>
        <w:rPr>
          <w:sz w:val="24"/>
          <w:lang w:val="fi-FI"/>
        </w:rPr>
      </w:pPr>
      <w:r w:rsidRPr="0058240E">
        <w:rPr>
          <w:rStyle w:val="FootnoteReference"/>
          <w:sz w:val="24"/>
        </w:rPr>
        <w:footnoteRef/>
      </w:r>
      <w:r w:rsidRPr="0058240E">
        <w:rPr>
          <w:sz w:val="24"/>
          <w:lang w:val="fi-FI"/>
        </w:rPr>
        <w:t xml:space="preserve"> </w:t>
      </w:r>
      <w:r w:rsidRPr="00822C8C">
        <w:rPr>
          <w:sz w:val="24"/>
          <w:lang w:val="fi-FI"/>
        </w:rPr>
        <w:tab/>
        <w:t xml:space="preserve">EUT L 31, 1.2.2002, s. 1, ELI: </w:t>
      </w:r>
      <w:hyperlink r:id="rId143" w:history="1">
        <w:r w:rsidRPr="00822C8C">
          <w:rPr>
            <w:rStyle w:val="Hyperlink1"/>
            <w:sz w:val="24"/>
            <w:lang w:val="fi-FI"/>
          </w:rPr>
          <w:t>http://data.europa.eu/eli/reg/2002/178/oj</w:t>
        </w:r>
      </w:hyperlink>
      <w:r w:rsidRPr="00822C8C">
        <w:rPr>
          <w:sz w:val="24"/>
          <w:lang w:val="fi-FI"/>
        </w:rPr>
        <w:t>.</w:t>
      </w:r>
    </w:p>
  </w:footnote>
  <w:footnote w:id="144">
    <w:p w14:paraId="0532D170" w14:textId="77777777" w:rsidR="005375B7" w:rsidRPr="0058240E" w:rsidRDefault="005375B7" w:rsidP="005375B7">
      <w:pPr>
        <w:pStyle w:val="FootnoteText"/>
        <w:ind w:left="567" w:hanging="567"/>
        <w:rPr>
          <w:sz w:val="24"/>
          <w:lang w:val="fi-FI"/>
        </w:rPr>
      </w:pPr>
      <w:r w:rsidRPr="0058240E">
        <w:rPr>
          <w:rStyle w:val="FootnoteReference"/>
          <w:sz w:val="24"/>
        </w:rPr>
        <w:footnoteRef/>
      </w:r>
      <w:r w:rsidRPr="0058240E">
        <w:rPr>
          <w:sz w:val="24"/>
          <w:lang w:val="fi-FI"/>
        </w:rPr>
        <w:t xml:space="preserve"> </w:t>
      </w:r>
      <w:r w:rsidRPr="00822C8C">
        <w:rPr>
          <w:sz w:val="24"/>
          <w:lang w:val="fi-FI"/>
        </w:rPr>
        <w:tab/>
        <w:t xml:space="preserve">EUT L 122, 10.5.2019, s. 1, ELI: </w:t>
      </w:r>
      <w:hyperlink r:id="rId144" w:history="1">
        <w:r w:rsidRPr="00822C8C">
          <w:rPr>
            <w:rStyle w:val="Hyperlink1"/>
            <w:sz w:val="24"/>
            <w:lang w:val="fi-FI"/>
          </w:rPr>
          <w:t>http://data.europa.eu/eli/reg_del/2019/715/oj</w:t>
        </w:r>
      </w:hyperlink>
      <w:r w:rsidRPr="00822C8C">
        <w:rPr>
          <w:sz w:val="24"/>
          <w:lang w:val="fi-FI"/>
        </w:rPr>
        <w:t>.</w:t>
      </w:r>
    </w:p>
  </w:footnote>
  <w:footnote w:id="145">
    <w:p w14:paraId="09996DAA" w14:textId="77777777" w:rsidR="005375B7" w:rsidRPr="00BA3500" w:rsidRDefault="005375B7" w:rsidP="005375B7">
      <w:pPr>
        <w:pStyle w:val="FootnoteText"/>
        <w:ind w:left="567" w:hanging="567"/>
        <w:rPr>
          <w:sz w:val="24"/>
          <w:lang w:val="fi-FI"/>
        </w:rPr>
      </w:pPr>
      <w:r w:rsidRPr="00BA3500">
        <w:rPr>
          <w:rStyle w:val="FootnoteReference"/>
          <w:sz w:val="24"/>
        </w:rPr>
        <w:footnoteRef/>
      </w:r>
      <w:r w:rsidRPr="00BA3500">
        <w:rPr>
          <w:sz w:val="24"/>
          <w:lang w:val="fi-FI"/>
        </w:rPr>
        <w:t xml:space="preserve"> </w:t>
      </w:r>
      <w:r w:rsidRPr="00822C8C">
        <w:rPr>
          <w:sz w:val="24"/>
          <w:lang w:val="fi-FI"/>
        </w:rPr>
        <w:tab/>
        <w:t xml:space="preserve">EUT C, C/2024/6332, 24.10.2024, ELI: </w:t>
      </w:r>
      <w:hyperlink r:id="rId145" w:history="1">
        <w:r w:rsidRPr="00822C8C">
          <w:rPr>
            <w:rStyle w:val="Hyperlink1"/>
            <w:sz w:val="24"/>
            <w:lang w:val="fi-FI"/>
          </w:rPr>
          <w:t>http://data.europa.eu/eli/C/2024/6332/oj</w:t>
        </w:r>
      </w:hyperlink>
      <w:r w:rsidRPr="00822C8C">
        <w:rPr>
          <w:sz w:val="24"/>
          <w:lang w:val="fi-FI"/>
        </w:rPr>
        <w:t>.</w:t>
      </w:r>
    </w:p>
  </w:footnote>
  <w:footnote w:id="146">
    <w:p w14:paraId="5E10BA2B" w14:textId="77777777" w:rsidR="005375B7" w:rsidRPr="00BA3500" w:rsidRDefault="005375B7" w:rsidP="005375B7">
      <w:pPr>
        <w:pStyle w:val="FootnoteText"/>
        <w:ind w:left="567" w:hanging="567"/>
        <w:rPr>
          <w:sz w:val="24"/>
          <w:lang w:val="fi-FI"/>
        </w:rPr>
      </w:pPr>
      <w:r w:rsidRPr="00BA3500">
        <w:rPr>
          <w:rStyle w:val="FootnoteReference"/>
          <w:sz w:val="24"/>
        </w:rPr>
        <w:footnoteRef/>
      </w:r>
      <w:r w:rsidRPr="00BA3500">
        <w:rPr>
          <w:sz w:val="24"/>
          <w:lang w:val="fi-FI"/>
        </w:rPr>
        <w:t xml:space="preserve"> </w:t>
      </w:r>
      <w:r w:rsidRPr="00822C8C">
        <w:rPr>
          <w:sz w:val="24"/>
          <w:lang w:val="fi-FI"/>
        </w:rPr>
        <w:tab/>
        <w:t xml:space="preserve">EUT C, C/2024/6041, 10.10.2024, ELI: </w:t>
      </w:r>
      <w:hyperlink r:id="rId146" w:history="1">
        <w:r w:rsidRPr="00822C8C">
          <w:rPr>
            <w:rStyle w:val="Hyperlink1"/>
            <w:sz w:val="24"/>
            <w:lang w:val="fi-FI"/>
          </w:rPr>
          <w:t>http://data.europa.eu/eli/C/2024/6041/oj</w:t>
        </w:r>
      </w:hyperlink>
      <w:r w:rsidRPr="00822C8C">
        <w:rPr>
          <w:sz w:val="24"/>
          <w:lang w:val="fi-FI"/>
        </w:rPr>
        <w:t>.</w:t>
      </w:r>
    </w:p>
  </w:footnote>
  <w:footnote w:id="147">
    <w:p w14:paraId="42C2F24A" w14:textId="77777777" w:rsidR="005375B7" w:rsidRPr="00BA3500" w:rsidRDefault="005375B7" w:rsidP="005375B7">
      <w:pPr>
        <w:pStyle w:val="FootnoteText"/>
        <w:ind w:left="567" w:hanging="567"/>
        <w:rPr>
          <w:sz w:val="24"/>
          <w:lang w:val="fi-FI"/>
        </w:rPr>
      </w:pPr>
      <w:r w:rsidRPr="00BA3500">
        <w:rPr>
          <w:rStyle w:val="FootnoteReference"/>
          <w:sz w:val="24"/>
        </w:rPr>
        <w:footnoteRef/>
      </w:r>
      <w:r w:rsidRPr="00BA3500">
        <w:rPr>
          <w:sz w:val="24"/>
          <w:lang w:val="fi-FI"/>
        </w:rPr>
        <w:t xml:space="preserve"> </w:t>
      </w:r>
      <w:r w:rsidRPr="00822C8C">
        <w:rPr>
          <w:sz w:val="24"/>
          <w:lang w:val="fi-FI"/>
        </w:rPr>
        <w:tab/>
        <w:t xml:space="preserve">EUT L 193, 30.7.2018, s. 1, ELI: </w:t>
      </w:r>
      <w:hyperlink r:id="rId147" w:history="1">
        <w:r w:rsidRPr="00822C8C">
          <w:rPr>
            <w:rStyle w:val="Hyperlink1"/>
            <w:sz w:val="24"/>
            <w:lang w:val="fi-FI"/>
          </w:rPr>
          <w:t>http://data.europa.eu/eli/reg/2018/1046/oj</w:t>
        </w:r>
      </w:hyperlink>
      <w:r w:rsidRPr="00822C8C">
        <w:rPr>
          <w:sz w:val="24"/>
          <w:lang w:val="fi-FI"/>
        </w:rPr>
        <w:t>.</w:t>
      </w:r>
    </w:p>
  </w:footnote>
  <w:footnote w:id="148">
    <w:p w14:paraId="4BD5E596" w14:textId="77777777" w:rsidR="005375B7" w:rsidRPr="00BA3500" w:rsidRDefault="005375B7" w:rsidP="005375B7">
      <w:pPr>
        <w:pStyle w:val="FootnoteText"/>
        <w:ind w:left="567" w:hanging="567"/>
        <w:rPr>
          <w:sz w:val="24"/>
          <w:lang w:val="fi-FI"/>
        </w:rPr>
      </w:pPr>
      <w:r w:rsidRPr="00BA3500">
        <w:rPr>
          <w:rStyle w:val="FootnoteReference"/>
          <w:sz w:val="24"/>
        </w:rPr>
        <w:footnoteRef/>
      </w:r>
      <w:r w:rsidRPr="00BA3500">
        <w:rPr>
          <w:sz w:val="24"/>
          <w:lang w:val="fi-FI"/>
        </w:rPr>
        <w:t xml:space="preserve"> </w:t>
      </w:r>
      <w:r w:rsidRPr="00822C8C">
        <w:rPr>
          <w:sz w:val="24"/>
          <w:lang w:val="fi-FI"/>
        </w:rPr>
        <w:tab/>
        <w:t xml:space="preserve">EUT L, 2024/2509, 26.9.2024, ELI: </w:t>
      </w:r>
      <w:hyperlink r:id="rId148" w:history="1">
        <w:r w:rsidRPr="00822C8C">
          <w:rPr>
            <w:rStyle w:val="Hyperlink1"/>
            <w:sz w:val="24"/>
            <w:lang w:val="fi-FI"/>
          </w:rPr>
          <w:t>http://data.europa.eu/eli/reg/2024/2509/oj</w:t>
        </w:r>
      </w:hyperlink>
      <w:r w:rsidRPr="00822C8C">
        <w:rPr>
          <w:rStyle w:val="Hyperlink1"/>
          <w:sz w:val="24"/>
          <w:lang w:val="fi-FI"/>
        </w:rPr>
        <w:t>.</w:t>
      </w:r>
    </w:p>
  </w:footnote>
  <w:footnote w:id="149">
    <w:p w14:paraId="67D58A20" w14:textId="77777777" w:rsidR="005375B7" w:rsidRPr="00BA3500" w:rsidRDefault="005375B7" w:rsidP="005375B7">
      <w:pPr>
        <w:pStyle w:val="FootnoteText"/>
        <w:ind w:left="567" w:hanging="567"/>
        <w:rPr>
          <w:sz w:val="24"/>
          <w:lang w:val="fi-FI"/>
        </w:rPr>
      </w:pPr>
      <w:r w:rsidRPr="00BA3500">
        <w:rPr>
          <w:rStyle w:val="FootnoteReference"/>
          <w:sz w:val="24"/>
        </w:rPr>
        <w:footnoteRef/>
      </w:r>
      <w:r w:rsidRPr="00BA3500">
        <w:rPr>
          <w:sz w:val="24"/>
          <w:lang w:val="fi-FI"/>
        </w:rPr>
        <w:t xml:space="preserve"> </w:t>
      </w:r>
      <w:r w:rsidRPr="00822C8C">
        <w:rPr>
          <w:sz w:val="24"/>
          <w:lang w:val="fi-FI"/>
        </w:rPr>
        <w:tab/>
        <w:t xml:space="preserve">EUT L 403, 30.12.2006, s. 9, ELI: </w:t>
      </w:r>
      <w:hyperlink r:id="rId149" w:history="1">
        <w:r w:rsidRPr="00822C8C">
          <w:rPr>
            <w:rStyle w:val="Hyperlink1"/>
            <w:sz w:val="24"/>
            <w:lang w:val="fi-FI"/>
          </w:rPr>
          <w:t>http://data.europa.eu/eli/reg/2006/1922/oj</w:t>
        </w:r>
      </w:hyperlink>
      <w:r w:rsidRPr="00822C8C">
        <w:rPr>
          <w:sz w:val="24"/>
          <w:lang w:val="fi-FI"/>
        </w:rPr>
        <w:t>.</w:t>
      </w:r>
    </w:p>
  </w:footnote>
  <w:footnote w:id="150">
    <w:p w14:paraId="0620D747" w14:textId="77777777" w:rsidR="005375B7" w:rsidRPr="00BA3500" w:rsidRDefault="005375B7" w:rsidP="005375B7">
      <w:pPr>
        <w:pStyle w:val="FootnoteText"/>
        <w:ind w:left="567" w:hanging="567"/>
        <w:rPr>
          <w:sz w:val="24"/>
          <w:lang w:val="fi-FI"/>
        </w:rPr>
      </w:pPr>
      <w:r w:rsidRPr="00BA3500">
        <w:rPr>
          <w:rStyle w:val="FootnoteReference"/>
          <w:sz w:val="24"/>
        </w:rPr>
        <w:footnoteRef/>
      </w:r>
      <w:r w:rsidRPr="00BA3500">
        <w:rPr>
          <w:sz w:val="24"/>
          <w:lang w:val="fi-FI"/>
        </w:rPr>
        <w:t xml:space="preserve"> </w:t>
      </w:r>
      <w:r w:rsidRPr="00822C8C">
        <w:rPr>
          <w:sz w:val="24"/>
          <w:lang w:val="fi-FI"/>
        </w:rPr>
        <w:tab/>
        <w:t xml:space="preserve">EUT L 122, 10.5.2019, s. 1, ELI: </w:t>
      </w:r>
      <w:hyperlink r:id="rId150" w:history="1">
        <w:r w:rsidRPr="00822C8C">
          <w:rPr>
            <w:rStyle w:val="Hyperlink1"/>
            <w:sz w:val="24"/>
            <w:lang w:val="fi-FI"/>
          </w:rPr>
          <w:t>http://data.europa.eu/eli/reg_del/2019/715/oj</w:t>
        </w:r>
      </w:hyperlink>
      <w:r w:rsidRPr="00822C8C">
        <w:rPr>
          <w:sz w:val="24"/>
          <w:lang w:val="fi-FI"/>
        </w:rPr>
        <w:t>.</w:t>
      </w:r>
    </w:p>
  </w:footnote>
  <w:footnote w:id="151">
    <w:p w14:paraId="34EF769E" w14:textId="77777777" w:rsidR="005375B7" w:rsidRPr="00596036" w:rsidRDefault="005375B7" w:rsidP="005375B7">
      <w:pPr>
        <w:pStyle w:val="FootnoteText"/>
        <w:ind w:left="567" w:hanging="567"/>
        <w:rPr>
          <w:sz w:val="24"/>
          <w:lang w:val="fi-FI"/>
        </w:rPr>
      </w:pPr>
      <w:r w:rsidRPr="00596036">
        <w:rPr>
          <w:rStyle w:val="FootnoteReference"/>
          <w:sz w:val="24"/>
        </w:rPr>
        <w:footnoteRef/>
      </w:r>
      <w:r w:rsidRPr="00596036">
        <w:rPr>
          <w:sz w:val="24"/>
          <w:lang w:val="fi-FI"/>
        </w:rPr>
        <w:t xml:space="preserve"> </w:t>
      </w:r>
      <w:r w:rsidRPr="00822C8C">
        <w:rPr>
          <w:sz w:val="24"/>
          <w:lang w:val="fi-FI"/>
        </w:rPr>
        <w:tab/>
        <w:t xml:space="preserve">EUT C, C/2024/6332, 24.10.2024, ELI: </w:t>
      </w:r>
      <w:hyperlink r:id="rId151" w:history="1">
        <w:r w:rsidRPr="00822C8C">
          <w:rPr>
            <w:rStyle w:val="Hyperlink1"/>
            <w:sz w:val="24"/>
            <w:lang w:val="fi-FI"/>
          </w:rPr>
          <w:t>http://data.europa.eu/eli/C/2024/6332/oj</w:t>
        </w:r>
      </w:hyperlink>
      <w:r w:rsidRPr="00822C8C">
        <w:rPr>
          <w:sz w:val="24"/>
          <w:lang w:val="fi-FI"/>
        </w:rPr>
        <w:t>.</w:t>
      </w:r>
    </w:p>
  </w:footnote>
  <w:footnote w:id="152">
    <w:p w14:paraId="61A64B3C" w14:textId="77777777" w:rsidR="005375B7" w:rsidRPr="00596036" w:rsidRDefault="005375B7" w:rsidP="005375B7">
      <w:pPr>
        <w:pStyle w:val="FootnoteText"/>
        <w:ind w:left="567" w:hanging="567"/>
        <w:rPr>
          <w:sz w:val="24"/>
          <w:lang w:val="fi-FI"/>
        </w:rPr>
      </w:pPr>
      <w:r w:rsidRPr="00596036">
        <w:rPr>
          <w:rStyle w:val="FootnoteReference"/>
          <w:sz w:val="24"/>
        </w:rPr>
        <w:footnoteRef/>
      </w:r>
      <w:r w:rsidRPr="00596036">
        <w:rPr>
          <w:sz w:val="24"/>
          <w:lang w:val="fi-FI"/>
        </w:rPr>
        <w:t xml:space="preserve"> </w:t>
      </w:r>
      <w:r w:rsidRPr="00822C8C">
        <w:rPr>
          <w:sz w:val="24"/>
          <w:lang w:val="fi-FI"/>
        </w:rPr>
        <w:tab/>
        <w:t xml:space="preserve">EUT C, C/2024/6041, 10.10.2024, ELI: </w:t>
      </w:r>
      <w:hyperlink r:id="rId152" w:history="1">
        <w:r w:rsidRPr="00822C8C">
          <w:rPr>
            <w:rStyle w:val="Hyperlink1"/>
            <w:sz w:val="24"/>
            <w:lang w:val="fi-FI"/>
          </w:rPr>
          <w:t>http://data.europa.eu/eli/C/2024/6041/oj</w:t>
        </w:r>
      </w:hyperlink>
      <w:r w:rsidRPr="00822C8C">
        <w:rPr>
          <w:sz w:val="24"/>
          <w:lang w:val="fi-FI"/>
        </w:rPr>
        <w:t>.</w:t>
      </w:r>
    </w:p>
  </w:footnote>
  <w:footnote w:id="153">
    <w:p w14:paraId="43A133B5" w14:textId="77777777" w:rsidR="005375B7" w:rsidRPr="00596036" w:rsidRDefault="005375B7" w:rsidP="005375B7">
      <w:pPr>
        <w:pStyle w:val="FootnoteText"/>
        <w:ind w:left="567" w:hanging="567"/>
        <w:rPr>
          <w:sz w:val="24"/>
          <w:lang w:val="fi-FI"/>
        </w:rPr>
      </w:pPr>
      <w:r w:rsidRPr="00596036">
        <w:rPr>
          <w:rStyle w:val="FootnoteReference"/>
          <w:sz w:val="24"/>
        </w:rPr>
        <w:footnoteRef/>
      </w:r>
      <w:r w:rsidRPr="00596036">
        <w:rPr>
          <w:sz w:val="24"/>
          <w:lang w:val="fi-FI"/>
        </w:rPr>
        <w:t xml:space="preserve"> </w:t>
      </w:r>
      <w:r w:rsidRPr="00822C8C">
        <w:rPr>
          <w:sz w:val="24"/>
          <w:lang w:val="fi-FI"/>
        </w:rPr>
        <w:tab/>
        <w:t xml:space="preserve">EUT L 193, 30.7.2018, s. 1, ELI: </w:t>
      </w:r>
      <w:hyperlink r:id="rId153" w:history="1">
        <w:r w:rsidRPr="00822C8C">
          <w:rPr>
            <w:rStyle w:val="Hyperlink1"/>
            <w:sz w:val="24"/>
            <w:lang w:val="fi-FI"/>
          </w:rPr>
          <w:t>http://data.europa.eu/eli/reg/2018/1046/oj</w:t>
        </w:r>
      </w:hyperlink>
      <w:r w:rsidRPr="00822C8C">
        <w:rPr>
          <w:sz w:val="24"/>
          <w:lang w:val="fi-FI"/>
        </w:rPr>
        <w:t>.</w:t>
      </w:r>
    </w:p>
  </w:footnote>
  <w:footnote w:id="154">
    <w:p w14:paraId="1A498AB6" w14:textId="77777777" w:rsidR="005375B7" w:rsidRPr="00596036" w:rsidRDefault="005375B7" w:rsidP="005375B7">
      <w:pPr>
        <w:pStyle w:val="FootnoteText"/>
        <w:ind w:left="567" w:hanging="567"/>
        <w:rPr>
          <w:sz w:val="24"/>
          <w:lang w:val="fi-FI"/>
        </w:rPr>
      </w:pPr>
      <w:r w:rsidRPr="00596036">
        <w:rPr>
          <w:rStyle w:val="FootnoteReference"/>
          <w:sz w:val="24"/>
        </w:rPr>
        <w:footnoteRef/>
      </w:r>
      <w:r w:rsidRPr="00596036">
        <w:rPr>
          <w:sz w:val="24"/>
          <w:lang w:val="fi-FI"/>
        </w:rPr>
        <w:t xml:space="preserve"> </w:t>
      </w:r>
      <w:r w:rsidRPr="00822C8C">
        <w:rPr>
          <w:sz w:val="24"/>
          <w:lang w:val="fi-FI"/>
        </w:rPr>
        <w:tab/>
        <w:t xml:space="preserve">EUT L, 2024/2509, 26.9.2024, ELI: </w:t>
      </w:r>
      <w:hyperlink r:id="rId154" w:history="1">
        <w:r w:rsidRPr="00822C8C">
          <w:rPr>
            <w:rStyle w:val="Hyperlink1"/>
            <w:sz w:val="24"/>
            <w:lang w:val="fi-FI"/>
          </w:rPr>
          <w:t>http://data.europa.eu/eli/reg/2024/2509/oj</w:t>
        </w:r>
      </w:hyperlink>
      <w:r w:rsidRPr="00822C8C">
        <w:rPr>
          <w:rStyle w:val="Hyperlink1"/>
          <w:sz w:val="24"/>
          <w:lang w:val="fi-FI"/>
        </w:rPr>
        <w:t>.</w:t>
      </w:r>
    </w:p>
  </w:footnote>
  <w:footnote w:id="155">
    <w:p w14:paraId="125B276F" w14:textId="77777777" w:rsidR="005375B7" w:rsidRPr="00596036" w:rsidRDefault="005375B7" w:rsidP="005375B7">
      <w:pPr>
        <w:pStyle w:val="FootnoteText"/>
        <w:ind w:left="567" w:hanging="567"/>
        <w:rPr>
          <w:sz w:val="24"/>
          <w:lang w:val="fi-FI"/>
        </w:rPr>
      </w:pPr>
      <w:r w:rsidRPr="00596036">
        <w:rPr>
          <w:rStyle w:val="FootnoteReference"/>
          <w:sz w:val="24"/>
        </w:rPr>
        <w:footnoteRef/>
      </w:r>
      <w:r w:rsidRPr="00596036">
        <w:rPr>
          <w:sz w:val="24"/>
          <w:lang w:val="fi-FI"/>
        </w:rPr>
        <w:t xml:space="preserve"> </w:t>
      </w:r>
      <w:r w:rsidRPr="00822C8C">
        <w:rPr>
          <w:sz w:val="24"/>
          <w:lang w:val="fi-FI"/>
        </w:rPr>
        <w:tab/>
        <w:t xml:space="preserve">EUT L 403, 30.12.2006, s. 9, ELI: </w:t>
      </w:r>
      <w:hyperlink r:id="rId155" w:history="1">
        <w:r w:rsidRPr="00822C8C">
          <w:rPr>
            <w:rStyle w:val="Hyperlink1"/>
            <w:sz w:val="24"/>
            <w:lang w:val="fi-FI"/>
          </w:rPr>
          <w:t>http://data.europa.eu/eli/reg/2006/1922/oj</w:t>
        </w:r>
      </w:hyperlink>
      <w:r w:rsidRPr="00822C8C">
        <w:rPr>
          <w:sz w:val="24"/>
          <w:lang w:val="fi-FI"/>
        </w:rPr>
        <w:t>.</w:t>
      </w:r>
    </w:p>
  </w:footnote>
  <w:footnote w:id="156">
    <w:p w14:paraId="4E049375" w14:textId="77777777" w:rsidR="005375B7" w:rsidRPr="00596036" w:rsidRDefault="005375B7" w:rsidP="005375B7">
      <w:pPr>
        <w:pStyle w:val="FootnoteText"/>
        <w:ind w:left="567" w:hanging="567"/>
        <w:rPr>
          <w:sz w:val="24"/>
          <w:lang w:val="fi-FI"/>
        </w:rPr>
      </w:pPr>
      <w:r w:rsidRPr="00596036">
        <w:rPr>
          <w:rStyle w:val="FootnoteReference"/>
          <w:sz w:val="24"/>
        </w:rPr>
        <w:footnoteRef/>
      </w:r>
      <w:r w:rsidRPr="00596036">
        <w:rPr>
          <w:sz w:val="24"/>
          <w:lang w:val="fi-FI"/>
        </w:rPr>
        <w:t xml:space="preserve"> </w:t>
      </w:r>
      <w:r w:rsidRPr="00822C8C">
        <w:rPr>
          <w:sz w:val="24"/>
          <w:lang w:val="fi-FI"/>
        </w:rPr>
        <w:tab/>
        <w:t xml:space="preserve">EUT L 122, 10.5.2019, s. 1, ELI: </w:t>
      </w:r>
      <w:hyperlink r:id="rId156" w:history="1">
        <w:r w:rsidRPr="00822C8C">
          <w:rPr>
            <w:rStyle w:val="Hyperlink1"/>
            <w:sz w:val="24"/>
            <w:lang w:val="fi-FI"/>
          </w:rPr>
          <w:t>http://data.europa.eu/eli/reg_del/2019/715/oj</w:t>
        </w:r>
      </w:hyperlink>
      <w:r w:rsidRPr="00822C8C">
        <w:rPr>
          <w:sz w:val="24"/>
          <w:lang w:val="fi-FI"/>
        </w:rPr>
        <w:t>.</w:t>
      </w:r>
    </w:p>
  </w:footnote>
  <w:footnote w:id="157">
    <w:p w14:paraId="2099C9F2" w14:textId="77777777" w:rsidR="005375B7" w:rsidRPr="00302823" w:rsidRDefault="005375B7" w:rsidP="005375B7">
      <w:pPr>
        <w:pStyle w:val="FootnoteText"/>
        <w:ind w:left="567" w:hanging="567"/>
        <w:rPr>
          <w:sz w:val="24"/>
          <w:lang w:val="fi-FI"/>
        </w:rPr>
      </w:pPr>
      <w:r w:rsidRPr="00302823">
        <w:rPr>
          <w:rStyle w:val="FootnoteReference"/>
          <w:sz w:val="24"/>
        </w:rPr>
        <w:footnoteRef/>
      </w:r>
      <w:r w:rsidRPr="00302823">
        <w:rPr>
          <w:sz w:val="24"/>
          <w:lang w:val="fi-FI"/>
        </w:rPr>
        <w:t xml:space="preserve"> </w:t>
      </w:r>
      <w:r w:rsidRPr="00822C8C">
        <w:rPr>
          <w:sz w:val="24"/>
          <w:lang w:val="fi-FI"/>
        </w:rPr>
        <w:tab/>
        <w:t xml:space="preserve">EUT C, C/2024/6332, 24.10.2024, ELI: </w:t>
      </w:r>
      <w:hyperlink r:id="rId157" w:history="1">
        <w:r w:rsidRPr="00822C8C">
          <w:rPr>
            <w:rStyle w:val="Hyperlink1"/>
            <w:sz w:val="24"/>
            <w:lang w:val="fi-FI"/>
          </w:rPr>
          <w:t>http://data.europa.eu/eli/C/2024/6332/oj</w:t>
        </w:r>
      </w:hyperlink>
      <w:r w:rsidRPr="00822C8C">
        <w:rPr>
          <w:sz w:val="24"/>
          <w:lang w:val="fi-FI"/>
        </w:rPr>
        <w:t>.</w:t>
      </w:r>
    </w:p>
  </w:footnote>
  <w:footnote w:id="158">
    <w:p w14:paraId="46E5059B" w14:textId="77777777" w:rsidR="005375B7" w:rsidRPr="00302823" w:rsidRDefault="005375B7" w:rsidP="005375B7">
      <w:pPr>
        <w:pStyle w:val="FootnoteText"/>
        <w:ind w:left="567" w:hanging="567"/>
        <w:rPr>
          <w:sz w:val="24"/>
          <w:lang w:val="fi-FI"/>
        </w:rPr>
      </w:pPr>
      <w:r w:rsidRPr="00302823">
        <w:rPr>
          <w:rStyle w:val="FootnoteReference"/>
          <w:sz w:val="24"/>
        </w:rPr>
        <w:footnoteRef/>
      </w:r>
      <w:r w:rsidRPr="00302823">
        <w:rPr>
          <w:sz w:val="24"/>
          <w:lang w:val="fi-FI"/>
        </w:rPr>
        <w:t xml:space="preserve"> </w:t>
      </w:r>
      <w:r w:rsidRPr="00822C8C">
        <w:rPr>
          <w:sz w:val="24"/>
          <w:lang w:val="fi-FI"/>
        </w:rPr>
        <w:tab/>
        <w:t xml:space="preserve">EUT C, C/2024/6041, 10.10.2024, ELI: </w:t>
      </w:r>
      <w:hyperlink r:id="rId158" w:history="1">
        <w:r w:rsidRPr="00822C8C">
          <w:rPr>
            <w:rStyle w:val="Hyperlink1"/>
            <w:sz w:val="24"/>
            <w:lang w:val="fi-FI"/>
          </w:rPr>
          <w:t>http://data.europa.eu/eli/C/2024/6041/oj</w:t>
        </w:r>
      </w:hyperlink>
      <w:r w:rsidRPr="00822C8C">
        <w:rPr>
          <w:sz w:val="24"/>
          <w:lang w:val="fi-FI"/>
        </w:rPr>
        <w:t>.</w:t>
      </w:r>
    </w:p>
  </w:footnote>
  <w:footnote w:id="159">
    <w:p w14:paraId="5B14EA17" w14:textId="77777777" w:rsidR="005375B7" w:rsidRPr="00302823" w:rsidRDefault="005375B7" w:rsidP="005375B7">
      <w:pPr>
        <w:pStyle w:val="FootnoteText"/>
        <w:ind w:left="567" w:hanging="567"/>
        <w:rPr>
          <w:sz w:val="24"/>
          <w:lang w:val="fi-FI"/>
        </w:rPr>
      </w:pPr>
      <w:r w:rsidRPr="00302823">
        <w:rPr>
          <w:rStyle w:val="FootnoteReference"/>
          <w:sz w:val="24"/>
        </w:rPr>
        <w:footnoteRef/>
      </w:r>
      <w:r w:rsidRPr="00302823">
        <w:rPr>
          <w:sz w:val="24"/>
          <w:lang w:val="fi-FI"/>
        </w:rPr>
        <w:t xml:space="preserve"> </w:t>
      </w:r>
      <w:r w:rsidRPr="00822C8C">
        <w:rPr>
          <w:sz w:val="24"/>
          <w:lang w:val="fi-FI"/>
        </w:rPr>
        <w:tab/>
        <w:t xml:space="preserve">EUT L 193, 30.7.2018, s. 1, ELI: </w:t>
      </w:r>
      <w:hyperlink r:id="rId159" w:history="1">
        <w:r w:rsidRPr="00822C8C">
          <w:rPr>
            <w:rStyle w:val="Hyperlink1"/>
            <w:sz w:val="24"/>
            <w:lang w:val="fi-FI"/>
          </w:rPr>
          <w:t>http://data.europa.eu/eli/reg/2018/1046/oj</w:t>
        </w:r>
      </w:hyperlink>
      <w:r w:rsidRPr="00822C8C">
        <w:rPr>
          <w:sz w:val="24"/>
          <w:lang w:val="fi-FI"/>
        </w:rPr>
        <w:t>.</w:t>
      </w:r>
    </w:p>
  </w:footnote>
  <w:footnote w:id="160">
    <w:p w14:paraId="4C656BF1" w14:textId="77777777" w:rsidR="005375B7" w:rsidRPr="00302823" w:rsidRDefault="005375B7" w:rsidP="005375B7">
      <w:pPr>
        <w:pStyle w:val="FootnoteText"/>
        <w:ind w:left="567" w:hanging="567"/>
        <w:rPr>
          <w:sz w:val="24"/>
          <w:lang w:val="fi-FI"/>
        </w:rPr>
      </w:pPr>
      <w:r w:rsidRPr="00302823">
        <w:rPr>
          <w:rStyle w:val="FootnoteReference"/>
          <w:sz w:val="24"/>
        </w:rPr>
        <w:footnoteRef/>
      </w:r>
      <w:r w:rsidRPr="00302823">
        <w:rPr>
          <w:sz w:val="24"/>
          <w:lang w:val="fi-FI"/>
        </w:rPr>
        <w:t xml:space="preserve"> </w:t>
      </w:r>
      <w:r w:rsidRPr="00822C8C">
        <w:rPr>
          <w:sz w:val="24"/>
          <w:lang w:val="fi-FI"/>
        </w:rPr>
        <w:tab/>
        <w:t xml:space="preserve">EUT L, 2024/2509, 26.9.2024, ELI: </w:t>
      </w:r>
      <w:hyperlink r:id="rId160" w:history="1">
        <w:r w:rsidRPr="00822C8C">
          <w:rPr>
            <w:rStyle w:val="Hyperlink1"/>
            <w:sz w:val="24"/>
            <w:lang w:val="fi-FI"/>
          </w:rPr>
          <w:t>http://data.europa.eu/eli/reg/2024/2509/oj</w:t>
        </w:r>
      </w:hyperlink>
      <w:r w:rsidRPr="00822C8C">
        <w:rPr>
          <w:rStyle w:val="Hyperlink1"/>
          <w:sz w:val="24"/>
          <w:lang w:val="fi-FI"/>
        </w:rPr>
        <w:t>.</w:t>
      </w:r>
    </w:p>
  </w:footnote>
  <w:footnote w:id="161">
    <w:p w14:paraId="69EAD27E" w14:textId="77777777" w:rsidR="005375B7" w:rsidRPr="00302823" w:rsidRDefault="005375B7" w:rsidP="005375B7">
      <w:pPr>
        <w:pStyle w:val="FootnoteText"/>
        <w:ind w:left="567" w:hanging="567"/>
        <w:rPr>
          <w:sz w:val="24"/>
          <w:lang w:val="fi-FI"/>
        </w:rPr>
      </w:pPr>
      <w:r w:rsidRPr="00302823">
        <w:rPr>
          <w:rStyle w:val="FootnoteReference"/>
          <w:sz w:val="24"/>
        </w:rPr>
        <w:footnoteRef/>
      </w:r>
      <w:r w:rsidRPr="00302823">
        <w:rPr>
          <w:sz w:val="24"/>
          <w:lang w:val="fi-FI"/>
        </w:rPr>
        <w:t xml:space="preserve"> </w:t>
      </w:r>
      <w:r w:rsidRPr="00822C8C">
        <w:rPr>
          <w:sz w:val="24"/>
          <w:lang w:val="fi-FI"/>
        </w:rPr>
        <w:tab/>
        <w:t xml:space="preserve">EUT L 331, 15.12.2010, s. 48, ELI: </w:t>
      </w:r>
      <w:hyperlink r:id="rId161" w:history="1">
        <w:r w:rsidRPr="00822C8C">
          <w:rPr>
            <w:rStyle w:val="Hyperlink1"/>
            <w:sz w:val="24"/>
            <w:lang w:val="fi-FI"/>
          </w:rPr>
          <w:t>http://data.europa.eu/eli/reg/2010/1094/oj</w:t>
        </w:r>
      </w:hyperlink>
      <w:r w:rsidRPr="00822C8C">
        <w:rPr>
          <w:sz w:val="24"/>
          <w:lang w:val="fi-FI"/>
        </w:rPr>
        <w:t>.</w:t>
      </w:r>
    </w:p>
  </w:footnote>
  <w:footnote w:id="162">
    <w:p w14:paraId="709A12B9" w14:textId="77777777" w:rsidR="005375B7" w:rsidRPr="00302823" w:rsidRDefault="005375B7" w:rsidP="005375B7">
      <w:pPr>
        <w:pStyle w:val="FootnoteText"/>
        <w:ind w:left="567" w:hanging="567"/>
        <w:rPr>
          <w:sz w:val="24"/>
          <w:lang w:val="fi-FI"/>
        </w:rPr>
      </w:pPr>
      <w:r w:rsidRPr="00302823">
        <w:rPr>
          <w:rStyle w:val="FootnoteReference"/>
          <w:sz w:val="24"/>
        </w:rPr>
        <w:footnoteRef/>
      </w:r>
      <w:r w:rsidRPr="00302823">
        <w:rPr>
          <w:sz w:val="24"/>
          <w:lang w:val="fi-FI"/>
        </w:rPr>
        <w:t xml:space="preserve"> </w:t>
      </w:r>
      <w:r w:rsidRPr="00822C8C">
        <w:rPr>
          <w:sz w:val="24"/>
          <w:lang w:val="fi-FI"/>
        </w:rPr>
        <w:tab/>
        <w:t xml:space="preserve">EUT L 122, 10.5.2019, s. 1, ELI: </w:t>
      </w:r>
      <w:hyperlink r:id="rId162" w:history="1">
        <w:r w:rsidRPr="00822C8C">
          <w:rPr>
            <w:rStyle w:val="Hyperlink1"/>
            <w:sz w:val="24"/>
            <w:lang w:val="fi-FI"/>
          </w:rPr>
          <w:t>http://data.europa.eu/eli/reg_del/2019/715/oj</w:t>
        </w:r>
      </w:hyperlink>
      <w:r w:rsidRPr="00822C8C">
        <w:rPr>
          <w:sz w:val="24"/>
          <w:lang w:val="fi-FI"/>
        </w:rPr>
        <w:t>.</w:t>
      </w:r>
    </w:p>
  </w:footnote>
  <w:footnote w:id="163">
    <w:p w14:paraId="61CD3313" w14:textId="77777777" w:rsidR="005375B7" w:rsidRPr="00C950B5" w:rsidRDefault="005375B7" w:rsidP="005375B7">
      <w:pPr>
        <w:pStyle w:val="FootnoteText"/>
        <w:ind w:left="567" w:hanging="567"/>
        <w:rPr>
          <w:sz w:val="24"/>
          <w:lang w:val="fi-FI"/>
        </w:rPr>
      </w:pPr>
      <w:r w:rsidRPr="00C950B5">
        <w:rPr>
          <w:rStyle w:val="FootnoteReference"/>
          <w:sz w:val="24"/>
        </w:rPr>
        <w:footnoteRef/>
      </w:r>
      <w:r w:rsidRPr="00C950B5">
        <w:rPr>
          <w:sz w:val="24"/>
          <w:lang w:val="fi-FI"/>
        </w:rPr>
        <w:t xml:space="preserve"> </w:t>
      </w:r>
      <w:r w:rsidRPr="00822C8C">
        <w:rPr>
          <w:sz w:val="24"/>
          <w:lang w:val="fi-FI"/>
        </w:rPr>
        <w:tab/>
        <w:t xml:space="preserve">EUT C, C/2024/6332, 24.10.2024, ELI: </w:t>
      </w:r>
      <w:hyperlink r:id="rId163" w:history="1">
        <w:r w:rsidRPr="00822C8C">
          <w:rPr>
            <w:rStyle w:val="Hyperlink1"/>
            <w:sz w:val="24"/>
            <w:lang w:val="fi-FI"/>
          </w:rPr>
          <w:t>http://data.europa.eu/eli/C/2024/6332/oj</w:t>
        </w:r>
      </w:hyperlink>
      <w:r w:rsidRPr="00822C8C">
        <w:rPr>
          <w:sz w:val="24"/>
          <w:lang w:val="fi-FI"/>
        </w:rPr>
        <w:t>.</w:t>
      </w:r>
    </w:p>
  </w:footnote>
  <w:footnote w:id="164">
    <w:p w14:paraId="182D4116" w14:textId="77777777" w:rsidR="005375B7" w:rsidRPr="00C950B5" w:rsidRDefault="005375B7" w:rsidP="005375B7">
      <w:pPr>
        <w:pStyle w:val="FootnoteText"/>
        <w:ind w:left="567" w:hanging="567"/>
        <w:rPr>
          <w:sz w:val="24"/>
          <w:lang w:val="fi-FI"/>
        </w:rPr>
      </w:pPr>
      <w:r w:rsidRPr="00C950B5">
        <w:rPr>
          <w:rStyle w:val="FootnoteReference"/>
          <w:sz w:val="24"/>
        </w:rPr>
        <w:footnoteRef/>
      </w:r>
      <w:r w:rsidRPr="00C950B5">
        <w:rPr>
          <w:sz w:val="24"/>
          <w:lang w:val="fi-FI"/>
        </w:rPr>
        <w:t xml:space="preserve"> </w:t>
      </w:r>
      <w:r w:rsidRPr="00822C8C">
        <w:rPr>
          <w:sz w:val="24"/>
          <w:lang w:val="fi-FI"/>
        </w:rPr>
        <w:tab/>
        <w:t xml:space="preserve">EUT C, C/2024/6041, 10.10.2024, ELI: </w:t>
      </w:r>
      <w:hyperlink r:id="rId164" w:history="1">
        <w:r w:rsidRPr="00822C8C">
          <w:rPr>
            <w:rStyle w:val="Hyperlink1"/>
            <w:sz w:val="24"/>
            <w:lang w:val="fi-FI"/>
          </w:rPr>
          <w:t>http://data.europa.eu/eli/C/2024/6041/oj</w:t>
        </w:r>
      </w:hyperlink>
      <w:r w:rsidRPr="00822C8C">
        <w:rPr>
          <w:sz w:val="24"/>
          <w:lang w:val="fi-FI"/>
        </w:rPr>
        <w:t>.</w:t>
      </w:r>
    </w:p>
  </w:footnote>
  <w:footnote w:id="165">
    <w:p w14:paraId="1B26B306" w14:textId="77777777" w:rsidR="005375B7" w:rsidRPr="00C950B5" w:rsidRDefault="005375B7" w:rsidP="005375B7">
      <w:pPr>
        <w:pStyle w:val="FootnoteText"/>
        <w:ind w:left="567" w:hanging="567"/>
        <w:rPr>
          <w:sz w:val="24"/>
          <w:lang w:val="fi-FI"/>
        </w:rPr>
      </w:pPr>
      <w:r w:rsidRPr="00C950B5">
        <w:rPr>
          <w:rStyle w:val="FootnoteReference"/>
          <w:sz w:val="24"/>
        </w:rPr>
        <w:footnoteRef/>
      </w:r>
      <w:r w:rsidRPr="00C950B5">
        <w:rPr>
          <w:sz w:val="24"/>
          <w:lang w:val="fi-FI"/>
        </w:rPr>
        <w:t xml:space="preserve"> </w:t>
      </w:r>
      <w:r w:rsidRPr="00822C8C">
        <w:rPr>
          <w:sz w:val="24"/>
          <w:lang w:val="fi-FI"/>
        </w:rPr>
        <w:tab/>
        <w:t xml:space="preserve">EUT L 193, 30.7.2018, s. 1, ELI: </w:t>
      </w:r>
      <w:hyperlink r:id="rId165" w:history="1">
        <w:r w:rsidRPr="00822C8C">
          <w:rPr>
            <w:rStyle w:val="Hyperlink1"/>
            <w:sz w:val="24"/>
            <w:lang w:val="fi-FI"/>
          </w:rPr>
          <w:t>http://data.europa.eu/eli/reg/2018/1046/oj</w:t>
        </w:r>
      </w:hyperlink>
      <w:r w:rsidRPr="00822C8C">
        <w:rPr>
          <w:sz w:val="24"/>
          <w:lang w:val="fi-FI"/>
        </w:rPr>
        <w:t>.</w:t>
      </w:r>
    </w:p>
  </w:footnote>
  <w:footnote w:id="166">
    <w:p w14:paraId="36AEB257" w14:textId="77777777" w:rsidR="005375B7" w:rsidRPr="00C950B5" w:rsidRDefault="005375B7" w:rsidP="005375B7">
      <w:pPr>
        <w:pStyle w:val="FootnoteText"/>
        <w:ind w:left="567" w:hanging="567"/>
        <w:rPr>
          <w:sz w:val="24"/>
          <w:lang w:val="fi-FI"/>
        </w:rPr>
      </w:pPr>
      <w:r w:rsidRPr="00C950B5">
        <w:rPr>
          <w:rStyle w:val="FootnoteReference"/>
          <w:sz w:val="24"/>
        </w:rPr>
        <w:footnoteRef/>
      </w:r>
      <w:r w:rsidRPr="00C950B5">
        <w:rPr>
          <w:sz w:val="24"/>
          <w:lang w:val="fi-FI"/>
        </w:rPr>
        <w:t xml:space="preserve"> </w:t>
      </w:r>
      <w:r w:rsidRPr="00822C8C">
        <w:rPr>
          <w:sz w:val="24"/>
          <w:lang w:val="fi-FI"/>
        </w:rPr>
        <w:tab/>
        <w:t xml:space="preserve">EUT L, 2024/2509, 26.9.2024, ELI: </w:t>
      </w:r>
      <w:hyperlink r:id="rId166" w:history="1">
        <w:r w:rsidRPr="00822C8C">
          <w:rPr>
            <w:rStyle w:val="Hyperlink1"/>
            <w:sz w:val="24"/>
            <w:lang w:val="fi-FI"/>
          </w:rPr>
          <w:t>http://data.europa.eu/eli/reg/2024/2509/oj</w:t>
        </w:r>
      </w:hyperlink>
      <w:r w:rsidRPr="00822C8C">
        <w:rPr>
          <w:rStyle w:val="Hyperlink1"/>
          <w:sz w:val="24"/>
          <w:lang w:val="fi-FI"/>
        </w:rPr>
        <w:t>.</w:t>
      </w:r>
    </w:p>
  </w:footnote>
  <w:footnote w:id="167">
    <w:p w14:paraId="66FC802E" w14:textId="77777777" w:rsidR="005375B7" w:rsidRPr="00C950B5" w:rsidRDefault="005375B7" w:rsidP="005375B7">
      <w:pPr>
        <w:pStyle w:val="FootnoteText"/>
        <w:ind w:left="567" w:hanging="567"/>
        <w:rPr>
          <w:sz w:val="24"/>
          <w:lang w:val="fi-FI"/>
        </w:rPr>
      </w:pPr>
      <w:r w:rsidRPr="00C950B5">
        <w:rPr>
          <w:rStyle w:val="FootnoteReference"/>
          <w:sz w:val="24"/>
        </w:rPr>
        <w:footnoteRef/>
      </w:r>
      <w:r w:rsidRPr="00C950B5">
        <w:rPr>
          <w:sz w:val="24"/>
          <w:lang w:val="fi-FI"/>
        </w:rPr>
        <w:t xml:space="preserve"> </w:t>
      </w:r>
      <w:r w:rsidRPr="00822C8C">
        <w:rPr>
          <w:sz w:val="24"/>
          <w:lang w:val="fi-FI"/>
        </w:rPr>
        <w:tab/>
        <w:t xml:space="preserve">EUT L 331, 15.12.2010, s. 48, ELI: </w:t>
      </w:r>
      <w:hyperlink r:id="rId167" w:history="1">
        <w:r w:rsidRPr="00822C8C">
          <w:rPr>
            <w:rStyle w:val="Hyperlink1"/>
            <w:sz w:val="24"/>
            <w:lang w:val="fi-FI"/>
          </w:rPr>
          <w:t>http://data.europa.eu/eli/reg/2010/1094/oj</w:t>
        </w:r>
      </w:hyperlink>
      <w:r w:rsidRPr="00822C8C">
        <w:rPr>
          <w:sz w:val="24"/>
          <w:lang w:val="fi-FI"/>
        </w:rPr>
        <w:t>.</w:t>
      </w:r>
    </w:p>
  </w:footnote>
  <w:footnote w:id="168">
    <w:p w14:paraId="7FCE56F9" w14:textId="77777777" w:rsidR="005375B7" w:rsidRPr="00C950B5" w:rsidRDefault="005375B7" w:rsidP="005375B7">
      <w:pPr>
        <w:pStyle w:val="FootnoteText"/>
        <w:ind w:left="567" w:hanging="567"/>
        <w:rPr>
          <w:sz w:val="24"/>
          <w:lang w:val="fi-FI"/>
        </w:rPr>
      </w:pPr>
      <w:r w:rsidRPr="00C950B5">
        <w:rPr>
          <w:rStyle w:val="FootnoteReference"/>
          <w:sz w:val="24"/>
        </w:rPr>
        <w:footnoteRef/>
      </w:r>
      <w:r w:rsidRPr="00C950B5">
        <w:rPr>
          <w:sz w:val="24"/>
          <w:lang w:val="fi-FI"/>
        </w:rPr>
        <w:t xml:space="preserve"> </w:t>
      </w:r>
      <w:r w:rsidRPr="00822C8C">
        <w:rPr>
          <w:sz w:val="24"/>
          <w:lang w:val="fi-FI"/>
        </w:rPr>
        <w:tab/>
        <w:t xml:space="preserve">EUT L 122, 10.5.2019, s. 1, ELI: </w:t>
      </w:r>
      <w:hyperlink r:id="rId168" w:history="1">
        <w:r w:rsidRPr="00822C8C">
          <w:rPr>
            <w:rStyle w:val="Hyperlink1"/>
            <w:sz w:val="24"/>
            <w:lang w:val="fi-FI"/>
          </w:rPr>
          <w:t>http://data.europa.eu/eli/reg_del/2019/715/oj</w:t>
        </w:r>
      </w:hyperlink>
      <w:r w:rsidRPr="00822C8C">
        <w:rPr>
          <w:sz w:val="24"/>
          <w:lang w:val="fi-FI"/>
        </w:rPr>
        <w:t>.</w:t>
      </w:r>
    </w:p>
  </w:footnote>
  <w:footnote w:id="169">
    <w:p w14:paraId="29EB8EBC" w14:textId="77777777" w:rsidR="005375B7" w:rsidRPr="00DF35A2" w:rsidRDefault="005375B7" w:rsidP="005375B7">
      <w:pPr>
        <w:pStyle w:val="FootnoteText"/>
        <w:ind w:left="567" w:hanging="567"/>
        <w:rPr>
          <w:sz w:val="24"/>
          <w:lang w:val="fi-FI"/>
        </w:rPr>
      </w:pPr>
      <w:r w:rsidRPr="00DF35A2">
        <w:rPr>
          <w:rStyle w:val="FootnoteReference"/>
          <w:sz w:val="24"/>
        </w:rPr>
        <w:footnoteRef/>
      </w:r>
      <w:r w:rsidRPr="00DF35A2">
        <w:rPr>
          <w:sz w:val="24"/>
          <w:lang w:val="fi-FI"/>
        </w:rPr>
        <w:t xml:space="preserve"> </w:t>
      </w:r>
      <w:r w:rsidRPr="00822C8C">
        <w:rPr>
          <w:sz w:val="24"/>
          <w:lang w:val="fi-FI"/>
        </w:rPr>
        <w:tab/>
        <w:t xml:space="preserve">EUT C, C/2024/6332, 24.10.2024, ELI: </w:t>
      </w:r>
      <w:hyperlink r:id="rId169" w:history="1">
        <w:r w:rsidRPr="00822C8C">
          <w:rPr>
            <w:rStyle w:val="Hyperlink1"/>
            <w:sz w:val="24"/>
            <w:lang w:val="fi-FI"/>
          </w:rPr>
          <w:t>http://data.europa.eu/eli/C/2024/6332/oj</w:t>
        </w:r>
      </w:hyperlink>
      <w:r w:rsidRPr="00822C8C">
        <w:rPr>
          <w:sz w:val="24"/>
          <w:lang w:val="fi-FI"/>
        </w:rPr>
        <w:t>.</w:t>
      </w:r>
    </w:p>
  </w:footnote>
  <w:footnote w:id="170">
    <w:p w14:paraId="4CCF9AF0" w14:textId="77777777" w:rsidR="005375B7" w:rsidRPr="00DF35A2" w:rsidRDefault="005375B7" w:rsidP="005375B7">
      <w:pPr>
        <w:pStyle w:val="FootnoteText"/>
        <w:ind w:left="567" w:hanging="567"/>
        <w:rPr>
          <w:sz w:val="24"/>
          <w:lang w:val="fi-FI"/>
        </w:rPr>
      </w:pPr>
      <w:r w:rsidRPr="00DF35A2">
        <w:rPr>
          <w:rStyle w:val="FootnoteReference"/>
          <w:sz w:val="24"/>
        </w:rPr>
        <w:footnoteRef/>
      </w:r>
      <w:r w:rsidRPr="00DF35A2">
        <w:rPr>
          <w:sz w:val="24"/>
          <w:lang w:val="fi-FI"/>
        </w:rPr>
        <w:t xml:space="preserve"> </w:t>
      </w:r>
      <w:r w:rsidRPr="00822C8C">
        <w:rPr>
          <w:sz w:val="24"/>
          <w:lang w:val="fi-FI"/>
        </w:rPr>
        <w:tab/>
        <w:t xml:space="preserve">EUT C, C/2024/6041, 10.10.2024, ELI: </w:t>
      </w:r>
      <w:hyperlink r:id="rId170" w:history="1">
        <w:r w:rsidRPr="00822C8C">
          <w:rPr>
            <w:rStyle w:val="Hyperlink1"/>
            <w:sz w:val="24"/>
            <w:lang w:val="fi-FI"/>
          </w:rPr>
          <w:t>http://data.europa.eu/eli/C/2024/6041/oj</w:t>
        </w:r>
      </w:hyperlink>
      <w:r w:rsidRPr="00822C8C">
        <w:rPr>
          <w:sz w:val="24"/>
          <w:lang w:val="fi-FI"/>
        </w:rPr>
        <w:t>.</w:t>
      </w:r>
    </w:p>
  </w:footnote>
  <w:footnote w:id="171">
    <w:p w14:paraId="5377BE74" w14:textId="77777777" w:rsidR="005375B7" w:rsidRPr="00DF35A2" w:rsidRDefault="005375B7" w:rsidP="005375B7">
      <w:pPr>
        <w:pStyle w:val="FootnoteText"/>
        <w:ind w:left="567" w:hanging="567"/>
        <w:rPr>
          <w:sz w:val="24"/>
          <w:lang w:val="fi-FI"/>
        </w:rPr>
      </w:pPr>
      <w:r w:rsidRPr="00DF35A2">
        <w:rPr>
          <w:rStyle w:val="FootnoteReference"/>
          <w:sz w:val="24"/>
        </w:rPr>
        <w:footnoteRef/>
      </w:r>
      <w:r w:rsidRPr="00DF35A2">
        <w:rPr>
          <w:sz w:val="24"/>
          <w:lang w:val="fi-FI"/>
        </w:rPr>
        <w:t xml:space="preserve"> </w:t>
      </w:r>
      <w:r w:rsidRPr="00822C8C">
        <w:rPr>
          <w:sz w:val="24"/>
          <w:lang w:val="fi-FI"/>
        </w:rPr>
        <w:tab/>
        <w:t xml:space="preserve">EUT L 193, 30.7.2018, s. 1, ELI: </w:t>
      </w:r>
      <w:hyperlink r:id="rId171" w:history="1">
        <w:r w:rsidRPr="00822C8C">
          <w:rPr>
            <w:rStyle w:val="Hyperlink1"/>
            <w:sz w:val="24"/>
            <w:lang w:val="fi-FI"/>
          </w:rPr>
          <w:t>http://data.europa.eu/eli/reg/2018/1046/oj</w:t>
        </w:r>
      </w:hyperlink>
      <w:r w:rsidRPr="00822C8C">
        <w:rPr>
          <w:sz w:val="24"/>
          <w:lang w:val="fi-FI"/>
        </w:rPr>
        <w:t>.</w:t>
      </w:r>
    </w:p>
  </w:footnote>
  <w:footnote w:id="172">
    <w:p w14:paraId="33D25D1B" w14:textId="77777777" w:rsidR="005375B7" w:rsidRPr="00DF35A2" w:rsidRDefault="005375B7" w:rsidP="005375B7">
      <w:pPr>
        <w:pStyle w:val="FootnoteText"/>
        <w:ind w:left="567" w:hanging="567"/>
        <w:rPr>
          <w:sz w:val="24"/>
          <w:lang w:val="fi-FI"/>
        </w:rPr>
      </w:pPr>
      <w:r w:rsidRPr="00DF35A2">
        <w:rPr>
          <w:rStyle w:val="FootnoteReference"/>
          <w:sz w:val="24"/>
        </w:rPr>
        <w:footnoteRef/>
      </w:r>
      <w:r w:rsidRPr="00DF35A2">
        <w:rPr>
          <w:sz w:val="24"/>
          <w:lang w:val="fi-FI"/>
        </w:rPr>
        <w:t xml:space="preserve"> </w:t>
      </w:r>
      <w:r w:rsidRPr="00822C8C">
        <w:rPr>
          <w:sz w:val="24"/>
          <w:lang w:val="fi-FI"/>
        </w:rPr>
        <w:tab/>
        <w:t xml:space="preserve">EUT L, 2024/2509, 26.9.2024, ELI: </w:t>
      </w:r>
      <w:hyperlink r:id="rId172" w:history="1">
        <w:r w:rsidRPr="00822C8C">
          <w:rPr>
            <w:rStyle w:val="Hyperlink1"/>
            <w:sz w:val="24"/>
            <w:lang w:val="fi-FI"/>
          </w:rPr>
          <w:t>http://data.europa.eu/eli/reg/2024/2509/oj</w:t>
        </w:r>
      </w:hyperlink>
      <w:r w:rsidRPr="00822C8C">
        <w:rPr>
          <w:rStyle w:val="Hyperlink1"/>
          <w:sz w:val="24"/>
          <w:lang w:val="fi-FI"/>
        </w:rPr>
        <w:t>.</w:t>
      </w:r>
    </w:p>
  </w:footnote>
  <w:footnote w:id="173">
    <w:p w14:paraId="284A9D0B" w14:textId="77777777" w:rsidR="005375B7" w:rsidRPr="00DF35A2" w:rsidRDefault="005375B7" w:rsidP="005375B7">
      <w:pPr>
        <w:pStyle w:val="FootnoteText"/>
        <w:ind w:left="567" w:hanging="567"/>
        <w:rPr>
          <w:sz w:val="24"/>
          <w:lang w:val="fi-FI"/>
        </w:rPr>
      </w:pPr>
      <w:r w:rsidRPr="00DF35A2">
        <w:rPr>
          <w:rStyle w:val="FootnoteReference"/>
          <w:sz w:val="24"/>
        </w:rPr>
        <w:footnoteRef/>
      </w:r>
      <w:r w:rsidRPr="00DF35A2">
        <w:rPr>
          <w:sz w:val="24"/>
          <w:lang w:val="fi-FI"/>
        </w:rPr>
        <w:t xml:space="preserve"> </w:t>
      </w:r>
      <w:r w:rsidRPr="00822C8C">
        <w:rPr>
          <w:sz w:val="24"/>
          <w:lang w:val="fi-FI"/>
        </w:rPr>
        <w:tab/>
        <w:t xml:space="preserve">EUT L 189, 28.5.2021, s. 61, ELI: </w:t>
      </w:r>
      <w:hyperlink r:id="rId173" w:history="1">
        <w:r w:rsidRPr="00822C8C">
          <w:rPr>
            <w:rStyle w:val="Hyperlink1"/>
            <w:sz w:val="24"/>
            <w:lang w:val="fi-FI"/>
          </w:rPr>
          <w:t>http://data.europa.eu/eli/reg/2021/819/oj</w:t>
        </w:r>
      </w:hyperlink>
      <w:r w:rsidRPr="00822C8C">
        <w:rPr>
          <w:sz w:val="24"/>
          <w:lang w:val="fi-FI"/>
        </w:rPr>
        <w:t>.</w:t>
      </w:r>
    </w:p>
  </w:footnote>
  <w:footnote w:id="174">
    <w:p w14:paraId="5177665E" w14:textId="77777777" w:rsidR="005375B7" w:rsidRPr="00DF35A2" w:rsidRDefault="005375B7" w:rsidP="005375B7">
      <w:pPr>
        <w:pStyle w:val="FootnoteText"/>
        <w:ind w:left="567" w:hanging="567"/>
        <w:rPr>
          <w:sz w:val="24"/>
          <w:lang w:val="fi-FI"/>
        </w:rPr>
      </w:pPr>
      <w:r w:rsidRPr="00DF35A2">
        <w:rPr>
          <w:rStyle w:val="FootnoteReference"/>
          <w:sz w:val="24"/>
        </w:rPr>
        <w:footnoteRef/>
      </w:r>
      <w:r w:rsidRPr="00DF35A2">
        <w:rPr>
          <w:sz w:val="24"/>
          <w:lang w:val="fi-FI"/>
        </w:rPr>
        <w:t xml:space="preserve"> </w:t>
      </w:r>
      <w:r w:rsidRPr="00822C8C">
        <w:rPr>
          <w:sz w:val="24"/>
          <w:lang w:val="fi-FI"/>
        </w:rPr>
        <w:tab/>
        <w:t xml:space="preserve">EUT L 122, 10.5.2019, s. 1, ELI: </w:t>
      </w:r>
      <w:hyperlink r:id="rId174" w:history="1">
        <w:r w:rsidRPr="00822C8C">
          <w:rPr>
            <w:rStyle w:val="Hyperlink1"/>
            <w:sz w:val="24"/>
            <w:lang w:val="fi-FI"/>
          </w:rPr>
          <w:t>http://data.europa.eu/eli/reg_del/2019/715/oj</w:t>
        </w:r>
      </w:hyperlink>
      <w:r w:rsidRPr="00822C8C">
        <w:rPr>
          <w:sz w:val="24"/>
          <w:lang w:val="fi-FI"/>
        </w:rPr>
        <w:t>.</w:t>
      </w:r>
    </w:p>
  </w:footnote>
  <w:footnote w:id="175">
    <w:p w14:paraId="6C9F06E7" w14:textId="77777777" w:rsidR="005375B7" w:rsidRPr="00692168" w:rsidRDefault="005375B7" w:rsidP="005375B7">
      <w:pPr>
        <w:pStyle w:val="FootnoteText"/>
        <w:ind w:left="567" w:hanging="567"/>
        <w:rPr>
          <w:sz w:val="24"/>
          <w:lang w:val="fi-FI"/>
        </w:rPr>
      </w:pPr>
      <w:r w:rsidRPr="00692168">
        <w:rPr>
          <w:rStyle w:val="FootnoteReference"/>
          <w:sz w:val="24"/>
        </w:rPr>
        <w:footnoteRef/>
      </w:r>
      <w:r w:rsidRPr="00692168">
        <w:rPr>
          <w:sz w:val="24"/>
          <w:lang w:val="fi-FI"/>
        </w:rPr>
        <w:t xml:space="preserve"> </w:t>
      </w:r>
      <w:r w:rsidRPr="00822C8C">
        <w:rPr>
          <w:sz w:val="24"/>
          <w:lang w:val="fi-FI"/>
        </w:rPr>
        <w:tab/>
        <w:t xml:space="preserve">EUT C, C/2024/6332, 24.10.2024, ELI: </w:t>
      </w:r>
      <w:hyperlink r:id="rId175" w:history="1">
        <w:r w:rsidRPr="00822C8C">
          <w:rPr>
            <w:rStyle w:val="Hyperlink1"/>
            <w:sz w:val="24"/>
            <w:lang w:val="fi-FI"/>
          </w:rPr>
          <w:t>http://data.europa.eu/eli/C/2024/6332/oj</w:t>
        </w:r>
      </w:hyperlink>
      <w:r w:rsidRPr="00822C8C">
        <w:rPr>
          <w:sz w:val="24"/>
          <w:lang w:val="fi-FI"/>
        </w:rPr>
        <w:t>.</w:t>
      </w:r>
    </w:p>
  </w:footnote>
  <w:footnote w:id="176">
    <w:p w14:paraId="2BD8B532" w14:textId="77777777" w:rsidR="005375B7" w:rsidRPr="00692168" w:rsidRDefault="005375B7" w:rsidP="005375B7">
      <w:pPr>
        <w:pStyle w:val="FootnoteText"/>
        <w:ind w:left="567" w:hanging="567"/>
        <w:rPr>
          <w:sz w:val="24"/>
          <w:lang w:val="fi-FI"/>
        </w:rPr>
      </w:pPr>
      <w:r w:rsidRPr="00692168">
        <w:rPr>
          <w:rStyle w:val="FootnoteReference"/>
          <w:sz w:val="24"/>
        </w:rPr>
        <w:footnoteRef/>
      </w:r>
      <w:r w:rsidRPr="00692168">
        <w:rPr>
          <w:sz w:val="24"/>
          <w:lang w:val="fi-FI"/>
        </w:rPr>
        <w:t xml:space="preserve"> </w:t>
      </w:r>
      <w:r w:rsidRPr="00822C8C">
        <w:rPr>
          <w:sz w:val="24"/>
          <w:lang w:val="fi-FI"/>
        </w:rPr>
        <w:tab/>
        <w:t xml:space="preserve">EUT C, C/2024/6041, 10.10.2024, ELI: </w:t>
      </w:r>
      <w:hyperlink r:id="rId176" w:history="1">
        <w:r w:rsidRPr="00822C8C">
          <w:rPr>
            <w:rStyle w:val="Hyperlink1"/>
            <w:sz w:val="24"/>
            <w:lang w:val="fi-FI"/>
          </w:rPr>
          <w:t>http://data.europa.eu/eli/C/2024/6041/oj</w:t>
        </w:r>
      </w:hyperlink>
      <w:r w:rsidRPr="00822C8C">
        <w:rPr>
          <w:sz w:val="24"/>
          <w:lang w:val="fi-FI"/>
        </w:rPr>
        <w:t>.</w:t>
      </w:r>
    </w:p>
  </w:footnote>
  <w:footnote w:id="177">
    <w:p w14:paraId="33ABFA95" w14:textId="77777777" w:rsidR="005375B7" w:rsidRPr="00692168" w:rsidRDefault="005375B7" w:rsidP="005375B7">
      <w:pPr>
        <w:pStyle w:val="FootnoteText"/>
        <w:ind w:left="567" w:hanging="567"/>
        <w:rPr>
          <w:sz w:val="24"/>
          <w:lang w:val="fi-FI"/>
        </w:rPr>
      </w:pPr>
      <w:r w:rsidRPr="00692168">
        <w:rPr>
          <w:rStyle w:val="FootnoteReference"/>
          <w:sz w:val="24"/>
        </w:rPr>
        <w:footnoteRef/>
      </w:r>
      <w:r w:rsidRPr="00692168">
        <w:rPr>
          <w:sz w:val="24"/>
          <w:lang w:val="fi-FI"/>
        </w:rPr>
        <w:t xml:space="preserve"> </w:t>
      </w:r>
      <w:r w:rsidRPr="00822C8C">
        <w:rPr>
          <w:sz w:val="24"/>
          <w:lang w:val="fi-FI"/>
        </w:rPr>
        <w:tab/>
        <w:t xml:space="preserve">EUT L 193, 30.7.2018, s. 1, ELI: </w:t>
      </w:r>
      <w:hyperlink r:id="rId177" w:history="1">
        <w:r w:rsidRPr="00822C8C">
          <w:rPr>
            <w:rStyle w:val="Hyperlink1"/>
            <w:sz w:val="24"/>
            <w:lang w:val="fi-FI"/>
          </w:rPr>
          <w:t>http://data.europa.eu/eli/reg/2018/1046/oj</w:t>
        </w:r>
      </w:hyperlink>
      <w:r w:rsidRPr="00822C8C">
        <w:rPr>
          <w:sz w:val="24"/>
          <w:lang w:val="fi-FI"/>
        </w:rPr>
        <w:t>.</w:t>
      </w:r>
    </w:p>
  </w:footnote>
  <w:footnote w:id="178">
    <w:p w14:paraId="67B9018A" w14:textId="77777777" w:rsidR="005375B7" w:rsidRPr="00692168" w:rsidRDefault="005375B7" w:rsidP="005375B7">
      <w:pPr>
        <w:pStyle w:val="FootnoteText"/>
        <w:ind w:left="567" w:hanging="567"/>
        <w:rPr>
          <w:sz w:val="24"/>
          <w:lang w:val="fi-FI"/>
        </w:rPr>
      </w:pPr>
      <w:r w:rsidRPr="00692168">
        <w:rPr>
          <w:rStyle w:val="FootnoteReference"/>
          <w:sz w:val="24"/>
        </w:rPr>
        <w:footnoteRef/>
      </w:r>
      <w:r w:rsidRPr="00692168">
        <w:rPr>
          <w:sz w:val="24"/>
          <w:lang w:val="fi-FI"/>
        </w:rPr>
        <w:t xml:space="preserve"> </w:t>
      </w:r>
      <w:r w:rsidRPr="00822C8C">
        <w:rPr>
          <w:sz w:val="24"/>
          <w:lang w:val="fi-FI"/>
        </w:rPr>
        <w:tab/>
        <w:t xml:space="preserve">EUT L, 2024/2509, 26.9.2024, ELI: </w:t>
      </w:r>
      <w:hyperlink r:id="rId178" w:history="1">
        <w:r w:rsidRPr="00822C8C">
          <w:rPr>
            <w:rStyle w:val="Hyperlink1"/>
            <w:sz w:val="24"/>
            <w:lang w:val="fi-FI"/>
          </w:rPr>
          <w:t>http://data.europa.eu/eli/reg/2024/2509/oj</w:t>
        </w:r>
      </w:hyperlink>
      <w:r w:rsidRPr="00822C8C">
        <w:rPr>
          <w:rStyle w:val="Hyperlink1"/>
          <w:sz w:val="24"/>
          <w:lang w:val="fi-FI"/>
        </w:rPr>
        <w:t>.</w:t>
      </w:r>
    </w:p>
  </w:footnote>
  <w:footnote w:id="179">
    <w:p w14:paraId="3F7CFC0D" w14:textId="77777777" w:rsidR="005375B7" w:rsidRPr="00692168" w:rsidRDefault="005375B7" w:rsidP="005375B7">
      <w:pPr>
        <w:pStyle w:val="FootnoteText"/>
        <w:ind w:left="567" w:hanging="567"/>
        <w:rPr>
          <w:sz w:val="24"/>
          <w:lang w:val="fi-FI"/>
        </w:rPr>
      </w:pPr>
      <w:r w:rsidRPr="00692168">
        <w:rPr>
          <w:rStyle w:val="FootnoteReference"/>
          <w:sz w:val="24"/>
        </w:rPr>
        <w:footnoteRef/>
      </w:r>
      <w:r w:rsidRPr="00692168">
        <w:rPr>
          <w:sz w:val="24"/>
          <w:lang w:val="fi-FI"/>
        </w:rPr>
        <w:t xml:space="preserve"> </w:t>
      </w:r>
      <w:r w:rsidRPr="00822C8C">
        <w:rPr>
          <w:sz w:val="24"/>
          <w:lang w:val="fi-FI"/>
        </w:rPr>
        <w:tab/>
        <w:t xml:space="preserve">EUT L 189, 28.5.2021, s. 61, ELI: </w:t>
      </w:r>
      <w:hyperlink r:id="rId179" w:history="1">
        <w:r w:rsidRPr="00822C8C">
          <w:rPr>
            <w:rStyle w:val="Hyperlink1"/>
            <w:sz w:val="24"/>
            <w:lang w:val="fi-FI"/>
          </w:rPr>
          <w:t>http://data.europa.eu/eli/reg/2021/819/oj</w:t>
        </w:r>
      </w:hyperlink>
      <w:r w:rsidRPr="00822C8C">
        <w:rPr>
          <w:sz w:val="24"/>
          <w:lang w:val="fi-FI"/>
        </w:rPr>
        <w:t>.</w:t>
      </w:r>
    </w:p>
  </w:footnote>
  <w:footnote w:id="180">
    <w:p w14:paraId="38DE4E4C" w14:textId="77777777" w:rsidR="005375B7" w:rsidRPr="00692168" w:rsidRDefault="005375B7" w:rsidP="005375B7">
      <w:pPr>
        <w:pStyle w:val="FootnoteText"/>
        <w:ind w:left="567" w:hanging="567"/>
        <w:rPr>
          <w:sz w:val="24"/>
          <w:lang w:val="fi-FI"/>
        </w:rPr>
      </w:pPr>
      <w:r w:rsidRPr="00692168">
        <w:rPr>
          <w:rStyle w:val="FootnoteReference"/>
          <w:sz w:val="24"/>
        </w:rPr>
        <w:footnoteRef/>
      </w:r>
      <w:r w:rsidRPr="00692168">
        <w:rPr>
          <w:sz w:val="24"/>
          <w:lang w:val="fi-FI"/>
        </w:rPr>
        <w:t xml:space="preserve"> </w:t>
      </w:r>
      <w:r w:rsidRPr="00822C8C">
        <w:rPr>
          <w:sz w:val="24"/>
          <w:lang w:val="fi-FI"/>
        </w:rPr>
        <w:tab/>
        <w:t xml:space="preserve">EUT L 122, 10.5.2019, s. 1, ELI: </w:t>
      </w:r>
      <w:hyperlink r:id="rId180" w:history="1">
        <w:r w:rsidRPr="00822C8C">
          <w:rPr>
            <w:rStyle w:val="Hyperlink1"/>
            <w:sz w:val="24"/>
            <w:lang w:val="fi-FI"/>
          </w:rPr>
          <w:t>http://data.europa.eu/eli/reg_del/2019/715/oj</w:t>
        </w:r>
      </w:hyperlink>
      <w:r w:rsidRPr="00822C8C">
        <w:rPr>
          <w:sz w:val="24"/>
          <w:lang w:val="fi-FI"/>
        </w:rPr>
        <w:t>.</w:t>
      </w:r>
    </w:p>
  </w:footnote>
  <w:footnote w:id="181">
    <w:p w14:paraId="436E8FB4" w14:textId="77777777" w:rsidR="005375B7" w:rsidRPr="00001D1C" w:rsidRDefault="005375B7" w:rsidP="005375B7">
      <w:pPr>
        <w:pStyle w:val="FootnoteText"/>
        <w:ind w:left="567" w:hanging="567"/>
        <w:rPr>
          <w:sz w:val="24"/>
          <w:lang w:val="fi-FI"/>
        </w:rPr>
      </w:pPr>
      <w:r w:rsidRPr="00001D1C">
        <w:rPr>
          <w:rStyle w:val="FootnoteReference"/>
          <w:sz w:val="24"/>
        </w:rPr>
        <w:footnoteRef/>
      </w:r>
      <w:r w:rsidRPr="00001D1C">
        <w:rPr>
          <w:sz w:val="24"/>
          <w:lang w:val="fi-FI"/>
        </w:rPr>
        <w:t xml:space="preserve"> </w:t>
      </w:r>
      <w:r w:rsidRPr="00822C8C">
        <w:rPr>
          <w:sz w:val="24"/>
          <w:lang w:val="fi-FI"/>
        </w:rPr>
        <w:tab/>
        <w:t xml:space="preserve">EUT C, C/2024/6332, 24.10.2024, ELI: </w:t>
      </w:r>
      <w:hyperlink r:id="rId181" w:history="1">
        <w:r w:rsidRPr="00822C8C">
          <w:rPr>
            <w:rStyle w:val="Hyperlink1"/>
            <w:sz w:val="24"/>
            <w:lang w:val="fi-FI"/>
          </w:rPr>
          <w:t>http://data.europa.eu/eli/C/2024/6332/oj</w:t>
        </w:r>
      </w:hyperlink>
      <w:r w:rsidRPr="00822C8C">
        <w:rPr>
          <w:sz w:val="24"/>
          <w:lang w:val="fi-FI"/>
        </w:rPr>
        <w:t>.</w:t>
      </w:r>
    </w:p>
  </w:footnote>
  <w:footnote w:id="182">
    <w:p w14:paraId="038BBAEB" w14:textId="77777777" w:rsidR="005375B7" w:rsidRPr="00001D1C" w:rsidRDefault="005375B7" w:rsidP="005375B7">
      <w:pPr>
        <w:pStyle w:val="FootnoteText"/>
        <w:ind w:left="567" w:hanging="567"/>
        <w:rPr>
          <w:sz w:val="24"/>
          <w:lang w:val="fi-FI"/>
        </w:rPr>
      </w:pPr>
      <w:r w:rsidRPr="00001D1C">
        <w:rPr>
          <w:rStyle w:val="FootnoteReference"/>
          <w:sz w:val="24"/>
        </w:rPr>
        <w:footnoteRef/>
      </w:r>
      <w:r w:rsidRPr="00001D1C">
        <w:rPr>
          <w:sz w:val="24"/>
          <w:lang w:val="fi-FI"/>
        </w:rPr>
        <w:t xml:space="preserve"> </w:t>
      </w:r>
      <w:r w:rsidRPr="00822C8C">
        <w:rPr>
          <w:sz w:val="24"/>
          <w:lang w:val="fi-FI"/>
        </w:rPr>
        <w:tab/>
        <w:t xml:space="preserve">EUT C, C/2024/6041, 10.10.2024, ELI: </w:t>
      </w:r>
      <w:hyperlink r:id="rId182" w:history="1">
        <w:r w:rsidRPr="00822C8C">
          <w:rPr>
            <w:rStyle w:val="Hyperlink1"/>
            <w:sz w:val="24"/>
            <w:lang w:val="fi-FI"/>
          </w:rPr>
          <w:t>http://data.europa.eu/eli/C/2024/6041/oj</w:t>
        </w:r>
      </w:hyperlink>
      <w:r w:rsidRPr="00822C8C">
        <w:rPr>
          <w:sz w:val="24"/>
          <w:lang w:val="fi-FI"/>
        </w:rPr>
        <w:t>.</w:t>
      </w:r>
    </w:p>
  </w:footnote>
  <w:footnote w:id="183">
    <w:p w14:paraId="228E8AA3" w14:textId="77777777" w:rsidR="005375B7" w:rsidRPr="00001D1C" w:rsidRDefault="005375B7" w:rsidP="005375B7">
      <w:pPr>
        <w:pStyle w:val="FootnoteText"/>
        <w:ind w:left="567" w:hanging="567"/>
        <w:rPr>
          <w:sz w:val="24"/>
          <w:lang w:val="fi-FI"/>
        </w:rPr>
      </w:pPr>
      <w:r w:rsidRPr="00001D1C">
        <w:rPr>
          <w:rStyle w:val="FootnoteReference"/>
          <w:sz w:val="24"/>
        </w:rPr>
        <w:footnoteRef/>
      </w:r>
      <w:r w:rsidRPr="00001D1C">
        <w:rPr>
          <w:sz w:val="24"/>
          <w:lang w:val="fi-FI"/>
        </w:rPr>
        <w:t xml:space="preserve"> </w:t>
      </w:r>
      <w:r w:rsidRPr="00822C8C">
        <w:rPr>
          <w:sz w:val="24"/>
          <w:lang w:val="fi-FI"/>
        </w:rPr>
        <w:tab/>
        <w:t xml:space="preserve">EUT L 193, 30.7.2018, s. 1, ELI: </w:t>
      </w:r>
      <w:hyperlink r:id="rId183" w:history="1">
        <w:r w:rsidRPr="00822C8C">
          <w:rPr>
            <w:rStyle w:val="Hyperlink1"/>
            <w:sz w:val="24"/>
            <w:lang w:val="fi-FI"/>
          </w:rPr>
          <w:t>http://data.europa.eu/eli/reg/2018/1046/oj</w:t>
        </w:r>
      </w:hyperlink>
      <w:r w:rsidRPr="00822C8C">
        <w:rPr>
          <w:sz w:val="24"/>
          <w:lang w:val="fi-FI"/>
        </w:rPr>
        <w:t>.</w:t>
      </w:r>
    </w:p>
  </w:footnote>
  <w:footnote w:id="184">
    <w:p w14:paraId="51694AB5" w14:textId="77777777" w:rsidR="005375B7" w:rsidRPr="00001D1C" w:rsidRDefault="005375B7" w:rsidP="005375B7">
      <w:pPr>
        <w:pStyle w:val="FootnoteText"/>
        <w:ind w:left="567" w:hanging="567"/>
        <w:rPr>
          <w:sz w:val="24"/>
          <w:lang w:val="fi-FI"/>
        </w:rPr>
      </w:pPr>
      <w:r w:rsidRPr="00001D1C">
        <w:rPr>
          <w:rStyle w:val="FootnoteReference"/>
          <w:sz w:val="24"/>
        </w:rPr>
        <w:footnoteRef/>
      </w:r>
      <w:r w:rsidRPr="00001D1C">
        <w:rPr>
          <w:sz w:val="24"/>
          <w:lang w:val="fi-FI"/>
        </w:rPr>
        <w:t xml:space="preserve"> </w:t>
      </w:r>
      <w:r w:rsidRPr="00822C8C">
        <w:rPr>
          <w:sz w:val="24"/>
          <w:lang w:val="fi-FI"/>
        </w:rPr>
        <w:tab/>
        <w:t xml:space="preserve">EUT L, 2024/2509, 26.9.2024, ELI: </w:t>
      </w:r>
      <w:hyperlink r:id="rId184" w:history="1">
        <w:r w:rsidRPr="00822C8C">
          <w:rPr>
            <w:rStyle w:val="Hyperlink1"/>
            <w:sz w:val="24"/>
            <w:lang w:val="fi-FI"/>
          </w:rPr>
          <w:t>http://data.europa.eu/eli/reg/2024/2509/oj</w:t>
        </w:r>
      </w:hyperlink>
      <w:r w:rsidRPr="00822C8C">
        <w:rPr>
          <w:rStyle w:val="Hyperlink1"/>
          <w:sz w:val="24"/>
          <w:lang w:val="fi-FI"/>
        </w:rPr>
        <w:t>.</w:t>
      </w:r>
    </w:p>
  </w:footnote>
  <w:footnote w:id="185">
    <w:p w14:paraId="4F63E422" w14:textId="77777777" w:rsidR="005375B7" w:rsidRPr="00001D1C" w:rsidRDefault="005375B7" w:rsidP="005375B7">
      <w:pPr>
        <w:pStyle w:val="FootnoteText"/>
        <w:ind w:left="567" w:hanging="567"/>
        <w:rPr>
          <w:sz w:val="24"/>
          <w:lang w:val="fi-FI"/>
        </w:rPr>
      </w:pPr>
      <w:r w:rsidRPr="00001D1C">
        <w:rPr>
          <w:rStyle w:val="FootnoteReference"/>
          <w:sz w:val="24"/>
        </w:rPr>
        <w:footnoteRef/>
      </w:r>
      <w:r w:rsidRPr="00001D1C">
        <w:rPr>
          <w:sz w:val="24"/>
          <w:lang w:val="fi-FI"/>
        </w:rPr>
        <w:t xml:space="preserve"> </w:t>
      </w:r>
      <w:r w:rsidRPr="00822C8C">
        <w:rPr>
          <w:sz w:val="24"/>
          <w:lang w:val="fi-FI"/>
        </w:rPr>
        <w:tab/>
        <w:t xml:space="preserve">EUT L 186, 11.7.2019, s. 21, ELI: </w:t>
      </w:r>
      <w:hyperlink r:id="rId185" w:history="1">
        <w:r w:rsidRPr="00822C8C">
          <w:rPr>
            <w:rStyle w:val="Hyperlink1"/>
            <w:sz w:val="24"/>
            <w:lang w:val="fi-FI"/>
          </w:rPr>
          <w:t>http://data.europa.eu/eli/reg/2019/1149/oj</w:t>
        </w:r>
      </w:hyperlink>
      <w:r w:rsidRPr="00822C8C">
        <w:rPr>
          <w:sz w:val="24"/>
          <w:lang w:val="fi-FI"/>
        </w:rPr>
        <w:t>.</w:t>
      </w:r>
    </w:p>
  </w:footnote>
  <w:footnote w:id="186">
    <w:p w14:paraId="4633D926" w14:textId="77777777" w:rsidR="005375B7" w:rsidRPr="00001D1C" w:rsidRDefault="005375B7" w:rsidP="005375B7">
      <w:pPr>
        <w:pStyle w:val="FootnoteText"/>
        <w:ind w:left="567" w:hanging="567"/>
        <w:rPr>
          <w:sz w:val="24"/>
          <w:lang w:val="fi-FI"/>
        </w:rPr>
      </w:pPr>
      <w:r w:rsidRPr="00001D1C">
        <w:rPr>
          <w:rStyle w:val="FootnoteReference"/>
          <w:sz w:val="24"/>
        </w:rPr>
        <w:footnoteRef/>
      </w:r>
      <w:r w:rsidRPr="00001D1C">
        <w:rPr>
          <w:sz w:val="24"/>
          <w:lang w:val="fi-FI"/>
        </w:rPr>
        <w:t xml:space="preserve"> </w:t>
      </w:r>
      <w:r w:rsidRPr="00822C8C">
        <w:rPr>
          <w:sz w:val="24"/>
          <w:lang w:val="fi-FI"/>
        </w:rPr>
        <w:tab/>
        <w:t xml:space="preserve">EUT L 122, 10.5.2019, s. 1, ELI: </w:t>
      </w:r>
      <w:hyperlink r:id="rId186" w:history="1">
        <w:r w:rsidRPr="00822C8C">
          <w:rPr>
            <w:rStyle w:val="Hyperlink1"/>
            <w:sz w:val="24"/>
            <w:lang w:val="fi-FI"/>
          </w:rPr>
          <w:t>http://data.europa.eu/eli/reg_del/2019/715/oj</w:t>
        </w:r>
      </w:hyperlink>
      <w:r w:rsidRPr="00822C8C">
        <w:rPr>
          <w:sz w:val="24"/>
          <w:lang w:val="fi-FI"/>
        </w:rPr>
        <w:t>.</w:t>
      </w:r>
    </w:p>
  </w:footnote>
  <w:footnote w:id="187">
    <w:p w14:paraId="4E1E56C1" w14:textId="77777777" w:rsidR="005375B7" w:rsidRPr="00A61DC7" w:rsidRDefault="005375B7" w:rsidP="005375B7">
      <w:pPr>
        <w:pStyle w:val="FootnoteText"/>
        <w:ind w:left="567" w:hanging="567"/>
        <w:rPr>
          <w:sz w:val="24"/>
          <w:lang w:val="fi-FI"/>
        </w:rPr>
      </w:pPr>
      <w:r w:rsidRPr="00A61DC7">
        <w:rPr>
          <w:rStyle w:val="FootnoteReference"/>
          <w:sz w:val="24"/>
        </w:rPr>
        <w:footnoteRef/>
      </w:r>
      <w:r w:rsidRPr="00A61DC7">
        <w:rPr>
          <w:sz w:val="24"/>
          <w:lang w:val="fi-FI"/>
        </w:rPr>
        <w:t xml:space="preserve"> </w:t>
      </w:r>
      <w:r w:rsidRPr="00822C8C">
        <w:rPr>
          <w:sz w:val="24"/>
          <w:lang w:val="fi-FI"/>
        </w:rPr>
        <w:tab/>
        <w:t xml:space="preserve">EUT C, C/2024/6332, 24.10.2024, ELI: </w:t>
      </w:r>
      <w:hyperlink r:id="rId187" w:history="1">
        <w:r w:rsidRPr="00822C8C">
          <w:rPr>
            <w:rStyle w:val="Hyperlink1"/>
            <w:sz w:val="24"/>
            <w:lang w:val="fi-FI"/>
          </w:rPr>
          <w:t>http://data.europa.eu/eli/C/2024/6332/oj</w:t>
        </w:r>
      </w:hyperlink>
      <w:r w:rsidRPr="00822C8C">
        <w:rPr>
          <w:sz w:val="24"/>
          <w:lang w:val="fi-FI"/>
        </w:rPr>
        <w:t>.</w:t>
      </w:r>
    </w:p>
  </w:footnote>
  <w:footnote w:id="188">
    <w:p w14:paraId="7CF2FCAE" w14:textId="77777777" w:rsidR="005375B7" w:rsidRPr="00A61DC7" w:rsidRDefault="005375B7" w:rsidP="005375B7">
      <w:pPr>
        <w:pStyle w:val="FootnoteText"/>
        <w:ind w:left="567" w:hanging="567"/>
        <w:rPr>
          <w:sz w:val="24"/>
          <w:lang w:val="fi-FI"/>
        </w:rPr>
      </w:pPr>
      <w:r w:rsidRPr="00A61DC7">
        <w:rPr>
          <w:rStyle w:val="FootnoteReference"/>
          <w:sz w:val="24"/>
        </w:rPr>
        <w:footnoteRef/>
      </w:r>
      <w:r w:rsidRPr="00A61DC7">
        <w:rPr>
          <w:sz w:val="24"/>
          <w:lang w:val="fi-FI"/>
        </w:rPr>
        <w:t xml:space="preserve"> </w:t>
      </w:r>
      <w:r w:rsidRPr="00822C8C">
        <w:rPr>
          <w:sz w:val="24"/>
          <w:lang w:val="fi-FI"/>
        </w:rPr>
        <w:tab/>
        <w:t xml:space="preserve">EUT C, C/2024/6041, 10.10.2024, ELI: </w:t>
      </w:r>
      <w:hyperlink r:id="rId188" w:history="1">
        <w:r w:rsidRPr="00822C8C">
          <w:rPr>
            <w:rStyle w:val="Hyperlink1"/>
            <w:sz w:val="24"/>
            <w:lang w:val="fi-FI"/>
          </w:rPr>
          <w:t>http://data.europa.eu/eli/C/2024/6041/oj</w:t>
        </w:r>
      </w:hyperlink>
      <w:r w:rsidRPr="00822C8C">
        <w:rPr>
          <w:sz w:val="24"/>
          <w:lang w:val="fi-FI"/>
        </w:rPr>
        <w:t>.</w:t>
      </w:r>
    </w:p>
  </w:footnote>
  <w:footnote w:id="189">
    <w:p w14:paraId="10D4A5DC" w14:textId="77777777" w:rsidR="005375B7" w:rsidRPr="00A61DC7" w:rsidRDefault="005375B7" w:rsidP="005375B7">
      <w:pPr>
        <w:pStyle w:val="FootnoteText"/>
        <w:ind w:left="567" w:hanging="567"/>
        <w:rPr>
          <w:sz w:val="24"/>
          <w:lang w:val="fi-FI"/>
        </w:rPr>
      </w:pPr>
      <w:r w:rsidRPr="00A61DC7">
        <w:rPr>
          <w:rStyle w:val="FootnoteReference"/>
          <w:sz w:val="24"/>
        </w:rPr>
        <w:footnoteRef/>
      </w:r>
      <w:r w:rsidRPr="00A61DC7">
        <w:rPr>
          <w:sz w:val="24"/>
          <w:lang w:val="fi-FI"/>
        </w:rPr>
        <w:t xml:space="preserve"> </w:t>
      </w:r>
      <w:r w:rsidRPr="00822C8C">
        <w:rPr>
          <w:sz w:val="24"/>
          <w:lang w:val="fi-FI"/>
        </w:rPr>
        <w:tab/>
        <w:t xml:space="preserve">EUT L 193, 30.7.2018, s. 1, ELI: </w:t>
      </w:r>
      <w:hyperlink r:id="rId189" w:history="1">
        <w:r w:rsidRPr="00822C8C">
          <w:rPr>
            <w:rStyle w:val="Hyperlink1"/>
            <w:sz w:val="24"/>
            <w:lang w:val="fi-FI"/>
          </w:rPr>
          <w:t>http://data.europa.eu/eli/reg/2018/1046/oj</w:t>
        </w:r>
      </w:hyperlink>
      <w:r w:rsidRPr="00822C8C">
        <w:rPr>
          <w:sz w:val="24"/>
          <w:lang w:val="fi-FI"/>
        </w:rPr>
        <w:t>.</w:t>
      </w:r>
    </w:p>
  </w:footnote>
  <w:footnote w:id="190">
    <w:p w14:paraId="48EBAC22" w14:textId="77777777" w:rsidR="005375B7" w:rsidRPr="00A61DC7" w:rsidRDefault="005375B7" w:rsidP="005375B7">
      <w:pPr>
        <w:pStyle w:val="FootnoteText"/>
        <w:ind w:left="567" w:hanging="567"/>
        <w:rPr>
          <w:sz w:val="24"/>
          <w:lang w:val="fi-FI"/>
        </w:rPr>
      </w:pPr>
      <w:r w:rsidRPr="00A61DC7">
        <w:rPr>
          <w:rStyle w:val="FootnoteReference"/>
          <w:sz w:val="24"/>
        </w:rPr>
        <w:footnoteRef/>
      </w:r>
      <w:r w:rsidRPr="00A61DC7">
        <w:rPr>
          <w:sz w:val="24"/>
          <w:lang w:val="fi-FI"/>
        </w:rPr>
        <w:t xml:space="preserve"> </w:t>
      </w:r>
      <w:r w:rsidRPr="00822C8C">
        <w:rPr>
          <w:sz w:val="24"/>
          <w:lang w:val="fi-FI"/>
        </w:rPr>
        <w:tab/>
        <w:t xml:space="preserve">EUT L, 2024/2509, 26.9.2024, ELI: </w:t>
      </w:r>
      <w:hyperlink r:id="rId190" w:history="1">
        <w:r w:rsidRPr="00822C8C">
          <w:rPr>
            <w:rStyle w:val="Hyperlink1"/>
            <w:sz w:val="24"/>
            <w:lang w:val="fi-FI"/>
          </w:rPr>
          <w:t>http://data.europa.eu/eli/reg/2024/2509/oj</w:t>
        </w:r>
      </w:hyperlink>
      <w:r w:rsidRPr="00822C8C">
        <w:rPr>
          <w:rStyle w:val="Hyperlink1"/>
          <w:sz w:val="24"/>
          <w:lang w:val="fi-FI"/>
        </w:rPr>
        <w:t>.</w:t>
      </w:r>
    </w:p>
  </w:footnote>
  <w:footnote w:id="191">
    <w:p w14:paraId="14376B92" w14:textId="77777777" w:rsidR="005375B7" w:rsidRPr="00A61DC7" w:rsidRDefault="005375B7" w:rsidP="005375B7">
      <w:pPr>
        <w:pStyle w:val="FootnoteText"/>
        <w:ind w:left="567" w:hanging="567"/>
        <w:rPr>
          <w:sz w:val="24"/>
          <w:lang w:val="fi-FI"/>
        </w:rPr>
      </w:pPr>
      <w:r w:rsidRPr="00A61DC7">
        <w:rPr>
          <w:rStyle w:val="FootnoteReference"/>
          <w:sz w:val="24"/>
        </w:rPr>
        <w:footnoteRef/>
      </w:r>
      <w:r w:rsidRPr="00A61DC7">
        <w:rPr>
          <w:sz w:val="24"/>
          <w:lang w:val="fi-FI"/>
        </w:rPr>
        <w:t xml:space="preserve"> </w:t>
      </w:r>
      <w:r w:rsidRPr="00822C8C">
        <w:rPr>
          <w:sz w:val="24"/>
          <w:lang w:val="fi-FI"/>
        </w:rPr>
        <w:tab/>
        <w:t xml:space="preserve">EUT L 186, 11.7.2019, s. 21, ELI: </w:t>
      </w:r>
      <w:hyperlink r:id="rId191" w:history="1">
        <w:r w:rsidRPr="00822C8C">
          <w:rPr>
            <w:rStyle w:val="Hyperlink1"/>
            <w:sz w:val="24"/>
            <w:lang w:val="fi-FI"/>
          </w:rPr>
          <w:t>http://data.europa.eu/eli/reg/2019/1149/oj</w:t>
        </w:r>
      </w:hyperlink>
      <w:r w:rsidRPr="00822C8C">
        <w:rPr>
          <w:sz w:val="24"/>
          <w:lang w:val="fi-FI"/>
        </w:rPr>
        <w:t>.</w:t>
      </w:r>
    </w:p>
  </w:footnote>
  <w:footnote w:id="192">
    <w:p w14:paraId="2D268400" w14:textId="77777777" w:rsidR="005375B7" w:rsidRPr="00A61DC7" w:rsidRDefault="005375B7" w:rsidP="005375B7">
      <w:pPr>
        <w:pStyle w:val="FootnoteText"/>
        <w:ind w:left="567" w:hanging="567"/>
        <w:rPr>
          <w:sz w:val="24"/>
          <w:lang w:val="fi-FI"/>
        </w:rPr>
      </w:pPr>
      <w:r w:rsidRPr="00A61DC7">
        <w:rPr>
          <w:rStyle w:val="FootnoteReference"/>
          <w:sz w:val="24"/>
        </w:rPr>
        <w:footnoteRef/>
      </w:r>
      <w:r w:rsidRPr="00A61DC7">
        <w:rPr>
          <w:sz w:val="24"/>
          <w:lang w:val="fi-FI"/>
        </w:rPr>
        <w:t xml:space="preserve"> </w:t>
      </w:r>
      <w:r w:rsidRPr="00822C8C">
        <w:rPr>
          <w:sz w:val="24"/>
          <w:lang w:val="fi-FI"/>
        </w:rPr>
        <w:tab/>
        <w:t xml:space="preserve">EUT L 122, 10.5.2019, s. 1, ELI: </w:t>
      </w:r>
      <w:hyperlink r:id="rId192" w:history="1">
        <w:r w:rsidRPr="00822C8C">
          <w:rPr>
            <w:rStyle w:val="Hyperlink1"/>
            <w:sz w:val="24"/>
            <w:lang w:val="fi-FI"/>
          </w:rPr>
          <w:t>http://data.europa.eu/eli/reg_del/2019/715/oj</w:t>
        </w:r>
      </w:hyperlink>
      <w:r w:rsidRPr="00822C8C">
        <w:rPr>
          <w:sz w:val="24"/>
          <w:lang w:val="fi-FI"/>
        </w:rPr>
        <w:t>.</w:t>
      </w:r>
    </w:p>
  </w:footnote>
  <w:footnote w:id="193">
    <w:p w14:paraId="39A2C42D" w14:textId="77777777" w:rsidR="005375B7" w:rsidRPr="00C65C5A" w:rsidRDefault="005375B7" w:rsidP="005375B7">
      <w:pPr>
        <w:pStyle w:val="FootnoteText"/>
        <w:ind w:left="567" w:hanging="567"/>
        <w:rPr>
          <w:sz w:val="24"/>
          <w:lang w:val="fi-FI"/>
        </w:rPr>
      </w:pPr>
      <w:r w:rsidRPr="00C65C5A">
        <w:rPr>
          <w:rStyle w:val="FootnoteReference"/>
          <w:sz w:val="24"/>
        </w:rPr>
        <w:footnoteRef/>
      </w:r>
      <w:r w:rsidRPr="00C65C5A">
        <w:rPr>
          <w:sz w:val="24"/>
          <w:lang w:val="fi-FI"/>
        </w:rPr>
        <w:t xml:space="preserve"> </w:t>
      </w:r>
      <w:r w:rsidRPr="00822C8C">
        <w:rPr>
          <w:sz w:val="24"/>
          <w:lang w:val="fi-FI"/>
        </w:rPr>
        <w:tab/>
        <w:t xml:space="preserve">EUT C, C/2024/6332, 24.10.2024, ELI: </w:t>
      </w:r>
      <w:hyperlink r:id="rId193" w:history="1">
        <w:r w:rsidRPr="00822C8C">
          <w:rPr>
            <w:rStyle w:val="Hyperlink1"/>
            <w:sz w:val="24"/>
            <w:lang w:val="fi-FI"/>
          </w:rPr>
          <w:t>http://data.europa.eu/eli/C/2024/6332/oj</w:t>
        </w:r>
      </w:hyperlink>
      <w:r w:rsidRPr="00822C8C">
        <w:rPr>
          <w:sz w:val="24"/>
          <w:lang w:val="fi-FI"/>
        </w:rPr>
        <w:t>.</w:t>
      </w:r>
    </w:p>
  </w:footnote>
  <w:footnote w:id="194">
    <w:p w14:paraId="344CB376" w14:textId="77777777" w:rsidR="005375B7" w:rsidRPr="00C65C5A" w:rsidRDefault="005375B7" w:rsidP="005375B7">
      <w:pPr>
        <w:pStyle w:val="FootnoteText"/>
        <w:ind w:left="567" w:hanging="567"/>
        <w:rPr>
          <w:sz w:val="24"/>
          <w:lang w:val="fi-FI"/>
        </w:rPr>
      </w:pPr>
      <w:r w:rsidRPr="00C65C5A">
        <w:rPr>
          <w:rStyle w:val="FootnoteReference"/>
          <w:sz w:val="24"/>
        </w:rPr>
        <w:footnoteRef/>
      </w:r>
      <w:r w:rsidRPr="00C65C5A">
        <w:rPr>
          <w:sz w:val="24"/>
          <w:lang w:val="fi-FI"/>
        </w:rPr>
        <w:t xml:space="preserve"> </w:t>
      </w:r>
      <w:r w:rsidRPr="00822C8C">
        <w:rPr>
          <w:sz w:val="24"/>
          <w:lang w:val="fi-FI"/>
        </w:rPr>
        <w:tab/>
        <w:t xml:space="preserve">EUT C, C/2024/6041, 10.10.2024, ELI: </w:t>
      </w:r>
      <w:hyperlink r:id="rId194" w:history="1">
        <w:r w:rsidRPr="00822C8C">
          <w:rPr>
            <w:rStyle w:val="Hyperlink1"/>
            <w:sz w:val="24"/>
            <w:lang w:val="fi-FI"/>
          </w:rPr>
          <w:t>http://data.europa.eu/eli/C/2024/6041/oj</w:t>
        </w:r>
      </w:hyperlink>
      <w:r w:rsidRPr="00822C8C">
        <w:rPr>
          <w:sz w:val="24"/>
          <w:lang w:val="fi-FI"/>
        </w:rPr>
        <w:t>.</w:t>
      </w:r>
    </w:p>
  </w:footnote>
  <w:footnote w:id="195">
    <w:p w14:paraId="7D8D89C9" w14:textId="77777777" w:rsidR="005375B7" w:rsidRPr="00C65C5A" w:rsidRDefault="005375B7" w:rsidP="005375B7">
      <w:pPr>
        <w:pStyle w:val="FootnoteText"/>
        <w:ind w:left="567" w:hanging="567"/>
        <w:rPr>
          <w:sz w:val="24"/>
          <w:lang w:val="fi-FI"/>
        </w:rPr>
      </w:pPr>
      <w:r w:rsidRPr="00C65C5A">
        <w:rPr>
          <w:rStyle w:val="FootnoteReference"/>
          <w:sz w:val="24"/>
        </w:rPr>
        <w:footnoteRef/>
      </w:r>
      <w:r w:rsidRPr="00C65C5A">
        <w:rPr>
          <w:sz w:val="24"/>
          <w:lang w:val="fi-FI"/>
        </w:rPr>
        <w:t xml:space="preserve"> </w:t>
      </w:r>
      <w:r w:rsidRPr="00822C8C">
        <w:rPr>
          <w:sz w:val="24"/>
          <w:lang w:val="fi-FI"/>
        </w:rPr>
        <w:tab/>
        <w:t xml:space="preserve">EUT L 193, 30.7.2018, s. 1, ELI: </w:t>
      </w:r>
      <w:hyperlink r:id="rId195" w:history="1">
        <w:r w:rsidRPr="00822C8C">
          <w:rPr>
            <w:rStyle w:val="Hyperlink1"/>
            <w:sz w:val="24"/>
            <w:lang w:val="fi-FI"/>
          </w:rPr>
          <w:t>http://data.europa.eu/eli/reg/2018/1046/oj</w:t>
        </w:r>
      </w:hyperlink>
      <w:r w:rsidRPr="00822C8C">
        <w:rPr>
          <w:sz w:val="24"/>
          <w:lang w:val="fi-FI"/>
        </w:rPr>
        <w:t>.</w:t>
      </w:r>
    </w:p>
  </w:footnote>
  <w:footnote w:id="196">
    <w:p w14:paraId="39EBCEA5" w14:textId="77777777" w:rsidR="005375B7" w:rsidRPr="00C65C5A" w:rsidRDefault="005375B7" w:rsidP="005375B7">
      <w:pPr>
        <w:pStyle w:val="FootnoteText"/>
        <w:ind w:left="567" w:hanging="567"/>
        <w:rPr>
          <w:sz w:val="24"/>
          <w:lang w:val="fi-FI"/>
        </w:rPr>
      </w:pPr>
      <w:r w:rsidRPr="00C65C5A">
        <w:rPr>
          <w:rStyle w:val="FootnoteReference"/>
          <w:sz w:val="24"/>
        </w:rPr>
        <w:footnoteRef/>
      </w:r>
      <w:r w:rsidRPr="00C65C5A">
        <w:rPr>
          <w:sz w:val="24"/>
          <w:lang w:val="fi-FI"/>
        </w:rPr>
        <w:t xml:space="preserve"> </w:t>
      </w:r>
      <w:r w:rsidRPr="00822C8C">
        <w:rPr>
          <w:sz w:val="24"/>
          <w:lang w:val="fi-FI"/>
        </w:rPr>
        <w:tab/>
        <w:t xml:space="preserve">EUT L, 2024/2509, 26.9.2024, ELI: </w:t>
      </w:r>
      <w:hyperlink r:id="rId196" w:history="1">
        <w:r w:rsidRPr="00822C8C">
          <w:rPr>
            <w:rStyle w:val="Hyperlink1"/>
            <w:sz w:val="24"/>
            <w:lang w:val="fi-FI"/>
          </w:rPr>
          <w:t>http://data.europa.eu/eli/reg/2024/2509/oj</w:t>
        </w:r>
      </w:hyperlink>
      <w:r w:rsidRPr="00822C8C">
        <w:rPr>
          <w:rStyle w:val="Hyperlink1"/>
          <w:sz w:val="24"/>
          <w:lang w:val="fi-FI"/>
        </w:rPr>
        <w:t>.</w:t>
      </w:r>
    </w:p>
  </w:footnote>
  <w:footnote w:id="197">
    <w:p w14:paraId="266355B4" w14:textId="77777777" w:rsidR="005375B7" w:rsidRPr="00C65C5A" w:rsidRDefault="005375B7" w:rsidP="005375B7">
      <w:pPr>
        <w:pStyle w:val="FootnoteText"/>
        <w:ind w:left="567" w:hanging="567"/>
        <w:rPr>
          <w:sz w:val="24"/>
          <w:lang w:val="fi-FI"/>
        </w:rPr>
      </w:pPr>
      <w:r w:rsidRPr="00C65C5A">
        <w:rPr>
          <w:rStyle w:val="FootnoteReference"/>
          <w:sz w:val="24"/>
        </w:rPr>
        <w:footnoteRef/>
      </w:r>
      <w:r w:rsidRPr="00C65C5A">
        <w:rPr>
          <w:sz w:val="24"/>
          <w:lang w:val="fi-FI"/>
        </w:rPr>
        <w:t xml:space="preserve"> </w:t>
      </w:r>
      <w:r w:rsidRPr="00822C8C">
        <w:rPr>
          <w:sz w:val="24"/>
          <w:lang w:val="fi-FI"/>
        </w:rPr>
        <w:tab/>
        <w:t xml:space="preserve">EUT L 136, 30.4.2004, s. 1, ELI: </w:t>
      </w:r>
      <w:hyperlink r:id="rId197" w:history="1">
        <w:r w:rsidRPr="00822C8C">
          <w:rPr>
            <w:rStyle w:val="Hyperlink1"/>
            <w:sz w:val="24"/>
            <w:lang w:val="fi-FI"/>
          </w:rPr>
          <w:t>http://data.europa.eu/eli/reg/2004/726/oj</w:t>
        </w:r>
      </w:hyperlink>
      <w:r w:rsidRPr="00822C8C">
        <w:rPr>
          <w:sz w:val="24"/>
          <w:lang w:val="fi-FI"/>
        </w:rPr>
        <w:t>.</w:t>
      </w:r>
    </w:p>
  </w:footnote>
  <w:footnote w:id="198">
    <w:p w14:paraId="4BDB91FD" w14:textId="77777777" w:rsidR="005375B7" w:rsidRPr="00C65C5A" w:rsidRDefault="005375B7" w:rsidP="005375B7">
      <w:pPr>
        <w:pStyle w:val="FootnoteText"/>
        <w:ind w:left="567" w:hanging="567"/>
        <w:rPr>
          <w:sz w:val="24"/>
          <w:lang w:val="fi-FI"/>
        </w:rPr>
      </w:pPr>
      <w:r w:rsidRPr="00C65C5A">
        <w:rPr>
          <w:rStyle w:val="FootnoteReference"/>
          <w:sz w:val="24"/>
        </w:rPr>
        <w:footnoteRef/>
      </w:r>
      <w:r w:rsidRPr="00C65C5A">
        <w:rPr>
          <w:sz w:val="24"/>
          <w:lang w:val="fi-FI"/>
        </w:rPr>
        <w:t xml:space="preserve"> </w:t>
      </w:r>
      <w:r w:rsidRPr="00822C8C">
        <w:rPr>
          <w:sz w:val="24"/>
          <w:lang w:val="fi-FI"/>
        </w:rPr>
        <w:tab/>
        <w:t xml:space="preserve">EUT L 122, 10.5.2019, s. 1, ELI: </w:t>
      </w:r>
      <w:hyperlink r:id="rId198" w:history="1">
        <w:r w:rsidRPr="00822C8C">
          <w:rPr>
            <w:rStyle w:val="Hyperlink1"/>
            <w:sz w:val="24"/>
            <w:lang w:val="fi-FI"/>
          </w:rPr>
          <w:t>http://data.europa.eu/eli/reg_del/2019/715/oj</w:t>
        </w:r>
      </w:hyperlink>
      <w:r w:rsidRPr="00822C8C">
        <w:rPr>
          <w:sz w:val="24"/>
          <w:lang w:val="fi-FI"/>
        </w:rPr>
        <w:t>.</w:t>
      </w:r>
    </w:p>
  </w:footnote>
  <w:footnote w:id="199">
    <w:p w14:paraId="417C6835" w14:textId="77777777" w:rsidR="005375B7" w:rsidRPr="00ED7226" w:rsidRDefault="005375B7" w:rsidP="005375B7">
      <w:pPr>
        <w:pStyle w:val="FootnoteText"/>
        <w:ind w:left="567" w:hanging="567"/>
        <w:rPr>
          <w:sz w:val="24"/>
          <w:lang w:val="fi-FI"/>
        </w:rPr>
      </w:pPr>
      <w:r w:rsidRPr="00ED7226">
        <w:rPr>
          <w:rStyle w:val="FootnoteReference"/>
          <w:sz w:val="24"/>
        </w:rPr>
        <w:footnoteRef/>
      </w:r>
      <w:r w:rsidRPr="00ED7226">
        <w:rPr>
          <w:sz w:val="24"/>
          <w:lang w:val="fi-FI"/>
        </w:rPr>
        <w:t xml:space="preserve"> </w:t>
      </w:r>
      <w:r w:rsidRPr="00822C8C">
        <w:rPr>
          <w:sz w:val="24"/>
          <w:lang w:val="fi-FI"/>
        </w:rPr>
        <w:tab/>
        <w:t xml:space="preserve">EUT C, C/2024/6332, 24.10.2024, ELI: </w:t>
      </w:r>
      <w:hyperlink r:id="rId199" w:history="1">
        <w:r w:rsidRPr="00822C8C">
          <w:rPr>
            <w:rStyle w:val="Hyperlink1"/>
            <w:sz w:val="24"/>
            <w:lang w:val="fi-FI"/>
          </w:rPr>
          <w:t>http://data.europa.eu/eli/C/2024/6332/oj</w:t>
        </w:r>
      </w:hyperlink>
      <w:r w:rsidRPr="00822C8C">
        <w:rPr>
          <w:sz w:val="24"/>
          <w:lang w:val="fi-FI"/>
        </w:rPr>
        <w:t>.</w:t>
      </w:r>
    </w:p>
  </w:footnote>
  <w:footnote w:id="200">
    <w:p w14:paraId="5CB6962A" w14:textId="77777777" w:rsidR="005375B7" w:rsidRPr="00ED7226" w:rsidRDefault="005375B7" w:rsidP="005375B7">
      <w:pPr>
        <w:pStyle w:val="FootnoteText"/>
        <w:ind w:left="567" w:hanging="567"/>
        <w:rPr>
          <w:sz w:val="24"/>
          <w:lang w:val="fi-FI"/>
        </w:rPr>
      </w:pPr>
      <w:r w:rsidRPr="00ED7226">
        <w:rPr>
          <w:rStyle w:val="FootnoteReference"/>
          <w:sz w:val="24"/>
        </w:rPr>
        <w:footnoteRef/>
      </w:r>
      <w:r w:rsidRPr="00ED7226">
        <w:rPr>
          <w:sz w:val="24"/>
          <w:lang w:val="fi-FI"/>
        </w:rPr>
        <w:t xml:space="preserve"> </w:t>
      </w:r>
      <w:r w:rsidRPr="00822C8C">
        <w:rPr>
          <w:sz w:val="24"/>
          <w:lang w:val="fi-FI"/>
        </w:rPr>
        <w:tab/>
        <w:t xml:space="preserve">EUT C, C/2024/6041, 10.10.2024, ELI: </w:t>
      </w:r>
      <w:hyperlink r:id="rId200" w:history="1">
        <w:r w:rsidRPr="00822C8C">
          <w:rPr>
            <w:rStyle w:val="Hyperlink1"/>
            <w:sz w:val="24"/>
            <w:lang w:val="fi-FI"/>
          </w:rPr>
          <w:t>http://data.europa.eu/eli/C/2024/6041/oj</w:t>
        </w:r>
      </w:hyperlink>
      <w:r w:rsidRPr="00822C8C">
        <w:rPr>
          <w:sz w:val="24"/>
          <w:lang w:val="fi-FI"/>
        </w:rPr>
        <w:t>.</w:t>
      </w:r>
    </w:p>
  </w:footnote>
  <w:footnote w:id="201">
    <w:p w14:paraId="63ABAC16" w14:textId="77777777" w:rsidR="005375B7" w:rsidRPr="00ED7226" w:rsidRDefault="005375B7" w:rsidP="005375B7">
      <w:pPr>
        <w:pStyle w:val="FootnoteText"/>
        <w:ind w:left="567" w:hanging="567"/>
        <w:rPr>
          <w:sz w:val="24"/>
          <w:lang w:val="fi-FI"/>
        </w:rPr>
      </w:pPr>
      <w:r w:rsidRPr="00ED7226">
        <w:rPr>
          <w:rStyle w:val="FootnoteReference"/>
          <w:sz w:val="24"/>
        </w:rPr>
        <w:footnoteRef/>
      </w:r>
      <w:r w:rsidRPr="00ED7226">
        <w:rPr>
          <w:sz w:val="24"/>
          <w:lang w:val="fi-FI"/>
        </w:rPr>
        <w:t xml:space="preserve"> </w:t>
      </w:r>
      <w:r w:rsidRPr="00822C8C">
        <w:rPr>
          <w:sz w:val="24"/>
          <w:lang w:val="fi-FI"/>
        </w:rPr>
        <w:tab/>
        <w:t xml:space="preserve">EUT L 193, 30.7.2018, s. 1, ELI: </w:t>
      </w:r>
      <w:hyperlink r:id="rId201" w:history="1">
        <w:r w:rsidRPr="00822C8C">
          <w:rPr>
            <w:rStyle w:val="Hyperlink1"/>
            <w:sz w:val="24"/>
            <w:lang w:val="fi-FI"/>
          </w:rPr>
          <w:t>http://data.europa.eu/eli/reg/2018/1046/oj</w:t>
        </w:r>
      </w:hyperlink>
      <w:r w:rsidRPr="00822C8C">
        <w:rPr>
          <w:sz w:val="24"/>
          <w:lang w:val="fi-FI"/>
        </w:rPr>
        <w:t>.</w:t>
      </w:r>
    </w:p>
  </w:footnote>
  <w:footnote w:id="202">
    <w:p w14:paraId="4BF5B83C" w14:textId="77777777" w:rsidR="005375B7" w:rsidRPr="00ED7226" w:rsidRDefault="005375B7" w:rsidP="005375B7">
      <w:pPr>
        <w:pStyle w:val="FootnoteText"/>
        <w:ind w:left="567" w:hanging="567"/>
        <w:rPr>
          <w:sz w:val="24"/>
          <w:lang w:val="fi-FI"/>
        </w:rPr>
      </w:pPr>
      <w:r w:rsidRPr="00ED7226">
        <w:rPr>
          <w:rStyle w:val="FootnoteReference"/>
          <w:sz w:val="24"/>
        </w:rPr>
        <w:footnoteRef/>
      </w:r>
      <w:r w:rsidRPr="00ED7226">
        <w:rPr>
          <w:sz w:val="24"/>
          <w:lang w:val="fi-FI"/>
        </w:rPr>
        <w:t xml:space="preserve"> </w:t>
      </w:r>
      <w:r w:rsidRPr="00822C8C">
        <w:rPr>
          <w:sz w:val="24"/>
          <w:lang w:val="fi-FI"/>
        </w:rPr>
        <w:tab/>
        <w:t xml:space="preserve">EUT L, 2024/2509, 26.9.2024, ELI: </w:t>
      </w:r>
      <w:hyperlink r:id="rId202" w:history="1">
        <w:r w:rsidRPr="00822C8C">
          <w:rPr>
            <w:rStyle w:val="Hyperlink1"/>
            <w:sz w:val="24"/>
            <w:lang w:val="fi-FI"/>
          </w:rPr>
          <w:t>http://data.europa.eu/eli/reg/2024/2509/oj</w:t>
        </w:r>
      </w:hyperlink>
      <w:r w:rsidRPr="00822C8C">
        <w:rPr>
          <w:rStyle w:val="Hyperlink1"/>
          <w:sz w:val="24"/>
          <w:lang w:val="fi-FI"/>
        </w:rPr>
        <w:t>.</w:t>
      </w:r>
    </w:p>
  </w:footnote>
  <w:footnote w:id="203">
    <w:p w14:paraId="2CA9B362" w14:textId="77777777" w:rsidR="005375B7" w:rsidRPr="00ED7226" w:rsidRDefault="005375B7" w:rsidP="005375B7">
      <w:pPr>
        <w:pStyle w:val="FootnoteText"/>
        <w:ind w:left="567" w:hanging="567"/>
        <w:rPr>
          <w:sz w:val="24"/>
          <w:lang w:val="fi-FI"/>
        </w:rPr>
      </w:pPr>
      <w:r w:rsidRPr="00ED7226">
        <w:rPr>
          <w:rStyle w:val="FootnoteReference"/>
          <w:sz w:val="24"/>
        </w:rPr>
        <w:footnoteRef/>
      </w:r>
      <w:r w:rsidRPr="00ED7226">
        <w:rPr>
          <w:sz w:val="24"/>
          <w:lang w:val="fi-FI"/>
        </w:rPr>
        <w:t xml:space="preserve"> </w:t>
      </w:r>
      <w:r w:rsidRPr="00822C8C">
        <w:rPr>
          <w:sz w:val="24"/>
          <w:lang w:val="fi-FI"/>
        </w:rPr>
        <w:tab/>
        <w:t xml:space="preserve">EUT L 136, 30.4.2004, s. 1, ELI: </w:t>
      </w:r>
      <w:hyperlink r:id="rId203" w:history="1">
        <w:r w:rsidRPr="00822C8C">
          <w:rPr>
            <w:rStyle w:val="Hyperlink1"/>
            <w:sz w:val="24"/>
            <w:lang w:val="fi-FI"/>
          </w:rPr>
          <w:t>http://data.europa.eu/eli/reg/2004/726/oj</w:t>
        </w:r>
      </w:hyperlink>
      <w:r w:rsidRPr="00822C8C">
        <w:rPr>
          <w:sz w:val="24"/>
          <w:lang w:val="fi-FI"/>
        </w:rPr>
        <w:t>.</w:t>
      </w:r>
    </w:p>
  </w:footnote>
  <w:footnote w:id="204">
    <w:p w14:paraId="05538B6D" w14:textId="77777777" w:rsidR="005375B7" w:rsidRPr="00ED7226" w:rsidRDefault="005375B7" w:rsidP="005375B7">
      <w:pPr>
        <w:pStyle w:val="FootnoteText"/>
        <w:ind w:left="567" w:hanging="567"/>
        <w:rPr>
          <w:sz w:val="24"/>
          <w:lang w:val="fi-FI"/>
        </w:rPr>
      </w:pPr>
      <w:r w:rsidRPr="00ED7226">
        <w:rPr>
          <w:rStyle w:val="FootnoteReference"/>
          <w:sz w:val="24"/>
        </w:rPr>
        <w:footnoteRef/>
      </w:r>
      <w:r w:rsidRPr="00ED7226">
        <w:rPr>
          <w:sz w:val="24"/>
          <w:lang w:val="fi-FI"/>
        </w:rPr>
        <w:t xml:space="preserve"> </w:t>
      </w:r>
      <w:r w:rsidRPr="00822C8C">
        <w:rPr>
          <w:sz w:val="24"/>
          <w:lang w:val="fi-FI"/>
        </w:rPr>
        <w:tab/>
        <w:t xml:space="preserve">EUT L 122, 10.5.2019, s. 1, ELI: </w:t>
      </w:r>
      <w:hyperlink r:id="rId204" w:history="1">
        <w:r w:rsidRPr="00822C8C">
          <w:rPr>
            <w:rStyle w:val="Hyperlink1"/>
            <w:sz w:val="24"/>
            <w:lang w:val="fi-FI"/>
          </w:rPr>
          <w:t>http://data.europa.eu/eli/reg_del/2019/715/oj</w:t>
        </w:r>
      </w:hyperlink>
      <w:r w:rsidRPr="00822C8C">
        <w:rPr>
          <w:sz w:val="24"/>
          <w:lang w:val="fi-FI"/>
        </w:rPr>
        <w:t>.</w:t>
      </w:r>
    </w:p>
  </w:footnote>
  <w:footnote w:id="205">
    <w:p w14:paraId="71187963" w14:textId="77777777" w:rsidR="005375B7" w:rsidRPr="00705E26" w:rsidRDefault="005375B7" w:rsidP="005375B7">
      <w:pPr>
        <w:pStyle w:val="FootnoteText"/>
        <w:ind w:left="567" w:hanging="567"/>
        <w:rPr>
          <w:sz w:val="24"/>
          <w:lang w:val="fi-FI"/>
        </w:rPr>
      </w:pPr>
      <w:r w:rsidRPr="00705E26">
        <w:rPr>
          <w:rStyle w:val="FootnoteReference"/>
          <w:sz w:val="24"/>
        </w:rPr>
        <w:footnoteRef/>
      </w:r>
      <w:r w:rsidRPr="00705E26">
        <w:rPr>
          <w:sz w:val="24"/>
          <w:lang w:val="fi-FI"/>
        </w:rPr>
        <w:t xml:space="preserve"> </w:t>
      </w:r>
      <w:r w:rsidRPr="00822C8C">
        <w:rPr>
          <w:sz w:val="24"/>
          <w:lang w:val="fi-FI"/>
        </w:rPr>
        <w:tab/>
        <w:t xml:space="preserve">EUT C, C/2024/6332, 24.10.2024, ELI: </w:t>
      </w:r>
      <w:hyperlink r:id="rId205" w:history="1">
        <w:r w:rsidRPr="00822C8C">
          <w:rPr>
            <w:rStyle w:val="Hyperlink1"/>
            <w:sz w:val="24"/>
            <w:lang w:val="fi-FI"/>
          </w:rPr>
          <w:t>http://data.europa.eu/eli/C/2024/6332/oj</w:t>
        </w:r>
      </w:hyperlink>
      <w:r w:rsidRPr="00822C8C">
        <w:rPr>
          <w:sz w:val="24"/>
          <w:lang w:val="fi-FI"/>
        </w:rPr>
        <w:t>.</w:t>
      </w:r>
    </w:p>
  </w:footnote>
  <w:footnote w:id="206">
    <w:p w14:paraId="52F5ABEC" w14:textId="77777777" w:rsidR="005375B7" w:rsidRPr="00705E26" w:rsidRDefault="005375B7" w:rsidP="005375B7">
      <w:pPr>
        <w:pStyle w:val="FootnoteText"/>
        <w:ind w:left="567" w:hanging="567"/>
        <w:rPr>
          <w:sz w:val="24"/>
          <w:lang w:val="fi-FI"/>
        </w:rPr>
      </w:pPr>
      <w:r w:rsidRPr="00705E26">
        <w:rPr>
          <w:rStyle w:val="FootnoteReference"/>
          <w:sz w:val="24"/>
        </w:rPr>
        <w:footnoteRef/>
      </w:r>
      <w:r w:rsidRPr="00705E26">
        <w:rPr>
          <w:sz w:val="24"/>
          <w:lang w:val="fi-FI"/>
        </w:rPr>
        <w:t xml:space="preserve"> </w:t>
      </w:r>
      <w:r w:rsidRPr="00822C8C">
        <w:rPr>
          <w:sz w:val="24"/>
          <w:lang w:val="fi-FI"/>
        </w:rPr>
        <w:tab/>
        <w:t xml:space="preserve">EUT C, C/2024/6041, 10.10.2024, ELI: </w:t>
      </w:r>
      <w:hyperlink r:id="rId206" w:history="1">
        <w:r w:rsidRPr="00822C8C">
          <w:rPr>
            <w:rStyle w:val="Hyperlink1"/>
            <w:sz w:val="24"/>
            <w:lang w:val="fi-FI"/>
          </w:rPr>
          <w:t>http://data.europa.eu/eli/C/2024/6041/oj</w:t>
        </w:r>
      </w:hyperlink>
      <w:r w:rsidRPr="00822C8C">
        <w:rPr>
          <w:sz w:val="24"/>
          <w:lang w:val="fi-FI"/>
        </w:rPr>
        <w:t>.</w:t>
      </w:r>
    </w:p>
  </w:footnote>
  <w:footnote w:id="207">
    <w:p w14:paraId="35D1585F" w14:textId="77777777" w:rsidR="005375B7" w:rsidRPr="00705E26" w:rsidRDefault="005375B7" w:rsidP="005375B7">
      <w:pPr>
        <w:pStyle w:val="FootnoteText"/>
        <w:ind w:left="567" w:hanging="567"/>
        <w:rPr>
          <w:sz w:val="24"/>
          <w:lang w:val="fi-FI"/>
        </w:rPr>
      </w:pPr>
      <w:r w:rsidRPr="00705E26">
        <w:rPr>
          <w:rStyle w:val="FootnoteReference"/>
          <w:sz w:val="24"/>
        </w:rPr>
        <w:footnoteRef/>
      </w:r>
      <w:r w:rsidRPr="00705E26">
        <w:rPr>
          <w:sz w:val="24"/>
          <w:lang w:val="fi-FI"/>
        </w:rPr>
        <w:t xml:space="preserve"> </w:t>
      </w:r>
      <w:r w:rsidRPr="00822C8C">
        <w:rPr>
          <w:sz w:val="24"/>
          <w:lang w:val="fi-FI"/>
        </w:rPr>
        <w:tab/>
        <w:t xml:space="preserve">EUT L 193, 30.7.2018, s. 1, ELI: </w:t>
      </w:r>
      <w:hyperlink r:id="rId207" w:history="1">
        <w:r w:rsidRPr="00822C8C">
          <w:rPr>
            <w:rStyle w:val="Hyperlink1"/>
            <w:sz w:val="24"/>
            <w:lang w:val="fi-FI"/>
          </w:rPr>
          <w:t>http://data.europa.eu/eli/reg/2018/1046/oj</w:t>
        </w:r>
      </w:hyperlink>
      <w:r w:rsidRPr="00822C8C">
        <w:rPr>
          <w:sz w:val="24"/>
          <w:lang w:val="fi-FI"/>
        </w:rPr>
        <w:t>.</w:t>
      </w:r>
    </w:p>
  </w:footnote>
  <w:footnote w:id="208">
    <w:p w14:paraId="3B3813F9" w14:textId="77777777" w:rsidR="005375B7" w:rsidRPr="00705E26" w:rsidRDefault="005375B7" w:rsidP="005375B7">
      <w:pPr>
        <w:pStyle w:val="FootnoteText"/>
        <w:ind w:left="567" w:hanging="567"/>
        <w:rPr>
          <w:sz w:val="24"/>
          <w:lang w:val="fi-FI"/>
        </w:rPr>
      </w:pPr>
      <w:r w:rsidRPr="00705E26">
        <w:rPr>
          <w:rStyle w:val="FootnoteReference"/>
          <w:sz w:val="24"/>
        </w:rPr>
        <w:footnoteRef/>
      </w:r>
      <w:r w:rsidRPr="00705E26">
        <w:rPr>
          <w:sz w:val="24"/>
          <w:lang w:val="fi-FI"/>
        </w:rPr>
        <w:t xml:space="preserve"> </w:t>
      </w:r>
      <w:r w:rsidRPr="00822C8C">
        <w:rPr>
          <w:sz w:val="24"/>
          <w:lang w:val="fi-FI"/>
        </w:rPr>
        <w:tab/>
        <w:t xml:space="preserve">EUT L, 2024/2509, 26.9.2024, ELI: </w:t>
      </w:r>
      <w:hyperlink r:id="rId208" w:history="1">
        <w:r w:rsidRPr="00822C8C">
          <w:rPr>
            <w:rStyle w:val="Hyperlink1"/>
            <w:sz w:val="24"/>
            <w:lang w:val="fi-FI"/>
          </w:rPr>
          <w:t>http://data.europa.eu/eli/reg/2024/2509/oj</w:t>
        </w:r>
      </w:hyperlink>
      <w:r w:rsidRPr="00822C8C">
        <w:rPr>
          <w:rStyle w:val="Hyperlink1"/>
          <w:sz w:val="24"/>
          <w:lang w:val="fi-FI"/>
        </w:rPr>
        <w:t>.</w:t>
      </w:r>
    </w:p>
  </w:footnote>
  <w:footnote w:id="209">
    <w:p w14:paraId="7162FAAA" w14:textId="77777777" w:rsidR="005375B7" w:rsidRPr="00705E26" w:rsidRDefault="005375B7" w:rsidP="005375B7">
      <w:pPr>
        <w:pStyle w:val="FootnoteText"/>
        <w:ind w:left="567" w:hanging="567"/>
        <w:rPr>
          <w:sz w:val="24"/>
          <w:lang w:val="fi-FI"/>
        </w:rPr>
      </w:pPr>
      <w:r w:rsidRPr="00705E26">
        <w:rPr>
          <w:rStyle w:val="FootnoteReference"/>
          <w:sz w:val="24"/>
        </w:rPr>
        <w:footnoteRef/>
      </w:r>
      <w:r w:rsidRPr="00705E26">
        <w:rPr>
          <w:sz w:val="24"/>
          <w:lang w:val="fi-FI"/>
        </w:rPr>
        <w:t xml:space="preserve"> </w:t>
      </w:r>
      <w:r w:rsidRPr="00822C8C">
        <w:rPr>
          <w:sz w:val="24"/>
          <w:lang w:val="fi-FI"/>
        </w:rPr>
        <w:tab/>
        <w:t xml:space="preserve">EUT L 376, 27.12.2006, s. 1, ELI: </w:t>
      </w:r>
      <w:hyperlink r:id="rId209" w:history="1">
        <w:r w:rsidRPr="00822C8C">
          <w:rPr>
            <w:rStyle w:val="Hyperlink1"/>
            <w:sz w:val="24"/>
            <w:lang w:val="fi-FI"/>
          </w:rPr>
          <w:t>http://data.europa.eu/eli/reg/2006/1920/oj</w:t>
        </w:r>
      </w:hyperlink>
      <w:r w:rsidRPr="00822C8C">
        <w:rPr>
          <w:sz w:val="24"/>
          <w:lang w:val="fi-FI"/>
        </w:rPr>
        <w:t>.</w:t>
      </w:r>
    </w:p>
  </w:footnote>
  <w:footnote w:id="210">
    <w:p w14:paraId="7D374956" w14:textId="77777777" w:rsidR="005375B7" w:rsidRPr="00705E26" w:rsidRDefault="005375B7" w:rsidP="005375B7">
      <w:pPr>
        <w:pStyle w:val="FootnoteText"/>
        <w:ind w:left="567" w:hanging="567"/>
        <w:rPr>
          <w:sz w:val="24"/>
          <w:lang w:val="fi-FI"/>
        </w:rPr>
      </w:pPr>
      <w:r w:rsidRPr="00705E26">
        <w:rPr>
          <w:rStyle w:val="FootnoteReference"/>
          <w:sz w:val="24"/>
        </w:rPr>
        <w:footnoteRef/>
      </w:r>
      <w:r w:rsidRPr="00705E26">
        <w:rPr>
          <w:sz w:val="24"/>
          <w:lang w:val="fi-FI"/>
        </w:rPr>
        <w:t xml:space="preserve"> </w:t>
      </w:r>
      <w:r w:rsidRPr="00822C8C">
        <w:rPr>
          <w:sz w:val="24"/>
          <w:lang w:val="fi-FI"/>
        </w:rPr>
        <w:tab/>
        <w:t xml:space="preserve">EUT L 166, 30.6.2023, s. 6, ELI: </w:t>
      </w:r>
      <w:hyperlink r:id="rId210" w:history="1">
        <w:r w:rsidRPr="00822C8C">
          <w:rPr>
            <w:rStyle w:val="Hyperlink1"/>
            <w:sz w:val="24"/>
            <w:lang w:val="fi-FI"/>
          </w:rPr>
          <w:t>http://data.europa.eu/eli/reg/2023/1322/oj</w:t>
        </w:r>
      </w:hyperlink>
      <w:r w:rsidRPr="00822C8C">
        <w:rPr>
          <w:sz w:val="24"/>
          <w:lang w:val="fi-FI"/>
        </w:rPr>
        <w:t>.</w:t>
      </w:r>
    </w:p>
  </w:footnote>
  <w:footnote w:id="211">
    <w:p w14:paraId="4D055291" w14:textId="77777777" w:rsidR="005375B7" w:rsidRPr="00705E26" w:rsidRDefault="005375B7" w:rsidP="005375B7">
      <w:pPr>
        <w:pStyle w:val="FootnoteText"/>
        <w:ind w:left="567" w:hanging="567"/>
        <w:rPr>
          <w:sz w:val="24"/>
          <w:lang w:val="fi-FI"/>
        </w:rPr>
      </w:pPr>
      <w:r w:rsidRPr="00705E26">
        <w:rPr>
          <w:rStyle w:val="FootnoteReference"/>
          <w:sz w:val="24"/>
        </w:rPr>
        <w:footnoteRef/>
      </w:r>
      <w:r w:rsidRPr="00705E26">
        <w:rPr>
          <w:sz w:val="24"/>
          <w:lang w:val="fi-FI"/>
        </w:rPr>
        <w:t xml:space="preserve"> </w:t>
      </w:r>
      <w:r w:rsidRPr="00822C8C">
        <w:rPr>
          <w:sz w:val="24"/>
          <w:lang w:val="fi-FI"/>
        </w:rPr>
        <w:tab/>
        <w:t xml:space="preserve">EUT L 122, 10.5.2019, s. 1, ELI: </w:t>
      </w:r>
      <w:hyperlink r:id="rId211" w:history="1">
        <w:r w:rsidRPr="00822C8C">
          <w:rPr>
            <w:rStyle w:val="Hyperlink1"/>
            <w:sz w:val="24"/>
            <w:lang w:val="fi-FI"/>
          </w:rPr>
          <w:t>http://data.europa.eu/eli/reg_del/2019/715/oj</w:t>
        </w:r>
      </w:hyperlink>
      <w:r w:rsidRPr="00822C8C">
        <w:rPr>
          <w:sz w:val="24"/>
          <w:lang w:val="fi-FI"/>
        </w:rPr>
        <w:t>.</w:t>
      </w:r>
    </w:p>
  </w:footnote>
  <w:footnote w:id="212">
    <w:p w14:paraId="603D54EC" w14:textId="77777777" w:rsidR="005375B7" w:rsidRPr="00A86F57" w:rsidRDefault="005375B7" w:rsidP="005375B7">
      <w:pPr>
        <w:pStyle w:val="FootnoteText"/>
        <w:ind w:left="567" w:hanging="567"/>
        <w:rPr>
          <w:sz w:val="24"/>
          <w:lang w:val="fi-FI"/>
        </w:rPr>
      </w:pPr>
      <w:r w:rsidRPr="00A86F57">
        <w:rPr>
          <w:rStyle w:val="FootnoteReference"/>
          <w:sz w:val="24"/>
        </w:rPr>
        <w:footnoteRef/>
      </w:r>
      <w:r w:rsidRPr="00A86F57">
        <w:rPr>
          <w:sz w:val="24"/>
          <w:lang w:val="fi-FI"/>
        </w:rPr>
        <w:t xml:space="preserve"> </w:t>
      </w:r>
      <w:r w:rsidRPr="00822C8C">
        <w:rPr>
          <w:sz w:val="24"/>
          <w:lang w:val="fi-FI"/>
        </w:rPr>
        <w:tab/>
        <w:t xml:space="preserve">EUT C, C/2024/6332, 24.10.2024, ELI: </w:t>
      </w:r>
      <w:hyperlink r:id="rId212" w:history="1">
        <w:r w:rsidRPr="00822C8C">
          <w:rPr>
            <w:rStyle w:val="Hyperlink1"/>
            <w:sz w:val="24"/>
            <w:lang w:val="fi-FI"/>
          </w:rPr>
          <w:t>http://data.europa.eu/eli/C/2024/6332/oj</w:t>
        </w:r>
      </w:hyperlink>
      <w:r w:rsidRPr="00822C8C">
        <w:rPr>
          <w:sz w:val="24"/>
          <w:lang w:val="fi-FI"/>
        </w:rPr>
        <w:t>.</w:t>
      </w:r>
    </w:p>
  </w:footnote>
  <w:footnote w:id="213">
    <w:p w14:paraId="2BEFD02E" w14:textId="77777777" w:rsidR="005375B7" w:rsidRPr="00A86F57" w:rsidRDefault="005375B7" w:rsidP="005375B7">
      <w:pPr>
        <w:pStyle w:val="FootnoteText"/>
        <w:ind w:left="567" w:hanging="567"/>
        <w:rPr>
          <w:sz w:val="24"/>
          <w:lang w:val="fi-FI"/>
        </w:rPr>
      </w:pPr>
      <w:r w:rsidRPr="00A86F57">
        <w:rPr>
          <w:rStyle w:val="FootnoteReference"/>
          <w:sz w:val="24"/>
        </w:rPr>
        <w:footnoteRef/>
      </w:r>
      <w:r w:rsidRPr="00A86F57">
        <w:rPr>
          <w:sz w:val="24"/>
          <w:lang w:val="fi-FI"/>
        </w:rPr>
        <w:t xml:space="preserve"> </w:t>
      </w:r>
      <w:r w:rsidRPr="00822C8C">
        <w:rPr>
          <w:sz w:val="24"/>
          <w:lang w:val="fi-FI"/>
        </w:rPr>
        <w:tab/>
        <w:t xml:space="preserve">EUT C, C/2024/6041, 10.10.2024, ELI: </w:t>
      </w:r>
      <w:hyperlink r:id="rId213" w:history="1">
        <w:r w:rsidRPr="00822C8C">
          <w:rPr>
            <w:rStyle w:val="Hyperlink1"/>
            <w:sz w:val="24"/>
            <w:lang w:val="fi-FI"/>
          </w:rPr>
          <w:t>http://data.europa.eu/eli/C/2024/6041/oj</w:t>
        </w:r>
      </w:hyperlink>
      <w:r w:rsidRPr="00822C8C">
        <w:rPr>
          <w:sz w:val="24"/>
          <w:lang w:val="fi-FI"/>
        </w:rPr>
        <w:t>.</w:t>
      </w:r>
    </w:p>
  </w:footnote>
  <w:footnote w:id="214">
    <w:p w14:paraId="2A124483" w14:textId="77777777" w:rsidR="005375B7" w:rsidRPr="00A86F57" w:rsidRDefault="005375B7" w:rsidP="005375B7">
      <w:pPr>
        <w:pStyle w:val="FootnoteText"/>
        <w:ind w:left="567" w:hanging="567"/>
        <w:rPr>
          <w:sz w:val="24"/>
          <w:lang w:val="fi-FI"/>
        </w:rPr>
      </w:pPr>
      <w:r w:rsidRPr="00A86F57">
        <w:rPr>
          <w:rStyle w:val="FootnoteReference"/>
          <w:sz w:val="24"/>
        </w:rPr>
        <w:footnoteRef/>
      </w:r>
      <w:r w:rsidRPr="00A86F57">
        <w:rPr>
          <w:sz w:val="24"/>
          <w:lang w:val="fi-FI"/>
        </w:rPr>
        <w:t xml:space="preserve"> </w:t>
      </w:r>
      <w:r w:rsidRPr="00822C8C">
        <w:rPr>
          <w:sz w:val="24"/>
          <w:lang w:val="fi-FI"/>
        </w:rPr>
        <w:tab/>
        <w:t xml:space="preserve">EUT L 193, 30.7.2018, s. 1, ELI: </w:t>
      </w:r>
      <w:hyperlink r:id="rId214" w:history="1">
        <w:r w:rsidRPr="00822C8C">
          <w:rPr>
            <w:rStyle w:val="Hyperlink1"/>
            <w:sz w:val="24"/>
            <w:lang w:val="fi-FI"/>
          </w:rPr>
          <w:t>http://data.europa.eu/eli/reg/2018/1046/oj</w:t>
        </w:r>
      </w:hyperlink>
      <w:r w:rsidRPr="00822C8C">
        <w:rPr>
          <w:sz w:val="24"/>
          <w:lang w:val="fi-FI"/>
        </w:rPr>
        <w:t>.</w:t>
      </w:r>
    </w:p>
  </w:footnote>
  <w:footnote w:id="215">
    <w:p w14:paraId="19DB1A3A" w14:textId="77777777" w:rsidR="005375B7" w:rsidRPr="00A86F57" w:rsidRDefault="005375B7" w:rsidP="005375B7">
      <w:pPr>
        <w:pStyle w:val="FootnoteText"/>
        <w:ind w:left="567" w:hanging="567"/>
        <w:rPr>
          <w:sz w:val="24"/>
          <w:lang w:val="fi-FI"/>
        </w:rPr>
      </w:pPr>
      <w:r w:rsidRPr="00A86F57">
        <w:rPr>
          <w:rStyle w:val="FootnoteReference"/>
          <w:sz w:val="24"/>
        </w:rPr>
        <w:footnoteRef/>
      </w:r>
      <w:r w:rsidRPr="00A86F57">
        <w:rPr>
          <w:sz w:val="24"/>
          <w:lang w:val="fi-FI"/>
        </w:rPr>
        <w:t xml:space="preserve"> </w:t>
      </w:r>
      <w:r w:rsidRPr="00822C8C">
        <w:rPr>
          <w:sz w:val="24"/>
          <w:lang w:val="fi-FI"/>
        </w:rPr>
        <w:tab/>
        <w:t xml:space="preserve">EUT L, 2024/2509, 26.9.2024, ELI: </w:t>
      </w:r>
      <w:hyperlink r:id="rId215" w:history="1">
        <w:r w:rsidRPr="00822C8C">
          <w:rPr>
            <w:rStyle w:val="Hyperlink1"/>
            <w:sz w:val="24"/>
            <w:lang w:val="fi-FI"/>
          </w:rPr>
          <w:t>http://data.europa.eu/eli/reg/2024/2509/oj</w:t>
        </w:r>
      </w:hyperlink>
      <w:r w:rsidRPr="00822C8C">
        <w:rPr>
          <w:rStyle w:val="Hyperlink1"/>
          <w:sz w:val="24"/>
          <w:lang w:val="fi-FI"/>
        </w:rPr>
        <w:t>.</w:t>
      </w:r>
    </w:p>
  </w:footnote>
  <w:footnote w:id="216">
    <w:p w14:paraId="0589E53C" w14:textId="77777777" w:rsidR="005375B7" w:rsidRPr="00A86F57" w:rsidRDefault="005375B7" w:rsidP="005375B7">
      <w:pPr>
        <w:pStyle w:val="FootnoteText"/>
        <w:ind w:left="567" w:hanging="567"/>
        <w:rPr>
          <w:sz w:val="24"/>
          <w:lang w:val="fi-FI"/>
        </w:rPr>
      </w:pPr>
      <w:r w:rsidRPr="00A86F57">
        <w:rPr>
          <w:rStyle w:val="FootnoteReference"/>
          <w:sz w:val="24"/>
        </w:rPr>
        <w:footnoteRef/>
      </w:r>
      <w:r w:rsidRPr="00A86F57">
        <w:rPr>
          <w:sz w:val="24"/>
          <w:lang w:val="fi-FI"/>
        </w:rPr>
        <w:t xml:space="preserve"> </w:t>
      </w:r>
      <w:r w:rsidRPr="00822C8C">
        <w:rPr>
          <w:sz w:val="24"/>
          <w:lang w:val="fi-FI"/>
        </w:rPr>
        <w:tab/>
        <w:t xml:space="preserve">EUT L 376, 27.12.2006, s. 1, ELI: </w:t>
      </w:r>
      <w:hyperlink r:id="rId216" w:history="1">
        <w:r w:rsidRPr="00822C8C">
          <w:rPr>
            <w:rStyle w:val="Hyperlink1"/>
            <w:sz w:val="24"/>
            <w:lang w:val="fi-FI"/>
          </w:rPr>
          <w:t>http://data.europa.eu/eli/reg/2006/1920/oj</w:t>
        </w:r>
      </w:hyperlink>
      <w:r w:rsidRPr="00822C8C">
        <w:rPr>
          <w:sz w:val="24"/>
          <w:lang w:val="fi-FI"/>
        </w:rPr>
        <w:t>.</w:t>
      </w:r>
    </w:p>
  </w:footnote>
  <w:footnote w:id="217">
    <w:p w14:paraId="162BF130" w14:textId="77777777" w:rsidR="005375B7" w:rsidRPr="00A86F57" w:rsidRDefault="005375B7" w:rsidP="005375B7">
      <w:pPr>
        <w:pStyle w:val="FootnoteText"/>
        <w:ind w:left="567" w:hanging="567"/>
        <w:rPr>
          <w:sz w:val="24"/>
          <w:lang w:val="fi-FI"/>
        </w:rPr>
      </w:pPr>
      <w:r w:rsidRPr="00A86F57">
        <w:rPr>
          <w:rStyle w:val="FootnoteReference"/>
          <w:sz w:val="24"/>
        </w:rPr>
        <w:footnoteRef/>
      </w:r>
      <w:r w:rsidRPr="00A86F57">
        <w:rPr>
          <w:sz w:val="24"/>
          <w:lang w:val="fi-FI"/>
        </w:rPr>
        <w:t xml:space="preserve"> </w:t>
      </w:r>
      <w:r w:rsidRPr="00822C8C">
        <w:rPr>
          <w:sz w:val="24"/>
          <w:lang w:val="fi-FI"/>
        </w:rPr>
        <w:tab/>
        <w:t xml:space="preserve">EUT L 166, 30.6.2023, s. 6, ELI: </w:t>
      </w:r>
      <w:hyperlink r:id="rId217" w:history="1">
        <w:r w:rsidRPr="00822C8C">
          <w:rPr>
            <w:rStyle w:val="Hyperlink1"/>
            <w:sz w:val="24"/>
            <w:lang w:val="fi-FI"/>
          </w:rPr>
          <w:t>http://data.europa.eu/eli/reg/2023/1322/oj</w:t>
        </w:r>
      </w:hyperlink>
      <w:r w:rsidRPr="00822C8C">
        <w:rPr>
          <w:sz w:val="24"/>
          <w:lang w:val="fi-FI"/>
        </w:rPr>
        <w:t>.</w:t>
      </w:r>
    </w:p>
  </w:footnote>
  <w:footnote w:id="218">
    <w:p w14:paraId="2ED06F5E" w14:textId="77777777" w:rsidR="005375B7" w:rsidRPr="00A86F57" w:rsidRDefault="005375B7" w:rsidP="005375B7">
      <w:pPr>
        <w:pStyle w:val="FootnoteText"/>
        <w:ind w:left="567" w:hanging="567"/>
        <w:rPr>
          <w:sz w:val="24"/>
          <w:lang w:val="fi-FI"/>
        </w:rPr>
      </w:pPr>
      <w:r w:rsidRPr="00A86F57">
        <w:rPr>
          <w:rStyle w:val="FootnoteReference"/>
          <w:sz w:val="24"/>
        </w:rPr>
        <w:footnoteRef/>
      </w:r>
      <w:r w:rsidRPr="00A86F57">
        <w:rPr>
          <w:sz w:val="24"/>
          <w:lang w:val="fi-FI"/>
        </w:rPr>
        <w:t xml:space="preserve"> </w:t>
      </w:r>
      <w:r w:rsidRPr="00822C8C">
        <w:rPr>
          <w:sz w:val="24"/>
          <w:lang w:val="fi-FI"/>
        </w:rPr>
        <w:tab/>
        <w:t xml:space="preserve">EUT L 122, 10.5.2019, s. 1, ELI: </w:t>
      </w:r>
      <w:hyperlink r:id="rId218" w:history="1">
        <w:r w:rsidRPr="00822C8C">
          <w:rPr>
            <w:rStyle w:val="Hyperlink1"/>
            <w:sz w:val="24"/>
            <w:lang w:val="fi-FI"/>
          </w:rPr>
          <w:t>http://data.europa.eu/eli/reg_del/2019/715/oj</w:t>
        </w:r>
      </w:hyperlink>
      <w:r w:rsidRPr="00822C8C">
        <w:rPr>
          <w:sz w:val="24"/>
          <w:lang w:val="fi-FI"/>
        </w:rPr>
        <w:t>.</w:t>
      </w:r>
    </w:p>
  </w:footnote>
  <w:footnote w:id="219">
    <w:p w14:paraId="0D4D3415" w14:textId="77777777" w:rsidR="005375B7" w:rsidRPr="00854339" w:rsidRDefault="005375B7" w:rsidP="005375B7">
      <w:pPr>
        <w:pStyle w:val="FootnoteText"/>
        <w:ind w:left="567" w:hanging="567"/>
        <w:rPr>
          <w:sz w:val="24"/>
          <w:lang w:val="fi-FI"/>
        </w:rPr>
      </w:pPr>
      <w:r w:rsidRPr="00854339">
        <w:rPr>
          <w:rStyle w:val="FootnoteReference"/>
          <w:sz w:val="24"/>
        </w:rPr>
        <w:footnoteRef/>
      </w:r>
      <w:r w:rsidRPr="00854339">
        <w:rPr>
          <w:sz w:val="24"/>
          <w:lang w:val="fi-FI"/>
        </w:rPr>
        <w:t xml:space="preserve"> </w:t>
      </w:r>
      <w:r w:rsidRPr="00822C8C">
        <w:rPr>
          <w:sz w:val="24"/>
          <w:lang w:val="fi-FI"/>
        </w:rPr>
        <w:tab/>
        <w:t xml:space="preserve">EUT C, C/2024/6332, 24.10.2024, ELI: </w:t>
      </w:r>
      <w:hyperlink r:id="rId219" w:history="1">
        <w:r w:rsidRPr="00822C8C">
          <w:rPr>
            <w:rStyle w:val="Hyperlink1"/>
            <w:sz w:val="24"/>
            <w:lang w:val="fi-FI"/>
          </w:rPr>
          <w:t>http://data.europa.eu/eli/C/2024/6332/oj</w:t>
        </w:r>
      </w:hyperlink>
      <w:r w:rsidRPr="00822C8C">
        <w:rPr>
          <w:sz w:val="24"/>
          <w:lang w:val="fi-FI"/>
        </w:rPr>
        <w:t>.</w:t>
      </w:r>
    </w:p>
  </w:footnote>
  <w:footnote w:id="220">
    <w:p w14:paraId="65D3AF51" w14:textId="77777777" w:rsidR="005375B7" w:rsidRPr="00854339" w:rsidRDefault="005375B7" w:rsidP="005375B7">
      <w:pPr>
        <w:pStyle w:val="FootnoteText"/>
        <w:ind w:left="567" w:hanging="567"/>
        <w:rPr>
          <w:sz w:val="24"/>
          <w:lang w:val="fi-FI"/>
        </w:rPr>
      </w:pPr>
      <w:r w:rsidRPr="00854339">
        <w:rPr>
          <w:rStyle w:val="FootnoteReference"/>
          <w:sz w:val="24"/>
        </w:rPr>
        <w:footnoteRef/>
      </w:r>
      <w:r w:rsidRPr="00854339">
        <w:rPr>
          <w:sz w:val="24"/>
          <w:lang w:val="fi-FI"/>
        </w:rPr>
        <w:t xml:space="preserve"> </w:t>
      </w:r>
      <w:r w:rsidRPr="00822C8C">
        <w:rPr>
          <w:sz w:val="24"/>
          <w:lang w:val="fi-FI"/>
        </w:rPr>
        <w:tab/>
        <w:t xml:space="preserve">EUT C, C/2024/6041, 10.10.2024, ELI: </w:t>
      </w:r>
      <w:hyperlink r:id="rId220" w:history="1">
        <w:r w:rsidRPr="00822C8C">
          <w:rPr>
            <w:rStyle w:val="Hyperlink1"/>
            <w:sz w:val="24"/>
            <w:lang w:val="fi-FI"/>
          </w:rPr>
          <w:t>http://data.europa.eu/eli/C/2024/6041/oj</w:t>
        </w:r>
      </w:hyperlink>
      <w:r w:rsidRPr="00822C8C">
        <w:rPr>
          <w:sz w:val="24"/>
          <w:lang w:val="fi-FI"/>
        </w:rPr>
        <w:t>.</w:t>
      </w:r>
    </w:p>
  </w:footnote>
  <w:footnote w:id="221">
    <w:p w14:paraId="04F99E48" w14:textId="77777777" w:rsidR="005375B7" w:rsidRPr="00854339" w:rsidRDefault="005375B7" w:rsidP="005375B7">
      <w:pPr>
        <w:pStyle w:val="FootnoteText"/>
        <w:ind w:left="567" w:hanging="567"/>
        <w:rPr>
          <w:sz w:val="24"/>
          <w:lang w:val="fi-FI"/>
        </w:rPr>
      </w:pPr>
      <w:r w:rsidRPr="00854339">
        <w:rPr>
          <w:rStyle w:val="FootnoteReference"/>
          <w:sz w:val="24"/>
        </w:rPr>
        <w:footnoteRef/>
      </w:r>
      <w:r w:rsidRPr="00854339">
        <w:rPr>
          <w:sz w:val="24"/>
          <w:lang w:val="fi-FI"/>
        </w:rPr>
        <w:t xml:space="preserve"> </w:t>
      </w:r>
      <w:r w:rsidRPr="00822C8C">
        <w:rPr>
          <w:sz w:val="24"/>
          <w:lang w:val="fi-FI"/>
        </w:rPr>
        <w:tab/>
        <w:t xml:space="preserve">EUT L 193, 30.7.2018, s. 1, ELI: </w:t>
      </w:r>
      <w:hyperlink r:id="rId221" w:history="1">
        <w:r w:rsidRPr="00822C8C">
          <w:rPr>
            <w:rStyle w:val="Hyperlink1"/>
            <w:sz w:val="24"/>
            <w:lang w:val="fi-FI"/>
          </w:rPr>
          <w:t>http://data.europa.eu/eli/reg/2018/1046/oj</w:t>
        </w:r>
      </w:hyperlink>
      <w:r w:rsidRPr="00822C8C">
        <w:rPr>
          <w:sz w:val="24"/>
          <w:lang w:val="fi-FI"/>
        </w:rPr>
        <w:t>.</w:t>
      </w:r>
    </w:p>
  </w:footnote>
  <w:footnote w:id="222">
    <w:p w14:paraId="7739DA30" w14:textId="77777777" w:rsidR="005375B7" w:rsidRPr="00854339" w:rsidRDefault="005375B7" w:rsidP="005375B7">
      <w:pPr>
        <w:pStyle w:val="FootnoteText"/>
        <w:ind w:left="567" w:hanging="567"/>
        <w:rPr>
          <w:sz w:val="24"/>
          <w:lang w:val="fi-FI"/>
        </w:rPr>
      </w:pPr>
      <w:r w:rsidRPr="00854339">
        <w:rPr>
          <w:rStyle w:val="FootnoteReference"/>
          <w:sz w:val="24"/>
        </w:rPr>
        <w:footnoteRef/>
      </w:r>
      <w:r w:rsidRPr="00854339">
        <w:rPr>
          <w:sz w:val="24"/>
          <w:lang w:val="fi-FI"/>
        </w:rPr>
        <w:t xml:space="preserve"> </w:t>
      </w:r>
      <w:r w:rsidRPr="00822C8C">
        <w:rPr>
          <w:sz w:val="24"/>
          <w:lang w:val="fi-FI"/>
        </w:rPr>
        <w:tab/>
        <w:t xml:space="preserve">EUT L, 2024/2509, 26.9.2024, ELI: </w:t>
      </w:r>
      <w:hyperlink r:id="rId222" w:history="1">
        <w:r w:rsidRPr="00822C8C">
          <w:rPr>
            <w:rStyle w:val="Hyperlink1"/>
            <w:sz w:val="24"/>
            <w:lang w:val="fi-FI"/>
          </w:rPr>
          <w:t>http://data.europa.eu/eli/reg/2024/2509/oj</w:t>
        </w:r>
      </w:hyperlink>
      <w:r w:rsidRPr="00822C8C">
        <w:rPr>
          <w:rStyle w:val="Hyperlink1"/>
          <w:sz w:val="24"/>
          <w:lang w:val="fi-FI"/>
        </w:rPr>
        <w:t>.</w:t>
      </w:r>
    </w:p>
  </w:footnote>
  <w:footnote w:id="223">
    <w:p w14:paraId="01745FD3" w14:textId="77777777" w:rsidR="005375B7" w:rsidRPr="00854339" w:rsidRDefault="005375B7" w:rsidP="005375B7">
      <w:pPr>
        <w:pStyle w:val="FootnoteText"/>
        <w:ind w:left="567" w:hanging="567"/>
        <w:rPr>
          <w:sz w:val="24"/>
          <w:lang w:val="fi-FI"/>
        </w:rPr>
      </w:pPr>
      <w:r w:rsidRPr="00854339">
        <w:rPr>
          <w:rStyle w:val="FootnoteReference"/>
          <w:sz w:val="24"/>
        </w:rPr>
        <w:footnoteRef/>
      </w:r>
      <w:r w:rsidRPr="00854339">
        <w:rPr>
          <w:sz w:val="24"/>
          <w:lang w:val="fi-FI"/>
        </w:rPr>
        <w:t xml:space="preserve"> </w:t>
      </w:r>
      <w:r w:rsidRPr="00822C8C">
        <w:rPr>
          <w:sz w:val="24"/>
          <w:lang w:val="fi-FI"/>
        </w:rPr>
        <w:tab/>
        <w:t xml:space="preserve">EUT L 208, 5.8.2002, s. 1, ELI: </w:t>
      </w:r>
      <w:hyperlink r:id="rId223" w:history="1">
        <w:r w:rsidRPr="00822C8C">
          <w:rPr>
            <w:rStyle w:val="Hyperlink1"/>
            <w:sz w:val="24"/>
            <w:lang w:val="fi-FI"/>
          </w:rPr>
          <w:t>http://data.europa.eu/eli/reg/2002/1406/oj</w:t>
        </w:r>
      </w:hyperlink>
      <w:r w:rsidRPr="00822C8C">
        <w:rPr>
          <w:sz w:val="24"/>
          <w:lang w:val="fi-FI"/>
        </w:rPr>
        <w:t>.</w:t>
      </w:r>
    </w:p>
  </w:footnote>
  <w:footnote w:id="224">
    <w:p w14:paraId="688CC2D8" w14:textId="77777777" w:rsidR="005375B7" w:rsidRPr="00854339" w:rsidRDefault="005375B7" w:rsidP="005375B7">
      <w:pPr>
        <w:pStyle w:val="FootnoteText"/>
        <w:ind w:left="567" w:hanging="567"/>
        <w:rPr>
          <w:sz w:val="24"/>
          <w:lang w:val="fi-FI"/>
        </w:rPr>
      </w:pPr>
      <w:r w:rsidRPr="00854339">
        <w:rPr>
          <w:rStyle w:val="FootnoteReference"/>
          <w:sz w:val="24"/>
        </w:rPr>
        <w:footnoteRef/>
      </w:r>
      <w:r w:rsidRPr="00854339">
        <w:rPr>
          <w:sz w:val="24"/>
          <w:lang w:val="fi-FI"/>
        </w:rPr>
        <w:t xml:space="preserve"> </w:t>
      </w:r>
      <w:r w:rsidRPr="00822C8C">
        <w:rPr>
          <w:sz w:val="24"/>
          <w:lang w:val="fi-FI"/>
        </w:rPr>
        <w:tab/>
        <w:t xml:space="preserve">EUT L 122, 10.5.2019, s. 1, ELI: </w:t>
      </w:r>
      <w:hyperlink r:id="rId224" w:history="1">
        <w:r w:rsidRPr="00822C8C">
          <w:rPr>
            <w:rStyle w:val="Hyperlink1"/>
            <w:sz w:val="24"/>
            <w:lang w:val="fi-FI"/>
          </w:rPr>
          <w:t>http://data.europa.eu/eli/reg_del/2019/715/oj</w:t>
        </w:r>
      </w:hyperlink>
      <w:r w:rsidRPr="00822C8C">
        <w:rPr>
          <w:sz w:val="24"/>
          <w:lang w:val="fi-FI"/>
        </w:rPr>
        <w:t>.</w:t>
      </w:r>
    </w:p>
  </w:footnote>
  <w:footnote w:id="225">
    <w:p w14:paraId="7B1BC437" w14:textId="77777777" w:rsidR="005375B7" w:rsidRPr="00594C21" w:rsidRDefault="005375B7" w:rsidP="005375B7">
      <w:pPr>
        <w:pStyle w:val="FootnoteText"/>
        <w:ind w:left="567" w:hanging="567"/>
        <w:rPr>
          <w:sz w:val="24"/>
          <w:lang w:val="fi-FI"/>
        </w:rPr>
      </w:pPr>
      <w:r w:rsidRPr="00594C21">
        <w:rPr>
          <w:rStyle w:val="FootnoteReference"/>
          <w:sz w:val="24"/>
        </w:rPr>
        <w:footnoteRef/>
      </w:r>
      <w:r w:rsidRPr="00594C21">
        <w:rPr>
          <w:sz w:val="24"/>
          <w:lang w:val="fi-FI"/>
        </w:rPr>
        <w:t xml:space="preserve"> </w:t>
      </w:r>
      <w:r w:rsidRPr="00822C8C">
        <w:rPr>
          <w:sz w:val="24"/>
          <w:lang w:val="fi-FI"/>
        </w:rPr>
        <w:tab/>
        <w:t xml:space="preserve">EUT C, C/2024/6332, 24.10.2024, ELI: </w:t>
      </w:r>
      <w:hyperlink r:id="rId225" w:history="1">
        <w:r w:rsidRPr="00822C8C">
          <w:rPr>
            <w:rStyle w:val="Hyperlink1"/>
            <w:sz w:val="24"/>
            <w:lang w:val="fi-FI"/>
          </w:rPr>
          <w:t>http://data.europa.eu/eli/C/2024/6332/oj</w:t>
        </w:r>
      </w:hyperlink>
      <w:r w:rsidRPr="00822C8C">
        <w:rPr>
          <w:sz w:val="24"/>
          <w:lang w:val="fi-FI"/>
        </w:rPr>
        <w:t>.</w:t>
      </w:r>
    </w:p>
  </w:footnote>
  <w:footnote w:id="226">
    <w:p w14:paraId="73435EEC" w14:textId="77777777" w:rsidR="005375B7" w:rsidRPr="00594C21" w:rsidRDefault="005375B7" w:rsidP="005375B7">
      <w:pPr>
        <w:pStyle w:val="FootnoteText"/>
        <w:ind w:left="567" w:hanging="567"/>
        <w:rPr>
          <w:sz w:val="24"/>
          <w:lang w:val="fi-FI"/>
        </w:rPr>
      </w:pPr>
      <w:r w:rsidRPr="00594C21">
        <w:rPr>
          <w:rStyle w:val="FootnoteReference"/>
          <w:sz w:val="24"/>
        </w:rPr>
        <w:footnoteRef/>
      </w:r>
      <w:r w:rsidRPr="00594C21">
        <w:rPr>
          <w:sz w:val="24"/>
          <w:lang w:val="fi-FI"/>
        </w:rPr>
        <w:t xml:space="preserve"> </w:t>
      </w:r>
      <w:r w:rsidRPr="00822C8C">
        <w:rPr>
          <w:sz w:val="24"/>
          <w:lang w:val="fi-FI"/>
        </w:rPr>
        <w:tab/>
        <w:t xml:space="preserve">EUT C, C/2024/6041, 10.10.2024, ELI: </w:t>
      </w:r>
      <w:hyperlink r:id="rId226" w:history="1">
        <w:r w:rsidRPr="00822C8C">
          <w:rPr>
            <w:rStyle w:val="Hyperlink1"/>
            <w:sz w:val="24"/>
            <w:lang w:val="fi-FI"/>
          </w:rPr>
          <w:t>http://data.europa.eu/eli/C/2024/6041/oj</w:t>
        </w:r>
      </w:hyperlink>
      <w:r w:rsidRPr="00822C8C">
        <w:rPr>
          <w:sz w:val="24"/>
          <w:lang w:val="fi-FI"/>
        </w:rPr>
        <w:t>.</w:t>
      </w:r>
    </w:p>
  </w:footnote>
  <w:footnote w:id="227">
    <w:p w14:paraId="7A9D8821" w14:textId="77777777" w:rsidR="005375B7" w:rsidRPr="00594C21" w:rsidRDefault="005375B7" w:rsidP="005375B7">
      <w:pPr>
        <w:pStyle w:val="FootnoteText"/>
        <w:ind w:left="567" w:hanging="567"/>
        <w:rPr>
          <w:sz w:val="24"/>
          <w:lang w:val="fi-FI"/>
        </w:rPr>
      </w:pPr>
      <w:r w:rsidRPr="00594C21">
        <w:rPr>
          <w:rStyle w:val="FootnoteReference"/>
          <w:sz w:val="24"/>
        </w:rPr>
        <w:footnoteRef/>
      </w:r>
      <w:r w:rsidRPr="00594C21">
        <w:rPr>
          <w:sz w:val="24"/>
          <w:lang w:val="fi-FI"/>
        </w:rPr>
        <w:t xml:space="preserve"> </w:t>
      </w:r>
      <w:r w:rsidRPr="00822C8C">
        <w:rPr>
          <w:sz w:val="24"/>
          <w:lang w:val="fi-FI"/>
        </w:rPr>
        <w:tab/>
        <w:t xml:space="preserve">EUT L 193, 30.7.2018, s. 1, ELI: </w:t>
      </w:r>
      <w:hyperlink r:id="rId227" w:history="1">
        <w:r w:rsidRPr="00822C8C">
          <w:rPr>
            <w:rStyle w:val="Hyperlink1"/>
            <w:sz w:val="24"/>
            <w:lang w:val="fi-FI"/>
          </w:rPr>
          <w:t>http://data.europa.eu/eli/reg/2018/1046/oj</w:t>
        </w:r>
      </w:hyperlink>
      <w:r w:rsidRPr="00822C8C">
        <w:rPr>
          <w:sz w:val="24"/>
          <w:lang w:val="fi-FI"/>
        </w:rPr>
        <w:t>.</w:t>
      </w:r>
    </w:p>
  </w:footnote>
  <w:footnote w:id="228">
    <w:p w14:paraId="087C58B2" w14:textId="77777777" w:rsidR="005375B7" w:rsidRPr="00594C21" w:rsidRDefault="005375B7" w:rsidP="005375B7">
      <w:pPr>
        <w:pStyle w:val="FootnoteText"/>
        <w:ind w:left="567" w:hanging="567"/>
        <w:rPr>
          <w:sz w:val="24"/>
          <w:lang w:val="fi-FI"/>
        </w:rPr>
      </w:pPr>
      <w:r w:rsidRPr="00594C21">
        <w:rPr>
          <w:rStyle w:val="FootnoteReference"/>
          <w:sz w:val="24"/>
        </w:rPr>
        <w:footnoteRef/>
      </w:r>
      <w:r w:rsidRPr="00594C21">
        <w:rPr>
          <w:sz w:val="24"/>
          <w:lang w:val="fi-FI"/>
        </w:rPr>
        <w:t xml:space="preserve"> </w:t>
      </w:r>
      <w:r w:rsidRPr="00822C8C">
        <w:rPr>
          <w:sz w:val="24"/>
          <w:lang w:val="fi-FI"/>
        </w:rPr>
        <w:tab/>
        <w:t xml:space="preserve">EUT L, 2024/2509, 26.9.2024, ELI: </w:t>
      </w:r>
      <w:hyperlink r:id="rId228" w:history="1">
        <w:r w:rsidRPr="00822C8C">
          <w:rPr>
            <w:rStyle w:val="Hyperlink1"/>
            <w:sz w:val="24"/>
            <w:lang w:val="fi-FI"/>
          </w:rPr>
          <w:t>http://data.europa.eu/eli/reg/2024/2509/oj</w:t>
        </w:r>
      </w:hyperlink>
      <w:r w:rsidRPr="00822C8C">
        <w:rPr>
          <w:rStyle w:val="Hyperlink1"/>
          <w:sz w:val="24"/>
          <w:lang w:val="fi-FI"/>
        </w:rPr>
        <w:t>.</w:t>
      </w:r>
    </w:p>
  </w:footnote>
  <w:footnote w:id="229">
    <w:p w14:paraId="25635E23" w14:textId="77777777" w:rsidR="005375B7" w:rsidRPr="00594C21" w:rsidRDefault="005375B7" w:rsidP="005375B7">
      <w:pPr>
        <w:pStyle w:val="FootnoteText"/>
        <w:ind w:left="567" w:hanging="567"/>
        <w:rPr>
          <w:sz w:val="24"/>
          <w:lang w:val="fi-FI"/>
        </w:rPr>
      </w:pPr>
      <w:r w:rsidRPr="00594C21">
        <w:rPr>
          <w:rStyle w:val="FootnoteReference"/>
          <w:sz w:val="24"/>
        </w:rPr>
        <w:footnoteRef/>
      </w:r>
      <w:r w:rsidRPr="00594C21">
        <w:rPr>
          <w:sz w:val="24"/>
          <w:lang w:val="fi-FI"/>
        </w:rPr>
        <w:t xml:space="preserve"> </w:t>
      </w:r>
      <w:r w:rsidRPr="00822C8C">
        <w:rPr>
          <w:sz w:val="24"/>
          <w:lang w:val="fi-FI"/>
        </w:rPr>
        <w:tab/>
        <w:t xml:space="preserve">EGT L 208, 5.8.2002, s. 1, ELI: </w:t>
      </w:r>
      <w:hyperlink r:id="rId229" w:history="1">
        <w:r w:rsidRPr="00822C8C">
          <w:rPr>
            <w:rStyle w:val="Hyperlink1"/>
            <w:sz w:val="24"/>
            <w:lang w:val="fi-FI"/>
          </w:rPr>
          <w:t>http://data.europa.eu/eli/reg/2002/1406/oj</w:t>
        </w:r>
      </w:hyperlink>
      <w:r w:rsidRPr="00822C8C">
        <w:rPr>
          <w:sz w:val="24"/>
          <w:lang w:val="fi-FI"/>
        </w:rPr>
        <w:t>.</w:t>
      </w:r>
    </w:p>
  </w:footnote>
  <w:footnote w:id="230">
    <w:p w14:paraId="701F2467" w14:textId="77777777" w:rsidR="005375B7" w:rsidRPr="00594C21" w:rsidRDefault="005375B7" w:rsidP="005375B7">
      <w:pPr>
        <w:pStyle w:val="FootnoteText"/>
        <w:ind w:left="567" w:hanging="567"/>
        <w:rPr>
          <w:sz w:val="24"/>
          <w:lang w:val="fi-FI"/>
        </w:rPr>
      </w:pPr>
      <w:r w:rsidRPr="00594C21">
        <w:rPr>
          <w:rStyle w:val="FootnoteReference"/>
          <w:sz w:val="24"/>
        </w:rPr>
        <w:footnoteRef/>
      </w:r>
      <w:r w:rsidRPr="00594C21">
        <w:rPr>
          <w:sz w:val="24"/>
          <w:lang w:val="fi-FI"/>
        </w:rPr>
        <w:t xml:space="preserve"> </w:t>
      </w:r>
      <w:r w:rsidRPr="00822C8C">
        <w:rPr>
          <w:sz w:val="24"/>
          <w:lang w:val="fi-FI"/>
        </w:rPr>
        <w:tab/>
        <w:t xml:space="preserve">EUT L 122, 10.5.2019, s. 1, ELI: </w:t>
      </w:r>
      <w:hyperlink r:id="rId230" w:history="1">
        <w:r w:rsidRPr="00822C8C">
          <w:rPr>
            <w:rStyle w:val="Hyperlink1"/>
            <w:sz w:val="24"/>
            <w:lang w:val="fi-FI"/>
          </w:rPr>
          <w:t>http://data.europa.eu/eli/reg_del/2019/715/oj</w:t>
        </w:r>
      </w:hyperlink>
      <w:r w:rsidRPr="00822C8C">
        <w:rPr>
          <w:sz w:val="24"/>
          <w:lang w:val="fi-FI"/>
        </w:rPr>
        <w:t>.</w:t>
      </w:r>
    </w:p>
  </w:footnote>
  <w:footnote w:id="231">
    <w:p w14:paraId="75C46C64" w14:textId="77777777" w:rsidR="005375B7" w:rsidRPr="006C63AD" w:rsidRDefault="005375B7" w:rsidP="005375B7">
      <w:pPr>
        <w:pStyle w:val="FootnoteText"/>
        <w:ind w:left="567" w:hanging="567"/>
        <w:rPr>
          <w:sz w:val="24"/>
          <w:lang w:val="fi-FI"/>
        </w:rPr>
      </w:pPr>
      <w:r w:rsidRPr="006C63AD">
        <w:rPr>
          <w:rStyle w:val="FootnoteReference"/>
          <w:sz w:val="24"/>
        </w:rPr>
        <w:footnoteRef/>
      </w:r>
      <w:r w:rsidRPr="006C63AD">
        <w:rPr>
          <w:sz w:val="24"/>
          <w:lang w:val="fi-FI"/>
        </w:rPr>
        <w:t xml:space="preserve"> </w:t>
      </w:r>
      <w:r w:rsidRPr="00822C8C">
        <w:rPr>
          <w:sz w:val="24"/>
          <w:lang w:val="fi-FI"/>
        </w:rPr>
        <w:tab/>
        <w:t xml:space="preserve">EUT C, C/2024/6332, 24.10.2024, ELI: </w:t>
      </w:r>
      <w:hyperlink r:id="rId231" w:history="1">
        <w:r w:rsidRPr="00822C8C">
          <w:rPr>
            <w:rStyle w:val="Hyperlink1"/>
            <w:sz w:val="24"/>
            <w:lang w:val="fi-FI"/>
          </w:rPr>
          <w:t>http://data.europa.eu/eli/C/2024/6332/oj</w:t>
        </w:r>
      </w:hyperlink>
      <w:r w:rsidRPr="00822C8C">
        <w:rPr>
          <w:sz w:val="24"/>
          <w:lang w:val="fi-FI"/>
        </w:rPr>
        <w:t>.</w:t>
      </w:r>
    </w:p>
  </w:footnote>
  <w:footnote w:id="232">
    <w:p w14:paraId="0B7F249A" w14:textId="77777777" w:rsidR="005375B7" w:rsidRPr="006C63AD" w:rsidRDefault="005375B7" w:rsidP="005375B7">
      <w:pPr>
        <w:pStyle w:val="FootnoteText"/>
        <w:ind w:left="567" w:hanging="567"/>
        <w:rPr>
          <w:sz w:val="24"/>
          <w:lang w:val="fi-FI"/>
        </w:rPr>
      </w:pPr>
      <w:r w:rsidRPr="006C63AD">
        <w:rPr>
          <w:rStyle w:val="FootnoteReference"/>
          <w:sz w:val="24"/>
        </w:rPr>
        <w:footnoteRef/>
      </w:r>
      <w:r w:rsidRPr="006C63AD">
        <w:rPr>
          <w:sz w:val="24"/>
          <w:lang w:val="fi-FI"/>
        </w:rPr>
        <w:t xml:space="preserve"> </w:t>
      </w:r>
      <w:r w:rsidRPr="00822C8C">
        <w:rPr>
          <w:sz w:val="24"/>
          <w:lang w:val="fi-FI"/>
        </w:rPr>
        <w:tab/>
        <w:t xml:space="preserve">EUT C, C/2024/6041, 10.10.2024, ELI: </w:t>
      </w:r>
      <w:hyperlink r:id="rId232" w:history="1">
        <w:r w:rsidRPr="00822C8C">
          <w:rPr>
            <w:rStyle w:val="Hyperlink1"/>
            <w:sz w:val="24"/>
            <w:lang w:val="fi-FI"/>
          </w:rPr>
          <w:t>http://data.europa.eu/eli/C/2024/6041/oj</w:t>
        </w:r>
      </w:hyperlink>
      <w:r w:rsidRPr="00822C8C">
        <w:rPr>
          <w:sz w:val="24"/>
          <w:lang w:val="fi-FI"/>
        </w:rPr>
        <w:t>.</w:t>
      </w:r>
    </w:p>
  </w:footnote>
  <w:footnote w:id="233">
    <w:p w14:paraId="27ABED8E" w14:textId="77777777" w:rsidR="005375B7" w:rsidRPr="006C63AD" w:rsidRDefault="005375B7" w:rsidP="005375B7">
      <w:pPr>
        <w:pStyle w:val="FootnoteText"/>
        <w:ind w:left="567" w:hanging="567"/>
        <w:rPr>
          <w:sz w:val="24"/>
          <w:lang w:val="fi-FI"/>
        </w:rPr>
      </w:pPr>
      <w:r w:rsidRPr="006C63AD">
        <w:rPr>
          <w:rStyle w:val="FootnoteReference"/>
          <w:sz w:val="24"/>
        </w:rPr>
        <w:footnoteRef/>
      </w:r>
      <w:r w:rsidRPr="006C63AD">
        <w:rPr>
          <w:sz w:val="24"/>
          <w:lang w:val="fi-FI"/>
        </w:rPr>
        <w:t xml:space="preserve"> </w:t>
      </w:r>
      <w:r w:rsidRPr="00822C8C">
        <w:rPr>
          <w:sz w:val="24"/>
          <w:lang w:val="fi-FI"/>
        </w:rPr>
        <w:tab/>
        <w:t xml:space="preserve">EUT L 193, 30.7.2018, s. 1, ELI: </w:t>
      </w:r>
      <w:hyperlink r:id="rId233" w:history="1">
        <w:r w:rsidRPr="00822C8C">
          <w:rPr>
            <w:rStyle w:val="Hyperlink1"/>
            <w:sz w:val="24"/>
            <w:lang w:val="fi-FI"/>
          </w:rPr>
          <w:t>http://data.europa.eu/eli/reg/2018/1046/oj</w:t>
        </w:r>
      </w:hyperlink>
      <w:r w:rsidRPr="00822C8C">
        <w:rPr>
          <w:sz w:val="24"/>
          <w:lang w:val="fi-FI"/>
        </w:rPr>
        <w:t>.</w:t>
      </w:r>
    </w:p>
  </w:footnote>
  <w:footnote w:id="234">
    <w:p w14:paraId="09C5309D" w14:textId="77777777" w:rsidR="005375B7" w:rsidRPr="006C63AD" w:rsidRDefault="005375B7" w:rsidP="005375B7">
      <w:pPr>
        <w:pStyle w:val="FootnoteText"/>
        <w:ind w:left="567" w:hanging="567"/>
        <w:rPr>
          <w:sz w:val="24"/>
          <w:lang w:val="fi-FI"/>
        </w:rPr>
      </w:pPr>
      <w:r w:rsidRPr="006C63AD">
        <w:rPr>
          <w:rStyle w:val="FootnoteReference"/>
          <w:sz w:val="24"/>
        </w:rPr>
        <w:footnoteRef/>
      </w:r>
      <w:r w:rsidRPr="006C63AD">
        <w:rPr>
          <w:sz w:val="24"/>
          <w:lang w:val="fi-FI"/>
        </w:rPr>
        <w:t xml:space="preserve"> </w:t>
      </w:r>
      <w:r w:rsidRPr="00822C8C">
        <w:rPr>
          <w:sz w:val="24"/>
          <w:lang w:val="fi-FI"/>
        </w:rPr>
        <w:tab/>
        <w:t xml:space="preserve">EUT L, 2024/2509, 26.9.2024, ELI: </w:t>
      </w:r>
      <w:hyperlink r:id="rId234" w:history="1">
        <w:r w:rsidRPr="00822C8C">
          <w:rPr>
            <w:rStyle w:val="Hyperlink1"/>
            <w:sz w:val="24"/>
            <w:lang w:val="fi-FI"/>
          </w:rPr>
          <w:t>http://data.europa.eu/eli/reg/2024/2509/oj</w:t>
        </w:r>
      </w:hyperlink>
      <w:r w:rsidRPr="00822C8C">
        <w:rPr>
          <w:rStyle w:val="Hyperlink1"/>
          <w:sz w:val="24"/>
          <w:lang w:val="fi-FI"/>
        </w:rPr>
        <w:t>.</w:t>
      </w:r>
    </w:p>
  </w:footnote>
  <w:footnote w:id="235">
    <w:p w14:paraId="6CE6AA35" w14:textId="77777777" w:rsidR="005375B7" w:rsidRPr="006C63AD" w:rsidRDefault="005375B7" w:rsidP="005375B7">
      <w:pPr>
        <w:pStyle w:val="FootnoteText"/>
        <w:ind w:left="567" w:hanging="567"/>
        <w:rPr>
          <w:sz w:val="24"/>
          <w:lang w:val="fi-FI"/>
        </w:rPr>
      </w:pPr>
      <w:r w:rsidRPr="006C63AD">
        <w:rPr>
          <w:rStyle w:val="FootnoteReference"/>
          <w:sz w:val="24"/>
        </w:rPr>
        <w:footnoteRef/>
      </w:r>
      <w:r w:rsidRPr="006C63AD">
        <w:rPr>
          <w:sz w:val="24"/>
          <w:lang w:val="fi-FI"/>
        </w:rPr>
        <w:t xml:space="preserve"> </w:t>
      </w:r>
      <w:r w:rsidRPr="00822C8C">
        <w:rPr>
          <w:sz w:val="24"/>
          <w:lang w:val="fi-FI"/>
        </w:rPr>
        <w:tab/>
        <w:t xml:space="preserve">EUT L 151, 7.6.2019, s. 15, ELI: </w:t>
      </w:r>
      <w:hyperlink r:id="rId235" w:history="1">
        <w:r w:rsidRPr="00822C8C">
          <w:rPr>
            <w:rStyle w:val="Hyperlink1"/>
            <w:sz w:val="24"/>
            <w:lang w:val="fi-FI"/>
          </w:rPr>
          <w:t>http://data.europa.eu/eli/reg/2019/881/oj</w:t>
        </w:r>
      </w:hyperlink>
      <w:r w:rsidRPr="00822C8C">
        <w:rPr>
          <w:sz w:val="24"/>
          <w:lang w:val="fi-FI"/>
        </w:rPr>
        <w:t>.</w:t>
      </w:r>
    </w:p>
  </w:footnote>
  <w:footnote w:id="236">
    <w:p w14:paraId="681CB5C7" w14:textId="77777777" w:rsidR="005375B7" w:rsidRPr="006C63AD" w:rsidRDefault="005375B7" w:rsidP="005375B7">
      <w:pPr>
        <w:pStyle w:val="FootnoteText"/>
        <w:ind w:left="567" w:hanging="567"/>
        <w:rPr>
          <w:sz w:val="24"/>
          <w:lang w:val="fi-FI"/>
        </w:rPr>
      </w:pPr>
      <w:r w:rsidRPr="006C63AD">
        <w:rPr>
          <w:rStyle w:val="FootnoteReference"/>
          <w:sz w:val="24"/>
        </w:rPr>
        <w:footnoteRef/>
      </w:r>
      <w:r w:rsidRPr="006C63AD">
        <w:rPr>
          <w:sz w:val="24"/>
          <w:lang w:val="fi-FI"/>
        </w:rPr>
        <w:t xml:space="preserve"> </w:t>
      </w:r>
      <w:r w:rsidRPr="00822C8C">
        <w:rPr>
          <w:sz w:val="24"/>
          <w:lang w:val="fi-FI"/>
        </w:rPr>
        <w:tab/>
        <w:t xml:space="preserve">EUT L 122, 10.5.2019, s. 1, ELI: </w:t>
      </w:r>
      <w:hyperlink r:id="rId236" w:history="1">
        <w:r w:rsidRPr="00822C8C">
          <w:rPr>
            <w:rStyle w:val="Hyperlink1"/>
            <w:sz w:val="24"/>
            <w:lang w:val="fi-FI"/>
          </w:rPr>
          <w:t>http://data.europa.eu/eli/reg_del/2019/715/oj</w:t>
        </w:r>
      </w:hyperlink>
      <w:r w:rsidRPr="00822C8C">
        <w:rPr>
          <w:sz w:val="24"/>
          <w:lang w:val="fi-FI"/>
        </w:rPr>
        <w:t>.</w:t>
      </w:r>
    </w:p>
  </w:footnote>
  <w:footnote w:id="237">
    <w:p w14:paraId="30767D51" w14:textId="77777777" w:rsidR="005375B7" w:rsidRPr="008622B6" w:rsidRDefault="005375B7" w:rsidP="005375B7">
      <w:pPr>
        <w:pStyle w:val="FootnoteText"/>
        <w:ind w:left="567" w:hanging="567"/>
        <w:rPr>
          <w:sz w:val="24"/>
          <w:lang w:val="fi-FI"/>
        </w:rPr>
      </w:pPr>
      <w:r w:rsidRPr="008622B6">
        <w:rPr>
          <w:rStyle w:val="FootnoteReference"/>
          <w:sz w:val="24"/>
        </w:rPr>
        <w:footnoteRef/>
      </w:r>
      <w:r w:rsidRPr="008622B6">
        <w:rPr>
          <w:sz w:val="24"/>
          <w:lang w:val="fi-FI"/>
        </w:rPr>
        <w:t xml:space="preserve"> </w:t>
      </w:r>
      <w:r w:rsidRPr="00822C8C">
        <w:rPr>
          <w:sz w:val="24"/>
          <w:lang w:val="fi-FI"/>
        </w:rPr>
        <w:tab/>
        <w:t xml:space="preserve">EUT C, C/2024/6332, 24.10.2024, ELI: </w:t>
      </w:r>
      <w:hyperlink r:id="rId237" w:history="1">
        <w:r w:rsidRPr="00822C8C">
          <w:rPr>
            <w:rStyle w:val="Hyperlink1"/>
            <w:sz w:val="24"/>
            <w:lang w:val="fi-FI"/>
          </w:rPr>
          <w:t>http://data.europa.eu/eli/C/2024/6332/oj</w:t>
        </w:r>
      </w:hyperlink>
      <w:r w:rsidRPr="00822C8C">
        <w:rPr>
          <w:sz w:val="24"/>
          <w:lang w:val="fi-FI"/>
        </w:rPr>
        <w:t>.</w:t>
      </w:r>
    </w:p>
  </w:footnote>
  <w:footnote w:id="238">
    <w:p w14:paraId="4CB26717" w14:textId="77777777" w:rsidR="005375B7" w:rsidRPr="008622B6" w:rsidRDefault="005375B7" w:rsidP="005375B7">
      <w:pPr>
        <w:pStyle w:val="FootnoteText"/>
        <w:ind w:left="567" w:hanging="567"/>
        <w:rPr>
          <w:sz w:val="24"/>
          <w:lang w:val="fi-FI"/>
        </w:rPr>
      </w:pPr>
      <w:r w:rsidRPr="008622B6">
        <w:rPr>
          <w:rStyle w:val="FootnoteReference"/>
          <w:sz w:val="24"/>
        </w:rPr>
        <w:footnoteRef/>
      </w:r>
      <w:r w:rsidRPr="008622B6">
        <w:rPr>
          <w:sz w:val="24"/>
          <w:lang w:val="fi-FI"/>
        </w:rPr>
        <w:t xml:space="preserve"> </w:t>
      </w:r>
      <w:r w:rsidRPr="00822C8C">
        <w:rPr>
          <w:sz w:val="24"/>
          <w:lang w:val="fi-FI"/>
        </w:rPr>
        <w:tab/>
        <w:t xml:space="preserve">EUT C, C/2024/6041, 10.10.2024, ELI: </w:t>
      </w:r>
      <w:hyperlink r:id="rId238" w:history="1">
        <w:r w:rsidRPr="00822C8C">
          <w:rPr>
            <w:rStyle w:val="Hyperlink1"/>
            <w:sz w:val="24"/>
            <w:lang w:val="fi-FI"/>
          </w:rPr>
          <w:t>http://data.europa.eu/eli/C/2024/6041/oj</w:t>
        </w:r>
      </w:hyperlink>
      <w:r w:rsidRPr="00822C8C">
        <w:rPr>
          <w:sz w:val="24"/>
          <w:lang w:val="fi-FI"/>
        </w:rPr>
        <w:t>.</w:t>
      </w:r>
    </w:p>
  </w:footnote>
  <w:footnote w:id="239">
    <w:p w14:paraId="7329AEF3" w14:textId="77777777" w:rsidR="005375B7" w:rsidRPr="008622B6" w:rsidRDefault="005375B7" w:rsidP="005375B7">
      <w:pPr>
        <w:pStyle w:val="FootnoteText"/>
        <w:ind w:left="567" w:hanging="567"/>
        <w:rPr>
          <w:sz w:val="24"/>
          <w:lang w:val="fi-FI"/>
        </w:rPr>
      </w:pPr>
      <w:r w:rsidRPr="008622B6">
        <w:rPr>
          <w:rStyle w:val="FootnoteReference"/>
          <w:sz w:val="24"/>
        </w:rPr>
        <w:footnoteRef/>
      </w:r>
      <w:r w:rsidRPr="008622B6">
        <w:rPr>
          <w:sz w:val="24"/>
          <w:lang w:val="fi-FI"/>
        </w:rPr>
        <w:t xml:space="preserve"> </w:t>
      </w:r>
      <w:r w:rsidRPr="00822C8C">
        <w:rPr>
          <w:sz w:val="24"/>
          <w:lang w:val="fi-FI"/>
        </w:rPr>
        <w:tab/>
        <w:t xml:space="preserve">EUT L 193, 30.7.2018, s. 1, ELI: </w:t>
      </w:r>
      <w:hyperlink r:id="rId239" w:history="1">
        <w:r w:rsidRPr="00822C8C">
          <w:rPr>
            <w:rStyle w:val="Hyperlink1"/>
            <w:sz w:val="24"/>
            <w:lang w:val="fi-FI"/>
          </w:rPr>
          <w:t>http://data.europa.eu/eli/reg/2018/1046/oj</w:t>
        </w:r>
      </w:hyperlink>
      <w:r w:rsidRPr="00822C8C">
        <w:rPr>
          <w:sz w:val="24"/>
          <w:lang w:val="fi-FI"/>
        </w:rPr>
        <w:t>.</w:t>
      </w:r>
    </w:p>
  </w:footnote>
  <w:footnote w:id="240">
    <w:p w14:paraId="21299910" w14:textId="77777777" w:rsidR="005375B7" w:rsidRPr="008622B6" w:rsidRDefault="005375B7" w:rsidP="005375B7">
      <w:pPr>
        <w:pStyle w:val="FootnoteText"/>
        <w:ind w:left="567" w:hanging="567"/>
        <w:rPr>
          <w:sz w:val="24"/>
          <w:lang w:val="fi-FI"/>
        </w:rPr>
      </w:pPr>
      <w:r w:rsidRPr="008622B6">
        <w:rPr>
          <w:rStyle w:val="FootnoteReference"/>
          <w:sz w:val="24"/>
        </w:rPr>
        <w:footnoteRef/>
      </w:r>
      <w:r w:rsidRPr="008622B6">
        <w:rPr>
          <w:sz w:val="24"/>
          <w:lang w:val="fi-FI"/>
        </w:rPr>
        <w:t xml:space="preserve"> </w:t>
      </w:r>
      <w:r w:rsidRPr="00822C8C">
        <w:rPr>
          <w:sz w:val="24"/>
          <w:lang w:val="fi-FI"/>
        </w:rPr>
        <w:tab/>
        <w:t xml:space="preserve">EUT L, 2024/2509, 26.9.2024, ELI: </w:t>
      </w:r>
      <w:hyperlink r:id="rId240" w:history="1">
        <w:r w:rsidRPr="00822C8C">
          <w:rPr>
            <w:rStyle w:val="Hyperlink1"/>
            <w:sz w:val="24"/>
            <w:lang w:val="fi-FI"/>
          </w:rPr>
          <w:t>http://data.europa.eu/eli/reg/2024/2509/oj</w:t>
        </w:r>
      </w:hyperlink>
      <w:r w:rsidRPr="00822C8C">
        <w:rPr>
          <w:rStyle w:val="Hyperlink1"/>
          <w:sz w:val="24"/>
          <w:lang w:val="fi-FI"/>
        </w:rPr>
        <w:t>.</w:t>
      </w:r>
    </w:p>
  </w:footnote>
  <w:footnote w:id="241">
    <w:p w14:paraId="53E1CD28" w14:textId="77777777" w:rsidR="005375B7" w:rsidRPr="008622B6" w:rsidRDefault="005375B7" w:rsidP="005375B7">
      <w:pPr>
        <w:pStyle w:val="FootnoteText"/>
        <w:ind w:left="567" w:hanging="567"/>
        <w:rPr>
          <w:sz w:val="24"/>
          <w:lang w:val="fi-FI"/>
        </w:rPr>
      </w:pPr>
      <w:r w:rsidRPr="008622B6">
        <w:rPr>
          <w:rStyle w:val="FootnoteReference"/>
          <w:sz w:val="24"/>
        </w:rPr>
        <w:footnoteRef/>
      </w:r>
      <w:r w:rsidRPr="008622B6">
        <w:rPr>
          <w:sz w:val="24"/>
          <w:lang w:val="fi-FI"/>
        </w:rPr>
        <w:t xml:space="preserve"> </w:t>
      </w:r>
      <w:r w:rsidRPr="00822C8C">
        <w:rPr>
          <w:sz w:val="24"/>
          <w:lang w:val="fi-FI"/>
        </w:rPr>
        <w:tab/>
        <w:t xml:space="preserve">EUT L 151, 7.6.2019, s. 15, ELI: </w:t>
      </w:r>
      <w:hyperlink r:id="rId241" w:history="1">
        <w:r w:rsidRPr="00822C8C">
          <w:rPr>
            <w:rStyle w:val="Hyperlink1"/>
            <w:sz w:val="24"/>
            <w:lang w:val="fi-FI"/>
          </w:rPr>
          <w:t>http://data.europa.eu/eli/reg/2019/881/oj</w:t>
        </w:r>
      </w:hyperlink>
      <w:r w:rsidRPr="00822C8C">
        <w:rPr>
          <w:sz w:val="24"/>
          <w:lang w:val="fi-FI"/>
        </w:rPr>
        <w:t>.</w:t>
      </w:r>
    </w:p>
  </w:footnote>
  <w:footnote w:id="242">
    <w:p w14:paraId="18886946" w14:textId="77777777" w:rsidR="005375B7" w:rsidRPr="008622B6" w:rsidRDefault="005375B7" w:rsidP="005375B7">
      <w:pPr>
        <w:pStyle w:val="FootnoteText"/>
        <w:ind w:left="567" w:hanging="567"/>
        <w:rPr>
          <w:sz w:val="24"/>
          <w:lang w:val="fi-FI"/>
        </w:rPr>
      </w:pPr>
      <w:r w:rsidRPr="008622B6">
        <w:rPr>
          <w:rStyle w:val="FootnoteReference"/>
          <w:sz w:val="24"/>
        </w:rPr>
        <w:footnoteRef/>
      </w:r>
      <w:r w:rsidRPr="008622B6">
        <w:rPr>
          <w:sz w:val="24"/>
          <w:lang w:val="fi-FI"/>
        </w:rPr>
        <w:t xml:space="preserve"> </w:t>
      </w:r>
      <w:r w:rsidRPr="00822C8C">
        <w:rPr>
          <w:sz w:val="24"/>
          <w:lang w:val="fi-FI"/>
        </w:rPr>
        <w:tab/>
        <w:t xml:space="preserve">EUT L 122, 10.5.2019, s. 1, ELI: </w:t>
      </w:r>
      <w:hyperlink r:id="rId242" w:history="1">
        <w:r w:rsidRPr="00822C8C">
          <w:rPr>
            <w:rStyle w:val="Hyperlink1"/>
            <w:sz w:val="24"/>
            <w:lang w:val="fi-FI"/>
          </w:rPr>
          <w:t>http://data.europa.eu/eli/reg_del/2019/715/oj</w:t>
        </w:r>
      </w:hyperlink>
      <w:r w:rsidRPr="00822C8C">
        <w:rPr>
          <w:sz w:val="24"/>
          <w:lang w:val="fi-FI"/>
        </w:rPr>
        <w:t>.</w:t>
      </w:r>
    </w:p>
  </w:footnote>
  <w:footnote w:id="243">
    <w:p w14:paraId="443B71EE" w14:textId="77777777" w:rsidR="005375B7" w:rsidRPr="00702022" w:rsidRDefault="005375B7" w:rsidP="005375B7">
      <w:pPr>
        <w:pStyle w:val="FootnoteText"/>
        <w:ind w:left="567" w:hanging="567"/>
        <w:rPr>
          <w:sz w:val="24"/>
          <w:lang w:val="fi-FI"/>
        </w:rPr>
      </w:pPr>
      <w:r w:rsidRPr="00702022">
        <w:rPr>
          <w:rStyle w:val="FootnoteReference"/>
          <w:sz w:val="24"/>
        </w:rPr>
        <w:footnoteRef/>
      </w:r>
      <w:r w:rsidRPr="00702022">
        <w:rPr>
          <w:sz w:val="24"/>
          <w:lang w:val="fi-FI"/>
        </w:rPr>
        <w:t xml:space="preserve"> </w:t>
      </w:r>
      <w:r w:rsidRPr="00822C8C">
        <w:rPr>
          <w:sz w:val="24"/>
          <w:lang w:val="fi-FI"/>
        </w:rPr>
        <w:tab/>
        <w:t xml:space="preserve">EUT C, C/2024/6332, 24.10.2024, ELI: </w:t>
      </w:r>
      <w:hyperlink r:id="rId243" w:history="1">
        <w:r w:rsidRPr="00822C8C">
          <w:rPr>
            <w:rStyle w:val="Hyperlink1"/>
            <w:sz w:val="24"/>
            <w:lang w:val="fi-FI"/>
          </w:rPr>
          <w:t>http://data.europa.eu/eli/C/2024/6332/oj</w:t>
        </w:r>
      </w:hyperlink>
      <w:r w:rsidRPr="00822C8C">
        <w:rPr>
          <w:sz w:val="24"/>
          <w:lang w:val="fi-FI"/>
        </w:rPr>
        <w:t>.</w:t>
      </w:r>
    </w:p>
  </w:footnote>
  <w:footnote w:id="244">
    <w:p w14:paraId="378E8696" w14:textId="77777777" w:rsidR="005375B7" w:rsidRPr="00702022" w:rsidRDefault="005375B7" w:rsidP="005375B7">
      <w:pPr>
        <w:pStyle w:val="FootnoteText"/>
        <w:ind w:left="567" w:hanging="567"/>
        <w:rPr>
          <w:sz w:val="24"/>
          <w:lang w:val="fi-FI"/>
        </w:rPr>
      </w:pPr>
      <w:r w:rsidRPr="00702022">
        <w:rPr>
          <w:rStyle w:val="FootnoteReference"/>
          <w:sz w:val="24"/>
        </w:rPr>
        <w:footnoteRef/>
      </w:r>
      <w:r w:rsidRPr="00702022">
        <w:rPr>
          <w:sz w:val="24"/>
          <w:lang w:val="fi-FI"/>
        </w:rPr>
        <w:t xml:space="preserve"> </w:t>
      </w:r>
      <w:r w:rsidRPr="00822C8C">
        <w:rPr>
          <w:sz w:val="24"/>
          <w:lang w:val="fi-FI"/>
        </w:rPr>
        <w:tab/>
        <w:t xml:space="preserve">EUT C, C/2024/6041, 10.10.2024, ELI: </w:t>
      </w:r>
      <w:hyperlink r:id="rId244" w:history="1">
        <w:r w:rsidRPr="00822C8C">
          <w:rPr>
            <w:rStyle w:val="Hyperlink1"/>
            <w:sz w:val="24"/>
            <w:lang w:val="fi-FI"/>
          </w:rPr>
          <w:t>http://data.europa.eu/eli/C/2024/6041/oj</w:t>
        </w:r>
      </w:hyperlink>
      <w:r w:rsidRPr="00822C8C">
        <w:rPr>
          <w:sz w:val="24"/>
          <w:lang w:val="fi-FI"/>
        </w:rPr>
        <w:t>.</w:t>
      </w:r>
    </w:p>
  </w:footnote>
  <w:footnote w:id="245">
    <w:p w14:paraId="71CDFB23" w14:textId="77777777" w:rsidR="005375B7" w:rsidRPr="00702022" w:rsidRDefault="005375B7" w:rsidP="005375B7">
      <w:pPr>
        <w:pStyle w:val="FootnoteText"/>
        <w:ind w:left="567" w:hanging="567"/>
        <w:rPr>
          <w:sz w:val="24"/>
          <w:lang w:val="fi-FI"/>
        </w:rPr>
      </w:pPr>
      <w:r w:rsidRPr="00702022">
        <w:rPr>
          <w:rStyle w:val="FootnoteReference"/>
          <w:sz w:val="24"/>
        </w:rPr>
        <w:footnoteRef/>
      </w:r>
      <w:r w:rsidRPr="00702022">
        <w:rPr>
          <w:sz w:val="24"/>
          <w:lang w:val="fi-FI"/>
        </w:rPr>
        <w:t xml:space="preserve"> </w:t>
      </w:r>
      <w:r w:rsidRPr="00822C8C">
        <w:rPr>
          <w:sz w:val="24"/>
          <w:lang w:val="fi-FI"/>
        </w:rPr>
        <w:tab/>
        <w:t xml:space="preserve">EUT L 193, 30.7.2018, s. 1, ELI: </w:t>
      </w:r>
      <w:hyperlink r:id="rId245" w:history="1">
        <w:r w:rsidRPr="00822C8C">
          <w:rPr>
            <w:rStyle w:val="Hyperlink1"/>
            <w:sz w:val="24"/>
            <w:lang w:val="fi-FI"/>
          </w:rPr>
          <w:t>http://data.europa.eu/eli/reg/2018/1046/oj</w:t>
        </w:r>
      </w:hyperlink>
      <w:r w:rsidRPr="00822C8C">
        <w:rPr>
          <w:sz w:val="24"/>
          <w:lang w:val="fi-FI"/>
        </w:rPr>
        <w:t>.</w:t>
      </w:r>
    </w:p>
  </w:footnote>
  <w:footnote w:id="246">
    <w:p w14:paraId="062854F8" w14:textId="77777777" w:rsidR="005375B7" w:rsidRPr="00702022" w:rsidRDefault="005375B7" w:rsidP="005375B7">
      <w:pPr>
        <w:pStyle w:val="FootnoteText"/>
        <w:ind w:left="567" w:hanging="567"/>
        <w:rPr>
          <w:sz w:val="24"/>
          <w:lang w:val="fi-FI"/>
        </w:rPr>
      </w:pPr>
      <w:r w:rsidRPr="00702022">
        <w:rPr>
          <w:rStyle w:val="FootnoteReference"/>
          <w:sz w:val="24"/>
        </w:rPr>
        <w:footnoteRef/>
      </w:r>
      <w:r w:rsidRPr="00702022">
        <w:rPr>
          <w:sz w:val="24"/>
          <w:lang w:val="fi-FI"/>
        </w:rPr>
        <w:t xml:space="preserve"> </w:t>
      </w:r>
      <w:r w:rsidRPr="00822C8C">
        <w:rPr>
          <w:sz w:val="24"/>
          <w:lang w:val="fi-FI"/>
        </w:rPr>
        <w:tab/>
        <w:t xml:space="preserve">EUT L, 2024/2509, 26.9.2024, ELI: </w:t>
      </w:r>
      <w:hyperlink r:id="rId246" w:history="1">
        <w:r w:rsidRPr="00822C8C">
          <w:rPr>
            <w:rStyle w:val="Hyperlink1"/>
            <w:sz w:val="24"/>
            <w:lang w:val="fi-FI"/>
          </w:rPr>
          <w:t>http://data.europa.eu/eli/reg/2024/2509/oj</w:t>
        </w:r>
      </w:hyperlink>
      <w:r w:rsidRPr="00822C8C">
        <w:rPr>
          <w:rStyle w:val="Hyperlink1"/>
          <w:sz w:val="24"/>
          <w:lang w:val="fi-FI"/>
        </w:rPr>
        <w:t>.</w:t>
      </w:r>
    </w:p>
  </w:footnote>
  <w:footnote w:id="247">
    <w:p w14:paraId="54506D42" w14:textId="77777777" w:rsidR="005375B7" w:rsidRPr="00702022" w:rsidRDefault="005375B7" w:rsidP="005375B7">
      <w:pPr>
        <w:pStyle w:val="FootnoteText"/>
        <w:ind w:left="567" w:hanging="567"/>
        <w:rPr>
          <w:sz w:val="24"/>
          <w:lang w:val="fi-FI"/>
        </w:rPr>
      </w:pPr>
      <w:r w:rsidRPr="00702022">
        <w:rPr>
          <w:rStyle w:val="FootnoteReference"/>
          <w:sz w:val="24"/>
        </w:rPr>
        <w:footnoteRef/>
      </w:r>
      <w:r w:rsidRPr="00702022">
        <w:rPr>
          <w:sz w:val="24"/>
          <w:lang w:val="fi-FI"/>
        </w:rPr>
        <w:t xml:space="preserve"> </w:t>
      </w:r>
      <w:r w:rsidRPr="00822C8C">
        <w:rPr>
          <w:sz w:val="24"/>
          <w:lang w:val="fi-FI"/>
        </w:rPr>
        <w:tab/>
        <w:t xml:space="preserve">EUT L 138, 26.5.2016, s. 1, ELI: </w:t>
      </w:r>
      <w:hyperlink r:id="rId247" w:history="1">
        <w:r w:rsidRPr="00822C8C">
          <w:rPr>
            <w:rStyle w:val="Hyperlink1"/>
            <w:sz w:val="24"/>
            <w:lang w:val="fi-FI"/>
          </w:rPr>
          <w:t>http://data.europa.eu/eli/reg/2016/796/oj</w:t>
        </w:r>
      </w:hyperlink>
      <w:r w:rsidRPr="00822C8C">
        <w:rPr>
          <w:sz w:val="24"/>
          <w:lang w:val="fi-FI"/>
        </w:rPr>
        <w:t>.</w:t>
      </w:r>
    </w:p>
  </w:footnote>
  <w:footnote w:id="248">
    <w:p w14:paraId="2C7C5B8A" w14:textId="77777777" w:rsidR="005375B7" w:rsidRPr="00702022" w:rsidRDefault="005375B7" w:rsidP="005375B7">
      <w:pPr>
        <w:pStyle w:val="FootnoteText"/>
        <w:ind w:left="567" w:hanging="567"/>
        <w:rPr>
          <w:sz w:val="24"/>
          <w:lang w:val="fi-FI"/>
        </w:rPr>
      </w:pPr>
      <w:r w:rsidRPr="00702022">
        <w:rPr>
          <w:rStyle w:val="FootnoteReference"/>
          <w:sz w:val="24"/>
        </w:rPr>
        <w:footnoteRef/>
      </w:r>
      <w:r w:rsidRPr="00702022">
        <w:rPr>
          <w:sz w:val="24"/>
          <w:lang w:val="fi-FI"/>
        </w:rPr>
        <w:t xml:space="preserve"> </w:t>
      </w:r>
      <w:r w:rsidRPr="00822C8C">
        <w:rPr>
          <w:sz w:val="24"/>
          <w:lang w:val="fi-FI"/>
        </w:rPr>
        <w:tab/>
        <w:t xml:space="preserve">EUT L 122, 10.5.2019, s. 1, ELI: </w:t>
      </w:r>
      <w:hyperlink r:id="rId248" w:history="1">
        <w:r w:rsidRPr="00822C8C">
          <w:rPr>
            <w:rStyle w:val="Hyperlink1"/>
            <w:sz w:val="24"/>
            <w:lang w:val="fi-FI"/>
          </w:rPr>
          <w:t>http://data.europa.eu/eli/reg_del/2019/715/oj</w:t>
        </w:r>
      </w:hyperlink>
      <w:r w:rsidRPr="00822C8C">
        <w:rPr>
          <w:sz w:val="24"/>
          <w:lang w:val="fi-FI"/>
        </w:rPr>
        <w:t>.</w:t>
      </w:r>
    </w:p>
  </w:footnote>
  <w:footnote w:id="249">
    <w:p w14:paraId="39D07973" w14:textId="77777777" w:rsidR="005375B7" w:rsidRPr="003604C3" w:rsidRDefault="005375B7" w:rsidP="005375B7">
      <w:pPr>
        <w:pStyle w:val="FootnoteText"/>
        <w:ind w:left="567" w:hanging="567"/>
        <w:rPr>
          <w:sz w:val="24"/>
          <w:lang w:val="fi-FI"/>
        </w:rPr>
      </w:pPr>
      <w:r w:rsidRPr="003604C3">
        <w:rPr>
          <w:rStyle w:val="FootnoteReference"/>
          <w:sz w:val="24"/>
        </w:rPr>
        <w:footnoteRef/>
      </w:r>
      <w:r w:rsidRPr="003604C3">
        <w:rPr>
          <w:sz w:val="24"/>
          <w:lang w:val="fi-FI"/>
        </w:rPr>
        <w:t xml:space="preserve"> </w:t>
      </w:r>
      <w:r w:rsidRPr="00822C8C">
        <w:rPr>
          <w:sz w:val="24"/>
          <w:lang w:val="fi-FI"/>
        </w:rPr>
        <w:tab/>
        <w:t xml:space="preserve">EUT C, C/2024/6332, 24.10.2024, ELI: </w:t>
      </w:r>
      <w:hyperlink r:id="rId249" w:history="1">
        <w:r w:rsidRPr="00822C8C">
          <w:rPr>
            <w:rStyle w:val="Hyperlink1"/>
            <w:sz w:val="24"/>
            <w:lang w:val="fi-FI"/>
          </w:rPr>
          <w:t>http://data.europa.eu/eli/C/2024/6332/oj</w:t>
        </w:r>
      </w:hyperlink>
      <w:r w:rsidRPr="00822C8C">
        <w:rPr>
          <w:sz w:val="24"/>
          <w:lang w:val="fi-FI"/>
        </w:rPr>
        <w:t>.</w:t>
      </w:r>
    </w:p>
  </w:footnote>
  <w:footnote w:id="250">
    <w:p w14:paraId="0DD01316" w14:textId="77777777" w:rsidR="005375B7" w:rsidRPr="003604C3" w:rsidRDefault="005375B7" w:rsidP="005375B7">
      <w:pPr>
        <w:pStyle w:val="FootnoteText"/>
        <w:ind w:left="567" w:hanging="567"/>
        <w:rPr>
          <w:sz w:val="24"/>
          <w:lang w:val="fi-FI"/>
        </w:rPr>
      </w:pPr>
      <w:r w:rsidRPr="003604C3">
        <w:rPr>
          <w:rStyle w:val="FootnoteReference"/>
          <w:sz w:val="24"/>
        </w:rPr>
        <w:footnoteRef/>
      </w:r>
      <w:r w:rsidRPr="003604C3">
        <w:rPr>
          <w:sz w:val="24"/>
          <w:lang w:val="fi-FI"/>
        </w:rPr>
        <w:t xml:space="preserve"> </w:t>
      </w:r>
      <w:r w:rsidRPr="00822C8C">
        <w:rPr>
          <w:sz w:val="24"/>
          <w:lang w:val="fi-FI"/>
        </w:rPr>
        <w:tab/>
        <w:t xml:space="preserve">EUT C, C/2024/6041, 10.10.2024, ELI: </w:t>
      </w:r>
      <w:hyperlink r:id="rId250" w:history="1">
        <w:r w:rsidRPr="00822C8C">
          <w:rPr>
            <w:rStyle w:val="Hyperlink1"/>
            <w:sz w:val="24"/>
            <w:lang w:val="fi-FI"/>
          </w:rPr>
          <w:t>http://data.europa.eu/eli/C/2024/6041/oj</w:t>
        </w:r>
      </w:hyperlink>
      <w:r w:rsidRPr="00822C8C">
        <w:rPr>
          <w:sz w:val="24"/>
          <w:lang w:val="fi-FI"/>
        </w:rPr>
        <w:t>.</w:t>
      </w:r>
    </w:p>
  </w:footnote>
  <w:footnote w:id="251">
    <w:p w14:paraId="0278F276" w14:textId="77777777" w:rsidR="005375B7" w:rsidRPr="003604C3" w:rsidRDefault="005375B7" w:rsidP="005375B7">
      <w:pPr>
        <w:pStyle w:val="FootnoteText"/>
        <w:ind w:left="567" w:hanging="567"/>
        <w:rPr>
          <w:sz w:val="24"/>
          <w:lang w:val="fi-FI"/>
        </w:rPr>
      </w:pPr>
      <w:r w:rsidRPr="003604C3">
        <w:rPr>
          <w:rStyle w:val="FootnoteReference"/>
          <w:sz w:val="24"/>
        </w:rPr>
        <w:footnoteRef/>
      </w:r>
      <w:r w:rsidRPr="003604C3">
        <w:rPr>
          <w:sz w:val="24"/>
          <w:lang w:val="fi-FI"/>
        </w:rPr>
        <w:t xml:space="preserve"> </w:t>
      </w:r>
      <w:r w:rsidRPr="00822C8C">
        <w:rPr>
          <w:sz w:val="24"/>
          <w:lang w:val="fi-FI"/>
        </w:rPr>
        <w:tab/>
        <w:t xml:space="preserve">EUT L 193, 30.7.2018, s. 1, ELI: </w:t>
      </w:r>
      <w:hyperlink r:id="rId251" w:history="1">
        <w:r w:rsidRPr="00822C8C">
          <w:rPr>
            <w:rStyle w:val="Hyperlink1"/>
            <w:sz w:val="24"/>
            <w:lang w:val="fi-FI"/>
          </w:rPr>
          <w:t>http://data.europa.eu/eli/reg/2018/1046/oj</w:t>
        </w:r>
      </w:hyperlink>
      <w:r w:rsidRPr="00822C8C">
        <w:rPr>
          <w:sz w:val="24"/>
          <w:lang w:val="fi-FI"/>
        </w:rPr>
        <w:t>.</w:t>
      </w:r>
    </w:p>
  </w:footnote>
  <w:footnote w:id="252">
    <w:p w14:paraId="74FA4692" w14:textId="77777777" w:rsidR="005375B7" w:rsidRPr="003604C3" w:rsidRDefault="005375B7" w:rsidP="005375B7">
      <w:pPr>
        <w:pStyle w:val="FootnoteText"/>
        <w:ind w:left="567" w:hanging="567"/>
        <w:rPr>
          <w:sz w:val="24"/>
          <w:lang w:val="fi-FI"/>
        </w:rPr>
      </w:pPr>
      <w:r w:rsidRPr="003604C3">
        <w:rPr>
          <w:rStyle w:val="FootnoteReference"/>
          <w:sz w:val="24"/>
        </w:rPr>
        <w:footnoteRef/>
      </w:r>
      <w:r w:rsidRPr="003604C3">
        <w:rPr>
          <w:sz w:val="24"/>
          <w:lang w:val="fi-FI"/>
        </w:rPr>
        <w:t xml:space="preserve"> </w:t>
      </w:r>
      <w:r w:rsidRPr="00822C8C">
        <w:rPr>
          <w:sz w:val="24"/>
          <w:lang w:val="fi-FI"/>
        </w:rPr>
        <w:tab/>
        <w:t xml:space="preserve">EUT L, 2024/2509, 26.9.2024, ELI: </w:t>
      </w:r>
      <w:hyperlink r:id="rId252" w:history="1">
        <w:r w:rsidRPr="00822C8C">
          <w:rPr>
            <w:rStyle w:val="Hyperlink1"/>
            <w:sz w:val="24"/>
            <w:lang w:val="fi-FI"/>
          </w:rPr>
          <w:t>http://data.europa.eu/eli/reg/2024/2509/oj</w:t>
        </w:r>
      </w:hyperlink>
      <w:r w:rsidRPr="00822C8C">
        <w:rPr>
          <w:rStyle w:val="Hyperlink1"/>
          <w:sz w:val="24"/>
          <w:lang w:val="fi-FI"/>
        </w:rPr>
        <w:t>.</w:t>
      </w:r>
    </w:p>
  </w:footnote>
  <w:footnote w:id="253">
    <w:p w14:paraId="4072479A" w14:textId="77777777" w:rsidR="005375B7" w:rsidRPr="003604C3" w:rsidRDefault="005375B7" w:rsidP="005375B7">
      <w:pPr>
        <w:pStyle w:val="FootnoteText"/>
        <w:ind w:left="567" w:hanging="567"/>
        <w:rPr>
          <w:sz w:val="24"/>
          <w:lang w:val="fi-FI"/>
        </w:rPr>
      </w:pPr>
      <w:r w:rsidRPr="003604C3">
        <w:rPr>
          <w:rStyle w:val="FootnoteReference"/>
          <w:sz w:val="24"/>
        </w:rPr>
        <w:footnoteRef/>
      </w:r>
      <w:r w:rsidRPr="003604C3">
        <w:rPr>
          <w:sz w:val="24"/>
          <w:lang w:val="fi-FI"/>
        </w:rPr>
        <w:t xml:space="preserve"> </w:t>
      </w:r>
      <w:r w:rsidRPr="00822C8C">
        <w:rPr>
          <w:sz w:val="24"/>
          <w:lang w:val="fi-FI"/>
        </w:rPr>
        <w:tab/>
        <w:t xml:space="preserve">EUT L 138, 26.5.2016, s. 1, ELI: </w:t>
      </w:r>
      <w:hyperlink r:id="rId253" w:history="1">
        <w:r w:rsidRPr="00822C8C">
          <w:rPr>
            <w:rStyle w:val="Hyperlink1"/>
            <w:sz w:val="24"/>
            <w:lang w:val="fi-FI"/>
          </w:rPr>
          <w:t>http://data.europa.eu/eli/reg/2016/796/oj</w:t>
        </w:r>
      </w:hyperlink>
      <w:r w:rsidRPr="00822C8C">
        <w:rPr>
          <w:sz w:val="24"/>
          <w:lang w:val="fi-FI"/>
        </w:rPr>
        <w:t>.</w:t>
      </w:r>
    </w:p>
  </w:footnote>
  <w:footnote w:id="254">
    <w:p w14:paraId="7B31B363" w14:textId="77777777" w:rsidR="005375B7" w:rsidRPr="003604C3" w:rsidRDefault="005375B7" w:rsidP="005375B7">
      <w:pPr>
        <w:pStyle w:val="FootnoteText"/>
        <w:ind w:left="567" w:hanging="567"/>
        <w:rPr>
          <w:sz w:val="24"/>
          <w:lang w:val="fi-FI"/>
        </w:rPr>
      </w:pPr>
      <w:r w:rsidRPr="003604C3">
        <w:rPr>
          <w:rStyle w:val="FootnoteReference"/>
          <w:sz w:val="24"/>
        </w:rPr>
        <w:footnoteRef/>
      </w:r>
      <w:r w:rsidRPr="003604C3">
        <w:rPr>
          <w:sz w:val="24"/>
          <w:lang w:val="fi-FI"/>
        </w:rPr>
        <w:t xml:space="preserve"> </w:t>
      </w:r>
      <w:r w:rsidRPr="00822C8C">
        <w:rPr>
          <w:sz w:val="24"/>
          <w:lang w:val="fi-FI"/>
        </w:rPr>
        <w:tab/>
        <w:t xml:space="preserve">EUT L 122, 10.5.2019, s. 1, ELI: </w:t>
      </w:r>
      <w:hyperlink r:id="rId254" w:history="1">
        <w:r w:rsidRPr="00822C8C">
          <w:rPr>
            <w:rStyle w:val="Hyperlink1"/>
            <w:sz w:val="24"/>
            <w:lang w:val="fi-FI"/>
          </w:rPr>
          <w:t>http://data.europa.eu/eli/reg_del/2019/715/oj</w:t>
        </w:r>
      </w:hyperlink>
      <w:r w:rsidRPr="00822C8C">
        <w:rPr>
          <w:sz w:val="24"/>
          <w:lang w:val="fi-FI"/>
        </w:rPr>
        <w:t>.</w:t>
      </w:r>
    </w:p>
  </w:footnote>
  <w:footnote w:id="255">
    <w:p w14:paraId="3CBBD201" w14:textId="77777777" w:rsidR="005375B7" w:rsidRPr="00142E97" w:rsidRDefault="005375B7" w:rsidP="005375B7">
      <w:pPr>
        <w:pStyle w:val="FootnoteText"/>
        <w:ind w:left="567" w:hanging="567"/>
        <w:rPr>
          <w:sz w:val="24"/>
          <w:lang w:val="fi-FI"/>
        </w:rPr>
      </w:pPr>
      <w:r w:rsidRPr="00142E97">
        <w:rPr>
          <w:rStyle w:val="FootnoteReference"/>
          <w:sz w:val="24"/>
        </w:rPr>
        <w:footnoteRef/>
      </w:r>
      <w:r w:rsidRPr="00142E97">
        <w:rPr>
          <w:sz w:val="24"/>
          <w:lang w:val="fi-FI"/>
        </w:rPr>
        <w:t xml:space="preserve"> </w:t>
      </w:r>
      <w:r w:rsidRPr="00822C8C">
        <w:rPr>
          <w:sz w:val="24"/>
          <w:lang w:val="fi-FI"/>
        </w:rPr>
        <w:tab/>
        <w:t xml:space="preserve">EUT C, C/2024/6332, 24.10.2024, ELI: </w:t>
      </w:r>
      <w:hyperlink r:id="rId255" w:history="1">
        <w:r w:rsidRPr="00822C8C">
          <w:rPr>
            <w:rStyle w:val="Hyperlink1"/>
            <w:sz w:val="24"/>
            <w:lang w:val="fi-FI"/>
          </w:rPr>
          <w:t>http://data.europa.eu/eli/C/2024/6332/oj</w:t>
        </w:r>
      </w:hyperlink>
      <w:r w:rsidRPr="00822C8C">
        <w:rPr>
          <w:sz w:val="24"/>
          <w:lang w:val="fi-FI"/>
        </w:rPr>
        <w:t>.</w:t>
      </w:r>
    </w:p>
  </w:footnote>
  <w:footnote w:id="256">
    <w:p w14:paraId="0C743FB7" w14:textId="77777777" w:rsidR="005375B7" w:rsidRPr="00142E97" w:rsidRDefault="005375B7" w:rsidP="005375B7">
      <w:pPr>
        <w:pStyle w:val="FootnoteText"/>
        <w:ind w:left="567" w:hanging="567"/>
        <w:rPr>
          <w:sz w:val="24"/>
          <w:lang w:val="fi-FI"/>
        </w:rPr>
      </w:pPr>
      <w:r w:rsidRPr="00142E97">
        <w:rPr>
          <w:rStyle w:val="FootnoteReference"/>
          <w:sz w:val="24"/>
        </w:rPr>
        <w:footnoteRef/>
      </w:r>
      <w:r w:rsidRPr="00142E97">
        <w:rPr>
          <w:sz w:val="24"/>
          <w:lang w:val="fi-FI"/>
        </w:rPr>
        <w:t xml:space="preserve"> </w:t>
      </w:r>
      <w:r w:rsidRPr="00822C8C">
        <w:rPr>
          <w:sz w:val="24"/>
          <w:lang w:val="fi-FI"/>
        </w:rPr>
        <w:tab/>
        <w:t xml:space="preserve">EUT C, C/2024/6041, 10.10.2024, ELI: </w:t>
      </w:r>
      <w:hyperlink r:id="rId256" w:history="1">
        <w:r w:rsidRPr="00822C8C">
          <w:rPr>
            <w:rStyle w:val="Hyperlink1"/>
            <w:sz w:val="24"/>
            <w:lang w:val="fi-FI"/>
          </w:rPr>
          <w:t>http://data.europa.eu/eli/C/2024/6041/oj</w:t>
        </w:r>
      </w:hyperlink>
      <w:r w:rsidRPr="00822C8C">
        <w:rPr>
          <w:sz w:val="24"/>
          <w:lang w:val="fi-FI"/>
        </w:rPr>
        <w:t>.</w:t>
      </w:r>
    </w:p>
  </w:footnote>
  <w:footnote w:id="257">
    <w:p w14:paraId="62BD10AB" w14:textId="77777777" w:rsidR="005375B7" w:rsidRPr="00142E97" w:rsidRDefault="005375B7" w:rsidP="005375B7">
      <w:pPr>
        <w:pStyle w:val="FootnoteText"/>
        <w:ind w:left="567" w:hanging="567"/>
        <w:rPr>
          <w:sz w:val="24"/>
          <w:lang w:val="fi-FI"/>
        </w:rPr>
      </w:pPr>
      <w:r w:rsidRPr="00142E97">
        <w:rPr>
          <w:rStyle w:val="FootnoteReference"/>
          <w:sz w:val="24"/>
        </w:rPr>
        <w:footnoteRef/>
      </w:r>
      <w:r w:rsidRPr="00142E97">
        <w:rPr>
          <w:sz w:val="24"/>
          <w:lang w:val="fi-FI"/>
        </w:rPr>
        <w:t xml:space="preserve"> </w:t>
      </w:r>
      <w:r w:rsidRPr="00822C8C">
        <w:rPr>
          <w:sz w:val="24"/>
          <w:lang w:val="fi-FI"/>
        </w:rPr>
        <w:tab/>
        <w:t xml:space="preserve">EUT L 193, 30.7.2018, s. 1, ELI: </w:t>
      </w:r>
      <w:hyperlink r:id="rId257" w:history="1">
        <w:r w:rsidRPr="00822C8C">
          <w:rPr>
            <w:rStyle w:val="Hyperlink1"/>
            <w:sz w:val="24"/>
            <w:lang w:val="fi-FI"/>
          </w:rPr>
          <w:t>http://data.europa.eu/eli/reg/2018/1046/oj</w:t>
        </w:r>
      </w:hyperlink>
      <w:r w:rsidRPr="00822C8C">
        <w:rPr>
          <w:sz w:val="24"/>
          <w:lang w:val="fi-FI"/>
        </w:rPr>
        <w:t>.</w:t>
      </w:r>
    </w:p>
  </w:footnote>
  <w:footnote w:id="258">
    <w:p w14:paraId="0A354B03" w14:textId="77777777" w:rsidR="005375B7" w:rsidRPr="00142E97" w:rsidRDefault="005375B7" w:rsidP="005375B7">
      <w:pPr>
        <w:pStyle w:val="FootnoteText"/>
        <w:ind w:left="567" w:hanging="567"/>
        <w:rPr>
          <w:sz w:val="24"/>
          <w:lang w:val="fi-FI"/>
        </w:rPr>
      </w:pPr>
      <w:r w:rsidRPr="00142E97">
        <w:rPr>
          <w:rStyle w:val="FootnoteReference"/>
          <w:sz w:val="24"/>
        </w:rPr>
        <w:footnoteRef/>
      </w:r>
      <w:r w:rsidRPr="00142E97">
        <w:rPr>
          <w:sz w:val="24"/>
          <w:lang w:val="fi-FI"/>
        </w:rPr>
        <w:t xml:space="preserve"> </w:t>
      </w:r>
      <w:r w:rsidRPr="00822C8C">
        <w:rPr>
          <w:sz w:val="24"/>
          <w:lang w:val="fi-FI"/>
        </w:rPr>
        <w:tab/>
        <w:t xml:space="preserve">EUT L, 2024/2509, 26.9.2024, ELI: </w:t>
      </w:r>
      <w:hyperlink r:id="rId258" w:history="1">
        <w:r w:rsidRPr="00822C8C">
          <w:rPr>
            <w:rStyle w:val="Hyperlink1"/>
            <w:sz w:val="24"/>
            <w:lang w:val="fi-FI"/>
          </w:rPr>
          <w:t>http://data.europa.eu/eli/reg/2024/2509/oj</w:t>
        </w:r>
      </w:hyperlink>
      <w:r w:rsidRPr="00822C8C">
        <w:rPr>
          <w:rStyle w:val="Hyperlink1"/>
          <w:sz w:val="24"/>
          <w:lang w:val="fi-FI"/>
        </w:rPr>
        <w:t>.</w:t>
      </w:r>
    </w:p>
  </w:footnote>
  <w:footnote w:id="259">
    <w:p w14:paraId="398B723B" w14:textId="77777777" w:rsidR="005375B7" w:rsidRPr="00142E97" w:rsidRDefault="005375B7" w:rsidP="005375B7">
      <w:pPr>
        <w:pStyle w:val="FootnoteText"/>
        <w:ind w:left="567" w:hanging="567"/>
        <w:rPr>
          <w:sz w:val="24"/>
          <w:lang w:val="fi-FI"/>
        </w:rPr>
      </w:pPr>
      <w:r w:rsidRPr="00142E97">
        <w:rPr>
          <w:rStyle w:val="FootnoteReference"/>
          <w:sz w:val="24"/>
        </w:rPr>
        <w:footnoteRef/>
      </w:r>
      <w:r w:rsidRPr="00142E97">
        <w:rPr>
          <w:sz w:val="24"/>
          <w:lang w:val="fi-FI"/>
        </w:rPr>
        <w:t xml:space="preserve"> </w:t>
      </w:r>
      <w:r w:rsidRPr="00822C8C">
        <w:rPr>
          <w:sz w:val="24"/>
          <w:lang w:val="fi-FI"/>
        </w:rPr>
        <w:tab/>
        <w:t xml:space="preserve">EUT L 41, 15.2.2008, s. 15, ELI: </w:t>
      </w:r>
      <w:hyperlink r:id="rId259" w:history="1">
        <w:r w:rsidRPr="00822C8C">
          <w:rPr>
            <w:rStyle w:val="Hyperlink1"/>
            <w:sz w:val="24"/>
            <w:lang w:val="fi-FI"/>
          </w:rPr>
          <w:t>http://data.europa.eu/eli/dec/2008/114(1)/oj</w:t>
        </w:r>
      </w:hyperlink>
      <w:r w:rsidRPr="00822C8C">
        <w:rPr>
          <w:sz w:val="24"/>
          <w:lang w:val="fi-FI"/>
        </w:rPr>
        <w:t>.</w:t>
      </w:r>
    </w:p>
  </w:footnote>
  <w:footnote w:id="260">
    <w:p w14:paraId="35AA077E" w14:textId="77777777" w:rsidR="005375B7" w:rsidRPr="00B11246" w:rsidRDefault="005375B7" w:rsidP="005375B7">
      <w:pPr>
        <w:pStyle w:val="FootnoteText"/>
        <w:ind w:left="567" w:hanging="567"/>
        <w:rPr>
          <w:sz w:val="24"/>
          <w:lang w:val="fi-FI"/>
        </w:rPr>
      </w:pPr>
      <w:r w:rsidRPr="00B11246">
        <w:rPr>
          <w:rStyle w:val="FootnoteReference"/>
          <w:sz w:val="24"/>
        </w:rPr>
        <w:footnoteRef/>
      </w:r>
      <w:r w:rsidRPr="00B11246">
        <w:rPr>
          <w:sz w:val="24"/>
          <w:lang w:val="fi-FI"/>
        </w:rPr>
        <w:t xml:space="preserve"> </w:t>
      </w:r>
      <w:r w:rsidRPr="00822C8C">
        <w:rPr>
          <w:sz w:val="24"/>
          <w:lang w:val="fi-FI"/>
        </w:rPr>
        <w:tab/>
        <w:t xml:space="preserve">EUT C, C/2024/6332, 24.10.2024, ELI: </w:t>
      </w:r>
      <w:hyperlink r:id="rId260" w:history="1">
        <w:r w:rsidRPr="00822C8C">
          <w:rPr>
            <w:rStyle w:val="Hyperlink1"/>
            <w:sz w:val="24"/>
            <w:lang w:val="fi-FI"/>
          </w:rPr>
          <w:t>http://data.europa.eu/eli/C/2024/6332/oj</w:t>
        </w:r>
      </w:hyperlink>
      <w:r w:rsidRPr="00822C8C">
        <w:rPr>
          <w:sz w:val="24"/>
          <w:lang w:val="fi-FI"/>
        </w:rPr>
        <w:t>.</w:t>
      </w:r>
    </w:p>
  </w:footnote>
  <w:footnote w:id="261">
    <w:p w14:paraId="56EE403E" w14:textId="77777777" w:rsidR="005375B7" w:rsidRPr="00B11246" w:rsidRDefault="005375B7" w:rsidP="005375B7">
      <w:pPr>
        <w:pStyle w:val="FootnoteText"/>
        <w:ind w:left="567" w:hanging="567"/>
        <w:rPr>
          <w:sz w:val="24"/>
          <w:lang w:val="fi-FI"/>
        </w:rPr>
      </w:pPr>
      <w:r w:rsidRPr="00B11246">
        <w:rPr>
          <w:rStyle w:val="FootnoteReference"/>
          <w:sz w:val="24"/>
        </w:rPr>
        <w:footnoteRef/>
      </w:r>
      <w:r w:rsidRPr="00B11246">
        <w:rPr>
          <w:sz w:val="24"/>
          <w:lang w:val="fi-FI"/>
        </w:rPr>
        <w:t xml:space="preserve"> </w:t>
      </w:r>
      <w:r w:rsidRPr="00822C8C">
        <w:rPr>
          <w:sz w:val="24"/>
          <w:lang w:val="fi-FI"/>
        </w:rPr>
        <w:tab/>
        <w:t xml:space="preserve">EUT C, C/2024/6041, 10.10.2024, ELI: </w:t>
      </w:r>
      <w:hyperlink r:id="rId261" w:history="1">
        <w:r w:rsidRPr="00822C8C">
          <w:rPr>
            <w:rStyle w:val="Hyperlink1"/>
            <w:sz w:val="24"/>
            <w:lang w:val="fi-FI"/>
          </w:rPr>
          <w:t>http://data.europa.eu/eli/C/2024/6041/oj</w:t>
        </w:r>
      </w:hyperlink>
      <w:r w:rsidRPr="00822C8C">
        <w:rPr>
          <w:sz w:val="24"/>
          <w:lang w:val="fi-FI"/>
        </w:rPr>
        <w:t>.</w:t>
      </w:r>
    </w:p>
  </w:footnote>
  <w:footnote w:id="262">
    <w:p w14:paraId="0D2371B4" w14:textId="77777777" w:rsidR="005375B7" w:rsidRPr="00B11246" w:rsidRDefault="005375B7" w:rsidP="005375B7">
      <w:pPr>
        <w:pStyle w:val="FootnoteText"/>
        <w:ind w:left="567" w:hanging="567"/>
        <w:rPr>
          <w:sz w:val="24"/>
          <w:lang w:val="fi-FI"/>
        </w:rPr>
      </w:pPr>
      <w:r w:rsidRPr="00B11246">
        <w:rPr>
          <w:rStyle w:val="FootnoteReference"/>
          <w:sz w:val="24"/>
        </w:rPr>
        <w:footnoteRef/>
      </w:r>
      <w:r w:rsidRPr="00B11246">
        <w:rPr>
          <w:sz w:val="24"/>
          <w:lang w:val="fi-FI"/>
        </w:rPr>
        <w:t xml:space="preserve"> </w:t>
      </w:r>
      <w:r w:rsidRPr="00822C8C">
        <w:rPr>
          <w:sz w:val="24"/>
          <w:lang w:val="fi-FI"/>
        </w:rPr>
        <w:tab/>
        <w:t xml:space="preserve">EUT L 193, 30.7.2018, s. 1, ELI: </w:t>
      </w:r>
      <w:hyperlink r:id="rId262" w:history="1">
        <w:r w:rsidRPr="00822C8C">
          <w:rPr>
            <w:rStyle w:val="Hyperlink1"/>
            <w:sz w:val="24"/>
            <w:lang w:val="fi-FI"/>
          </w:rPr>
          <w:t>http://data.europa.eu/eli/reg/2018/1046/oj</w:t>
        </w:r>
      </w:hyperlink>
      <w:r w:rsidRPr="00822C8C">
        <w:rPr>
          <w:sz w:val="24"/>
          <w:lang w:val="fi-FI"/>
        </w:rPr>
        <w:t>.</w:t>
      </w:r>
    </w:p>
  </w:footnote>
  <w:footnote w:id="263">
    <w:p w14:paraId="23CDBE70" w14:textId="77777777" w:rsidR="005375B7" w:rsidRPr="00B11246" w:rsidRDefault="005375B7" w:rsidP="005375B7">
      <w:pPr>
        <w:pStyle w:val="FootnoteText"/>
        <w:ind w:left="567" w:hanging="567"/>
        <w:rPr>
          <w:sz w:val="24"/>
          <w:lang w:val="fi-FI"/>
        </w:rPr>
      </w:pPr>
      <w:r w:rsidRPr="00B11246">
        <w:rPr>
          <w:rStyle w:val="FootnoteReference"/>
          <w:sz w:val="24"/>
        </w:rPr>
        <w:footnoteRef/>
      </w:r>
      <w:r w:rsidRPr="00B11246">
        <w:rPr>
          <w:sz w:val="24"/>
          <w:lang w:val="fi-FI"/>
        </w:rPr>
        <w:t xml:space="preserve"> </w:t>
      </w:r>
      <w:r w:rsidRPr="00822C8C">
        <w:rPr>
          <w:sz w:val="24"/>
          <w:lang w:val="fi-FI"/>
        </w:rPr>
        <w:tab/>
        <w:t xml:space="preserve">EUT L, 2024/2509, 26.9.2024, ELI: </w:t>
      </w:r>
      <w:hyperlink r:id="rId263" w:history="1">
        <w:r w:rsidRPr="00822C8C">
          <w:rPr>
            <w:rStyle w:val="Hyperlink1"/>
            <w:sz w:val="24"/>
            <w:lang w:val="fi-FI"/>
          </w:rPr>
          <w:t>http://data.europa.eu/eli/reg/2024/2509/oj</w:t>
        </w:r>
      </w:hyperlink>
      <w:r w:rsidRPr="00822C8C">
        <w:rPr>
          <w:rStyle w:val="Hyperlink1"/>
          <w:sz w:val="24"/>
          <w:lang w:val="fi-FI"/>
        </w:rPr>
        <w:t>.</w:t>
      </w:r>
    </w:p>
  </w:footnote>
  <w:footnote w:id="264">
    <w:p w14:paraId="270FA36F" w14:textId="77777777" w:rsidR="005375B7" w:rsidRPr="00B11246" w:rsidRDefault="005375B7" w:rsidP="005375B7">
      <w:pPr>
        <w:pStyle w:val="FootnoteText"/>
        <w:ind w:left="567" w:hanging="567"/>
        <w:rPr>
          <w:sz w:val="24"/>
          <w:lang w:val="fi-FI"/>
        </w:rPr>
      </w:pPr>
      <w:r w:rsidRPr="00B11246">
        <w:rPr>
          <w:rStyle w:val="FootnoteReference"/>
          <w:sz w:val="24"/>
        </w:rPr>
        <w:footnoteRef/>
      </w:r>
      <w:r w:rsidRPr="00B11246">
        <w:rPr>
          <w:sz w:val="24"/>
          <w:lang w:val="fi-FI"/>
        </w:rPr>
        <w:t xml:space="preserve"> </w:t>
      </w:r>
      <w:r w:rsidRPr="00822C8C">
        <w:rPr>
          <w:sz w:val="24"/>
          <w:lang w:val="fi-FI"/>
        </w:rPr>
        <w:tab/>
        <w:t xml:space="preserve">EUT L 41, 15.2.2008, s. 15, ELI: </w:t>
      </w:r>
      <w:hyperlink r:id="rId264" w:history="1">
        <w:r w:rsidRPr="00822C8C">
          <w:rPr>
            <w:rStyle w:val="Hyperlink1"/>
            <w:sz w:val="24"/>
            <w:lang w:val="fi-FI"/>
          </w:rPr>
          <w:t>http://data.europa.eu/eli/dec/2008/114(1)/oj</w:t>
        </w:r>
      </w:hyperlink>
      <w:r w:rsidRPr="00822C8C">
        <w:rPr>
          <w:sz w:val="24"/>
          <w:lang w:val="fi-FI"/>
        </w:rPr>
        <w:t>.</w:t>
      </w:r>
    </w:p>
  </w:footnote>
  <w:footnote w:id="265">
    <w:p w14:paraId="1DFD9D83" w14:textId="77777777" w:rsidR="005375B7" w:rsidRPr="004F0F41" w:rsidRDefault="005375B7" w:rsidP="005375B7">
      <w:pPr>
        <w:pStyle w:val="FootnoteText"/>
        <w:ind w:left="567" w:hanging="567"/>
        <w:rPr>
          <w:sz w:val="24"/>
          <w:lang w:val="fi-FI"/>
        </w:rPr>
      </w:pPr>
      <w:r w:rsidRPr="004F0F41">
        <w:rPr>
          <w:rStyle w:val="FootnoteReference"/>
          <w:sz w:val="24"/>
        </w:rPr>
        <w:footnoteRef/>
      </w:r>
      <w:r w:rsidRPr="004F0F41">
        <w:rPr>
          <w:sz w:val="24"/>
          <w:lang w:val="fi-FI"/>
        </w:rPr>
        <w:t xml:space="preserve"> </w:t>
      </w:r>
      <w:r w:rsidRPr="00822C8C">
        <w:rPr>
          <w:sz w:val="24"/>
          <w:lang w:val="fi-FI"/>
        </w:rPr>
        <w:tab/>
        <w:t xml:space="preserve">EUT C, C/2024/6332, 24.10.2024, ELI: </w:t>
      </w:r>
      <w:hyperlink r:id="rId265" w:history="1">
        <w:r w:rsidRPr="00822C8C">
          <w:rPr>
            <w:rStyle w:val="Hyperlink1"/>
            <w:sz w:val="24"/>
            <w:lang w:val="fi-FI"/>
          </w:rPr>
          <w:t>http://data.europa.eu/eli/C/2024/6332/oj</w:t>
        </w:r>
      </w:hyperlink>
      <w:r w:rsidRPr="00822C8C">
        <w:rPr>
          <w:sz w:val="24"/>
          <w:lang w:val="fi-FI"/>
        </w:rPr>
        <w:t>.</w:t>
      </w:r>
    </w:p>
  </w:footnote>
  <w:footnote w:id="266">
    <w:p w14:paraId="2590694F" w14:textId="77777777" w:rsidR="005375B7" w:rsidRPr="004F0F41" w:rsidRDefault="005375B7" w:rsidP="005375B7">
      <w:pPr>
        <w:pStyle w:val="FootnoteText"/>
        <w:ind w:left="567" w:hanging="567"/>
        <w:rPr>
          <w:sz w:val="24"/>
          <w:lang w:val="fi-FI"/>
        </w:rPr>
      </w:pPr>
      <w:r w:rsidRPr="004F0F41">
        <w:rPr>
          <w:rStyle w:val="FootnoteReference"/>
          <w:sz w:val="24"/>
        </w:rPr>
        <w:footnoteRef/>
      </w:r>
      <w:r w:rsidRPr="004F0F41">
        <w:rPr>
          <w:sz w:val="24"/>
          <w:lang w:val="fi-FI"/>
        </w:rPr>
        <w:t xml:space="preserve"> </w:t>
      </w:r>
      <w:r w:rsidRPr="00822C8C">
        <w:rPr>
          <w:sz w:val="24"/>
          <w:lang w:val="fi-FI"/>
        </w:rPr>
        <w:tab/>
        <w:t xml:space="preserve">EUT C, C/2024/6041, 10.10.2024, ELI: </w:t>
      </w:r>
      <w:hyperlink r:id="rId266" w:history="1">
        <w:r w:rsidRPr="00822C8C">
          <w:rPr>
            <w:rStyle w:val="Hyperlink1"/>
            <w:sz w:val="24"/>
            <w:lang w:val="fi-FI"/>
          </w:rPr>
          <w:t>http://data.europa.eu/eli/C/2024/6041/oj</w:t>
        </w:r>
      </w:hyperlink>
      <w:r w:rsidRPr="00822C8C">
        <w:rPr>
          <w:sz w:val="24"/>
          <w:lang w:val="fi-FI"/>
        </w:rPr>
        <w:t>.</w:t>
      </w:r>
    </w:p>
  </w:footnote>
  <w:footnote w:id="267">
    <w:p w14:paraId="3024B073" w14:textId="77777777" w:rsidR="005375B7" w:rsidRPr="004F0F41" w:rsidRDefault="005375B7" w:rsidP="005375B7">
      <w:pPr>
        <w:pStyle w:val="FootnoteText"/>
        <w:ind w:left="567" w:hanging="567"/>
        <w:rPr>
          <w:sz w:val="24"/>
          <w:lang w:val="fi-FI"/>
        </w:rPr>
      </w:pPr>
      <w:r w:rsidRPr="004F0F41">
        <w:rPr>
          <w:rStyle w:val="FootnoteReference"/>
          <w:sz w:val="24"/>
        </w:rPr>
        <w:footnoteRef/>
      </w:r>
      <w:r w:rsidRPr="004F0F41">
        <w:rPr>
          <w:sz w:val="24"/>
          <w:lang w:val="fi-FI"/>
        </w:rPr>
        <w:t xml:space="preserve"> </w:t>
      </w:r>
      <w:r w:rsidRPr="00822C8C">
        <w:rPr>
          <w:sz w:val="24"/>
          <w:lang w:val="fi-FI"/>
        </w:rPr>
        <w:tab/>
        <w:t xml:space="preserve">EUT L 193, 30.7.2018, s. 1, ELI: </w:t>
      </w:r>
      <w:hyperlink r:id="rId267" w:history="1">
        <w:r w:rsidRPr="00822C8C">
          <w:rPr>
            <w:rStyle w:val="Hyperlink1"/>
            <w:sz w:val="24"/>
            <w:lang w:val="fi-FI"/>
          </w:rPr>
          <w:t>http://data.europa.eu/eli/reg/2018/1046/oj</w:t>
        </w:r>
      </w:hyperlink>
      <w:r w:rsidRPr="00822C8C">
        <w:rPr>
          <w:sz w:val="24"/>
          <w:lang w:val="fi-FI"/>
        </w:rPr>
        <w:t>.</w:t>
      </w:r>
    </w:p>
  </w:footnote>
  <w:footnote w:id="268">
    <w:p w14:paraId="0A9200D3" w14:textId="77777777" w:rsidR="005375B7" w:rsidRPr="004F0F41" w:rsidRDefault="005375B7" w:rsidP="005375B7">
      <w:pPr>
        <w:pStyle w:val="FootnoteText"/>
        <w:ind w:left="567" w:hanging="567"/>
        <w:rPr>
          <w:sz w:val="24"/>
          <w:lang w:val="fi-FI"/>
        </w:rPr>
      </w:pPr>
      <w:r w:rsidRPr="004F0F41">
        <w:rPr>
          <w:rStyle w:val="FootnoteReference"/>
          <w:sz w:val="24"/>
        </w:rPr>
        <w:footnoteRef/>
      </w:r>
      <w:r w:rsidRPr="004F0F41">
        <w:rPr>
          <w:sz w:val="24"/>
          <w:lang w:val="fi-FI"/>
        </w:rPr>
        <w:t xml:space="preserve"> </w:t>
      </w:r>
      <w:r w:rsidRPr="00822C8C">
        <w:rPr>
          <w:sz w:val="24"/>
          <w:lang w:val="fi-FI"/>
        </w:rPr>
        <w:tab/>
        <w:t xml:space="preserve">EUT L, 2024/2509, 26.9.2024, ELI: </w:t>
      </w:r>
      <w:hyperlink r:id="rId268" w:history="1">
        <w:r w:rsidRPr="00822C8C">
          <w:rPr>
            <w:rStyle w:val="Hyperlink1"/>
            <w:sz w:val="24"/>
            <w:lang w:val="fi-FI"/>
          </w:rPr>
          <w:t>http://data.europa.eu/eli/reg/2024/2509/oj</w:t>
        </w:r>
      </w:hyperlink>
      <w:r w:rsidRPr="00822C8C">
        <w:rPr>
          <w:rStyle w:val="Hyperlink1"/>
          <w:sz w:val="24"/>
          <w:lang w:val="fi-FI"/>
        </w:rPr>
        <w:t>.</w:t>
      </w:r>
    </w:p>
  </w:footnote>
  <w:footnote w:id="269">
    <w:p w14:paraId="1E365859" w14:textId="77777777" w:rsidR="005375B7" w:rsidRPr="004F0F41" w:rsidRDefault="005375B7" w:rsidP="005375B7">
      <w:pPr>
        <w:pStyle w:val="FootnoteText"/>
        <w:ind w:left="567" w:hanging="567"/>
        <w:rPr>
          <w:sz w:val="24"/>
          <w:lang w:val="fi-FI"/>
        </w:rPr>
      </w:pPr>
      <w:r w:rsidRPr="004F0F41">
        <w:rPr>
          <w:rStyle w:val="FootnoteReference"/>
          <w:sz w:val="24"/>
        </w:rPr>
        <w:footnoteRef/>
      </w:r>
      <w:r w:rsidRPr="004F0F41">
        <w:rPr>
          <w:sz w:val="24"/>
          <w:lang w:val="fi-FI"/>
        </w:rPr>
        <w:t xml:space="preserve"> </w:t>
      </w:r>
      <w:r w:rsidRPr="00822C8C">
        <w:rPr>
          <w:sz w:val="24"/>
          <w:lang w:val="fi-FI"/>
        </w:rPr>
        <w:tab/>
        <w:t xml:space="preserve">EUT L 331, 15.12.2010, s. 84, ELI: </w:t>
      </w:r>
      <w:hyperlink r:id="rId269" w:history="1">
        <w:r w:rsidRPr="00822C8C">
          <w:rPr>
            <w:rStyle w:val="Hyperlink1"/>
            <w:sz w:val="24"/>
            <w:lang w:val="fi-FI"/>
          </w:rPr>
          <w:t>http://data.europa.eu/eli/reg/2010/1095/oj</w:t>
        </w:r>
      </w:hyperlink>
      <w:r w:rsidRPr="00822C8C">
        <w:rPr>
          <w:sz w:val="24"/>
          <w:lang w:val="fi-FI"/>
        </w:rPr>
        <w:t>.</w:t>
      </w:r>
    </w:p>
  </w:footnote>
  <w:footnote w:id="270">
    <w:p w14:paraId="25E822EE" w14:textId="77777777" w:rsidR="005375B7" w:rsidRPr="004F0F41" w:rsidRDefault="005375B7" w:rsidP="005375B7">
      <w:pPr>
        <w:pStyle w:val="FootnoteText"/>
        <w:ind w:left="567" w:hanging="567"/>
        <w:rPr>
          <w:sz w:val="24"/>
          <w:lang w:val="fi-FI"/>
        </w:rPr>
      </w:pPr>
      <w:r w:rsidRPr="004F0F41">
        <w:rPr>
          <w:rStyle w:val="FootnoteReference"/>
          <w:sz w:val="24"/>
        </w:rPr>
        <w:footnoteRef/>
      </w:r>
      <w:r w:rsidRPr="004F0F41">
        <w:rPr>
          <w:sz w:val="24"/>
          <w:lang w:val="fi-FI"/>
        </w:rPr>
        <w:t xml:space="preserve"> </w:t>
      </w:r>
      <w:r w:rsidRPr="00822C8C">
        <w:rPr>
          <w:sz w:val="24"/>
          <w:lang w:val="fi-FI"/>
        </w:rPr>
        <w:tab/>
        <w:t xml:space="preserve">EUT L 122, 10.5.2019, s. 1, ELI: </w:t>
      </w:r>
      <w:hyperlink r:id="rId270" w:history="1">
        <w:r w:rsidRPr="00822C8C">
          <w:rPr>
            <w:rStyle w:val="Hyperlink1"/>
            <w:sz w:val="24"/>
            <w:lang w:val="fi-FI"/>
          </w:rPr>
          <w:t>http://data.europa.eu/eli/reg_del/2019/715/oj</w:t>
        </w:r>
      </w:hyperlink>
      <w:r w:rsidRPr="00822C8C">
        <w:rPr>
          <w:sz w:val="24"/>
          <w:lang w:val="fi-FI"/>
        </w:rPr>
        <w:t>.</w:t>
      </w:r>
    </w:p>
  </w:footnote>
  <w:footnote w:id="271">
    <w:p w14:paraId="5590BAB5" w14:textId="77777777" w:rsidR="005375B7" w:rsidRPr="008C1AE4" w:rsidRDefault="005375B7" w:rsidP="005375B7">
      <w:pPr>
        <w:pStyle w:val="FootnoteText"/>
        <w:ind w:left="567" w:hanging="567"/>
        <w:rPr>
          <w:sz w:val="24"/>
          <w:lang w:val="fi-FI"/>
        </w:rPr>
      </w:pPr>
      <w:r w:rsidRPr="008C1AE4">
        <w:rPr>
          <w:rStyle w:val="FootnoteReference"/>
          <w:sz w:val="24"/>
        </w:rPr>
        <w:footnoteRef/>
      </w:r>
      <w:r w:rsidRPr="008C1AE4">
        <w:rPr>
          <w:sz w:val="24"/>
          <w:lang w:val="fi-FI"/>
        </w:rPr>
        <w:t xml:space="preserve"> </w:t>
      </w:r>
      <w:r w:rsidRPr="00822C8C">
        <w:rPr>
          <w:sz w:val="24"/>
          <w:lang w:val="fi-FI"/>
        </w:rPr>
        <w:tab/>
        <w:t xml:space="preserve">EUT C, C/2024/6332, 24.10.2024, ELI: </w:t>
      </w:r>
      <w:hyperlink r:id="rId271" w:history="1">
        <w:r w:rsidRPr="00822C8C">
          <w:rPr>
            <w:rStyle w:val="Hyperlink1"/>
            <w:sz w:val="24"/>
            <w:lang w:val="fi-FI"/>
          </w:rPr>
          <w:t>http://data.europa.eu/eli/C/2024/6332/oj</w:t>
        </w:r>
      </w:hyperlink>
      <w:r w:rsidRPr="00822C8C">
        <w:rPr>
          <w:sz w:val="24"/>
          <w:lang w:val="fi-FI"/>
        </w:rPr>
        <w:t>.</w:t>
      </w:r>
    </w:p>
  </w:footnote>
  <w:footnote w:id="272">
    <w:p w14:paraId="2C579F13" w14:textId="77777777" w:rsidR="005375B7" w:rsidRPr="008C1AE4" w:rsidRDefault="005375B7" w:rsidP="005375B7">
      <w:pPr>
        <w:pStyle w:val="FootnoteText"/>
        <w:ind w:left="567" w:hanging="567"/>
        <w:rPr>
          <w:sz w:val="24"/>
          <w:lang w:val="fi-FI"/>
        </w:rPr>
      </w:pPr>
      <w:r w:rsidRPr="008C1AE4">
        <w:rPr>
          <w:rStyle w:val="FootnoteReference"/>
          <w:sz w:val="24"/>
        </w:rPr>
        <w:footnoteRef/>
      </w:r>
      <w:r w:rsidRPr="008C1AE4">
        <w:rPr>
          <w:sz w:val="24"/>
          <w:lang w:val="fi-FI"/>
        </w:rPr>
        <w:t xml:space="preserve"> </w:t>
      </w:r>
      <w:r w:rsidRPr="00822C8C">
        <w:rPr>
          <w:sz w:val="24"/>
          <w:lang w:val="fi-FI"/>
        </w:rPr>
        <w:tab/>
        <w:t xml:space="preserve">EUT C, C/2024/6041, 10.10.2024, ELI: </w:t>
      </w:r>
      <w:hyperlink r:id="rId272" w:history="1">
        <w:r w:rsidRPr="00822C8C">
          <w:rPr>
            <w:rStyle w:val="Hyperlink1"/>
            <w:sz w:val="24"/>
            <w:lang w:val="fi-FI"/>
          </w:rPr>
          <w:t>http://data.europa.eu/eli/C/2024/6041/oj</w:t>
        </w:r>
      </w:hyperlink>
      <w:r w:rsidRPr="00822C8C">
        <w:rPr>
          <w:sz w:val="24"/>
          <w:lang w:val="fi-FI"/>
        </w:rPr>
        <w:t>.</w:t>
      </w:r>
    </w:p>
  </w:footnote>
  <w:footnote w:id="273">
    <w:p w14:paraId="387E7644" w14:textId="77777777" w:rsidR="005375B7" w:rsidRPr="008C1AE4" w:rsidRDefault="005375B7" w:rsidP="005375B7">
      <w:pPr>
        <w:pStyle w:val="FootnoteText"/>
        <w:ind w:left="567" w:hanging="567"/>
        <w:rPr>
          <w:sz w:val="24"/>
          <w:lang w:val="fi-FI"/>
        </w:rPr>
      </w:pPr>
      <w:r w:rsidRPr="008C1AE4">
        <w:rPr>
          <w:rStyle w:val="FootnoteReference"/>
          <w:sz w:val="24"/>
        </w:rPr>
        <w:footnoteRef/>
      </w:r>
      <w:r w:rsidRPr="008C1AE4">
        <w:rPr>
          <w:sz w:val="24"/>
          <w:lang w:val="fi-FI"/>
        </w:rPr>
        <w:t xml:space="preserve"> </w:t>
      </w:r>
      <w:r w:rsidRPr="00822C8C">
        <w:rPr>
          <w:sz w:val="24"/>
          <w:lang w:val="fi-FI"/>
        </w:rPr>
        <w:tab/>
        <w:t xml:space="preserve">EUT L 193, 30.7.2018, s. 1, ELI: </w:t>
      </w:r>
      <w:hyperlink r:id="rId273" w:history="1">
        <w:r w:rsidRPr="00822C8C">
          <w:rPr>
            <w:rStyle w:val="Hyperlink1"/>
            <w:sz w:val="24"/>
            <w:lang w:val="fi-FI"/>
          </w:rPr>
          <w:t>http://data.europa.eu/eli/reg/2018/1046/oj</w:t>
        </w:r>
      </w:hyperlink>
      <w:r w:rsidRPr="00822C8C">
        <w:rPr>
          <w:sz w:val="24"/>
          <w:lang w:val="fi-FI"/>
        </w:rPr>
        <w:t>.</w:t>
      </w:r>
    </w:p>
  </w:footnote>
  <w:footnote w:id="274">
    <w:p w14:paraId="668BEACA" w14:textId="77777777" w:rsidR="005375B7" w:rsidRPr="008C1AE4" w:rsidRDefault="005375B7" w:rsidP="005375B7">
      <w:pPr>
        <w:pStyle w:val="FootnoteText"/>
        <w:ind w:left="567" w:hanging="567"/>
        <w:rPr>
          <w:sz w:val="24"/>
          <w:lang w:val="fi-FI"/>
        </w:rPr>
      </w:pPr>
      <w:r w:rsidRPr="008C1AE4">
        <w:rPr>
          <w:rStyle w:val="FootnoteReference"/>
          <w:sz w:val="24"/>
        </w:rPr>
        <w:footnoteRef/>
      </w:r>
      <w:r w:rsidRPr="008C1AE4">
        <w:rPr>
          <w:sz w:val="24"/>
          <w:lang w:val="fi-FI"/>
        </w:rPr>
        <w:t xml:space="preserve"> </w:t>
      </w:r>
      <w:r w:rsidRPr="00822C8C">
        <w:rPr>
          <w:sz w:val="24"/>
          <w:lang w:val="fi-FI"/>
        </w:rPr>
        <w:tab/>
        <w:t xml:space="preserve">EUT L, 2024/2509, 26.9.2024, ELI: </w:t>
      </w:r>
      <w:hyperlink r:id="rId274" w:history="1">
        <w:r w:rsidRPr="00822C8C">
          <w:rPr>
            <w:rStyle w:val="Hyperlink1"/>
            <w:sz w:val="24"/>
            <w:lang w:val="fi-FI"/>
          </w:rPr>
          <w:t>http://data.europa.eu/eli/reg/2024/2509/oj</w:t>
        </w:r>
      </w:hyperlink>
      <w:r w:rsidRPr="00822C8C">
        <w:rPr>
          <w:rStyle w:val="Hyperlink1"/>
          <w:sz w:val="24"/>
          <w:lang w:val="fi-FI"/>
        </w:rPr>
        <w:t>.</w:t>
      </w:r>
    </w:p>
  </w:footnote>
  <w:footnote w:id="275">
    <w:p w14:paraId="20BB2A4A" w14:textId="77777777" w:rsidR="005375B7" w:rsidRPr="008C1AE4" w:rsidRDefault="005375B7" w:rsidP="005375B7">
      <w:pPr>
        <w:pStyle w:val="FootnoteText"/>
        <w:ind w:left="567" w:hanging="567"/>
        <w:rPr>
          <w:sz w:val="24"/>
          <w:lang w:val="fi-FI"/>
        </w:rPr>
      </w:pPr>
      <w:r w:rsidRPr="008C1AE4">
        <w:rPr>
          <w:rStyle w:val="FootnoteReference"/>
          <w:sz w:val="24"/>
        </w:rPr>
        <w:footnoteRef/>
      </w:r>
      <w:r w:rsidRPr="008C1AE4">
        <w:rPr>
          <w:sz w:val="24"/>
          <w:lang w:val="fi-FI"/>
        </w:rPr>
        <w:t xml:space="preserve"> </w:t>
      </w:r>
      <w:r w:rsidRPr="00822C8C">
        <w:rPr>
          <w:sz w:val="24"/>
          <w:lang w:val="fi-FI"/>
        </w:rPr>
        <w:tab/>
        <w:t xml:space="preserve">EUT L 331, 15.12.2010, s. 84, ELI: </w:t>
      </w:r>
      <w:hyperlink r:id="rId275" w:history="1">
        <w:r w:rsidRPr="00822C8C">
          <w:rPr>
            <w:rStyle w:val="Hyperlink1"/>
            <w:sz w:val="24"/>
            <w:lang w:val="fi-FI"/>
          </w:rPr>
          <w:t>http://data.europa.eu/eli/reg/2010/1095/oj</w:t>
        </w:r>
      </w:hyperlink>
      <w:r w:rsidRPr="00822C8C">
        <w:rPr>
          <w:sz w:val="24"/>
          <w:lang w:val="fi-FI"/>
        </w:rPr>
        <w:t>.</w:t>
      </w:r>
    </w:p>
  </w:footnote>
  <w:footnote w:id="276">
    <w:p w14:paraId="475229BB" w14:textId="77777777" w:rsidR="005375B7" w:rsidRPr="008C1AE4" w:rsidRDefault="005375B7" w:rsidP="005375B7">
      <w:pPr>
        <w:pStyle w:val="FootnoteText"/>
        <w:ind w:left="567" w:hanging="567"/>
        <w:rPr>
          <w:sz w:val="24"/>
          <w:lang w:val="fi-FI"/>
        </w:rPr>
      </w:pPr>
      <w:r w:rsidRPr="008C1AE4">
        <w:rPr>
          <w:rStyle w:val="FootnoteReference"/>
          <w:sz w:val="24"/>
        </w:rPr>
        <w:footnoteRef/>
      </w:r>
      <w:r w:rsidRPr="008C1AE4">
        <w:rPr>
          <w:sz w:val="24"/>
          <w:lang w:val="fi-FI"/>
        </w:rPr>
        <w:t xml:space="preserve"> </w:t>
      </w:r>
      <w:r w:rsidRPr="00822C8C">
        <w:rPr>
          <w:sz w:val="24"/>
          <w:lang w:val="fi-FI"/>
        </w:rPr>
        <w:tab/>
        <w:t xml:space="preserve">EUT L 122, 10.5.2019, s. 1, ELI: </w:t>
      </w:r>
      <w:hyperlink r:id="rId276" w:history="1">
        <w:r w:rsidRPr="00822C8C">
          <w:rPr>
            <w:rStyle w:val="Hyperlink1"/>
            <w:sz w:val="24"/>
            <w:lang w:val="fi-FI"/>
          </w:rPr>
          <w:t>http://data.europa.eu/eli/reg_del/2019/715/oj</w:t>
        </w:r>
      </w:hyperlink>
      <w:r w:rsidRPr="00822C8C">
        <w:rPr>
          <w:sz w:val="24"/>
          <w:lang w:val="fi-FI"/>
        </w:rPr>
        <w:t>.</w:t>
      </w:r>
    </w:p>
  </w:footnote>
  <w:footnote w:id="277">
    <w:p w14:paraId="3617C466" w14:textId="77777777" w:rsidR="005375B7" w:rsidRPr="00DE0BFA" w:rsidRDefault="005375B7" w:rsidP="005375B7">
      <w:pPr>
        <w:pStyle w:val="FootnoteText"/>
        <w:ind w:left="567" w:hanging="567"/>
        <w:rPr>
          <w:sz w:val="24"/>
          <w:lang w:val="fi-FI"/>
        </w:rPr>
      </w:pPr>
      <w:r w:rsidRPr="00DE0BFA">
        <w:rPr>
          <w:rStyle w:val="FootnoteReference"/>
          <w:sz w:val="24"/>
        </w:rPr>
        <w:footnoteRef/>
      </w:r>
      <w:r w:rsidRPr="00DE0BFA">
        <w:rPr>
          <w:sz w:val="24"/>
          <w:lang w:val="fi-FI"/>
        </w:rPr>
        <w:t xml:space="preserve"> </w:t>
      </w:r>
      <w:r w:rsidRPr="00822C8C">
        <w:rPr>
          <w:sz w:val="24"/>
          <w:lang w:val="fi-FI"/>
        </w:rPr>
        <w:tab/>
        <w:t xml:space="preserve">EUT C, C/2024/6332, 24.10.2024, ELI: </w:t>
      </w:r>
      <w:hyperlink r:id="rId277" w:history="1">
        <w:r w:rsidRPr="00822C8C">
          <w:rPr>
            <w:rStyle w:val="Hyperlink1"/>
            <w:sz w:val="24"/>
            <w:lang w:val="fi-FI"/>
          </w:rPr>
          <w:t>http://data.europa.eu/eli/C/2024/6332/oj</w:t>
        </w:r>
      </w:hyperlink>
      <w:r w:rsidRPr="00822C8C">
        <w:rPr>
          <w:sz w:val="24"/>
          <w:lang w:val="fi-FI"/>
        </w:rPr>
        <w:t>.</w:t>
      </w:r>
    </w:p>
  </w:footnote>
  <w:footnote w:id="278">
    <w:p w14:paraId="48D6523F" w14:textId="77777777" w:rsidR="005375B7" w:rsidRPr="00DE0BFA" w:rsidRDefault="005375B7" w:rsidP="005375B7">
      <w:pPr>
        <w:pStyle w:val="FootnoteText"/>
        <w:ind w:left="567" w:hanging="567"/>
        <w:rPr>
          <w:sz w:val="24"/>
          <w:lang w:val="fi-FI"/>
        </w:rPr>
      </w:pPr>
      <w:r w:rsidRPr="00DE0BFA">
        <w:rPr>
          <w:rStyle w:val="FootnoteReference"/>
          <w:sz w:val="24"/>
        </w:rPr>
        <w:footnoteRef/>
      </w:r>
      <w:r w:rsidRPr="00DE0BFA">
        <w:rPr>
          <w:sz w:val="24"/>
          <w:lang w:val="fi-FI"/>
        </w:rPr>
        <w:t xml:space="preserve"> </w:t>
      </w:r>
      <w:r w:rsidRPr="00822C8C">
        <w:rPr>
          <w:sz w:val="24"/>
          <w:lang w:val="fi-FI"/>
        </w:rPr>
        <w:tab/>
        <w:t xml:space="preserve">EUT C, C/2024/6041, 10.10.2024, ELI: </w:t>
      </w:r>
      <w:hyperlink r:id="rId278" w:history="1">
        <w:r w:rsidRPr="00822C8C">
          <w:rPr>
            <w:rStyle w:val="Hyperlink1"/>
            <w:sz w:val="24"/>
            <w:lang w:val="fi-FI"/>
          </w:rPr>
          <w:t>http://data.europa.eu/eli/C/2024/6041/oj</w:t>
        </w:r>
      </w:hyperlink>
      <w:r w:rsidRPr="00822C8C">
        <w:rPr>
          <w:sz w:val="24"/>
          <w:lang w:val="fi-FI"/>
        </w:rPr>
        <w:t>.</w:t>
      </w:r>
    </w:p>
  </w:footnote>
  <w:footnote w:id="279">
    <w:p w14:paraId="611E28E1" w14:textId="77777777" w:rsidR="005375B7" w:rsidRPr="00DE0BFA" w:rsidRDefault="005375B7" w:rsidP="005375B7">
      <w:pPr>
        <w:pStyle w:val="FootnoteText"/>
        <w:ind w:left="567" w:hanging="567"/>
        <w:rPr>
          <w:sz w:val="24"/>
          <w:lang w:val="fi-FI"/>
        </w:rPr>
      </w:pPr>
      <w:r w:rsidRPr="00DE0BFA">
        <w:rPr>
          <w:rStyle w:val="FootnoteReference"/>
          <w:sz w:val="24"/>
        </w:rPr>
        <w:footnoteRef/>
      </w:r>
      <w:r w:rsidRPr="00DE0BFA">
        <w:rPr>
          <w:sz w:val="24"/>
          <w:lang w:val="fi-FI"/>
        </w:rPr>
        <w:t xml:space="preserve"> </w:t>
      </w:r>
      <w:r w:rsidRPr="00822C8C">
        <w:rPr>
          <w:sz w:val="24"/>
          <w:lang w:val="fi-FI"/>
        </w:rPr>
        <w:tab/>
        <w:t xml:space="preserve">EUT L 193, 30.7.2018, s. 1, ELI: </w:t>
      </w:r>
      <w:hyperlink r:id="rId279" w:history="1">
        <w:r w:rsidRPr="00822C8C">
          <w:rPr>
            <w:rStyle w:val="Hyperlink1"/>
            <w:sz w:val="24"/>
            <w:lang w:val="fi-FI"/>
          </w:rPr>
          <w:t>http://data.europa.eu/eli/reg/2018/1046/oj</w:t>
        </w:r>
      </w:hyperlink>
      <w:r w:rsidRPr="00822C8C">
        <w:rPr>
          <w:sz w:val="24"/>
          <w:lang w:val="fi-FI"/>
        </w:rPr>
        <w:t>.</w:t>
      </w:r>
    </w:p>
  </w:footnote>
  <w:footnote w:id="280">
    <w:p w14:paraId="5D133274" w14:textId="77777777" w:rsidR="005375B7" w:rsidRPr="00DE0BFA" w:rsidRDefault="005375B7" w:rsidP="005375B7">
      <w:pPr>
        <w:pStyle w:val="FootnoteText"/>
        <w:ind w:left="567" w:hanging="567"/>
        <w:rPr>
          <w:sz w:val="24"/>
          <w:lang w:val="fi-FI"/>
        </w:rPr>
      </w:pPr>
      <w:r w:rsidRPr="00DE0BFA">
        <w:rPr>
          <w:rStyle w:val="FootnoteReference"/>
          <w:sz w:val="24"/>
        </w:rPr>
        <w:footnoteRef/>
      </w:r>
      <w:r w:rsidRPr="00DE0BFA">
        <w:rPr>
          <w:sz w:val="24"/>
          <w:lang w:val="fi-FI"/>
        </w:rPr>
        <w:t xml:space="preserve"> </w:t>
      </w:r>
      <w:r w:rsidRPr="00822C8C">
        <w:rPr>
          <w:sz w:val="24"/>
          <w:lang w:val="fi-FI"/>
        </w:rPr>
        <w:tab/>
        <w:t xml:space="preserve">EUT L, 2024/2509, 26.9.2024, ELI: </w:t>
      </w:r>
      <w:hyperlink r:id="rId280" w:history="1">
        <w:r w:rsidRPr="00822C8C">
          <w:rPr>
            <w:rStyle w:val="Hyperlink1"/>
            <w:sz w:val="24"/>
            <w:lang w:val="fi-FI"/>
          </w:rPr>
          <w:t>http://data.europa.eu/eli/reg/2024/2509/oj</w:t>
        </w:r>
      </w:hyperlink>
      <w:r w:rsidRPr="00822C8C">
        <w:rPr>
          <w:rStyle w:val="Hyperlink1"/>
          <w:sz w:val="24"/>
          <w:lang w:val="fi-FI"/>
        </w:rPr>
        <w:t>.</w:t>
      </w:r>
    </w:p>
  </w:footnote>
  <w:footnote w:id="281">
    <w:p w14:paraId="44836980" w14:textId="77777777" w:rsidR="005375B7" w:rsidRPr="00DE0BFA" w:rsidRDefault="005375B7" w:rsidP="005375B7">
      <w:pPr>
        <w:pStyle w:val="FootnoteText"/>
        <w:ind w:left="567" w:hanging="567"/>
        <w:rPr>
          <w:sz w:val="24"/>
          <w:lang w:val="fi-FI"/>
        </w:rPr>
      </w:pPr>
      <w:r w:rsidRPr="00DE0BFA">
        <w:rPr>
          <w:rStyle w:val="FootnoteReference"/>
          <w:sz w:val="24"/>
        </w:rPr>
        <w:footnoteRef/>
      </w:r>
      <w:r w:rsidRPr="00DE0BFA">
        <w:rPr>
          <w:sz w:val="24"/>
          <w:lang w:val="fi-FI"/>
        </w:rPr>
        <w:t xml:space="preserve"> </w:t>
      </w:r>
      <w:r w:rsidRPr="00822C8C">
        <w:rPr>
          <w:sz w:val="24"/>
          <w:lang w:val="fi-FI"/>
        </w:rPr>
        <w:tab/>
        <w:t xml:space="preserve">EUT L 354, 31.12.2008, s. 82, ELI: </w:t>
      </w:r>
      <w:hyperlink r:id="rId281" w:history="1">
        <w:r w:rsidRPr="00822C8C">
          <w:rPr>
            <w:rStyle w:val="Hyperlink1"/>
            <w:sz w:val="24"/>
            <w:lang w:val="fi-FI"/>
          </w:rPr>
          <w:t>http://data.europa.eu/eli/reg/2008/1339/oj</w:t>
        </w:r>
      </w:hyperlink>
      <w:r w:rsidRPr="00822C8C">
        <w:rPr>
          <w:rStyle w:val="Hyperlink1"/>
          <w:sz w:val="24"/>
        </w:rPr>
        <w:t>.</w:t>
      </w:r>
    </w:p>
  </w:footnote>
  <w:footnote w:id="282">
    <w:p w14:paraId="007339C8" w14:textId="77777777" w:rsidR="005375B7" w:rsidRPr="00DE0BFA" w:rsidRDefault="005375B7" w:rsidP="005375B7">
      <w:pPr>
        <w:pStyle w:val="FootnoteText"/>
        <w:ind w:left="567" w:hanging="567"/>
        <w:rPr>
          <w:sz w:val="24"/>
          <w:lang w:val="fi-FI"/>
        </w:rPr>
      </w:pPr>
      <w:r w:rsidRPr="00DE0BFA">
        <w:rPr>
          <w:rStyle w:val="FootnoteReference"/>
          <w:sz w:val="24"/>
        </w:rPr>
        <w:footnoteRef/>
      </w:r>
      <w:r w:rsidRPr="00DE0BFA">
        <w:rPr>
          <w:sz w:val="24"/>
          <w:lang w:val="fi-FI"/>
        </w:rPr>
        <w:t xml:space="preserve"> </w:t>
      </w:r>
      <w:r w:rsidRPr="00822C8C">
        <w:rPr>
          <w:sz w:val="24"/>
          <w:lang w:val="fi-FI"/>
        </w:rPr>
        <w:tab/>
        <w:t xml:space="preserve">EUT L 122, 10.5.2019, s. 1, ELI: </w:t>
      </w:r>
      <w:hyperlink r:id="rId282" w:history="1">
        <w:r w:rsidRPr="00822C8C">
          <w:rPr>
            <w:rStyle w:val="Hyperlink1"/>
            <w:sz w:val="24"/>
            <w:lang w:val="fi-FI"/>
          </w:rPr>
          <w:t>http://data.europa.eu/eli/reg_del/2019/715/oj</w:t>
        </w:r>
      </w:hyperlink>
      <w:r w:rsidRPr="00822C8C">
        <w:rPr>
          <w:sz w:val="24"/>
          <w:lang w:val="fi-FI"/>
        </w:rPr>
        <w:t>.</w:t>
      </w:r>
    </w:p>
  </w:footnote>
  <w:footnote w:id="283">
    <w:p w14:paraId="5F7C5ECF" w14:textId="77777777" w:rsidR="005375B7" w:rsidRPr="00773336" w:rsidRDefault="005375B7" w:rsidP="005375B7">
      <w:pPr>
        <w:pStyle w:val="FootnoteText"/>
        <w:ind w:left="567" w:hanging="567"/>
        <w:rPr>
          <w:sz w:val="24"/>
          <w:lang w:val="fi-FI"/>
        </w:rPr>
      </w:pPr>
      <w:r w:rsidRPr="00773336">
        <w:rPr>
          <w:rStyle w:val="FootnoteReference"/>
          <w:sz w:val="24"/>
        </w:rPr>
        <w:footnoteRef/>
      </w:r>
      <w:r w:rsidRPr="00773336">
        <w:rPr>
          <w:sz w:val="24"/>
          <w:lang w:val="fi-FI"/>
        </w:rPr>
        <w:t xml:space="preserve"> </w:t>
      </w:r>
      <w:r w:rsidRPr="00822C8C">
        <w:rPr>
          <w:sz w:val="24"/>
          <w:lang w:val="fi-FI"/>
        </w:rPr>
        <w:tab/>
        <w:t xml:space="preserve">EUT C, C/2024/6332, 24.10.2024, ELI: </w:t>
      </w:r>
      <w:hyperlink r:id="rId283" w:history="1">
        <w:r w:rsidRPr="00822C8C">
          <w:rPr>
            <w:rStyle w:val="Hyperlink1"/>
            <w:sz w:val="24"/>
            <w:lang w:val="fi-FI"/>
          </w:rPr>
          <w:t>http://data.europa.eu/eli/C/2024/6332/oj</w:t>
        </w:r>
      </w:hyperlink>
      <w:r w:rsidRPr="00822C8C">
        <w:rPr>
          <w:sz w:val="24"/>
          <w:lang w:val="fi-FI"/>
        </w:rPr>
        <w:t>.</w:t>
      </w:r>
    </w:p>
  </w:footnote>
  <w:footnote w:id="284">
    <w:p w14:paraId="414E0B09" w14:textId="77777777" w:rsidR="005375B7" w:rsidRPr="00773336" w:rsidRDefault="005375B7" w:rsidP="005375B7">
      <w:pPr>
        <w:pStyle w:val="FootnoteText"/>
        <w:ind w:left="567" w:hanging="567"/>
        <w:rPr>
          <w:sz w:val="24"/>
          <w:lang w:val="fi-FI"/>
        </w:rPr>
      </w:pPr>
      <w:r w:rsidRPr="00773336">
        <w:rPr>
          <w:rStyle w:val="FootnoteReference"/>
          <w:sz w:val="24"/>
        </w:rPr>
        <w:footnoteRef/>
      </w:r>
      <w:r w:rsidRPr="00773336">
        <w:rPr>
          <w:sz w:val="24"/>
          <w:lang w:val="fi-FI"/>
        </w:rPr>
        <w:t xml:space="preserve"> </w:t>
      </w:r>
      <w:r w:rsidRPr="00822C8C">
        <w:rPr>
          <w:sz w:val="24"/>
          <w:lang w:val="fi-FI"/>
        </w:rPr>
        <w:tab/>
        <w:t xml:space="preserve">EUT C, C/2024/6041, 10.10.2024, ELI: </w:t>
      </w:r>
      <w:hyperlink r:id="rId284" w:history="1">
        <w:r w:rsidRPr="00822C8C">
          <w:rPr>
            <w:rStyle w:val="Hyperlink1"/>
            <w:sz w:val="24"/>
            <w:lang w:val="fi-FI"/>
          </w:rPr>
          <w:t>http://data.europa.eu/eli/C/2024/6041/oj</w:t>
        </w:r>
      </w:hyperlink>
      <w:r w:rsidRPr="00822C8C">
        <w:rPr>
          <w:sz w:val="24"/>
          <w:lang w:val="fi-FI"/>
        </w:rPr>
        <w:t>.</w:t>
      </w:r>
    </w:p>
  </w:footnote>
  <w:footnote w:id="285">
    <w:p w14:paraId="6A0A236C" w14:textId="77777777" w:rsidR="005375B7" w:rsidRPr="00773336" w:rsidRDefault="005375B7" w:rsidP="005375B7">
      <w:pPr>
        <w:pStyle w:val="FootnoteText"/>
        <w:ind w:left="567" w:hanging="567"/>
        <w:rPr>
          <w:sz w:val="24"/>
          <w:lang w:val="fi-FI"/>
        </w:rPr>
      </w:pPr>
      <w:r w:rsidRPr="00773336">
        <w:rPr>
          <w:rStyle w:val="FootnoteReference"/>
          <w:sz w:val="24"/>
        </w:rPr>
        <w:footnoteRef/>
      </w:r>
      <w:r w:rsidRPr="00773336">
        <w:rPr>
          <w:sz w:val="24"/>
          <w:lang w:val="fi-FI"/>
        </w:rPr>
        <w:t xml:space="preserve"> </w:t>
      </w:r>
      <w:r w:rsidRPr="00822C8C">
        <w:rPr>
          <w:sz w:val="24"/>
          <w:lang w:val="fi-FI"/>
        </w:rPr>
        <w:tab/>
        <w:t xml:space="preserve">EUT L 193, 30.7.2018, s. 1, ELI: </w:t>
      </w:r>
      <w:hyperlink r:id="rId285" w:history="1">
        <w:r w:rsidRPr="00822C8C">
          <w:rPr>
            <w:rStyle w:val="Hyperlink1"/>
            <w:sz w:val="24"/>
            <w:lang w:val="fi-FI"/>
          </w:rPr>
          <w:t>http://data.europa.eu/eli/reg/2018/1046/oj</w:t>
        </w:r>
      </w:hyperlink>
      <w:r w:rsidRPr="00822C8C">
        <w:rPr>
          <w:sz w:val="24"/>
          <w:lang w:val="fi-FI"/>
        </w:rPr>
        <w:t>.</w:t>
      </w:r>
    </w:p>
  </w:footnote>
  <w:footnote w:id="286">
    <w:p w14:paraId="21FDC732" w14:textId="77777777" w:rsidR="005375B7" w:rsidRPr="00773336" w:rsidRDefault="005375B7" w:rsidP="005375B7">
      <w:pPr>
        <w:pStyle w:val="FootnoteText"/>
        <w:ind w:left="567" w:hanging="567"/>
        <w:rPr>
          <w:sz w:val="24"/>
          <w:lang w:val="fi-FI"/>
        </w:rPr>
      </w:pPr>
      <w:r w:rsidRPr="00773336">
        <w:rPr>
          <w:rStyle w:val="FootnoteReference"/>
          <w:sz w:val="24"/>
        </w:rPr>
        <w:footnoteRef/>
      </w:r>
      <w:r w:rsidRPr="00773336">
        <w:rPr>
          <w:sz w:val="24"/>
          <w:lang w:val="fi-FI"/>
        </w:rPr>
        <w:t xml:space="preserve"> </w:t>
      </w:r>
      <w:r w:rsidRPr="00822C8C">
        <w:rPr>
          <w:sz w:val="24"/>
          <w:lang w:val="fi-FI"/>
        </w:rPr>
        <w:tab/>
        <w:t xml:space="preserve">EUT L, 2024/2509, 26.9.2024, ELI: </w:t>
      </w:r>
      <w:hyperlink r:id="rId286" w:history="1">
        <w:r w:rsidRPr="00822C8C">
          <w:rPr>
            <w:rStyle w:val="Hyperlink1"/>
            <w:sz w:val="24"/>
            <w:lang w:val="fi-FI"/>
          </w:rPr>
          <w:t>http://data.europa.eu/eli/reg/2024/2509/oj</w:t>
        </w:r>
      </w:hyperlink>
      <w:r w:rsidRPr="00822C8C">
        <w:rPr>
          <w:rStyle w:val="Hyperlink1"/>
          <w:sz w:val="24"/>
          <w:lang w:val="fi-FI"/>
        </w:rPr>
        <w:t>.</w:t>
      </w:r>
    </w:p>
  </w:footnote>
  <w:footnote w:id="287">
    <w:p w14:paraId="1FCF7E4A" w14:textId="77777777" w:rsidR="005375B7" w:rsidRPr="00773336" w:rsidRDefault="005375B7" w:rsidP="005375B7">
      <w:pPr>
        <w:pStyle w:val="FootnoteText"/>
        <w:ind w:left="567" w:hanging="567"/>
        <w:rPr>
          <w:sz w:val="24"/>
          <w:lang w:val="fi-FI"/>
        </w:rPr>
      </w:pPr>
      <w:r w:rsidRPr="00773336">
        <w:rPr>
          <w:rStyle w:val="FootnoteReference"/>
          <w:sz w:val="24"/>
        </w:rPr>
        <w:footnoteRef/>
      </w:r>
      <w:r w:rsidRPr="00773336">
        <w:rPr>
          <w:sz w:val="24"/>
          <w:lang w:val="fi-FI"/>
        </w:rPr>
        <w:t xml:space="preserve"> </w:t>
      </w:r>
      <w:r w:rsidRPr="00822C8C">
        <w:rPr>
          <w:sz w:val="24"/>
          <w:lang w:val="fi-FI"/>
        </w:rPr>
        <w:tab/>
        <w:t xml:space="preserve">EUT L 354, 31.12.2008, s. 82, ELI: </w:t>
      </w:r>
      <w:hyperlink r:id="rId287" w:history="1">
        <w:r w:rsidRPr="00822C8C">
          <w:rPr>
            <w:rStyle w:val="Hyperlink1"/>
            <w:sz w:val="24"/>
            <w:lang w:val="fi-FI"/>
          </w:rPr>
          <w:t>http://data.europa.eu/eli/reg/2008/1339/oj</w:t>
        </w:r>
      </w:hyperlink>
      <w:r w:rsidRPr="00822C8C">
        <w:rPr>
          <w:sz w:val="24"/>
          <w:lang w:val="fi-FI"/>
        </w:rPr>
        <w:t>.</w:t>
      </w:r>
    </w:p>
  </w:footnote>
  <w:footnote w:id="288">
    <w:p w14:paraId="762CAE67" w14:textId="77777777" w:rsidR="005375B7" w:rsidRPr="00773336" w:rsidRDefault="005375B7" w:rsidP="005375B7">
      <w:pPr>
        <w:pStyle w:val="FootnoteText"/>
        <w:ind w:left="567" w:hanging="567"/>
        <w:rPr>
          <w:sz w:val="24"/>
          <w:lang w:val="fi-FI"/>
        </w:rPr>
      </w:pPr>
      <w:r w:rsidRPr="00773336">
        <w:rPr>
          <w:rStyle w:val="FootnoteReference"/>
          <w:sz w:val="24"/>
        </w:rPr>
        <w:footnoteRef/>
      </w:r>
      <w:r w:rsidRPr="00773336">
        <w:rPr>
          <w:sz w:val="24"/>
          <w:lang w:val="fi-FI"/>
        </w:rPr>
        <w:t xml:space="preserve"> </w:t>
      </w:r>
      <w:r w:rsidRPr="00822C8C">
        <w:rPr>
          <w:sz w:val="24"/>
          <w:lang w:val="fi-FI"/>
        </w:rPr>
        <w:tab/>
        <w:t xml:space="preserve">EUT L 122, 10.5.2019, s. 1, ELI: </w:t>
      </w:r>
      <w:hyperlink r:id="rId288" w:history="1">
        <w:r w:rsidRPr="00822C8C">
          <w:rPr>
            <w:rStyle w:val="Hyperlink1"/>
            <w:sz w:val="24"/>
            <w:lang w:val="fi-FI"/>
          </w:rPr>
          <w:t>http://data.europa.eu/eli/reg_del/2019/715/oj</w:t>
        </w:r>
      </w:hyperlink>
      <w:r w:rsidRPr="00822C8C">
        <w:rPr>
          <w:sz w:val="24"/>
          <w:lang w:val="fi-FI"/>
        </w:rPr>
        <w:t>.</w:t>
      </w:r>
    </w:p>
  </w:footnote>
  <w:footnote w:id="289">
    <w:p w14:paraId="2B2B973C" w14:textId="77777777" w:rsidR="005375B7" w:rsidRPr="008B353F" w:rsidRDefault="005375B7" w:rsidP="005375B7">
      <w:pPr>
        <w:pStyle w:val="FootnoteText"/>
        <w:ind w:left="567" w:hanging="567"/>
        <w:rPr>
          <w:sz w:val="24"/>
          <w:lang w:val="fi-FI"/>
        </w:rPr>
      </w:pPr>
      <w:r w:rsidRPr="008B353F">
        <w:rPr>
          <w:rStyle w:val="FootnoteReference"/>
          <w:sz w:val="24"/>
        </w:rPr>
        <w:footnoteRef/>
      </w:r>
      <w:r w:rsidRPr="008B353F">
        <w:rPr>
          <w:sz w:val="24"/>
          <w:lang w:val="fi-FI"/>
        </w:rPr>
        <w:t xml:space="preserve"> </w:t>
      </w:r>
      <w:r w:rsidRPr="00822C8C">
        <w:rPr>
          <w:sz w:val="24"/>
          <w:lang w:val="fi-FI"/>
        </w:rPr>
        <w:tab/>
        <w:t xml:space="preserve">EUT C, C/2024/6332, 24.10.2024, ELI: </w:t>
      </w:r>
      <w:hyperlink r:id="rId289" w:history="1">
        <w:r w:rsidRPr="00822C8C">
          <w:rPr>
            <w:rStyle w:val="Hyperlink1"/>
            <w:sz w:val="24"/>
            <w:lang w:val="fi-FI"/>
          </w:rPr>
          <w:t>http://data.europa.eu/eli/C/2024/6332/oj</w:t>
        </w:r>
      </w:hyperlink>
      <w:r w:rsidRPr="00822C8C">
        <w:rPr>
          <w:sz w:val="24"/>
          <w:lang w:val="fi-FI"/>
        </w:rPr>
        <w:t>.</w:t>
      </w:r>
    </w:p>
  </w:footnote>
  <w:footnote w:id="290">
    <w:p w14:paraId="4255AF57" w14:textId="77777777" w:rsidR="005375B7" w:rsidRPr="008B353F" w:rsidRDefault="005375B7" w:rsidP="005375B7">
      <w:pPr>
        <w:pStyle w:val="FootnoteText"/>
        <w:ind w:left="567" w:hanging="567"/>
        <w:rPr>
          <w:sz w:val="24"/>
          <w:lang w:val="fi-FI"/>
        </w:rPr>
      </w:pPr>
      <w:r w:rsidRPr="008B353F">
        <w:rPr>
          <w:rStyle w:val="FootnoteReference"/>
          <w:sz w:val="24"/>
        </w:rPr>
        <w:footnoteRef/>
      </w:r>
      <w:r w:rsidRPr="008B353F">
        <w:rPr>
          <w:sz w:val="24"/>
          <w:lang w:val="fi-FI"/>
        </w:rPr>
        <w:t xml:space="preserve"> </w:t>
      </w:r>
      <w:r w:rsidRPr="00822C8C">
        <w:rPr>
          <w:sz w:val="24"/>
          <w:lang w:val="fi-FI"/>
        </w:rPr>
        <w:tab/>
        <w:t xml:space="preserve">EUT C, C/2024/6041, 10.10.2024, ELI: </w:t>
      </w:r>
      <w:hyperlink r:id="rId290" w:history="1">
        <w:r w:rsidRPr="00822C8C">
          <w:rPr>
            <w:rStyle w:val="Hyperlink1"/>
            <w:sz w:val="24"/>
            <w:lang w:val="fi-FI"/>
          </w:rPr>
          <w:t>http://data.europa.eu/eli/C/2024/6041/oj</w:t>
        </w:r>
      </w:hyperlink>
      <w:r w:rsidRPr="00822C8C">
        <w:rPr>
          <w:sz w:val="24"/>
          <w:lang w:val="fi-FI"/>
        </w:rPr>
        <w:t>.</w:t>
      </w:r>
    </w:p>
  </w:footnote>
  <w:footnote w:id="291">
    <w:p w14:paraId="6C346E93" w14:textId="77777777" w:rsidR="005375B7" w:rsidRPr="008B353F" w:rsidRDefault="005375B7" w:rsidP="005375B7">
      <w:pPr>
        <w:pStyle w:val="FootnoteText"/>
        <w:ind w:left="567" w:hanging="567"/>
        <w:rPr>
          <w:sz w:val="24"/>
          <w:lang w:val="fi-FI"/>
        </w:rPr>
      </w:pPr>
      <w:r w:rsidRPr="008B353F">
        <w:rPr>
          <w:rStyle w:val="FootnoteReference"/>
          <w:sz w:val="24"/>
        </w:rPr>
        <w:footnoteRef/>
      </w:r>
      <w:r w:rsidRPr="008B353F">
        <w:rPr>
          <w:sz w:val="24"/>
          <w:lang w:val="fi-FI"/>
        </w:rPr>
        <w:t xml:space="preserve"> </w:t>
      </w:r>
      <w:r w:rsidRPr="00822C8C">
        <w:rPr>
          <w:sz w:val="24"/>
          <w:lang w:val="fi-FI"/>
        </w:rPr>
        <w:tab/>
        <w:t xml:space="preserve">EUT L 193, 30.7.2018, s. 1, ELI: </w:t>
      </w:r>
      <w:hyperlink r:id="rId291" w:history="1">
        <w:r w:rsidRPr="00822C8C">
          <w:rPr>
            <w:rStyle w:val="Hyperlink1"/>
            <w:sz w:val="24"/>
            <w:lang w:val="fi-FI"/>
          </w:rPr>
          <w:t>http://data.europa.eu/eli/reg/2018/1046/oj</w:t>
        </w:r>
      </w:hyperlink>
      <w:r w:rsidRPr="00822C8C">
        <w:rPr>
          <w:sz w:val="24"/>
          <w:lang w:val="fi-FI"/>
        </w:rPr>
        <w:t>.</w:t>
      </w:r>
    </w:p>
  </w:footnote>
  <w:footnote w:id="292">
    <w:p w14:paraId="3282F2AB" w14:textId="77777777" w:rsidR="005375B7" w:rsidRPr="008B353F" w:rsidRDefault="005375B7" w:rsidP="005375B7">
      <w:pPr>
        <w:pStyle w:val="FootnoteText"/>
        <w:ind w:left="567" w:hanging="567"/>
        <w:rPr>
          <w:sz w:val="24"/>
          <w:lang w:val="fi-FI"/>
        </w:rPr>
      </w:pPr>
      <w:r w:rsidRPr="008B353F">
        <w:rPr>
          <w:rStyle w:val="FootnoteReference"/>
          <w:sz w:val="24"/>
        </w:rPr>
        <w:footnoteRef/>
      </w:r>
      <w:r w:rsidRPr="008B353F">
        <w:rPr>
          <w:sz w:val="24"/>
          <w:lang w:val="fi-FI"/>
        </w:rPr>
        <w:t xml:space="preserve"> </w:t>
      </w:r>
      <w:r w:rsidRPr="00822C8C">
        <w:rPr>
          <w:sz w:val="24"/>
          <w:lang w:val="fi-FI"/>
        </w:rPr>
        <w:tab/>
        <w:t xml:space="preserve">EUT L, 2024/2509, 26.9.2024, ELI: </w:t>
      </w:r>
      <w:hyperlink r:id="rId292" w:history="1">
        <w:r w:rsidRPr="00822C8C">
          <w:rPr>
            <w:rStyle w:val="Hyperlink1"/>
            <w:sz w:val="24"/>
            <w:lang w:val="fi-FI"/>
          </w:rPr>
          <w:t>http://data.europa.eu/eli/reg/2024/2509/oj</w:t>
        </w:r>
      </w:hyperlink>
      <w:r w:rsidRPr="00822C8C">
        <w:rPr>
          <w:rStyle w:val="Hyperlink1"/>
          <w:sz w:val="24"/>
          <w:lang w:val="fi-FI"/>
        </w:rPr>
        <w:t>.</w:t>
      </w:r>
    </w:p>
  </w:footnote>
  <w:footnote w:id="293">
    <w:p w14:paraId="64A447EF" w14:textId="77777777" w:rsidR="005375B7" w:rsidRPr="008B353F" w:rsidRDefault="005375B7" w:rsidP="005375B7">
      <w:pPr>
        <w:pStyle w:val="FootnoteText"/>
        <w:ind w:left="567" w:hanging="567"/>
        <w:rPr>
          <w:sz w:val="24"/>
          <w:lang w:val="fi-FI"/>
        </w:rPr>
      </w:pPr>
      <w:r w:rsidRPr="008B353F">
        <w:rPr>
          <w:rStyle w:val="FootnoteReference"/>
          <w:sz w:val="24"/>
        </w:rPr>
        <w:footnoteRef/>
      </w:r>
      <w:r w:rsidRPr="008B353F">
        <w:rPr>
          <w:sz w:val="24"/>
          <w:lang w:val="fi-FI"/>
        </w:rPr>
        <w:t xml:space="preserve"> </w:t>
      </w:r>
      <w:r w:rsidRPr="00822C8C">
        <w:rPr>
          <w:sz w:val="24"/>
          <w:lang w:val="fi-FI"/>
        </w:rPr>
        <w:tab/>
        <w:t xml:space="preserve">EUT L 132, 29.5.2010, s. 11, ELI: </w:t>
      </w:r>
      <w:hyperlink r:id="rId293" w:history="1">
        <w:r w:rsidRPr="00822C8C">
          <w:rPr>
            <w:rStyle w:val="Hyperlink1"/>
            <w:sz w:val="24"/>
            <w:lang w:val="fi-FI"/>
          </w:rPr>
          <w:t>http://data.europa.eu/eli/reg/2010/439/oj</w:t>
        </w:r>
      </w:hyperlink>
      <w:r w:rsidRPr="00822C8C">
        <w:rPr>
          <w:sz w:val="24"/>
          <w:lang w:val="fi-FI"/>
        </w:rPr>
        <w:t>.</w:t>
      </w:r>
    </w:p>
  </w:footnote>
  <w:footnote w:id="294">
    <w:p w14:paraId="0D689669" w14:textId="77777777" w:rsidR="005375B7" w:rsidRPr="008B353F" w:rsidRDefault="005375B7" w:rsidP="005375B7">
      <w:pPr>
        <w:pStyle w:val="FootnoteText"/>
        <w:ind w:left="567" w:hanging="567"/>
        <w:rPr>
          <w:sz w:val="24"/>
          <w:lang w:val="fi-FI"/>
        </w:rPr>
      </w:pPr>
      <w:r w:rsidRPr="008B353F">
        <w:rPr>
          <w:rStyle w:val="FootnoteReference"/>
          <w:sz w:val="24"/>
        </w:rPr>
        <w:footnoteRef/>
      </w:r>
      <w:r w:rsidRPr="008B353F">
        <w:rPr>
          <w:sz w:val="24"/>
          <w:lang w:val="fi-FI"/>
        </w:rPr>
        <w:t xml:space="preserve"> </w:t>
      </w:r>
      <w:r w:rsidRPr="00822C8C">
        <w:rPr>
          <w:sz w:val="24"/>
          <w:lang w:val="fi-FI"/>
        </w:rPr>
        <w:tab/>
        <w:t xml:space="preserve">EUT L 468, 30.12.2021, s. 1, ELI: </w:t>
      </w:r>
      <w:hyperlink r:id="rId294" w:history="1">
        <w:r w:rsidRPr="00822C8C">
          <w:rPr>
            <w:rStyle w:val="Hyperlink1"/>
            <w:sz w:val="24"/>
            <w:lang w:val="fi-FI"/>
          </w:rPr>
          <w:t>http://data.europa.eu/eli/reg/2021/2303/oj</w:t>
        </w:r>
      </w:hyperlink>
      <w:r w:rsidRPr="00822C8C">
        <w:rPr>
          <w:sz w:val="24"/>
          <w:lang w:val="fi-FI"/>
        </w:rPr>
        <w:t>.</w:t>
      </w:r>
    </w:p>
  </w:footnote>
  <w:footnote w:id="295">
    <w:p w14:paraId="005EF3EB" w14:textId="77777777" w:rsidR="005375B7" w:rsidRPr="008B353F" w:rsidRDefault="005375B7" w:rsidP="005375B7">
      <w:pPr>
        <w:pStyle w:val="FootnoteText"/>
        <w:ind w:left="567" w:hanging="567"/>
        <w:rPr>
          <w:sz w:val="24"/>
          <w:lang w:val="fi-FI"/>
        </w:rPr>
      </w:pPr>
      <w:r w:rsidRPr="008B353F">
        <w:rPr>
          <w:rStyle w:val="FootnoteReference"/>
          <w:sz w:val="24"/>
        </w:rPr>
        <w:footnoteRef/>
      </w:r>
      <w:r w:rsidRPr="008B353F">
        <w:rPr>
          <w:sz w:val="24"/>
          <w:lang w:val="fi-FI"/>
        </w:rPr>
        <w:t xml:space="preserve"> </w:t>
      </w:r>
      <w:r w:rsidRPr="00822C8C">
        <w:rPr>
          <w:sz w:val="24"/>
          <w:lang w:val="fi-FI"/>
        </w:rPr>
        <w:tab/>
        <w:t xml:space="preserve">EUT L 122, 10.5.2019, s. 1, ELI: </w:t>
      </w:r>
      <w:hyperlink r:id="rId295" w:history="1">
        <w:r w:rsidRPr="00822C8C">
          <w:rPr>
            <w:rStyle w:val="Hyperlink1"/>
            <w:sz w:val="24"/>
            <w:lang w:val="fi-FI"/>
          </w:rPr>
          <w:t>http://data.europa.eu/eli/reg_del/2019/715/oj</w:t>
        </w:r>
      </w:hyperlink>
      <w:r w:rsidRPr="00822C8C">
        <w:rPr>
          <w:sz w:val="24"/>
          <w:lang w:val="fi-FI"/>
        </w:rPr>
        <w:t>.</w:t>
      </w:r>
    </w:p>
  </w:footnote>
  <w:footnote w:id="296">
    <w:p w14:paraId="55C03392" w14:textId="77777777" w:rsidR="005375B7" w:rsidRPr="009A5005" w:rsidRDefault="005375B7" w:rsidP="005375B7">
      <w:pPr>
        <w:pStyle w:val="FootnoteText"/>
        <w:ind w:left="567" w:hanging="567"/>
        <w:rPr>
          <w:sz w:val="24"/>
          <w:lang w:val="fi-FI"/>
        </w:rPr>
      </w:pPr>
      <w:r w:rsidRPr="009A5005">
        <w:rPr>
          <w:rStyle w:val="FootnoteReference"/>
          <w:sz w:val="24"/>
        </w:rPr>
        <w:footnoteRef/>
      </w:r>
      <w:r w:rsidRPr="009A5005">
        <w:rPr>
          <w:sz w:val="24"/>
          <w:lang w:val="fi-FI"/>
        </w:rPr>
        <w:t xml:space="preserve"> </w:t>
      </w:r>
      <w:r w:rsidRPr="00822C8C">
        <w:rPr>
          <w:sz w:val="24"/>
          <w:lang w:val="fi-FI"/>
        </w:rPr>
        <w:tab/>
        <w:t xml:space="preserve">EUT C, C/2024/6332, 24.10.2024, ELI: </w:t>
      </w:r>
      <w:hyperlink r:id="rId296" w:history="1">
        <w:r w:rsidRPr="00822C8C">
          <w:rPr>
            <w:rStyle w:val="Hyperlink1"/>
            <w:sz w:val="24"/>
            <w:lang w:val="fi-FI"/>
          </w:rPr>
          <w:t>http://data.europa.eu/eli/C/2024/6332/oj</w:t>
        </w:r>
      </w:hyperlink>
      <w:r w:rsidRPr="00822C8C">
        <w:rPr>
          <w:sz w:val="24"/>
          <w:lang w:val="fi-FI"/>
        </w:rPr>
        <w:t>.</w:t>
      </w:r>
    </w:p>
  </w:footnote>
  <w:footnote w:id="297">
    <w:p w14:paraId="49874088" w14:textId="77777777" w:rsidR="005375B7" w:rsidRPr="009A5005" w:rsidRDefault="005375B7" w:rsidP="005375B7">
      <w:pPr>
        <w:pStyle w:val="FootnoteText"/>
        <w:ind w:left="567" w:hanging="567"/>
        <w:rPr>
          <w:sz w:val="24"/>
          <w:lang w:val="fi-FI"/>
        </w:rPr>
      </w:pPr>
      <w:r w:rsidRPr="009A5005">
        <w:rPr>
          <w:rStyle w:val="FootnoteReference"/>
          <w:sz w:val="24"/>
        </w:rPr>
        <w:footnoteRef/>
      </w:r>
      <w:r w:rsidRPr="009A5005">
        <w:rPr>
          <w:sz w:val="24"/>
          <w:lang w:val="fi-FI"/>
        </w:rPr>
        <w:t xml:space="preserve"> </w:t>
      </w:r>
      <w:r w:rsidRPr="00822C8C">
        <w:rPr>
          <w:sz w:val="24"/>
          <w:lang w:val="fi-FI"/>
        </w:rPr>
        <w:tab/>
        <w:t xml:space="preserve">EUT C, C/2024/6041, 10.10.2024, ELI: </w:t>
      </w:r>
      <w:hyperlink r:id="rId297" w:history="1">
        <w:r w:rsidRPr="00822C8C">
          <w:rPr>
            <w:rStyle w:val="Hyperlink1"/>
            <w:sz w:val="24"/>
            <w:lang w:val="fi-FI"/>
          </w:rPr>
          <w:t>http://data.europa.eu/eli/C/2024/6041/oj</w:t>
        </w:r>
      </w:hyperlink>
      <w:r w:rsidRPr="00822C8C">
        <w:rPr>
          <w:sz w:val="24"/>
          <w:lang w:val="fi-FI"/>
        </w:rPr>
        <w:t>.</w:t>
      </w:r>
    </w:p>
  </w:footnote>
  <w:footnote w:id="298">
    <w:p w14:paraId="64C3771F" w14:textId="77777777" w:rsidR="005375B7" w:rsidRPr="009A5005" w:rsidRDefault="005375B7" w:rsidP="005375B7">
      <w:pPr>
        <w:pStyle w:val="FootnoteText"/>
        <w:ind w:left="567" w:hanging="567"/>
        <w:rPr>
          <w:sz w:val="24"/>
          <w:lang w:val="fi-FI"/>
        </w:rPr>
      </w:pPr>
      <w:r w:rsidRPr="009A5005">
        <w:rPr>
          <w:rStyle w:val="FootnoteReference"/>
          <w:sz w:val="24"/>
        </w:rPr>
        <w:footnoteRef/>
      </w:r>
      <w:r w:rsidRPr="009A5005">
        <w:rPr>
          <w:sz w:val="24"/>
          <w:lang w:val="fi-FI"/>
        </w:rPr>
        <w:t xml:space="preserve"> </w:t>
      </w:r>
      <w:r w:rsidRPr="00822C8C">
        <w:rPr>
          <w:sz w:val="24"/>
          <w:lang w:val="fi-FI"/>
        </w:rPr>
        <w:tab/>
        <w:t xml:space="preserve">EUT L 193, 30.7.2018, s. 1, ELI: </w:t>
      </w:r>
      <w:hyperlink r:id="rId298" w:history="1">
        <w:r w:rsidRPr="00822C8C">
          <w:rPr>
            <w:rStyle w:val="Hyperlink1"/>
            <w:sz w:val="24"/>
            <w:lang w:val="fi-FI"/>
          </w:rPr>
          <w:t>http://data.europa.eu/eli/reg/2018/1046/oj</w:t>
        </w:r>
      </w:hyperlink>
      <w:r w:rsidRPr="00822C8C">
        <w:rPr>
          <w:sz w:val="24"/>
          <w:lang w:val="fi-FI"/>
        </w:rPr>
        <w:t>.</w:t>
      </w:r>
    </w:p>
  </w:footnote>
  <w:footnote w:id="299">
    <w:p w14:paraId="39BDD8AC" w14:textId="77777777" w:rsidR="005375B7" w:rsidRPr="009A5005" w:rsidRDefault="005375B7" w:rsidP="005375B7">
      <w:pPr>
        <w:pStyle w:val="FootnoteText"/>
        <w:ind w:left="567" w:hanging="567"/>
        <w:rPr>
          <w:sz w:val="24"/>
          <w:lang w:val="fi-FI"/>
        </w:rPr>
      </w:pPr>
      <w:r w:rsidRPr="009A5005">
        <w:rPr>
          <w:rStyle w:val="FootnoteReference"/>
          <w:sz w:val="24"/>
        </w:rPr>
        <w:footnoteRef/>
      </w:r>
      <w:r w:rsidRPr="009A5005">
        <w:rPr>
          <w:sz w:val="24"/>
          <w:lang w:val="fi-FI"/>
        </w:rPr>
        <w:t xml:space="preserve"> </w:t>
      </w:r>
      <w:r w:rsidRPr="00822C8C">
        <w:rPr>
          <w:sz w:val="24"/>
          <w:lang w:val="fi-FI"/>
        </w:rPr>
        <w:tab/>
        <w:t xml:space="preserve">EUT L, 2024/2509, 26.9.2024, ELI: </w:t>
      </w:r>
      <w:hyperlink r:id="rId299" w:history="1">
        <w:r w:rsidRPr="00822C8C">
          <w:rPr>
            <w:rStyle w:val="Hyperlink1"/>
            <w:sz w:val="24"/>
            <w:lang w:val="fi-FI"/>
          </w:rPr>
          <w:t>http://data.europa.eu/eli/reg/2024/2509/oj</w:t>
        </w:r>
      </w:hyperlink>
      <w:r w:rsidRPr="00822C8C">
        <w:rPr>
          <w:rStyle w:val="Hyperlink1"/>
          <w:sz w:val="24"/>
          <w:lang w:val="fi-FI"/>
        </w:rPr>
        <w:t>.</w:t>
      </w:r>
    </w:p>
  </w:footnote>
  <w:footnote w:id="300">
    <w:p w14:paraId="432E145A" w14:textId="77777777" w:rsidR="005375B7" w:rsidRPr="009A5005" w:rsidRDefault="005375B7" w:rsidP="005375B7">
      <w:pPr>
        <w:pStyle w:val="FootnoteText"/>
        <w:ind w:left="567" w:hanging="567"/>
        <w:rPr>
          <w:sz w:val="24"/>
          <w:lang w:val="fi-FI"/>
        </w:rPr>
      </w:pPr>
      <w:r w:rsidRPr="009A5005">
        <w:rPr>
          <w:rStyle w:val="FootnoteReference"/>
          <w:sz w:val="24"/>
        </w:rPr>
        <w:footnoteRef/>
      </w:r>
      <w:r w:rsidRPr="009A5005">
        <w:rPr>
          <w:sz w:val="24"/>
          <w:lang w:val="fi-FI"/>
        </w:rPr>
        <w:t xml:space="preserve"> </w:t>
      </w:r>
      <w:r w:rsidRPr="00822C8C">
        <w:rPr>
          <w:sz w:val="24"/>
          <w:lang w:val="fi-FI"/>
        </w:rPr>
        <w:tab/>
        <w:t xml:space="preserve">EUT L 132, 29.5.2010, s. 11, ELI: </w:t>
      </w:r>
      <w:hyperlink r:id="rId300" w:history="1">
        <w:r w:rsidRPr="00822C8C">
          <w:rPr>
            <w:rStyle w:val="Hyperlink1"/>
            <w:sz w:val="24"/>
            <w:lang w:val="fi-FI"/>
          </w:rPr>
          <w:t>http://data.europa.eu/eli/reg/2010/439/oj</w:t>
        </w:r>
      </w:hyperlink>
      <w:r w:rsidRPr="00822C8C">
        <w:rPr>
          <w:sz w:val="24"/>
          <w:lang w:val="fi-FI"/>
        </w:rPr>
        <w:t>.</w:t>
      </w:r>
    </w:p>
  </w:footnote>
  <w:footnote w:id="301">
    <w:p w14:paraId="59CFA0AD" w14:textId="77777777" w:rsidR="005375B7" w:rsidRPr="009A5005" w:rsidRDefault="005375B7" w:rsidP="005375B7">
      <w:pPr>
        <w:pStyle w:val="FootnoteText"/>
        <w:ind w:left="567" w:hanging="567"/>
        <w:rPr>
          <w:sz w:val="24"/>
          <w:lang w:val="fi-FI"/>
        </w:rPr>
      </w:pPr>
      <w:r w:rsidRPr="009A5005">
        <w:rPr>
          <w:rStyle w:val="FootnoteReference"/>
          <w:sz w:val="24"/>
        </w:rPr>
        <w:footnoteRef/>
      </w:r>
      <w:r w:rsidRPr="009A5005">
        <w:rPr>
          <w:sz w:val="24"/>
          <w:lang w:val="fi-FI"/>
        </w:rPr>
        <w:t xml:space="preserve"> </w:t>
      </w:r>
      <w:r w:rsidRPr="00822C8C">
        <w:rPr>
          <w:sz w:val="24"/>
          <w:lang w:val="fi-FI"/>
        </w:rPr>
        <w:tab/>
        <w:t xml:space="preserve">EUT L 468, 30.12.2021, s. 1, ELI: </w:t>
      </w:r>
      <w:hyperlink r:id="rId301" w:history="1">
        <w:r w:rsidRPr="00822C8C">
          <w:rPr>
            <w:rStyle w:val="Hyperlink1"/>
            <w:sz w:val="24"/>
            <w:lang w:val="fi-FI"/>
          </w:rPr>
          <w:t>http://data.europa.eu/eli/reg/2021/2303/oj</w:t>
        </w:r>
      </w:hyperlink>
      <w:r w:rsidRPr="00822C8C">
        <w:rPr>
          <w:sz w:val="24"/>
          <w:lang w:val="fi-FI"/>
        </w:rPr>
        <w:t>.</w:t>
      </w:r>
    </w:p>
  </w:footnote>
  <w:footnote w:id="302">
    <w:p w14:paraId="0D5400D7" w14:textId="77777777" w:rsidR="005375B7" w:rsidRPr="009A5005" w:rsidRDefault="005375B7" w:rsidP="005375B7">
      <w:pPr>
        <w:pStyle w:val="FootnoteText"/>
        <w:ind w:left="567" w:hanging="567"/>
        <w:rPr>
          <w:sz w:val="24"/>
          <w:lang w:val="fi-FI"/>
        </w:rPr>
      </w:pPr>
      <w:r w:rsidRPr="009A5005">
        <w:rPr>
          <w:rStyle w:val="FootnoteReference"/>
          <w:sz w:val="24"/>
        </w:rPr>
        <w:footnoteRef/>
      </w:r>
      <w:r w:rsidRPr="009A5005">
        <w:rPr>
          <w:sz w:val="24"/>
          <w:lang w:val="fi-FI"/>
        </w:rPr>
        <w:t xml:space="preserve"> </w:t>
      </w:r>
      <w:r w:rsidRPr="00822C8C">
        <w:rPr>
          <w:sz w:val="24"/>
          <w:lang w:val="fi-FI"/>
        </w:rPr>
        <w:tab/>
        <w:t xml:space="preserve">EUT L 122, 10.5.2019, s. 1, ELI: </w:t>
      </w:r>
      <w:hyperlink r:id="rId302" w:history="1">
        <w:r w:rsidRPr="00822C8C">
          <w:rPr>
            <w:rStyle w:val="Hyperlink1"/>
            <w:sz w:val="24"/>
            <w:lang w:val="fi-FI"/>
          </w:rPr>
          <w:t>http://data.europa.eu/eli/reg_del/2019/715/oj</w:t>
        </w:r>
      </w:hyperlink>
      <w:r w:rsidRPr="00822C8C">
        <w:rPr>
          <w:sz w:val="24"/>
          <w:lang w:val="fi-FI"/>
        </w:rPr>
        <w:t>.</w:t>
      </w:r>
    </w:p>
  </w:footnote>
  <w:footnote w:id="303">
    <w:p w14:paraId="6AB0F279" w14:textId="77777777" w:rsidR="005375B7" w:rsidRPr="003422AB" w:rsidRDefault="005375B7" w:rsidP="005375B7">
      <w:pPr>
        <w:pStyle w:val="FootnoteText"/>
        <w:ind w:left="567" w:hanging="567"/>
        <w:rPr>
          <w:sz w:val="24"/>
          <w:lang w:val="fi-FI"/>
        </w:rPr>
      </w:pPr>
      <w:r w:rsidRPr="003422AB">
        <w:rPr>
          <w:rStyle w:val="FootnoteReference"/>
          <w:sz w:val="24"/>
        </w:rPr>
        <w:footnoteRef/>
      </w:r>
      <w:r w:rsidRPr="003422AB">
        <w:rPr>
          <w:sz w:val="24"/>
          <w:lang w:val="fi-FI"/>
        </w:rPr>
        <w:t xml:space="preserve"> </w:t>
      </w:r>
      <w:r w:rsidRPr="00822C8C">
        <w:rPr>
          <w:sz w:val="24"/>
          <w:lang w:val="fi-FI"/>
        </w:rPr>
        <w:tab/>
        <w:t xml:space="preserve">EUT C, C/2024/6332, 24.10.2024, ELI: </w:t>
      </w:r>
      <w:hyperlink r:id="rId303" w:history="1">
        <w:r w:rsidRPr="00822C8C">
          <w:rPr>
            <w:rStyle w:val="Hyperlink1"/>
            <w:sz w:val="24"/>
            <w:lang w:val="fi-FI"/>
          </w:rPr>
          <w:t>http://data.europa.eu/eli/C/2024/6332/oj</w:t>
        </w:r>
      </w:hyperlink>
      <w:r w:rsidRPr="00822C8C">
        <w:rPr>
          <w:sz w:val="24"/>
          <w:lang w:val="fi-FI"/>
        </w:rPr>
        <w:t>.</w:t>
      </w:r>
    </w:p>
  </w:footnote>
  <w:footnote w:id="304">
    <w:p w14:paraId="2152F8E8" w14:textId="77777777" w:rsidR="005375B7" w:rsidRPr="003422AB" w:rsidRDefault="005375B7" w:rsidP="005375B7">
      <w:pPr>
        <w:pStyle w:val="FootnoteText"/>
        <w:ind w:left="567" w:hanging="567"/>
        <w:rPr>
          <w:sz w:val="24"/>
          <w:lang w:val="fi-FI"/>
        </w:rPr>
      </w:pPr>
      <w:r w:rsidRPr="003422AB">
        <w:rPr>
          <w:rStyle w:val="FootnoteReference"/>
          <w:sz w:val="24"/>
        </w:rPr>
        <w:footnoteRef/>
      </w:r>
      <w:r w:rsidRPr="003422AB">
        <w:rPr>
          <w:sz w:val="24"/>
          <w:lang w:val="fi-FI"/>
        </w:rPr>
        <w:t xml:space="preserve"> </w:t>
      </w:r>
      <w:r w:rsidRPr="00822C8C">
        <w:rPr>
          <w:sz w:val="24"/>
          <w:lang w:val="fi-FI"/>
        </w:rPr>
        <w:tab/>
        <w:t xml:space="preserve">EUT C, C/2024/6041, 10.10.2024, ELI: </w:t>
      </w:r>
      <w:hyperlink r:id="rId304" w:history="1">
        <w:r w:rsidRPr="00822C8C">
          <w:rPr>
            <w:rStyle w:val="Hyperlink1"/>
            <w:sz w:val="24"/>
            <w:lang w:val="fi-FI"/>
          </w:rPr>
          <w:t>http://data.europa.eu/eli/C/2024/6041/oj</w:t>
        </w:r>
      </w:hyperlink>
      <w:r w:rsidRPr="00822C8C">
        <w:rPr>
          <w:sz w:val="24"/>
          <w:lang w:val="fi-FI"/>
        </w:rPr>
        <w:t>.</w:t>
      </w:r>
    </w:p>
  </w:footnote>
  <w:footnote w:id="305">
    <w:p w14:paraId="072393CF" w14:textId="77777777" w:rsidR="005375B7" w:rsidRPr="003422AB" w:rsidRDefault="005375B7" w:rsidP="005375B7">
      <w:pPr>
        <w:pStyle w:val="FootnoteText"/>
        <w:ind w:left="567" w:hanging="567"/>
        <w:rPr>
          <w:sz w:val="24"/>
          <w:lang w:val="fi-FI"/>
        </w:rPr>
      </w:pPr>
      <w:r w:rsidRPr="003422AB">
        <w:rPr>
          <w:rStyle w:val="FootnoteReference"/>
          <w:sz w:val="24"/>
        </w:rPr>
        <w:footnoteRef/>
      </w:r>
      <w:r w:rsidRPr="003422AB">
        <w:rPr>
          <w:sz w:val="24"/>
          <w:lang w:val="fi-FI"/>
        </w:rPr>
        <w:t xml:space="preserve"> </w:t>
      </w:r>
      <w:r w:rsidRPr="00822C8C">
        <w:rPr>
          <w:sz w:val="24"/>
          <w:lang w:val="fi-FI"/>
        </w:rPr>
        <w:tab/>
        <w:t xml:space="preserve">EUT L 193, 30.7.2018, s. 1, ELI: </w:t>
      </w:r>
      <w:hyperlink r:id="rId305" w:history="1">
        <w:r w:rsidRPr="00822C8C">
          <w:rPr>
            <w:rStyle w:val="Hyperlink1"/>
            <w:sz w:val="24"/>
            <w:lang w:val="fi-FI"/>
          </w:rPr>
          <w:t>http://data.europa.eu/eli/reg/2018/1046/oj</w:t>
        </w:r>
      </w:hyperlink>
      <w:r w:rsidRPr="00822C8C">
        <w:rPr>
          <w:sz w:val="24"/>
          <w:lang w:val="fi-FI"/>
        </w:rPr>
        <w:t>.</w:t>
      </w:r>
    </w:p>
  </w:footnote>
  <w:footnote w:id="306">
    <w:p w14:paraId="7AEA1029" w14:textId="77777777" w:rsidR="005375B7" w:rsidRPr="003422AB" w:rsidRDefault="005375B7" w:rsidP="005375B7">
      <w:pPr>
        <w:pStyle w:val="FootnoteText"/>
        <w:ind w:left="567" w:hanging="567"/>
        <w:rPr>
          <w:sz w:val="24"/>
          <w:lang w:val="fi-FI"/>
        </w:rPr>
      </w:pPr>
      <w:r w:rsidRPr="003422AB">
        <w:rPr>
          <w:rStyle w:val="FootnoteReference"/>
          <w:sz w:val="24"/>
        </w:rPr>
        <w:footnoteRef/>
      </w:r>
      <w:r w:rsidRPr="003422AB">
        <w:rPr>
          <w:sz w:val="24"/>
          <w:lang w:val="fi-FI"/>
        </w:rPr>
        <w:t xml:space="preserve"> </w:t>
      </w:r>
      <w:r w:rsidRPr="00822C8C">
        <w:rPr>
          <w:sz w:val="24"/>
          <w:lang w:val="fi-FI"/>
        </w:rPr>
        <w:tab/>
        <w:t xml:space="preserve">EUT L, 2024/2509, 26.9.2024, ELI: </w:t>
      </w:r>
      <w:hyperlink r:id="rId306" w:history="1">
        <w:r w:rsidRPr="00822C8C">
          <w:rPr>
            <w:rStyle w:val="Hyperlink1"/>
            <w:sz w:val="24"/>
            <w:lang w:val="fi-FI"/>
          </w:rPr>
          <w:t>http://data.europa.eu/eli/reg/2024/2509/oj</w:t>
        </w:r>
      </w:hyperlink>
      <w:r w:rsidRPr="00822C8C">
        <w:rPr>
          <w:rStyle w:val="Hyperlink1"/>
          <w:sz w:val="24"/>
          <w:lang w:val="fi-FI"/>
        </w:rPr>
        <w:t>.</w:t>
      </w:r>
    </w:p>
  </w:footnote>
  <w:footnote w:id="307">
    <w:p w14:paraId="007AFC4B" w14:textId="77777777" w:rsidR="005375B7" w:rsidRPr="003422AB" w:rsidRDefault="005375B7" w:rsidP="005375B7">
      <w:pPr>
        <w:pStyle w:val="FootnoteText"/>
        <w:ind w:left="567" w:hanging="567"/>
        <w:rPr>
          <w:sz w:val="24"/>
          <w:lang w:val="fi-FI"/>
        </w:rPr>
      </w:pPr>
      <w:r w:rsidRPr="003422AB">
        <w:rPr>
          <w:rStyle w:val="FootnoteReference"/>
          <w:sz w:val="24"/>
        </w:rPr>
        <w:footnoteRef/>
      </w:r>
      <w:r w:rsidRPr="003422AB">
        <w:rPr>
          <w:sz w:val="24"/>
          <w:lang w:val="fi-FI"/>
        </w:rPr>
        <w:t xml:space="preserve"> </w:t>
      </w:r>
      <w:r w:rsidRPr="00822C8C">
        <w:rPr>
          <w:sz w:val="24"/>
          <w:lang w:val="fi-FI"/>
        </w:rPr>
        <w:tab/>
        <w:t xml:space="preserve">EUT L 295, 21.11.2018, s. 99, ELI: </w:t>
      </w:r>
      <w:hyperlink r:id="rId307" w:history="1">
        <w:r w:rsidRPr="00822C8C">
          <w:rPr>
            <w:rStyle w:val="Hyperlink1"/>
            <w:sz w:val="24"/>
            <w:lang w:val="fi-FI"/>
          </w:rPr>
          <w:t>http://data.europa.eu/eli/reg/2018/1726/oj</w:t>
        </w:r>
      </w:hyperlink>
      <w:r w:rsidRPr="00822C8C">
        <w:rPr>
          <w:sz w:val="24"/>
          <w:lang w:val="fi-FI"/>
        </w:rPr>
        <w:t>.</w:t>
      </w:r>
    </w:p>
  </w:footnote>
  <w:footnote w:id="308">
    <w:p w14:paraId="092D856B" w14:textId="77777777" w:rsidR="005375B7" w:rsidRPr="003422AB" w:rsidRDefault="005375B7" w:rsidP="005375B7">
      <w:pPr>
        <w:pStyle w:val="FootnoteText"/>
        <w:ind w:left="567" w:hanging="567"/>
        <w:rPr>
          <w:sz w:val="24"/>
          <w:lang w:val="fi-FI"/>
        </w:rPr>
      </w:pPr>
      <w:r w:rsidRPr="003422AB">
        <w:rPr>
          <w:rStyle w:val="FootnoteReference"/>
          <w:sz w:val="24"/>
        </w:rPr>
        <w:footnoteRef/>
      </w:r>
      <w:r w:rsidRPr="003422AB">
        <w:rPr>
          <w:sz w:val="24"/>
          <w:lang w:val="fi-FI"/>
        </w:rPr>
        <w:t xml:space="preserve"> </w:t>
      </w:r>
      <w:r w:rsidRPr="00822C8C">
        <w:rPr>
          <w:sz w:val="24"/>
          <w:lang w:val="fi-FI"/>
        </w:rPr>
        <w:tab/>
        <w:t xml:space="preserve">EUT L 122, 10.5.2019, s. 1, ELI: </w:t>
      </w:r>
      <w:hyperlink r:id="rId308" w:history="1">
        <w:r w:rsidRPr="00822C8C">
          <w:rPr>
            <w:rStyle w:val="Hyperlink1"/>
            <w:sz w:val="24"/>
            <w:lang w:val="fi-FI"/>
          </w:rPr>
          <w:t>http://data.europa.eu/eli/reg_del/2019/715/oj</w:t>
        </w:r>
      </w:hyperlink>
      <w:r w:rsidRPr="00822C8C">
        <w:rPr>
          <w:sz w:val="24"/>
          <w:lang w:val="fi-FI"/>
        </w:rPr>
        <w:t>.</w:t>
      </w:r>
    </w:p>
  </w:footnote>
  <w:footnote w:id="309">
    <w:p w14:paraId="326407E1" w14:textId="77777777" w:rsidR="005375B7" w:rsidRPr="00904597" w:rsidRDefault="005375B7" w:rsidP="005375B7">
      <w:pPr>
        <w:pStyle w:val="FootnoteText"/>
        <w:ind w:left="567" w:hanging="567"/>
        <w:rPr>
          <w:sz w:val="24"/>
          <w:lang w:val="fi-FI"/>
        </w:rPr>
      </w:pPr>
      <w:r w:rsidRPr="00904597">
        <w:rPr>
          <w:rStyle w:val="FootnoteReference"/>
          <w:sz w:val="24"/>
        </w:rPr>
        <w:footnoteRef/>
      </w:r>
      <w:r w:rsidRPr="00904597">
        <w:rPr>
          <w:sz w:val="24"/>
          <w:lang w:val="fi-FI"/>
        </w:rPr>
        <w:t xml:space="preserve"> </w:t>
      </w:r>
      <w:r w:rsidRPr="00822C8C">
        <w:rPr>
          <w:sz w:val="24"/>
          <w:lang w:val="fi-FI"/>
        </w:rPr>
        <w:tab/>
        <w:t xml:space="preserve">EUT C, C/2024/6332, 24.10.2024, ELI: </w:t>
      </w:r>
      <w:hyperlink r:id="rId309" w:history="1">
        <w:r w:rsidRPr="00822C8C">
          <w:rPr>
            <w:rStyle w:val="Hyperlink1"/>
            <w:sz w:val="24"/>
            <w:lang w:val="fi-FI"/>
          </w:rPr>
          <w:t>http://data.europa.eu/eli/C/2024/6332/oj</w:t>
        </w:r>
      </w:hyperlink>
      <w:r w:rsidRPr="00822C8C">
        <w:rPr>
          <w:sz w:val="24"/>
          <w:lang w:val="fi-FI"/>
        </w:rPr>
        <w:t>.</w:t>
      </w:r>
    </w:p>
  </w:footnote>
  <w:footnote w:id="310">
    <w:p w14:paraId="428F15F2" w14:textId="77777777" w:rsidR="005375B7" w:rsidRPr="00904597" w:rsidRDefault="005375B7" w:rsidP="005375B7">
      <w:pPr>
        <w:pStyle w:val="FootnoteText"/>
        <w:ind w:left="567" w:hanging="567"/>
        <w:rPr>
          <w:sz w:val="24"/>
          <w:lang w:val="fi-FI"/>
        </w:rPr>
      </w:pPr>
      <w:r w:rsidRPr="00904597">
        <w:rPr>
          <w:rStyle w:val="FootnoteReference"/>
          <w:sz w:val="24"/>
        </w:rPr>
        <w:footnoteRef/>
      </w:r>
      <w:r w:rsidRPr="00904597">
        <w:rPr>
          <w:sz w:val="24"/>
          <w:lang w:val="fi-FI"/>
        </w:rPr>
        <w:t xml:space="preserve"> </w:t>
      </w:r>
      <w:r w:rsidRPr="00822C8C">
        <w:rPr>
          <w:sz w:val="24"/>
          <w:lang w:val="fi-FI"/>
        </w:rPr>
        <w:tab/>
        <w:t xml:space="preserve">EUT C, C/2024/6041, 10.10.2024, ELI: </w:t>
      </w:r>
      <w:hyperlink r:id="rId310" w:history="1">
        <w:r w:rsidRPr="00822C8C">
          <w:rPr>
            <w:rStyle w:val="Hyperlink1"/>
            <w:sz w:val="24"/>
            <w:lang w:val="fi-FI"/>
          </w:rPr>
          <w:t>http://data.europa.eu/eli/C/2024/6041/oj</w:t>
        </w:r>
      </w:hyperlink>
      <w:r w:rsidRPr="00822C8C">
        <w:rPr>
          <w:sz w:val="24"/>
          <w:lang w:val="fi-FI"/>
        </w:rPr>
        <w:t>.</w:t>
      </w:r>
    </w:p>
  </w:footnote>
  <w:footnote w:id="311">
    <w:p w14:paraId="0649C6E3" w14:textId="77777777" w:rsidR="005375B7" w:rsidRPr="00904597" w:rsidRDefault="005375B7" w:rsidP="005375B7">
      <w:pPr>
        <w:pStyle w:val="FootnoteText"/>
        <w:ind w:left="567" w:hanging="567"/>
        <w:rPr>
          <w:sz w:val="24"/>
          <w:lang w:val="fi-FI"/>
        </w:rPr>
      </w:pPr>
      <w:r w:rsidRPr="00904597">
        <w:rPr>
          <w:rStyle w:val="FootnoteReference"/>
          <w:sz w:val="24"/>
        </w:rPr>
        <w:footnoteRef/>
      </w:r>
      <w:r w:rsidRPr="00904597">
        <w:rPr>
          <w:sz w:val="24"/>
          <w:lang w:val="fi-FI"/>
        </w:rPr>
        <w:t xml:space="preserve"> </w:t>
      </w:r>
      <w:r w:rsidRPr="00822C8C">
        <w:rPr>
          <w:sz w:val="24"/>
          <w:lang w:val="fi-FI"/>
        </w:rPr>
        <w:tab/>
        <w:t xml:space="preserve">EUT L 193, 30.7.2018, s. 1, ELI: </w:t>
      </w:r>
      <w:hyperlink r:id="rId311" w:history="1">
        <w:r w:rsidRPr="00822C8C">
          <w:rPr>
            <w:rStyle w:val="Hyperlink1"/>
            <w:sz w:val="24"/>
            <w:lang w:val="fi-FI"/>
          </w:rPr>
          <w:t>http://data.europa.eu/eli/reg/2018/1046/oj</w:t>
        </w:r>
      </w:hyperlink>
      <w:r w:rsidRPr="00822C8C">
        <w:rPr>
          <w:sz w:val="24"/>
          <w:lang w:val="fi-FI"/>
        </w:rPr>
        <w:t>.</w:t>
      </w:r>
    </w:p>
  </w:footnote>
  <w:footnote w:id="312">
    <w:p w14:paraId="575FA5B7" w14:textId="77777777" w:rsidR="005375B7" w:rsidRPr="00904597" w:rsidRDefault="005375B7" w:rsidP="005375B7">
      <w:pPr>
        <w:pStyle w:val="FootnoteText"/>
        <w:ind w:left="567" w:hanging="567"/>
        <w:rPr>
          <w:sz w:val="24"/>
          <w:lang w:val="fi-FI"/>
        </w:rPr>
      </w:pPr>
      <w:r w:rsidRPr="00904597">
        <w:rPr>
          <w:rStyle w:val="FootnoteReference"/>
          <w:sz w:val="24"/>
        </w:rPr>
        <w:footnoteRef/>
      </w:r>
      <w:r w:rsidRPr="00904597">
        <w:rPr>
          <w:sz w:val="24"/>
          <w:lang w:val="fi-FI"/>
        </w:rPr>
        <w:t xml:space="preserve"> </w:t>
      </w:r>
      <w:r w:rsidRPr="00822C8C">
        <w:rPr>
          <w:sz w:val="24"/>
          <w:lang w:val="fi-FI"/>
        </w:rPr>
        <w:tab/>
        <w:t xml:space="preserve">EUT L, 2024/2509, 26.9.2024, ELI: </w:t>
      </w:r>
      <w:hyperlink r:id="rId312" w:history="1">
        <w:r w:rsidRPr="00822C8C">
          <w:rPr>
            <w:rStyle w:val="Hyperlink1"/>
            <w:sz w:val="24"/>
            <w:lang w:val="fi-FI"/>
          </w:rPr>
          <w:t>http://data.europa.eu/eli/reg/2024/2509/oj</w:t>
        </w:r>
      </w:hyperlink>
      <w:r w:rsidRPr="00822C8C">
        <w:rPr>
          <w:rStyle w:val="Hyperlink1"/>
          <w:sz w:val="24"/>
          <w:lang w:val="fi-FI"/>
        </w:rPr>
        <w:t>.</w:t>
      </w:r>
    </w:p>
  </w:footnote>
  <w:footnote w:id="313">
    <w:p w14:paraId="0B65409D" w14:textId="77777777" w:rsidR="005375B7" w:rsidRPr="00904597" w:rsidRDefault="005375B7" w:rsidP="005375B7">
      <w:pPr>
        <w:pStyle w:val="FootnoteText"/>
        <w:ind w:left="567" w:hanging="567"/>
        <w:rPr>
          <w:sz w:val="24"/>
          <w:lang w:val="fi-FI"/>
        </w:rPr>
      </w:pPr>
      <w:r w:rsidRPr="00904597">
        <w:rPr>
          <w:rStyle w:val="FootnoteReference"/>
          <w:sz w:val="24"/>
        </w:rPr>
        <w:footnoteRef/>
      </w:r>
      <w:r w:rsidRPr="00904597">
        <w:rPr>
          <w:sz w:val="24"/>
          <w:lang w:val="fi-FI"/>
        </w:rPr>
        <w:t xml:space="preserve"> </w:t>
      </w:r>
      <w:r w:rsidRPr="00822C8C">
        <w:rPr>
          <w:sz w:val="24"/>
          <w:lang w:val="fi-FI"/>
        </w:rPr>
        <w:tab/>
        <w:t xml:space="preserve">EUT L 295, 21.11.2018, s. 99, ELI: </w:t>
      </w:r>
      <w:hyperlink r:id="rId313" w:history="1">
        <w:r w:rsidRPr="00822C8C">
          <w:rPr>
            <w:rStyle w:val="Hyperlink1"/>
            <w:sz w:val="24"/>
            <w:lang w:val="fi-FI"/>
          </w:rPr>
          <w:t>http://data.europa.eu/eli/reg/2018/1726/oj</w:t>
        </w:r>
      </w:hyperlink>
      <w:r w:rsidRPr="00822C8C">
        <w:rPr>
          <w:sz w:val="24"/>
          <w:lang w:val="fi-FI"/>
        </w:rPr>
        <w:t>.</w:t>
      </w:r>
    </w:p>
  </w:footnote>
  <w:footnote w:id="314">
    <w:p w14:paraId="466C866D" w14:textId="77777777" w:rsidR="005375B7" w:rsidRPr="00904597" w:rsidRDefault="005375B7" w:rsidP="005375B7">
      <w:pPr>
        <w:pStyle w:val="FootnoteText"/>
        <w:ind w:left="567" w:hanging="567"/>
        <w:rPr>
          <w:sz w:val="24"/>
          <w:lang w:val="fi-FI"/>
        </w:rPr>
      </w:pPr>
      <w:r w:rsidRPr="00904597">
        <w:rPr>
          <w:rStyle w:val="FootnoteReference"/>
          <w:sz w:val="24"/>
        </w:rPr>
        <w:footnoteRef/>
      </w:r>
      <w:r w:rsidRPr="00904597">
        <w:rPr>
          <w:sz w:val="24"/>
          <w:lang w:val="fi-FI"/>
        </w:rPr>
        <w:t xml:space="preserve"> </w:t>
      </w:r>
      <w:r w:rsidRPr="00822C8C">
        <w:rPr>
          <w:sz w:val="24"/>
          <w:lang w:val="fi-FI"/>
        </w:rPr>
        <w:tab/>
        <w:t xml:space="preserve">EUT L 122, 10.5.2019, s. 1, ELI: </w:t>
      </w:r>
      <w:hyperlink r:id="rId314" w:history="1">
        <w:r w:rsidRPr="00822C8C">
          <w:rPr>
            <w:rStyle w:val="Hyperlink1"/>
            <w:sz w:val="24"/>
            <w:lang w:val="fi-FI"/>
          </w:rPr>
          <w:t>http://data.europa.eu/eli/reg_del/2019/715/oj</w:t>
        </w:r>
      </w:hyperlink>
      <w:r w:rsidRPr="00822C8C">
        <w:rPr>
          <w:sz w:val="24"/>
          <w:lang w:val="fi-FI"/>
        </w:rPr>
        <w:t>.</w:t>
      </w:r>
    </w:p>
  </w:footnote>
  <w:footnote w:id="315">
    <w:p w14:paraId="4C6DD0B3" w14:textId="77777777" w:rsidR="005375B7" w:rsidRPr="00C729C2" w:rsidRDefault="005375B7" w:rsidP="005375B7">
      <w:pPr>
        <w:pStyle w:val="FootnoteText"/>
        <w:ind w:left="567" w:hanging="567"/>
        <w:rPr>
          <w:sz w:val="24"/>
          <w:lang w:val="fi-FI"/>
        </w:rPr>
      </w:pPr>
      <w:r w:rsidRPr="00C729C2">
        <w:rPr>
          <w:rStyle w:val="FootnoteReference"/>
          <w:sz w:val="24"/>
        </w:rPr>
        <w:footnoteRef/>
      </w:r>
      <w:r w:rsidRPr="00C729C2">
        <w:rPr>
          <w:sz w:val="24"/>
          <w:lang w:val="fi-FI"/>
        </w:rPr>
        <w:t xml:space="preserve"> </w:t>
      </w:r>
      <w:r w:rsidRPr="00822C8C">
        <w:rPr>
          <w:sz w:val="24"/>
          <w:lang w:val="fi-FI"/>
        </w:rPr>
        <w:tab/>
        <w:t xml:space="preserve">EUT C, C/2024/6332, 24.10.2024, ELI: </w:t>
      </w:r>
      <w:hyperlink r:id="rId315" w:history="1">
        <w:r w:rsidRPr="00822C8C">
          <w:rPr>
            <w:rStyle w:val="Hyperlink1"/>
            <w:sz w:val="24"/>
            <w:lang w:val="fi-FI"/>
          </w:rPr>
          <w:t>http://data.europa.eu/eli/C/2024/6332/oj</w:t>
        </w:r>
      </w:hyperlink>
      <w:r w:rsidRPr="00822C8C">
        <w:rPr>
          <w:sz w:val="24"/>
          <w:lang w:val="fi-FI"/>
        </w:rPr>
        <w:t>.</w:t>
      </w:r>
    </w:p>
  </w:footnote>
  <w:footnote w:id="316">
    <w:p w14:paraId="2BEC3959" w14:textId="77777777" w:rsidR="005375B7" w:rsidRPr="00C729C2" w:rsidRDefault="005375B7" w:rsidP="005375B7">
      <w:pPr>
        <w:pStyle w:val="FootnoteText"/>
        <w:ind w:left="567" w:hanging="567"/>
        <w:rPr>
          <w:sz w:val="24"/>
          <w:lang w:val="fi-FI"/>
        </w:rPr>
      </w:pPr>
      <w:r w:rsidRPr="00C729C2">
        <w:rPr>
          <w:rStyle w:val="FootnoteReference"/>
          <w:sz w:val="24"/>
        </w:rPr>
        <w:footnoteRef/>
      </w:r>
      <w:r w:rsidRPr="00C729C2">
        <w:rPr>
          <w:sz w:val="24"/>
          <w:lang w:val="fi-FI"/>
        </w:rPr>
        <w:t xml:space="preserve"> </w:t>
      </w:r>
      <w:r w:rsidRPr="00822C8C">
        <w:rPr>
          <w:sz w:val="24"/>
          <w:lang w:val="fi-FI"/>
        </w:rPr>
        <w:tab/>
        <w:t xml:space="preserve">EUT C, C/2024/6041, 10.10.2024, ELI: </w:t>
      </w:r>
      <w:hyperlink r:id="rId316" w:history="1">
        <w:r w:rsidRPr="00822C8C">
          <w:rPr>
            <w:rStyle w:val="Hyperlink1"/>
            <w:sz w:val="24"/>
            <w:lang w:val="fi-FI"/>
          </w:rPr>
          <w:t>http://data.europa.eu/eli/C/2024/6041/oj</w:t>
        </w:r>
      </w:hyperlink>
      <w:r w:rsidRPr="00822C8C">
        <w:rPr>
          <w:sz w:val="24"/>
          <w:lang w:val="fi-FI"/>
        </w:rPr>
        <w:t>.</w:t>
      </w:r>
    </w:p>
  </w:footnote>
  <w:footnote w:id="317">
    <w:p w14:paraId="2060C867" w14:textId="77777777" w:rsidR="005375B7" w:rsidRPr="00C729C2" w:rsidRDefault="005375B7" w:rsidP="005375B7">
      <w:pPr>
        <w:pStyle w:val="FootnoteText"/>
        <w:ind w:left="567" w:hanging="567"/>
        <w:rPr>
          <w:sz w:val="24"/>
          <w:lang w:val="fi-FI"/>
        </w:rPr>
      </w:pPr>
      <w:r w:rsidRPr="00C729C2">
        <w:rPr>
          <w:rStyle w:val="FootnoteReference"/>
          <w:sz w:val="24"/>
        </w:rPr>
        <w:footnoteRef/>
      </w:r>
      <w:r w:rsidRPr="00C729C2">
        <w:rPr>
          <w:sz w:val="24"/>
          <w:lang w:val="fi-FI"/>
        </w:rPr>
        <w:t xml:space="preserve"> </w:t>
      </w:r>
      <w:r w:rsidRPr="00822C8C">
        <w:rPr>
          <w:sz w:val="24"/>
          <w:lang w:val="fi-FI"/>
        </w:rPr>
        <w:tab/>
        <w:t xml:space="preserve">EUT L 193, 30.7.2018, s. 1, ELI: </w:t>
      </w:r>
      <w:hyperlink r:id="rId317" w:history="1">
        <w:r w:rsidRPr="00822C8C">
          <w:rPr>
            <w:rStyle w:val="Hyperlink1"/>
            <w:sz w:val="24"/>
            <w:lang w:val="fi-FI"/>
          </w:rPr>
          <w:t>http://data.europa.eu/eli/reg/2018/1046/oj</w:t>
        </w:r>
      </w:hyperlink>
      <w:r w:rsidRPr="00822C8C">
        <w:rPr>
          <w:sz w:val="24"/>
          <w:lang w:val="fi-FI"/>
        </w:rPr>
        <w:t>.</w:t>
      </w:r>
    </w:p>
  </w:footnote>
  <w:footnote w:id="318">
    <w:p w14:paraId="3BF4CC51" w14:textId="77777777" w:rsidR="005375B7" w:rsidRPr="00C729C2" w:rsidRDefault="005375B7" w:rsidP="005375B7">
      <w:pPr>
        <w:pStyle w:val="FootnoteText"/>
        <w:ind w:left="567" w:hanging="567"/>
        <w:rPr>
          <w:sz w:val="24"/>
          <w:lang w:val="fi-FI"/>
        </w:rPr>
      </w:pPr>
      <w:r w:rsidRPr="00C729C2">
        <w:rPr>
          <w:rStyle w:val="FootnoteReference"/>
          <w:sz w:val="24"/>
        </w:rPr>
        <w:footnoteRef/>
      </w:r>
      <w:r w:rsidRPr="00C729C2">
        <w:rPr>
          <w:sz w:val="24"/>
          <w:lang w:val="fi-FI"/>
        </w:rPr>
        <w:t xml:space="preserve"> </w:t>
      </w:r>
      <w:r w:rsidRPr="00822C8C">
        <w:rPr>
          <w:sz w:val="24"/>
          <w:lang w:val="fi-FI"/>
        </w:rPr>
        <w:tab/>
        <w:t xml:space="preserve">EUT L, 2024/2509, 26.9.2024, ELI: </w:t>
      </w:r>
      <w:hyperlink r:id="rId318" w:history="1">
        <w:r w:rsidRPr="00822C8C">
          <w:rPr>
            <w:rStyle w:val="Hyperlink1"/>
            <w:sz w:val="24"/>
            <w:lang w:val="fi-FI"/>
          </w:rPr>
          <w:t>http://data.europa.eu/eli/reg/2024/2509/oj</w:t>
        </w:r>
      </w:hyperlink>
      <w:r w:rsidRPr="00822C8C">
        <w:rPr>
          <w:rStyle w:val="Hyperlink1"/>
          <w:sz w:val="24"/>
          <w:lang w:val="fi-FI"/>
        </w:rPr>
        <w:t>.</w:t>
      </w:r>
    </w:p>
  </w:footnote>
  <w:footnote w:id="319">
    <w:p w14:paraId="394F2268" w14:textId="77777777" w:rsidR="005375B7" w:rsidRPr="00C729C2" w:rsidRDefault="005375B7" w:rsidP="005375B7">
      <w:pPr>
        <w:pStyle w:val="FootnoteText"/>
        <w:ind w:left="567" w:hanging="567"/>
        <w:rPr>
          <w:sz w:val="24"/>
          <w:lang w:val="fi-FI"/>
        </w:rPr>
      </w:pPr>
      <w:r w:rsidRPr="00C729C2">
        <w:rPr>
          <w:rStyle w:val="FootnoteReference"/>
          <w:sz w:val="24"/>
        </w:rPr>
        <w:footnoteRef/>
      </w:r>
      <w:r w:rsidRPr="00C729C2">
        <w:rPr>
          <w:sz w:val="24"/>
          <w:lang w:val="fi-FI"/>
        </w:rPr>
        <w:t xml:space="preserve"> </w:t>
      </w:r>
      <w:r w:rsidRPr="00822C8C">
        <w:rPr>
          <w:sz w:val="24"/>
          <w:lang w:val="fi-FI"/>
        </w:rPr>
        <w:tab/>
        <w:t xml:space="preserve">EUT L 30, 31.1.2019, s. 58, ELI: </w:t>
      </w:r>
      <w:hyperlink r:id="rId319" w:history="1">
        <w:r w:rsidRPr="00822C8C">
          <w:rPr>
            <w:rStyle w:val="Hyperlink1"/>
            <w:sz w:val="24"/>
            <w:lang w:val="fi-FI"/>
          </w:rPr>
          <w:t>http://data.europa.eu/eli/reg/2019/126/oj</w:t>
        </w:r>
      </w:hyperlink>
      <w:r w:rsidRPr="00822C8C">
        <w:rPr>
          <w:sz w:val="24"/>
          <w:lang w:val="fi-FI"/>
        </w:rPr>
        <w:t>.</w:t>
      </w:r>
    </w:p>
  </w:footnote>
  <w:footnote w:id="320">
    <w:p w14:paraId="2BE7C799" w14:textId="77777777" w:rsidR="005375B7" w:rsidRPr="00C729C2" w:rsidRDefault="005375B7" w:rsidP="005375B7">
      <w:pPr>
        <w:pStyle w:val="FootnoteText"/>
        <w:ind w:left="567" w:hanging="567"/>
        <w:rPr>
          <w:sz w:val="24"/>
          <w:lang w:val="fi-FI"/>
        </w:rPr>
      </w:pPr>
      <w:r w:rsidRPr="00C729C2">
        <w:rPr>
          <w:rStyle w:val="FootnoteReference"/>
          <w:sz w:val="24"/>
        </w:rPr>
        <w:footnoteRef/>
      </w:r>
      <w:r w:rsidRPr="00C729C2">
        <w:rPr>
          <w:sz w:val="24"/>
          <w:lang w:val="fi-FI"/>
        </w:rPr>
        <w:t xml:space="preserve"> </w:t>
      </w:r>
      <w:r w:rsidRPr="00822C8C">
        <w:rPr>
          <w:sz w:val="24"/>
          <w:lang w:val="fi-FI"/>
        </w:rPr>
        <w:tab/>
        <w:t xml:space="preserve">EUT L 122, 10.5.2019, s. 1, ELI: </w:t>
      </w:r>
      <w:hyperlink r:id="rId320" w:history="1">
        <w:r w:rsidRPr="00822C8C">
          <w:rPr>
            <w:rStyle w:val="Hyperlink1"/>
            <w:sz w:val="24"/>
            <w:lang w:val="fi-FI"/>
          </w:rPr>
          <w:t>http://data.europa.eu/eli/reg_del/2019/715/oj</w:t>
        </w:r>
      </w:hyperlink>
      <w:r w:rsidRPr="00822C8C">
        <w:rPr>
          <w:sz w:val="24"/>
          <w:lang w:val="fi-FI"/>
        </w:rPr>
        <w:t>.</w:t>
      </w:r>
    </w:p>
  </w:footnote>
  <w:footnote w:id="321">
    <w:p w14:paraId="75E10DEC" w14:textId="77777777" w:rsidR="005375B7" w:rsidRPr="003F2934" w:rsidRDefault="005375B7" w:rsidP="005375B7">
      <w:pPr>
        <w:pStyle w:val="FootnoteText"/>
        <w:ind w:left="567" w:hanging="567"/>
        <w:rPr>
          <w:sz w:val="24"/>
          <w:lang w:val="fi-FI"/>
        </w:rPr>
      </w:pPr>
      <w:r w:rsidRPr="003F2934">
        <w:rPr>
          <w:rStyle w:val="FootnoteReference"/>
          <w:sz w:val="24"/>
        </w:rPr>
        <w:footnoteRef/>
      </w:r>
      <w:r w:rsidRPr="003F2934">
        <w:rPr>
          <w:sz w:val="24"/>
          <w:lang w:val="fi-FI"/>
        </w:rPr>
        <w:t xml:space="preserve"> </w:t>
      </w:r>
      <w:r w:rsidRPr="00822C8C">
        <w:rPr>
          <w:sz w:val="24"/>
          <w:lang w:val="fi-FI"/>
        </w:rPr>
        <w:tab/>
        <w:t xml:space="preserve">EUT C, C/2024/6332, 24.10.2024, ELI: </w:t>
      </w:r>
      <w:hyperlink r:id="rId321" w:history="1">
        <w:r w:rsidRPr="00822C8C">
          <w:rPr>
            <w:rStyle w:val="Hyperlink1"/>
            <w:sz w:val="24"/>
            <w:lang w:val="fi-FI"/>
          </w:rPr>
          <w:t>http://data.europa.eu/eli/C/2024/6332/oj</w:t>
        </w:r>
      </w:hyperlink>
      <w:r w:rsidRPr="00822C8C">
        <w:rPr>
          <w:sz w:val="24"/>
          <w:lang w:val="fi-FI"/>
        </w:rPr>
        <w:t>.</w:t>
      </w:r>
    </w:p>
  </w:footnote>
  <w:footnote w:id="322">
    <w:p w14:paraId="55E012AA" w14:textId="77777777" w:rsidR="005375B7" w:rsidRPr="003F2934" w:rsidRDefault="005375B7" w:rsidP="005375B7">
      <w:pPr>
        <w:pStyle w:val="FootnoteText"/>
        <w:ind w:left="567" w:hanging="567"/>
        <w:rPr>
          <w:sz w:val="24"/>
          <w:lang w:val="fi-FI"/>
        </w:rPr>
      </w:pPr>
      <w:r w:rsidRPr="003F2934">
        <w:rPr>
          <w:rStyle w:val="FootnoteReference"/>
          <w:sz w:val="24"/>
        </w:rPr>
        <w:footnoteRef/>
      </w:r>
      <w:r w:rsidRPr="003F2934">
        <w:rPr>
          <w:sz w:val="24"/>
          <w:lang w:val="fi-FI"/>
        </w:rPr>
        <w:t xml:space="preserve"> </w:t>
      </w:r>
      <w:r w:rsidRPr="00822C8C">
        <w:rPr>
          <w:sz w:val="24"/>
          <w:lang w:val="fi-FI"/>
        </w:rPr>
        <w:tab/>
        <w:t xml:space="preserve">EUT C, C/2024/6041, 10.10.2024, ELI: </w:t>
      </w:r>
      <w:hyperlink r:id="rId322" w:history="1">
        <w:r w:rsidRPr="00822C8C">
          <w:rPr>
            <w:rStyle w:val="Hyperlink1"/>
            <w:sz w:val="24"/>
            <w:lang w:val="fi-FI"/>
          </w:rPr>
          <w:t>http://data.europa.eu/eli/C/2024/6041/oj</w:t>
        </w:r>
      </w:hyperlink>
      <w:r w:rsidRPr="00822C8C">
        <w:rPr>
          <w:sz w:val="24"/>
          <w:lang w:val="fi-FI"/>
        </w:rPr>
        <w:t>.</w:t>
      </w:r>
    </w:p>
  </w:footnote>
  <w:footnote w:id="323">
    <w:p w14:paraId="1038EE62" w14:textId="77777777" w:rsidR="005375B7" w:rsidRPr="003F2934" w:rsidRDefault="005375B7" w:rsidP="005375B7">
      <w:pPr>
        <w:pStyle w:val="FootnoteText"/>
        <w:ind w:left="567" w:hanging="567"/>
        <w:rPr>
          <w:sz w:val="24"/>
          <w:lang w:val="fi-FI"/>
        </w:rPr>
      </w:pPr>
      <w:r w:rsidRPr="003F2934">
        <w:rPr>
          <w:rStyle w:val="FootnoteReference"/>
          <w:sz w:val="24"/>
        </w:rPr>
        <w:footnoteRef/>
      </w:r>
      <w:r w:rsidRPr="003F2934">
        <w:rPr>
          <w:sz w:val="24"/>
          <w:lang w:val="fi-FI"/>
        </w:rPr>
        <w:t xml:space="preserve"> </w:t>
      </w:r>
      <w:r w:rsidRPr="00822C8C">
        <w:rPr>
          <w:sz w:val="24"/>
          <w:lang w:val="fi-FI"/>
        </w:rPr>
        <w:tab/>
        <w:t xml:space="preserve">EUT L 193, 30.7.2018, s. 1, ELI: </w:t>
      </w:r>
      <w:hyperlink r:id="rId323" w:history="1">
        <w:r w:rsidRPr="00822C8C">
          <w:rPr>
            <w:rStyle w:val="Hyperlink1"/>
            <w:sz w:val="24"/>
            <w:lang w:val="fi-FI"/>
          </w:rPr>
          <w:t>http://data.europa.eu/eli/reg/2018/1046/oj</w:t>
        </w:r>
      </w:hyperlink>
      <w:r w:rsidRPr="00822C8C">
        <w:rPr>
          <w:sz w:val="24"/>
          <w:lang w:val="fi-FI"/>
        </w:rPr>
        <w:t>.</w:t>
      </w:r>
    </w:p>
  </w:footnote>
  <w:footnote w:id="324">
    <w:p w14:paraId="731DEB48" w14:textId="77777777" w:rsidR="005375B7" w:rsidRPr="003F2934" w:rsidRDefault="005375B7" w:rsidP="005375B7">
      <w:pPr>
        <w:pStyle w:val="FootnoteText"/>
        <w:ind w:left="567" w:hanging="567"/>
        <w:rPr>
          <w:sz w:val="24"/>
          <w:lang w:val="fi-FI"/>
        </w:rPr>
      </w:pPr>
      <w:r w:rsidRPr="003F2934">
        <w:rPr>
          <w:rStyle w:val="FootnoteReference"/>
          <w:sz w:val="24"/>
        </w:rPr>
        <w:footnoteRef/>
      </w:r>
      <w:r w:rsidRPr="003F2934">
        <w:rPr>
          <w:sz w:val="24"/>
          <w:lang w:val="fi-FI"/>
        </w:rPr>
        <w:t xml:space="preserve"> </w:t>
      </w:r>
      <w:r w:rsidRPr="00822C8C">
        <w:rPr>
          <w:sz w:val="24"/>
          <w:lang w:val="fi-FI"/>
        </w:rPr>
        <w:tab/>
        <w:t xml:space="preserve">EUT L, 2024/2509, 26.9.2024, ELI: </w:t>
      </w:r>
      <w:hyperlink r:id="rId324" w:history="1">
        <w:r w:rsidRPr="00822C8C">
          <w:rPr>
            <w:rStyle w:val="Hyperlink1"/>
            <w:sz w:val="24"/>
            <w:lang w:val="fi-FI"/>
          </w:rPr>
          <w:t>http://data.europa.eu/eli/reg/2024/2509/oj</w:t>
        </w:r>
      </w:hyperlink>
      <w:r w:rsidRPr="00822C8C">
        <w:rPr>
          <w:rStyle w:val="Hyperlink1"/>
          <w:sz w:val="24"/>
          <w:lang w:val="fi-FI"/>
        </w:rPr>
        <w:t>.</w:t>
      </w:r>
    </w:p>
  </w:footnote>
  <w:footnote w:id="325">
    <w:p w14:paraId="5DD82683" w14:textId="77777777" w:rsidR="005375B7" w:rsidRPr="003F2934" w:rsidRDefault="005375B7" w:rsidP="005375B7">
      <w:pPr>
        <w:pStyle w:val="FootnoteText"/>
        <w:ind w:left="567" w:hanging="567"/>
        <w:rPr>
          <w:sz w:val="24"/>
          <w:lang w:val="fi-FI"/>
        </w:rPr>
      </w:pPr>
      <w:r w:rsidRPr="003F2934">
        <w:rPr>
          <w:rStyle w:val="FootnoteReference"/>
          <w:sz w:val="24"/>
        </w:rPr>
        <w:footnoteRef/>
      </w:r>
      <w:r w:rsidRPr="003F2934">
        <w:rPr>
          <w:sz w:val="24"/>
          <w:lang w:val="fi-FI"/>
        </w:rPr>
        <w:t xml:space="preserve"> </w:t>
      </w:r>
      <w:r w:rsidRPr="00822C8C">
        <w:rPr>
          <w:sz w:val="24"/>
          <w:lang w:val="fi-FI"/>
        </w:rPr>
        <w:tab/>
        <w:t xml:space="preserve">EUT L 30, 31.1.2019, s. 58, ELI: </w:t>
      </w:r>
      <w:hyperlink r:id="rId325" w:history="1">
        <w:r w:rsidRPr="00822C8C">
          <w:rPr>
            <w:rStyle w:val="Hyperlink1"/>
            <w:sz w:val="24"/>
            <w:lang w:val="fi-FI"/>
          </w:rPr>
          <w:t>http://data.europa.eu/eli/reg/2019/126/oj</w:t>
        </w:r>
      </w:hyperlink>
      <w:r w:rsidRPr="00822C8C">
        <w:rPr>
          <w:sz w:val="24"/>
          <w:lang w:val="fi-FI"/>
        </w:rPr>
        <w:t>.</w:t>
      </w:r>
    </w:p>
  </w:footnote>
  <w:footnote w:id="326">
    <w:p w14:paraId="484A4515" w14:textId="77777777" w:rsidR="005375B7" w:rsidRPr="003F2934" w:rsidRDefault="005375B7" w:rsidP="005375B7">
      <w:pPr>
        <w:pStyle w:val="FootnoteText"/>
        <w:ind w:left="567" w:hanging="567"/>
        <w:rPr>
          <w:sz w:val="24"/>
          <w:lang w:val="fi-FI"/>
        </w:rPr>
      </w:pPr>
      <w:r w:rsidRPr="003F2934">
        <w:rPr>
          <w:rStyle w:val="FootnoteReference"/>
          <w:sz w:val="24"/>
        </w:rPr>
        <w:footnoteRef/>
      </w:r>
      <w:r w:rsidRPr="003F2934">
        <w:rPr>
          <w:sz w:val="24"/>
          <w:lang w:val="fi-FI"/>
        </w:rPr>
        <w:t xml:space="preserve"> </w:t>
      </w:r>
      <w:r w:rsidRPr="00822C8C">
        <w:rPr>
          <w:sz w:val="24"/>
          <w:lang w:val="fi-FI"/>
        </w:rPr>
        <w:tab/>
        <w:t xml:space="preserve">EUT L 122, 10.5.2019, s. 1, ELI: </w:t>
      </w:r>
      <w:hyperlink r:id="rId326" w:history="1">
        <w:r w:rsidRPr="00822C8C">
          <w:rPr>
            <w:rStyle w:val="Hyperlink1"/>
            <w:sz w:val="24"/>
            <w:lang w:val="fi-FI"/>
          </w:rPr>
          <w:t>http://data.europa.eu/eli/reg_del/2019/715/oj</w:t>
        </w:r>
      </w:hyperlink>
      <w:r w:rsidRPr="00822C8C">
        <w:rPr>
          <w:sz w:val="24"/>
          <w:lang w:val="fi-FI"/>
        </w:rPr>
        <w:t>.</w:t>
      </w:r>
    </w:p>
  </w:footnote>
  <w:footnote w:id="327">
    <w:p w14:paraId="64491A22" w14:textId="77777777" w:rsidR="005375B7" w:rsidRPr="004E06DD" w:rsidRDefault="005375B7" w:rsidP="005375B7">
      <w:pPr>
        <w:pStyle w:val="FootnoteText"/>
        <w:ind w:left="567" w:hanging="567"/>
        <w:rPr>
          <w:sz w:val="24"/>
          <w:lang w:val="fi-FI"/>
        </w:rPr>
      </w:pPr>
      <w:r w:rsidRPr="004E06DD">
        <w:rPr>
          <w:rStyle w:val="FootnoteReference"/>
          <w:sz w:val="24"/>
        </w:rPr>
        <w:footnoteRef/>
      </w:r>
      <w:r w:rsidRPr="004E06DD">
        <w:rPr>
          <w:sz w:val="24"/>
          <w:lang w:val="fi-FI"/>
        </w:rPr>
        <w:t xml:space="preserve"> </w:t>
      </w:r>
      <w:r w:rsidRPr="00822C8C">
        <w:rPr>
          <w:sz w:val="24"/>
          <w:lang w:val="fi-FI"/>
        </w:rPr>
        <w:tab/>
        <w:t xml:space="preserve">EUT C, C/2024/6332, 24.10.2024, ELI: </w:t>
      </w:r>
      <w:hyperlink r:id="rId327" w:history="1">
        <w:r w:rsidRPr="00822C8C">
          <w:rPr>
            <w:rStyle w:val="Hyperlink1"/>
            <w:sz w:val="24"/>
            <w:lang w:val="fi-FI"/>
          </w:rPr>
          <w:t>http://data.europa.eu/eli/C/2024/6332/oj</w:t>
        </w:r>
      </w:hyperlink>
      <w:r w:rsidRPr="00822C8C">
        <w:rPr>
          <w:sz w:val="24"/>
          <w:lang w:val="fi-FI"/>
        </w:rPr>
        <w:t>.</w:t>
      </w:r>
    </w:p>
  </w:footnote>
  <w:footnote w:id="328">
    <w:p w14:paraId="637C6C95" w14:textId="77777777" w:rsidR="005375B7" w:rsidRPr="004E06DD" w:rsidRDefault="005375B7" w:rsidP="005375B7">
      <w:pPr>
        <w:pStyle w:val="FootnoteText"/>
        <w:ind w:left="567" w:hanging="567"/>
        <w:rPr>
          <w:sz w:val="24"/>
          <w:lang w:val="fi-FI"/>
        </w:rPr>
      </w:pPr>
      <w:r w:rsidRPr="004E06DD">
        <w:rPr>
          <w:rStyle w:val="FootnoteReference"/>
          <w:sz w:val="24"/>
        </w:rPr>
        <w:footnoteRef/>
      </w:r>
      <w:r w:rsidRPr="004E06DD">
        <w:rPr>
          <w:sz w:val="24"/>
          <w:lang w:val="fi-FI"/>
        </w:rPr>
        <w:t xml:space="preserve"> </w:t>
      </w:r>
      <w:r w:rsidRPr="00822C8C">
        <w:rPr>
          <w:sz w:val="24"/>
          <w:lang w:val="fi-FI"/>
        </w:rPr>
        <w:tab/>
        <w:t xml:space="preserve">EUT C, C/2024/6041, 10.10.2024, ELI: </w:t>
      </w:r>
      <w:hyperlink r:id="rId328" w:history="1">
        <w:r w:rsidRPr="00822C8C">
          <w:rPr>
            <w:rStyle w:val="Hyperlink1"/>
            <w:sz w:val="24"/>
            <w:lang w:val="fi-FI"/>
          </w:rPr>
          <w:t>http://data.europa.eu/eli/C/2024/6041/oj</w:t>
        </w:r>
      </w:hyperlink>
      <w:r w:rsidRPr="00822C8C">
        <w:rPr>
          <w:sz w:val="24"/>
          <w:lang w:val="fi-FI"/>
        </w:rPr>
        <w:t>.</w:t>
      </w:r>
    </w:p>
  </w:footnote>
  <w:footnote w:id="329">
    <w:p w14:paraId="375E6EFD" w14:textId="77777777" w:rsidR="005375B7" w:rsidRPr="004E06DD" w:rsidRDefault="005375B7" w:rsidP="005375B7">
      <w:pPr>
        <w:pStyle w:val="FootnoteText"/>
        <w:ind w:left="567" w:hanging="567"/>
        <w:rPr>
          <w:sz w:val="24"/>
          <w:lang w:val="fi-FI"/>
        </w:rPr>
      </w:pPr>
      <w:r w:rsidRPr="004E06DD">
        <w:rPr>
          <w:rStyle w:val="FootnoteReference"/>
          <w:sz w:val="24"/>
        </w:rPr>
        <w:footnoteRef/>
      </w:r>
      <w:r w:rsidRPr="004E06DD">
        <w:rPr>
          <w:sz w:val="24"/>
          <w:lang w:val="fi-FI"/>
        </w:rPr>
        <w:t xml:space="preserve"> </w:t>
      </w:r>
      <w:r w:rsidRPr="00822C8C">
        <w:rPr>
          <w:sz w:val="24"/>
          <w:lang w:val="fi-FI"/>
        </w:rPr>
        <w:tab/>
        <w:t xml:space="preserve">EUT L 193, 30.7.2018, s. 1, ELI: </w:t>
      </w:r>
      <w:hyperlink r:id="rId329" w:history="1">
        <w:r w:rsidRPr="00822C8C">
          <w:rPr>
            <w:rStyle w:val="Hyperlink1"/>
            <w:sz w:val="24"/>
            <w:lang w:val="fi-FI"/>
          </w:rPr>
          <w:t>http://data.europa.eu/eli/reg/2018/1046/oj</w:t>
        </w:r>
      </w:hyperlink>
      <w:r w:rsidRPr="00822C8C">
        <w:rPr>
          <w:sz w:val="24"/>
          <w:lang w:val="fi-FI"/>
        </w:rPr>
        <w:t>.</w:t>
      </w:r>
    </w:p>
  </w:footnote>
  <w:footnote w:id="330">
    <w:p w14:paraId="3CD4B81A" w14:textId="77777777" w:rsidR="005375B7" w:rsidRPr="004E06DD" w:rsidRDefault="005375B7" w:rsidP="005375B7">
      <w:pPr>
        <w:pStyle w:val="FootnoteText"/>
        <w:ind w:left="567" w:hanging="567"/>
        <w:rPr>
          <w:sz w:val="24"/>
          <w:lang w:val="fi-FI"/>
        </w:rPr>
      </w:pPr>
      <w:r w:rsidRPr="004E06DD">
        <w:rPr>
          <w:rStyle w:val="FootnoteReference"/>
          <w:sz w:val="24"/>
        </w:rPr>
        <w:footnoteRef/>
      </w:r>
      <w:r w:rsidRPr="004E06DD">
        <w:rPr>
          <w:sz w:val="24"/>
          <w:lang w:val="fi-FI"/>
        </w:rPr>
        <w:t xml:space="preserve"> </w:t>
      </w:r>
      <w:r w:rsidRPr="00822C8C">
        <w:rPr>
          <w:sz w:val="24"/>
          <w:lang w:val="fi-FI"/>
        </w:rPr>
        <w:tab/>
        <w:t xml:space="preserve">EUT L, 2024/2509, 26.9.2024, ELI: </w:t>
      </w:r>
      <w:hyperlink r:id="rId330" w:history="1">
        <w:r w:rsidRPr="00822C8C">
          <w:rPr>
            <w:rStyle w:val="Hyperlink1"/>
            <w:sz w:val="24"/>
            <w:lang w:val="fi-FI"/>
          </w:rPr>
          <w:t>http://data.europa.eu/eli/reg/2024/2509/oj</w:t>
        </w:r>
      </w:hyperlink>
      <w:r w:rsidRPr="00822C8C">
        <w:rPr>
          <w:rStyle w:val="Hyperlink1"/>
          <w:sz w:val="24"/>
          <w:lang w:val="fi-FI"/>
        </w:rPr>
        <w:t>.</w:t>
      </w:r>
    </w:p>
  </w:footnote>
  <w:footnote w:id="331">
    <w:p w14:paraId="47A78F44" w14:textId="77777777" w:rsidR="005375B7" w:rsidRPr="004E06DD" w:rsidRDefault="005375B7" w:rsidP="005375B7">
      <w:pPr>
        <w:pStyle w:val="FootnoteText"/>
        <w:ind w:left="567" w:hanging="567"/>
        <w:rPr>
          <w:sz w:val="24"/>
          <w:lang w:val="fi-FI"/>
        </w:rPr>
      </w:pPr>
      <w:r w:rsidRPr="004E06DD">
        <w:rPr>
          <w:rStyle w:val="FootnoteReference"/>
          <w:sz w:val="24"/>
        </w:rPr>
        <w:footnoteRef/>
      </w:r>
      <w:r w:rsidRPr="004E06DD">
        <w:rPr>
          <w:sz w:val="24"/>
          <w:lang w:val="fi-FI"/>
        </w:rPr>
        <w:t xml:space="preserve"> </w:t>
      </w:r>
      <w:r w:rsidRPr="00822C8C">
        <w:rPr>
          <w:sz w:val="24"/>
          <w:lang w:val="fi-FI"/>
        </w:rPr>
        <w:tab/>
        <w:t xml:space="preserve">EUT L 30, 31.1.2019, s. 74, ELI: </w:t>
      </w:r>
      <w:hyperlink r:id="rId331" w:history="1">
        <w:r w:rsidRPr="00822C8C">
          <w:rPr>
            <w:rStyle w:val="Hyperlink1"/>
            <w:sz w:val="24"/>
            <w:lang w:val="fi-FI"/>
          </w:rPr>
          <w:t>http://data.europa.eu/eli/reg/2019/127/oj</w:t>
        </w:r>
      </w:hyperlink>
      <w:r w:rsidRPr="00822C8C">
        <w:rPr>
          <w:sz w:val="24"/>
          <w:lang w:val="fi-FI"/>
        </w:rPr>
        <w:t>.</w:t>
      </w:r>
    </w:p>
  </w:footnote>
  <w:footnote w:id="332">
    <w:p w14:paraId="02300B09" w14:textId="77777777" w:rsidR="005375B7" w:rsidRPr="004E06DD" w:rsidRDefault="005375B7" w:rsidP="005375B7">
      <w:pPr>
        <w:pStyle w:val="FootnoteText"/>
        <w:ind w:left="567" w:hanging="567"/>
        <w:rPr>
          <w:sz w:val="24"/>
          <w:lang w:val="fi-FI"/>
        </w:rPr>
      </w:pPr>
      <w:r w:rsidRPr="004E06DD">
        <w:rPr>
          <w:rStyle w:val="FootnoteReference"/>
          <w:sz w:val="24"/>
        </w:rPr>
        <w:footnoteRef/>
      </w:r>
      <w:r w:rsidRPr="004E06DD">
        <w:rPr>
          <w:sz w:val="24"/>
          <w:lang w:val="fi-FI"/>
        </w:rPr>
        <w:t xml:space="preserve"> </w:t>
      </w:r>
      <w:r w:rsidRPr="00822C8C">
        <w:rPr>
          <w:sz w:val="24"/>
          <w:lang w:val="fi-FI"/>
        </w:rPr>
        <w:tab/>
        <w:t xml:space="preserve">EUT L 122, 10.5.2019, s. 1, ELI: </w:t>
      </w:r>
      <w:hyperlink r:id="rId332" w:history="1">
        <w:r w:rsidRPr="00822C8C">
          <w:rPr>
            <w:rStyle w:val="Hyperlink1"/>
            <w:sz w:val="24"/>
            <w:lang w:val="fi-FI"/>
          </w:rPr>
          <w:t>http://data.europa.eu/eli/reg_del/2019/715/oj</w:t>
        </w:r>
      </w:hyperlink>
      <w:r w:rsidRPr="00822C8C">
        <w:rPr>
          <w:sz w:val="24"/>
          <w:lang w:val="fi-FI"/>
        </w:rPr>
        <w:t>.</w:t>
      </w:r>
    </w:p>
  </w:footnote>
  <w:footnote w:id="333">
    <w:p w14:paraId="0823F7E5" w14:textId="77777777" w:rsidR="005375B7" w:rsidRPr="003E059D" w:rsidRDefault="005375B7" w:rsidP="005375B7">
      <w:pPr>
        <w:pStyle w:val="FootnoteText"/>
        <w:ind w:left="567" w:hanging="567"/>
        <w:rPr>
          <w:sz w:val="24"/>
          <w:lang w:val="fi-FI"/>
        </w:rPr>
      </w:pPr>
      <w:r w:rsidRPr="003E059D">
        <w:rPr>
          <w:rStyle w:val="FootnoteReference"/>
          <w:sz w:val="24"/>
        </w:rPr>
        <w:footnoteRef/>
      </w:r>
      <w:r w:rsidRPr="003E059D">
        <w:rPr>
          <w:sz w:val="24"/>
          <w:lang w:val="fi-FI"/>
        </w:rPr>
        <w:t xml:space="preserve"> </w:t>
      </w:r>
      <w:r w:rsidRPr="00822C8C">
        <w:rPr>
          <w:sz w:val="24"/>
          <w:lang w:val="fi-FI"/>
        </w:rPr>
        <w:tab/>
        <w:t xml:space="preserve">EUT C, C/2024/6332, 24.10.2024, ELI: </w:t>
      </w:r>
      <w:hyperlink r:id="rId333" w:history="1">
        <w:r w:rsidRPr="00822C8C">
          <w:rPr>
            <w:rStyle w:val="Hyperlink1"/>
            <w:sz w:val="24"/>
            <w:lang w:val="fi-FI"/>
          </w:rPr>
          <w:t>http://data.europa.eu/eli/C/2024/6332/oj</w:t>
        </w:r>
      </w:hyperlink>
      <w:r w:rsidRPr="00822C8C">
        <w:rPr>
          <w:sz w:val="24"/>
          <w:lang w:val="fi-FI"/>
        </w:rPr>
        <w:t>.</w:t>
      </w:r>
    </w:p>
  </w:footnote>
  <w:footnote w:id="334">
    <w:p w14:paraId="66E9B255" w14:textId="77777777" w:rsidR="005375B7" w:rsidRPr="003E059D" w:rsidRDefault="005375B7" w:rsidP="005375B7">
      <w:pPr>
        <w:pStyle w:val="FootnoteText"/>
        <w:ind w:left="567" w:hanging="567"/>
        <w:rPr>
          <w:sz w:val="24"/>
          <w:lang w:val="fi-FI"/>
        </w:rPr>
      </w:pPr>
      <w:r w:rsidRPr="003E059D">
        <w:rPr>
          <w:rStyle w:val="FootnoteReference"/>
          <w:sz w:val="24"/>
        </w:rPr>
        <w:footnoteRef/>
      </w:r>
      <w:r w:rsidRPr="003E059D">
        <w:rPr>
          <w:sz w:val="24"/>
          <w:lang w:val="fi-FI"/>
        </w:rPr>
        <w:t xml:space="preserve"> </w:t>
      </w:r>
      <w:r w:rsidRPr="00822C8C">
        <w:rPr>
          <w:sz w:val="24"/>
          <w:lang w:val="fi-FI"/>
        </w:rPr>
        <w:tab/>
        <w:t xml:space="preserve">EUT C, C/2024/6041, 10.10.2024, ELI: </w:t>
      </w:r>
      <w:hyperlink r:id="rId334" w:history="1">
        <w:r w:rsidRPr="00822C8C">
          <w:rPr>
            <w:rStyle w:val="Hyperlink1"/>
            <w:sz w:val="24"/>
            <w:lang w:val="fi-FI"/>
          </w:rPr>
          <w:t>http://data.europa.eu/eli/C/2024/6041/oj</w:t>
        </w:r>
      </w:hyperlink>
      <w:r w:rsidRPr="00822C8C">
        <w:rPr>
          <w:sz w:val="24"/>
          <w:lang w:val="fi-FI"/>
        </w:rPr>
        <w:t>.</w:t>
      </w:r>
    </w:p>
  </w:footnote>
  <w:footnote w:id="335">
    <w:p w14:paraId="2E6B42CF" w14:textId="77777777" w:rsidR="005375B7" w:rsidRPr="003E059D" w:rsidRDefault="005375B7" w:rsidP="005375B7">
      <w:pPr>
        <w:pStyle w:val="FootnoteText"/>
        <w:ind w:left="567" w:hanging="567"/>
        <w:rPr>
          <w:sz w:val="24"/>
          <w:lang w:val="fi-FI"/>
        </w:rPr>
      </w:pPr>
      <w:r w:rsidRPr="003E059D">
        <w:rPr>
          <w:rStyle w:val="FootnoteReference"/>
          <w:sz w:val="24"/>
        </w:rPr>
        <w:footnoteRef/>
      </w:r>
      <w:r w:rsidRPr="003E059D">
        <w:rPr>
          <w:sz w:val="24"/>
          <w:lang w:val="fi-FI"/>
        </w:rPr>
        <w:t xml:space="preserve"> </w:t>
      </w:r>
      <w:r w:rsidRPr="00822C8C">
        <w:rPr>
          <w:sz w:val="24"/>
          <w:lang w:val="fi-FI"/>
        </w:rPr>
        <w:tab/>
        <w:t xml:space="preserve">EUT L 193, 30.7.2018, s. 1, ELI: </w:t>
      </w:r>
      <w:hyperlink r:id="rId335" w:history="1">
        <w:r w:rsidRPr="00822C8C">
          <w:rPr>
            <w:rStyle w:val="Hyperlink1"/>
            <w:sz w:val="24"/>
            <w:lang w:val="fi-FI"/>
          </w:rPr>
          <w:t>http://data.europa.eu/eli/reg/2018/1046/oj</w:t>
        </w:r>
      </w:hyperlink>
      <w:r w:rsidRPr="00822C8C">
        <w:rPr>
          <w:sz w:val="24"/>
          <w:lang w:val="fi-FI"/>
        </w:rPr>
        <w:t>.</w:t>
      </w:r>
    </w:p>
  </w:footnote>
  <w:footnote w:id="336">
    <w:p w14:paraId="63EEC4E1" w14:textId="77777777" w:rsidR="005375B7" w:rsidRPr="003E059D" w:rsidRDefault="005375B7" w:rsidP="005375B7">
      <w:pPr>
        <w:pStyle w:val="FootnoteText"/>
        <w:ind w:left="567" w:hanging="567"/>
        <w:rPr>
          <w:sz w:val="24"/>
          <w:lang w:val="fi-FI"/>
        </w:rPr>
      </w:pPr>
      <w:r w:rsidRPr="003E059D">
        <w:rPr>
          <w:rStyle w:val="FootnoteReference"/>
          <w:sz w:val="24"/>
        </w:rPr>
        <w:footnoteRef/>
      </w:r>
      <w:r w:rsidRPr="003E059D">
        <w:rPr>
          <w:sz w:val="24"/>
          <w:lang w:val="fi-FI"/>
        </w:rPr>
        <w:t xml:space="preserve"> </w:t>
      </w:r>
      <w:r w:rsidRPr="00822C8C">
        <w:rPr>
          <w:sz w:val="24"/>
          <w:lang w:val="fi-FI"/>
        </w:rPr>
        <w:tab/>
        <w:t xml:space="preserve">EUT L, 2024/2509, 26.9.2024, ELI: </w:t>
      </w:r>
      <w:hyperlink r:id="rId336" w:history="1">
        <w:r w:rsidRPr="00822C8C">
          <w:rPr>
            <w:rStyle w:val="Hyperlink1"/>
            <w:sz w:val="24"/>
            <w:lang w:val="fi-FI"/>
          </w:rPr>
          <w:t>http://data.europa.eu/eli/reg/2024/2509/oj</w:t>
        </w:r>
      </w:hyperlink>
      <w:r w:rsidRPr="00822C8C">
        <w:rPr>
          <w:rStyle w:val="Hyperlink1"/>
          <w:sz w:val="24"/>
          <w:lang w:val="fi-FI"/>
        </w:rPr>
        <w:t>.</w:t>
      </w:r>
    </w:p>
  </w:footnote>
  <w:footnote w:id="337">
    <w:p w14:paraId="5A03E918" w14:textId="77777777" w:rsidR="005375B7" w:rsidRPr="003E059D" w:rsidRDefault="005375B7" w:rsidP="005375B7">
      <w:pPr>
        <w:pStyle w:val="FootnoteText"/>
        <w:ind w:left="567" w:hanging="567"/>
        <w:rPr>
          <w:sz w:val="24"/>
          <w:lang w:val="fi-FI"/>
        </w:rPr>
      </w:pPr>
      <w:r w:rsidRPr="003E059D">
        <w:rPr>
          <w:rStyle w:val="FootnoteReference"/>
          <w:sz w:val="24"/>
        </w:rPr>
        <w:footnoteRef/>
      </w:r>
      <w:r w:rsidRPr="003E059D">
        <w:rPr>
          <w:sz w:val="24"/>
          <w:lang w:val="fi-FI"/>
        </w:rPr>
        <w:t xml:space="preserve"> </w:t>
      </w:r>
      <w:r w:rsidRPr="00822C8C">
        <w:rPr>
          <w:sz w:val="24"/>
          <w:lang w:val="fi-FI"/>
        </w:rPr>
        <w:tab/>
        <w:t xml:space="preserve">EUT L 30, 31.1.2019, s. 74, ELI: </w:t>
      </w:r>
      <w:hyperlink r:id="rId337" w:history="1">
        <w:r w:rsidRPr="00822C8C">
          <w:rPr>
            <w:rStyle w:val="Hyperlink1"/>
            <w:sz w:val="24"/>
            <w:lang w:val="fi-FI"/>
          </w:rPr>
          <w:t>http://data.europa.eu/eli/reg/2019/127/oj</w:t>
        </w:r>
      </w:hyperlink>
      <w:r w:rsidRPr="00822C8C">
        <w:rPr>
          <w:sz w:val="24"/>
          <w:lang w:val="fi-FI"/>
        </w:rPr>
        <w:t>.</w:t>
      </w:r>
    </w:p>
  </w:footnote>
  <w:footnote w:id="338">
    <w:p w14:paraId="63121323" w14:textId="77777777" w:rsidR="005375B7" w:rsidRPr="003E059D" w:rsidRDefault="005375B7" w:rsidP="005375B7">
      <w:pPr>
        <w:pStyle w:val="FootnoteText"/>
        <w:ind w:left="567" w:hanging="567"/>
        <w:rPr>
          <w:sz w:val="24"/>
          <w:lang w:val="fi-FI"/>
        </w:rPr>
      </w:pPr>
      <w:r w:rsidRPr="003E059D">
        <w:rPr>
          <w:rStyle w:val="FootnoteReference"/>
          <w:sz w:val="24"/>
        </w:rPr>
        <w:footnoteRef/>
      </w:r>
      <w:r w:rsidRPr="003E059D">
        <w:rPr>
          <w:sz w:val="24"/>
          <w:lang w:val="fi-FI"/>
        </w:rPr>
        <w:t xml:space="preserve"> </w:t>
      </w:r>
      <w:r w:rsidRPr="00822C8C">
        <w:rPr>
          <w:sz w:val="24"/>
          <w:lang w:val="fi-FI"/>
        </w:rPr>
        <w:tab/>
        <w:t xml:space="preserve">EUT L 122, 10.5.2019, s. 1, ELI: </w:t>
      </w:r>
      <w:hyperlink r:id="rId338" w:history="1">
        <w:r w:rsidRPr="00822C8C">
          <w:rPr>
            <w:rStyle w:val="Hyperlink1"/>
            <w:sz w:val="24"/>
            <w:lang w:val="fi-FI"/>
          </w:rPr>
          <w:t>http://data.europa.eu/eli/reg_del/2019/715/oj</w:t>
        </w:r>
      </w:hyperlink>
      <w:r w:rsidRPr="00822C8C">
        <w:rPr>
          <w:sz w:val="24"/>
          <w:lang w:val="fi-FI"/>
        </w:rPr>
        <w:t>.</w:t>
      </w:r>
    </w:p>
  </w:footnote>
  <w:footnote w:id="339">
    <w:p w14:paraId="47750240" w14:textId="77777777" w:rsidR="005375B7" w:rsidRPr="00C568BB" w:rsidRDefault="005375B7" w:rsidP="005375B7">
      <w:pPr>
        <w:pStyle w:val="FootnoteText"/>
        <w:ind w:left="567" w:hanging="567"/>
        <w:rPr>
          <w:sz w:val="24"/>
          <w:lang w:val="fi-FI"/>
        </w:rPr>
      </w:pPr>
      <w:r w:rsidRPr="00C568BB">
        <w:rPr>
          <w:rStyle w:val="FootnoteReference"/>
          <w:sz w:val="24"/>
        </w:rPr>
        <w:footnoteRef/>
      </w:r>
      <w:r w:rsidRPr="00C568BB">
        <w:rPr>
          <w:sz w:val="24"/>
          <w:lang w:val="fi-FI"/>
        </w:rPr>
        <w:t xml:space="preserve"> </w:t>
      </w:r>
      <w:r w:rsidRPr="00822C8C">
        <w:rPr>
          <w:sz w:val="24"/>
          <w:lang w:val="fi-FI"/>
        </w:rPr>
        <w:tab/>
        <w:t xml:space="preserve">EUT C, C/2024/6332, 24.10.2024, ELI: </w:t>
      </w:r>
      <w:hyperlink r:id="rId339" w:history="1">
        <w:r w:rsidRPr="00822C8C">
          <w:rPr>
            <w:rStyle w:val="Hyperlink1"/>
            <w:sz w:val="24"/>
            <w:lang w:val="fi-FI"/>
          </w:rPr>
          <w:t>http://data.europa.eu/eli/C/2024/6332/oj</w:t>
        </w:r>
      </w:hyperlink>
      <w:r w:rsidRPr="00822C8C">
        <w:rPr>
          <w:sz w:val="24"/>
          <w:lang w:val="fi-FI"/>
        </w:rPr>
        <w:t>.</w:t>
      </w:r>
    </w:p>
  </w:footnote>
  <w:footnote w:id="340">
    <w:p w14:paraId="6EE43799" w14:textId="77777777" w:rsidR="005375B7" w:rsidRPr="00C568BB" w:rsidRDefault="005375B7" w:rsidP="005375B7">
      <w:pPr>
        <w:pStyle w:val="FootnoteText"/>
        <w:ind w:left="567" w:hanging="567"/>
        <w:rPr>
          <w:sz w:val="24"/>
          <w:lang w:val="fi-FI"/>
        </w:rPr>
      </w:pPr>
      <w:r w:rsidRPr="00C568BB">
        <w:rPr>
          <w:rStyle w:val="FootnoteReference"/>
          <w:sz w:val="24"/>
        </w:rPr>
        <w:footnoteRef/>
      </w:r>
      <w:r w:rsidRPr="00C568BB">
        <w:rPr>
          <w:sz w:val="24"/>
          <w:lang w:val="fi-FI"/>
        </w:rPr>
        <w:t xml:space="preserve"> </w:t>
      </w:r>
      <w:r w:rsidRPr="00822C8C">
        <w:rPr>
          <w:sz w:val="24"/>
          <w:lang w:val="fi-FI"/>
        </w:rPr>
        <w:tab/>
        <w:t xml:space="preserve">EUT C, C/2024/6041, 10.10.2024, ELI: </w:t>
      </w:r>
      <w:hyperlink r:id="rId340" w:history="1">
        <w:r w:rsidRPr="00822C8C">
          <w:rPr>
            <w:rStyle w:val="Hyperlink1"/>
            <w:sz w:val="24"/>
            <w:lang w:val="fi-FI"/>
          </w:rPr>
          <w:t>http://data.europa.eu/eli/C/2024/6041/oj</w:t>
        </w:r>
      </w:hyperlink>
      <w:r w:rsidRPr="00822C8C">
        <w:rPr>
          <w:sz w:val="24"/>
          <w:lang w:val="fi-FI"/>
        </w:rPr>
        <w:t>.</w:t>
      </w:r>
    </w:p>
  </w:footnote>
  <w:footnote w:id="341">
    <w:p w14:paraId="4435ED6E" w14:textId="77777777" w:rsidR="005375B7" w:rsidRPr="00C568BB" w:rsidRDefault="005375B7" w:rsidP="005375B7">
      <w:pPr>
        <w:pStyle w:val="FootnoteText"/>
        <w:ind w:left="567" w:hanging="567"/>
        <w:rPr>
          <w:sz w:val="24"/>
          <w:lang w:val="fi-FI"/>
        </w:rPr>
      </w:pPr>
      <w:r w:rsidRPr="00C568BB">
        <w:rPr>
          <w:rStyle w:val="FootnoteReference"/>
          <w:sz w:val="24"/>
        </w:rPr>
        <w:footnoteRef/>
      </w:r>
      <w:r w:rsidRPr="00C568BB">
        <w:rPr>
          <w:sz w:val="24"/>
          <w:lang w:val="fi-FI"/>
        </w:rPr>
        <w:t xml:space="preserve"> </w:t>
      </w:r>
      <w:r w:rsidRPr="00822C8C">
        <w:rPr>
          <w:sz w:val="24"/>
          <w:lang w:val="fi-FI"/>
        </w:rPr>
        <w:tab/>
        <w:t xml:space="preserve">EUT L 193, 30.7.2018, s. 1, ELI: </w:t>
      </w:r>
      <w:hyperlink r:id="rId341" w:history="1">
        <w:r w:rsidRPr="00822C8C">
          <w:rPr>
            <w:rStyle w:val="Hyperlink1"/>
            <w:sz w:val="24"/>
            <w:lang w:val="fi-FI"/>
          </w:rPr>
          <w:t>http://data.europa.eu/eli/reg/2018/1046/oj</w:t>
        </w:r>
      </w:hyperlink>
      <w:r w:rsidRPr="00822C8C">
        <w:rPr>
          <w:sz w:val="24"/>
          <w:lang w:val="fi-FI"/>
        </w:rPr>
        <w:t>.</w:t>
      </w:r>
    </w:p>
  </w:footnote>
  <w:footnote w:id="342">
    <w:p w14:paraId="63E270BF" w14:textId="77777777" w:rsidR="005375B7" w:rsidRPr="00C568BB" w:rsidRDefault="005375B7" w:rsidP="005375B7">
      <w:pPr>
        <w:pStyle w:val="FootnoteText"/>
        <w:ind w:left="567" w:hanging="567"/>
        <w:rPr>
          <w:sz w:val="24"/>
          <w:lang w:val="fi-FI"/>
        </w:rPr>
      </w:pPr>
      <w:r w:rsidRPr="00C568BB">
        <w:rPr>
          <w:rStyle w:val="FootnoteReference"/>
          <w:sz w:val="24"/>
        </w:rPr>
        <w:footnoteRef/>
      </w:r>
      <w:r w:rsidRPr="00C568BB">
        <w:rPr>
          <w:sz w:val="24"/>
          <w:lang w:val="fi-FI"/>
        </w:rPr>
        <w:t xml:space="preserve"> </w:t>
      </w:r>
      <w:r w:rsidRPr="00822C8C">
        <w:rPr>
          <w:sz w:val="24"/>
          <w:lang w:val="fi-FI"/>
        </w:rPr>
        <w:tab/>
        <w:t xml:space="preserve">EUT L, 2024/2509, 26.9.2024, ELI: </w:t>
      </w:r>
      <w:hyperlink r:id="rId342" w:history="1">
        <w:r w:rsidRPr="00822C8C">
          <w:rPr>
            <w:rStyle w:val="Hyperlink1"/>
            <w:sz w:val="24"/>
            <w:lang w:val="fi-FI"/>
          </w:rPr>
          <w:t>http://data.europa.eu/eli/reg/2024/2509/oj</w:t>
        </w:r>
      </w:hyperlink>
      <w:r w:rsidRPr="00822C8C">
        <w:rPr>
          <w:rStyle w:val="Hyperlink1"/>
          <w:sz w:val="24"/>
          <w:lang w:val="fi-FI"/>
        </w:rPr>
        <w:t>.</w:t>
      </w:r>
    </w:p>
  </w:footnote>
  <w:footnote w:id="343">
    <w:p w14:paraId="010C3CC9" w14:textId="77777777" w:rsidR="005375B7" w:rsidRPr="00C568BB" w:rsidRDefault="005375B7" w:rsidP="005375B7">
      <w:pPr>
        <w:pStyle w:val="FootnoteText"/>
        <w:ind w:left="567" w:hanging="567"/>
        <w:rPr>
          <w:sz w:val="24"/>
          <w:lang w:val="fi-FI"/>
        </w:rPr>
      </w:pPr>
      <w:r w:rsidRPr="00C568BB">
        <w:rPr>
          <w:rStyle w:val="FootnoteReference"/>
          <w:sz w:val="24"/>
        </w:rPr>
        <w:footnoteRef/>
      </w:r>
      <w:r w:rsidRPr="00C568BB">
        <w:rPr>
          <w:sz w:val="24"/>
          <w:lang w:val="fi-FI"/>
        </w:rPr>
        <w:t xml:space="preserve"> </w:t>
      </w:r>
      <w:r w:rsidRPr="00822C8C">
        <w:rPr>
          <w:sz w:val="24"/>
          <w:lang w:val="fi-FI"/>
        </w:rPr>
        <w:tab/>
        <w:t xml:space="preserve">EUT L 295, 21.11.2018, s. 138, ELI: </w:t>
      </w:r>
      <w:hyperlink r:id="rId343" w:history="1">
        <w:r w:rsidRPr="00822C8C">
          <w:rPr>
            <w:rStyle w:val="Hyperlink1"/>
            <w:sz w:val="24"/>
            <w:lang w:val="fi-FI"/>
          </w:rPr>
          <w:t>http://data.europa.eu/eli/reg/2018/1727/oj</w:t>
        </w:r>
      </w:hyperlink>
      <w:r w:rsidRPr="00822C8C">
        <w:rPr>
          <w:sz w:val="24"/>
          <w:lang w:val="fi-FI"/>
        </w:rPr>
        <w:t>.</w:t>
      </w:r>
    </w:p>
  </w:footnote>
  <w:footnote w:id="344">
    <w:p w14:paraId="4D84A5FD" w14:textId="77777777" w:rsidR="005375B7" w:rsidRPr="00C568BB" w:rsidRDefault="005375B7" w:rsidP="005375B7">
      <w:pPr>
        <w:pStyle w:val="FootnoteText"/>
        <w:ind w:left="567" w:hanging="567"/>
        <w:rPr>
          <w:sz w:val="24"/>
          <w:lang w:val="fi-FI"/>
        </w:rPr>
      </w:pPr>
      <w:r w:rsidRPr="00C568BB">
        <w:rPr>
          <w:rStyle w:val="FootnoteReference"/>
          <w:sz w:val="24"/>
        </w:rPr>
        <w:footnoteRef/>
      </w:r>
      <w:r w:rsidRPr="00C568BB">
        <w:rPr>
          <w:sz w:val="24"/>
          <w:lang w:val="fi-FI"/>
        </w:rPr>
        <w:t xml:space="preserve"> </w:t>
      </w:r>
      <w:r w:rsidRPr="00822C8C">
        <w:rPr>
          <w:sz w:val="24"/>
          <w:lang w:val="fi-FI"/>
        </w:rPr>
        <w:tab/>
        <w:t xml:space="preserve">EUT L 122, 10.5.2019, s. 1, ELI: </w:t>
      </w:r>
      <w:hyperlink r:id="rId344" w:history="1">
        <w:r w:rsidRPr="00822C8C">
          <w:rPr>
            <w:rStyle w:val="Hyperlink1"/>
            <w:sz w:val="24"/>
            <w:lang w:val="fi-FI"/>
          </w:rPr>
          <w:t>http://data.europa.eu/eli/reg_del/2019/715/oj</w:t>
        </w:r>
      </w:hyperlink>
      <w:r w:rsidRPr="00822C8C">
        <w:rPr>
          <w:sz w:val="24"/>
          <w:lang w:val="fi-FI"/>
        </w:rPr>
        <w:t>.</w:t>
      </w:r>
    </w:p>
  </w:footnote>
  <w:footnote w:id="345">
    <w:p w14:paraId="74E0B2E0" w14:textId="77777777" w:rsidR="005375B7" w:rsidRPr="007A6A72" w:rsidRDefault="005375B7" w:rsidP="005375B7">
      <w:pPr>
        <w:pStyle w:val="FootnoteText"/>
        <w:ind w:left="567" w:hanging="567"/>
        <w:rPr>
          <w:sz w:val="24"/>
          <w:lang w:val="fi-FI"/>
        </w:rPr>
      </w:pPr>
      <w:r w:rsidRPr="007A6A72">
        <w:rPr>
          <w:rStyle w:val="FootnoteReference"/>
          <w:sz w:val="24"/>
        </w:rPr>
        <w:footnoteRef/>
      </w:r>
      <w:r w:rsidRPr="007A6A72">
        <w:rPr>
          <w:sz w:val="24"/>
          <w:lang w:val="fi-FI"/>
        </w:rPr>
        <w:t xml:space="preserve"> </w:t>
      </w:r>
      <w:r w:rsidRPr="00822C8C">
        <w:rPr>
          <w:sz w:val="24"/>
          <w:lang w:val="fi-FI"/>
        </w:rPr>
        <w:tab/>
        <w:t xml:space="preserve">EUT C, C/2024/6332, 24.10.2024, ELI: </w:t>
      </w:r>
      <w:hyperlink r:id="rId345" w:history="1">
        <w:r w:rsidRPr="00822C8C">
          <w:rPr>
            <w:rStyle w:val="Hyperlink1"/>
            <w:sz w:val="24"/>
            <w:lang w:val="fi-FI"/>
          </w:rPr>
          <w:t>http://data.europa.eu/eli/C/2024/6332/oj</w:t>
        </w:r>
      </w:hyperlink>
      <w:r w:rsidRPr="00822C8C">
        <w:rPr>
          <w:sz w:val="24"/>
          <w:lang w:val="fi-FI"/>
        </w:rPr>
        <w:t>.</w:t>
      </w:r>
    </w:p>
  </w:footnote>
  <w:footnote w:id="346">
    <w:p w14:paraId="6B3B2A1E" w14:textId="77777777" w:rsidR="005375B7" w:rsidRPr="007A6A72" w:rsidRDefault="005375B7" w:rsidP="005375B7">
      <w:pPr>
        <w:pStyle w:val="FootnoteText"/>
        <w:ind w:left="567" w:hanging="567"/>
        <w:rPr>
          <w:sz w:val="24"/>
          <w:lang w:val="fi-FI"/>
        </w:rPr>
      </w:pPr>
      <w:r w:rsidRPr="007A6A72">
        <w:rPr>
          <w:rStyle w:val="FootnoteReference"/>
          <w:sz w:val="24"/>
        </w:rPr>
        <w:footnoteRef/>
      </w:r>
      <w:r w:rsidRPr="007A6A72">
        <w:rPr>
          <w:sz w:val="24"/>
          <w:lang w:val="fi-FI"/>
        </w:rPr>
        <w:t xml:space="preserve"> </w:t>
      </w:r>
      <w:r w:rsidRPr="00822C8C">
        <w:rPr>
          <w:sz w:val="24"/>
          <w:lang w:val="fi-FI"/>
        </w:rPr>
        <w:tab/>
        <w:t xml:space="preserve">EUT C, C/2024/6041, 10.10.2024, ELI: </w:t>
      </w:r>
      <w:hyperlink r:id="rId346" w:history="1">
        <w:r w:rsidRPr="00822C8C">
          <w:rPr>
            <w:rStyle w:val="Hyperlink1"/>
            <w:sz w:val="24"/>
            <w:lang w:val="fi-FI"/>
          </w:rPr>
          <w:t>http://data.europa.eu/eli/C/2024/6041/oj</w:t>
        </w:r>
      </w:hyperlink>
      <w:r w:rsidRPr="00822C8C">
        <w:rPr>
          <w:sz w:val="24"/>
          <w:lang w:val="fi-FI"/>
        </w:rPr>
        <w:t>.</w:t>
      </w:r>
    </w:p>
  </w:footnote>
  <w:footnote w:id="347">
    <w:p w14:paraId="57CBACB8" w14:textId="77777777" w:rsidR="005375B7" w:rsidRPr="007A6A72" w:rsidRDefault="005375B7" w:rsidP="005375B7">
      <w:pPr>
        <w:pStyle w:val="FootnoteText"/>
        <w:ind w:left="567" w:hanging="567"/>
        <w:rPr>
          <w:sz w:val="24"/>
          <w:lang w:val="fi-FI"/>
        </w:rPr>
      </w:pPr>
      <w:r w:rsidRPr="007A6A72">
        <w:rPr>
          <w:rStyle w:val="FootnoteReference"/>
          <w:sz w:val="24"/>
        </w:rPr>
        <w:footnoteRef/>
      </w:r>
      <w:r w:rsidRPr="007A6A72">
        <w:rPr>
          <w:sz w:val="24"/>
          <w:lang w:val="fi-FI"/>
        </w:rPr>
        <w:t xml:space="preserve"> </w:t>
      </w:r>
      <w:r w:rsidRPr="00822C8C">
        <w:rPr>
          <w:sz w:val="24"/>
          <w:lang w:val="fi-FI"/>
        </w:rPr>
        <w:tab/>
        <w:t xml:space="preserve">EUT L 193, 30.7.2018, s. 1, ELI: </w:t>
      </w:r>
      <w:hyperlink r:id="rId347" w:history="1">
        <w:r w:rsidRPr="00822C8C">
          <w:rPr>
            <w:rStyle w:val="Hyperlink1"/>
            <w:sz w:val="24"/>
            <w:lang w:val="fi-FI"/>
          </w:rPr>
          <w:t>http://data.europa.eu/eli/reg/2018/1046/oj</w:t>
        </w:r>
      </w:hyperlink>
      <w:r w:rsidRPr="00822C8C">
        <w:rPr>
          <w:sz w:val="24"/>
          <w:lang w:val="fi-FI"/>
        </w:rPr>
        <w:t>.</w:t>
      </w:r>
    </w:p>
  </w:footnote>
  <w:footnote w:id="348">
    <w:p w14:paraId="3BADF75F" w14:textId="77777777" w:rsidR="005375B7" w:rsidRPr="007A6A72" w:rsidRDefault="005375B7" w:rsidP="005375B7">
      <w:pPr>
        <w:pStyle w:val="FootnoteText"/>
        <w:ind w:left="567" w:hanging="567"/>
        <w:rPr>
          <w:sz w:val="24"/>
          <w:lang w:val="fi-FI"/>
        </w:rPr>
      </w:pPr>
      <w:r w:rsidRPr="007A6A72">
        <w:rPr>
          <w:rStyle w:val="FootnoteReference"/>
          <w:sz w:val="24"/>
        </w:rPr>
        <w:footnoteRef/>
      </w:r>
      <w:r w:rsidRPr="007A6A72">
        <w:rPr>
          <w:sz w:val="24"/>
          <w:lang w:val="fi-FI"/>
        </w:rPr>
        <w:t xml:space="preserve"> </w:t>
      </w:r>
      <w:r w:rsidRPr="00822C8C">
        <w:rPr>
          <w:sz w:val="24"/>
          <w:lang w:val="fi-FI"/>
        </w:rPr>
        <w:tab/>
        <w:t xml:space="preserve">EUT L, 2024/2509, 26.9.2024, ELI: </w:t>
      </w:r>
      <w:hyperlink r:id="rId348" w:history="1">
        <w:r w:rsidRPr="00822C8C">
          <w:rPr>
            <w:rStyle w:val="Hyperlink1"/>
            <w:sz w:val="24"/>
            <w:lang w:val="fi-FI"/>
          </w:rPr>
          <w:t>http://data.europa.eu/eli/reg/2024/2509/oj</w:t>
        </w:r>
      </w:hyperlink>
      <w:r w:rsidRPr="00822C8C">
        <w:rPr>
          <w:rStyle w:val="Hyperlink1"/>
          <w:sz w:val="24"/>
          <w:lang w:val="fi-FI"/>
        </w:rPr>
        <w:t>.</w:t>
      </w:r>
    </w:p>
  </w:footnote>
  <w:footnote w:id="349">
    <w:p w14:paraId="1BF7B9E7" w14:textId="77777777" w:rsidR="005375B7" w:rsidRPr="007A6A72" w:rsidRDefault="005375B7" w:rsidP="005375B7">
      <w:pPr>
        <w:pStyle w:val="FootnoteText"/>
        <w:ind w:left="567" w:hanging="567"/>
        <w:rPr>
          <w:sz w:val="24"/>
          <w:lang w:val="fi-FI"/>
        </w:rPr>
      </w:pPr>
      <w:r w:rsidRPr="007A6A72">
        <w:rPr>
          <w:rStyle w:val="FootnoteReference"/>
          <w:sz w:val="24"/>
        </w:rPr>
        <w:footnoteRef/>
      </w:r>
      <w:r w:rsidRPr="007A6A72">
        <w:rPr>
          <w:sz w:val="24"/>
          <w:lang w:val="fi-FI"/>
        </w:rPr>
        <w:t xml:space="preserve"> </w:t>
      </w:r>
      <w:r w:rsidRPr="00822C8C">
        <w:rPr>
          <w:sz w:val="24"/>
          <w:lang w:val="fi-FI"/>
        </w:rPr>
        <w:tab/>
        <w:t xml:space="preserve">EUT L 295, 21.11.2018, s. 138, ELI: </w:t>
      </w:r>
      <w:hyperlink r:id="rId349" w:history="1">
        <w:r w:rsidRPr="00822C8C">
          <w:rPr>
            <w:rStyle w:val="Hyperlink1"/>
            <w:sz w:val="24"/>
            <w:lang w:val="fi-FI"/>
          </w:rPr>
          <w:t>http://data.europa.eu/eli/reg/2018/1727/oj</w:t>
        </w:r>
      </w:hyperlink>
      <w:r w:rsidRPr="00822C8C">
        <w:rPr>
          <w:sz w:val="24"/>
          <w:lang w:val="fi-FI"/>
        </w:rPr>
        <w:t>.</w:t>
      </w:r>
    </w:p>
  </w:footnote>
  <w:footnote w:id="350">
    <w:p w14:paraId="09A383DA" w14:textId="77777777" w:rsidR="005375B7" w:rsidRPr="007A6A72" w:rsidRDefault="005375B7" w:rsidP="005375B7">
      <w:pPr>
        <w:pStyle w:val="FootnoteText"/>
        <w:ind w:left="567" w:hanging="567"/>
        <w:rPr>
          <w:sz w:val="24"/>
          <w:lang w:val="fi-FI"/>
        </w:rPr>
      </w:pPr>
      <w:r w:rsidRPr="007A6A72">
        <w:rPr>
          <w:rStyle w:val="FootnoteReference"/>
          <w:sz w:val="24"/>
        </w:rPr>
        <w:footnoteRef/>
      </w:r>
      <w:r w:rsidRPr="007A6A72">
        <w:rPr>
          <w:sz w:val="24"/>
          <w:lang w:val="fi-FI"/>
        </w:rPr>
        <w:t xml:space="preserve"> </w:t>
      </w:r>
      <w:r w:rsidRPr="00822C8C">
        <w:rPr>
          <w:sz w:val="24"/>
          <w:lang w:val="fi-FI"/>
        </w:rPr>
        <w:tab/>
        <w:t xml:space="preserve">EUT L 122, 10.5.2019, s. 1, ELI: </w:t>
      </w:r>
      <w:hyperlink r:id="rId350" w:history="1">
        <w:r w:rsidRPr="00822C8C">
          <w:rPr>
            <w:rStyle w:val="Hyperlink1"/>
            <w:sz w:val="24"/>
            <w:lang w:val="fi-FI"/>
          </w:rPr>
          <w:t>http://data.europa.eu/eli/reg_del/2019/715/oj</w:t>
        </w:r>
      </w:hyperlink>
      <w:r w:rsidRPr="00822C8C">
        <w:rPr>
          <w:sz w:val="24"/>
          <w:lang w:val="fi-FI"/>
        </w:rPr>
        <w:t>.</w:t>
      </w:r>
    </w:p>
  </w:footnote>
  <w:footnote w:id="351">
    <w:p w14:paraId="6105E6C2" w14:textId="77777777" w:rsidR="005375B7" w:rsidRPr="00BC2743" w:rsidRDefault="005375B7" w:rsidP="005375B7">
      <w:pPr>
        <w:pStyle w:val="FootnoteText"/>
        <w:ind w:left="567" w:hanging="567"/>
        <w:rPr>
          <w:sz w:val="24"/>
          <w:lang w:val="fi-FI"/>
        </w:rPr>
      </w:pPr>
      <w:r w:rsidRPr="00BC2743">
        <w:rPr>
          <w:rStyle w:val="FootnoteReference"/>
          <w:sz w:val="24"/>
        </w:rPr>
        <w:footnoteRef/>
      </w:r>
      <w:r w:rsidRPr="00BC2743">
        <w:rPr>
          <w:sz w:val="24"/>
          <w:lang w:val="fi-FI"/>
        </w:rPr>
        <w:t xml:space="preserve"> </w:t>
      </w:r>
      <w:r w:rsidRPr="00822C8C">
        <w:rPr>
          <w:sz w:val="24"/>
          <w:lang w:val="fi-FI"/>
        </w:rPr>
        <w:tab/>
        <w:t xml:space="preserve">EUT C, C/2024/6332, 24.10.2024, ELI: </w:t>
      </w:r>
      <w:hyperlink r:id="rId351" w:history="1">
        <w:r w:rsidRPr="00822C8C">
          <w:rPr>
            <w:rStyle w:val="Hyperlink1"/>
            <w:sz w:val="24"/>
            <w:lang w:val="fi-FI"/>
          </w:rPr>
          <w:t>http://data.europa.eu/eli/C/2024/6332/oj</w:t>
        </w:r>
      </w:hyperlink>
      <w:r w:rsidRPr="00822C8C">
        <w:rPr>
          <w:sz w:val="24"/>
          <w:lang w:val="fi-FI"/>
        </w:rPr>
        <w:t>.</w:t>
      </w:r>
    </w:p>
  </w:footnote>
  <w:footnote w:id="352">
    <w:p w14:paraId="3A7292E5" w14:textId="77777777" w:rsidR="005375B7" w:rsidRPr="00BC2743" w:rsidRDefault="005375B7" w:rsidP="005375B7">
      <w:pPr>
        <w:pStyle w:val="FootnoteText"/>
        <w:ind w:left="567" w:hanging="567"/>
        <w:rPr>
          <w:sz w:val="24"/>
          <w:lang w:val="fi-FI"/>
        </w:rPr>
      </w:pPr>
      <w:r w:rsidRPr="00BC2743">
        <w:rPr>
          <w:rStyle w:val="FootnoteReference"/>
          <w:sz w:val="24"/>
        </w:rPr>
        <w:footnoteRef/>
      </w:r>
      <w:r w:rsidRPr="00BC2743">
        <w:rPr>
          <w:sz w:val="24"/>
          <w:lang w:val="fi-FI"/>
        </w:rPr>
        <w:t xml:space="preserve"> </w:t>
      </w:r>
      <w:r w:rsidRPr="00822C8C">
        <w:rPr>
          <w:sz w:val="24"/>
          <w:lang w:val="fi-FI"/>
        </w:rPr>
        <w:tab/>
        <w:t xml:space="preserve">EUT C, C/2024/6041, 10.10.2024, ELI: </w:t>
      </w:r>
      <w:hyperlink r:id="rId352" w:history="1">
        <w:r w:rsidRPr="00822C8C">
          <w:rPr>
            <w:rStyle w:val="Hyperlink1"/>
            <w:sz w:val="24"/>
            <w:lang w:val="fi-FI"/>
          </w:rPr>
          <w:t>http://data.europa.eu/eli/C/2024/6041/oj</w:t>
        </w:r>
      </w:hyperlink>
      <w:r w:rsidRPr="00822C8C">
        <w:rPr>
          <w:sz w:val="24"/>
          <w:lang w:val="fi-FI"/>
        </w:rPr>
        <w:t>.</w:t>
      </w:r>
    </w:p>
  </w:footnote>
  <w:footnote w:id="353">
    <w:p w14:paraId="587A1CAD" w14:textId="77777777" w:rsidR="005375B7" w:rsidRPr="00BC2743" w:rsidRDefault="005375B7" w:rsidP="005375B7">
      <w:pPr>
        <w:pStyle w:val="FootnoteText"/>
        <w:ind w:left="567" w:hanging="567"/>
        <w:rPr>
          <w:sz w:val="24"/>
          <w:lang w:val="fi-FI"/>
        </w:rPr>
      </w:pPr>
      <w:r w:rsidRPr="00BC2743">
        <w:rPr>
          <w:rStyle w:val="FootnoteReference"/>
          <w:sz w:val="24"/>
        </w:rPr>
        <w:footnoteRef/>
      </w:r>
      <w:r w:rsidRPr="00BC2743">
        <w:rPr>
          <w:sz w:val="24"/>
          <w:lang w:val="fi-FI"/>
        </w:rPr>
        <w:t xml:space="preserve"> </w:t>
      </w:r>
      <w:r w:rsidRPr="00822C8C">
        <w:rPr>
          <w:sz w:val="24"/>
          <w:lang w:val="fi-FI"/>
        </w:rPr>
        <w:tab/>
        <w:t xml:space="preserve">EUT L 193, 30.7.2018, s. 1, ELI: </w:t>
      </w:r>
      <w:hyperlink r:id="rId353" w:history="1">
        <w:r w:rsidRPr="00822C8C">
          <w:rPr>
            <w:rStyle w:val="Hyperlink1"/>
            <w:sz w:val="24"/>
            <w:lang w:val="fi-FI"/>
          </w:rPr>
          <w:t>http://data.europa.eu/eli/reg/2018/1046/oj</w:t>
        </w:r>
      </w:hyperlink>
      <w:r w:rsidRPr="00822C8C">
        <w:rPr>
          <w:sz w:val="24"/>
          <w:lang w:val="fi-FI"/>
        </w:rPr>
        <w:t>.</w:t>
      </w:r>
    </w:p>
  </w:footnote>
  <w:footnote w:id="354">
    <w:p w14:paraId="5FAB0F9B" w14:textId="77777777" w:rsidR="005375B7" w:rsidRPr="00BC2743" w:rsidRDefault="005375B7" w:rsidP="005375B7">
      <w:pPr>
        <w:pStyle w:val="FootnoteText"/>
        <w:ind w:left="567" w:hanging="567"/>
        <w:rPr>
          <w:sz w:val="24"/>
          <w:lang w:val="fi-FI"/>
        </w:rPr>
      </w:pPr>
      <w:r w:rsidRPr="00BC2743">
        <w:rPr>
          <w:rStyle w:val="FootnoteReference"/>
          <w:sz w:val="24"/>
        </w:rPr>
        <w:footnoteRef/>
      </w:r>
      <w:r w:rsidRPr="00BC2743">
        <w:rPr>
          <w:sz w:val="24"/>
          <w:lang w:val="fi-FI"/>
        </w:rPr>
        <w:t xml:space="preserve"> </w:t>
      </w:r>
      <w:r w:rsidRPr="00822C8C">
        <w:rPr>
          <w:sz w:val="24"/>
          <w:lang w:val="fi-FI"/>
        </w:rPr>
        <w:tab/>
        <w:t xml:space="preserve">EUT L, 2024/2509, 26.9.2024, ELI: </w:t>
      </w:r>
      <w:hyperlink r:id="rId354" w:history="1">
        <w:r w:rsidRPr="00822C8C">
          <w:rPr>
            <w:rStyle w:val="Hyperlink1"/>
            <w:sz w:val="24"/>
            <w:lang w:val="fi-FI"/>
          </w:rPr>
          <w:t>http://data.europa.eu/eli/reg/2024/2509/oj</w:t>
        </w:r>
      </w:hyperlink>
      <w:r w:rsidRPr="00822C8C">
        <w:rPr>
          <w:rStyle w:val="Hyperlink1"/>
          <w:sz w:val="24"/>
          <w:lang w:val="fi-FI"/>
        </w:rPr>
        <w:t>.</w:t>
      </w:r>
    </w:p>
  </w:footnote>
  <w:footnote w:id="355">
    <w:p w14:paraId="4082A9B1" w14:textId="77777777" w:rsidR="005375B7" w:rsidRPr="00BC2743" w:rsidRDefault="005375B7" w:rsidP="005375B7">
      <w:pPr>
        <w:pStyle w:val="FootnoteText"/>
        <w:ind w:left="567" w:hanging="567"/>
        <w:rPr>
          <w:sz w:val="24"/>
          <w:lang w:val="fi-FI"/>
        </w:rPr>
      </w:pPr>
      <w:r w:rsidRPr="00BC2743">
        <w:rPr>
          <w:rStyle w:val="FootnoteReference"/>
          <w:sz w:val="24"/>
        </w:rPr>
        <w:footnoteRef/>
      </w:r>
      <w:r w:rsidRPr="00BC2743">
        <w:rPr>
          <w:sz w:val="24"/>
          <w:lang w:val="fi-FI"/>
        </w:rPr>
        <w:t xml:space="preserve"> </w:t>
      </w:r>
      <w:r w:rsidRPr="00822C8C">
        <w:rPr>
          <w:sz w:val="24"/>
          <w:lang w:val="fi-FI"/>
        </w:rPr>
        <w:tab/>
        <w:t xml:space="preserve">EUT L 135, 24.5.2016, s. 53, ELI: </w:t>
      </w:r>
      <w:hyperlink r:id="rId355" w:history="1">
        <w:r w:rsidRPr="00822C8C">
          <w:rPr>
            <w:rStyle w:val="Hyperlink1"/>
            <w:sz w:val="24"/>
            <w:lang w:val="fi-FI"/>
          </w:rPr>
          <w:t>http://data.europa.eu/eli/reg/2016/794/oj</w:t>
        </w:r>
      </w:hyperlink>
      <w:r w:rsidRPr="00822C8C">
        <w:rPr>
          <w:sz w:val="24"/>
          <w:lang w:val="fi-FI"/>
        </w:rPr>
        <w:t>.</w:t>
      </w:r>
    </w:p>
  </w:footnote>
  <w:footnote w:id="356">
    <w:p w14:paraId="6FB4B2DB" w14:textId="77777777" w:rsidR="005375B7" w:rsidRPr="00BC2743" w:rsidRDefault="005375B7" w:rsidP="005375B7">
      <w:pPr>
        <w:pStyle w:val="FootnoteText"/>
        <w:ind w:left="567" w:hanging="567"/>
        <w:rPr>
          <w:sz w:val="24"/>
          <w:lang w:val="fi-FI"/>
        </w:rPr>
      </w:pPr>
      <w:r w:rsidRPr="00BC2743">
        <w:rPr>
          <w:rStyle w:val="FootnoteReference"/>
          <w:sz w:val="24"/>
        </w:rPr>
        <w:footnoteRef/>
      </w:r>
      <w:r w:rsidRPr="00BC2743">
        <w:rPr>
          <w:sz w:val="24"/>
          <w:lang w:val="fi-FI"/>
        </w:rPr>
        <w:t xml:space="preserve"> </w:t>
      </w:r>
      <w:r w:rsidRPr="00822C8C">
        <w:rPr>
          <w:sz w:val="24"/>
          <w:lang w:val="fi-FI"/>
        </w:rPr>
        <w:tab/>
        <w:t xml:space="preserve">EUT L 122, 10.5.2019, s. 1, ELI: </w:t>
      </w:r>
      <w:hyperlink r:id="rId356" w:history="1">
        <w:r w:rsidRPr="00822C8C">
          <w:rPr>
            <w:rStyle w:val="Hyperlink1"/>
            <w:sz w:val="24"/>
            <w:lang w:val="fi-FI"/>
          </w:rPr>
          <w:t>http://data.europa.eu/eli/reg_del/2019/715/oj</w:t>
        </w:r>
      </w:hyperlink>
      <w:r w:rsidRPr="00822C8C">
        <w:rPr>
          <w:sz w:val="24"/>
          <w:lang w:val="fi-FI"/>
        </w:rPr>
        <w:t>.</w:t>
      </w:r>
    </w:p>
  </w:footnote>
  <w:footnote w:id="357">
    <w:p w14:paraId="023E674F" w14:textId="77777777" w:rsidR="005375B7" w:rsidRPr="00C23D30" w:rsidRDefault="005375B7" w:rsidP="005375B7">
      <w:pPr>
        <w:pStyle w:val="FootnoteText"/>
        <w:ind w:left="567" w:hanging="567"/>
        <w:rPr>
          <w:sz w:val="24"/>
          <w:lang w:val="fi-FI"/>
        </w:rPr>
      </w:pPr>
      <w:r w:rsidRPr="00C23D30">
        <w:rPr>
          <w:rStyle w:val="FootnoteReference"/>
          <w:sz w:val="24"/>
        </w:rPr>
        <w:footnoteRef/>
      </w:r>
      <w:r w:rsidRPr="00C23D30">
        <w:rPr>
          <w:sz w:val="24"/>
          <w:lang w:val="fi-FI"/>
        </w:rPr>
        <w:t xml:space="preserve"> </w:t>
      </w:r>
      <w:r w:rsidRPr="00822C8C">
        <w:rPr>
          <w:sz w:val="24"/>
          <w:lang w:val="fi-FI"/>
        </w:rPr>
        <w:tab/>
        <w:t xml:space="preserve">EUT C, C/2024/6332, 24.10.2024, ELI: </w:t>
      </w:r>
      <w:hyperlink r:id="rId357" w:history="1">
        <w:r w:rsidRPr="00822C8C">
          <w:rPr>
            <w:rStyle w:val="Hyperlink1"/>
            <w:sz w:val="24"/>
            <w:lang w:val="fi-FI"/>
          </w:rPr>
          <w:t>http://data.europa.eu/eli/C/2024/6332/oj</w:t>
        </w:r>
      </w:hyperlink>
      <w:r w:rsidRPr="00822C8C">
        <w:rPr>
          <w:sz w:val="24"/>
          <w:lang w:val="fi-FI"/>
        </w:rPr>
        <w:t>.</w:t>
      </w:r>
    </w:p>
  </w:footnote>
  <w:footnote w:id="358">
    <w:p w14:paraId="2F0DFCF8" w14:textId="77777777" w:rsidR="005375B7" w:rsidRPr="00C23D30" w:rsidRDefault="005375B7" w:rsidP="005375B7">
      <w:pPr>
        <w:pStyle w:val="FootnoteText"/>
        <w:ind w:left="567" w:hanging="567"/>
        <w:rPr>
          <w:sz w:val="24"/>
          <w:lang w:val="fi-FI"/>
        </w:rPr>
      </w:pPr>
      <w:r w:rsidRPr="00C23D30">
        <w:rPr>
          <w:rStyle w:val="FootnoteReference"/>
          <w:sz w:val="24"/>
        </w:rPr>
        <w:footnoteRef/>
      </w:r>
      <w:r w:rsidRPr="00C23D30">
        <w:rPr>
          <w:sz w:val="24"/>
          <w:lang w:val="fi-FI"/>
        </w:rPr>
        <w:t xml:space="preserve"> </w:t>
      </w:r>
      <w:r w:rsidRPr="00822C8C">
        <w:rPr>
          <w:sz w:val="24"/>
          <w:lang w:val="fi-FI"/>
        </w:rPr>
        <w:tab/>
        <w:t xml:space="preserve">EUT C, C/2024/6041, 10.10.2024, ELI: </w:t>
      </w:r>
      <w:hyperlink r:id="rId358" w:history="1">
        <w:r w:rsidRPr="00822C8C">
          <w:rPr>
            <w:rStyle w:val="Hyperlink1"/>
            <w:sz w:val="24"/>
            <w:lang w:val="fi-FI"/>
          </w:rPr>
          <w:t>http://data.europa.eu/eli/C/2024/6041/oj</w:t>
        </w:r>
      </w:hyperlink>
      <w:r w:rsidRPr="00822C8C">
        <w:rPr>
          <w:sz w:val="24"/>
          <w:lang w:val="fi-FI"/>
        </w:rPr>
        <w:t>.</w:t>
      </w:r>
    </w:p>
  </w:footnote>
  <w:footnote w:id="359">
    <w:p w14:paraId="46AE8392" w14:textId="77777777" w:rsidR="005375B7" w:rsidRPr="00C23D30" w:rsidRDefault="005375B7" w:rsidP="005375B7">
      <w:pPr>
        <w:pStyle w:val="FootnoteText"/>
        <w:ind w:left="567" w:hanging="567"/>
        <w:rPr>
          <w:sz w:val="24"/>
          <w:lang w:val="fi-FI"/>
        </w:rPr>
      </w:pPr>
      <w:r w:rsidRPr="00C23D30">
        <w:rPr>
          <w:rStyle w:val="FootnoteReference"/>
          <w:sz w:val="24"/>
        </w:rPr>
        <w:footnoteRef/>
      </w:r>
      <w:r w:rsidRPr="00C23D30">
        <w:rPr>
          <w:sz w:val="24"/>
          <w:lang w:val="fi-FI"/>
        </w:rPr>
        <w:t xml:space="preserve"> </w:t>
      </w:r>
      <w:r w:rsidRPr="00822C8C">
        <w:rPr>
          <w:sz w:val="24"/>
          <w:lang w:val="fi-FI"/>
        </w:rPr>
        <w:tab/>
        <w:t xml:space="preserve">EUT L 193, 30.7.2018, s. 1, ELI: </w:t>
      </w:r>
      <w:hyperlink r:id="rId359" w:history="1">
        <w:r w:rsidRPr="00822C8C">
          <w:rPr>
            <w:rStyle w:val="Hyperlink1"/>
            <w:sz w:val="24"/>
            <w:lang w:val="fi-FI"/>
          </w:rPr>
          <w:t>http://data.europa.eu/eli/reg/2018/1046/oj</w:t>
        </w:r>
      </w:hyperlink>
      <w:r w:rsidRPr="00822C8C">
        <w:rPr>
          <w:sz w:val="24"/>
          <w:lang w:val="fi-FI"/>
        </w:rPr>
        <w:t>.</w:t>
      </w:r>
    </w:p>
  </w:footnote>
  <w:footnote w:id="360">
    <w:p w14:paraId="2FFA61D7" w14:textId="77777777" w:rsidR="005375B7" w:rsidRPr="00C23D30" w:rsidRDefault="005375B7" w:rsidP="005375B7">
      <w:pPr>
        <w:pStyle w:val="FootnoteText"/>
        <w:ind w:left="567" w:hanging="567"/>
        <w:rPr>
          <w:sz w:val="24"/>
          <w:lang w:val="fi-FI"/>
        </w:rPr>
      </w:pPr>
      <w:r w:rsidRPr="00C23D30">
        <w:rPr>
          <w:rStyle w:val="FootnoteReference"/>
          <w:sz w:val="24"/>
        </w:rPr>
        <w:footnoteRef/>
      </w:r>
      <w:r w:rsidRPr="00C23D30">
        <w:rPr>
          <w:sz w:val="24"/>
          <w:lang w:val="fi-FI"/>
        </w:rPr>
        <w:t xml:space="preserve"> </w:t>
      </w:r>
      <w:r w:rsidRPr="00822C8C">
        <w:rPr>
          <w:sz w:val="24"/>
          <w:lang w:val="fi-FI"/>
        </w:rPr>
        <w:tab/>
        <w:t xml:space="preserve">EUT L, 2024/2509, 26.9.2024, ELI: </w:t>
      </w:r>
      <w:hyperlink r:id="rId360" w:history="1">
        <w:r w:rsidRPr="00822C8C">
          <w:rPr>
            <w:rStyle w:val="Hyperlink1"/>
            <w:sz w:val="24"/>
            <w:lang w:val="fi-FI"/>
          </w:rPr>
          <w:t>http://data.europa.eu/eli/reg/2024/2509/oj</w:t>
        </w:r>
      </w:hyperlink>
      <w:r w:rsidRPr="00822C8C">
        <w:rPr>
          <w:rStyle w:val="Hyperlink1"/>
          <w:sz w:val="24"/>
          <w:lang w:val="fi-FI"/>
        </w:rPr>
        <w:t>.</w:t>
      </w:r>
    </w:p>
  </w:footnote>
  <w:footnote w:id="361">
    <w:p w14:paraId="33883ADD" w14:textId="77777777" w:rsidR="005375B7" w:rsidRPr="00C23D30" w:rsidRDefault="005375B7" w:rsidP="005375B7">
      <w:pPr>
        <w:pStyle w:val="FootnoteText"/>
        <w:ind w:left="567" w:hanging="567"/>
        <w:rPr>
          <w:sz w:val="24"/>
          <w:lang w:val="fi-FI"/>
        </w:rPr>
      </w:pPr>
      <w:r w:rsidRPr="00C23D30">
        <w:rPr>
          <w:rStyle w:val="FootnoteReference"/>
          <w:sz w:val="24"/>
        </w:rPr>
        <w:footnoteRef/>
      </w:r>
      <w:r w:rsidRPr="00C23D30">
        <w:rPr>
          <w:sz w:val="24"/>
          <w:lang w:val="fi-FI"/>
        </w:rPr>
        <w:t xml:space="preserve"> </w:t>
      </w:r>
      <w:r w:rsidRPr="00822C8C">
        <w:rPr>
          <w:sz w:val="24"/>
          <w:lang w:val="fi-FI"/>
        </w:rPr>
        <w:tab/>
        <w:t xml:space="preserve">EUT L 135, 24.5.2016, s. 53, ELI: </w:t>
      </w:r>
      <w:hyperlink r:id="rId361" w:history="1">
        <w:r w:rsidRPr="00822C8C">
          <w:rPr>
            <w:rStyle w:val="Hyperlink1"/>
            <w:sz w:val="24"/>
            <w:lang w:val="fi-FI"/>
          </w:rPr>
          <w:t>http://data.europa.eu/eli/reg/2016/794/oj</w:t>
        </w:r>
      </w:hyperlink>
      <w:r w:rsidRPr="00822C8C">
        <w:rPr>
          <w:sz w:val="24"/>
          <w:lang w:val="fi-FI"/>
        </w:rPr>
        <w:t>.</w:t>
      </w:r>
    </w:p>
  </w:footnote>
  <w:footnote w:id="362">
    <w:p w14:paraId="0C470E40" w14:textId="77777777" w:rsidR="005375B7" w:rsidRPr="00C23D30" w:rsidRDefault="005375B7" w:rsidP="005375B7">
      <w:pPr>
        <w:pStyle w:val="FootnoteText"/>
        <w:ind w:left="567" w:hanging="567"/>
        <w:rPr>
          <w:sz w:val="24"/>
          <w:lang w:val="fi-FI"/>
        </w:rPr>
      </w:pPr>
      <w:r w:rsidRPr="00C23D30">
        <w:rPr>
          <w:rStyle w:val="FootnoteReference"/>
          <w:sz w:val="24"/>
        </w:rPr>
        <w:footnoteRef/>
      </w:r>
      <w:r w:rsidRPr="00C23D30">
        <w:rPr>
          <w:sz w:val="24"/>
          <w:lang w:val="fi-FI"/>
        </w:rPr>
        <w:t xml:space="preserve"> </w:t>
      </w:r>
      <w:r w:rsidRPr="00822C8C">
        <w:rPr>
          <w:sz w:val="24"/>
          <w:lang w:val="fi-FI"/>
        </w:rPr>
        <w:tab/>
        <w:t xml:space="preserve">EUT L 122, 10.5.2019, s. 1, ELI: </w:t>
      </w:r>
      <w:hyperlink r:id="rId362" w:history="1">
        <w:r w:rsidRPr="00822C8C">
          <w:rPr>
            <w:rStyle w:val="Hyperlink1"/>
            <w:sz w:val="24"/>
            <w:lang w:val="fi-FI"/>
          </w:rPr>
          <w:t>http://data.europa.eu/eli/reg_del/2019/715/oj</w:t>
        </w:r>
      </w:hyperlink>
      <w:r w:rsidRPr="00822C8C">
        <w:rPr>
          <w:sz w:val="24"/>
          <w:lang w:val="fi-FI"/>
        </w:rPr>
        <w:t>.</w:t>
      </w:r>
    </w:p>
  </w:footnote>
  <w:footnote w:id="363">
    <w:p w14:paraId="1CFA5830" w14:textId="77777777" w:rsidR="005375B7" w:rsidRPr="00375CD3" w:rsidRDefault="005375B7" w:rsidP="005375B7">
      <w:pPr>
        <w:pStyle w:val="FootnoteText"/>
        <w:ind w:left="567" w:hanging="567"/>
        <w:rPr>
          <w:sz w:val="24"/>
          <w:lang w:val="fi-FI"/>
        </w:rPr>
      </w:pPr>
      <w:r w:rsidRPr="00375CD3">
        <w:rPr>
          <w:rStyle w:val="FootnoteReference"/>
          <w:sz w:val="24"/>
        </w:rPr>
        <w:footnoteRef/>
      </w:r>
      <w:r w:rsidRPr="00375CD3">
        <w:rPr>
          <w:sz w:val="24"/>
          <w:lang w:val="fi-FI"/>
        </w:rPr>
        <w:t xml:space="preserve"> </w:t>
      </w:r>
      <w:r w:rsidRPr="00822C8C">
        <w:rPr>
          <w:sz w:val="24"/>
          <w:lang w:val="fi-FI"/>
        </w:rPr>
        <w:tab/>
        <w:t xml:space="preserve">EUT C, C/2024/6332, 24.10.2024, ELI: </w:t>
      </w:r>
      <w:hyperlink r:id="rId363" w:history="1">
        <w:r w:rsidRPr="00822C8C">
          <w:rPr>
            <w:rStyle w:val="Hyperlink1"/>
            <w:sz w:val="24"/>
            <w:lang w:val="fi-FI"/>
          </w:rPr>
          <w:t>http://data.europa.eu/eli/C/2024/6332/oj</w:t>
        </w:r>
      </w:hyperlink>
      <w:r w:rsidRPr="00822C8C">
        <w:rPr>
          <w:sz w:val="24"/>
          <w:lang w:val="fi-FI"/>
        </w:rPr>
        <w:t>.</w:t>
      </w:r>
    </w:p>
  </w:footnote>
  <w:footnote w:id="364">
    <w:p w14:paraId="4B15DFFC" w14:textId="77777777" w:rsidR="005375B7" w:rsidRPr="00375CD3" w:rsidRDefault="005375B7" w:rsidP="005375B7">
      <w:pPr>
        <w:pStyle w:val="FootnoteText"/>
        <w:ind w:left="567" w:hanging="567"/>
        <w:rPr>
          <w:sz w:val="24"/>
          <w:lang w:val="fi-FI"/>
        </w:rPr>
      </w:pPr>
      <w:r w:rsidRPr="00375CD3">
        <w:rPr>
          <w:rStyle w:val="FootnoteReference"/>
          <w:sz w:val="24"/>
        </w:rPr>
        <w:footnoteRef/>
      </w:r>
      <w:r w:rsidRPr="00375CD3">
        <w:rPr>
          <w:sz w:val="24"/>
          <w:lang w:val="fi-FI"/>
        </w:rPr>
        <w:t xml:space="preserve"> </w:t>
      </w:r>
      <w:r w:rsidRPr="00822C8C">
        <w:rPr>
          <w:sz w:val="24"/>
          <w:lang w:val="fi-FI"/>
        </w:rPr>
        <w:tab/>
        <w:t xml:space="preserve">EUT C, C/2024/6041, 10.10.2024, ELI: </w:t>
      </w:r>
      <w:hyperlink r:id="rId364" w:history="1">
        <w:r w:rsidRPr="00822C8C">
          <w:rPr>
            <w:rStyle w:val="Hyperlink1"/>
            <w:sz w:val="24"/>
            <w:lang w:val="fi-FI"/>
          </w:rPr>
          <w:t>http://data.europa.eu/eli/C/2024/6041/oj</w:t>
        </w:r>
      </w:hyperlink>
      <w:r w:rsidRPr="00822C8C">
        <w:rPr>
          <w:sz w:val="24"/>
          <w:lang w:val="fi-FI"/>
        </w:rPr>
        <w:t>.</w:t>
      </w:r>
    </w:p>
  </w:footnote>
  <w:footnote w:id="365">
    <w:p w14:paraId="213EA961" w14:textId="77777777" w:rsidR="005375B7" w:rsidRPr="00375CD3" w:rsidRDefault="005375B7" w:rsidP="005375B7">
      <w:pPr>
        <w:pStyle w:val="FootnoteText"/>
        <w:ind w:left="567" w:hanging="567"/>
        <w:rPr>
          <w:sz w:val="24"/>
          <w:lang w:val="fi-FI"/>
        </w:rPr>
      </w:pPr>
      <w:r w:rsidRPr="00375CD3">
        <w:rPr>
          <w:rStyle w:val="FootnoteReference"/>
          <w:sz w:val="24"/>
        </w:rPr>
        <w:footnoteRef/>
      </w:r>
      <w:r w:rsidRPr="00375CD3">
        <w:rPr>
          <w:sz w:val="24"/>
          <w:lang w:val="fi-FI"/>
        </w:rPr>
        <w:t xml:space="preserve"> </w:t>
      </w:r>
      <w:r w:rsidRPr="00822C8C">
        <w:rPr>
          <w:sz w:val="24"/>
          <w:lang w:val="fi-FI"/>
        </w:rPr>
        <w:tab/>
        <w:t xml:space="preserve">EUT L 193, 30.7.2018, s. 1, ELI: </w:t>
      </w:r>
      <w:hyperlink r:id="rId365" w:history="1">
        <w:r w:rsidRPr="00822C8C">
          <w:rPr>
            <w:rStyle w:val="Hyperlink1"/>
            <w:sz w:val="24"/>
            <w:lang w:val="fi-FI"/>
          </w:rPr>
          <w:t>http://data.europa.eu/eli/reg/2018/1046/oj</w:t>
        </w:r>
      </w:hyperlink>
      <w:r w:rsidRPr="00822C8C">
        <w:rPr>
          <w:sz w:val="24"/>
          <w:lang w:val="fi-FI"/>
        </w:rPr>
        <w:t>.</w:t>
      </w:r>
    </w:p>
  </w:footnote>
  <w:footnote w:id="366">
    <w:p w14:paraId="7BF4B81D" w14:textId="77777777" w:rsidR="005375B7" w:rsidRPr="00375CD3" w:rsidRDefault="005375B7" w:rsidP="005375B7">
      <w:pPr>
        <w:pStyle w:val="FootnoteText"/>
        <w:ind w:left="567" w:hanging="567"/>
        <w:rPr>
          <w:sz w:val="24"/>
          <w:lang w:val="fi-FI"/>
        </w:rPr>
      </w:pPr>
      <w:r w:rsidRPr="00375CD3">
        <w:rPr>
          <w:rStyle w:val="FootnoteReference"/>
          <w:sz w:val="24"/>
        </w:rPr>
        <w:footnoteRef/>
      </w:r>
      <w:r w:rsidRPr="00375CD3">
        <w:rPr>
          <w:sz w:val="24"/>
          <w:lang w:val="fi-FI"/>
        </w:rPr>
        <w:t xml:space="preserve"> </w:t>
      </w:r>
      <w:r w:rsidRPr="00822C8C">
        <w:rPr>
          <w:sz w:val="24"/>
          <w:lang w:val="fi-FI"/>
        </w:rPr>
        <w:tab/>
        <w:t xml:space="preserve">EUT L, 2024/2509, 26.9.2024, ELI: </w:t>
      </w:r>
      <w:hyperlink r:id="rId366" w:history="1">
        <w:r w:rsidRPr="00822C8C">
          <w:rPr>
            <w:rStyle w:val="Hyperlink1"/>
            <w:sz w:val="24"/>
            <w:lang w:val="fi-FI"/>
          </w:rPr>
          <w:t>http://data.europa.eu/eli/reg/2024/2509/oj</w:t>
        </w:r>
      </w:hyperlink>
      <w:r w:rsidRPr="00822C8C">
        <w:rPr>
          <w:rStyle w:val="Hyperlink1"/>
          <w:sz w:val="24"/>
          <w:lang w:val="fi-FI"/>
        </w:rPr>
        <w:t>.</w:t>
      </w:r>
    </w:p>
  </w:footnote>
  <w:footnote w:id="367">
    <w:p w14:paraId="7648347B" w14:textId="77777777" w:rsidR="005375B7" w:rsidRPr="00375CD3" w:rsidRDefault="005375B7" w:rsidP="005375B7">
      <w:pPr>
        <w:pStyle w:val="FootnoteText"/>
        <w:ind w:left="567" w:hanging="567"/>
        <w:rPr>
          <w:sz w:val="24"/>
          <w:lang w:val="fi-FI"/>
        </w:rPr>
      </w:pPr>
      <w:r w:rsidRPr="00375CD3">
        <w:rPr>
          <w:rStyle w:val="FootnoteReference"/>
          <w:sz w:val="24"/>
        </w:rPr>
        <w:footnoteRef/>
      </w:r>
      <w:r w:rsidRPr="00375CD3">
        <w:rPr>
          <w:sz w:val="24"/>
          <w:lang w:val="fi-FI"/>
        </w:rPr>
        <w:t xml:space="preserve"> </w:t>
      </w:r>
      <w:r w:rsidRPr="00822C8C">
        <w:rPr>
          <w:sz w:val="24"/>
          <w:lang w:val="fi-FI"/>
        </w:rPr>
        <w:tab/>
        <w:t xml:space="preserve">EUT L 170, 12.5.2021, s. 69, ELI: </w:t>
      </w:r>
      <w:hyperlink r:id="rId367" w:history="1">
        <w:r w:rsidRPr="00822C8C">
          <w:rPr>
            <w:rStyle w:val="Hyperlink1"/>
            <w:sz w:val="24"/>
            <w:lang w:val="fi-FI"/>
          </w:rPr>
          <w:t>http://data.europa.eu/eli/reg/2021/696/oj</w:t>
        </w:r>
      </w:hyperlink>
      <w:r w:rsidRPr="00822C8C">
        <w:rPr>
          <w:sz w:val="24"/>
          <w:lang w:val="fi-FI"/>
        </w:rPr>
        <w:t>.</w:t>
      </w:r>
    </w:p>
  </w:footnote>
  <w:footnote w:id="368">
    <w:p w14:paraId="4B124DF1" w14:textId="77777777" w:rsidR="005375B7" w:rsidRPr="00375CD3" w:rsidRDefault="005375B7" w:rsidP="005375B7">
      <w:pPr>
        <w:pStyle w:val="FootnoteText"/>
        <w:ind w:left="567" w:hanging="567"/>
        <w:rPr>
          <w:sz w:val="24"/>
          <w:lang w:val="fi-FI"/>
        </w:rPr>
      </w:pPr>
      <w:r w:rsidRPr="00375CD3">
        <w:rPr>
          <w:rStyle w:val="FootnoteReference"/>
          <w:sz w:val="24"/>
        </w:rPr>
        <w:footnoteRef/>
      </w:r>
      <w:r w:rsidRPr="00375CD3">
        <w:rPr>
          <w:sz w:val="24"/>
          <w:lang w:val="fi-FI"/>
        </w:rPr>
        <w:t xml:space="preserve"> </w:t>
      </w:r>
      <w:r w:rsidRPr="00822C8C">
        <w:rPr>
          <w:sz w:val="24"/>
          <w:lang w:val="fi-FI"/>
        </w:rPr>
        <w:tab/>
        <w:t xml:space="preserve">EUT L 122, 10.5.2019, s. 1, ELI: </w:t>
      </w:r>
      <w:hyperlink r:id="rId368" w:history="1">
        <w:r w:rsidRPr="00822C8C">
          <w:rPr>
            <w:rStyle w:val="Hyperlink1"/>
            <w:sz w:val="24"/>
            <w:lang w:val="fi-FI"/>
          </w:rPr>
          <w:t>http://data.europa.eu/eli/reg_del/2019/715/oj</w:t>
        </w:r>
      </w:hyperlink>
      <w:r w:rsidRPr="00822C8C">
        <w:rPr>
          <w:sz w:val="24"/>
          <w:lang w:val="fi-FI"/>
        </w:rPr>
        <w:t>.</w:t>
      </w:r>
    </w:p>
  </w:footnote>
  <w:footnote w:id="369">
    <w:p w14:paraId="1844E8C0" w14:textId="77777777" w:rsidR="005375B7" w:rsidRPr="003A3115" w:rsidRDefault="005375B7" w:rsidP="005375B7">
      <w:pPr>
        <w:pStyle w:val="FootnoteText"/>
        <w:ind w:left="567" w:hanging="567"/>
        <w:rPr>
          <w:sz w:val="24"/>
          <w:lang w:val="fi-FI"/>
        </w:rPr>
      </w:pPr>
      <w:r w:rsidRPr="003A3115">
        <w:rPr>
          <w:rStyle w:val="FootnoteReference"/>
          <w:sz w:val="24"/>
        </w:rPr>
        <w:footnoteRef/>
      </w:r>
      <w:r w:rsidRPr="003A3115">
        <w:rPr>
          <w:sz w:val="24"/>
          <w:lang w:val="fi-FI"/>
        </w:rPr>
        <w:t xml:space="preserve"> </w:t>
      </w:r>
      <w:r w:rsidRPr="00822C8C">
        <w:rPr>
          <w:sz w:val="24"/>
          <w:lang w:val="fi-FI"/>
        </w:rPr>
        <w:tab/>
        <w:t xml:space="preserve">EUT C, C/2024/6332, 24.10.2024, ELI: </w:t>
      </w:r>
      <w:hyperlink r:id="rId369" w:history="1">
        <w:r w:rsidRPr="00822C8C">
          <w:rPr>
            <w:rStyle w:val="Hyperlink1"/>
            <w:sz w:val="24"/>
            <w:lang w:val="fi-FI"/>
          </w:rPr>
          <w:t>http://data.europa.eu/eli/C/2024/6332/oj</w:t>
        </w:r>
      </w:hyperlink>
      <w:r w:rsidRPr="00822C8C">
        <w:rPr>
          <w:sz w:val="24"/>
          <w:lang w:val="fi-FI"/>
        </w:rPr>
        <w:t>.</w:t>
      </w:r>
    </w:p>
  </w:footnote>
  <w:footnote w:id="370">
    <w:p w14:paraId="26A1CB31" w14:textId="77777777" w:rsidR="005375B7" w:rsidRPr="003A3115" w:rsidRDefault="005375B7" w:rsidP="005375B7">
      <w:pPr>
        <w:pStyle w:val="FootnoteText"/>
        <w:ind w:left="567" w:hanging="567"/>
        <w:rPr>
          <w:sz w:val="24"/>
          <w:lang w:val="fi-FI"/>
        </w:rPr>
      </w:pPr>
      <w:r w:rsidRPr="003A3115">
        <w:rPr>
          <w:rStyle w:val="FootnoteReference"/>
          <w:sz w:val="24"/>
        </w:rPr>
        <w:footnoteRef/>
      </w:r>
      <w:r w:rsidRPr="003A3115">
        <w:rPr>
          <w:sz w:val="24"/>
          <w:lang w:val="fi-FI"/>
        </w:rPr>
        <w:t xml:space="preserve"> </w:t>
      </w:r>
      <w:r w:rsidRPr="00822C8C">
        <w:rPr>
          <w:sz w:val="24"/>
          <w:lang w:val="fi-FI"/>
        </w:rPr>
        <w:tab/>
        <w:t xml:space="preserve">EUT C, C/2024/6041, 10.10.2024, ELI: </w:t>
      </w:r>
      <w:hyperlink r:id="rId370" w:history="1">
        <w:r w:rsidRPr="00822C8C">
          <w:rPr>
            <w:rStyle w:val="Hyperlink1"/>
            <w:sz w:val="24"/>
            <w:lang w:val="fi-FI"/>
          </w:rPr>
          <w:t>http://data.europa.eu/eli/C/2024/6041/oj</w:t>
        </w:r>
      </w:hyperlink>
      <w:r w:rsidRPr="00822C8C">
        <w:rPr>
          <w:sz w:val="24"/>
          <w:lang w:val="fi-FI"/>
        </w:rPr>
        <w:t>.</w:t>
      </w:r>
    </w:p>
  </w:footnote>
  <w:footnote w:id="371">
    <w:p w14:paraId="27FCEE8B" w14:textId="77777777" w:rsidR="005375B7" w:rsidRPr="003A3115" w:rsidRDefault="005375B7" w:rsidP="005375B7">
      <w:pPr>
        <w:pStyle w:val="FootnoteText"/>
        <w:ind w:left="567" w:hanging="567"/>
        <w:rPr>
          <w:sz w:val="24"/>
          <w:lang w:val="fi-FI"/>
        </w:rPr>
      </w:pPr>
      <w:r w:rsidRPr="003A3115">
        <w:rPr>
          <w:rStyle w:val="FootnoteReference"/>
          <w:sz w:val="24"/>
        </w:rPr>
        <w:footnoteRef/>
      </w:r>
      <w:r w:rsidRPr="003A3115">
        <w:rPr>
          <w:sz w:val="24"/>
          <w:lang w:val="fi-FI"/>
        </w:rPr>
        <w:t xml:space="preserve"> </w:t>
      </w:r>
      <w:r w:rsidRPr="00822C8C">
        <w:rPr>
          <w:sz w:val="24"/>
          <w:lang w:val="fi-FI"/>
        </w:rPr>
        <w:tab/>
        <w:t xml:space="preserve">EUT L 193, 30.7.2018, s. 1, ELI: </w:t>
      </w:r>
      <w:hyperlink r:id="rId371" w:history="1">
        <w:r w:rsidRPr="00822C8C">
          <w:rPr>
            <w:rStyle w:val="Hyperlink1"/>
            <w:sz w:val="24"/>
            <w:lang w:val="fi-FI"/>
          </w:rPr>
          <w:t>http://data.europa.eu/eli/reg/2018/1046/oj</w:t>
        </w:r>
      </w:hyperlink>
      <w:r w:rsidRPr="00822C8C">
        <w:rPr>
          <w:sz w:val="24"/>
          <w:lang w:val="fi-FI"/>
        </w:rPr>
        <w:t>.</w:t>
      </w:r>
    </w:p>
  </w:footnote>
  <w:footnote w:id="372">
    <w:p w14:paraId="2D5818DF" w14:textId="77777777" w:rsidR="005375B7" w:rsidRPr="003A3115" w:rsidRDefault="005375B7" w:rsidP="005375B7">
      <w:pPr>
        <w:pStyle w:val="FootnoteText"/>
        <w:ind w:left="567" w:hanging="567"/>
        <w:rPr>
          <w:sz w:val="24"/>
          <w:lang w:val="fi-FI"/>
        </w:rPr>
      </w:pPr>
      <w:r w:rsidRPr="003A3115">
        <w:rPr>
          <w:rStyle w:val="FootnoteReference"/>
          <w:sz w:val="24"/>
        </w:rPr>
        <w:footnoteRef/>
      </w:r>
      <w:r w:rsidRPr="003A3115">
        <w:rPr>
          <w:sz w:val="24"/>
          <w:lang w:val="fi-FI"/>
        </w:rPr>
        <w:t xml:space="preserve"> </w:t>
      </w:r>
      <w:r w:rsidRPr="00822C8C">
        <w:rPr>
          <w:sz w:val="24"/>
          <w:lang w:val="fi-FI"/>
        </w:rPr>
        <w:tab/>
        <w:t xml:space="preserve">EUT L, 2024/2509, 26.9.2024, ELI: </w:t>
      </w:r>
      <w:hyperlink r:id="rId372" w:history="1">
        <w:r w:rsidRPr="00822C8C">
          <w:rPr>
            <w:rStyle w:val="Hyperlink1"/>
            <w:sz w:val="24"/>
            <w:lang w:val="fi-FI"/>
          </w:rPr>
          <w:t>http://data.europa.eu/eli/reg/2024/2509/oj</w:t>
        </w:r>
      </w:hyperlink>
      <w:r w:rsidRPr="00822C8C">
        <w:rPr>
          <w:rStyle w:val="Hyperlink1"/>
          <w:sz w:val="24"/>
          <w:lang w:val="fi-FI"/>
        </w:rPr>
        <w:t>.</w:t>
      </w:r>
    </w:p>
  </w:footnote>
  <w:footnote w:id="373">
    <w:p w14:paraId="27BEFCB4" w14:textId="77777777" w:rsidR="005375B7" w:rsidRPr="003A3115" w:rsidRDefault="005375B7" w:rsidP="005375B7">
      <w:pPr>
        <w:pStyle w:val="FootnoteText"/>
        <w:ind w:left="567" w:hanging="567"/>
        <w:rPr>
          <w:sz w:val="24"/>
          <w:lang w:val="fi-FI"/>
        </w:rPr>
      </w:pPr>
      <w:r w:rsidRPr="003A3115">
        <w:rPr>
          <w:rStyle w:val="FootnoteReference"/>
          <w:sz w:val="24"/>
        </w:rPr>
        <w:footnoteRef/>
      </w:r>
      <w:r w:rsidRPr="003A3115">
        <w:rPr>
          <w:sz w:val="24"/>
          <w:lang w:val="fi-FI"/>
        </w:rPr>
        <w:t xml:space="preserve"> </w:t>
      </w:r>
      <w:r w:rsidRPr="00822C8C">
        <w:rPr>
          <w:sz w:val="24"/>
          <w:lang w:val="fi-FI"/>
        </w:rPr>
        <w:tab/>
        <w:t xml:space="preserve">EUT L 170, 12.5.2021, s. 69, ELI: </w:t>
      </w:r>
      <w:hyperlink r:id="rId373" w:history="1">
        <w:r w:rsidRPr="00822C8C">
          <w:rPr>
            <w:rStyle w:val="Hyperlink1"/>
            <w:sz w:val="24"/>
            <w:lang w:val="fi-FI"/>
          </w:rPr>
          <w:t>http://data.europa.eu/eli/reg/2021/696/oj</w:t>
        </w:r>
      </w:hyperlink>
      <w:r w:rsidRPr="00822C8C">
        <w:rPr>
          <w:sz w:val="24"/>
          <w:lang w:val="fi-FI"/>
        </w:rPr>
        <w:t>.</w:t>
      </w:r>
    </w:p>
  </w:footnote>
  <w:footnote w:id="374">
    <w:p w14:paraId="64F14920" w14:textId="77777777" w:rsidR="005375B7" w:rsidRPr="003A3115" w:rsidRDefault="005375B7" w:rsidP="005375B7">
      <w:pPr>
        <w:pStyle w:val="FootnoteText"/>
        <w:ind w:left="567" w:hanging="567"/>
        <w:rPr>
          <w:sz w:val="24"/>
          <w:lang w:val="fi-FI"/>
        </w:rPr>
      </w:pPr>
      <w:r w:rsidRPr="003A3115">
        <w:rPr>
          <w:rStyle w:val="FootnoteReference"/>
          <w:sz w:val="24"/>
        </w:rPr>
        <w:footnoteRef/>
      </w:r>
      <w:r w:rsidRPr="003A3115">
        <w:rPr>
          <w:sz w:val="24"/>
          <w:lang w:val="fi-FI"/>
        </w:rPr>
        <w:t xml:space="preserve"> </w:t>
      </w:r>
      <w:r w:rsidRPr="00822C8C">
        <w:rPr>
          <w:sz w:val="24"/>
          <w:lang w:val="fi-FI"/>
        </w:rPr>
        <w:tab/>
        <w:t xml:space="preserve">EUT L 122, 10.5.2019, s. 1, ELI: </w:t>
      </w:r>
      <w:hyperlink r:id="rId374" w:history="1">
        <w:r w:rsidRPr="00822C8C">
          <w:rPr>
            <w:rStyle w:val="Hyperlink1"/>
            <w:sz w:val="24"/>
            <w:lang w:val="fi-FI"/>
          </w:rPr>
          <w:t>http://data.europa.eu/eli/reg_del/2019/715/oj</w:t>
        </w:r>
      </w:hyperlink>
      <w:r w:rsidRPr="00822C8C">
        <w:rPr>
          <w:sz w:val="24"/>
          <w:lang w:val="fi-FI"/>
        </w:rPr>
        <w:t>.</w:t>
      </w:r>
    </w:p>
  </w:footnote>
  <w:footnote w:id="375">
    <w:p w14:paraId="178F3242" w14:textId="77777777" w:rsidR="005375B7" w:rsidRPr="00445F18" w:rsidRDefault="005375B7" w:rsidP="005375B7">
      <w:pPr>
        <w:pStyle w:val="FootnoteText"/>
        <w:ind w:left="567" w:hanging="567"/>
        <w:rPr>
          <w:sz w:val="24"/>
          <w:lang w:val="fi-FI"/>
        </w:rPr>
      </w:pPr>
      <w:r w:rsidRPr="00445F18">
        <w:rPr>
          <w:rStyle w:val="FootnoteReference"/>
          <w:sz w:val="24"/>
        </w:rPr>
        <w:footnoteRef/>
      </w:r>
      <w:r w:rsidRPr="00445F18">
        <w:rPr>
          <w:sz w:val="24"/>
          <w:lang w:val="fi-FI"/>
        </w:rPr>
        <w:t xml:space="preserve"> </w:t>
      </w:r>
      <w:r w:rsidRPr="00822C8C">
        <w:rPr>
          <w:sz w:val="24"/>
          <w:lang w:val="fi-FI"/>
        </w:rPr>
        <w:tab/>
        <w:t xml:space="preserve">EUT C, C/2024/6332, 24.10.2024, ELI: </w:t>
      </w:r>
      <w:hyperlink r:id="rId375" w:history="1">
        <w:r w:rsidRPr="00822C8C">
          <w:rPr>
            <w:rStyle w:val="Hyperlink1"/>
            <w:sz w:val="24"/>
            <w:lang w:val="fi-FI"/>
          </w:rPr>
          <w:t>http://data.europa.eu/eli/C/2024/6332/oj</w:t>
        </w:r>
      </w:hyperlink>
      <w:r w:rsidRPr="00822C8C">
        <w:rPr>
          <w:sz w:val="24"/>
          <w:lang w:val="fi-FI"/>
        </w:rPr>
        <w:t>.</w:t>
      </w:r>
    </w:p>
  </w:footnote>
  <w:footnote w:id="376">
    <w:p w14:paraId="6B87DB73" w14:textId="77777777" w:rsidR="005375B7" w:rsidRPr="00445F18" w:rsidRDefault="005375B7" w:rsidP="005375B7">
      <w:pPr>
        <w:pStyle w:val="FootnoteText"/>
        <w:ind w:left="567" w:hanging="567"/>
        <w:rPr>
          <w:sz w:val="24"/>
          <w:lang w:val="fi-FI"/>
        </w:rPr>
      </w:pPr>
      <w:r w:rsidRPr="00445F18">
        <w:rPr>
          <w:rStyle w:val="FootnoteReference"/>
          <w:sz w:val="24"/>
        </w:rPr>
        <w:footnoteRef/>
      </w:r>
      <w:r w:rsidRPr="00445F18">
        <w:rPr>
          <w:sz w:val="24"/>
          <w:lang w:val="fi-FI"/>
        </w:rPr>
        <w:t xml:space="preserve"> </w:t>
      </w:r>
      <w:r w:rsidRPr="00822C8C">
        <w:rPr>
          <w:sz w:val="24"/>
          <w:lang w:val="fi-FI"/>
        </w:rPr>
        <w:tab/>
        <w:t xml:space="preserve">EUT C, C/2024/6041, 10.10.2024, ELI: </w:t>
      </w:r>
      <w:hyperlink r:id="rId376" w:history="1">
        <w:r w:rsidRPr="00822C8C">
          <w:rPr>
            <w:rStyle w:val="Hyperlink1"/>
            <w:sz w:val="24"/>
            <w:lang w:val="fi-FI"/>
          </w:rPr>
          <w:t>http://data.europa.eu/eli/C/2024/6041/oj</w:t>
        </w:r>
      </w:hyperlink>
      <w:r w:rsidRPr="00822C8C">
        <w:rPr>
          <w:sz w:val="24"/>
          <w:lang w:val="fi-FI"/>
        </w:rPr>
        <w:t>.</w:t>
      </w:r>
    </w:p>
  </w:footnote>
  <w:footnote w:id="377">
    <w:p w14:paraId="55FAC3EF" w14:textId="77777777" w:rsidR="005375B7" w:rsidRPr="00445F18" w:rsidRDefault="005375B7" w:rsidP="005375B7">
      <w:pPr>
        <w:pStyle w:val="FootnoteText"/>
        <w:ind w:left="567" w:hanging="567"/>
        <w:rPr>
          <w:sz w:val="24"/>
          <w:lang w:val="fi-FI"/>
        </w:rPr>
      </w:pPr>
      <w:r w:rsidRPr="00445F18">
        <w:rPr>
          <w:rStyle w:val="FootnoteReference"/>
          <w:sz w:val="24"/>
        </w:rPr>
        <w:footnoteRef/>
      </w:r>
      <w:r w:rsidRPr="00445F18">
        <w:rPr>
          <w:sz w:val="24"/>
          <w:lang w:val="fi-FI"/>
        </w:rPr>
        <w:t xml:space="preserve"> </w:t>
      </w:r>
      <w:r w:rsidRPr="00822C8C">
        <w:rPr>
          <w:sz w:val="24"/>
          <w:lang w:val="fi-FI"/>
        </w:rPr>
        <w:tab/>
        <w:t xml:space="preserve">EUT L 193, 30.7.2018, s. 1, ELI: </w:t>
      </w:r>
      <w:hyperlink r:id="rId377" w:history="1">
        <w:r w:rsidRPr="00822C8C">
          <w:rPr>
            <w:rStyle w:val="Hyperlink1"/>
            <w:sz w:val="24"/>
            <w:lang w:val="fi-FI"/>
          </w:rPr>
          <w:t>http://data.europa.eu/eli/reg/2018/1046/oj</w:t>
        </w:r>
      </w:hyperlink>
      <w:r w:rsidRPr="00822C8C">
        <w:rPr>
          <w:sz w:val="24"/>
          <w:lang w:val="fi-FI"/>
        </w:rPr>
        <w:t>.</w:t>
      </w:r>
    </w:p>
  </w:footnote>
  <w:footnote w:id="378">
    <w:p w14:paraId="103B9D17" w14:textId="77777777" w:rsidR="005375B7" w:rsidRPr="00445F18" w:rsidRDefault="005375B7" w:rsidP="005375B7">
      <w:pPr>
        <w:pStyle w:val="FootnoteText"/>
        <w:ind w:left="567" w:hanging="567"/>
        <w:rPr>
          <w:sz w:val="24"/>
          <w:lang w:val="fi-FI"/>
        </w:rPr>
      </w:pPr>
      <w:r w:rsidRPr="00445F18">
        <w:rPr>
          <w:rStyle w:val="FootnoteReference"/>
          <w:sz w:val="24"/>
        </w:rPr>
        <w:footnoteRef/>
      </w:r>
      <w:r w:rsidRPr="00445F18">
        <w:rPr>
          <w:sz w:val="24"/>
          <w:lang w:val="fi-FI"/>
        </w:rPr>
        <w:t xml:space="preserve"> </w:t>
      </w:r>
      <w:r w:rsidRPr="00822C8C">
        <w:rPr>
          <w:sz w:val="24"/>
          <w:lang w:val="fi-FI"/>
        </w:rPr>
        <w:tab/>
        <w:t xml:space="preserve">EUT L, 2024/2509, 26.9.2024, ELI: </w:t>
      </w:r>
      <w:hyperlink r:id="rId378" w:history="1">
        <w:r w:rsidRPr="00822C8C">
          <w:rPr>
            <w:rStyle w:val="Hyperlink1"/>
            <w:sz w:val="24"/>
            <w:lang w:val="fi-FI"/>
          </w:rPr>
          <w:t>http://data.europa.eu/eli/reg/2024/2509/oj</w:t>
        </w:r>
      </w:hyperlink>
      <w:r w:rsidRPr="00822C8C">
        <w:rPr>
          <w:rStyle w:val="Hyperlink1"/>
          <w:sz w:val="24"/>
          <w:lang w:val="fi-FI"/>
        </w:rPr>
        <w:t>.</w:t>
      </w:r>
    </w:p>
  </w:footnote>
  <w:footnote w:id="379">
    <w:p w14:paraId="5A063918" w14:textId="77777777" w:rsidR="005375B7" w:rsidRPr="00445F18" w:rsidRDefault="005375B7" w:rsidP="005375B7">
      <w:pPr>
        <w:pStyle w:val="FootnoteText"/>
        <w:ind w:left="567" w:hanging="567"/>
        <w:rPr>
          <w:sz w:val="24"/>
          <w:lang w:val="fi-FI"/>
        </w:rPr>
      </w:pPr>
      <w:r w:rsidRPr="00445F18">
        <w:rPr>
          <w:rStyle w:val="FootnoteReference"/>
          <w:sz w:val="24"/>
        </w:rPr>
        <w:footnoteRef/>
      </w:r>
      <w:r w:rsidRPr="00445F18">
        <w:rPr>
          <w:sz w:val="24"/>
          <w:lang w:val="fi-FI"/>
        </w:rPr>
        <w:t xml:space="preserve"> </w:t>
      </w:r>
      <w:r w:rsidRPr="00822C8C">
        <w:rPr>
          <w:sz w:val="24"/>
          <w:lang w:val="fi-FI"/>
        </w:rPr>
        <w:tab/>
        <w:t xml:space="preserve">EUT L 53, 22.2.2007, s. 1, ELI: </w:t>
      </w:r>
      <w:hyperlink r:id="rId379" w:history="1">
        <w:r w:rsidRPr="00822C8C">
          <w:rPr>
            <w:rStyle w:val="Hyperlink1"/>
            <w:sz w:val="24"/>
            <w:lang w:val="fi-FI"/>
          </w:rPr>
          <w:t>http://data.europa.eu/eli/reg/2007/168/oj</w:t>
        </w:r>
      </w:hyperlink>
      <w:r w:rsidRPr="00822C8C">
        <w:rPr>
          <w:sz w:val="24"/>
          <w:lang w:val="fi-FI"/>
        </w:rPr>
        <w:t>.</w:t>
      </w:r>
    </w:p>
  </w:footnote>
  <w:footnote w:id="380">
    <w:p w14:paraId="3BC94155" w14:textId="77777777" w:rsidR="005375B7" w:rsidRPr="00445F18" w:rsidRDefault="005375B7" w:rsidP="005375B7">
      <w:pPr>
        <w:pStyle w:val="FootnoteText"/>
        <w:ind w:left="567" w:hanging="567"/>
        <w:rPr>
          <w:sz w:val="24"/>
          <w:lang w:val="fi-FI"/>
        </w:rPr>
      </w:pPr>
      <w:r w:rsidRPr="00445F18">
        <w:rPr>
          <w:rStyle w:val="FootnoteReference"/>
          <w:sz w:val="24"/>
        </w:rPr>
        <w:footnoteRef/>
      </w:r>
      <w:r w:rsidRPr="00445F18">
        <w:rPr>
          <w:sz w:val="24"/>
          <w:lang w:val="fi-FI"/>
        </w:rPr>
        <w:t xml:space="preserve"> </w:t>
      </w:r>
      <w:r w:rsidRPr="00822C8C">
        <w:rPr>
          <w:sz w:val="24"/>
          <w:lang w:val="fi-FI"/>
        </w:rPr>
        <w:tab/>
        <w:t xml:space="preserve">EUT L 122, 10.5.2019, s. 1, ELI: </w:t>
      </w:r>
      <w:hyperlink r:id="rId380" w:history="1">
        <w:r w:rsidRPr="00822C8C">
          <w:rPr>
            <w:rStyle w:val="Hyperlink1"/>
            <w:sz w:val="24"/>
            <w:lang w:val="fi-FI"/>
          </w:rPr>
          <w:t>http://data.europa.eu/eli/reg_del/2019/715/oj</w:t>
        </w:r>
      </w:hyperlink>
      <w:r w:rsidRPr="00822C8C">
        <w:rPr>
          <w:sz w:val="24"/>
          <w:lang w:val="fi-FI"/>
        </w:rPr>
        <w:t>.</w:t>
      </w:r>
    </w:p>
  </w:footnote>
  <w:footnote w:id="381">
    <w:p w14:paraId="32DC3E22" w14:textId="77777777" w:rsidR="005375B7" w:rsidRPr="0092577E" w:rsidRDefault="005375B7" w:rsidP="005375B7">
      <w:pPr>
        <w:pStyle w:val="FootnoteText"/>
        <w:ind w:left="567" w:hanging="567"/>
        <w:rPr>
          <w:sz w:val="24"/>
          <w:lang w:val="fi-FI"/>
        </w:rPr>
      </w:pPr>
      <w:r w:rsidRPr="0092577E">
        <w:rPr>
          <w:rStyle w:val="FootnoteReference"/>
          <w:sz w:val="24"/>
        </w:rPr>
        <w:footnoteRef/>
      </w:r>
      <w:r w:rsidRPr="0092577E">
        <w:rPr>
          <w:sz w:val="24"/>
          <w:lang w:val="fi-FI"/>
        </w:rPr>
        <w:t xml:space="preserve"> </w:t>
      </w:r>
      <w:r w:rsidRPr="00822C8C">
        <w:rPr>
          <w:sz w:val="24"/>
          <w:lang w:val="fi-FI"/>
        </w:rPr>
        <w:tab/>
        <w:t xml:space="preserve">EUT C, C/2024/6332, 24.10.2024, ELI: </w:t>
      </w:r>
      <w:hyperlink r:id="rId381" w:history="1">
        <w:r w:rsidRPr="00822C8C">
          <w:rPr>
            <w:rStyle w:val="Hyperlink1"/>
            <w:sz w:val="24"/>
            <w:lang w:val="fi-FI"/>
          </w:rPr>
          <w:t>http://data.europa.eu/eli/C/2024/6332/oj</w:t>
        </w:r>
      </w:hyperlink>
      <w:r w:rsidRPr="00822C8C">
        <w:rPr>
          <w:sz w:val="24"/>
          <w:lang w:val="fi-FI"/>
        </w:rPr>
        <w:t>.</w:t>
      </w:r>
    </w:p>
  </w:footnote>
  <w:footnote w:id="382">
    <w:p w14:paraId="4648798A" w14:textId="77777777" w:rsidR="005375B7" w:rsidRPr="0092577E" w:rsidRDefault="005375B7" w:rsidP="005375B7">
      <w:pPr>
        <w:pStyle w:val="FootnoteText"/>
        <w:ind w:left="567" w:hanging="567"/>
        <w:rPr>
          <w:sz w:val="24"/>
          <w:lang w:val="fi-FI"/>
        </w:rPr>
      </w:pPr>
      <w:r w:rsidRPr="0092577E">
        <w:rPr>
          <w:rStyle w:val="FootnoteReference"/>
          <w:sz w:val="24"/>
        </w:rPr>
        <w:footnoteRef/>
      </w:r>
      <w:r w:rsidRPr="0092577E">
        <w:rPr>
          <w:sz w:val="24"/>
          <w:lang w:val="fi-FI"/>
        </w:rPr>
        <w:t xml:space="preserve"> </w:t>
      </w:r>
      <w:r w:rsidRPr="00822C8C">
        <w:rPr>
          <w:sz w:val="24"/>
          <w:lang w:val="fi-FI"/>
        </w:rPr>
        <w:tab/>
        <w:t xml:space="preserve">EUT C, C/2024/6041, 10.10.2024, ELI: </w:t>
      </w:r>
      <w:hyperlink r:id="rId382" w:history="1">
        <w:r w:rsidRPr="00822C8C">
          <w:rPr>
            <w:rStyle w:val="Hyperlink1"/>
            <w:sz w:val="24"/>
            <w:lang w:val="fi-FI"/>
          </w:rPr>
          <w:t>http://data.europa.eu/eli/C/2024/6041/oj</w:t>
        </w:r>
      </w:hyperlink>
      <w:r w:rsidRPr="00822C8C">
        <w:rPr>
          <w:sz w:val="24"/>
          <w:lang w:val="fi-FI"/>
        </w:rPr>
        <w:t>.</w:t>
      </w:r>
    </w:p>
  </w:footnote>
  <w:footnote w:id="383">
    <w:p w14:paraId="656B7F25" w14:textId="77777777" w:rsidR="005375B7" w:rsidRPr="0092577E" w:rsidRDefault="005375B7" w:rsidP="005375B7">
      <w:pPr>
        <w:pStyle w:val="FootnoteText"/>
        <w:ind w:left="567" w:hanging="567"/>
        <w:rPr>
          <w:sz w:val="24"/>
          <w:lang w:val="fi-FI"/>
        </w:rPr>
      </w:pPr>
      <w:r w:rsidRPr="0092577E">
        <w:rPr>
          <w:rStyle w:val="FootnoteReference"/>
          <w:sz w:val="24"/>
        </w:rPr>
        <w:footnoteRef/>
      </w:r>
      <w:r w:rsidRPr="0092577E">
        <w:rPr>
          <w:sz w:val="24"/>
          <w:lang w:val="fi-FI"/>
        </w:rPr>
        <w:t xml:space="preserve"> </w:t>
      </w:r>
      <w:r w:rsidRPr="00822C8C">
        <w:rPr>
          <w:sz w:val="24"/>
          <w:lang w:val="fi-FI"/>
        </w:rPr>
        <w:tab/>
        <w:t xml:space="preserve">EUT L 193, 30.7.2018, s. 1, ELI: </w:t>
      </w:r>
      <w:hyperlink r:id="rId383" w:history="1">
        <w:r w:rsidRPr="00822C8C">
          <w:rPr>
            <w:rStyle w:val="Hyperlink1"/>
            <w:sz w:val="24"/>
            <w:lang w:val="fi-FI"/>
          </w:rPr>
          <w:t>http://data.europa.eu/eli/reg/2018/1046/oj</w:t>
        </w:r>
      </w:hyperlink>
      <w:r w:rsidRPr="00822C8C">
        <w:rPr>
          <w:sz w:val="24"/>
          <w:lang w:val="fi-FI"/>
        </w:rPr>
        <w:t>.</w:t>
      </w:r>
    </w:p>
  </w:footnote>
  <w:footnote w:id="384">
    <w:p w14:paraId="67F98A60" w14:textId="77777777" w:rsidR="005375B7" w:rsidRPr="0092577E" w:rsidRDefault="005375B7" w:rsidP="005375B7">
      <w:pPr>
        <w:pStyle w:val="FootnoteText"/>
        <w:ind w:left="567" w:hanging="567"/>
        <w:rPr>
          <w:sz w:val="24"/>
          <w:lang w:val="fi-FI"/>
        </w:rPr>
      </w:pPr>
      <w:r w:rsidRPr="0092577E">
        <w:rPr>
          <w:rStyle w:val="FootnoteReference"/>
          <w:sz w:val="24"/>
        </w:rPr>
        <w:footnoteRef/>
      </w:r>
      <w:r w:rsidRPr="0092577E">
        <w:rPr>
          <w:sz w:val="24"/>
          <w:lang w:val="fi-FI"/>
        </w:rPr>
        <w:t xml:space="preserve"> </w:t>
      </w:r>
      <w:r w:rsidRPr="00822C8C">
        <w:rPr>
          <w:sz w:val="24"/>
          <w:lang w:val="fi-FI"/>
        </w:rPr>
        <w:tab/>
        <w:t xml:space="preserve">EUT L, 2024/2509, 26.9.2024, ELI: </w:t>
      </w:r>
      <w:hyperlink r:id="rId384" w:history="1">
        <w:r w:rsidRPr="00822C8C">
          <w:rPr>
            <w:rStyle w:val="Hyperlink1"/>
            <w:sz w:val="24"/>
            <w:lang w:val="fi-FI"/>
          </w:rPr>
          <w:t>http://data.europa.eu/eli/reg/2024/2509/oj</w:t>
        </w:r>
      </w:hyperlink>
      <w:r w:rsidRPr="00822C8C">
        <w:rPr>
          <w:rStyle w:val="Hyperlink1"/>
          <w:sz w:val="24"/>
          <w:lang w:val="fi-FI"/>
        </w:rPr>
        <w:t>.</w:t>
      </w:r>
    </w:p>
  </w:footnote>
  <w:footnote w:id="385">
    <w:p w14:paraId="6B3E8034" w14:textId="77777777" w:rsidR="005375B7" w:rsidRPr="0092577E" w:rsidRDefault="005375B7" w:rsidP="005375B7">
      <w:pPr>
        <w:pStyle w:val="FootnoteText"/>
        <w:ind w:left="567" w:hanging="567"/>
        <w:rPr>
          <w:sz w:val="24"/>
          <w:lang w:val="fi-FI"/>
        </w:rPr>
      </w:pPr>
      <w:r w:rsidRPr="0092577E">
        <w:rPr>
          <w:rStyle w:val="FootnoteReference"/>
          <w:sz w:val="24"/>
        </w:rPr>
        <w:footnoteRef/>
      </w:r>
      <w:r w:rsidRPr="0092577E">
        <w:rPr>
          <w:sz w:val="24"/>
          <w:lang w:val="fi-FI"/>
        </w:rPr>
        <w:t xml:space="preserve"> </w:t>
      </w:r>
      <w:r w:rsidRPr="00822C8C">
        <w:rPr>
          <w:sz w:val="24"/>
          <w:lang w:val="fi-FI"/>
        </w:rPr>
        <w:tab/>
        <w:t xml:space="preserve">EUT L 53, 22.2.2007, s. 1, ELI: </w:t>
      </w:r>
      <w:hyperlink r:id="rId385" w:history="1">
        <w:r w:rsidRPr="00822C8C">
          <w:rPr>
            <w:rStyle w:val="Hyperlink1"/>
            <w:sz w:val="24"/>
            <w:lang w:val="fi-FI"/>
          </w:rPr>
          <w:t>http://data.europa.eu/eli/reg/2007/168/oj</w:t>
        </w:r>
      </w:hyperlink>
      <w:r w:rsidRPr="00822C8C">
        <w:rPr>
          <w:sz w:val="24"/>
          <w:lang w:val="fi-FI"/>
        </w:rPr>
        <w:t>.</w:t>
      </w:r>
    </w:p>
  </w:footnote>
  <w:footnote w:id="386">
    <w:p w14:paraId="57C94A58" w14:textId="77777777" w:rsidR="005375B7" w:rsidRPr="0092577E" w:rsidRDefault="005375B7" w:rsidP="005375B7">
      <w:pPr>
        <w:pStyle w:val="FootnoteText"/>
        <w:ind w:left="567" w:hanging="567"/>
        <w:rPr>
          <w:sz w:val="24"/>
          <w:lang w:val="fi-FI"/>
        </w:rPr>
      </w:pPr>
      <w:r w:rsidRPr="0092577E">
        <w:rPr>
          <w:rStyle w:val="FootnoteReference"/>
          <w:sz w:val="24"/>
        </w:rPr>
        <w:footnoteRef/>
      </w:r>
      <w:r w:rsidRPr="0092577E">
        <w:rPr>
          <w:sz w:val="24"/>
          <w:lang w:val="fi-FI"/>
        </w:rPr>
        <w:t xml:space="preserve"> </w:t>
      </w:r>
      <w:r w:rsidRPr="00822C8C">
        <w:rPr>
          <w:sz w:val="24"/>
          <w:lang w:val="fi-FI"/>
        </w:rPr>
        <w:tab/>
        <w:t xml:space="preserve">EUT L 122, 10.5.2019, s. 1, ELI: </w:t>
      </w:r>
      <w:hyperlink r:id="rId386" w:history="1">
        <w:r w:rsidRPr="00822C8C">
          <w:rPr>
            <w:rStyle w:val="Hyperlink1"/>
            <w:sz w:val="24"/>
            <w:lang w:val="fi-FI"/>
          </w:rPr>
          <w:t>http://data.europa.eu/eli/reg_del/2019/715/oj</w:t>
        </w:r>
      </w:hyperlink>
      <w:r w:rsidRPr="00822C8C">
        <w:rPr>
          <w:sz w:val="24"/>
          <w:lang w:val="fi-FI"/>
        </w:rPr>
        <w:t>.</w:t>
      </w:r>
    </w:p>
  </w:footnote>
  <w:footnote w:id="387">
    <w:p w14:paraId="6035EAC2" w14:textId="77777777" w:rsidR="005375B7" w:rsidRPr="0009398B" w:rsidRDefault="005375B7" w:rsidP="005375B7">
      <w:pPr>
        <w:pStyle w:val="FootnoteText"/>
        <w:ind w:left="567" w:hanging="567"/>
        <w:rPr>
          <w:sz w:val="24"/>
          <w:lang w:val="fi-FI"/>
        </w:rPr>
      </w:pPr>
      <w:r w:rsidRPr="0009398B">
        <w:rPr>
          <w:rStyle w:val="FootnoteReference"/>
          <w:sz w:val="24"/>
        </w:rPr>
        <w:footnoteRef/>
      </w:r>
      <w:r w:rsidRPr="0009398B">
        <w:rPr>
          <w:sz w:val="24"/>
          <w:lang w:val="fi-FI"/>
        </w:rPr>
        <w:t xml:space="preserve"> </w:t>
      </w:r>
      <w:r w:rsidRPr="00822C8C">
        <w:rPr>
          <w:sz w:val="24"/>
          <w:lang w:val="fi-FI"/>
        </w:rPr>
        <w:tab/>
        <w:t xml:space="preserve">EUT C, C/2024/6332, 24.10.2024, ELI: </w:t>
      </w:r>
      <w:hyperlink r:id="rId387" w:history="1">
        <w:r w:rsidRPr="00822C8C">
          <w:rPr>
            <w:rStyle w:val="Hyperlink1"/>
            <w:sz w:val="24"/>
            <w:lang w:val="fi-FI"/>
          </w:rPr>
          <w:t>http://data.europa.eu/eli/C/2024/6332/oj</w:t>
        </w:r>
      </w:hyperlink>
      <w:r w:rsidRPr="00822C8C">
        <w:rPr>
          <w:sz w:val="24"/>
          <w:lang w:val="fi-FI"/>
        </w:rPr>
        <w:t>.</w:t>
      </w:r>
    </w:p>
  </w:footnote>
  <w:footnote w:id="388">
    <w:p w14:paraId="0F7BF7AF" w14:textId="77777777" w:rsidR="005375B7" w:rsidRPr="0009398B" w:rsidRDefault="005375B7" w:rsidP="005375B7">
      <w:pPr>
        <w:pStyle w:val="FootnoteText"/>
        <w:ind w:left="567" w:hanging="567"/>
        <w:rPr>
          <w:sz w:val="24"/>
          <w:lang w:val="fi-FI"/>
        </w:rPr>
      </w:pPr>
      <w:r w:rsidRPr="0009398B">
        <w:rPr>
          <w:rStyle w:val="FootnoteReference"/>
          <w:sz w:val="24"/>
        </w:rPr>
        <w:footnoteRef/>
      </w:r>
      <w:r w:rsidRPr="0009398B">
        <w:rPr>
          <w:sz w:val="24"/>
          <w:lang w:val="fi-FI"/>
        </w:rPr>
        <w:t xml:space="preserve"> </w:t>
      </w:r>
      <w:r w:rsidRPr="00822C8C">
        <w:rPr>
          <w:sz w:val="24"/>
          <w:lang w:val="fi-FI"/>
        </w:rPr>
        <w:tab/>
        <w:t xml:space="preserve">EUT C, C/2024/6041, 10.10.2024, ELI: </w:t>
      </w:r>
      <w:hyperlink r:id="rId388" w:history="1">
        <w:r w:rsidRPr="00822C8C">
          <w:rPr>
            <w:rStyle w:val="Hyperlink1"/>
            <w:sz w:val="24"/>
            <w:lang w:val="fi-FI"/>
          </w:rPr>
          <w:t>http://data.europa.eu/eli/C/2024/6041/oj</w:t>
        </w:r>
      </w:hyperlink>
      <w:r w:rsidRPr="00822C8C">
        <w:rPr>
          <w:sz w:val="24"/>
          <w:lang w:val="fi-FI"/>
        </w:rPr>
        <w:t>.</w:t>
      </w:r>
    </w:p>
  </w:footnote>
  <w:footnote w:id="389">
    <w:p w14:paraId="21D9BAEF" w14:textId="77777777" w:rsidR="005375B7" w:rsidRPr="0009398B" w:rsidRDefault="005375B7" w:rsidP="005375B7">
      <w:pPr>
        <w:pStyle w:val="FootnoteText"/>
        <w:ind w:left="567" w:hanging="567"/>
        <w:rPr>
          <w:sz w:val="24"/>
          <w:lang w:val="fi-FI"/>
        </w:rPr>
      </w:pPr>
      <w:r w:rsidRPr="0009398B">
        <w:rPr>
          <w:rStyle w:val="FootnoteReference"/>
          <w:sz w:val="24"/>
        </w:rPr>
        <w:footnoteRef/>
      </w:r>
      <w:r w:rsidRPr="0009398B">
        <w:rPr>
          <w:sz w:val="24"/>
          <w:lang w:val="fi-FI"/>
        </w:rPr>
        <w:t xml:space="preserve"> </w:t>
      </w:r>
      <w:r w:rsidRPr="00822C8C">
        <w:rPr>
          <w:sz w:val="24"/>
          <w:lang w:val="fi-FI"/>
        </w:rPr>
        <w:tab/>
        <w:t xml:space="preserve">EUT L 193, 30.7.2018, s. 1, ELI: </w:t>
      </w:r>
      <w:hyperlink r:id="rId389" w:history="1">
        <w:r w:rsidRPr="00822C8C">
          <w:rPr>
            <w:rStyle w:val="Hyperlink1"/>
            <w:sz w:val="24"/>
            <w:lang w:val="fi-FI"/>
          </w:rPr>
          <w:t>http://data.europa.eu/eli/reg/2018/1046/oj</w:t>
        </w:r>
      </w:hyperlink>
      <w:r w:rsidRPr="00822C8C">
        <w:rPr>
          <w:sz w:val="24"/>
          <w:lang w:val="fi-FI"/>
        </w:rPr>
        <w:t>.</w:t>
      </w:r>
    </w:p>
  </w:footnote>
  <w:footnote w:id="390">
    <w:p w14:paraId="38E52BCE" w14:textId="77777777" w:rsidR="005375B7" w:rsidRPr="0009398B" w:rsidRDefault="005375B7" w:rsidP="005375B7">
      <w:pPr>
        <w:pStyle w:val="FootnoteText"/>
        <w:ind w:left="567" w:hanging="567"/>
        <w:rPr>
          <w:sz w:val="24"/>
          <w:lang w:val="fi-FI"/>
        </w:rPr>
      </w:pPr>
      <w:r w:rsidRPr="0009398B">
        <w:rPr>
          <w:rStyle w:val="FootnoteReference"/>
          <w:sz w:val="24"/>
        </w:rPr>
        <w:footnoteRef/>
      </w:r>
      <w:r w:rsidRPr="0009398B">
        <w:rPr>
          <w:sz w:val="24"/>
          <w:lang w:val="fi-FI"/>
        </w:rPr>
        <w:t xml:space="preserve"> </w:t>
      </w:r>
      <w:r w:rsidRPr="00822C8C">
        <w:rPr>
          <w:sz w:val="24"/>
          <w:lang w:val="fi-FI"/>
        </w:rPr>
        <w:tab/>
        <w:t xml:space="preserve">EUT L, 2024/2509, 26.9.2024, ELI: </w:t>
      </w:r>
      <w:hyperlink r:id="rId390" w:history="1">
        <w:r w:rsidRPr="00822C8C">
          <w:rPr>
            <w:rStyle w:val="Hyperlink1"/>
            <w:sz w:val="24"/>
            <w:lang w:val="fi-FI"/>
          </w:rPr>
          <w:t>http://data.europa.eu/eli/reg/2024/2509/oj</w:t>
        </w:r>
      </w:hyperlink>
      <w:r w:rsidRPr="00822C8C">
        <w:rPr>
          <w:rStyle w:val="Hyperlink1"/>
          <w:sz w:val="24"/>
          <w:lang w:val="fi-FI"/>
        </w:rPr>
        <w:t>.</w:t>
      </w:r>
    </w:p>
  </w:footnote>
  <w:footnote w:id="391">
    <w:p w14:paraId="4ACE5487" w14:textId="77777777" w:rsidR="005375B7" w:rsidRPr="0009398B" w:rsidRDefault="005375B7" w:rsidP="005375B7">
      <w:pPr>
        <w:pStyle w:val="FootnoteText"/>
        <w:ind w:left="567" w:hanging="567"/>
        <w:rPr>
          <w:sz w:val="24"/>
          <w:lang w:val="fi-FI"/>
        </w:rPr>
      </w:pPr>
      <w:r w:rsidRPr="0009398B">
        <w:rPr>
          <w:rStyle w:val="FootnoteReference"/>
          <w:sz w:val="24"/>
        </w:rPr>
        <w:footnoteRef/>
      </w:r>
      <w:r w:rsidRPr="0009398B">
        <w:rPr>
          <w:sz w:val="24"/>
          <w:lang w:val="fi-FI"/>
        </w:rPr>
        <w:t xml:space="preserve"> </w:t>
      </w:r>
      <w:r w:rsidRPr="00822C8C">
        <w:rPr>
          <w:sz w:val="24"/>
          <w:lang w:val="fi-FI"/>
        </w:rPr>
        <w:tab/>
        <w:t xml:space="preserve">EUT L 295, 14.11.2019, s. 1, ELI: </w:t>
      </w:r>
      <w:hyperlink r:id="rId391" w:history="1">
        <w:r w:rsidRPr="00822C8C">
          <w:rPr>
            <w:rStyle w:val="Hyperlink1"/>
            <w:sz w:val="24"/>
            <w:lang w:val="fi-FI"/>
          </w:rPr>
          <w:t>http://data.europa.eu/eli/reg/2019/1896/oj</w:t>
        </w:r>
      </w:hyperlink>
      <w:r w:rsidRPr="00822C8C">
        <w:rPr>
          <w:sz w:val="24"/>
          <w:lang w:val="fi-FI"/>
        </w:rPr>
        <w:t>.</w:t>
      </w:r>
    </w:p>
  </w:footnote>
  <w:footnote w:id="392">
    <w:p w14:paraId="688D9EF3" w14:textId="77777777" w:rsidR="005375B7" w:rsidRPr="0009398B" w:rsidRDefault="005375B7" w:rsidP="005375B7">
      <w:pPr>
        <w:pStyle w:val="FootnoteText"/>
        <w:ind w:left="567" w:hanging="567"/>
        <w:rPr>
          <w:sz w:val="24"/>
          <w:lang w:val="fi-FI"/>
        </w:rPr>
      </w:pPr>
      <w:r w:rsidRPr="0009398B">
        <w:rPr>
          <w:rStyle w:val="FootnoteReference"/>
          <w:sz w:val="24"/>
        </w:rPr>
        <w:footnoteRef/>
      </w:r>
      <w:r w:rsidRPr="0009398B">
        <w:rPr>
          <w:sz w:val="24"/>
          <w:lang w:val="fi-FI"/>
        </w:rPr>
        <w:t xml:space="preserve"> </w:t>
      </w:r>
      <w:r w:rsidRPr="00822C8C">
        <w:rPr>
          <w:sz w:val="24"/>
          <w:lang w:val="fi-FI"/>
        </w:rPr>
        <w:tab/>
        <w:t xml:space="preserve">EUT L 122, 10.5.2019, s. 1, ELI: </w:t>
      </w:r>
      <w:hyperlink r:id="rId392" w:history="1">
        <w:r w:rsidRPr="00822C8C">
          <w:rPr>
            <w:rStyle w:val="Hyperlink1"/>
            <w:sz w:val="24"/>
            <w:lang w:val="fi-FI"/>
          </w:rPr>
          <w:t>http://data.europa.eu/eli/reg_del/2019/715/oj</w:t>
        </w:r>
      </w:hyperlink>
      <w:r w:rsidRPr="00822C8C">
        <w:rPr>
          <w:sz w:val="24"/>
          <w:lang w:val="fi-FI"/>
        </w:rPr>
        <w:t>.</w:t>
      </w:r>
    </w:p>
  </w:footnote>
  <w:footnote w:id="393">
    <w:p w14:paraId="1C17BD4D" w14:textId="77777777" w:rsidR="005375B7" w:rsidRPr="00BA11CF" w:rsidRDefault="005375B7" w:rsidP="005375B7">
      <w:pPr>
        <w:pStyle w:val="FootnoteText"/>
        <w:ind w:left="567" w:hanging="567"/>
        <w:rPr>
          <w:sz w:val="24"/>
          <w:lang w:val="fi-FI"/>
        </w:rPr>
      </w:pPr>
      <w:r w:rsidRPr="00BA11CF">
        <w:rPr>
          <w:rStyle w:val="FootnoteReference"/>
          <w:sz w:val="24"/>
        </w:rPr>
        <w:footnoteRef/>
      </w:r>
      <w:r w:rsidRPr="00BA11CF">
        <w:rPr>
          <w:sz w:val="24"/>
          <w:lang w:val="fi-FI"/>
        </w:rPr>
        <w:t xml:space="preserve"> </w:t>
      </w:r>
      <w:r w:rsidRPr="00822C8C">
        <w:rPr>
          <w:sz w:val="24"/>
          <w:lang w:val="fi-FI"/>
        </w:rPr>
        <w:tab/>
        <w:t xml:space="preserve">EUT C, C/2024/6332, 24.10.2024, ELI: </w:t>
      </w:r>
      <w:hyperlink r:id="rId393" w:history="1">
        <w:r w:rsidRPr="00822C8C">
          <w:rPr>
            <w:rStyle w:val="Hyperlink1"/>
            <w:sz w:val="24"/>
            <w:lang w:val="fi-FI"/>
          </w:rPr>
          <w:t>http://data.europa.eu/eli/C/2024/6332/oj</w:t>
        </w:r>
      </w:hyperlink>
      <w:r w:rsidRPr="00822C8C">
        <w:rPr>
          <w:sz w:val="24"/>
          <w:lang w:val="fi-FI"/>
        </w:rPr>
        <w:t>.</w:t>
      </w:r>
    </w:p>
  </w:footnote>
  <w:footnote w:id="394">
    <w:p w14:paraId="55C5F176" w14:textId="77777777" w:rsidR="005375B7" w:rsidRPr="00BA11CF" w:rsidRDefault="005375B7" w:rsidP="005375B7">
      <w:pPr>
        <w:pStyle w:val="FootnoteText"/>
        <w:ind w:left="567" w:hanging="567"/>
        <w:rPr>
          <w:sz w:val="24"/>
          <w:lang w:val="fi-FI"/>
        </w:rPr>
      </w:pPr>
      <w:r w:rsidRPr="00BA11CF">
        <w:rPr>
          <w:rStyle w:val="FootnoteReference"/>
          <w:sz w:val="24"/>
        </w:rPr>
        <w:footnoteRef/>
      </w:r>
      <w:r w:rsidRPr="00BA11CF">
        <w:rPr>
          <w:sz w:val="24"/>
          <w:lang w:val="fi-FI"/>
        </w:rPr>
        <w:t xml:space="preserve"> </w:t>
      </w:r>
      <w:r w:rsidRPr="00822C8C">
        <w:rPr>
          <w:sz w:val="24"/>
          <w:lang w:val="fi-FI"/>
        </w:rPr>
        <w:tab/>
        <w:t xml:space="preserve">EUT C, C/2024/6041, 10.10.2024, ELI: </w:t>
      </w:r>
      <w:hyperlink r:id="rId394" w:history="1">
        <w:r w:rsidRPr="00822C8C">
          <w:rPr>
            <w:rStyle w:val="Hyperlink1"/>
            <w:sz w:val="24"/>
            <w:lang w:val="fi-FI"/>
          </w:rPr>
          <w:t>http://data.europa.eu/eli/C/2024/6041/oj</w:t>
        </w:r>
      </w:hyperlink>
      <w:r w:rsidRPr="00822C8C">
        <w:rPr>
          <w:sz w:val="24"/>
          <w:lang w:val="fi-FI"/>
        </w:rPr>
        <w:t>.</w:t>
      </w:r>
    </w:p>
  </w:footnote>
  <w:footnote w:id="395">
    <w:p w14:paraId="25CD2871" w14:textId="77777777" w:rsidR="005375B7" w:rsidRPr="00BA11CF" w:rsidRDefault="005375B7" w:rsidP="005375B7">
      <w:pPr>
        <w:pStyle w:val="FootnoteText"/>
        <w:ind w:left="567" w:hanging="567"/>
        <w:rPr>
          <w:sz w:val="24"/>
          <w:lang w:val="fi-FI"/>
        </w:rPr>
      </w:pPr>
      <w:r w:rsidRPr="00BA11CF">
        <w:rPr>
          <w:rStyle w:val="FootnoteReference"/>
          <w:sz w:val="24"/>
        </w:rPr>
        <w:footnoteRef/>
      </w:r>
      <w:r w:rsidRPr="00BA11CF">
        <w:rPr>
          <w:sz w:val="24"/>
          <w:lang w:val="fi-FI"/>
        </w:rPr>
        <w:t xml:space="preserve"> </w:t>
      </w:r>
      <w:r w:rsidRPr="00822C8C">
        <w:rPr>
          <w:sz w:val="24"/>
          <w:lang w:val="fi-FI"/>
        </w:rPr>
        <w:tab/>
        <w:t xml:space="preserve">EUT L 193, 30.7.2018, s. 1, ELI: </w:t>
      </w:r>
      <w:hyperlink r:id="rId395" w:history="1">
        <w:r w:rsidRPr="00822C8C">
          <w:rPr>
            <w:rStyle w:val="Hyperlink1"/>
            <w:sz w:val="24"/>
            <w:lang w:val="fi-FI"/>
          </w:rPr>
          <w:t>http://data.europa.eu/eli/reg/2018/1046/oj</w:t>
        </w:r>
      </w:hyperlink>
      <w:r w:rsidRPr="00822C8C">
        <w:rPr>
          <w:sz w:val="24"/>
          <w:lang w:val="fi-FI"/>
        </w:rPr>
        <w:t>.</w:t>
      </w:r>
    </w:p>
  </w:footnote>
  <w:footnote w:id="396">
    <w:p w14:paraId="4A953218" w14:textId="77777777" w:rsidR="005375B7" w:rsidRPr="00BA11CF" w:rsidRDefault="005375B7" w:rsidP="005375B7">
      <w:pPr>
        <w:pStyle w:val="FootnoteText"/>
        <w:ind w:left="567" w:hanging="567"/>
        <w:rPr>
          <w:sz w:val="24"/>
          <w:lang w:val="fi-FI"/>
        </w:rPr>
      </w:pPr>
      <w:r w:rsidRPr="00BA11CF">
        <w:rPr>
          <w:rStyle w:val="FootnoteReference"/>
          <w:sz w:val="24"/>
        </w:rPr>
        <w:footnoteRef/>
      </w:r>
      <w:r w:rsidRPr="00BA11CF">
        <w:rPr>
          <w:sz w:val="24"/>
          <w:lang w:val="fi-FI"/>
        </w:rPr>
        <w:t xml:space="preserve"> </w:t>
      </w:r>
      <w:r w:rsidRPr="00822C8C">
        <w:rPr>
          <w:sz w:val="24"/>
          <w:lang w:val="fi-FI"/>
        </w:rPr>
        <w:tab/>
        <w:t xml:space="preserve">EUT L, 2024/2509, 26.9.2024, ELI: </w:t>
      </w:r>
      <w:hyperlink r:id="rId396" w:history="1">
        <w:r w:rsidRPr="00822C8C">
          <w:rPr>
            <w:rStyle w:val="Hyperlink1"/>
            <w:sz w:val="24"/>
            <w:lang w:val="fi-FI"/>
          </w:rPr>
          <w:t>http://data.europa.eu/eli/reg/2024/2509/oj</w:t>
        </w:r>
      </w:hyperlink>
      <w:r w:rsidRPr="00822C8C">
        <w:rPr>
          <w:rStyle w:val="Hyperlink1"/>
          <w:sz w:val="24"/>
          <w:lang w:val="fi-FI"/>
        </w:rPr>
        <w:t>.</w:t>
      </w:r>
    </w:p>
  </w:footnote>
  <w:footnote w:id="397">
    <w:p w14:paraId="58AFA1A7" w14:textId="77777777" w:rsidR="005375B7" w:rsidRPr="00BA11CF" w:rsidRDefault="005375B7" w:rsidP="005375B7">
      <w:pPr>
        <w:pStyle w:val="FootnoteText"/>
        <w:ind w:left="567" w:hanging="567"/>
        <w:rPr>
          <w:sz w:val="24"/>
          <w:lang w:val="fi-FI"/>
        </w:rPr>
      </w:pPr>
      <w:r w:rsidRPr="00BA11CF">
        <w:rPr>
          <w:rStyle w:val="FootnoteReference"/>
          <w:sz w:val="24"/>
        </w:rPr>
        <w:footnoteRef/>
      </w:r>
      <w:r w:rsidRPr="00BA11CF">
        <w:rPr>
          <w:sz w:val="24"/>
          <w:lang w:val="fi-FI"/>
        </w:rPr>
        <w:t xml:space="preserve"> </w:t>
      </w:r>
      <w:r w:rsidRPr="00822C8C">
        <w:rPr>
          <w:sz w:val="24"/>
          <w:lang w:val="fi-FI"/>
        </w:rPr>
        <w:tab/>
        <w:t xml:space="preserve">EUT L 295, 14.11.2019, s. 1, ELI: </w:t>
      </w:r>
      <w:hyperlink r:id="rId397" w:history="1">
        <w:r w:rsidRPr="00822C8C">
          <w:rPr>
            <w:rStyle w:val="Hyperlink1"/>
            <w:sz w:val="24"/>
            <w:lang w:val="fi-FI"/>
          </w:rPr>
          <w:t>http://data.europa.eu/eli/reg/2019/1896/oj</w:t>
        </w:r>
      </w:hyperlink>
      <w:r w:rsidRPr="00822C8C">
        <w:rPr>
          <w:sz w:val="24"/>
          <w:lang w:val="fi-FI"/>
        </w:rPr>
        <w:t>.</w:t>
      </w:r>
    </w:p>
  </w:footnote>
  <w:footnote w:id="398">
    <w:p w14:paraId="64D962D3" w14:textId="77777777" w:rsidR="005375B7" w:rsidRPr="00BA11CF" w:rsidRDefault="005375B7" w:rsidP="005375B7">
      <w:pPr>
        <w:pStyle w:val="FootnoteText"/>
        <w:ind w:left="567" w:hanging="567"/>
        <w:rPr>
          <w:sz w:val="24"/>
          <w:lang w:val="fi-FI"/>
        </w:rPr>
      </w:pPr>
      <w:r w:rsidRPr="00BA11CF">
        <w:rPr>
          <w:rStyle w:val="FootnoteReference"/>
          <w:sz w:val="24"/>
        </w:rPr>
        <w:footnoteRef/>
      </w:r>
      <w:r w:rsidRPr="00BA11CF">
        <w:rPr>
          <w:sz w:val="24"/>
          <w:lang w:val="fi-FI"/>
        </w:rPr>
        <w:t xml:space="preserve"> </w:t>
      </w:r>
      <w:r w:rsidRPr="00822C8C">
        <w:rPr>
          <w:sz w:val="24"/>
          <w:lang w:val="fi-FI"/>
        </w:rPr>
        <w:tab/>
        <w:t xml:space="preserve">EUT L 122, 10.5.2019, s. 1, ELI: </w:t>
      </w:r>
      <w:hyperlink r:id="rId398" w:history="1">
        <w:r w:rsidRPr="00822C8C">
          <w:rPr>
            <w:rStyle w:val="Hyperlink1"/>
            <w:sz w:val="24"/>
            <w:lang w:val="fi-FI"/>
          </w:rPr>
          <w:t>http://data.europa.eu/eli/reg_del/2019/715/oj</w:t>
        </w:r>
      </w:hyperlink>
      <w:r w:rsidRPr="00822C8C">
        <w:rPr>
          <w:sz w:val="24"/>
          <w:lang w:val="fi-FI"/>
        </w:rPr>
        <w:t>.</w:t>
      </w:r>
    </w:p>
  </w:footnote>
  <w:footnote w:id="399">
    <w:p w14:paraId="02B12CB8"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Det finns tre typer av EU-byråer: decentraliserade byråer, genomförandeorgan och andra organ.</w:t>
      </w:r>
    </w:p>
  </w:footnote>
  <w:footnote w:id="400">
    <w:p w14:paraId="620D502E"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 xml:space="preserve">Europaparlamentets och rådets förordning (EU, Euratom) 2024/2509 av den 23 september 2024 om finansiella regler för unionens allmänna budget (EUT L, 2024/2509, 26.9.2024, ELI: </w:t>
      </w:r>
      <w:hyperlink r:id="rId399" w:history="1">
        <w:r w:rsidRPr="00822C8C">
          <w:rPr>
            <w:rStyle w:val="Hyperlink"/>
            <w:sz w:val="24"/>
            <w:lang w:val="sv-SE"/>
          </w:rPr>
          <w:t>http://data.europa.eu/eli/reg/2024/2509/oj</w:t>
        </w:r>
      </w:hyperlink>
      <w:r w:rsidRPr="00822C8C">
        <w:rPr>
          <w:sz w:val="24"/>
          <w:lang w:val="sv-SE"/>
        </w:rPr>
        <w:t>).</w:t>
      </w:r>
    </w:p>
  </w:footnote>
  <w:footnote w:id="401">
    <w:p w14:paraId="33C9DD8A"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 xml:space="preserve">Europaparlamentets, Europeiska unionens råds och Europeiska kommissionens </w:t>
      </w:r>
      <w:hyperlink r:id="rId400" w:history="1">
        <w:r w:rsidRPr="00822C8C">
          <w:rPr>
            <w:rStyle w:val="Hyperlink1"/>
            <w:sz w:val="24"/>
            <w:lang w:val="sv-SE"/>
          </w:rPr>
          <w:t>gemensamma uttalande</w:t>
        </w:r>
      </w:hyperlink>
      <w:r w:rsidRPr="00822C8C">
        <w:rPr>
          <w:sz w:val="24"/>
          <w:lang w:val="sv-SE"/>
        </w:rPr>
        <w:t xml:space="preserve"> om decentraliserade organ från juli 2012 (</w:t>
      </w:r>
      <w:hyperlink r:id="rId401" w:history="1">
        <w:r w:rsidRPr="00822C8C">
          <w:rPr>
            <w:rStyle w:val="Hyperlink"/>
            <w:sz w:val="24"/>
            <w:lang w:val="sv-SE"/>
          </w:rPr>
          <w:t>https://european-union.europa.eu/document/download/d4199ff4-1e3d-45e6-af7e-90cf1a7b10bc_en?filename=joint_statement_on_decentralised_agencies_en.pdf</w:t>
        </w:r>
      </w:hyperlink>
      <w:r w:rsidRPr="00822C8C">
        <w:rPr>
          <w:sz w:val="24"/>
          <w:lang w:val="sv-SE"/>
        </w:rPr>
        <w:t>).</w:t>
      </w:r>
    </w:p>
  </w:footnote>
  <w:footnote w:id="402">
    <w:p w14:paraId="6244C608"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 xml:space="preserve">”EU-byråernas framtid – potential för mer flexibilitet och samarbete”, </w:t>
      </w:r>
      <w:hyperlink r:id="rId402" w:history="1">
        <w:r w:rsidRPr="00822C8C">
          <w:rPr>
            <w:rStyle w:val="Hyperlink1"/>
            <w:sz w:val="24"/>
            <w:lang w:val="sv-SE"/>
          </w:rPr>
          <w:t>https://op.europa.eu/webpub/eca/special-reports/agencies-performance-audit-22-2020/sv/</w:t>
        </w:r>
      </w:hyperlink>
      <w:r w:rsidRPr="00822C8C">
        <w:rPr>
          <w:rStyle w:val="Hyperlink1"/>
          <w:sz w:val="24"/>
          <w:lang w:val="sv-SE"/>
        </w:rPr>
        <w:t>.</w:t>
      </w:r>
    </w:p>
  </w:footnote>
  <w:footnote w:id="403">
    <w:p w14:paraId="036E0504" w14:textId="77777777" w:rsidR="005375B7" w:rsidRPr="00EB5891" w:rsidRDefault="005375B7" w:rsidP="005375B7">
      <w:pPr>
        <w:ind w:left="567" w:hanging="567"/>
      </w:pPr>
      <w:r w:rsidRPr="00EB5891">
        <w:rPr>
          <w:rStyle w:val="FootnoteReference"/>
        </w:rPr>
        <w:footnoteRef/>
      </w:r>
      <w:r w:rsidRPr="00822C8C">
        <w:tab/>
        <w:t>Den gemensamma ansatsen är inte rättsligt bindande och institutionerna enades om att ta hänsyn till den när de fattar beslut om de decentraliserade byråerna.</w:t>
      </w:r>
    </w:p>
  </w:footnote>
  <w:footnote w:id="404">
    <w:p w14:paraId="2EC31158"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Europeiska centrumet för utveckling av yrkesutbildning, Europeiska unionens narkotikabyrå, Europeiska unionens cybersäkerhetsbyrå, Europeiska unionens järnvägsbyrå, Europeiska arbetsmiljöbyrån, Europeiska fonden för förbättring av levnads- och arbetsvillkor, Europeiska unionens byrå för straffrättsligt samarbete, Europeiska unionens byrå för grundläggande rättigheter, Europeiska institutet för innovation och teknik.</w:t>
      </w:r>
    </w:p>
  </w:footnote>
  <w:footnote w:id="405">
    <w:p w14:paraId="0C7D1ADD"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 xml:space="preserve">Utvärdering av EU-byråerna: Eurofound, Cedefop, ETF och EU-Osha SWD(2024) 222 final, s. 42, </w:t>
      </w:r>
      <w:hyperlink r:id="rId403" w:history="1">
        <w:r w:rsidRPr="00822C8C">
          <w:rPr>
            <w:rStyle w:val="Hyperlink"/>
            <w:sz w:val="24"/>
            <w:lang w:val="sv-SE"/>
          </w:rPr>
          <w:t>https://www.parlament.gv.at/dokument/XXVII/EU/198502/imfname_11414247.pdf</w:t>
        </w:r>
      </w:hyperlink>
      <w:r w:rsidRPr="00822C8C">
        <w:rPr>
          <w:sz w:val="24"/>
          <w:lang w:val="sv-SE"/>
        </w:rPr>
        <w:t>.</w:t>
      </w:r>
    </w:p>
  </w:footnote>
  <w:footnote w:id="406">
    <w:p w14:paraId="367C451C"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 xml:space="preserve">Europaparlamentets och rådets förordning (EU) 2019/1896 av den 13 november 2019 om den europeiska gräns- och kustbevakningen och om upphävande av förordningarna (EU) nr 1052/2013 och (EU) 2016/1624 (EUT L 295, 14.11.2019, s. 1, </w:t>
      </w:r>
      <w:r w:rsidRPr="00822C8C">
        <w:rPr>
          <w:color w:val="333333"/>
          <w:sz w:val="24"/>
          <w:shd w:val="clear" w:color="auto" w:fill="FFFFFF"/>
          <w:lang w:val="sv-SE"/>
        </w:rPr>
        <w:t xml:space="preserve">ELI: </w:t>
      </w:r>
      <w:hyperlink r:id="rId404" w:tooltip="Ger tillgång till detta dokument via dess ELI URI." w:history="1">
        <w:r w:rsidRPr="00822C8C">
          <w:rPr>
            <w:rStyle w:val="Hyperlink1"/>
            <w:color w:val="337AB7"/>
            <w:sz w:val="24"/>
            <w:shd w:val="clear" w:color="auto" w:fill="FFFFFF"/>
            <w:lang w:val="sv-SE"/>
          </w:rPr>
          <w:t>http://data.europa.eu/eli/reg/2019/1896/oj</w:t>
        </w:r>
      </w:hyperlink>
      <w:r w:rsidRPr="00822C8C">
        <w:rPr>
          <w:sz w:val="24"/>
          <w:lang w:val="sv-SE"/>
        </w:rPr>
        <w:t>).</w:t>
      </w:r>
    </w:p>
  </w:footnote>
  <w:footnote w:id="407">
    <w:p w14:paraId="58741F2F"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r>
      <w:hyperlink r:id="rId405" w:history="1">
        <w:r w:rsidRPr="00822C8C">
          <w:rPr>
            <w:rStyle w:val="Hyperlink"/>
            <w:sz w:val="24"/>
            <w:lang w:val="sv-SE"/>
          </w:rPr>
          <w:t>https://eur-lex.europa.eu/legal-content/SV/TXT/HTML/?uri=CELEX:52024DC0075</w:t>
        </w:r>
      </w:hyperlink>
      <w:r w:rsidRPr="00822C8C">
        <w:rPr>
          <w:sz w:val="24"/>
          <w:lang w:val="sv-SE"/>
        </w:rPr>
        <w:t>, del 3.</w:t>
      </w:r>
    </w:p>
  </w:footnote>
  <w:footnote w:id="408">
    <w:p w14:paraId="79DD2A02"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Uppgifter enligt inkomst- och utgiftsberäkningar för budgetåret 2023 som offentliggjorts i EUT för varje enskilt organ.</w:t>
      </w:r>
    </w:p>
  </w:footnote>
  <w:footnote w:id="409">
    <w:p w14:paraId="34A18A0F"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Arbetsdokument III budgetförslaget för 2023, s. 24.</w:t>
      </w:r>
    </w:p>
  </w:footnote>
  <w:footnote w:id="410">
    <w:p w14:paraId="343A3AB1"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Arbetsdokument III budgetförslaget för 2023, s. 26.</w:t>
      </w:r>
    </w:p>
  </w:footnote>
  <w:footnote w:id="411">
    <w:p w14:paraId="38EA5897"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Arbetsdokument III budgetförslaget för 2023, s. 21.</w:t>
      </w:r>
    </w:p>
  </w:footnote>
  <w:footnote w:id="412">
    <w:p w14:paraId="11556CDA"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CONT-utskottets sammanträde den 4 december 2023.</w:t>
      </w:r>
    </w:p>
  </w:footnote>
  <w:footnote w:id="413">
    <w:p w14:paraId="153DB26D"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Ett nytt budget-, redovisnings- och ekonomisystem inleddes som ett pilotprojekt 2022.</w:t>
      </w:r>
    </w:p>
  </w:footnote>
  <w:footnote w:id="414">
    <w:p w14:paraId="7AF2C128"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UniSystems Luxembourg och Unisystems systimata pliroforikis mot Esma – mål T-750/22.</w:t>
      </w:r>
    </w:p>
  </w:footnote>
  <w:footnote w:id="415">
    <w:p w14:paraId="4DE91943"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EBA:s årsredovisning, s. 26 och revisionsrätten om Esma s. 139.</w:t>
      </w:r>
    </w:p>
  </w:footnote>
  <w:footnote w:id="416">
    <w:p w14:paraId="027AF164"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eu-Lisas årsredovisning, s. 25.</w:t>
      </w:r>
    </w:p>
  </w:footnote>
  <w:footnote w:id="417">
    <w:p w14:paraId="418B38D5"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Frontex årsredovisning, s. 37.</w:t>
      </w:r>
    </w:p>
  </w:footnote>
  <w:footnote w:id="418">
    <w:p w14:paraId="1510235E"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r>
      <w:hyperlink r:id="rId406" w:history="1">
        <w:r w:rsidRPr="00822C8C">
          <w:rPr>
            <w:rStyle w:val="Hyperlink1"/>
            <w:sz w:val="24"/>
            <w:lang w:val="sv-SE"/>
          </w:rPr>
          <w:t>Färdplan</w:t>
        </w:r>
      </w:hyperlink>
      <w:r w:rsidRPr="00822C8C">
        <w:rPr>
          <w:sz w:val="24"/>
          <w:lang w:val="sv-SE"/>
        </w:rPr>
        <w:t xml:space="preserve"> för uppföljningen av den gemensamma ansatsen för EU:s decentraliserade byråer (</w:t>
      </w:r>
      <w:hyperlink r:id="rId407" w:history="1">
        <w:r w:rsidRPr="00822C8C">
          <w:rPr>
            <w:rStyle w:val="Hyperlink"/>
            <w:sz w:val="24"/>
            <w:lang w:val="sv-SE"/>
          </w:rPr>
          <w:t>AB-12-13, Roadmap on the follow-up to the Common Approach on EU decentralised agencies</w:t>
        </w:r>
      </w:hyperlink>
      <w:r w:rsidRPr="00822C8C">
        <w:rPr>
          <w:sz w:val="24"/>
          <w:lang w:val="sv-SE"/>
        </w:rPr>
        <w:t>).</w:t>
      </w:r>
    </w:p>
  </w:footnote>
  <w:footnote w:id="419">
    <w:p w14:paraId="27298B6A"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 xml:space="preserve">Europeiska kommissionen, arbetsdokument från kommissionens avdelningar, </w:t>
      </w:r>
      <w:hyperlink r:id="rId408" w:history="1">
        <w:r w:rsidRPr="00822C8C">
          <w:rPr>
            <w:rStyle w:val="Hyperlink"/>
            <w:i/>
            <w:iCs/>
            <w:sz w:val="24"/>
            <w:lang w:val="sv-SE"/>
          </w:rPr>
          <w:t>Guidelines on key performance indicators for directors of EU decentralised agencies</w:t>
        </w:r>
      </w:hyperlink>
      <w:r w:rsidRPr="00822C8C">
        <w:rPr>
          <w:sz w:val="24"/>
          <w:lang w:val="sv-SE"/>
        </w:rPr>
        <w:t>, 13.3.2015, s. 3 (</w:t>
      </w:r>
      <w:hyperlink r:id="rId409" w:history="1">
        <w:r w:rsidRPr="00822C8C">
          <w:rPr>
            <w:rStyle w:val="Hyperlink"/>
            <w:sz w:val="24"/>
            <w:lang w:val="sv-SE"/>
          </w:rPr>
          <w:t>https://www.eumonitor.eu/9353000/1/j9vvik7m1c3gyxp/vjx64xley4zd</w:t>
        </w:r>
      </w:hyperlink>
      <w:r w:rsidRPr="00822C8C">
        <w:rPr>
          <w:sz w:val="24"/>
          <w:lang w:val="sv-SE"/>
        </w:rPr>
        <w:t>).</w:t>
      </w:r>
    </w:p>
  </w:footnote>
  <w:footnote w:id="420">
    <w:p w14:paraId="7FD6392C"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r>
      <w:hyperlink r:id="rId410" w:history="1">
        <w:r w:rsidRPr="00822C8C">
          <w:rPr>
            <w:rStyle w:val="Hyperlink1"/>
            <w:sz w:val="24"/>
            <w:lang w:val="sv-SE"/>
          </w:rPr>
          <w:t>Revisionsrättens särskilda rapport 22/2020: EU-byråernas framtid – potential för mer flexibilitet och samarbete</w:t>
        </w:r>
      </w:hyperlink>
      <w:r w:rsidRPr="00822C8C">
        <w:rPr>
          <w:sz w:val="24"/>
          <w:lang w:val="sv-SE"/>
        </w:rPr>
        <w:t xml:space="preserve"> (</w:t>
      </w:r>
      <w:hyperlink r:id="rId411" w:history="1">
        <w:r w:rsidRPr="00822C8C">
          <w:rPr>
            <w:rStyle w:val="Hyperlink1"/>
            <w:sz w:val="24"/>
            <w:lang w:val="sv-SE"/>
          </w:rPr>
          <w:t>https://www.eca.europa.eu/Lists/ECADocuments/SR20_22/SR_Future_of_EU_Agencies_SV.pdf</w:t>
        </w:r>
      </w:hyperlink>
      <w:r w:rsidRPr="00822C8C">
        <w:rPr>
          <w:sz w:val="24"/>
          <w:lang w:val="sv-SE"/>
        </w:rPr>
        <w:t>).</w:t>
      </w:r>
    </w:p>
  </w:footnote>
  <w:footnote w:id="421">
    <w:p w14:paraId="585C3AC1"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 xml:space="preserve">Europaparlamentets och rådets förordning (EU) 2023/2842 av den 22 november 2023 om ändring av rådets förordning (EG) nr 1224/2009, och om ändring av rådets förordningar (EG) nr 1967/2006 och (EG) nr 1005/2008 och Europaparlamentets och rådets förordningar (EU) 2016/1139, (EU) 2017/2403 och (EU) 2019/473 vad gäller fiskerikontroll (EUT L, 2023/2842, 20.12.2023, ELI: </w:t>
      </w:r>
      <w:hyperlink r:id="rId412" w:history="1">
        <w:r w:rsidRPr="00822C8C">
          <w:rPr>
            <w:rStyle w:val="Hyperlink"/>
            <w:sz w:val="24"/>
            <w:lang w:val="sv-SE"/>
          </w:rPr>
          <w:t>http://data.europa.eu/eli/reg/2023/2842/oj</w:t>
        </w:r>
      </w:hyperlink>
      <w:r w:rsidRPr="00822C8C">
        <w:rPr>
          <w:sz w:val="24"/>
          <w:lang w:val="sv-SE"/>
        </w:rPr>
        <w:t>).</w:t>
      </w:r>
    </w:p>
  </w:footnote>
  <w:footnote w:id="422">
    <w:p w14:paraId="6546DBFF"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 xml:space="preserve">Europaparlamentets och rådets förordning (EU) 2023/2131 av den 4 oktober 2023 om ändring av Europaparlamentets och rådets förordning (EU) 2018/1727 och rådets beslut 2005/671/RIF vad gäller digitalt informationsutbyte i terrorismärenden (EUT L, 2023/2131, 11.10.2023, ELI: </w:t>
      </w:r>
      <w:hyperlink r:id="rId413" w:tgtFrame="_blank" w:tooltip="Ger tillgång till detta dokument via dess ELI URI." w:history="1">
        <w:r w:rsidRPr="00822C8C">
          <w:rPr>
            <w:rStyle w:val="Hyperlink1"/>
            <w:sz w:val="24"/>
            <w:lang w:val="sv-SE"/>
          </w:rPr>
          <w:t>http://data.europa.eu/eli/reg/2023/2131/oj</w:t>
        </w:r>
      </w:hyperlink>
      <w:r w:rsidRPr="00822C8C">
        <w:rPr>
          <w:sz w:val="24"/>
          <w:lang w:val="sv-SE"/>
        </w:rPr>
        <w:t>).</w:t>
      </w:r>
    </w:p>
  </w:footnote>
  <w:footnote w:id="423">
    <w:p w14:paraId="6A72B654"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 xml:space="preserve">Europaparlamentets och rådets förordning (EU) 2023/969 av den 10 maj 2023 om inrättande av ett gränsförfarande för återvändande och om ändring av förordning (EU) 2018/1726 (EUT L 132, 17.5.2023, s. 1, </w:t>
      </w:r>
      <w:r w:rsidRPr="00822C8C">
        <w:rPr>
          <w:color w:val="333333"/>
          <w:sz w:val="24"/>
          <w:shd w:val="clear" w:color="auto" w:fill="FFFFFF"/>
          <w:lang w:val="sv-SE"/>
        </w:rPr>
        <w:t xml:space="preserve">ELI: </w:t>
      </w:r>
      <w:hyperlink r:id="rId414" w:tooltip="Ger tillgång till detta dokument via dess ELI URI." w:history="1">
        <w:r w:rsidRPr="00822C8C">
          <w:rPr>
            <w:rStyle w:val="Hyperlink1"/>
            <w:color w:val="337AB7"/>
            <w:sz w:val="24"/>
            <w:shd w:val="clear" w:color="auto" w:fill="FFFFFF"/>
            <w:lang w:val="sv-SE"/>
          </w:rPr>
          <w:t>http://data.europa.eu/eli/reg/2023/969/oj</w:t>
        </w:r>
      </w:hyperlink>
      <w:r w:rsidRPr="00822C8C">
        <w:rPr>
          <w:sz w:val="24"/>
          <w:lang w:val="sv-SE"/>
        </w:rPr>
        <w:t>).</w:t>
      </w:r>
    </w:p>
  </w:footnote>
  <w:footnote w:id="424">
    <w:p w14:paraId="4DC9958C"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Europaparlamentets och rådets förordning (EU) 2016/794 av den 11 maj 2016 om Europeiska unionens byrå för samarbete inom brottsbekämpning (Europol) och om ersättande och upphävande av rådets beslut 2009/371/RIF, 2009/934/RIF, 2009/935/RIF, 2009/936/RIF och 2009/968/RIF (EUT L 135, 24.5.2016,</w:t>
      </w:r>
      <w:r w:rsidRPr="00822C8C">
        <w:rPr>
          <w:color w:val="333333"/>
          <w:sz w:val="24"/>
          <w:shd w:val="clear" w:color="auto" w:fill="FFFFFF"/>
          <w:lang w:val="sv-SE"/>
        </w:rPr>
        <w:t xml:space="preserve"> s. 53, ELI: </w:t>
      </w:r>
      <w:hyperlink r:id="rId415" w:tooltip="Ger tillgång till detta dokument via dess ELI URI." w:history="1">
        <w:r w:rsidRPr="00822C8C">
          <w:rPr>
            <w:rStyle w:val="Hyperlink1"/>
            <w:color w:val="337AB7"/>
            <w:sz w:val="24"/>
            <w:shd w:val="clear" w:color="auto" w:fill="FFFFFF"/>
            <w:lang w:val="sv-SE"/>
          </w:rPr>
          <w:t>http://data.europa.eu/eli/reg/2016/794/oj</w:t>
        </w:r>
      </w:hyperlink>
      <w:r w:rsidRPr="00822C8C">
        <w:rPr>
          <w:sz w:val="24"/>
          <w:lang w:val="sv-SE"/>
        </w:rPr>
        <w:t>).</w:t>
      </w:r>
    </w:p>
  </w:footnote>
  <w:footnote w:id="425">
    <w:p w14:paraId="497AFE51" w14:textId="77777777" w:rsidR="005375B7" w:rsidRPr="00EB5891" w:rsidRDefault="005375B7" w:rsidP="005375B7">
      <w:pPr>
        <w:pStyle w:val="FootnoteText"/>
        <w:ind w:left="567" w:hanging="567"/>
        <w:rPr>
          <w:rStyle w:val="FootnoteReference"/>
          <w:sz w:val="24"/>
        </w:rPr>
      </w:pPr>
      <w:r w:rsidRPr="00EB5891">
        <w:rPr>
          <w:rStyle w:val="FootnoteReference"/>
          <w:sz w:val="24"/>
        </w:rPr>
        <w:footnoteRef/>
      </w:r>
      <w:r w:rsidRPr="00822C8C">
        <w:rPr>
          <w:sz w:val="24"/>
          <w:lang w:val="sv-SE"/>
        </w:rPr>
        <w:tab/>
        <w:t>Revisionsrättens rapport, s. 37. Endast iakttagelser som avser de byråer som omfattas av denna resolution.</w:t>
      </w:r>
    </w:p>
  </w:footnote>
  <w:footnote w:id="426">
    <w:p w14:paraId="0E7B36D4"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Iakttagelser från tidigare år som påverkade betalningarna 2023: Easa: 1,6 miljoner EUR. EIGE: 59 600 EUR. Europeiska arbetsmyndigheten: 1,32 miljoner EUR och grund för ett uttalande med reservation. ETF: två iakttagelser: 175 500 EUR och 300 600 EUR. Eurojust: 59 300 EUR, EUAA: 123 800 EUR, eu-Lisa: tre iakttagelser: 7,7 miljoner EUR, 1,8 miljoner EUR, 0,4 miljoner EUR och grund för ett uttalande med reservation. Cepol: 85 000 EUR. CdT: två iakttagelser: 17 300 EUR och 257 200 EUR.</w:t>
      </w:r>
    </w:p>
  </w:footnote>
  <w:footnote w:id="427">
    <w:p w14:paraId="27F32ED8"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Med 64 % män och 36 % kvinnor (67 % respektive 33 % 2022). Med 54 % män och 46 % kvinnor (54 % respektive 46 % 2022).</w:t>
      </w:r>
    </w:p>
  </w:footnote>
  <w:footnote w:id="428">
    <w:p w14:paraId="3758E76A"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Med 58 % män och 42 % kvinnor (60 % respektive 40 % 2022).</w:t>
      </w:r>
    </w:p>
  </w:footnote>
  <w:footnote w:id="429">
    <w:p w14:paraId="68B2AA44"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Med 54 % män och 46 % kvinnor (54 % respektive 46 % 2022).</w:t>
      </w:r>
    </w:p>
  </w:footnote>
  <w:footnote w:id="430">
    <w:p w14:paraId="293AEDF6"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r>
      <w:hyperlink r:id="rId416" w:history="1">
        <w:r w:rsidRPr="00822C8C">
          <w:rPr>
            <w:rStyle w:val="Hyperlink1"/>
            <w:sz w:val="24"/>
            <w:lang w:val="sv-SE"/>
          </w:rPr>
          <w:t>Europeiska ämnescentrum</w:t>
        </w:r>
      </w:hyperlink>
      <w:r w:rsidRPr="00822C8C">
        <w:rPr>
          <w:sz w:val="24"/>
          <w:lang w:val="sv-SE"/>
        </w:rPr>
        <w:t xml:space="preserve"> är konsortier av organisationer i EEA-medlemsländerna med sakkunskap på särskilda miljöområden som har anlitats av EEA för att stödja genomförandet av EEA:s arbetsprogram (</w:t>
      </w:r>
      <w:hyperlink r:id="rId417" w:history="1">
        <w:r w:rsidRPr="00822C8C">
          <w:rPr>
            <w:rStyle w:val="Hyperlink"/>
            <w:sz w:val="24"/>
            <w:lang w:val="sv-SE"/>
          </w:rPr>
          <w:t>https://www.eionet.europa.eu/etcs</w:t>
        </w:r>
      </w:hyperlink>
      <w:r w:rsidRPr="00822C8C">
        <w:rPr>
          <w:sz w:val="24"/>
          <w:lang w:val="sv-SE"/>
        </w:rPr>
        <w:t>).</w:t>
      </w:r>
    </w:p>
  </w:footnote>
  <w:footnote w:id="431">
    <w:p w14:paraId="54C7C87D"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Exempel: Europeiska bankmyndigheten (EBA) – Europeiska revisionsrättens rapport, s. 97; Europeiska sjösäkerhetsbyrån (Emsa) – Europeiska revisionsrättens rapport, s. 122; Europeiska centrumet för kontroll av narkotika och narkotikamissbruk (EMCDDA) – Europeiska revisionsrättens rapport, s. 287.</w:t>
      </w:r>
    </w:p>
  </w:footnote>
  <w:footnote w:id="432">
    <w:p w14:paraId="0F634040"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r>
      <w:hyperlink r:id="rId418" w:history="1">
        <w:r w:rsidRPr="00822C8C">
          <w:rPr>
            <w:rStyle w:val="Hyperlink1"/>
            <w:sz w:val="24"/>
            <w:lang w:val="sv-SE"/>
          </w:rPr>
          <w:t>Interinstitutionellt avtal av den 20 maj 2021</w:t>
        </w:r>
      </w:hyperlink>
      <w:r w:rsidRPr="00822C8C">
        <w:rPr>
          <w:sz w:val="24"/>
          <w:lang w:val="sv-SE"/>
        </w:rPr>
        <w:t xml:space="preserve"> mellan Europaparlamentet, Europeiska unionens råd och Europeiska kommissionen om ett obligatoriskt öppenhetsregister (</w:t>
      </w:r>
      <w:hyperlink r:id="rId419" w:history="1">
        <w:r w:rsidRPr="00822C8C">
          <w:rPr>
            <w:rStyle w:val="Hyperlink"/>
            <w:sz w:val="24"/>
            <w:lang w:val="sv-SE"/>
          </w:rPr>
          <w:t>http://data.europa.eu/eli/agree_interinstit/2021/611/oj</w:t>
        </w:r>
      </w:hyperlink>
      <w:r w:rsidRPr="00822C8C">
        <w:rPr>
          <w:sz w:val="24"/>
          <w:lang w:val="sv-SE"/>
        </w:rPr>
        <w:t>).</w:t>
      </w:r>
    </w:p>
  </w:footnote>
  <w:footnote w:id="433">
    <w:p w14:paraId="6DA48CBF" w14:textId="77777777" w:rsidR="005375B7" w:rsidRPr="00EB5891" w:rsidRDefault="005375B7" w:rsidP="005375B7">
      <w:pPr>
        <w:ind w:left="567" w:hanging="567"/>
      </w:pPr>
      <w:r w:rsidRPr="00EB5891">
        <w:rPr>
          <w:rStyle w:val="FootnoteReference"/>
        </w:rPr>
        <w:footnoteRef/>
      </w:r>
      <w:r w:rsidRPr="00822C8C">
        <w:tab/>
        <w:t>Byråernas nätverk för rättsliga och inrikes frågor (RIF) – nätverket omfattar nio byråer: Cepol, Easo, EIGE, EMCDDA, eu-LISA, Eurojust, Europol, FRA och Frontex.</w:t>
      </w:r>
    </w:p>
  </w:footnote>
  <w:footnote w:id="434">
    <w:p w14:paraId="5CB86FC0"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 xml:space="preserve">Europaparlamentets och rådets direktiv (EU) 2019/1937 av den 23 oktober 2019 om skydd för personer som rapporterar om överträdelser av unionsrätten (EUT L 305, 26.11.2019, s. 17, ELI: </w:t>
      </w:r>
      <w:hyperlink r:id="rId420" w:history="1">
        <w:r w:rsidRPr="00822C8C">
          <w:rPr>
            <w:rStyle w:val="Hyperlink"/>
            <w:sz w:val="24"/>
            <w:lang w:val="sv-SE"/>
          </w:rPr>
          <w:t>http://data.europa.eu/eli/dir/2019/1937/oj</w:t>
        </w:r>
      </w:hyperlink>
      <w:r w:rsidRPr="00822C8C">
        <w:rPr>
          <w:sz w:val="24"/>
          <w:lang w:val="sv-SE"/>
        </w:rPr>
        <w:t>).</w:t>
      </w:r>
    </w:p>
  </w:footnote>
  <w:footnote w:id="435">
    <w:p w14:paraId="2AA3F60A"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EBA, ECDC, Echa, EEA, Efsa, EOIPA, Emsa, Europol, Eurofound, ETF och Esma.</w:t>
      </w:r>
    </w:p>
  </w:footnote>
  <w:footnote w:id="436">
    <w:p w14:paraId="6F229693" w14:textId="77777777" w:rsidR="005375B7" w:rsidRPr="00EB5891" w:rsidRDefault="005375B7" w:rsidP="005375B7">
      <w:pPr>
        <w:pStyle w:val="FootnoteText"/>
        <w:ind w:left="567" w:hanging="567"/>
        <w:rPr>
          <w:sz w:val="24"/>
          <w:lang w:val="sv-SE"/>
        </w:rPr>
      </w:pPr>
      <w:r w:rsidRPr="00EB5891">
        <w:rPr>
          <w:rStyle w:val="FootnoteReference"/>
          <w:sz w:val="24"/>
        </w:rPr>
        <w:footnoteRef/>
      </w:r>
      <w:r w:rsidRPr="00822C8C">
        <w:rPr>
          <w:sz w:val="24"/>
          <w:lang w:val="sv-SE"/>
        </w:rPr>
        <w:tab/>
        <w:t>Berecbyrån, Cedefop, eu-Lisa, EUSPA och EMA.</w:t>
      </w:r>
    </w:p>
  </w:footnote>
  <w:footnote w:id="437">
    <w:p w14:paraId="1CF78768" w14:textId="77777777" w:rsidR="005375B7" w:rsidRPr="00EB5891" w:rsidRDefault="005375B7" w:rsidP="005375B7">
      <w:pPr>
        <w:pStyle w:val="FootnoteText"/>
        <w:ind w:left="567" w:hanging="567"/>
        <w:rPr>
          <w:sz w:val="24"/>
          <w:lang w:val="en-IE"/>
        </w:rPr>
      </w:pPr>
      <w:r w:rsidRPr="00EB5891">
        <w:rPr>
          <w:rStyle w:val="FootnoteReference"/>
          <w:sz w:val="24"/>
        </w:rPr>
        <w:footnoteRef/>
      </w:r>
      <w:r w:rsidRPr="00822C8C">
        <w:rPr>
          <w:sz w:val="24"/>
          <w:lang w:val="en-IE"/>
        </w:rPr>
        <w:tab/>
        <w:t>EIT, Frontex, EUAA and Easa.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9AE3" w14:textId="77777777" w:rsidR="0049088F" w:rsidRPr="006F588B" w:rsidRDefault="004908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20166" w14:textId="77777777" w:rsidR="0049088F" w:rsidRPr="006F588B" w:rsidRDefault="0049088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3F3F6" w14:textId="77777777" w:rsidR="0049088F" w:rsidRPr="006F588B" w:rsidRDefault="004908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1018895288">
    <w:abstractNumId w:val="9"/>
  </w:num>
  <w:num w:numId="2" w16cid:durableId="422073708">
    <w:abstractNumId w:val="9"/>
  </w:num>
  <w:num w:numId="3" w16cid:durableId="775754177">
    <w:abstractNumId w:val="7"/>
  </w:num>
  <w:num w:numId="4" w16cid:durableId="1512835971">
    <w:abstractNumId w:val="7"/>
  </w:num>
  <w:num w:numId="5" w16cid:durableId="893931838">
    <w:abstractNumId w:val="6"/>
  </w:num>
  <w:num w:numId="6" w16cid:durableId="1699506756">
    <w:abstractNumId w:val="6"/>
  </w:num>
  <w:num w:numId="7" w16cid:durableId="1408921226">
    <w:abstractNumId w:val="5"/>
  </w:num>
  <w:num w:numId="8" w16cid:durableId="33967246">
    <w:abstractNumId w:val="5"/>
  </w:num>
  <w:num w:numId="9" w16cid:durableId="1145928865">
    <w:abstractNumId w:val="4"/>
  </w:num>
  <w:num w:numId="10" w16cid:durableId="95298233">
    <w:abstractNumId w:val="4"/>
  </w:num>
  <w:num w:numId="11" w16cid:durableId="419565996">
    <w:abstractNumId w:val="8"/>
  </w:num>
  <w:num w:numId="12" w16cid:durableId="534582926">
    <w:abstractNumId w:val="8"/>
  </w:num>
  <w:num w:numId="13" w16cid:durableId="1733767524">
    <w:abstractNumId w:val="3"/>
  </w:num>
  <w:num w:numId="14" w16cid:durableId="1771270467">
    <w:abstractNumId w:val="3"/>
  </w:num>
  <w:num w:numId="15" w16cid:durableId="1865750681">
    <w:abstractNumId w:val="2"/>
  </w:num>
  <w:num w:numId="16" w16cid:durableId="433675010">
    <w:abstractNumId w:val="2"/>
  </w:num>
  <w:num w:numId="17" w16cid:durableId="1409301437">
    <w:abstractNumId w:val="1"/>
  </w:num>
  <w:num w:numId="18" w16cid:durableId="188490351">
    <w:abstractNumId w:val="1"/>
  </w:num>
  <w:num w:numId="19" w16cid:durableId="111169917">
    <w:abstractNumId w:val="0"/>
  </w:num>
  <w:num w:numId="20" w16cid:durableId="1483040546">
    <w:abstractNumId w:val="0"/>
  </w:num>
  <w:num w:numId="21" w16cid:durableId="1259829597">
    <w:abstractNumId w:val="9"/>
  </w:num>
  <w:num w:numId="22" w16cid:durableId="2065441724">
    <w:abstractNumId w:val="7"/>
  </w:num>
  <w:num w:numId="23" w16cid:durableId="344283562">
    <w:abstractNumId w:val="6"/>
  </w:num>
  <w:num w:numId="24" w16cid:durableId="1147085274">
    <w:abstractNumId w:val="5"/>
  </w:num>
  <w:num w:numId="25" w16cid:durableId="1133207007">
    <w:abstractNumId w:val="4"/>
  </w:num>
  <w:num w:numId="26" w16cid:durableId="1289821886">
    <w:abstractNumId w:val="8"/>
  </w:num>
  <w:num w:numId="27" w16cid:durableId="1426875197">
    <w:abstractNumId w:val="3"/>
  </w:num>
  <w:num w:numId="28" w16cid:durableId="1799370366">
    <w:abstractNumId w:val="2"/>
  </w:num>
  <w:num w:numId="29" w16cid:durableId="969481724">
    <w:abstractNumId w:val="1"/>
  </w:num>
  <w:num w:numId="30" w16cid:durableId="1539780050">
    <w:abstractNumId w:val="0"/>
  </w:num>
  <w:num w:numId="31" w16cid:durableId="514537253">
    <w:abstractNumId w:val="9"/>
  </w:num>
  <w:num w:numId="32" w16cid:durableId="868954479">
    <w:abstractNumId w:val="7"/>
  </w:num>
  <w:num w:numId="33" w16cid:durableId="1164198216">
    <w:abstractNumId w:val="6"/>
  </w:num>
  <w:num w:numId="34" w16cid:durableId="622076723">
    <w:abstractNumId w:val="5"/>
  </w:num>
  <w:num w:numId="35" w16cid:durableId="325477143">
    <w:abstractNumId w:val="4"/>
  </w:num>
  <w:num w:numId="36" w16cid:durableId="1004238797">
    <w:abstractNumId w:val="8"/>
  </w:num>
  <w:num w:numId="37" w16cid:durableId="1834832181">
    <w:abstractNumId w:val="3"/>
  </w:num>
  <w:num w:numId="38" w16cid:durableId="1762992324">
    <w:abstractNumId w:val="2"/>
  </w:num>
  <w:num w:numId="39" w16cid:durableId="676806748">
    <w:abstractNumId w:val="1"/>
  </w:num>
  <w:num w:numId="40" w16cid:durableId="1803033628">
    <w:abstractNumId w:val="0"/>
  </w:num>
  <w:num w:numId="41" w16cid:durableId="494731412">
    <w:abstractNumId w:val="10"/>
  </w:num>
  <w:num w:numId="42" w16cid:durableId="2088728212">
    <w:abstractNumId w:val="10"/>
  </w:num>
  <w:num w:numId="43" w16cid:durableId="225142567">
    <w:abstractNumId w:val="10"/>
  </w:num>
  <w:num w:numId="44" w16cid:durableId="1632831707">
    <w:abstractNumId w:val="12"/>
  </w:num>
  <w:num w:numId="45" w16cid:durableId="282929780">
    <w:abstractNumId w:val="13"/>
  </w:num>
  <w:num w:numId="46" w16cid:durableId="18593488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SV"/>
    <w:docVar w:name="dvnumam" w:val="0"/>
    <w:docVar w:name="dvpe" w:val="765.000"/>
    <w:docVar w:name="dvrapporteur" w:val="Föredragande: "/>
    <w:docVar w:name="dvtitre" w:val="Europaparlamentets beslut av den xx xx 2025 om ansvarsfrihet för genomförandet av budgeten för Europeiska unionens byråer för budgetåret 2023(2024/2030(DEC))"/>
  </w:docVars>
  <w:rsids>
    <w:rsidRoot w:val="004439CF"/>
    <w:rsid w:val="00002272"/>
    <w:rsid w:val="00064002"/>
    <w:rsid w:val="000677B9"/>
    <w:rsid w:val="00074CF0"/>
    <w:rsid w:val="000831BA"/>
    <w:rsid w:val="000A42CC"/>
    <w:rsid w:val="000E7DD9"/>
    <w:rsid w:val="0010095E"/>
    <w:rsid w:val="00125B37"/>
    <w:rsid w:val="00187494"/>
    <w:rsid w:val="001D2F8A"/>
    <w:rsid w:val="001D6118"/>
    <w:rsid w:val="001F32AE"/>
    <w:rsid w:val="00237F80"/>
    <w:rsid w:val="00241176"/>
    <w:rsid w:val="002767FF"/>
    <w:rsid w:val="002B18FE"/>
    <w:rsid w:val="002B5493"/>
    <w:rsid w:val="002E1F2B"/>
    <w:rsid w:val="00343214"/>
    <w:rsid w:val="00361C00"/>
    <w:rsid w:val="00386D24"/>
    <w:rsid w:val="00395FA1"/>
    <w:rsid w:val="003E15D4"/>
    <w:rsid w:val="00411CCE"/>
    <w:rsid w:val="0041666E"/>
    <w:rsid w:val="00421060"/>
    <w:rsid w:val="004439CF"/>
    <w:rsid w:val="00455D02"/>
    <w:rsid w:val="00471C19"/>
    <w:rsid w:val="004867E3"/>
    <w:rsid w:val="0049088F"/>
    <w:rsid w:val="004946A6"/>
    <w:rsid w:val="00494A28"/>
    <w:rsid w:val="004C0004"/>
    <w:rsid w:val="004C5D52"/>
    <w:rsid w:val="0050519A"/>
    <w:rsid w:val="005072A1"/>
    <w:rsid w:val="00514517"/>
    <w:rsid w:val="005375B7"/>
    <w:rsid w:val="00545827"/>
    <w:rsid w:val="005536AF"/>
    <w:rsid w:val="00560270"/>
    <w:rsid w:val="005C2568"/>
    <w:rsid w:val="005F1B17"/>
    <w:rsid w:val="005F6860"/>
    <w:rsid w:val="006037C0"/>
    <w:rsid w:val="006631B6"/>
    <w:rsid w:val="00680577"/>
    <w:rsid w:val="006C358E"/>
    <w:rsid w:val="006F588B"/>
    <w:rsid w:val="006F74FA"/>
    <w:rsid w:val="00731ADD"/>
    <w:rsid w:val="00734777"/>
    <w:rsid w:val="00747932"/>
    <w:rsid w:val="00751A4A"/>
    <w:rsid w:val="00756632"/>
    <w:rsid w:val="00762C74"/>
    <w:rsid w:val="00786EC0"/>
    <w:rsid w:val="007D1690"/>
    <w:rsid w:val="007E22AD"/>
    <w:rsid w:val="007F6612"/>
    <w:rsid w:val="00817416"/>
    <w:rsid w:val="00842779"/>
    <w:rsid w:val="00865F67"/>
    <w:rsid w:val="00880485"/>
    <w:rsid w:val="00881A7B"/>
    <w:rsid w:val="008840E5"/>
    <w:rsid w:val="00887B3E"/>
    <w:rsid w:val="008A68C8"/>
    <w:rsid w:val="008C2AC6"/>
    <w:rsid w:val="008E61CA"/>
    <w:rsid w:val="00930C23"/>
    <w:rsid w:val="0093193B"/>
    <w:rsid w:val="009509D8"/>
    <w:rsid w:val="00950B64"/>
    <w:rsid w:val="00956A1D"/>
    <w:rsid w:val="00981893"/>
    <w:rsid w:val="009F5027"/>
    <w:rsid w:val="00A1687D"/>
    <w:rsid w:val="00A27155"/>
    <w:rsid w:val="00A43E52"/>
    <w:rsid w:val="00A4678D"/>
    <w:rsid w:val="00A62657"/>
    <w:rsid w:val="00A778C7"/>
    <w:rsid w:val="00AB441E"/>
    <w:rsid w:val="00AB6293"/>
    <w:rsid w:val="00AE0928"/>
    <w:rsid w:val="00AF3B82"/>
    <w:rsid w:val="00B12E95"/>
    <w:rsid w:val="00B22876"/>
    <w:rsid w:val="00B502BD"/>
    <w:rsid w:val="00B558F0"/>
    <w:rsid w:val="00BA02F3"/>
    <w:rsid w:val="00BB0005"/>
    <w:rsid w:val="00BB284C"/>
    <w:rsid w:val="00BD48FE"/>
    <w:rsid w:val="00BD7BD8"/>
    <w:rsid w:val="00BE6ADC"/>
    <w:rsid w:val="00C0577B"/>
    <w:rsid w:val="00C05BFE"/>
    <w:rsid w:val="00C23CD4"/>
    <w:rsid w:val="00C61C0C"/>
    <w:rsid w:val="00C941CB"/>
    <w:rsid w:val="00CC2357"/>
    <w:rsid w:val="00CF071A"/>
    <w:rsid w:val="00CF1210"/>
    <w:rsid w:val="00D058B8"/>
    <w:rsid w:val="00D56C11"/>
    <w:rsid w:val="00D834A0"/>
    <w:rsid w:val="00D872DF"/>
    <w:rsid w:val="00D91E21"/>
    <w:rsid w:val="00DA7FCD"/>
    <w:rsid w:val="00DC7C58"/>
    <w:rsid w:val="00DF3C2F"/>
    <w:rsid w:val="00E22237"/>
    <w:rsid w:val="00E365E1"/>
    <w:rsid w:val="00E820A4"/>
    <w:rsid w:val="00E86365"/>
    <w:rsid w:val="00EB006A"/>
    <w:rsid w:val="00EB4772"/>
    <w:rsid w:val="00ED169E"/>
    <w:rsid w:val="00ED4235"/>
    <w:rsid w:val="00F04346"/>
    <w:rsid w:val="00F075DC"/>
    <w:rsid w:val="00F149E9"/>
    <w:rsid w:val="00F5134D"/>
    <w:rsid w:val="00F614B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48CE4"/>
  <w15:chartTrackingRefBased/>
  <w15:docId w15:val="{096BC55F-ECB0-4667-B938-2AD78D27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62657"/>
    <w:rPr>
      <w:b/>
      <w:kern w:val="28"/>
      <w:sz w:val="28"/>
      <w:lang w:val="fr-FR" w:eastAsia="fr-FR"/>
    </w:rPr>
  </w:style>
  <w:style w:type="character" w:customStyle="1" w:styleId="Heading2Char">
    <w:name w:val="Heading 2 Char"/>
    <w:basedOn w:val="DefaultParagraphFont"/>
    <w:link w:val="Heading2"/>
    <w:uiPriority w:val="9"/>
    <w:semiHidden/>
    <w:rsid w:val="00A62657"/>
    <w:rPr>
      <w:sz w:val="24"/>
      <w:lang w:val="fr-FR" w:eastAsia="fr-FR"/>
    </w:rPr>
  </w:style>
  <w:style w:type="character" w:customStyle="1" w:styleId="Heading3Char">
    <w:name w:val="Heading 3 Char"/>
    <w:basedOn w:val="DefaultParagraphFont"/>
    <w:link w:val="Heading3"/>
    <w:uiPriority w:val="9"/>
    <w:semiHidden/>
    <w:rsid w:val="00A62657"/>
    <w:rPr>
      <w:rFonts w:ascii="Arial" w:hAnsi="Arial"/>
      <w:sz w:val="24"/>
      <w:lang w:val="fr-FR" w:eastAsia="fr-FR"/>
    </w:rPr>
  </w:style>
  <w:style w:type="character" w:customStyle="1" w:styleId="Heading4Char">
    <w:name w:val="Heading 4 Char"/>
    <w:basedOn w:val="DefaultParagraphFont"/>
    <w:link w:val="Heading4"/>
    <w:uiPriority w:val="9"/>
    <w:semiHidden/>
    <w:rsid w:val="00A62657"/>
    <w:rPr>
      <w:sz w:val="24"/>
      <w:lang w:val="en-US" w:eastAsia="fr-FR"/>
    </w:rPr>
  </w:style>
  <w:style w:type="character" w:customStyle="1" w:styleId="Heading5Char">
    <w:name w:val="Heading 5 Char"/>
    <w:basedOn w:val="DefaultParagraphFont"/>
    <w:link w:val="Heading5"/>
    <w:uiPriority w:val="9"/>
    <w:semiHidden/>
    <w:rsid w:val="00A62657"/>
    <w:rPr>
      <w:sz w:val="24"/>
      <w:lang w:val="en-US" w:eastAsia="fr-FR"/>
    </w:rPr>
  </w:style>
  <w:style w:type="character" w:customStyle="1" w:styleId="Heading6Char">
    <w:name w:val="Heading 6 Char"/>
    <w:basedOn w:val="DefaultParagraphFont"/>
    <w:link w:val="Heading6"/>
    <w:uiPriority w:val="9"/>
    <w:semiHidden/>
    <w:rsid w:val="00A62657"/>
    <w:rPr>
      <w:i/>
      <w:sz w:val="22"/>
      <w:lang w:val="sv-SE"/>
    </w:rPr>
  </w:style>
  <w:style w:type="character" w:customStyle="1" w:styleId="Heading7Char">
    <w:name w:val="Heading 7 Char"/>
    <w:basedOn w:val="DefaultParagraphFont"/>
    <w:link w:val="Heading7"/>
    <w:uiPriority w:val="9"/>
    <w:semiHidden/>
    <w:rsid w:val="00A62657"/>
    <w:rPr>
      <w:rFonts w:ascii="Arial" w:hAnsi="Arial"/>
      <w:sz w:val="24"/>
      <w:lang w:val="sv-SE"/>
    </w:rPr>
  </w:style>
  <w:style w:type="character" w:customStyle="1" w:styleId="Heading8Char">
    <w:name w:val="Heading 8 Char"/>
    <w:basedOn w:val="DefaultParagraphFont"/>
    <w:link w:val="Heading8"/>
    <w:uiPriority w:val="9"/>
    <w:semiHidden/>
    <w:rsid w:val="00A62657"/>
    <w:rPr>
      <w:rFonts w:ascii="Arial" w:hAnsi="Arial"/>
      <w:i/>
      <w:sz w:val="24"/>
      <w:lang w:val="sv-SE"/>
    </w:rPr>
  </w:style>
  <w:style w:type="character" w:customStyle="1" w:styleId="Heading9Char">
    <w:name w:val="Heading 9 Char"/>
    <w:basedOn w:val="DefaultParagraphFont"/>
    <w:link w:val="Heading9"/>
    <w:uiPriority w:val="9"/>
    <w:semiHidden/>
    <w:rsid w:val="00A62657"/>
    <w:rPr>
      <w:rFonts w:ascii="Arial" w:hAnsi="Arial"/>
      <w:b/>
      <w:i/>
      <w:sz w:val="18"/>
      <w:lang w:val="sv-SE"/>
    </w:rPr>
  </w:style>
  <w:style w:type="paragraph" w:styleId="TOCHeading">
    <w:name w:val="TOC Heading"/>
    <w:basedOn w:val="Normal"/>
    <w:next w:val="Normal"/>
    <w:uiPriority w:val="39"/>
    <w:unhideWhenUsed/>
    <w:qFormat/>
    <w:rsid w:val="00A62657"/>
    <w:pPr>
      <w:widowControl/>
      <w:spacing w:after="240"/>
    </w:pPr>
    <w:rPr>
      <w:lang w:val="en-GB"/>
    </w:rPr>
  </w:style>
  <w:style w:type="paragraph" w:customStyle="1" w:styleId="EPFooter2">
    <w:name w:val="EPFooter2"/>
    <w:basedOn w:val="Normal"/>
    <w:next w:val="Normal"/>
    <w:rsid w:val="00A6265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62657"/>
    <w:pPr>
      <w:spacing w:before="480" w:after="240"/>
    </w:pPr>
  </w:style>
  <w:style w:type="paragraph" w:customStyle="1" w:styleId="TOCPage">
    <w:name w:val="TOC Page"/>
    <w:basedOn w:val="Normal"/>
    <w:next w:val="TOC1"/>
    <w:rsid w:val="00A62657"/>
    <w:pPr>
      <w:keepNext/>
      <w:spacing w:after="240"/>
      <w:jc w:val="right"/>
    </w:pPr>
    <w:rPr>
      <w:rFonts w:ascii="Arial" w:hAnsi="Arial"/>
      <w:b/>
    </w:rPr>
  </w:style>
  <w:style w:type="paragraph" w:customStyle="1" w:styleId="PageHeading">
    <w:name w:val="PageHeading"/>
    <w:basedOn w:val="Normal"/>
    <w:link w:val="PageHeadingChar"/>
    <w:rsid w:val="00A62657"/>
    <w:pPr>
      <w:keepNext/>
      <w:spacing w:after="480"/>
      <w:jc w:val="center"/>
    </w:pPr>
    <w:rPr>
      <w:rFonts w:ascii="Arial" w:hAnsi="Arial" w:cs="Arial"/>
      <w:b/>
    </w:rPr>
  </w:style>
  <w:style w:type="paragraph" w:customStyle="1" w:styleId="NormalBold">
    <w:name w:val="NormalBold"/>
    <w:basedOn w:val="Normal"/>
    <w:rsid w:val="00A62657"/>
    <w:rPr>
      <w:b/>
    </w:rPr>
  </w:style>
  <w:style w:type="paragraph" w:customStyle="1" w:styleId="NormalHanging12a">
    <w:name w:val="NormalHanging12a"/>
    <w:basedOn w:val="Normal"/>
    <w:link w:val="NormalHanging12aChar"/>
    <w:rsid w:val="00A62657"/>
    <w:pPr>
      <w:spacing w:after="240"/>
      <w:ind w:left="567" w:hanging="567"/>
    </w:pPr>
  </w:style>
  <w:style w:type="paragraph" w:customStyle="1" w:styleId="CoverNormal24a">
    <w:name w:val="CoverNormal24a"/>
    <w:basedOn w:val="Normal"/>
    <w:rsid w:val="00A62657"/>
    <w:pPr>
      <w:spacing w:after="480"/>
      <w:ind w:left="1417"/>
    </w:pPr>
  </w:style>
  <w:style w:type="paragraph" w:customStyle="1" w:styleId="CoverNormal">
    <w:name w:val="CoverNormal"/>
    <w:basedOn w:val="Normal"/>
    <w:rsid w:val="00A62657"/>
    <w:pPr>
      <w:ind w:left="1418"/>
    </w:pPr>
  </w:style>
  <w:style w:type="paragraph" w:customStyle="1" w:styleId="NormalCenter12a">
    <w:name w:val="NormalCenter12a"/>
    <w:basedOn w:val="Normal"/>
    <w:rsid w:val="00A62657"/>
    <w:pPr>
      <w:spacing w:after="240"/>
      <w:jc w:val="center"/>
    </w:pPr>
  </w:style>
  <w:style w:type="paragraph" w:customStyle="1" w:styleId="CoverReference">
    <w:name w:val="CoverReference"/>
    <w:basedOn w:val="Normal"/>
    <w:rsid w:val="00A62657"/>
    <w:pPr>
      <w:spacing w:before="1080"/>
      <w:jc w:val="right"/>
    </w:pPr>
    <w:rPr>
      <w:rFonts w:ascii="Arial" w:hAnsi="Arial" w:cs="Arial"/>
      <w:b/>
    </w:rPr>
  </w:style>
  <w:style w:type="paragraph" w:customStyle="1" w:styleId="CoverDocType24a">
    <w:name w:val="CoverDocType24a"/>
    <w:basedOn w:val="Normal"/>
    <w:rsid w:val="00A62657"/>
    <w:pPr>
      <w:spacing w:after="480"/>
      <w:ind w:left="1418"/>
    </w:pPr>
    <w:rPr>
      <w:rFonts w:ascii="Arial" w:hAnsi="Arial"/>
      <w:b/>
      <w:sz w:val="48"/>
    </w:rPr>
  </w:style>
  <w:style w:type="paragraph" w:customStyle="1" w:styleId="CoverDate">
    <w:name w:val="CoverDate"/>
    <w:basedOn w:val="Normal"/>
    <w:rsid w:val="00A62657"/>
    <w:pPr>
      <w:spacing w:before="240" w:after="1200"/>
    </w:pPr>
  </w:style>
  <w:style w:type="paragraph" w:styleId="Header">
    <w:name w:val="header"/>
    <w:basedOn w:val="Normal"/>
    <w:link w:val="HeaderChar"/>
    <w:rsid w:val="00A62657"/>
    <w:pPr>
      <w:tabs>
        <w:tab w:val="center" w:pos="4513"/>
        <w:tab w:val="right" w:pos="9026"/>
      </w:tabs>
    </w:pPr>
  </w:style>
  <w:style w:type="character" w:customStyle="1" w:styleId="HeaderChar">
    <w:name w:val="Header Char"/>
    <w:basedOn w:val="DefaultParagraphFont"/>
    <w:link w:val="Header"/>
    <w:rsid w:val="00A62657"/>
    <w:rPr>
      <w:sz w:val="24"/>
      <w:lang w:val="sv-SE"/>
    </w:rPr>
  </w:style>
  <w:style w:type="paragraph" w:customStyle="1" w:styleId="EPBody">
    <w:name w:val="EPBody"/>
    <w:basedOn w:val="Normal"/>
    <w:rsid w:val="00A62657"/>
    <w:pPr>
      <w:jc w:val="center"/>
    </w:pPr>
    <w:rPr>
      <w:rFonts w:ascii="Arial" w:hAnsi="Arial" w:cs="Arial"/>
      <w:i/>
      <w:sz w:val="22"/>
      <w:szCs w:val="22"/>
    </w:rPr>
  </w:style>
  <w:style w:type="paragraph" w:customStyle="1" w:styleId="EPFooter">
    <w:name w:val="EPFooter"/>
    <w:basedOn w:val="Normal"/>
    <w:rsid w:val="00A6265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62657"/>
    <w:rPr>
      <w:sz w:val="24"/>
      <w:lang w:val="sv-SE"/>
    </w:rPr>
  </w:style>
  <w:style w:type="paragraph" w:customStyle="1" w:styleId="PageHeadingDec">
    <w:name w:val="PageHeadingDec"/>
    <w:basedOn w:val="PageHeading"/>
    <w:link w:val="PageHeadingDecChar"/>
    <w:qFormat/>
    <w:rsid w:val="00A62657"/>
  </w:style>
  <w:style w:type="character" w:customStyle="1" w:styleId="PageHeadingChar">
    <w:name w:val="PageHeading Char"/>
    <w:basedOn w:val="DefaultParagraphFont"/>
    <w:link w:val="PageHeading"/>
    <w:rsid w:val="00A62657"/>
    <w:rPr>
      <w:rFonts w:ascii="Arial" w:hAnsi="Arial" w:cs="Arial"/>
      <w:b/>
      <w:sz w:val="24"/>
      <w:lang w:val="sv-SE"/>
    </w:rPr>
  </w:style>
  <w:style w:type="character" w:customStyle="1" w:styleId="PageHeadingDecChar">
    <w:name w:val="PageHeadingDec Char"/>
    <w:basedOn w:val="PageHeadingChar"/>
    <w:link w:val="PageHeadingDec"/>
    <w:rsid w:val="00A62657"/>
    <w:rPr>
      <w:rFonts w:ascii="Arial" w:hAnsi="Arial" w:cs="Arial"/>
      <w:b/>
      <w:sz w:val="24"/>
      <w:lang w:val="sv-SE"/>
    </w:rPr>
  </w:style>
  <w:style w:type="paragraph" w:styleId="TOC9">
    <w:name w:val="toc 9"/>
    <w:basedOn w:val="Normal"/>
    <w:next w:val="Normal"/>
    <w:autoRedefine/>
    <w:uiPriority w:val="39"/>
    <w:rsid w:val="00A62657"/>
    <w:pPr>
      <w:spacing w:after="100"/>
      <w:jc w:val="center"/>
    </w:pPr>
  </w:style>
  <w:style w:type="paragraph" w:styleId="TOC8">
    <w:name w:val="toc 8"/>
    <w:basedOn w:val="Normal"/>
    <w:next w:val="Normal"/>
    <w:autoRedefine/>
    <w:uiPriority w:val="39"/>
    <w:rsid w:val="00A62657"/>
    <w:pPr>
      <w:tabs>
        <w:tab w:val="right" w:leader="dot" w:pos="9060"/>
      </w:tabs>
      <w:spacing w:after="240"/>
    </w:pPr>
    <w:rPr>
      <w:b/>
    </w:rPr>
  </w:style>
  <w:style w:type="paragraph" w:customStyle="1" w:styleId="PageHeadingNotTOC">
    <w:name w:val="PageHeadingNotTOC"/>
    <w:basedOn w:val="Normal"/>
    <w:link w:val="PageHeadingNotTOCChar"/>
    <w:rsid w:val="00A62657"/>
    <w:pPr>
      <w:keepNext/>
      <w:spacing w:after="480"/>
      <w:jc w:val="center"/>
    </w:pPr>
    <w:rPr>
      <w:rFonts w:ascii="Arial" w:hAnsi="Arial" w:cs="Arial"/>
      <w:b/>
    </w:rPr>
  </w:style>
  <w:style w:type="character" w:styleId="Hyperlink">
    <w:name w:val="Hyperlink"/>
    <w:basedOn w:val="DefaultParagraphFont"/>
    <w:uiPriority w:val="99"/>
    <w:rsid w:val="00A62657"/>
    <w:rPr>
      <w:color w:val="0563C1" w:themeColor="hyperlink"/>
      <w:u w:val="single"/>
    </w:rPr>
  </w:style>
  <w:style w:type="character" w:styleId="FollowedHyperlink">
    <w:name w:val="FollowedHyperlink"/>
    <w:basedOn w:val="DefaultParagraphFont"/>
    <w:rsid w:val="00A62657"/>
    <w:rPr>
      <w:color w:val="954F72" w:themeColor="followedHyperlink"/>
      <w:u w:val="single"/>
    </w:rPr>
  </w:style>
  <w:style w:type="paragraph" w:styleId="TOC7">
    <w:name w:val="toc 7"/>
    <w:basedOn w:val="Normal"/>
    <w:next w:val="Normal"/>
    <w:autoRedefine/>
    <w:uiPriority w:val="39"/>
    <w:rsid w:val="00A62657"/>
    <w:pPr>
      <w:tabs>
        <w:tab w:val="right" w:leader="dot" w:pos="9060"/>
      </w:tabs>
      <w:spacing w:after="100"/>
      <w:ind w:left="567" w:hanging="567"/>
    </w:pPr>
  </w:style>
  <w:style w:type="character" w:styleId="CommentReference">
    <w:name w:val="annotation reference"/>
    <w:basedOn w:val="DefaultParagraphFont"/>
    <w:uiPriority w:val="99"/>
    <w:rsid w:val="00A62657"/>
    <w:rPr>
      <w:sz w:val="16"/>
      <w:szCs w:val="16"/>
    </w:rPr>
  </w:style>
  <w:style w:type="paragraph" w:styleId="CommentText">
    <w:name w:val="annotation text"/>
    <w:basedOn w:val="Normal"/>
    <w:link w:val="CommentTextChar"/>
    <w:uiPriority w:val="99"/>
    <w:rsid w:val="00A62657"/>
    <w:rPr>
      <w:sz w:val="20"/>
    </w:rPr>
  </w:style>
  <w:style w:type="character" w:customStyle="1" w:styleId="CommentTextChar">
    <w:name w:val="Comment Text Char"/>
    <w:basedOn w:val="DefaultParagraphFont"/>
    <w:link w:val="CommentText"/>
    <w:uiPriority w:val="99"/>
    <w:rsid w:val="00A62657"/>
    <w:rPr>
      <w:lang w:val="sv-SE"/>
    </w:rPr>
  </w:style>
  <w:style w:type="paragraph" w:styleId="CommentSubject">
    <w:name w:val="annotation subject"/>
    <w:basedOn w:val="CommentText"/>
    <w:next w:val="CommentText"/>
    <w:link w:val="CommentSubjectChar"/>
    <w:uiPriority w:val="99"/>
    <w:unhideWhenUsed/>
    <w:rsid w:val="00A62657"/>
    <w:rPr>
      <w:b/>
      <w:bCs/>
    </w:rPr>
  </w:style>
  <w:style w:type="character" w:customStyle="1" w:styleId="CommentSubjectChar">
    <w:name w:val="Comment Subject Char"/>
    <w:basedOn w:val="CommentTextChar"/>
    <w:link w:val="CommentSubject"/>
    <w:uiPriority w:val="99"/>
    <w:rsid w:val="00A62657"/>
    <w:rPr>
      <w:b/>
      <w:bCs/>
      <w:lang w:val="sv-SE"/>
    </w:rPr>
  </w:style>
  <w:style w:type="paragraph" w:styleId="BalloonText">
    <w:name w:val="Balloon Text"/>
    <w:basedOn w:val="Normal"/>
    <w:link w:val="BalloonTextChar"/>
    <w:unhideWhenUsed/>
    <w:rsid w:val="00A62657"/>
    <w:rPr>
      <w:rFonts w:ascii="Segoe UI" w:hAnsi="Segoe UI" w:cs="Segoe UI"/>
      <w:sz w:val="18"/>
      <w:szCs w:val="18"/>
    </w:rPr>
  </w:style>
  <w:style w:type="character" w:customStyle="1" w:styleId="BalloonTextChar">
    <w:name w:val="Balloon Text Char"/>
    <w:basedOn w:val="DefaultParagraphFont"/>
    <w:link w:val="BalloonText"/>
    <w:rsid w:val="00A62657"/>
    <w:rPr>
      <w:rFonts w:ascii="Segoe UI" w:hAnsi="Segoe UI" w:cs="Segoe UI"/>
      <w:sz w:val="18"/>
      <w:szCs w:val="18"/>
      <w:lang w:val="sv-SE"/>
    </w:rPr>
  </w:style>
  <w:style w:type="paragraph" w:customStyle="1" w:styleId="Normal24a">
    <w:name w:val="Normal24a"/>
    <w:basedOn w:val="Normal"/>
    <w:rsid w:val="00A62657"/>
    <w:pPr>
      <w:spacing w:after="480"/>
    </w:pPr>
  </w:style>
  <w:style w:type="paragraph" w:customStyle="1" w:styleId="NormalBoldCenter">
    <w:name w:val="NormalBoldCenter"/>
    <w:basedOn w:val="Normal"/>
    <w:rsid w:val="00A62657"/>
    <w:pPr>
      <w:jc w:val="center"/>
    </w:pPr>
    <w:rPr>
      <w:b/>
    </w:rPr>
  </w:style>
  <w:style w:type="paragraph" w:customStyle="1" w:styleId="Footprint12b">
    <w:name w:val="Footprint12b"/>
    <w:basedOn w:val="Normal"/>
    <w:rsid w:val="00A62657"/>
    <w:pPr>
      <w:spacing w:before="240"/>
    </w:pPr>
    <w:rPr>
      <w:szCs w:val="24"/>
    </w:rPr>
  </w:style>
  <w:style w:type="paragraph" w:customStyle="1" w:styleId="NormalSingle">
    <w:name w:val="NormalSingle"/>
    <w:basedOn w:val="Normal"/>
    <w:qFormat/>
    <w:rsid w:val="00A62657"/>
    <w:rPr>
      <w:szCs w:val="24"/>
    </w:rPr>
  </w:style>
  <w:style w:type="paragraph" w:styleId="Revision">
    <w:name w:val="Revision"/>
    <w:hidden/>
    <w:uiPriority w:val="99"/>
    <w:semiHidden/>
    <w:rsid w:val="00A62657"/>
    <w:rPr>
      <w:sz w:val="24"/>
      <w:lang w:val="sv-SE"/>
    </w:rPr>
  </w:style>
  <w:style w:type="paragraph" w:styleId="ListParagraph">
    <w:name w:val="List Paragraph"/>
    <w:basedOn w:val="Normal"/>
    <w:uiPriority w:val="34"/>
    <w:qFormat/>
    <w:rsid w:val="00A62657"/>
    <w:pPr>
      <w:widowControl/>
      <w:ind w:left="720"/>
      <w:contextualSpacing/>
      <w:jc w:val="both"/>
    </w:pPr>
    <w:rPr>
      <w:rFonts w:eastAsiaTheme="minorHAnsi"/>
      <w:szCs w:val="24"/>
      <w:lang w:eastAsia="en-US"/>
    </w:rPr>
  </w:style>
  <w:style w:type="paragraph" w:customStyle="1" w:styleId="Normal12Hanging">
    <w:name w:val="Normal12Hanging"/>
    <w:basedOn w:val="Normal"/>
    <w:rsid w:val="00A62657"/>
    <w:pPr>
      <w:spacing w:after="240"/>
      <w:ind w:left="567" w:hanging="567"/>
    </w:pPr>
  </w:style>
  <w:style w:type="paragraph" w:customStyle="1" w:styleId="Normal12a">
    <w:name w:val="Normal12a"/>
    <w:basedOn w:val="Normal"/>
    <w:rsid w:val="00A62657"/>
    <w:pPr>
      <w:spacing w:after="240"/>
    </w:pPr>
  </w:style>
  <w:style w:type="paragraph" w:customStyle="1" w:styleId="RollCallSymbols14pt">
    <w:name w:val="RollCallSymbols14pt"/>
    <w:basedOn w:val="Normal"/>
    <w:rsid w:val="00A6265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62657"/>
    <w:pPr>
      <w:tabs>
        <w:tab w:val="center" w:pos="284"/>
        <w:tab w:val="left" w:pos="426"/>
      </w:tabs>
    </w:pPr>
    <w:rPr>
      <w:snapToGrid w:val="0"/>
      <w:lang w:eastAsia="en-US"/>
    </w:rPr>
  </w:style>
  <w:style w:type="paragraph" w:customStyle="1" w:styleId="RollCallVotes">
    <w:name w:val="RollCallVotes"/>
    <w:basedOn w:val="Normal"/>
    <w:rsid w:val="00A62657"/>
    <w:pPr>
      <w:spacing w:before="120" w:after="120"/>
      <w:jc w:val="center"/>
    </w:pPr>
    <w:rPr>
      <w:b/>
      <w:bCs/>
      <w:snapToGrid w:val="0"/>
      <w:sz w:val="16"/>
      <w:lang w:eastAsia="en-US"/>
    </w:rPr>
  </w:style>
  <w:style w:type="paragraph" w:customStyle="1" w:styleId="RollCallTable">
    <w:name w:val="RollCallTable"/>
    <w:basedOn w:val="Normal"/>
    <w:rsid w:val="00A62657"/>
    <w:pPr>
      <w:spacing w:before="120" w:after="120"/>
    </w:pPr>
    <w:rPr>
      <w:snapToGrid w:val="0"/>
      <w:sz w:val="16"/>
      <w:lang w:eastAsia="en-US"/>
    </w:rPr>
  </w:style>
  <w:style w:type="paragraph" w:customStyle="1" w:styleId="Visa">
    <w:name w:val="Visa"/>
    <w:basedOn w:val="Normal"/>
    <w:rsid w:val="00A62657"/>
    <w:pPr>
      <w:tabs>
        <w:tab w:val="left" w:pos="357"/>
      </w:tabs>
      <w:snapToGrid w:val="0"/>
      <w:spacing w:after="240"/>
      <w:ind w:left="357" w:hanging="357"/>
    </w:pPr>
    <w:rPr>
      <w:lang w:eastAsia="en-US"/>
    </w:rPr>
  </w:style>
  <w:style w:type="paragraph" w:customStyle="1" w:styleId="Normal6a">
    <w:name w:val="Normal6a"/>
    <w:basedOn w:val="Normal"/>
    <w:rsid w:val="00A62657"/>
    <w:pPr>
      <w:spacing w:after="120"/>
    </w:pPr>
  </w:style>
  <w:style w:type="paragraph" w:styleId="NormalWeb">
    <w:name w:val="Normal (Web)"/>
    <w:basedOn w:val="Normal"/>
    <w:uiPriority w:val="99"/>
    <w:unhideWhenUsed/>
    <w:rsid w:val="00A62657"/>
    <w:pPr>
      <w:widowControl/>
      <w:spacing w:before="100" w:beforeAutospacing="1" w:after="100" w:afterAutospacing="1"/>
    </w:pPr>
    <w:rPr>
      <w:szCs w:val="24"/>
    </w:rPr>
  </w:style>
  <w:style w:type="paragraph" w:styleId="Footer">
    <w:name w:val="footer"/>
    <w:basedOn w:val="Normal"/>
    <w:link w:val="FooterChar"/>
    <w:rsid w:val="00A62657"/>
    <w:pPr>
      <w:tabs>
        <w:tab w:val="center" w:pos="4513"/>
        <w:tab w:val="right" w:pos="9026"/>
      </w:tabs>
    </w:pPr>
  </w:style>
  <w:style w:type="character" w:customStyle="1" w:styleId="FooterChar">
    <w:name w:val="Footer Char"/>
    <w:basedOn w:val="DefaultParagraphFont"/>
    <w:link w:val="Footer"/>
    <w:rsid w:val="00A62657"/>
    <w:rPr>
      <w:sz w:val="24"/>
      <w:lang w:val="sv-SE"/>
    </w:rPr>
  </w:style>
  <w:style w:type="paragraph" w:customStyle="1" w:styleId="RollCallSubtitle">
    <w:name w:val="RollCallSubtitle"/>
    <w:basedOn w:val="Normal"/>
    <w:qFormat/>
    <w:rsid w:val="00A62657"/>
    <w:pPr>
      <w:snapToGrid w:val="0"/>
      <w:spacing w:after="240"/>
    </w:pPr>
    <w:rPr>
      <w:lang w:eastAsia="en-US"/>
    </w:rPr>
  </w:style>
  <w:style w:type="paragraph" w:customStyle="1" w:styleId="msonormal0">
    <w:name w:val="msonormal"/>
    <w:basedOn w:val="Normal"/>
    <w:rsid w:val="00A62657"/>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A62657"/>
    <w:rPr>
      <w:rFonts w:ascii="Arial" w:hAnsi="Arial" w:cs="Arial"/>
      <w:b/>
      <w:sz w:val="24"/>
      <w:lang w:val="sv-SE"/>
    </w:rPr>
  </w:style>
  <w:style w:type="numbering" w:customStyle="1" w:styleId="NoList1">
    <w:name w:val="No List1"/>
    <w:next w:val="NoList"/>
    <w:uiPriority w:val="99"/>
    <w:semiHidden/>
    <w:unhideWhenUsed/>
    <w:rsid w:val="005375B7"/>
  </w:style>
  <w:style w:type="paragraph" w:customStyle="1" w:styleId="Title1">
    <w:name w:val="Title1"/>
    <w:basedOn w:val="Normal"/>
    <w:next w:val="Normal"/>
    <w:uiPriority w:val="10"/>
    <w:qFormat/>
    <w:rsid w:val="005375B7"/>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5375B7"/>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5375B7"/>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5375B7"/>
    <w:rPr>
      <w:rFonts w:ascii="Arial" w:eastAsia="Times New Roman" w:hAnsi="Arial" w:cs="Arial"/>
      <w:sz w:val="24"/>
      <w:szCs w:val="24"/>
    </w:rPr>
  </w:style>
  <w:style w:type="character" w:styleId="Strong">
    <w:name w:val="Strong"/>
    <w:basedOn w:val="DefaultParagraphFont"/>
    <w:uiPriority w:val="22"/>
    <w:qFormat/>
    <w:rsid w:val="005375B7"/>
    <w:rPr>
      <w:b/>
      <w:bCs/>
    </w:rPr>
  </w:style>
  <w:style w:type="character" w:customStyle="1" w:styleId="Emphasis1">
    <w:name w:val="Emphasis1"/>
    <w:basedOn w:val="DefaultParagraphFont"/>
    <w:uiPriority w:val="20"/>
    <w:qFormat/>
    <w:rsid w:val="005375B7"/>
    <w:rPr>
      <w:rFonts w:ascii="Aptos" w:hAnsi="Aptos"/>
      <w:b/>
      <w:i/>
      <w:iCs/>
    </w:rPr>
  </w:style>
  <w:style w:type="paragraph" w:styleId="NoSpacing">
    <w:name w:val="No Spacing"/>
    <w:basedOn w:val="Normal"/>
    <w:uiPriority w:val="1"/>
    <w:qFormat/>
    <w:rsid w:val="005375B7"/>
    <w:pPr>
      <w:widowControl/>
      <w:jc w:val="both"/>
    </w:pPr>
    <w:rPr>
      <w:rFonts w:eastAsia="Aptos"/>
      <w:kern w:val="2"/>
      <w:szCs w:val="32"/>
      <w:lang w:val="en-GB" w:eastAsia="en-US"/>
      <w14:ligatures w14:val="standardContextual"/>
    </w:rPr>
  </w:style>
  <w:style w:type="paragraph" w:styleId="Quote">
    <w:name w:val="Quote"/>
    <w:basedOn w:val="Normal"/>
    <w:next w:val="Normal"/>
    <w:link w:val="QuoteChar"/>
    <w:uiPriority w:val="29"/>
    <w:qFormat/>
    <w:rsid w:val="005375B7"/>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5375B7"/>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5375B7"/>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5375B7"/>
    <w:rPr>
      <w:rFonts w:eastAsia="Aptos"/>
      <w:b/>
      <w:i/>
      <w:kern w:val="2"/>
      <w:sz w:val="24"/>
      <w:szCs w:val="22"/>
      <w:lang w:eastAsia="en-US"/>
      <w14:ligatures w14:val="standardContextual"/>
    </w:rPr>
  </w:style>
  <w:style w:type="character" w:customStyle="1" w:styleId="SubtleEmphasis1">
    <w:name w:val="Subtle Emphasis1"/>
    <w:uiPriority w:val="19"/>
    <w:qFormat/>
    <w:rsid w:val="005375B7"/>
    <w:rPr>
      <w:i/>
      <w:color w:val="5A5A5A"/>
    </w:rPr>
  </w:style>
  <w:style w:type="character" w:styleId="IntenseEmphasis">
    <w:name w:val="Intense Emphasis"/>
    <w:basedOn w:val="DefaultParagraphFont"/>
    <w:uiPriority w:val="21"/>
    <w:qFormat/>
    <w:rsid w:val="005375B7"/>
    <w:rPr>
      <w:b/>
      <w:i/>
      <w:sz w:val="24"/>
      <w:szCs w:val="24"/>
      <w:u w:val="single"/>
    </w:rPr>
  </w:style>
  <w:style w:type="character" w:styleId="SubtleReference">
    <w:name w:val="Subtle Reference"/>
    <w:basedOn w:val="DefaultParagraphFont"/>
    <w:uiPriority w:val="31"/>
    <w:qFormat/>
    <w:rsid w:val="005375B7"/>
    <w:rPr>
      <w:sz w:val="24"/>
      <w:szCs w:val="24"/>
      <w:u w:val="single"/>
    </w:rPr>
  </w:style>
  <w:style w:type="character" w:styleId="IntenseReference">
    <w:name w:val="Intense Reference"/>
    <w:basedOn w:val="DefaultParagraphFont"/>
    <w:uiPriority w:val="32"/>
    <w:qFormat/>
    <w:rsid w:val="005375B7"/>
    <w:rPr>
      <w:b/>
      <w:sz w:val="24"/>
      <w:u w:val="single"/>
    </w:rPr>
  </w:style>
  <w:style w:type="character" w:customStyle="1" w:styleId="BookTitle1">
    <w:name w:val="Book Title1"/>
    <w:basedOn w:val="DefaultParagraphFont"/>
    <w:uiPriority w:val="33"/>
    <w:qFormat/>
    <w:rsid w:val="005375B7"/>
    <w:rPr>
      <w:rFonts w:ascii="Aptos Display" w:eastAsia="Times New Roman" w:hAnsi="Aptos Display"/>
      <w:b/>
      <w:i/>
      <w:sz w:val="24"/>
      <w:szCs w:val="24"/>
    </w:rPr>
  </w:style>
  <w:style w:type="character" w:customStyle="1" w:styleId="Hyperlink1">
    <w:name w:val="Hyperlink1"/>
    <w:basedOn w:val="DefaultParagraphFont"/>
    <w:uiPriority w:val="99"/>
    <w:rsid w:val="005375B7"/>
    <w:rPr>
      <w:color w:val="0563C1"/>
      <w:u w:val="single"/>
    </w:rPr>
  </w:style>
  <w:style w:type="paragraph" w:styleId="Title">
    <w:name w:val="Title"/>
    <w:basedOn w:val="Normal"/>
    <w:next w:val="Normal"/>
    <w:link w:val="TitleChar"/>
    <w:uiPriority w:val="10"/>
    <w:qFormat/>
    <w:rsid w:val="005375B7"/>
    <w:pPr>
      <w:contextualSpacing/>
    </w:pPr>
    <w:rPr>
      <w:rFonts w:ascii="Arial" w:hAnsi="Arial" w:cs="Arial"/>
      <w:b/>
      <w:bCs/>
      <w:kern w:val="28"/>
      <w:sz w:val="32"/>
      <w:szCs w:val="32"/>
      <w:lang w:val="en-GB"/>
    </w:rPr>
  </w:style>
  <w:style w:type="character" w:customStyle="1" w:styleId="TitleChar1">
    <w:name w:val="Title Char1"/>
    <w:basedOn w:val="DefaultParagraphFont"/>
    <w:rsid w:val="005375B7"/>
    <w:rPr>
      <w:rFonts w:asciiTheme="majorHAnsi" w:eastAsiaTheme="majorEastAsia" w:hAnsiTheme="majorHAnsi" w:cstheme="majorBidi"/>
      <w:spacing w:val="-10"/>
      <w:kern w:val="28"/>
      <w:sz w:val="56"/>
      <w:szCs w:val="56"/>
      <w:lang w:val="sv-SE"/>
    </w:rPr>
  </w:style>
  <w:style w:type="paragraph" w:styleId="Subtitle">
    <w:name w:val="Subtitle"/>
    <w:basedOn w:val="Normal"/>
    <w:next w:val="Normal"/>
    <w:link w:val="SubtitleChar"/>
    <w:uiPriority w:val="11"/>
    <w:qFormat/>
    <w:rsid w:val="005375B7"/>
    <w:pPr>
      <w:numPr>
        <w:ilvl w:val="1"/>
      </w:numPr>
      <w:spacing w:after="160"/>
    </w:pPr>
    <w:rPr>
      <w:rFonts w:ascii="Arial" w:hAnsi="Arial" w:cs="Arial"/>
      <w:szCs w:val="24"/>
      <w:lang w:val="en-GB"/>
    </w:rPr>
  </w:style>
  <w:style w:type="character" w:customStyle="1" w:styleId="SubtitleChar1">
    <w:name w:val="Subtitle Char1"/>
    <w:basedOn w:val="DefaultParagraphFont"/>
    <w:rsid w:val="005375B7"/>
    <w:rPr>
      <w:rFonts w:asciiTheme="minorHAnsi" w:eastAsiaTheme="minorEastAsia" w:hAnsiTheme="minorHAnsi" w:cstheme="minorBidi"/>
      <w:color w:val="5A5A5A" w:themeColor="text1" w:themeTint="A5"/>
      <w:spacing w:val="15"/>
      <w:sz w:val="22"/>
      <w:szCs w:val="22"/>
      <w:lang w:val="sv-SE"/>
    </w:rPr>
  </w:style>
  <w:style w:type="character" w:styleId="Emphasis">
    <w:name w:val="Emphasis"/>
    <w:basedOn w:val="DefaultParagraphFont"/>
    <w:qFormat/>
    <w:rsid w:val="005375B7"/>
    <w:rPr>
      <w:i/>
      <w:iCs/>
    </w:rPr>
  </w:style>
  <w:style w:type="character" w:styleId="SubtleEmphasis">
    <w:name w:val="Subtle Emphasis"/>
    <w:basedOn w:val="DefaultParagraphFont"/>
    <w:uiPriority w:val="19"/>
    <w:qFormat/>
    <w:rsid w:val="005375B7"/>
    <w:rPr>
      <w:i/>
      <w:iCs/>
      <w:color w:val="404040" w:themeColor="text1" w:themeTint="BF"/>
    </w:rPr>
  </w:style>
  <w:style w:type="character" w:styleId="BookTitle">
    <w:name w:val="Book Title"/>
    <w:basedOn w:val="DefaultParagraphFont"/>
    <w:uiPriority w:val="33"/>
    <w:qFormat/>
    <w:rsid w:val="005375B7"/>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sv/"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213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data.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s://data.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reg/2016/794/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data.europa.eu/eli/reg/2002/178/oj" TargetMode="External"/><Relationship Id="rId185" Type="http://schemas.openxmlformats.org/officeDocument/2006/relationships/hyperlink" Target="http://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data.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www.eionet.europa.eu/etcs"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data.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agree_interinstit/2021/611/oj" TargetMode="External"/><Relationship Id="rId202" Type="http://schemas.openxmlformats.org/officeDocument/2006/relationships/hyperlink" Target="http://data.europa.eu/eli/reg/2024/2509/oj" TargetMode="External"/><Relationship Id="rId223" Type="http://schemas.openxmlformats.org/officeDocument/2006/relationships/hyperlink" Target="http://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umonitor.eu/9353000/1/j9vvik7m1c3gyxp/vjx64xley4zd"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420" Type="http://schemas.openxmlformats.org/officeDocument/2006/relationships/hyperlink" Target="http://data.europa.eu/eli/dir/2019/1937/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data.europa.eu/eli/reg/2008/1339/oj" TargetMode="External"/><Relationship Id="rId410" Type="http://schemas.openxmlformats.org/officeDocument/2006/relationships/hyperlink" Target="https://www.eca.europa.eu/Lists/ECADocuments/SR20_22/SR_Future_of_EU_Agencies_SV.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data.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data.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www.eca.europa.eu/Lists/ECADocuments/SR20_22/SR_Future_of_EU_Agencies_SV.pdf"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data.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data.europa.eu/eli/reg/2016/796/oj" TargetMode="External"/><Relationship Id="rId412" Type="http://schemas.openxmlformats.org/officeDocument/2006/relationships/hyperlink" Target="http://data.europa.eu/eli/reg/2023/2842/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23/969/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data.europa.eu/eli/reg/2021/819/oj" TargetMode="External"/><Relationship Id="rId229" Type="http://schemas.openxmlformats.org/officeDocument/2006/relationships/hyperlink" Target="http://data.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SV/TXT/HTML/?uri=CELEX:52024DC0075"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data.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data.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data.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9D7F-4EC0-4728-9F28-2A6FFDBDF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47281</Words>
  <Characters>269508</Characters>
  <Application>Microsoft Office Word</Application>
  <DocSecurity>0</DocSecurity>
  <Lines>2245</Lines>
  <Paragraphs>632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2025-12-02T11:51:00Z</dcterms:created>
  <dcterms:modified xsi:type="dcterms:W3CDTF">2025-12-02T11:51:00Z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P10_TA(2025)0088_</vt:lpwstr>
  </property>
  <property fmtid="{D5CDD505-2E9C-101B-9397-08002B2CF9AE}" pid="4" name="&lt;Type&gt;">
    <vt:lpwstr>RR</vt:lpwstr>
  </property>
</Properties>
</file>